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A3C0DA">
      <w:pPr>
        <w:spacing w:line="600" w:lineRule="auto"/>
        <w:ind w:right="-110"/>
        <w:jc w:val="center"/>
        <w:rPr>
          <w:rFonts w:hint="eastAsia" w:ascii="宋体" w:hAnsi="宋体" w:eastAsia="宋体" w:cs="宋体"/>
          <w:b/>
          <w:color w:val="000000"/>
          <w:spacing w:val="28"/>
          <w:sz w:val="44"/>
          <w:szCs w:val="44"/>
          <w:highlight w:val="none"/>
          <w:lang w:eastAsia="zh-CN"/>
        </w:rPr>
      </w:pPr>
    </w:p>
    <w:p w14:paraId="7FBFAC07">
      <w:pPr>
        <w:spacing w:line="600" w:lineRule="auto"/>
        <w:ind w:right="-110"/>
        <w:jc w:val="center"/>
        <w:rPr>
          <w:rFonts w:hint="eastAsia" w:ascii="宋体" w:hAnsi="宋体" w:eastAsia="宋体" w:cs="宋体"/>
          <w:b/>
          <w:color w:val="000000"/>
          <w:spacing w:val="28"/>
          <w:sz w:val="44"/>
          <w:szCs w:val="44"/>
          <w:highlight w:val="none"/>
          <w:lang w:val="en-US" w:eastAsia="zh-CN"/>
        </w:rPr>
      </w:pPr>
      <w:r>
        <w:rPr>
          <w:rFonts w:hint="eastAsia" w:ascii="宋体" w:hAnsi="宋体" w:cs="宋体"/>
          <w:b/>
          <w:color w:val="000000"/>
          <w:spacing w:val="28"/>
          <w:sz w:val="44"/>
          <w:szCs w:val="44"/>
          <w:highlight w:val="none"/>
          <w:lang w:val="en-US" w:eastAsia="zh-CN"/>
        </w:rPr>
        <w:t>天目未来谷生态研学城项目温泉系统-泡池系统采购安装项目</w:t>
      </w:r>
    </w:p>
    <w:p w14:paraId="2345D29B">
      <w:pPr>
        <w:rPr>
          <w:rFonts w:hint="eastAsia"/>
          <w:lang w:eastAsia="zh-CN"/>
        </w:rPr>
      </w:pPr>
    </w:p>
    <w:p w14:paraId="6A72AC27">
      <w:pPr>
        <w:spacing w:line="600" w:lineRule="auto"/>
        <w:ind w:right="-110"/>
        <w:jc w:val="center"/>
        <w:rPr>
          <w:rFonts w:hint="eastAsia" w:ascii="宋体" w:hAnsi="宋体" w:eastAsia="宋体" w:cs="宋体"/>
          <w:b/>
          <w:color w:val="000000"/>
          <w:spacing w:val="28"/>
          <w:sz w:val="44"/>
          <w:szCs w:val="44"/>
          <w:highlight w:val="none"/>
        </w:rPr>
      </w:pPr>
    </w:p>
    <w:p w14:paraId="09A6B795">
      <w:pPr>
        <w:spacing w:line="600" w:lineRule="auto"/>
        <w:ind w:right="-110"/>
        <w:jc w:val="center"/>
        <w:rPr>
          <w:rFonts w:hint="eastAsia" w:ascii="宋体" w:hAnsi="宋体" w:eastAsia="宋体" w:cs="宋体"/>
          <w:b/>
          <w:color w:val="000000"/>
          <w:spacing w:val="28"/>
          <w:sz w:val="48"/>
          <w:szCs w:val="48"/>
          <w:highlight w:val="none"/>
        </w:rPr>
      </w:pPr>
      <w:r>
        <w:rPr>
          <w:rFonts w:hint="eastAsia" w:ascii="宋体" w:hAnsi="宋体" w:eastAsia="宋体" w:cs="宋体"/>
          <w:b/>
          <w:color w:val="000000"/>
          <w:spacing w:val="28"/>
          <w:sz w:val="48"/>
          <w:szCs w:val="48"/>
          <w:highlight w:val="none"/>
        </w:rPr>
        <w:t>公开</w:t>
      </w:r>
      <w:r>
        <w:rPr>
          <w:rFonts w:hint="eastAsia" w:ascii="宋体" w:hAnsi="宋体" w:cs="宋体"/>
          <w:b/>
          <w:color w:val="000000"/>
          <w:spacing w:val="28"/>
          <w:sz w:val="48"/>
          <w:szCs w:val="48"/>
          <w:highlight w:val="none"/>
          <w:lang w:eastAsia="zh-CN"/>
        </w:rPr>
        <w:t>采购</w:t>
      </w:r>
      <w:r>
        <w:rPr>
          <w:rFonts w:hint="eastAsia" w:ascii="宋体" w:hAnsi="宋体" w:eastAsia="宋体" w:cs="宋体"/>
          <w:b/>
          <w:color w:val="000000"/>
          <w:spacing w:val="28"/>
          <w:sz w:val="48"/>
          <w:szCs w:val="48"/>
          <w:highlight w:val="none"/>
        </w:rPr>
        <w:t>文件</w:t>
      </w:r>
    </w:p>
    <w:p w14:paraId="72846F97">
      <w:pPr>
        <w:spacing w:before="312" w:beforeLines="100" w:line="240" w:lineRule="atLeast"/>
        <w:ind w:right="-108"/>
        <w:rPr>
          <w:rFonts w:hint="eastAsia" w:ascii="宋体" w:hAnsi="宋体" w:eastAsia="宋体" w:cs="宋体"/>
          <w:color w:val="000000"/>
          <w:sz w:val="24"/>
          <w:highlight w:val="none"/>
        </w:rPr>
      </w:pPr>
    </w:p>
    <w:p w14:paraId="635571A2">
      <w:pPr>
        <w:spacing w:before="312" w:beforeLines="100" w:line="240" w:lineRule="atLeast"/>
        <w:ind w:right="-108"/>
        <w:jc w:val="center"/>
        <w:rPr>
          <w:rFonts w:hint="default" w:ascii="宋体" w:hAnsi="宋体" w:eastAsia="宋体" w:cs="宋体"/>
          <w:color w:val="auto"/>
          <w:sz w:val="30"/>
          <w:szCs w:val="30"/>
          <w:highlight w:val="none"/>
          <w:lang w:val="en-US" w:eastAsia="zh-CN"/>
        </w:rPr>
      </w:pPr>
      <w:r>
        <w:rPr>
          <w:rFonts w:hint="eastAsia" w:ascii="宋体" w:hAnsi="宋体" w:eastAsia="宋体" w:cs="宋体"/>
          <w:b/>
          <w:bCs/>
          <w:color w:val="auto"/>
          <w:sz w:val="28"/>
          <w:szCs w:val="28"/>
          <w:highlight w:val="none"/>
        </w:rPr>
        <w:t>项目编号：</w:t>
      </w:r>
      <w:r>
        <w:rPr>
          <w:rFonts w:hint="eastAsia" w:ascii="宋体" w:hAnsi="宋体" w:cs="宋体"/>
          <w:b/>
          <w:bCs/>
          <w:color w:val="auto"/>
          <w:sz w:val="28"/>
          <w:szCs w:val="28"/>
          <w:highlight w:val="none"/>
          <w:lang w:val="en-US" w:eastAsia="zh-CN"/>
        </w:rPr>
        <w:t>ZXDL-2024-67</w:t>
      </w:r>
    </w:p>
    <w:p w14:paraId="702B9231">
      <w:pPr>
        <w:spacing w:after="100" w:afterAutospacing="1" w:line="800" w:lineRule="exact"/>
        <w:ind w:right="-108"/>
        <w:jc w:val="center"/>
        <w:rPr>
          <w:rFonts w:hint="eastAsia" w:ascii="宋体" w:hAnsi="宋体" w:eastAsia="宋体" w:cs="宋体"/>
          <w:color w:val="000000"/>
          <w:spacing w:val="40"/>
          <w:sz w:val="24"/>
        </w:rPr>
      </w:pPr>
    </w:p>
    <w:p w14:paraId="50995183">
      <w:pPr>
        <w:spacing w:after="100" w:afterAutospacing="1" w:line="800" w:lineRule="exact"/>
        <w:ind w:right="-108"/>
        <w:jc w:val="center"/>
        <w:rPr>
          <w:rFonts w:hint="eastAsia" w:ascii="宋体" w:hAnsi="宋体" w:eastAsia="宋体" w:cs="宋体"/>
          <w:color w:val="000000"/>
          <w:spacing w:val="40"/>
          <w:sz w:val="24"/>
        </w:rPr>
      </w:pPr>
    </w:p>
    <w:p w14:paraId="17591042">
      <w:pPr>
        <w:pStyle w:val="18"/>
        <w:rPr>
          <w:rFonts w:hint="eastAsia" w:ascii="宋体" w:hAnsi="宋体" w:eastAsia="宋体" w:cs="宋体"/>
          <w:color w:val="000000"/>
          <w:spacing w:val="40"/>
          <w:sz w:val="24"/>
        </w:rPr>
      </w:pPr>
    </w:p>
    <w:p w14:paraId="0D2AC4B4">
      <w:pPr>
        <w:pStyle w:val="18"/>
        <w:rPr>
          <w:rFonts w:hint="eastAsia" w:ascii="宋体" w:hAnsi="宋体" w:eastAsia="宋体" w:cs="宋体"/>
        </w:rPr>
      </w:pPr>
    </w:p>
    <w:p w14:paraId="1DB0529D">
      <w:pPr>
        <w:rPr>
          <w:rFonts w:hint="eastAsia" w:ascii="宋体" w:hAnsi="宋体" w:eastAsia="宋体" w:cs="宋体"/>
        </w:rPr>
      </w:pPr>
    </w:p>
    <w:p w14:paraId="2D1BD132">
      <w:pPr>
        <w:pStyle w:val="24"/>
        <w:rPr>
          <w:rFonts w:hint="eastAsia"/>
        </w:rPr>
      </w:pPr>
    </w:p>
    <w:p w14:paraId="5BD322F5">
      <w:pPr>
        <w:pStyle w:val="18"/>
        <w:rPr>
          <w:rFonts w:hint="eastAsia"/>
          <w:highlight w:val="none"/>
        </w:rPr>
      </w:pPr>
    </w:p>
    <w:p w14:paraId="34C25F0B">
      <w:pPr>
        <w:pStyle w:val="18"/>
        <w:rPr>
          <w:rFonts w:hint="eastAsia" w:ascii="宋体" w:hAnsi="宋体" w:eastAsia="宋体" w:cs="宋体"/>
          <w:highlight w:val="none"/>
        </w:rPr>
      </w:pPr>
    </w:p>
    <w:p w14:paraId="79B12195">
      <w:pPr>
        <w:spacing w:before="156" w:beforeLines="50" w:line="480" w:lineRule="exact"/>
        <w:ind w:left="1280" w:hanging="1280" w:hangingChars="400"/>
        <w:rPr>
          <w:rFonts w:hint="eastAsia" w:ascii="宋体" w:hAnsi="宋体" w:cs="宋体"/>
          <w:color w:val="000000"/>
          <w:sz w:val="32"/>
          <w:szCs w:val="32"/>
          <w:highlight w:val="none"/>
          <w:lang w:val="en-US" w:eastAsia="zh-CN"/>
        </w:rPr>
      </w:pPr>
      <w:r>
        <w:rPr>
          <w:rFonts w:hint="eastAsia" w:ascii="宋体" w:hAnsi="宋体" w:eastAsia="宋体" w:cs="宋体"/>
          <w:color w:val="000000"/>
          <w:sz w:val="32"/>
          <w:szCs w:val="32"/>
          <w:highlight w:val="none"/>
          <w:lang w:val="en-US" w:eastAsia="zh-CN"/>
        </w:rPr>
        <w:t>采购人：浙江国兴投资集团有限公司</w:t>
      </w:r>
    </w:p>
    <w:p w14:paraId="760AB03D">
      <w:pPr>
        <w:spacing w:before="156" w:beforeLines="50" w:line="480" w:lineRule="exact"/>
        <w:ind w:left="2240" w:hanging="2240" w:hangingChars="700"/>
        <w:rPr>
          <w:rFonts w:hint="eastAsia" w:ascii="宋体" w:hAnsi="宋体" w:eastAsia="宋体" w:cs="宋体"/>
          <w:color w:val="000000"/>
          <w:sz w:val="32"/>
          <w:szCs w:val="32"/>
          <w:highlight w:val="none"/>
          <w:lang w:val="en-US" w:eastAsia="zh-CN"/>
        </w:rPr>
      </w:pPr>
      <w:r>
        <w:rPr>
          <w:rFonts w:hint="eastAsia" w:ascii="宋体" w:hAnsi="宋体" w:cs="宋体"/>
          <w:color w:val="000000"/>
          <w:sz w:val="32"/>
          <w:szCs w:val="32"/>
          <w:highlight w:val="none"/>
          <w:lang w:val="en-US" w:eastAsia="zh-CN"/>
        </w:rPr>
        <w:t>工程总承包：</w:t>
      </w:r>
      <w:r>
        <w:rPr>
          <w:rFonts w:hint="eastAsia" w:ascii="宋体" w:hAnsi="宋体" w:eastAsia="宋体" w:cs="宋体"/>
          <w:color w:val="000000"/>
          <w:sz w:val="32"/>
          <w:szCs w:val="32"/>
          <w:highlight w:val="none"/>
          <w:lang w:val="en-US" w:eastAsia="zh-CN"/>
        </w:rPr>
        <w:t>中国联合工程有限公司</w:t>
      </w:r>
      <w:r>
        <w:rPr>
          <w:rFonts w:hint="eastAsia" w:ascii="宋体" w:hAnsi="宋体" w:cs="宋体"/>
          <w:color w:val="000000"/>
          <w:sz w:val="32"/>
          <w:szCs w:val="32"/>
          <w:highlight w:val="none"/>
          <w:lang w:val="en-US" w:eastAsia="zh-CN"/>
        </w:rPr>
        <w:t>、</w:t>
      </w:r>
      <w:r>
        <w:rPr>
          <w:rFonts w:hint="eastAsia" w:ascii="宋体" w:hAnsi="宋体" w:eastAsia="宋体" w:cs="宋体"/>
          <w:color w:val="000000"/>
          <w:sz w:val="32"/>
          <w:szCs w:val="32"/>
          <w:highlight w:val="none"/>
          <w:lang w:val="en-US" w:eastAsia="zh-CN"/>
        </w:rPr>
        <w:t>大象建筑设计有限公司、中建三局集团有限公司</w:t>
      </w:r>
    </w:p>
    <w:p w14:paraId="1D0C90BC">
      <w:pPr>
        <w:spacing w:before="156" w:beforeLines="50" w:line="480" w:lineRule="exact"/>
        <w:rPr>
          <w:rFonts w:hint="eastAsia" w:ascii="宋体" w:hAnsi="宋体" w:eastAsia="宋体" w:cs="宋体"/>
          <w:color w:val="000000"/>
          <w:sz w:val="32"/>
          <w:szCs w:val="32"/>
          <w:highlight w:val="none"/>
          <w:lang w:val="en-US" w:eastAsia="zh-CN"/>
        </w:rPr>
      </w:pPr>
      <w:r>
        <w:rPr>
          <w:rFonts w:hint="eastAsia" w:ascii="宋体" w:hAnsi="宋体" w:eastAsia="宋体" w:cs="宋体"/>
          <w:color w:val="000000"/>
          <w:sz w:val="32"/>
          <w:szCs w:val="32"/>
          <w:highlight w:val="none"/>
          <w:lang w:val="en-US" w:eastAsia="zh-CN"/>
        </w:rPr>
        <w:t>采购机构：杭州正信工程咨询管理有限公司</w:t>
      </w:r>
    </w:p>
    <w:p w14:paraId="17A3846B">
      <w:pPr>
        <w:spacing w:before="156" w:beforeLines="50" w:line="480" w:lineRule="exact"/>
        <w:rPr>
          <w:rFonts w:hint="default" w:ascii="宋体" w:hAnsi="宋体" w:eastAsia="宋体" w:cs="宋体"/>
          <w:color w:val="000000"/>
          <w:sz w:val="32"/>
          <w:szCs w:val="32"/>
          <w:highlight w:val="none"/>
          <w:lang w:val="en-US" w:eastAsia="zh-CN"/>
        </w:rPr>
        <w:sectPr>
          <w:pgSz w:w="11906" w:h="16838"/>
          <w:pgMar w:top="1440" w:right="1083" w:bottom="1440" w:left="1083"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color w:val="000000"/>
          <w:sz w:val="32"/>
          <w:szCs w:val="32"/>
          <w:highlight w:val="none"/>
          <w:lang w:val="en-US" w:eastAsia="zh-CN"/>
        </w:rPr>
        <w:t>日    期：</w:t>
      </w:r>
      <w:r>
        <w:rPr>
          <w:rFonts w:hint="eastAsia" w:ascii="宋体" w:hAnsi="宋体" w:cs="宋体"/>
          <w:color w:val="000000"/>
          <w:sz w:val="32"/>
          <w:szCs w:val="32"/>
          <w:highlight w:val="none"/>
          <w:lang w:val="en-US" w:eastAsia="zh-CN"/>
        </w:rPr>
        <w:t>2025</w:t>
      </w:r>
      <w:r>
        <w:rPr>
          <w:rFonts w:hint="eastAsia" w:ascii="宋体" w:hAnsi="宋体" w:eastAsia="宋体" w:cs="宋体"/>
          <w:color w:val="000000"/>
          <w:sz w:val="32"/>
          <w:szCs w:val="32"/>
          <w:highlight w:val="none"/>
          <w:lang w:val="en-US" w:eastAsia="zh-CN"/>
        </w:rPr>
        <w:t>年</w:t>
      </w:r>
      <w:r>
        <w:rPr>
          <w:rFonts w:hint="eastAsia" w:ascii="宋体" w:hAnsi="宋体" w:cs="宋体"/>
          <w:color w:val="000000"/>
          <w:sz w:val="32"/>
          <w:szCs w:val="32"/>
          <w:highlight w:val="none"/>
          <w:lang w:val="en-US" w:eastAsia="zh-CN"/>
        </w:rPr>
        <w:t>1</w:t>
      </w:r>
      <w:r>
        <w:rPr>
          <w:rFonts w:hint="eastAsia" w:ascii="宋体" w:hAnsi="宋体" w:eastAsia="宋体" w:cs="宋体"/>
          <w:color w:val="000000"/>
          <w:sz w:val="32"/>
          <w:szCs w:val="32"/>
          <w:highlight w:val="none"/>
          <w:lang w:val="en-US" w:eastAsia="zh-CN"/>
        </w:rPr>
        <w:t>月</w:t>
      </w:r>
    </w:p>
    <w:p w14:paraId="094BEBDB">
      <w:pPr>
        <w:pStyle w:val="13"/>
        <w:spacing w:line="360" w:lineRule="auto"/>
        <w:jc w:val="center"/>
        <w:rPr>
          <w:rFonts w:hint="eastAsia" w:ascii="宋体" w:hAnsi="宋体" w:eastAsia="宋体" w:cs="宋体"/>
          <w:b/>
          <w:color w:val="000000"/>
          <w:sz w:val="44"/>
          <w:szCs w:val="44"/>
        </w:rPr>
      </w:pPr>
      <w:r>
        <w:rPr>
          <w:rFonts w:hint="eastAsia" w:ascii="宋体" w:hAnsi="宋体" w:eastAsia="宋体" w:cs="宋体"/>
          <w:b/>
          <w:color w:val="000000"/>
          <w:sz w:val="44"/>
          <w:szCs w:val="44"/>
        </w:rPr>
        <w:t>目    录</w:t>
      </w:r>
    </w:p>
    <w:p w14:paraId="4E6F9E12">
      <w:pPr>
        <w:pStyle w:val="13"/>
        <w:spacing w:line="360" w:lineRule="auto"/>
        <w:jc w:val="center"/>
        <w:rPr>
          <w:rFonts w:hint="eastAsia" w:ascii="宋体" w:hAnsi="宋体" w:eastAsia="宋体" w:cs="宋体"/>
          <w:color w:val="000000"/>
          <w:sz w:val="32"/>
          <w:szCs w:val="32"/>
        </w:rPr>
      </w:pPr>
    </w:p>
    <w:p w14:paraId="692933CB">
      <w:pPr>
        <w:spacing w:before="156" w:beforeLines="50" w:line="480" w:lineRule="exact"/>
        <w:ind w:left="165" w:firstLine="320" w:firstLineChars="100"/>
        <w:rPr>
          <w:rFonts w:hint="eastAsia" w:ascii="宋体" w:hAnsi="宋体" w:eastAsia="宋体" w:cs="宋体"/>
          <w:color w:val="000000"/>
          <w:sz w:val="32"/>
          <w:szCs w:val="32"/>
          <w:lang w:eastAsia="zh-CN"/>
        </w:rPr>
      </w:pPr>
      <w:r>
        <w:rPr>
          <w:rFonts w:hint="eastAsia" w:ascii="宋体" w:hAnsi="宋体" w:eastAsia="宋体" w:cs="宋体"/>
          <w:color w:val="000000"/>
          <w:sz w:val="32"/>
          <w:szCs w:val="32"/>
        </w:rPr>
        <w:t>第一章    采购公告</w:t>
      </w:r>
    </w:p>
    <w:p w14:paraId="5DC9EC6E">
      <w:pPr>
        <w:spacing w:before="156" w:beforeLines="50" w:line="480" w:lineRule="exact"/>
        <w:ind w:left="165" w:firstLine="320" w:firstLineChars="100"/>
        <w:rPr>
          <w:rFonts w:hint="eastAsia" w:ascii="宋体" w:hAnsi="宋体" w:eastAsia="宋体" w:cs="宋体"/>
          <w:color w:val="000000"/>
          <w:sz w:val="32"/>
          <w:szCs w:val="32"/>
          <w:lang w:eastAsia="zh-CN"/>
        </w:rPr>
      </w:pPr>
      <w:r>
        <w:rPr>
          <w:rFonts w:hint="eastAsia" w:ascii="宋体" w:hAnsi="宋体" w:eastAsia="宋体" w:cs="宋体"/>
          <w:color w:val="000000"/>
          <w:sz w:val="32"/>
          <w:szCs w:val="32"/>
        </w:rPr>
        <w:t>第二章    投标须知</w:t>
      </w:r>
    </w:p>
    <w:p w14:paraId="1151905F">
      <w:pPr>
        <w:spacing w:before="156" w:beforeLines="50" w:line="480" w:lineRule="exact"/>
        <w:ind w:left="165" w:firstLine="320" w:firstLineChars="100"/>
        <w:rPr>
          <w:rFonts w:hint="eastAsia" w:ascii="宋体" w:hAnsi="宋体" w:eastAsia="宋体" w:cs="宋体"/>
          <w:color w:val="000000"/>
          <w:sz w:val="32"/>
          <w:szCs w:val="32"/>
          <w:lang w:eastAsia="zh-CN"/>
        </w:rPr>
      </w:pPr>
      <w:r>
        <w:rPr>
          <w:rFonts w:hint="eastAsia" w:ascii="宋体" w:hAnsi="宋体" w:eastAsia="宋体" w:cs="宋体"/>
          <w:color w:val="000000"/>
          <w:sz w:val="32"/>
          <w:szCs w:val="32"/>
        </w:rPr>
        <w:t>第三章    评标办法及评标标准</w:t>
      </w:r>
      <w:r>
        <w:rPr>
          <w:rFonts w:hint="eastAsia" w:ascii="宋体" w:hAnsi="宋体" w:eastAsia="宋体" w:cs="宋体"/>
          <w:color w:val="000000"/>
          <w:sz w:val="32"/>
          <w:szCs w:val="32"/>
          <w:lang w:val="en-US" w:eastAsia="zh-CN"/>
        </w:rPr>
        <w:t xml:space="preserve"> </w:t>
      </w:r>
    </w:p>
    <w:p w14:paraId="707D76D4">
      <w:pPr>
        <w:spacing w:before="156" w:beforeLines="50" w:line="480" w:lineRule="exact"/>
        <w:ind w:left="165" w:firstLine="320" w:firstLineChars="100"/>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rPr>
        <w:t>第四章    采购需求</w:t>
      </w:r>
      <w:r>
        <w:rPr>
          <w:rFonts w:hint="eastAsia" w:ascii="宋体" w:hAnsi="宋体" w:eastAsia="宋体" w:cs="宋体"/>
          <w:color w:val="000000"/>
          <w:sz w:val="32"/>
          <w:szCs w:val="32"/>
          <w:lang w:val="en-US" w:eastAsia="zh-CN"/>
        </w:rPr>
        <w:t xml:space="preserve"> </w:t>
      </w:r>
    </w:p>
    <w:p w14:paraId="20F3C90D">
      <w:pPr>
        <w:spacing w:before="156" w:beforeLines="50" w:line="480" w:lineRule="exact"/>
        <w:ind w:left="165" w:firstLine="320" w:firstLineChars="100"/>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rPr>
        <w:t xml:space="preserve">第五章    </w:t>
      </w:r>
      <w:r>
        <w:rPr>
          <w:rFonts w:hint="eastAsia" w:ascii="宋体" w:hAnsi="宋体" w:eastAsia="宋体" w:cs="宋体"/>
          <w:color w:val="000000"/>
          <w:sz w:val="32"/>
          <w:szCs w:val="32"/>
          <w:lang w:val="en-US" w:eastAsia="zh-CN"/>
        </w:rPr>
        <w:t>合同条款</w:t>
      </w:r>
    </w:p>
    <w:p w14:paraId="1BB3D17B">
      <w:pPr>
        <w:spacing w:before="156" w:beforeLines="50" w:line="480" w:lineRule="exact"/>
        <w:ind w:left="165" w:firstLine="320" w:firstLineChars="100"/>
        <w:rPr>
          <w:rFonts w:hint="eastAsia" w:ascii="宋体" w:hAnsi="宋体" w:eastAsia="宋体" w:cs="宋体"/>
          <w:color w:val="000000"/>
          <w:sz w:val="32"/>
          <w:szCs w:val="32"/>
          <w:lang w:eastAsia="zh-CN"/>
        </w:rPr>
      </w:pPr>
      <w:r>
        <w:rPr>
          <w:rFonts w:hint="eastAsia" w:ascii="宋体" w:hAnsi="宋体" w:eastAsia="宋体" w:cs="宋体"/>
          <w:color w:val="000000"/>
          <w:sz w:val="32"/>
          <w:szCs w:val="32"/>
        </w:rPr>
        <w:t>第六章    投标文件格式</w:t>
      </w:r>
      <w:r>
        <w:rPr>
          <w:rFonts w:hint="eastAsia" w:ascii="宋体" w:hAnsi="宋体" w:eastAsia="宋体" w:cs="宋体"/>
          <w:color w:val="000000"/>
          <w:sz w:val="32"/>
          <w:szCs w:val="32"/>
          <w:lang w:val="en-US" w:eastAsia="zh-CN"/>
        </w:rPr>
        <w:t xml:space="preserve"> </w:t>
      </w:r>
    </w:p>
    <w:p w14:paraId="2DCAC35A">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b/>
          <w:bCs/>
          <w:kern w:val="44"/>
          <w:sz w:val="36"/>
          <w:szCs w:val="44"/>
          <w:highlight w:val="none"/>
          <w:lang w:val="en-US" w:eastAsia="zh-CN" w:bidi="ar-SA"/>
        </w:rPr>
      </w:pPr>
      <w:r>
        <w:rPr>
          <w:rFonts w:hint="eastAsia" w:ascii="宋体" w:hAnsi="宋体" w:eastAsia="宋体" w:cs="宋体"/>
          <w:color w:val="000000"/>
        </w:rPr>
        <w:br w:type="page"/>
      </w:r>
      <w:r>
        <w:rPr>
          <w:rFonts w:hint="eastAsia" w:ascii="宋体" w:hAnsi="宋体" w:eastAsia="宋体" w:cs="宋体"/>
          <w:b/>
          <w:bCs/>
          <w:kern w:val="44"/>
          <w:sz w:val="36"/>
          <w:szCs w:val="44"/>
          <w:highlight w:val="none"/>
          <w:lang w:val="en-US" w:eastAsia="zh-CN" w:bidi="ar-SA"/>
        </w:rPr>
        <w:t>第一章  采购公告</w:t>
      </w:r>
    </w:p>
    <w:p w14:paraId="2E5D7E5C">
      <w:pPr>
        <w:pStyle w:val="18"/>
        <w:keepNext w:val="0"/>
        <w:keepLines w:val="0"/>
        <w:pageBreakBefore w:val="0"/>
        <w:kinsoku/>
        <w:wordWrap/>
        <w:overflowPunct/>
        <w:topLinePunct w:val="0"/>
        <w:autoSpaceDE/>
        <w:autoSpaceDN/>
        <w:bidi w:val="0"/>
        <w:adjustRightInd/>
        <w:spacing w:line="240" w:lineRule="auto"/>
        <w:textAlignment w:val="auto"/>
        <w:rPr>
          <w:rFonts w:hint="eastAsia"/>
        </w:rPr>
      </w:pPr>
    </w:p>
    <w:p w14:paraId="075B2817">
      <w:pPr>
        <w:pStyle w:val="18"/>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92" w:rightChars="-44" w:firstLine="480" w:firstLineChars="200"/>
        <w:textAlignment w:val="auto"/>
        <w:rPr>
          <w:rFonts w:hint="eastAsia" w:ascii="宋体" w:hAnsi="宋体" w:eastAsia="宋体" w:cs="宋体"/>
          <w:sz w:val="24"/>
          <w:highlight w:val="none"/>
        </w:rPr>
      </w:pPr>
      <w:r>
        <w:rPr>
          <w:rFonts w:hint="eastAsia" w:ascii="宋体" w:hAnsi="宋体" w:eastAsia="宋体" w:cs="宋体"/>
          <w:color w:val="auto"/>
          <w:sz w:val="24"/>
          <w:highlight w:val="none"/>
          <w:u w:val="single"/>
          <w:lang w:val="en-US" w:eastAsia="zh-CN"/>
        </w:rPr>
        <w:t xml:space="preserve">浙江国兴投资集团有限公司、中国联合工程有限公司、大象建筑设计有限公司、中建三局集团有限公司 </w:t>
      </w:r>
      <w:r>
        <w:rPr>
          <w:rFonts w:hint="eastAsia" w:ascii="宋体" w:hAnsi="宋体" w:cs="宋体"/>
          <w:color w:val="auto"/>
          <w:sz w:val="24"/>
          <w:highlight w:val="none"/>
        </w:rPr>
        <w:t>现就“</w:t>
      </w:r>
      <w:r>
        <w:rPr>
          <w:rFonts w:hint="eastAsia" w:ascii="宋体" w:hAnsi="宋体" w:cs="宋体"/>
          <w:color w:val="auto"/>
          <w:sz w:val="24"/>
          <w:highlight w:val="none"/>
          <w:lang w:val="en-US" w:eastAsia="zh-CN"/>
        </w:rPr>
        <w:t>天目未来谷生态研学城项目温泉系统-泡池系统采购安装项目</w:t>
      </w:r>
      <w:r>
        <w:rPr>
          <w:rFonts w:hint="eastAsia" w:ascii="宋体" w:hAnsi="宋体" w:cs="宋体"/>
          <w:color w:val="auto"/>
          <w:sz w:val="24"/>
          <w:highlight w:val="none"/>
        </w:rPr>
        <w:t xml:space="preserve">”进行公开招标采购，欢迎符合要求的投标人前来投标。本项目的潜在投标人应在“乐采云”平台 </w:t>
      </w: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HYPERLINK "https://www.lecaiyun.com/"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https://www.lecaiyun.com/</w:t>
      </w:r>
      <w:r>
        <w:rPr>
          <w:rFonts w:hint="eastAsia" w:ascii="宋体" w:hAnsi="宋体" w:cs="宋体"/>
          <w:color w:val="auto"/>
          <w:sz w:val="24"/>
          <w:highlight w:val="none"/>
        </w:rPr>
        <w:fldChar w:fldCharType="end"/>
      </w:r>
      <w:r>
        <w:rPr>
          <w:rFonts w:hint="eastAsia" w:ascii="宋体" w:hAnsi="宋体" w:cs="宋体"/>
          <w:color w:val="auto"/>
          <w:sz w:val="24"/>
          <w:highlight w:val="none"/>
        </w:rPr>
        <w:t xml:space="preserve"> 获取（下载）采购文件，并于</w:t>
      </w:r>
      <w:r>
        <w:rPr>
          <w:rFonts w:hint="eastAsia" w:ascii="宋体" w:hAnsi="宋体" w:cs="宋体"/>
          <w:color w:val="auto"/>
          <w:sz w:val="24"/>
          <w:highlight w:val="none"/>
          <w:lang w:eastAsia="zh-CN"/>
        </w:rPr>
        <w:t>2025年2月18日14点00分</w:t>
      </w:r>
      <w:r>
        <w:rPr>
          <w:rFonts w:hint="eastAsia" w:ascii="宋体" w:hAnsi="宋体" w:cs="宋体"/>
          <w:color w:val="auto"/>
          <w:sz w:val="24"/>
          <w:highlight w:val="none"/>
        </w:rPr>
        <w:t>（北京时间）前递交（上传）投标文件。</w:t>
      </w:r>
    </w:p>
    <w:p w14:paraId="02760953">
      <w:pPr>
        <w:keepNext w:val="0"/>
        <w:keepLines w:val="0"/>
        <w:pageBreakBefore w:val="0"/>
        <w:numPr>
          <w:ilvl w:val="0"/>
          <w:numId w:val="3"/>
        </w:numPr>
        <w:kinsoku/>
        <w:wordWrap/>
        <w:overflowPunct/>
        <w:topLinePunct w:val="0"/>
        <w:autoSpaceDE/>
        <w:autoSpaceDN/>
        <w:bidi w:val="0"/>
        <w:adjustRightInd/>
        <w:snapToGrid w:val="0"/>
        <w:spacing w:line="440" w:lineRule="exact"/>
        <w:ind w:firstLine="482" w:firstLineChars="200"/>
        <w:textAlignment w:val="auto"/>
        <w:rPr>
          <w:rFonts w:hint="eastAsia" w:ascii="宋体" w:hAnsi="宋体" w:eastAsia="宋体" w:cs="宋体"/>
          <w:b/>
          <w:bCs/>
          <w:sz w:val="24"/>
          <w:highlight w:val="none"/>
        </w:rPr>
      </w:pPr>
      <w:r>
        <w:rPr>
          <w:rFonts w:hint="eastAsia" w:ascii="宋体" w:hAnsi="宋体" w:eastAsia="宋体" w:cs="宋体"/>
          <w:b/>
          <w:bCs/>
          <w:sz w:val="24"/>
          <w:highlight w:val="none"/>
        </w:rPr>
        <w:t>项目基本情况</w:t>
      </w:r>
    </w:p>
    <w:p w14:paraId="71A75C49">
      <w:pPr>
        <w:pStyle w:val="22"/>
        <w:keepNext w:val="0"/>
        <w:keepLines w:val="0"/>
        <w:pageBreakBefore w:val="0"/>
        <w:numPr>
          <w:ilvl w:val="0"/>
          <w:numId w:val="0"/>
        </w:numPr>
        <w:kinsoku/>
        <w:wordWrap/>
        <w:overflowPunct/>
        <w:topLinePunct w:val="0"/>
        <w:autoSpaceDE/>
        <w:autoSpaceDN/>
        <w:bidi w:val="0"/>
        <w:adjustRightInd/>
        <w:spacing w:before="0" w:beforeAutospacing="0" w:after="0" w:afterAutospacing="0" w:line="440" w:lineRule="exact"/>
        <w:ind w:firstLine="482" w:firstLineChars="200"/>
        <w:textAlignment w:val="auto"/>
        <w:rPr>
          <w:rFonts w:hint="eastAsia" w:cs="宋体"/>
          <w:bCs/>
          <w:color w:val="auto"/>
          <w:sz w:val="24"/>
          <w:highlight w:val="none"/>
          <w:lang w:eastAsia="zh-CN"/>
        </w:rPr>
      </w:pPr>
      <w:r>
        <w:rPr>
          <w:rFonts w:hint="eastAsia" w:ascii="宋体" w:hAnsi="宋体" w:eastAsia="宋体" w:cs="宋体"/>
          <w:b/>
          <w:bCs/>
          <w:color w:val="000000"/>
          <w:highlight w:val="none"/>
          <w:lang w:val="en-US" w:eastAsia="zh-CN"/>
        </w:rPr>
        <w:t>1.项目名称：</w:t>
      </w:r>
      <w:r>
        <w:rPr>
          <w:rFonts w:hint="eastAsia" w:cs="宋体"/>
          <w:color w:val="auto"/>
          <w:kern w:val="2"/>
          <w:sz w:val="24"/>
          <w:szCs w:val="24"/>
          <w:highlight w:val="none"/>
          <w:lang w:val="en-US" w:eastAsia="zh-CN" w:bidi="ar-SA"/>
        </w:rPr>
        <w:t>天目未来谷生态研学城项目温泉系统-泡池系统采购安装项目</w:t>
      </w:r>
    </w:p>
    <w:p w14:paraId="746BA872">
      <w:pPr>
        <w:pStyle w:val="22"/>
        <w:keepNext w:val="0"/>
        <w:keepLines w:val="0"/>
        <w:pageBreakBefore w:val="0"/>
        <w:numPr>
          <w:ilvl w:val="0"/>
          <w:numId w:val="0"/>
        </w:numPr>
        <w:kinsoku/>
        <w:wordWrap/>
        <w:overflowPunct/>
        <w:topLinePunct w:val="0"/>
        <w:autoSpaceDE/>
        <w:autoSpaceDN/>
        <w:bidi w:val="0"/>
        <w:adjustRightInd/>
        <w:spacing w:before="0" w:beforeAutospacing="0" w:after="0" w:afterAutospacing="0" w:line="440" w:lineRule="exact"/>
        <w:ind w:firstLine="482" w:firstLineChars="200"/>
        <w:textAlignment w:val="auto"/>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cs="宋体"/>
          <w:b/>
          <w:bCs/>
          <w:color w:val="auto"/>
          <w:highlight w:val="none"/>
          <w:lang w:val="en-US" w:eastAsia="zh-CN"/>
        </w:rPr>
        <w:t>.</w:t>
      </w:r>
      <w:r>
        <w:rPr>
          <w:rFonts w:hint="eastAsia" w:ascii="宋体" w:hAnsi="宋体" w:eastAsia="宋体" w:cs="宋体"/>
          <w:b/>
          <w:bCs/>
          <w:color w:val="auto"/>
          <w:highlight w:val="none"/>
        </w:rPr>
        <w:t>项目编号：</w:t>
      </w:r>
      <w:r>
        <w:rPr>
          <w:rFonts w:hint="eastAsia" w:ascii="宋体" w:hAnsi="宋体" w:eastAsia="宋体" w:cs="宋体"/>
          <w:color w:val="auto"/>
          <w:kern w:val="2"/>
          <w:sz w:val="24"/>
          <w:szCs w:val="24"/>
          <w:highlight w:val="none"/>
          <w:lang w:val="en-US" w:eastAsia="zh-CN" w:bidi="ar-SA"/>
        </w:rPr>
        <w:t>ZXDL-2024-</w:t>
      </w:r>
      <w:r>
        <w:rPr>
          <w:rFonts w:hint="eastAsia" w:cs="宋体"/>
          <w:color w:val="auto"/>
          <w:kern w:val="2"/>
          <w:sz w:val="24"/>
          <w:szCs w:val="24"/>
          <w:highlight w:val="none"/>
          <w:lang w:val="en-US" w:eastAsia="zh-CN" w:bidi="ar-SA"/>
        </w:rPr>
        <w:t>67</w:t>
      </w:r>
    </w:p>
    <w:p w14:paraId="13879290">
      <w:pPr>
        <w:pStyle w:val="22"/>
        <w:keepNext w:val="0"/>
        <w:keepLines w:val="0"/>
        <w:pageBreakBefore w:val="0"/>
        <w:kinsoku/>
        <w:wordWrap/>
        <w:overflowPunct/>
        <w:topLinePunct w:val="0"/>
        <w:autoSpaceDE/>
        <w:autoSpaceDN/>
        <w:bidi w:val="0"/>
        <w:adjustRightInd/>
        <w:spacing w:before="0" w:beforeAutospacing="0" w:after="0" w:afterAutospacing="0" w:line="440" w:lineRule="exact"/>
        <w:ind w:firstLine="482" w:firstLineChars="200"/>
        <w:textAlignment w:val="auto"/>
        <w:rPr>
          <w:rFonts w:hint="eastAsia" w:ascii="宋体" w:hAnsi="宋体" w:cs="宋体"/>
          <w:b/>
          <w:bCs/>
          <w:sz w:val="24"/>
          <w:highlight w:val="none"/>
        </w:rPr>
      </w:pPr>
      <w:r>
        <w:rPr>
          <w:rFonts w:hint="eastAsia" w:ascii="宋体" w:hAnsi="宋体" w:eastAsia="宋体" w:cs="宋体"/>
          <w:b/>
          <w:bCs/>
          <w:color w:val="000000"/>
          <w:highlight w:val="none"/>
          <w:lang w:val="en-US" w:eastAsia="zh-CN"/>
        </w:rPr>
        <w:t>3</w:t>
      </w:r>
      <w:r>
        <w:rPr>
          <w:rFonts w:hint="eastAsia" w:cs="宋体"/>
          <w:b/>
          <w:bCs/>
          <w:color w:val="000000"/>
          <w:highlight w:val="none"/>
          <w:lang w:val="en-US" w:eastAsia="zh-CN"/>
        </w:rPr>
        <w:t>.</w:t>
      </w:r>
      <w:r>
        <w:rPr>
          <w:rFonts w:hint="eastAsia" w:ascii="宋体" w:hAnsi="宋体" w:eastAsia="宋体" w:cs="宋体"/>
          <w:b/>
          <w:bCs/>
          <w:color w:val="000000"/>
          <w:highlight w:val="none"/>
        </w:rPr>
        <w:t>采购内容及</w:t>
      </w:r>
      <w:r>
        <w:rPr>
          <w:rFonts w:hint="eastAsia" w:ascii="宋体" w:hAnsi="宋体" w:cs="宋体"/>
          <w:b/>
          <w:bCs/>
          <w:sz w:val="24"/>
          <w:highlight w:val="none"/>
        </w:rPr>
        <w:t>数量</w:t>
      </w:r>
    </w:p>
    <w:tbl>
      <w:tblPr>
        <w:tblStyle w:val="25"/>
        <w:tblW w:w="484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055"/>
        <w:gridCol w:w="1086"/>
        <w:gridCol w:w="2137"/>
        <w:gridCol w:w="2379"/>
      </w:tblGrid>
      <w:tr w14:paraId="252514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9" w:type="pct"/>
            <w:tcBorders>
              <w:top w:val="single" w:color="auto" w:sz="4" w:space="0"/>
              <w:left w:val="single" w:color="auto" w:sz="4" w:space="0"/>
              <w:bottom w:val="single" w:color="auto" w:sz="4" w:space="0"/>
              <w:right w:val="single" w:color="auto" w:sz="4" w:space="0"/>
            </w:tcBorders>
            <w:noWrap w:val="0"/>
            <w:vAlign w:val="center"/>
          </w:tcPr>
          <w:p w14:paraId="44DED33E">
            <w:pPr>
              <w:keepNext w:val="0"/>
              <w:keepLines w:val="0"/>
              <w:pageBreakBefore w:val="0"/>
              <w:kinsoku/>
              <w:wordWrap/>
              <w:overflowPunct/>
              <w:topLinePunct w:val="0"/>
              <w:autoSpaceDE/>
              <w:autoSpaceDN/>
              <w:bidi w:val="0"/>
              <w:adjustRightInd/>
              <w:snapToGrid w:val="0"/>
              <w:spacing w:line="420" w:lineRule="exact"/>
              <w:jc w:val="center"/>
              <w:textAlignment w:val="auto"/>
              <w:rPr>
                <w:rFonts w:hint="eastAsia" w:ascii="宋体" w:hAnsi="宋体" w:cs="宋体"/>
                <w:b/>
                <w:color w:val="000000"/>
                <w:sz w:val="24"/>
                <w:highlight w:val="none"/>
              </w:rPr>
            </w:pPr>
            <w:r>
              <w:rPr>
                <w:rFonts w:hint="eastAsia" w:ascii="宋体" w:hAnsi="宋体" w:cs="宋体"/>
                <w:b/>
                <w:color w:val="000000"/>
                <w:sz w:val="24"/>
                <w:highlight w:val="none"/>
              </w:rPr>
              <w:t>项目名称</w:t>
            </w:r>
          </w:p>
        </w:tc>
        <w:tc>
          <w:tcPr>
            <w:tcW w:w="562" w:type="pct"/>
            <w:tcBorders>
              <w:top w:val="single" w:color="auto" w:sz="4" w:space="0"/>
              <w:left w:val="single" w:color="auto" w:sz="4" w:space="0"/>
              <w:bottom w:val="single" w:color="auto" w:sz="4" w:space="0"/>
              <w:right w:val="single" w:color="auto" w:sz="4" w:space="0"/>
            </w:tcBorders>
            <w:noWrap w:val="0"/>
            <w:vAlign w:val="center"/>
          </w:tcPr>
          <w:p w14:paraId="52CFCFC2">
            <w:pPr>
              <w:keepNext w:val="0"/>
              <w:keepLines w:val="0"/>
              <w:pageBreakBefore w:val="0"/>
              <w:kinsoku/>
              <w:wordWrap/>
              <w:overflowPunct/>
              <w:topLinePunct w:val="0"/>
              <w:autoSpaceDE/>
              <w:autoSpaceDN/>
              <w:bidi w:val="0"/>
              <w:adjustRightInd/>
              <w:snapToGrid w:val="0"/>
              <w:spacing w:line="420" w:lineRule="exact"/>
              <w:jc w:val="center"/>
              <w:textAlignment w:val="auto"/>
              <w:rPr>
                <w:rFonts w:hint="eastAsia" w:ascii="宋体" w:hAnsi="宋体" w:cs="宋体"/>
                <w:b/>
                <w:color w:val="000000"/>
                <w:sz w:val="24"/>
                <w:highlight w:val="none"/>
              </w:rPr>
            </w:pPr>
            <w:r>
              <w:rPr>
                <w:rFonts w:hint="eastAsia" w:ascii="宋体" w:hAnsi="宋体" w:cs="宋体"/>
                <w:b/>
                <w:color w:val="000000"/>
                <w:sz w:val="24"/>
                <w:highlight w:val="none"/>
              </w:rPr>
              <w:t>数量</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2BC00AB5">
            <w:pPr>
              <w:keepNext w:val="0"/>
              <w:keepLines w:val="0"/>
              <w:pageBreakBefore w:val="0"/>
              <w:kinsoku/>
              <w:wordWrap/>
              <w:overflowPunct/>
              <w:topLinePunct w:val="0"/>
              <w:autoSpaceDE/>
              <w:autoSpaceDN/>
              <w:bidi w:val="0"/>
              <w:adjustRightInd/>
              <w:snapToGrid w:val="0"/>
              <w:spacing w:line="420" w:lineRule="exact"/>
              <w:jc w:val="center"/>
              <w:textAlignment w:val="auto"/>
              <w:rPr>
                <w:rFonts w:hint="eastAsia" w:ascii="宋体" w:hAnsi="宋体" w:cs="宋体"/>
                <w:b/>
                <w:color w:val="000000"/>
                <w:sz w:val="24"/>
                <w:highlight w:val="none"/>
              </w:rPr>
            </w:pPr>
            <w:r>
              <w:rPr>
                <w:rFonts w:hint="eastAsia" w:ascii="宋体" w:hAnsi="宋体" w:cs="宋体"/>
                <w:b/>
                <w:color w:val="000000"/>
                <w:sz w:val="24"/>
                <w:highlight w:val="none"/>
              </w:rPr>
              <w:t>上限价</w:t>
            </w:r>
          </w:p>
        </w:tc>
        <w:tc>
          <w:tcPr>
            <w:tcW w:w="1231" w:type="pct"/>
            <w:tcBorders>
              <w:top w:val="single" w:color="auto" w:sz="4" w:space="0"/>
              <w:left w:val="single" w:color="auto" w:sz="4" w:space="0"/>
              <w:bottom w:val="single" w:color="auto" w:sz="4" w:space="0"/>
              <w:right w:val="single" w:color="auto" w:sz="4" w:space="0"/>
            </w:tcBorders>
            <w:noWrap w:val="0"/>
            <w:vAlign w:val="center"/>
          </w:tcPr>
          <w:p w14:paraId="0D33D67B">
            <w:pPr>
              <w:keepNext w:val="0"/>
              <w:keepLines w:val="0"/>
              <w:pageBreakBefore w:val="0"/>
              <w:kinsoku/>
              <w:wordWrap/>
              <w:overflowPunct/>
              <w:topLinePunct w:val="0"/>
              <w:autoSpaceDE/>
              <w:autoSpaceDN/>
              <w:bidi w:val="0"/>
              <w:adjustRightInd/>
              <w:snapToGrid w:val="0"/>
              <w:spacing w:line="420" w:lineRule="exact"/>
              <w:jc w:val="center"/>
              <w:textAlignment w:val="auto"/>
              <w:rPr>
                <w:rFonts w:hint="eastAsia" w:ascii="宋体" w:hAnsi="宋体" w:cs="宋体"/>
                <w:b/>
                <w:color w:val="000000"/>
                <w:sz w:val="24"/>
                <w:highlight w:val="none"/>
              </w:rPr>
            </w:pPr>
            <w:r>
              <w:rPr>
                <w:rFonts w:hint="eastAsia" w:ascii="宋体" w:hAnsi="宋体" w:cs="宋体"/>
                <w:b/>
                <w:color w:val="000000"/>
                <w:sz w:val="24"/>
                <w:highlight w:val="none"/>
              </w:rPr>
              <w:t>备注</w:t>
            </w:r>
          </w:p>
        </w:tc>
      </w:tr>
      <w:tr w14:paraId="43BCCB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9" w:type="pct"/>
            <w:tcBorders>
              <w:top w:val="single" w:color="auto" w:sz="4" w:space="0"/>
              <w:left w:val="single" w:color="auto" w:sz="4" w:space="0"/>
              <w:bottom w:val="single" w:color="auto" w:sz="4" w:space="0"/>
              <w:right w:val="single" w:color="auto" w:sz="4" w:space="0"/>
            </w:tcBorders>
            <w:noWrap w:val="0"/>
            <w:vAlign w:val="center"/>
          </w:tcPr>
          <w:p w14:paraId="16EF9BB3">
            <w:pPr>
              <w:keepNext w:val="0"/>
              <w:keepLines w:val="0"/>
              <w:pageBreakBefore w:val="0"/>
              <w:kinsoku/>
              <w:wordWrap/>
              <w:overflowPunct/>
              <w:topLinePunct w:val="0"/>
              <w:autoSpaceDE/>
              <w:autoSpaceDN/>
              <w:bidi w:val="0"/>
              <w:adjustRightInd/>
              <w:snapToGrid w:val="0"/>
              <w:spacing w:line="420" w:lineRule="exact"/>
              <w:jc w:val="center"/>
              <w:textAlignment w:val="auto"/>
              <w:rPr>
                <w:rFonts w:hint="default"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auto"/>
                <w:kern w:val="2"/>
                <w:sz w:val="24"/>
                <w:szCs w:val="24"/>
                <w:highlight w:val="none"/>
                <w:lang w:val="en-US" w:eastAsia="zh-CN" w:bidi="ar-SA"/>
              </w:rPr>
              <w:t>天目未来谷生态研学城项目温泉系统-泡池系统采购安装项目</w:t>
            </w:r>
          </w:p>
        </w:tc>
        <w:tc>
          <w:tcPr>
            <w:tcW w:w="562" w:type="pct"/>
            <w:tcBorders>
              <w:top w:val="single" w:color="auto" w:sz="4" w:space="0"/>
              <w:left w:val="single" w:color="auto" w:sz="4" w:space="0"/>
              <w:bottom w:val="single" w:color="auto" w:sz="4" w:space="0"/>
              <w:right w:val="single" w:color="auto" w:sz="4" w:space="0"/>
            </w:tcBorders>
            <w:noWrap w:val="0"/>
            <w:vAlign w:val="center"/>
          </w:tcPr>
          <w:p w14:paraId="29DB440C">
            <w:pPr>
              <w:keepNext w:val="0"/>
              <w:keepLines w:val="0"/>
              <w:pageBreakBefore w:val="0"/>
              <w:kinsoku/>
              <w:wordWrap/>
              <w:overflowPunct/>
              <w:topLinePunct w:val="0"/>
              <w:autoSpaceDE/>
              <w:autoSpaceDN/>
              <w:bidi w:val="0"/>
              <w:adjustRightInd/>
              <w:snapToGrid w:val="0"/>
              <w:spacing w:line="420" w:lineRule="exact"/>
              <w:jc w:val="center"/>
              <w:textAlignment w:val="auto"/>
              <w:rPr>
                <w:rFonts w:hint="eastAsia" w:ascii="宋体" w:hAnsi="宋体" w:eastAsia="宋体" w:cs="宋体"/>
                <w:bCs/>
                <w:color w:val="000000" w:themeColor="text1"/>
                <w:sz w:val="24"/>
                <w:highlight w:val="none"/>
                <w:lang w:eastAsia="zh-CN"/>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w:t>
            </w:r>
            <w:r>
              <w:rPr>
                <w:rFonts w:hint="eastAsia" w:ascii="宋体" w:hAnsi="宋体" w:cs="宋体"/>
                <w:bCs/>
                <w:color w:val="000000" w:themeColor="text1"/>
                <w:sz w:val="24"/>
                <w:highlight w:val="none"/>
                <w:lang w:eastAsia="zh-CN"/>
                <w14:textFill>
                  <w14:solidFill>
                    <w14:schemeClr w14:val="tx1"/>
                  </w14:solidFill>
                </w14:textFill>
              </w:rPr>
              <w:t>项</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6CD1E865">
            <w:pPr>
              <w:keepNext w:val="0"/>
              <w:keepLines w:val="0"/>
              <w:pageBreakBefore w:val="0"/>
              <w:kinsoku/>
              <w:wordWrap/>
              <w:overflowPunct/>
              <w:topLinePunct w:val="0"/>
              <w:autoSpaceDE/>
              <w:autoSpaceDN/>
              <w:bidi w:val="0"/>
              <w:adjustRightInd/>
              <w:snapToGrid w:val="0"/>
              <w:spacing w:line="420" w:lineRule="exact"/>
              <w:jc w:val="center"/>
              <w:textAlignment w:val="auto"/>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377.3254万元</w:t>
            </w:r>
          </w:p>
        </w:tc>
        <w:tc>
          <w:tcPr>
            <w:tcW w:w="1231" w:type="pct"/>
            <w:tcBorders>
              <w:top w:val="single" w:color="auto" w:sz="4" w:space="0"/>
              <w:left w:val="single" w:color="auto" w:sz="4" w:space="0"/>
              <w:bottom w:val="single" w:color="auto" w:sz="4" w:space="0"/>
              <w:right w:val="single" w:color="auto" w:sz="4" w:space="0"/>
            </w:tcBorders>
            <w:noWrap w:val="0"/>
            <w:vAlign w:val="center"/>
          </w:tcPr>
          <w:p w14:paraId="20C61C94">
            <w:pPr>
              <w:keepNext w:val="0"/>
              <w:keepLines w:val="0"/>
              <w:pageBreakBefore w:val="0"/>
              <w:kinsoku/>
              <w:wordWrap/>
              <w:overflowPunct/>
              <w:topLinePunct w:val="0"/>
              <w:autoSpaceDE/>
              <w:autoSpaceDN/>
              <w:bidi w:val="0"/>
              <w:adjustRightInd/>
              <w:snapToGrid w:val="0"/>
              <w:spacing w:line="420" w:lineRule="exact"/>
              <w:jc w:val="center"/>
              <w:textAlignment w:val="auto"/>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详见第四章采购需求</w:t>
            </w:r>
          </w:p>
        </w:tc>
      </w:tr>
    </w:tbl>
    <w:p w14:paraId="20D91D8A">
      <w:pPr>
        <w:keepNext w:val="0"/>
        <w:keepLines w:val="0"/>
        <w:pageBreakBefore w:val="0"/>
        <w:widowControl w:val="0"/>
        <w:kinsoku/>
        <w:wordWrap/>
        <w:overflowPunct/>
        <w:topLinePunct w:val="0"/>
        <w:autoSpaceDE/>
        <w:autoSpaceDN/>
        <w:bidi w:val="0"/>
        <w:adjustRightInd/>
        <w:snapToGrid w:val="0"/>
        <w:spacing w:line="430" w:lineRule="exact"/>
        <w:ind w:firstLine="482" w:firstLineChars="200"/>
        <w:textAlignment w:val="auto"/>
        <w:rPr>
          <w:rFonts w:hint="eastAsia" w:ascii="宋体" w:hAnsi="宋体" w:cs="宋体"/>
          <w:b/>
          <w:bCs/>
          <w:color w:val="auto"/>
          <w:sz w:val="24"/>
          <w:highlight w:val="none"/>
        </w:rPr>
      </w:pPr>
      <w:r>
        <w:rPr>
          <w:rFonts w:hint="eastAsia" w:ascii="宋体" w:hAnsi="宋体" w:cs="宋体"/>
          <w:b/>
          <w:bCs/>
          <w:color w:val="auto"/>
          <w:sz w:val="24"/>
          <w:highlight w:val="none"/>
          <w:lang w:eastAsia="zh-CN"/>
        </w:rPr>
        <w:t>二、</w:t>
      </w:r>
      <w:r>
        <w:rPr>
          <w:rFonts w:hint="eastAsia" w:ascii="宋体" w:hAnsi="宋体" w:cs="宋体"/>
          <w:b/>
          <w:bCs/>
          <w:color w:val="auto"/>
          <w:sz w:val="24"/>
          <w:highlight w:val="none"/>
        </w:rPr>
        <w:t>投标人的资格要求</w:t>
      </w:r>
    </w:p>
    <w:p w14:paraId="6D91E9CC">
      <w:pPr>
        <w:keepNext w:val="0"/>
        <w:keepLines w:val="0"/>
        <w:pageBreakBefore w:val="0"/>
        <w:widowControl w:val="0"/>
        <w:numPr>
          <w:ilvl w:val="0"/>
          <w:numId w:val="0"/>
        </w:numPr>
        <w:kinsoku/>
        <w:wordWrap/>
        <w:overflowPunct/>
        <w:topLinePunct w:val="0"/>
        <w:autoSpaceDE/>
        <w:autoSpaceDN/>
        <w:bidi w:val="0"/>
        <w:adjustRightInd/>
        <w:spacing w:line="430" w:lineRule="exact"/>
        <w:ind w:firstLine="480" w:firstLineChars="200"/>
        <w:jc w:val="left"/>
        <w:textAlignment w:val="auto"/>
        <w:rPr>
          <w:rFonts w:hint="eastAsia" w:ascii="宋体" w:hAnsi="宋体" w:eastAsia="宋体" w:cs="宋体"/>
          <w:i w:val="0"/>
          <w:caps w:val="0"/>
          <w:color w:val="auto"/>
          <w:spacing w:val="0"/>
          <w:kern w:val="0"/>
          <w:sz w:val="24"/>
          <w:szCs w:val="24"/>
          <w:u w:val="none"/>
          <w:lang w:val="en-US" w:eastAsia="zh-CN" w:bidi="ar"/>
        </w:rPr>
      </w:pPr>
      <w:r>
        <w:rPr>
          <w:rFonts w:hint="eastAsia" w:ascii="宋体" w:hAnsi="宋体" w:eastAsia="宋体" w:cs="宋体"/>
          <w:i w:val="0"/>
          <w:caps w:val="0"/>
          <w:color w:val="auto"/>
          <w:spacing w:val="0"/>
          <w:kern w:val="0"/>
          <w:sz w:val="24"/>
          <w:szCs w:val="24"/>
          <w:u w:val="none"/>
          <w:lang w:val="en-US" w:eastAsia="zh-CN" w:bidi="ar"/>
        </w:rPr>
        <w:t>1.符合《中华人民共和国政府采购法》第二十二条之规定；</w:t>
      </w:r>
    </w:p>
    <w:p w14:paraId="188CD671">
      <w:pPr>
        <w:keepNext w:val="0"/>
        <w:keepLines w:val="0"/>
        <w:pageBreakBefore w:val="0"/>
        <w:widowControl w:val="0"/>
        <w:numPr>
          <w:ilvl w:val="0"/>
          <w:numId w:val="0"/>
        </w:numPr>
        <w:kinsoku/>
        <w:wordWrap/>
        <w:overflowPunct/>
        <w:topLinePunct w:val="0"/>
        <w:autoSpaceDE/>
        <w:autoSpaceDN/>
        <w:bidi w:val="0"/>
        <w:adjustRightInd/>
        <w:spacing w:line="430" w:lineRule="exact"/>
        <w:ind w:firstLine="480" w:firstLineChars="200"/>
        <w:jc w:val="left"/>
        <w:textAlignment w:val="auto"/>
        <w:rPr>
          <w:rFonts w:hint="eastAsia" w:ascii="宋体" w:hAnsi="宋体" w:eastAsia="宋体" w:cs="宋体"/>
          <w:i w:val="0"/>
          <w:caps w:val="0"/>
          <w:color w:val="auto"/>
          <w:spacing w:val="0"/>
          <w:kern w:val="0"/>
          <w:sz w:val="24"/>
          <w:szCs w:val="24"/>
          <w:u w:val="none"/>
          <w:lang w:val="en-US" w:eastAsia="zh-CN" w:bidi="ar"/>
        </w:rPr>
      </w:pPr>
      <w:r>
        <w:rPr>
          <w:rFonts w:hint="eastAsia" w:ascii="宋体" w:hAnsi="宋体" w:eastAsia="宋体" w:cs="宋体"/>
          <w:i w:val="0"/>
          <w:caps w:val="0"/>
          <w:color w:val="auto"/>
          <w:spacing w:val="0"/>
          <w:kern w:val="0"/>
          <w:sz w:val="24"/>
          <w:szCs w:val="24"/>
          <w:u w:val="none"/>
          <w:lang w:val="en-US" w:eastAsia="zh-CN" w:bidi="ar"/>
        </w:rPr>
        <w:t>2.未被“信用中国”（www.creditchina.gov.cn）、中国政府采购网（www.ccgp.gov.cn）列入失信被执行人、重大税收违法案件当事人名单、政府采购严重违法失信行为记录名单；</w:t>
      </w:r>
    </w:p>
    <w:p w14:paraId="44E506F4">
      <w:pPr>
        <w:keepNext w:val="0"/>
        <w:keepLines w:val="0"/>
        <w:pageBreakBefore w:val="0"/>
        <w:widowControl w:val="0"/>
        <w:numPr>
          <w:ilvl w:val="0"/>
          <w:numId w:val="0"/>
        </w:numPr>
        <w:kinsoku/>
        <w:wordWrap/>
        <w:overflowPunct/>
        <w:topLinePunct w:val="0"/>
        <w:autoSpaceDE/>
        <w:autoSpaceDN/>
        <w:bidi w:val="0"/>
        <w:adjustRightInd/>
        <w:spacing w:line="430" w:lineRule="exact"/>
        <w:ind w:firstLine="480" w:firstLineChars="200"/>
        <w:jc w:val="left"/>
        <w:textAlignment w:val="auto"/>
        <w:rPr>
          <w:rFonts w:hint="eastAsia" w:ascii="宋体" w:hAnsi="宋体" w:eastAsia="宋体" w:cs="宋体"/>
          <w:i w:val="0"/>
          <w:caps w:val="0"/>
          <w:color w:val="auto"/>
          <w:spacing w:val="0"/>
          <w:kern w:val="0"/>
          <w:sz w:val="24"/>
          <w:szCs w:val="24"/>
          <w:u w:val="none"/>
          <w:lang w:val="en-US" w:eastAsia="zh-CN" w:bidi="ar"/>
        </w:rPr>
      </w:pPr>
      <w:r>
        <w:rPr>
          <w:rFonts w:hint="eastAsia" w:ascii="宋体" w:hAnsi="宋体" w:eastAsia="宋体" w:cs="宋体"/>
          <w:i w:val="0"/>
          <w:caps w:val="0"/>
          <w:color w:val="auto"/>
          <w:spacing w:val="0"/>
          <w:kern w:val="0"/>
          <w:sz w:val="24"/>
          <w:szCs w:val="24"/>
          <w:u w:val="none"/>
          <w:lang w:val="en-US" w:eastAsia="zh-CN" w:bidi="ar"/>
        </w:rPr>
        <w:t>3.不允许联合体投标。</w:t>
      </w:r>
    </w:p>
    <w:p w14:paraId="79ED331C">
      <w:pPr>
        <w:keepNext w:val="0"/>
        <w:keepLines w:val="0"/>
        <w:pageBreakBefore w:val="0"/>
        <w:widowControl w:val="0"/>
        <w:numPr>
          <w:ilvl w:val="0"/>
          <w:numId w:val="0"/>
        </w:numPr>
        <w:kinsoku/>
        <w:wordWrap/>
        <w:overflowPunct/>
        <w:topLinePunct w:val="0"/>
        <w:autoSpaceDE/>
        <w:autoSpaceDN/>
        <w:bidi w:val="0"/>
        <w:adjustRightInd/>
        <w:spacing w:line="430" w:lineRule="exact"/>
        <w:ind w:firstLine="482" w:firstLineChars="200"/>
        <w:jc w:val="left"/>
        <w:textAlignment w:val="auto"/>
        <w:rPr>
          <w:rFonts w:hint="eastAsia" w:ascii="宋体" w:hAnsi="宋体" w:eastAsia="宋体" w:cs="宋体"/>
          <w:i w:val="0"/>
          <w:caps w:val="0"/>
          <w:color w:val="auto"/>
          <w:spacing w:val="0"/>
          <w:kern w:val="0"/>
          <w:sz w:val="24"/>
          <w:szCs w:val="24"/>
          <w:u w:val="none"/>
          <w:lang w:val="en-US" w:eastAsia="zh-CN" w:bidi="ar"/>
        </w:rPr>
      </w:pPr>
      <w:r>
        <w:rPr>
          <w:rFonts w:hint="eastAsia" w:ascii="宋体" w:hAnsi="宋体" w:cs="宋体"/>
          <w:b/>
          <w:bCs/>
          <w:i w:val="0"/>
          <w:caps w:val="0"/>
          <w:color w:val="auto"/>
          <w:spacing w:val="0"/>
          <w:kern w:val="0"/>
          <w:sz w:val="24"/>
          <w:szCs w:val="24"/>
          <w:u w:val="none"/>
          <w:lang w:val="en-US" w:eastAsia="zh-CN" w:bidi="ar"/>
        </w:rPr>
        <w:t>4.</w:t>
      </w:r>
      <w:r>
        <w:rPr>
          <w:rFonts w:hint="eastAsia" w:ascii="宋体" w:hAnsi="宋体" w:eastAsia="宋体" w:cs="宋体"/>
          <w:b/>
          <w:bCs/>
          <w:i w:val="0"/>
          <w:caps w:val="0"/>
          <w:color w:val="auto"/>
          <w:spacing w:val="0"/>
          <w:kern w:val="0"/>
          <w:sz w:val="24"/>
          <w:szCs w:val="24"/>
          <w:u w:val="none"/>
          <w:lang w:val="en-US" w:eastAsia="zh-CN" w:bidi="ar"/>
        </w:rPr>
        <w:t>其它特定条件：</w:t>
      </w:r>
      <w:r>
        <w:rPr>
          <w:rFonts w:hint="eastAsia" w:ascii="宋体" w:hAnsi="宋体" w:eastAsia="宋体" w:cs="宋体"/>
          <w:i w:val="0"/>
          <w:caps w:val="0"/>
          <w:color w:val="auto"/>
          <w:spacing w:val="0"/>
          <w:kern w:val="0"/>
          <w:sz w:val="24"/>
          <w:szCs w:val="24"/>
          <w:u w:val="none"/>
          <w:lang w:val="en-US" w:eastAsia="zh-CN" w:bidi="ar"/>
        </w:rPr>
        <w:t>具有独立法人资格。</w:t>
      </w:r>
    </w:p>
    <w:p w14:paraId="16B70B64">
      <w:pPr>
        <w:keepNext w:val="0"/>
        <w:keepLines w:val="0"/>
        <w:pageBreakBefore w:val="0"/>
        <w:widowControl w:val="0"/>
        <w:kinsoku/>
        <w:wordWrap/>
        <w:overflowPunct/>
        <w:topLinePunct w:val="0"/>
        <w:autoSpaceDE/>
        <w:autoSpaceDN/>
        <w:bidi w:val="0"/>
        <w:adjustRightInd/>
        <w:snapToGrid w:val="0"/>
        <w:spacing w:line="430" w:lineRule="exact"/>
        <w:ind w:firstLine="482" w:firstLineChars="200"/>
        <w:textAlignment w:val="auto"/>
        <w:rPr>
          <w:rFonts w:hint="eastAsia" w:ascii="宋体" w:hAnsi="宋体" w:cs="宋体"/>
          <w:b/>
          <w:bCs/>
          <w:color w:val="auto"/>
          <w:sz w:val="24"/>
          <w:highlight w:val="none"/>
        </w:rPr>
      </w:pPr>
      <w:r>
        <w:rPr>
          <w:rFonts w:hint="eastAsia" w:ascii="宋体" w:hAnsi="宋体" w:cs="宋体"/>
          <w:b/>
          <w:color w:val="auto"/>
          <w:sz w:val="24"/>
          <w:highlight w:val="none"/>
        </w:rPr>
        <w:t>三</w:t>
      </w:r>
      <w:r>
        <w:rPr>
          <w:rFonts w:hint="eastAsia" w:ascii="宋体" w:hAnsi="宋体" w:cs="宋体"/>
          <w:color w:val="auto"/>
          <w:sz w:val="24"/>
          <w:highlight w:val="none"/>
        </w:rPr>
        <w:t>、</w:t>
      </w:r>
      <w:r>
        <w:rPr>
          <w:rFonts w:hint="eastAsia" w:ascii="宋体" w:hAnsi="宋体" w:cs="宋体"/>
          <w:b/>
          <w:bCs/>
          <w:color w:val="auto"/>
          <w:sz w:val="24"/>
          <w:highlight w:val="none"/>
        </w:rPr>
        <w:t>获取</w:t>
      </w:r>
      <w:r>
        <w:rPr>
          <w:rFonts w:hint="eastAsia" w:ascii="宋体" w:hAnsi="宋体" w:cs="宋体"/>
          <w:b/>
          <w:bCs/>
          <w:color w:val="auto"/>
          <w:sz w:val="24"/>
          <w:highlight w:val="none"/>
          <w:lang w:eastAsia="zh-CN"/>
        </w:rPr>
        <w:t>采购文件</w:t>
      </w:r>
    </w:p>
    <w:p w14:paraId="6E7664DF">
      <w:pPr>
        <w:keepNext w:val="0"/>
        <w:keepLines w:val="0"/>
        <w:pageBreakBefore w:val="0"/>
        <w:widowControl w:val="0"/>
        <w:kinsoku/>
        <w:wordWrap/>
        <w:overflowPunct/>
        <w:topLinePunct w:val="0"/>
        <w:autoSpaceDE/>
        <w:autoSpaceDN/>
        <w:bidi w:val="0"/>
        <w:adjustRightInd/>
        <w:snapToGrid w:val="0"/>
        <w:spacing w:line="430" w:lineRule="exact"/>
        <w:ind w:firstLine="482" w:firstLineChars="200"/>
        <w:jc w:val="left"/>
        <w:textAlignment w:val="auto"/>
        <w:rPr>
          <w:rFonts w:hint="eastAsia" w:ascii="宋体" w:hAnsi="宋体" w:eastAsia="宋体" w:cs="宋体"/>
          <w:i w:val="0"/>
          <w:caps w:val="0"/>
          <w:color w:val="auto"/>
          <w:spacing w:val="0"/>
          <w:kern w:val="0"/>
          <w:sz w:val="24"/>
          <w:szCs w:val="24"/>
          <w:u w:val="none"/>
          <w:lang w:val="en-US" w:eastAsia="zh-CN" w:bidi="ar"/>
        </w:rPr>
      </w:pPr>
      <w:r>
        <w:rPr>
          <w:rFonts w:hint="eastAsia" w:ascii="宋体" w:hAnsi="宋体" w:eastAsia="宋体" w:cs="宋体"/>
          <w:b/>
          <w:bCs/>
          <w:i w:val="0"/>
          <w:caps w:val="0"/>
          <w:color w:val="auto"/>
          <w:spacing w:val="0"/>
          <w:kern w:val="0"/>
          <w:sz w:val="24"/>
          <w:szCs w:val="24"/>
          <w:u w:val="none"/>
          <w:lang w:val="en-US" w:eastAsia="zh-CN" w:bidi="ar"/>
        </w:rPr>
        <w:t>1、时间：</w:t>
      </w:r>
      <w:r>
        <w:rPr>
          <w:rFonts w:hint="eastAsia" w:ascii="宋体" w:hAnsi="宋体" w:eastAsia="宋体" w:cs="宋体"/>
          <w:i w:val="0"/>
          <w:caps w:val="0"/>
          <w:color w:val="auto"/>
          <w:spacing w:val="0"/>
          <w:kern w:val="0"/>
          <w:sz w:val="24"/>
          <w:szCs w:val="24"/>
          <w:u w:val="none"/>
          <w:lang w:val="en-US" w:eastAsia="zh-CN" w:bidi="ar"/>
        </w:rPr>
        <w:t>公告发布时间至</w:t>
      </w:r>
      <w:r>
        <w:rPr>
          <w:rFonts w:hint="eastAsia" w:ascii="宋体" w:hAnsi="宋体" w:cs="宋体"/>
          <w:i w:val="0"/>
          <w:caps w:val="0"/>
          <w:color w:val="auto"/>
          <w:spacing w:val="0"/>
          <w:kern w:val="0"/>
          <w:sz w:val="24"/>
          <w:szCs w:val="24"/>
          <w:u w:val="none"/>
          <w:lang w:val="en-US" w:eastAsia="zh-CN" w:bidi="ar"/>
        </w:rPr>
        <w:t>2025年2月18日</w:t>
      </w:r>
      <w:bookmarkStart w:id="199" w:name="_GoBack"/>
      <w:bookmarkEnd w:id="199"/>
      <w:r>
        <w:rPr>
          <w:rFonts w:hint="eastAsia" w:ascii="宋体" w:hAnsi="宋体" w:eastAsia="宋体" w:cs="宋体"/>
          <w:i w:val="0"/>
          <w:caps w:val="0"/>
          <w:color w:val="auto"/>
          <w:spacing w:val="0"/>
          <w:kern w:val="0"/>
          <w:sz w:val="24"/>
          <w:szCs w:val="24"/>
          <w:u w:val="none"/>
          <w:lang w:val="en-US" w:eastAsia="zh-CN" w:bidi="ar"/>
        </w:rPr>
        <w:t>，每天上午00:00至12:00 ，下午12:00至23:59（北京时间，线上获取法定节假日均可）获取采购文件的时间期限截止之日之后有潜在供应商提出获取采购文件的，采购人将允许其获取，但该供应商如对采购文件有异议的，应于自采购文件公告期限届满之日起七个工作日内且在投标截止时间之前以书面形式向采购人提出。</w:t>
      </w:r>
    </w:p>
    <w:p w14:paraId="382B8089">
      <w:pPr>
        <w:keepNext w:val="0"/>
        <w:keepLines w:val="0"/>
        <w:pageBreakBefore w:val="0"/>
        <w:kinsoku/>
        <w:wordWrap/>
        <w:overflowPunct/>
        <w:topLinePunct w:val="0"/>
        <w:autoSpaceDE/>
        <w:autoSpaceDN/>
        <w:bidi w:val="0"/>
        <w:adjustRightInd/>
        <w:snapToGrid w:val="0"/>
        <w:spacing w:line="43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2、地点（网址）：</w:t>
      </w:r>
      <w:r>
        <w:rPr>
          <w:rFonts w:hint="eastAsia" w:ascii="宋体" w:hAnsi="宋体" w:eastAsia="宋体" w:cs="宋体"/>
          <w:color w:val="auto"/>
          <w:sz w:val="24"/>
          <w:highlight w:val="none"/>
        </w:rPr>
        <w:t>乐采云平台（</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"https://www.lecaiyun.com/"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https://www.lecaiyun.com/</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 xml:space="preserve">）。 </w:t>
      </w:r>
    </w:p>
    <w:p w14:paraId="28F44938">
      <w:pPr>
        <w:keepNext w:val="0"/>
        <w:keepLines w:val="0"/>
        <w:pageBreakBefore w:val="0"/>
        <w:kinsoku/>
        <w:wordWrap/>
        <w:overflowPunct/>
        <w:topLinePunct w:val="0"/>
        <w:autoSpaceDE/>
        <w:autoSpaceDN/>
        <w:bidi w:val="0"/>
        <w:adjustRightInd/>
        <w:snapToGrid w:val="0"/>
        <w:spacing w:line="430" w:lineRule="exact"/>
        <w:ind w:firstLine="482" w:firstLineChars="200"/>
        <w:jc w:val="left"/>
        <w:textAlignment w:val="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3、方式：</w:t>
      </w:r>
      <w:r>
        <w:rPr>
          <w:rFonts w:hint="eastAsia" w:ascii="宋体" w:hAnsi="宋体" w:eastAsia="宋体" w:cs="宋体"/>
          <w:color w:val="auto"/>
          <w:sz w:val="24"/>
          <w:highlight w:val="none"/>
        </w:rPr>
        <w:t xml:space="preserve">在线申请获取招标文件。供应商注册为正式供应商或临时供应商后，使用账号登录或者使用CA登录“乐采云”平台进入“项目采购”应用，在获取采购文件菜单中选择项目，申请获取采购文件。（注册账号--点击“商家入驻”，进行供应商资料填写；申领CA数字证书--申领流程详见“https://service.zcygov.cn/#/knowledges/cm2eqWwBFdiHxlNd_otq/lwV6GXABiyELHE-oVMj3”） </w:t>
      </w:r>
    </w:p>
    <w:p w14:paraId="0372A07A">
      <w:pPr>
        <w:keepNext w:val="0"/>
        <w:keepLines w:val="0"/>
        <w:pageBreakBefore w:val="0"/>
        <w:kinsoku/>
        <w:wordWrap/>
        <w:overflowPunct/>
        <w:topLinePunct w:val="0"/>
        <w:autoSpaceDE/>
        <w:autoSpaceDN/>
        <w:bidi w:val="0"/>
        <w:adjustRightInd/>
        <w:snapToGrid w:val="0"/>
        <w:spacing w:line="43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4、售价（元）：</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元。</w:t>
      </w:r>
    </w:p>
    <w:p w14:paraId="51857565">
      <w:pPr>
        <w:keepNext w:val="0"/>
        <w:keepLines w:val="0"/>
        <w:pageBreakBefore w:val="0"/>
        <w:kinsoku/>
        <w:wordWrap/>
        <w:overflowPunct/>
        <w:topLinePunct w:val="0"/>
        <w:autoSpaceDE/>
        <w:autoSpaceDN/>
        <w:bidi w:val="0"/>
        <w:adjustRightInd/>
        <w:snapToGrid w:val="0"/>
        <w:spacing w:line="430" w:lineRule="exact"/>
        <w:ind w:firstLine="482" w:firstLineChars="200"/>
        <w:jc w:val="lef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5、提示：</w:t>
      </w:r>
    </w:p>
    <w:p w14:paraId="1C7EE8E1">
      <w:pPr>
        <w:keepNext w:val="0"/>
        <w:keepLines w:val="0"/>
        <w:pageBreakBefore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（1）采购人依托乐采云平台完成本项目的电子交易活动，平台不接受未按上述方式获取采购文件的供应商进行投标活动；</w:t>
      </w:r>
    </w:p>
    <w:p w14:paraId="1B9A55A6">
      <w:pPr>
        <w:keepNext w:val="0"/>
        <w:keepLines w:val="0"/>
        <w:pageBreakBefore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（2）对未按上述方式获取采购文件的供应商对该文件提出的质疑，采购人将不予处理；</w:t>
      </w:r>
    </w:p>
    <w:p w14:paraId="2E43EC3B">
      <w:pPr>
        <w:keepNext w:val="0"/>
        <w:keepLines w:val="0"/>
        <w:pageBreakBefore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（3）采购人对已发出的采购文件等进行必要的澄清或者修改的，采购人将无法通过政采云平台通知未按上述方式获取采购文件的供应商；</w:t>
      </w:r>
    </w:p>
    <w:p w14:paraId="1D8572D9">
      <w:pPr>
        <w:keepNext w:val="0"/>
        <w:keepLines w:val="0"/>
        <w:pageBreakBefore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招标公告所附采购文件仅供阅览使用，供应商只有在“乐采云”平台完成获取采购文件申请并下载了采购文件后才被视为合法获取了采购文件，否则投标将被拒绝。（供应商获取采购文件时间以供应商完成获取采购文件申请后下载采购文件的时间为准）。</w:t>
      </w:r>
    </w:p>
    <w:p w14:paraId="2D4E2D98">
      <w:pPr>
        <w:keepNext w:val="0"/>
        <w:keepLines w:val="0"/>
        <w:pageBreakBefore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注：请供应商按上述要求获取采购文件，如未在“乐采云”平台完成相关流程，引起的投标无效责任自负。</w:t>
      </w:r>
    </w:p>
    <w:p w14:paraId="613E4011">
      <w:pPr>
        <w:keepNext w:val="0"/>
        <w:keepLines w:val="0"/>
        <w:pageBreakBefore w:val="0"/>
        <w:widowControl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b/>
          <w:color w:val="auto"/>
          <w:sz w:val="24"/>
        </w:rPr>
      </w:pPr>
      <w:r>
        <w:rPr>
          <w:rFonts w:hint="eastAsia" w:ascii="宋体" w:hAnsi="宋体" w:eastAsia="宋体" w:cs="宋体"/>
          <w:color w:val="auto"/>
          <w:sz w:val="24"/>
          <w:highlight w:val="none"/>
        </w:rPr>
        <w:t>（5）本项目不提供采购文件纸质版。</w:t>
      </w:r>
    </w:p>
    <w:p w14:paraId="09951BEF">
      <w:pPr>
        <w:keepNext w:val="0"/>
        <w:keepLines w:val="0"/>
        <w:pageBreakBefore w:val="0"/>
        <w:kinsoku/>
        <w:wordWrap/>
        <w:overflowPunct/>
        <w:topLinePunct w:val="0"/>
        <w:autoSpaceDE/>
        <w:autoSpaceDN/>
        <w:bidi w:val="0"/>
        <w:adjustRightInd/>
        <w:snapToGrid w:val="0"/>
        <w:spacing w:line="43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rPr>
        <w:t>四、</w:t>
      </w:r>
      <w:r>
        <w:rPr>
          <w:rFonts w:hint="eastAsia" w:ascii="宋体" w:hAnsi="宋体" w:eastAsia="宋体" w:cs="宋体"/>
          <w:b/>
          <w:color w:val="auto"/>
          <w:sz w:val="24"/>
          <w:highlight w:val="none"/>
        </w:rPr>
        <w:t>电子招投标的说明：</w:t>
      </w:r>
    </w:p>
    <w:p w14:paraId="2F3F6E86">
      <w:pPr>
        <w:keepNext w:val="0"/>
        <w:keepLines w:val="0"/>
        <w:pageBreakBefore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1、电子招投标：本项目以数据电文形式，依托“乐采云”平台（www.lecaiyun.com）”进行招投标活动，各投标人应按照本项目采购文件和“乐采云”平台的要求编制、加密并递交投标文件，不接受纸质投标文件。</w:t>
      </w:r>
    </w:p>
    <w:p w14:paraId="6F9F21E8">
      <w:pPr>
        <w:keepNext w:val="0"/>
        <w:keepLines w:val="0"/>
        <w:pageBreakBefore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2、投标准备：</w:t>
      </w:r>
    </w:p>
    <w:p w14:paraId="0C7875F1">
      <w:pPr>
        <w:keepNext w:val="0"/>
        <w:keepLines w:val="0"/>
        <w:pageBreakBefore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（1）注册账号--点击“商家入驻”，进行项目采购供应商资料填写，通过审核后成为正式供应商。</w:t>
      </w:r>
    </w:p>
    <w:p w14:paraId="578AA71E">
      <w:pPr>
        <w:keepNext w:val="0"/>
        <w:keepLines w:val="0"/>
        <w:pageBreakBefore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申领CA数字证书---申领流程详见“https://zfcg.czt.zj.gov.cn/bidClientTemplate/2019-05-27/12945.html”：投标人应在开标前完成CA数字证书办理，完成CA数字证书办理预计1-2周左右，各投标人应充分考虑办理时间等因素。办理流程详见:CA管理操作指南</w:t>
      </w:r>
      <w:r>
        <w:rPr>
          <w:rFonts w:hint="eastAsia" w:ascii="宋体" w:hAnsi="宋体" w:eastAsia="宋体" w:cs="宋体"/>
          <w:bCs/>
          <w:color w:val="auto"/>
          <w:sz w:val="24"/>
          <w:highlight w:val="none"/>
        </w:rPr>
        <w:fldChar w:fldCharType="begin"/>
      </w:r>
      <w:r>
        <w:rPr>
          <w:rFonts w:hint="eastAsia" w:ascii="宋体" w:hAnsi="宋体" w:eastAsia="宋体" w:cs="宋体"/>
          <w:bCs/>
          <w:color w:val="auto"/>
          <w:sz w:val="24"/>
          <w:highlight w:val="none"/>
        </w:rPr>
        <w:instrText xml:space="preserve"> HYPERLINK "https://service.zcygov.cn/" \l "/knowledges/cm2eqWwBFdiHxlNd_otq/lwV6GXABiyELHE-oVMj3" </w:instrText>
      </w:r>
      <w:r>
        <w:rPr>
          <w:rFonts w:hint="eastAsia" w:ascii="宋体" w:hAnsi="宋体" w:eastAsia="宋体" w:cs="宋体"/>
          <w:bCs/>
          <w:color w:val="auto"/>
          <w:sz w:val="24"/>
          <w:highlight w:val="none"/>
        </w:rPr>
        <w:fldChar w:fldCharType="separate"/>
      </w:r>
      <w:r>
        <w:rPr>
          <w:rFonts w:hint="eastAsia" w:ascii="宋体" w:hAnsi="宋体" w:eastAsia="宋体" w:cs="宋体"/>
          <w:bCs/>
          <w:color w:val="auto"/>
          <w:sz w:val="24"/>
          <w:highlight w:val="none"/>
        </w:rPr>
        <w:t>https://service.zcygov.cn/#/knowledges/cm2eqWwBFdiHxlNd_otq/lwV6GXABiyELHE-oVMj3</w:t>
      </w:r>
      <w:r>
        <w:rPr>
          <w:rFonts w:hint="eastAsia" w:ascii="宋体" w:hAnsi="宋体" w:eastAsia="宋体" w:cs="宋体"/>
          <w:bCs/>
          <w:color w:val="auto"/>
          <w:sz w:val="24"/>
          <w:highlight w:val="none"/>
        </w:rPr>
        <w:fldChar w:fldCharType="end"/>
      </w:r>
      <w:r>
        <w:rPr>
          <w:rFonts w:hint="eastAsia" w:ascii="宋体" w:hAnsi="宋体" w:eastAsia="宋体" w:cs="宋体"/>
          <w:bCs/>
          <w:color w:val="auto"/>
          <w:sz w:val="24"/>
          <w:highlight w:val="none"/>
        </w:rPr>
        <w:t>。</w:t>
      </w:r>
    </w:p>
    <w:p w14:paraId="1BD6411A">
      <w:pPr>
        <w:keepNext w:val="0"/>
        <w:keepLines w:val="0"/>
        <w:pageBreakBefore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（3）安装“电子投标客户端”----投标人通过“乐采云”平台电子投标工具制作投标文件，客户端安装链接：</w:t>
      </w:r>
      <w:r>
        <w:rPr>
          <w:rFonts w:hint="eastAsia" w:ascii="宋体" w:hAnsi="宋体" w:eastAsia="宋体" w:cs="宋体"/>
          <w:bCs/>
          <w:color w:val="auto"/>
          <w:sz w:val="24"/>
          <w:highlight w:val="none"/>
        </w:rPr>
        <w:fldChar w:fldCharType="begin"/>
      </w:r>
      <w:r>
        <w:rPr>
          <w:rFonts w:hint="eastAsia" w:ascii="宋体" w:hAnsi="宋体" w:eastAsia="宋体" w:cs="宋体"/>
          <w:bCs/>
          <w:color w:val="auto"/>
          <w:sz w:val="24"/>
          <w:highlight w:val="none"/>
        </w:rPr>
        <w:instrText xml:space="preserve"> HYPERLINK "https://zfcg.czt.zj.gov.cn/bidClientTemplate/2021-11-01/12975.html" </w:instrText>
      </w:r>
      <w:r>
        <w:rPr>
          <w:rFonts w:hint="eastAsia" w:ascii="宋体" w:hAnsi="宋体" w:eastAsia="宋体" w:cs="宋体"/>
          <w:bCs/>
          <w:color w:val="auto"/>
          <w:sz w:val="24"/>
          <w:highlight w:val="none"/>
        </w:rPr>
        <w:fldChar w:fldCharType="separate"/>
      </w:r>
      <w:r>
        <w:rPr>
          <w:rFonts w:hint="eastAsia" w:ascii="宋体" w:hAnsi="宋体" w:eastAsia="宋体" w:cs="宋体"/>
          <w:bCs/>
          <w:color w:val="auto"/>
          <w:sz w:val="24"/>
          <w:highlight w:val="none"/>
        </w:rPr>
        <w:t>https://zfcg.czt.zj.gov.cn/bidClientTemplate/2021-11-01/12975.html</w:t>
      </w:r>
      <w:r>
        <w:rPr>
          <w:rFonts w:hint="eastAsia" w:ascii="宋体" w:hAnsi="宋体" w:eastAsia="宋体" w:cs="宋体"/>
          <w:bCs/>
          <w:color w:val="auto"/>
          <w:sz w:val="24"/>
          <w:highlight w:val="none"/>
        </w:rPr>
        <w:fldChar w:fldCharType="end"/>
      </w:r>
      <w:r>
        <w:rPr>
          <w:rFonts w:hint="eastAsia" w:ascii="宋体" w:hAnsi="宋体" w:eastAsia="宋体" w:cs="宋体"/>
          <w:bCs/>
          <w:color w:val="auto"/>
          <w:sz w:val="24"/>
          <w:highlight w:val="none"/>
        </w:rPr>
        <w:t>。</w:t>
      </w:r>
    </w:p>
    <w:p w14:paraId="0A3F2E9E">
      <w:pPr>
        <w:keepNext w:val="0"/>
        <w:keepLines w:val="0"/>
        <w:pageBreakBefore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3、采购文件的获取：使用账号登录或者使用CA登录政采云平台；进入“项目采购”应用，在获取采购文件菜单中选择项目，获取采购文件。</w:t>
      </w:r>
    </w:p>
    <w:p w14:paraId="41E51282">
      <w:pPr>
        <w:keepNext w:val="0"/>
        <w:keepLines w:val="0"/>
        <w:pageBreakBefore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4、投标文件的制作：在“电子投标客户端”中完成“填写基本信息”、“导入投标文件”、“标书关联”、“标书检查”、“电子签名”、“生成电子标书”等操作。</w:t>
      </w:r>
    </w:p>
    <w:p w14:paraId="2F67CC08">
      <w:pPr>
        <w:keepNext w:val="0"/>
        <w:keepLines w:val="0"/>
        <w:pageBreakBefore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5、投标文件的传输递交：投标人在投标截止时间前将加密的投标文件上传至“乐采云”平台。</w:t>
      </w:r>
    </w:p>
    <w:p w14:paraId="7B83C48B">
      <w:pPr>
        <w:keepNext w:val="0"/>
        <w:keepLines w:val="0"/>
        <w:pageBreakBefore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6、投标文件的解密：投标人按照平台提示和采购文件的规定在开标时间起30分钟内完成在线解密。</w:t>
      </w:r>
    </w:p>
    <w:p w14:paraId="22323B4F">
      <w:pPr>
        <w:keepNext w:val="0"/>
        <w:keepLines w:val="0"/>
        <w:pageBreakBefore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7、供应商在使用系统进行投标的过程中遇到涉及平台使用的任何问题，可致电乐采云平台技术支持热线咨询，联系方式：400-881-7190。CA问题联系电话（人工）：汇信CA 400-888-4636；天谷CA 400-087-8198。</w:t>
      </w:r>
    </w:p>
    <w:p w14:paraId="5D936708">
      <w:pPr>
        <w:keepNext w:val="0"/>
        <w:keepLines w:val="0"/>
        <w:pageBreakBefore w:val="0"/>
        <w:kinsoku/>
        <w:wordWrap/>
        <w:overflowPunct/>
        <w:topLinePunct w:val="0"/>
        <w:autoSpaceDE/>
        <w:autoSpaceDN/>
        <w:bidi w:val="0"/>
        <w:adjustRightInd/>
        <w:snapToGrid w:val="0"/>
        <w:spacing w:line="43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五、提交投标文件截止时间</w:t>
      </w:r>
    </w:p>
    <w:p w14:paraId="390A805F">
      <w:pPr>
        <w:keepNext w:val="0"/>
        <w:keepLines w:val="0"/>
        <w:pageBreakBefore w:val="0"/>
        <w:kinsoku/>
        <w:wordWrap/>
        <w:overflowPunct/>
        <w:topLinePunct w:val="0"/>
        <w:autoSpaceDE/>
        <w:autoSpaceDN/>
        <w:bidi w:val="0"/>
        <w:adjustRightInd/>
        <w:snapToGrid w:val="0"/>
        <w:spacing w:line="43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1、提交投标文件截止时间：</w:t>
      </w:r>
      <w:r>
        <w:rPr>
          <w:rFonts w:hint="eastAsia" w:ascii="宋体" w:hAnsi="宋体" w:cs="宋体"/>
          <w:bCs/>
          <w:color w:val="auto"/>
          <w:sz w:val="24"/>
          <w:highlight w:val="none"/>
          <w:lang w:eastAsia="zh-CN"/>
        </w:rPr>
        <w:t>2025年2月18日14点00分</w:t>
      </w:r>
      <w:r>
        <w:rPr>
          <w:rFonts w:hint="eastAsia" w:ascii="宋体" w:hAnsi="宋体" w:eastAsia="宋体" w:cs="宋体"/>
          <w:bCs/>
          <w:color w:val="auto"/>
          <w:sz w:val="24"/>
          <w:highlight w:val="none"/>
        </w:rPr>
        <w:t>（北京时间）</w:t>
      </w:r>
    </w:p>
    <w:p w14:paraId="50707485">
      <w:pPr>
        <w:keepNext w:val="0"/>
        <w:keepLines w:val="0"/>
        <w:pageBreakBefore w:val="0"/>
        <w:kinsoku/>
        <w:wordWrap/>
        <w:overflowPunct/>
        <w:topLinePunct w:val="0"/>
        <w:autoSpaceDE/>
        <w:autoSpaceDN/>
        <w:bidi w:val="0"/>
        <w:adjustRightInd/>
        <w:snapToGrid w:val="0"/>
        <w:spacing w:line="43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传输递交的投标、响应文件，将被拒收。</w:t>
      </w:r>
    </w:p>
    <w:p w14:paraId="511EDB91">
      <w:pPr>
        <w:keepNext w:val="0"/>
        <w:keepLines w:val="0"/>
        <w:pageBreakBefore w:val="0"/>
        <w:widowControl w:val="0"/>
        <w:numPr>
          <w:ilvl w:val="0"/>
          <w:numId w:val="0"/>
        </w:numPr>
        <w:kinsoku/>
        <w:wordWrap/>
        <w:overflowPunct/>
        <w:topLinePunct w:val="0"/>
        <w:autoSpaceDE/>
        <w:autoSpaceDN/>
        <w:bidi w:val="0"/>
        <w:adjustRightInd/>
        <w:spacing w:line="430" w:lineRule="exact"/>
        <w:ind w:firstLine="480" w:firstLineChars="200"/>
        <w:jc w:val="left"/>
        <w:textAlignment w:val="auto"/>
        <w:rPr>
          <w:rFonts w:hint="eastAsia" w:ascii="宋体" w:hAnsi="宋体" w:eastAsia="宋体" w:cs="宋体"/>
          <w:i w:val="0"/>
          <w:caps w:val="0"/>
          <w:color w:val="auto"/>
          <w:spacing w:val="0"/>
          <w:kern w:val="0"/>
          <w:sz w:val="24"/>
          <w:szCs w:val="24"/>
          <w:u w:val="none"/>
          <w:lang w:val="en-US" w:eastAsia="zh-CN" w:bidi="ar"/>
        </w:rPr>
      </w:pPr>
      <w:r>
        <w:rPr>
          <w:rFonts w:hint="eastAsia" w:ascii="宋体" w:hAnsi="宋体" w:eastAsia="宋体" w:cs="宋体"/>
          <w:bCs/>
          <w:color w:val="auto"/>
          <w:sz w:val="24"/>
          <w:highlight w:val="none"/>
        </w:rPr>
        <w:t>3、投标地点（网址）：本项目采用全流程电子化交易，无须参加现场开标会 （</w:t>
      </w:r>
      <w:r>
        <w:rPr>
          <w:rFonts w:hint="eastAsia" w:ascii="宋体" w:hAnsi="宋体" w:eastAsia="宋体" w:cs="宋体"/>
          <w:bCs/>
          <w:color w:val="auto"/>
          <w:sz w:val="24"/>
          <w:highlight w:val="none"/>
        </w:rPr>
        <w:fldChar w:fldCharType="begin"/>
      </w:r>
      <w:r>
        <w:rPr>
          <w:rFonts w:hint="eastAsia" w:ascii="宋体" w:hAnsi="宋体" w:eastAsia="宋体" w:cs="宋体"/>
          <w:bCs/>
          <w:color w:val="auto"/>
          <w:sz w:val="24"/>
          <w:highlight w:val="none"/>
        </w:rPr>
        <w:instrText xml:space="preserve"> HYPERLINK "https://www.lecaiyun.com/" </w:instrText>
      </w:r>
      <w:r>
        <w:rPr>
          <w:rFonts w:hint="eastAsia" w:ascii="宋体" w:hAnsi="宋体" w:eastAsia="宋体" w:cs="宋体"/>
          <w:bCs/>
          <w:color w:val="auto"/>
          <w:sz w:val="24"/>
          <w:highlight w:val="none"/>
        </w:rPr>
        <w:fldChar w:fldCharType="separate"/>
      </w:r>
      <w:r>
        <w:rPr>
          <w:rFonts w:hint="eastAsia" w:ascii="宋体" w:hAnsi="宋体" w:eastAsia="宋体" w:cs="宋体"/>
          <w:bCs/>
          <w:color w:val="auto"/>
          <w:sz w:val="24"/>
          <w:highlight w:val="none"/>
        </w:rPr>
        <w:t>https://www.lecaiyun.com/</w:t>
      </w:r>
      <w:r>
        <w:rPr>
          <w:rFonts w:hint="eastAsia" w:ascii="宋体" w:hAnsi="宋体" w:eastAsia="宋体" w:cs="宋体"/>
          <w:bCs/>
          <w:color w:val="auto"/>
          <w:sz w:val="24"/>
          <w:highlight w:val="none"/>
        </w:rPr>
        <w:fldChar w:fldCharType="end"/>
      </w:r>
      <w:r>
        <w:rPr>
          <w:rFonts w:hint="eastAsia" w:ascii="宋体" w:hAnsi="宋体" w:eastAsia="宋体" w:cs="宋体"/>
          <w:bCs/>
          <w:color w:val="auto"/>
          <w:sz w:val="24"/>
          <w:highlight w:val="none"/>
        </w:rPr>
        <w:t>）。</w:t>
      </w:r>
    </w:p>
    <w:p w14:paraId="137C8E85">
      <w:pPr>
        <w:keepNext w:val="0"/>
        <w:keepLines w:val="0"/>
        <w:pageBreakBefore w:val="0"/>
        <w:kinsoku/>
        <w:wordWrap/>
        <w:overflowPunct/>
        <w:topLinePunct w:val="0"/>
        <w:autoSpaceDE/>
        <w:autoSpaceDN/>
        <w:bidi w:val="0"/>
        <w:adjustRightInd/>
        <w:snapToGrid w:val="0"/>
        <w:spacing w:line="43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六、开标时间与地点：</w:t>
      </w:r>
    </w:p>
    <w:p w14:paraId="2BBFB443">
      <w:pPr>
        <w:keepNext w:val="0"/>
        <w:keepLines w:val="0"/>
        <w:pageBreakBefore w:val="0"/>
        <w:kinsoku/>
        <w:wordWrap/>
        <w:overflowPunct/>
        <w:topLinePunct w:val="0"/>
        <w:autoSpaceDE/>
        <w:autoSpaceDN/>
        <w:bidi w:val="0"/>
        <w:adjustRightInd/>
        <w:snapToGrid w:val="0"/>
        <w:spacing w:line="43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1、开标时间：</w:t>
      </w:r>
      <w:r>
        <w:rPr>
          <w:rFonts w:hint="eastAsia" w:ascii="宋体" w:hAnsi="宋体" w:cs="宋体"/>
          <w:bCs/>
          <w:color w:val="auto"/>
          <w:sz w:val="24"/>
          <w:highlight w:val="none"/>
          <w:lang w:eastAsia="zh-CN"/>
        </w:rPr>
        <w:t>2025年2月18日14点00分</w:t>
      </w:r>
      <w:r>
        <w:rPr>
          <w:rFonts w:hint="eastAsia" w:ascii="宋体" w:hAnsi="宋体" w:eastAsia="宋体" w:cs="宋体"/>
          <w:bCs/>
          <w:color w:val="auto"/>
          <w:sz w:val="24"/>
          <w:highlight w:val="none"/>
        </w:rPr>
        <w:t>（北京时间）；</w:t>
      </w:r>
    </w:p>
    <w:p w14:paraId="457B7369">
      <w:pPr>
        <w:keepNext w:val="0"/>
        <w:keepLines w:val="0"/>
        <w:pageBreakBefore w:val="0"/>
        <w:kinsoku/>
        <w:wordWrap/>
        <w:overflowPunct/>
        <w:topLinePunct w:val="0"/>
        <w:autoSpaceDE/>
        <w:autoSpaceDN/>
        <w:bidi w:val="0"/>
        <w:adjustRightInd/>
        <w:snapToGrid w:val="0"/>
        <w:spacing w:line="430" w:lineRule="exact"/>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bCs/>
          <w:color w:val="auto"/>
          <w:sz w:val="24"/>
          <w:highlight w:val="none"/>
        </w:rPr>
        <w:t>2、开标地点：</w:t>
      </w:r>
      <w:r>
        <w:rPr>
          <w:rFonts w:hint="eastAsia" w:ascii="宋体" w:hAnsi="宋体" w:eastAsia="宋体" w:cs="宋体"/>
          <w:color w:val="auto"/>
          <w:sz w:val="24"/>
          <w:highlight w:val="none"/>
        </w:rPr>
        <w:t>杭州市临安区锦城街道万马路星悦金座大厦1幢704室会议室</w:t>
      </w:r>
      <w:r>
        <w:rPr>
          <w:rFonts w:hint="eastAsia" w:ascii="宋体" w:hAnsi="宋体" w:eastAsia="宋体" w:cs="宋体"/>
          <w:bCs/>
          <w:color w:val="auto"/>
          <w:sz w:val="24"/>
          <w:highlight w:val="none"/>
        </w:rPr>
        <w:t>。</w:t>
      </w:r>
    </w:p>
    <w:p w14:paraId="14C4679C">
      <w:pPr>
        <w:keepNext w:val="0"/>
        <w:keepLines w:val="0"/>
        <w:pageBreakBefore w:val="0"/>
        <w:kinsoku/>
        <w:wordWrap/>
        <w:overflowPunct/>
        <w:topLinePunct w:val="0"/>
        <w:autoSpaceDE/>
        <w:autoSpaceDN/>
        <w:bidi w:val="0"/>
        <w:adjustRightInd/>
        <w:snapToGrid w:val="0"/>
        <w:spacing w:line="43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七、公告期限</w:t>
      </w:r>
    </w:p>
    <w:p w14:paraId="30984E25">
      <w:pPr>
        <w:keepNext w:val="0"/>
        <w:keepLines w:val="0"/>
        <w:pageBreakBefore w:val="0"/>
        <w:widowControl/>
        <w:kinsoku/>
        <w:wordWrap/>
        <w:overflowPunct/>
        <w:topLinePunct w:val="0"/>
        <w:autoSpaceDE/>
        <w:autoSpaceDN/>
        <w:bidi w:val="0"/>
        <w:adjustRightInd/>
        <w:spacing w:before="0" w:beforeAutospacing="0" w:after="0" w:afterAutospacing="0" w:line="430" w:lineRule="exact"/>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自本公告发布之日起5个工作日。</w:t>
      </w:r>
    </w:p>
    <w:p w14:paraId="0C04BC40">
      <w:pPr>
        <w:keepNext w:val="0"/>
        <w:keepLines w:val="0"/>
        <w:pageBreakBefore w:val="0"/>
        <w:widowControl w:val="0"/>
        <w:kinsoku/>
        <w:wordWrap/>
        <w:overflowPunct/>
        <w:topLinePunct w:val="0"/>
        <w:autoSpaceDE/>
        <w:autoSpaceDN/>
        <w:bidi w:val="0"/>
        <w:adjustRightInd/>
        <w:snapToGrid w:val="0"/>
        <w:spacing w:line="430" w:lineRule="exact"/>
        <w:ind w:firstLine="482" w:firstLineChars="200"/>
        <w:textAlignment w:val="auto"/>
        <w:rPr>
          <w:rFonts w:hint="eastAsia" w:ascii="宋体" w:hAnsi="宋体" w:cs="宋体"/>
          <w:b/>
          <w:color w:val="auto"/>
          <w:sz w:val="24"/>
          <w:highlight w:val="none"/>
        </w:rPr>
      </w:pPr>
      <w:r>
        <w:rPr>
          <w:rFonts w:hint="eastAsia" w:ascii="宋体" w:hAnsi="宋体" w:eastAsia="宋体" w:cs="宋体"/>
          <w:b/>
          <w:bCs/>
          <w:color w:val="auto"/>
          <w:sz w:val="24"/>
          <w:highlight w:val="none"/>
        </w:rPr>
        <w:t>八、</w:t>
      </w:r>
      <w:r>
        <w:rPr>
          <w:rFonts w:hint="eastAsia" w:ascii="宋体" w:hAnsi="宋体" w:eastAsia="宋体" w:cs="宋体"/>
          <w:b/>
          <w:color w:val="auto"/>
          <w:sz w:val="24"/>
          <w:highlight w:val="none"/>
        </w:rPr>
        <w:t>业务咨询：</w:t>
      </w:r>
    </w:p>
    <w:p w14:paraId="2AB8F6A8">
      <w:pPr>
        <w:keepNext w:val="0"/>
        <w:keepLines w:val="0"/>
        <w:pageBreakBefore w:val="0"/>
        <w:widowControl w:val="0"/>
        <w:numPr>
          <w:ilvl w:val="0"/>
          <w:numId w:val="0"/>
        </w:numPr>
        <w:kinsoku/>
        <w:wordWrap/>
        <w:overflowPunct/>
        <w:topLinePunct w:val="0"/>
        <w:autoSpaceDE/>
        <w:autoSpaceDN/>
        <w:bidi w:val="0"/>
        <w:adjustRightInd/>
        <w:spacing w:line="430" w:lineRule="exact"/>
        <w:ind w:firstLine="480" w:firstLineChars="200"/>
        <w:jc w:val="left"/>
        <w:textAlignment w:val="auto"/>
        <w:rPr>
          <w:rFonts w:hint="eastAsia" w:ascii="宋体" w:hAnsi="宋体" w:eastAsia="宋体" w:cs="宋体"/>
          <w:i w:val="0"/>
          <w:caps w:val="0"/>
          <w:color w:val="auto"/>
          <w:spacing w:val="0"/>
          <w:kern w:val="0"/>
          <w:sz w:val="24"/>
          <w:szCs w:val="24"/>
          <w:u w:val="none"/>
          <w:lang w:val="en-US" w:eastAsia="zh-CN" w:bidi="ar"/>
        </w:rPr>
      </w:pPr>
      <w:r>
        <w:rPr>
          <w:rFonts w:hint="eastAsia" w:ascii="宋体" w:hAnsi="宋体" w:eastAsia="宋体" w:cs="宋体"/>
          <w:i w:val="0"/>
          <w:caps w:val="0"/>
          <w:color w:val="auto"/>
          <w:spacing w:val="0"/>
          <w:kern w:val="0"/>
          <w:sz w:val="24"/>
          <w:szCs w:val="24"/>
          <w:u w:val="none"/>
          <w:lang w:val="en-US" w:eastAsia="zh-CN" w:bidi="ar"/>
        </w:rPr>
        <w:t>采购人：浙江国兴投资集团有限公司</w:t>
      </w:r>
    </w:p>
    <w:p w14:paraId="1DAA1D75">
      <w:pPr>
        <w:keepNext w:val="0"/>
        <w:keepLines w:val="0"/>
        <w:pageBreakBefore w:val="0"/>
        <w:widowControl w:val="0"/>
        <w:numPr>
          <w:ilvl w:val="0"/>
          <w:numId w:val="0"/>
        </w:numPr>
        <w:kinsoku/>
        <w:wordWrap/>
        <w:overflowPunct/>
        <w:topLinePunct w:val="0"/>
        <w:autoSpaceDE/>
        <w:autoSpaceDN/>
        <w:bidi w:val="0"/>
        <w:adjustRightInd/>
        <w:spacing w:line="430" w:lineRule="exact"/>
        <w:ind w:firstLine="480" w:firstLineChars="200"/>
        <w:jc w:val="left"/>
        <w:textAlignment w:val="auto"/>
        <w:rPr>
          <w:rFonts w:hint="eastAsia" w:ascii="宋体" w:hAnsi="宋体" w:eastAsia="宋体" w:cs="宋体"/>
          <w:i w:val="0"/>
          <w:caps w:val="0"/>
          <w:color w:val="auto"/>
          <w:spacing w:val="0"/>
          <w:kern w:val="0"/>
          <w:sz w:val="24"/>
          <w:szCs w:val="24"/>
          <w:u w:val="none"/>
          <w:lang w:val="en-US" w:eastAsia="zh-CN" w:bidi="ar"/>
        </w:rPr>
      </w:pPr>
      <w:r>
        <w:rPr>
          <w:rFonts w:hint="eastAsia" w:ascii="宋体" w:hAnsi="宋体" w:eastAsia="宋体" w:cs="宋体"/>
          <w:i w:val="0"/>
          <w:caps w:val="0"/>
          <w:color w:val="auto"/>
          <w:spacing w:val="0"/>
          <w:kern w:val="0"/>
          <w:sz w:val="24"/>
          <w:szCs w:val="24"/>
          <w:u w:val="none"/>
          <w:lang w:val="en-US" w:eastAsia="zh-CN" w:bidi="ar"/>
        </w:rPr>
        <w:t>工程总承包：中国联合工程有限公司、大象建筑设计有限公司、中建三局集团有限公司</w:t>
      </w:r>
    </w:p>
    <w:p w14:paraId="6DC58A35">
      <w:pPr>
        <w:keepNext w:val="0"/>
        <w:keepLines w:val="0"/>
        <w:pageBreakBefore w:val="0"/>
        <w:widowControl w:val="0"/>
        <w:numPr>
          <w:ilvl w:val="0"/>
          <w:numId w:val="0"/>
        </w:numPr>
        <w:kinsoku/>
        <w:wordWrap/>
        <w:overflowPunct/>
        <w:topLinePunct w:val="0"/>
        <w:autoSpaceDE/>
        <w:autoSpaceDN/>
        <w:bidi w:val="0"/>
        <w:adjustRightInd/>
        <w:spacing w:line="430" w:lineRule="exact"/>
        <w:ind w:firstLine="480" w:firstLineChars="200"/>
        <w:jc w:val="left"/>
        <w:textAlignment w:val="auto"/>
        <w:rPr>
          <w:rFonts w:hint="eastAsia" w:ascii="宋体" w:hAnsi="宋体" w:eastAsia="宋体" w:cs="宋体"/>
          <w:i w:val="0"/>
          <w:caps w:val="0"/>
          <w:color w:val="auto"/>
          <w:spacing w:val="0"/>
          <w:kern w:val="0"/>
          <w:sz w:val="24"/>
          <w:szCs w:val="24"/>
          <w:u w:val="none"/>
          <w:lang w:val="en-US" w:eastAsia="zh-CN" w:bidi="ar"/>
        </w:rPr>
      </w:pPr>
      <w:r>
        <w:rPr>
          <w:rFonts w:hint="eastAsia" w:ascii="宋体" w:hAnsi="宋体" w:eastAsia="宋体" w:cs="宋体"/>
          <w:i w:val="0"/>
          <w:caps w:val="0"/>
          <w:color w:val="auto"/>
          <w:spacing w:val="0"/>
          <w:kern w:val="0"/>
          <w:sz w:val="24"/>
          <w:szCs w:val="24"/>
          <w:u w:val="none"/>
          <w:lang w:val="en-US" w:eastAsia="zh-CN" w:bidi="ar"/>
        </w:rPr>
        <w:t>联系人：董宇芳</w:t>
      </w:r>
    </w:p>
    <w:p w14:paraId="39918323">
      <w:pPr>
        <w:keepNext w:val="0"/>
        <w:keepLines w:val="0"/>
        <w:pageBreakBefore w:val="0"/>
        <w:widowControl w:val="0"/>
        <w:numPr>
          <w:ilvl w:val="0"/>
          <w:numId w:val="0"/>
        </w:numPr>
        <w:kinsoku/>
        <w:wordWrap/>
        <w:overflowPunct/>
        <w:topLinePunct w:val="0"/>
        <w:autoSpaceDE/>
        <w:autoSpaceDN/>
        <w:bidi w:val="0"/>
        <w:adjustRightInd/>
        <w:spacing w:line="430" w:lineRule="exact"/>
        <w:ind w:firstLine="480" w:firstLineChars="200"/>
        <w:jc w:val="left"/>
        <w:textAlignment w:val="auto"/>
        <w:rPr>
          <w:rFonts w:hint="eastAsia" w:ascii="宋体" w:hAnsi="宋体" w:eastAsia="宋体" w:cs="宋体"/>
          <w:i w:val="0"/>
          <w:caps w:val="0"/>
          <w:color w:val="auto"/>
          <w:spacing w:val="0"/>
          <w:kern w:val="0"/>
          <w:sz w:val="24"/>
          <w:szCs w:val="24"/>
          <w:u w:val="none"/>
          <w:lang w:val="en-US" w:eastAsia="zh-CN" w:bidi="ar"/>
        </w:rPr>
      </w:pPr>
      <w:r>
        <w:rPr>
          <w:rFonts w:hint="eastAsia" w:ascii="宋体" w:hAnsi="宋体" w:eastAsia="宋体" w:cs="宋体"/>
          <w:i w:val="0"/>
          <w:caps w:val="0"/>
          <w:color w:val="auto"/>
          <w:spacing w:val="0"/>
          <w:kern w:val="0"/>
          <w:sz w:val="24"/>
          <w:szCs w:val="24"/>
          <w:u w:val="none"/>
          <w:lang w:val="en-US" w:eastAsia="zh-CN" w:bidi="ar"/>
        </w:rPr>
        <w:t>联系电话：0571-61082123</w:t>
      </w:r>
    </w:p>
    <w:p w14:paraId="6C1B1DD1">
      <w:pPr>
        <w:keepNext w:val="0"/>
        <w:keepLines w:val="0"/>
        <w:pageBreakBefore w:val="0"/>
        <w:widowControl w:val="0"/>
        <w:numPr>
          <w:ilvl w:val="0"/>
          <w:numId w:val="0"/>
        </w:numPr>
        <w:kinsoku/>
        <w:wordWrap/>
        <w:overflowPunct/>
        <w:topLinePunct w:val="0"/>
        <w:autoSpaceDE/>
        <w:autoSpaceDN/>
        <w:bidi w:val="0"/>
        <w:adjustRightInd/>
        <w:spacing w:line="430" w:lineRule="exact"/>
        <w:ind w:firstLine="480" w:firstLineChars="200"/>
        <w:jc w:val="left"/>
        <w:textAlignment w:val="auto"/>
        <w:rPr>
          <w:rFonts w:hint="eastAsia" w:ascii="宋体" w:hAnsi="宋体" w:eastAsia="宋体" w:cs="宋体"/>
          <w:i w:val="0"/>
          <w:caps w:val="0"/>
          <w:color w:val="auto"/>
          <w:spacing w:val="0"/>
          <w:kern w:val="0"/>
          <w:sz w:val="24"/>
          <w:szCs w:val="24"/>
          <w:u w:val="none"/>
          <w:lang w:val="en-US" w:eastAsia="zh-CN" w:bidi="ar"/>
        </w:rPr>
      </w:pPr>
      <w:r>
        <w:rPr>
          <w:rFonts w:hint="eastAsia" w:ascii="宋体" w:hAnsi="宋体" w:eastAsia="宋体" w:cs="宋体"/>
          <w:i w:val="0"/>
          <w:caps w:val="0"/>
          <w:color w:val="auto"/>
          <w:spacing w:val="0"/>
          <w:kern w:val="0"/>
          <w:sz w:val="24"/>
          <w:szCs w:val="24"/>
          <w:u w:val="none"/>
          <w:lang w:val="en-US" w:eastAsia="zh-CN" w:bidi="ar"/>
        </w:rPr>
        <w:t>代理机构：杭州正信工程咨询管理有限公司</w:t>
      </w:r>
    </w:p>
    <w:p w14:paraId="5EFFA7F9">
      <w:pPr>
        <w:keepNext w:val="0"/>
        <w:keepLines w:val="0"/>
        <w:pageBreakBefore w:val="0"/>
        <w:widowControl w:val="0"/>
        <w:numPr>
          <w:ilvl w:val="0"/>
          <w:numId w:val="0"/>
        </w:numPr>
        <w:kinsoku/>
        <w:wordWrap/>
        <w:overflowPunct/>
        <w:topLinePunct w:val="0"/>
        <w:autoSpaceDE/>
        <w:autoSpaceDN/>
        <w:bidi w:val="0"/>
        <w:adjustRightInd/>
        <w:spacing w:line="430" w:lineRule="exact"/>
        <w:ind w:firstLine="480" w:firstLineChars="200"/>
        <w:jc w:val="left"/>
        <w:textAlignment w:val="auto"/>
        <w:rPr>
          <w:rFonts w:hint="eastAsia" w:ascii="宋体" w:hAnsi="宋体" w:eastAsia="宋体" w:cs="宋体"/>
          <w:i w:val="0"/>
          <w:caps w:val="0"/>
          <w:color w:val="auto"/>
          <w:spacing w:val="0"/>
          <w:kern w:val="0"/>
          <w:sz w:val="24"/>
          <w:szCs w:val="24"/>
          <w:u w:val="none"/>
          <w:lang w:val="en-US" w:eastAsia="zh-CN" w:bidi="ar"/>
        </w:rPr>
      </w:pPr>
      <w:r>
        <w:rPr>
          <w:rFonts w:hint="eastAsia" w:ascii="宋体" w:hAnsi="宋体" w:eastAsia="宋体" w:cs="宋体"/>
          <w:i w:val="0"/>
          <w:caps w:val="0"/>
          <w:color w:val="auto"/>
          <w:spacing w:val="0"/>
          <w:kern w:val="0"/>
          <w:sz w:val="24"/>
          <w:szCs w:val="24"/>
          <w:u w:val="none"/>
          <w:lang w:val="en-US" w:eastAsia="zh-CN" w:bidi="ar"/>
        </w:rPr>
        <w:t>地址：杭州市临安区锦城街道万马路星悦金座大厦1幢704室</w:t>
      </w:r>
    </w:p>
    <w:p w14:paraId="6146D033">
      <w:pPr>
        <w:keepNext w:val="0"/>
        <w:keepLines w:val="0"/>
        <w:pageBreakBefore w:val="0"/>
        <w:widowControl w:val="0"/>
        <w:numPr>
          <w:ilvl w:val="0"/>
          <w:numId w:val="0"/>
        </w:numPr>
        <w:kinsoku/>
        <w:wordWrap/>
        <w:overflowPunct/>
        <w:topLinePunct w:val="0"/>
        <w:autoSpaceDE/>
        <w:autoSpaceDN/>
        <w:bidi w:val="0"/>
        <w:adjustRightInd/>
        <w:spacing w:line="430" w:lineRule="exact"/>
        <w:ind w:firstLine="480" w:firstLineChars="200"/>
        <w:jc w:val="left"/>
        <w:textAlignment w:val="auto"/>
        <w:rPr>
          <w:rFonts w:hint="eastAsia" w:ascii="宋体" w:hAnsi="宋体" w:eastAsia="宋体" w:cs="宋体"/>
          <w:i w:val="0"/>
          <w:caps w:val="0"/>
          <w:color w:val="auto"/>
          <w:spacing w:val="0"/>
          <w:kern w:val="0"/>
          <w:sz w:val="24"/>
          <w:szCs w:val="24"/>
          <w:u w:val="none"/>
          <w:lang w:val="en-US" w:eastAsia="zh-CN" w:bidi="ar"/>
        </w:rPr>
      </w:pPr>
      <w:r>
        <w:rPr>
          <w:rFonts w:hint="eastAsia" w:ascii="宋体" w:hAnsi="宋体" w:eastAsia="宋体" w:cs="宋体"/>
          <w:i w:val="0"/>
          <w:caps w:val="0"/>
          <w:color w:val="auto"/>
          <w:spacing w:val="0"/>
          <w:kern w:val="0"/>
          <w:sz w:val="24"/>
          <w:szCs w:val="24"/>
          <w:u w:val="none"/>
          <w:lang w:val="en-US" w:eastAsia="zh-CN" w:bidi="ar"/>
        </w:rPr>
        <w:t>联系人：戴玉洁</w:t>
      </w:r>
    </w:p>
    <w:p w14:paraId="4F5EF2BB">
      <w:pPr>
        <w:keepNext w:val="0"/>
        <w:keepLines w:val="0"/>
        <w:pageBreakBefore w:val="0"/>
        <w:widowControl w:val="0"/>
        <w:numPr>
          <w:ilvl w:val="0"/>
          <w:numId w:val="0"/>
        </w:numPr>
        <w:kinsoku/>
        <w:wordWrap/>
        <w:overflowPunct/>
        <w:topLinePunct w:val="0"/>
        <w:autoSpaceDE/>
        <w:autoSpaceDN/>
        <w:bidi w:val="0"/>
        <w:adjustRightInd/>
        <w:spacing w:line="430" w:lineRule="exact"/>
        <w:ind w:firstLine="480" w:firstLineChars="200"/>
        <w:jc w:val="left"/>
        <w:textAlignment w:val="auto"/>
        <w:rPr>
          <w:rFonts w:hint="eastAsia" w:ascii="宋体" w:hAnsi="宋体" w:eastAsia="宋体" w:cs="宋体"/>
          <w:i w:val="0"/>
          <w:caps w:val="0"/>
          <w:color w:val="auto"/>
          <w:spacing w:val="0"/>
          <w:kern w:val="0"/>
          <w:sz w:val="24"/>
          <w:szCs w:val="24"/>
          <w:u w:val="none"/>
          <w:lang w:val="en-US" w:eastAsia="zh-CN" w:bidi="ar"/>
        </w:rPr>
      </w:pPr>
      <w:r>
        <w:rPr>
          <w:rFonts w:hint="eastAsia" w:ascii="宋体" w:hAnsi="宋体" w:eastAsia="宋体" w:cs="宋体"/>
          <w:i w:val="0"/>
          <w:caps w:val="0"/>
          <w:color w:val="auto"/>
          <w:spacing w:val="0"/>
          <w:kern w:val="0"/>
          <w:sz w:val="24"/>
          <w:szCs w:val="24"/>
          <w:u w:val="none"/>
          <w:lang w:val="en-US" w:eastAsia="zh-CN" w:bidi="ar"/>
        </w:rPr>
        <w:t>联系电话：0571-63807068</w:t>
      </w:r>
    </w:p>
    <w:p w14:paraId="3725BC8D">
      <w:pPr>
        <w:pStyle w:val="18"/>
        <w:keepNext w:val="0"/>
        <w:keepLines w:val="0"/>
        <w:pageBreakBefore w:val="0"/>
        <w:kinsoku/>
        <w:wordWrap/>
        <w:overflowPunct/>
        <w:topLinePunct w:val="0"/>
        <w:autoSpaceDE/>
        <w:autoSpaceDN/>
        <w:bidi w:val="0"/>
        <w:adjustRightInd/>
        <w:spacing w:line="440" w:lineRule="exact"/>
        <w:jc w:val="right"/>
        <w:textAlignment w:val="auto"/>
        <w:rPr>
          <w:rFonts w:hint="eastAsia"/>
          <w:lang w:val="en-US" w:eastAsia="zh-CN"/>
        </w:rPr>
      </w:pPr>
      <w:r>
        <w:rPr>
          <w:rFonts w:hint="eastAsia" w:ascii="宋体" w:hAnsi="宋体" w:eastAsia="宋体" w:cs="宋体"/>
          <w:i w:val="0"/>
          <w:caps w:val="0"/>
          <w:color w:val="auto"/>
          <w:spacing w:val="0"/>
          <w:kern w:val="0"/>
          <w:sz w:val="24"/>
          <w:szCs w:val="24"/>
          <w:u w:val="none"/>
          <w:lang w:val="en-US" w:eastAsia="zh-CN" w:bidi="ar"/>
        </w:rPr>
        <w:t>时间：</w:t>
      </w:r>
      <w:r>
        <w:rPr>
          <w:rFonts w:hint="eastAsia" w:ascii="宋体" w:hAnsi="宋体" w:cs="宋体"/>
          <w:i w:val="0"/>
          <w:caps w:val="0"/>
          <w:color w:val="auto"/>
          <w:spacing w:val="0"/>
          <w:kern w:val="0"/>
          <w:sz w:val="24"/>
          <w:szCs w:val="24"/>
          <w:u w:val="none"/>
          <w:lang w:val="en-US" w:eastAsia="zh-CN" w:bidi="ar"/>
        </w:rPr>
        <w:t>2025</w:t>
      </w:r>
      <w:r>
        <w:rPr>
          <w:rFonts w:hint="eastAsia" w:ascii="宋体" w:hAnsi="宋体" w:eastAsia="宋体" w:cs="宋体"/>
          <w:i w:val="0"/>
          <w:caps w:val="0"/>
          <w:color w:val="auto"/>
          <w:spacing w:val="0"/>
          <w:kern w:val="0"/>
          <w:sz w:val="24"/>
          <w:szCs w:val="24"/>
          <w:u w:val="none"/>
          <w:lang w:val="en-US" w:eastAsia="zh-CN" w:bidi="ar"/>
        </w:rPr>
        <w:t>年</w:t>
      </w:r>
      <w:r>
        <w:rPr>
          <w:rFonts w:hint="eastAsia" w:ascii="宋体" w:hAnsi="宋体" w:cs="宋体"/>
          <w:i w:val="0"/>
          <w:caps w:val="0"/>
          <w:color w:val="auto"/>
          <w:spacing w:val="0"/>
          <w:kern w:val="0"/>
          <w:sz w:val="24"/>
          <w:szCs w:val="24"/>
          <w:u w:val="none"/>
          <w:lang w:val="en-US" w:eastAsia="zh-CN" w:bidi="ar"/>
        </w:rPr>
        <w:t>1</w:t>
      </w:r>
      <w:r>
        <w:rPr>
          <w:rFonts w:hint="eastAsia" w:ascii="宋体" w:hAnsi="宋体" w:eastAsia="宋体" w:cs="宋体"/>
          <w:i w:val="0"/>
          <w:caps w:val="0"/>
          <w:color w:val="auto"/>
          <w:spacing w:val="0"/>
          <w:kern w:val="0"/>
          <w:sz w:val="24"/>
          <w:szCs w:val="24"/>
          <w:u w:val="none"/>
          <w:lang w:val="en-US" w:eastAsia="zh-CN" w:bidi="ar"/>
        </w:rPr>
        <w:t>月</w:t>
      </w:r>
      <w:r>
        <w:rPr>
          <w:rFonts w:hint="eastAsia" w:ascii="宋体" w:hAnsi="宋体" w:cs="宋体"/>
          <w:i w:val="0"/>
          <w:caps w:val="0"/>
          <w:color w:val="auto"/>
          <w:spacing w:val="0"/>
          <w:kern w:val="0"/>
          <w:sz w:val="24"/>
          <w:szCs w:val="24"/>
          <w:u w:val="none"/>
          <w:lang w:val="en-US" w:eastAsia="zh-CN" w:bidi="ar"/>
        </w:rPr>
        <w:t>22</w:t>
      </w:r>
      <w:r>
        <w:rPr>
          <w:rFonts w:hint="eastAsia" w:ascii="宋体" w:hAnsi="宋体" w:eastAsia="宋体" w:cs="宋体"/>
          <w:i w:val="0"/>
          <w:caps w:val="0"/>
          <w:color w:val="auto"/>
          <w:spacing w:val="0"/>
          <w:kern w:val="0"/>
          <w:sz w:val="24"/>
          <w:szCs w:val="24"/>
          <w:u w:val="none"/>
          <w:lang w:val="en-US" w:eastAsia="zh-CN" w:bidi="ar"/>
        </w:rPr>
        <w:t>日</w:t>
      </w:r>
    </w:p>
    <w:p w14:paraId="11E5227A">
      <w:pPr>
        <w:keepNext w:val="0"/>
        <w:keepLines w:val="0"/>
        <w:pageBreakBefore w:val="0"/>
        <w:widowControl w:val="0"/>
        <w:numPr>
          <w:ilvl w:val="0"/>
          <w:numId w:val="0"/>
        </w:numPr>
        <w:kinsoku/>
        <w:wordWrap/>
        <w:overflowPunct/>
        <w:topLinePunct w:val="0"/>
        <w:autoSpaceDE/>
        <w:autoSpaceDN/>
        <w:bidi w:val="0"/>
        <w:adjustRightInd/>
        <w:spacing w:line="440" w:lineRule="exact"/>
        <w:ind w:firstLine="480" w:firstLineChars="200"/>
        <w:jc w:val="left"/>
        <w:textAlignment w:val="auto"/>
        <w:rPr>
          <w:rFonts w:hint="eastAsia" w:ascii="宋体" w:hAnsi="宋体" w:eastAsia="宋体" w:cs="宋体"/>
          <w:i w:val="0"/>
          <w:caps w:val="0"/>
          <w:color w:val="auto"/>
          <w:spacing w:val="0"/>
          <w:kern w:val="0"/>
          <w:sz w:val="24"/>
          <w:szCs w:val="24"/>
          <w:u w:val="none"/>
          <w:lang w:val="en-US" w:eastAsia="zh-CN" w:bidi="ar"/>
        </w:rPr>
      </w:pPr>
      <w:r>
        <w:rPr>
          <w:rFonts w:hint="eastAsia" w:ascii="宋体" w:hAnsi="宋体" w:eastAsia="宋体" w:cs="宋体"/>
          <w:i w:val="0"/>
          <w:caps w:val="0"/>
          <w:color w:val="auto"/>
          <w:spacing w:val="0"/>
          <w:kern w:val="0"/>
          <w:sz w:val="24"/>
          <w:szCs w:val="24"/>
          <w:u w:val="none"/>
          <w:lang w:val="en-US" w:eastAsia="zh-CN" w:bidi="ar"/>
        </w:rPr>
        <w:br w:type="page"/>
      </w:r>
    </w:p>
    <w:p w14:paraId="150BCC9E">
      <w:pPr>
        <w:pStyle w:val="3"/>
        <w:keepNext/>
        <w:keepLines/>
        <w:pageBreakBefore w:val="0"/>
        <w:widowControl w:val="0"/>
        <w:numPr>
          <w:ilvl w:val="0"/>
          <w:numId w:val="0"/>
        </w:numPr>
        <w:kinsoku/>
        <w:wordWrap/>
        <w:overflowPunct/>
        <w:topLinePunct w:val="0"/>
        <w:autoSpaceDE/>
        <w:autoSpaceDN/>
        <w:bidi w:val="0"/>
        <w:adjustRightInd/>
        <w:snapToGrid/>
        <w:spacing w:after="0" w:afterAutospacing="0" w:line="579" w:lineRule="auto"/>
        <w:jc w:val="center"/>
        <w:textAlignment w:val="auto"/>
        <w:rPr>
          <w:rFonts w:hint="eastAsia" w:ascii="宋体" w:hAnsi="宋体" w:eastAsia="宋体" w:cs="宋体"/>
          <w:color w:val="auto"/>
          <w:sz w:val="36"/>
          <w:highlight w:val="none"/>
          <w:lang w:val="en-US" w:eastAsia="zh-CN"/>
        </w:rPr>
      </w:pPr>
      <w:r>
        <w:rPr>
          <w:rFonts w:hint="eastAsia" w:ascii="宋体" w:hAnsi="宋体" w:eastAsia="宋体" w:cs="宋体"/>
          <w:color w:val="auto"/>
          <w:sz w:val="36"/>
          <w:highlight w:val="none"/>
          <w:lang w:val="en-US" w:eastAsia="zh-CN"/>
        </w:rPr>
        <w:t>第二章  投标人须知</w:t>
      </w:r>
    </w:p>
    <w:p w14:paraId="2D7E2BB6">
      <w:pPr>
        <w:pStyle w:val="23"/>
        <w:spacing w:before="0" w:beforeAutospacing="0"/>
        <w:rPr>
          <w:rFonts w:hint="eastAsia" w:ascii="宋体" w:hAnsi="宋体" w:eastAsia="宋体" w:cs="宋体"/>
          <w:b/>
          <w:color w:val="auto"/>
          <w:sz w:val="28"/>
          <w:szCs w:val="28"/>
        </w:rPr>
      </w:pPr>
      <w:r>
        <w:rPr>
          <w:rFonts w:hint="eastAsia" w:ascii="宋体" w:hAnsi="宋体" w:eastAsia="宋体" w:cs="宋体"/>
          <w:b/>
          <w:color w:val="auto"/>
          <w:sz w:val="28"/>
          <w:szCs w:val="28"/>
        </w:rPr>
        <w:t>前附表</w:t>
      </w:r>
    </w:p>
    <w:tbl>
      <w:tblPr>
        <w:tblStyle w:val="25"/>
        <w:tblW w:w="982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4"/>
        <w:gridCol w:w="9063"/>
      </w:tblGrid>
      <w:tr w14:paraId="7401B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508CD55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b/>
                <w:bCs/>
                <w:color w:val="auto"/>
                <w:sz w:val="24"/>
              </w:rPr>
            </w:pPr>
            <w:r>
              <w:rPr>
                <w:rFonts w:hint="eastAsia" w:ascii="宋体" w:hAnsi="宋体" w:eastAsia="宋体" w:cs="宋体"/>
                <w:b/>
                <w:bCs/>
                <w:color w:val="auto"/>
                <w:sz w:val="24"/>
              </w:rPr>
              <w:t>序号</w:t>
            </w:r>
          </w:p>
        </w:tc>
        <w:tc>
          <w:tcPr>
            <w:tcW w:w="9063" w:type="dxa"/>
            <w:tcBorders>
              <w:top w:val="single" w:color="auto" w:sz="4" w:space="0"/>
              <w:left w:val="single" w:color="auto" w:sz="4" w:space="0"/>
              <w:bottom w:val="single" w:color="auto" w:sz="4" w:space="0"/>
              <w:right w:val="single" w:color="auto" w:sz="4" w:space="0"/>
            </w:tcBorders>
            <w:noWrap w:val="0"/>
            <w:vAlign w:val="center"/>
          </w:tcPr>
          <w:p w14:paraId="3719300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b/>
                <w:bCs/>
                <w:color w:val="auto"/>
                <w:sz w:val="24"/>
              </w:rPr>
            </w:pPr>
            <w:r>
              <w:rPr>
                <w:rFonts w:hint="eastAsia" w:ascii="宋体" w:hAnsi="宋体" w:eastAsia="宋体" w:cs="宋体"/>
                <w:b/>
                <w:bCs/>
                <w:color w:val="auto"/>
                <w:sz w:val="24"/>
              </w:rPr>
              <w:t>内    容    及    要    求</w:t>
            </w:r>
          </w:p>
        </w:tc>
      </w:tr>
      <w:tr w14:paraId="3DB2C4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78BA856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4"/>
              </w:rPr>
            </w:pPr>
            <w:r>
              <w:rPr>
                <w:rFonts w:hint="eastAsia" w:ascii="宋体" w:hAnsi="宋体" w:eastAsia="宋体" w:cs="宋体"/>
                <w:color w:val="auto"/>
                <w:sz w:val="24"/>
              </w:rPr>
              <w:t>1</w:t>
            </w:r>
          </w:p>
        </w:tc>
        <w:tc>
          <w:tcPr>
            <w:tcW w:w="9063" w:type="dxa"/>
            <w:tcBorders>
              <w:top w:val="single" w:color="auto" w:sz="4" w:space="0"/>
              <w:left w:val="single" w:color="auto" w:sz="4" w:space="0"/>
              <w:bottom w:val="single" w:color="auto" w:sz="4" w:space="0"/>
              <w:right w:val="single" w:color="auto" w:sz="4" w:space="0"/>
            </w:tcBorders>
            <w:noWrap w:val="0"/>
            <w:vAlign w:val="center"/>
          </w:tcPr>
          <w:p w14:paraId="510F977A">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一、</w:t>
            </w:r>
            <w:r>
              <w:rPr>
                <w:rFonts w:hint="eastAsia" w:ascii="宋体" w:hAnsi="宋体" w:cs="宋体"/>
                <w:color w:val="auto"/>
                <w:sz w:val="24"/>
                <w:highlight w:val="none"/>
              </w:rPr>
              <w:t>项目名称：</w:t>
            </w:r>
            <w:r>
              <w:rPr>
                <w:rFonts w:hint="eastAsia" w:ascii="宋体" w:hAnsi="宋体" w:cs="宋体"/>
                <w:color w:val="auto"/>
                <w:sz w:val="24"/>
                <w:highlight w:val="none"/>
                <w:lang w:val="en-US" w:eastAsia="zh-CN"/>
              </w:rPr>
              <w:t>天目未来谷生态研学城项目温泉系统-泡池系统采购安装项目。</w:t>
            </w:r>
          </w:p>
          <w:p w14:paraId="59D94F54">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cs="宋体"/>
                <w:color w:val="auto"/>
                <w:sz w:val="24"/>
                <w:highlight w:val="none"/>
                <w:lang w:eastAsia="zh-CN"/>
              </w:rPr>
            </w:pPr>
            <w:r>
              <w:rPr>
                <w:rFonts w:hint="eastAsia" w:ascii="宋体" w:hAnsi="宋体" w:cs="宋体"/>
                <w:color w:val="auto"/>
                <w:sz w:val="24"/>
                <w:highlight w:val="none"/>
              </w:rPr>
              <w:t>二、实施地点</w:t>
            </w:r>
            <w:r>
              <w:rPr>
                <w:rFonts w:hint="eastAsia" w:ascii="宋体" w:hAnsi="宋体" w:cs="宋体"/>
                <w:color w:val="auto"/>
                <w:sz w:val="24"/>
                <w:highlight w:val="none"/>
                <w:lang w:val="en-US" w:eastAsia="zh-CN"/>
              </w:rPr>
              <w:t>：杭州市临安区於潜镇绍鲁村天目未来谷生态研学城。</w:t>
            </w:r>
          </w:p>
          <w:p w14:paraId="599A8784">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cs="宋体"/>
                <w:color w:val="auto"/>
                <w:sz w:val="24"/>
                <w:highlight w:val="none"/>
              </w:rPr>
            </w:pPr>
            <w:r>
              <w:rPr>
                <w:rFonts w:hint="eastAsia" w:ascii="宋体" w:hAnsi="宋体" w:cs="宋体"/>
                <w:color w:val="auto"/>
                <w:sz w:val="24"/>
                <w:highlight w:val="none"/>
              </w:rPr>
              <w:t>三、项目实施范围：具体详见第四章采购需求。成交单位1家。</w:t>
            </w:r>
          </w:p>
          <w:p w14:paraId="41FB4247">
            <w:pPr>
              <w:keepNext w:val="0"/>
              <w:keepLines w:val="0"/>
              <w:pageBreakBefore w:val="0"/>
              <w:widowControl w:val="0"/>
              <w:kinsoku/>
              <w:wordWrap/>
              <w:overflowPunct/>
              <w:topLinePunct w:val="0"/>
              <w:autoSpaceDE/>
              <w:autoSpaceDN/>
              <w:bidi w:val="0"/>
              <w:adjustRightInd/>
              <w:spacing w:line="4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四、质量要求：</w:t>
            </w:r>
            <w:r>
              <w:rPr>
                <w:rFonts w:hint="eastAsia" w:ascii="宋体" w:hAnsi="宋体" w:eastAsia="宋体" w:cs="宋体"/>
                <w:color w:val="auto"/>
                <w:sz w:val="24"/>
                <w:highlight w:val="none"/>
                <w:lang w:val="en-US" w:eastAsia="zh-CN"/>
              </w:rPr>
              <w:t>满足</w:t>
            </w:r>
            <w:r>
              <w:rPr>
                <w:rFonts w:hint="eastAsia" w:ascii="宋体" w:hAnsi="宋体" w:cs="宋体"/>
                <w:color w:val="auto"/>
                <w:sz w:val="24"/>
                <w:highlight w:val="none"/>
                <w:lang w:val="en-US" w:eastAsia="zh-CN"/>
              </w:rPr>
              <w:t>希尔顿格芮酒店</w:t>
            </w:r>
            <w:r>
              <w:rPr>
                <w:rFonts w:hint="eastAsia" w:ascii="宋体" w:hAnsi="宋体" w:eastAsia="宋体" w:cs="宋体"/>
                <w:color w:val="auto"/>
                <w:sz w:val="24"/>
                <w:highlight w:val="none"/>
                <w:lang w:val="en-US" w:eastAsia="zh-CN"/>
              </w:rPr>
              <w:t>验收标准</w:t>
            </w:r>
            <w:r>
              <w:rPr>
                <w:rFonts w:hint="eastAsia" w:ascii="宋体" w:hAnsi="宋体" w:eastAsia="宋体" w:cs="宋体"/>
                <w:color w:val="auto"/>
                <w:sz w:val="24"/>
                <w:highlight w:val="none"/>
                <w:lang w:val="zh-CN"/>
              </w:rPr>
              <w:t>。</w:t>
            </w:r>
          </w:p>
          <w:p w14:paraId="7C62CF7E">
            <w:pPr>
              <w:keepNext w:val="0"/>
              <w:keepLines w:val="0"/>
              <w:pageBreakBefore w:val="0"/>
              <w:widowControl w:val="0"/>
              <w:kinsoku/>
              <w:wordWrap/>
              <w:overflowPunct/>
              <w:topLinePunct w:val="0"/>
              <w:autoSpaceDE/>
              <w:autoSpaceDN/>
              <w:bidi w:val="0"/>
              <w:adjustRightInd/>
              <w:spacing w:line="460" w:lineRule="exact"/>
              <w:textAlignment w:val="auto"/>
              <w:rPr>
                <w:rFonts w:hint="eastAsia" w:ascii="宋体" w:hAnsi="宋体" w:cs="宋体"/>
                <w:color w:val="auto"/>
                <w:sz w:val="24"/>
                <w:highlight w:val="none"/>
                <w:lang w:val="en-US" w:eastAsia="zh-CN"/>
              </w:rPr>
            </w:pPr>
            <w:r>
              <w:rPr>
                <w:rFonts w:hint="eastAsia" w:ascii="宋体" w:hAnsi="宋体" w:eastAsia="宋体" w:cs="宋体"/>
                <w:color w:val="auto"/>
                <w:sz w:val="24"/>
                <w:highlight w:val="none"/>
              </w:rPr>
              <w:t>五、</w:t>
            </w:r>
            <w:r>
              <w:rPr>
                <w:rFonts w:hint="eastAsia" w:ascii="宋体" w:hAnsi="宋体" w:eastAsia="宋体" w:cs="宋体"/>
                <w:color w:val="auto"/>
                <w:sz w:val="24"/>
                <w:highlight w:val="none"/>
                <w:lang w:eastAsia="zh-CN"/>
              </w:rPr>
              <w:t>供货及安装期</w:t>
            </w:r>
            <w:r>
              <w:rPr>
                <w:rFonts w:hint="eastAsia" w:ascii="宋体" w:hAnsi="宋体" w:eastAsia="宋体" w:cs="宋体"/>
                <w:color w:val="auto"/>
                <w:sz w:val="24"/>
                <w:highlight w:val="none"/>
                <w:lang w:val="en-US" w:eastAsia="zh-CN"/>
              </w:rPr>
              <w:t>：</w:t>
            </w:r>
            <w:r>
              <w:rPr>
                <w:rFonts w:hint="eastAsia" w:ascii="宋体" w:hAnsi="宋体" w:cs="宋体"/>
                <w:color w:val="auto"/>
                <w:sz w:val="24"/>
                <w:highlight w:val="none"/>
                <w:lang w:val="en-US" w:eastAsia="zh-CN"/>
              </w:rPr>
              <w:t>2025年4月30日前安装完成。</w:t>
            </w:r>
          </w:p>
          <w:p w14:paraId="6C4A1CC5">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六、质保期</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两年</w:t>
            </w:r>
            <w:r>
              <w:rPr>
                <w:rFonts w:hint="eastAsia" w:ascii="宋体" w:hAnsi="宋体" w:eastAsia="宋体" w:cs="宋体"/>
                <w:color w:val="auto"/>
                <w:sz w:val="24"/>
                <w:highlight w:val="none"/>
                <w:lang w:eastAsia="zh-CN"/>
              </w:rPr>
              <w:t>。</w:t>
            </w:r>
          </w:p>
          <w:p w14:paraId="4BBBB7D5">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b/>
                <w:bCs/>
                <w:color w:val="auto"/>
                <w:kern w:val="0"/>
                <w:sz w:val="24"/>
                <w:highlight w:val="none"/>
                <w:shd w:val="clear"/>
                <w:lang w:val="en-US" w:eastAsia="zh-CN"/>
              </w:rPr>
              <w:t>七、本次采购设定最高限价：377.3254万元，报</w:t>
            </w:r>
            <w:r>
              <w:rPr>
                <w:rFonts w:hint="eastAsia" w:ascii="宋体" w:hAnsi="宋体" w:cs="宋体"/>
                <w:b/>
                <w:bCs/>
                <w:color w:val="000000" w:themeColor="text1"/>
                <w:kern w:val="0"/>
                <w:sz w:val="24"/>
                <w:highlight w:val="none"/>
                <w:shd w:val="clear"/>
                <w:lang w:val="en-US" w:eastAsia="zh-CN"/>
                <w14:textFill>
                  <w14:solidFill>
                    <w14:schemeClr w14:val="tx1"/>
                  </w14:solidFill>
                </w14:textFill>
              </w:rPr>
              <w:t>价超过此最高限价的作无效标处理。</w:t>
            </w:r>
          </w:p>
        </w:tc>
      </w:tr>
      <w:tr w14:paraId="2190CE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44A125D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4"/>
              </w:rPr>
            </w:pPr>
            <w:r>
              <w:rPr>
                <w:rFonts w:hint="eastAsia" w:ascii="宋体" w:hAnsi="宋体" w:eastAsia="宋体" w:cs="宋体"/>
                <w:color w:val="auto"/>
                <w:sz w:val="24"/>
              </w:rPr>
              <w:t>2</w:t>
            </w:r>
          </w:p>
        </w:tc>
        <w:tc>
          <w:tcPr>
            <w:tcW w:w="9063" w:type="dxa"/>
            <w:tcBorders>
              <w:top w:val="single" w:color="auto" w:sz="4" w:space="0"/>
              <w:left w:val="single" w:color="auto" w:sz="4" w:space="0"/>
              <w:bottom w:val="single" w:color="auto" w:sz="4" w:space="0"/>
              <w:right w:val="single" w:color="auto" w:sz="4" w:space="0"/>
            </w:tcBorders>
            <w:noWrap w:val="0"/>
            <w:vAlign w:val="center"/>
          </w:tcPr>
          <w:p w14:paraId="335BFD14">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cs="宋体"/>
                <w:color w:val="auto"/>
                <w:sz w:val="24"/>
                <w:highlight w:val="none"/>
              </w:rPr>
            </w:pPr>
            <w:r>
              <w:rPr>
                <w:rFonts w:hint="eastAsia" w:ascii="宋体" w:hAnsi="宋体" w:cs="宋体"/>
                <w:color w:val="auto"/>
                <w:sz w:val="24"/>
                <w:highlight w:val="none"/>
                <w:lang w:val="en-US" w:eastAsia="zh-CN"/>
              </w:rPr>
              <w:t>投标</w:t>
            </w:r>
            <w:r>
              <w:rPr>
                <w:rFonts w:hint="eastAsia" w:ascii="宋体" w:hAnsi="宋体" w:cs="宋体"/>
                <w:color w:val="auto"/>
                <w:sz w:val="24"/>
                <w:highlight w:val="none"/>
              </w:rPr>
              <w:t>保证金：本项目不采用。</w:t>
            </w:r>
          </w:p>
        </w:tc>
      </w:tr>
      <w:tr w14:paraId="27E43A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21B2762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4"/>
              </w:rPr>
            </w:pPr>
            <w:r>
              <w:rPr>
                <w:rFonts w:hint="eastAsia" w:ascii="宋体" w:hAnsi="宋体" w:eastAsia="宋体" w:cs="宋体"/>
                <w:color w:val="auto"/>
                <w:sz w:val="24"/>
              </w:rPr>
              <w:t>3</w:t>
            </w:r>
          </w:p>
        </w:tc>
        <w:tc>
          <w:tcPr>
            <w:tcW w:w="90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12121F">
            <w:pPr>
              <w:snapToGrid w:val="0"/>
              <w:spacing w:line="400" w:lineRule="exac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投标截止时间：</w:t>
            </w:r>
            <w:r>
              <w:rPr>
                <w:rFonts w:hint="eastAsia" w:ascii="宋体" w:hAnsi="宋体" w:cs="宋体"/>
                <w:color w:val="auto"/>
                <w:sz w:val="24"/>
                <w:highlight w:val="none"/>
                <w:lang w:eastAsia="zh-CN"/>
              </w:rPr>
              <w:t>2025年2月18日14点00分</w:t>
            </w:r>
            <w:r>
              <w:rPr>
                <w:rFonts w:hint="eastAsia" w:ascii="宋体" w:hAnsi="宋体" w:cs="宋体"/>
                <w:color w:val="auto"/>
                <w:sz w:val="24"/>
                <w:highlight w:val="none"/>
              </w:rPr>
              <w:t>止</w:t>
            </w:r>
          </w:p>
        </w:tc>
      </w:tr>
      <w:tr w14:paraId="526381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1CE9C87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4"/>
              </w:rPr>
            </w:pPr>
            <w:r>
              <w:rPr>
                <w:rFonts w:hint="eastAsia" w:ascii="宋体" w:hAnsi="宋体" w:eastAsia="宋体" w:cs="宋体"/>
                <w:color w:val="auto"/>
                <w:sz w:val="24"/>
              </w:rPr>
              <w:t>4</w:t>
            </w:r>
          </w:p>
        </w:tc>
        <w:tc>
          <w:tcPr>
            <w:tcW w:w="90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B2FD54">
            <w:pPr>
              <w:snapToGrid w:val="0"/>
              <w:spacing w:line="400" w:lineRule="exac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开标时间、地点：</w:t>
            </w:r>
            <w:r>
              <w:rPr>
                <w:rFonts w:hint="eastAsia" w:ascii="宋体" w:hAnsi="宋体" w:cs="宋体"/>
                <w:color w:val="auto"/>
                <w:sz w:val="24"/>
                <w:highlight w:val="none"/>
                <w:lang w:eastAsia="zh-CN"/>
              </w:rPr>
              <w:t>2025年2月18日14点00分</w:t>
            </w:r>
            <w:r>
              <w:rPr>
                <w:rFonts w:hint="eastAsia" w:ascii="宋体" w:hAnsi="宋体" w:cs="宋体"/>
                <w:color w:val="auto"/>
                <w:sz w:val="24"/>
                <w:highlight w:val="none"/>
              </w:rPr>
              <w:t>；本项目采用全流程电子化交易，投标人无须到场参加开标会议。</w:t>
            </w:r>
          </w:p>
        </w:tc>
      </w:tr>
      <w:tr w14:paraId="74B39C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53D1C72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4"/>
              </w:rPr>
            </w:pPr>
            <w:r>
              <w:rPr>
                <w:rFonts w:hint="eastAsia" w:ascii="宋体" w:hAnsi="宋体" w:eastAsia="宋体" w:cs="宋体"/>
                <w:color w:val="auto"/>
                <w:sz w:val="24"/>
              </w:rPr>
              <w:t>5</w:t>
            </w:r>
          </w:p>
        </w:tc>
        <w:tc>
          <w:tcPr>
            <w:tcW w:w="90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700250">
            <w:pPr>
              <w:snapToGrid w:val="0"/>
              <w:spacing w:line="400" w:lineRule="exact"/>
              <w:rPr>
                <w:rFonts w:hint="eastAsia" w:ascii="宋体" w:hAnsi="宋体" w:cs="宋体"/>
                <w:b/>
                <w:bCs/>
                <w:color w:val="auto"/>
                <w:sz w:val="24"/>
                <w:highlight w:val="none"/>
              </w:rPr>
            </w:pPr>
            <w:r>
              <w:rPr>
                <w:rFonts w:hint="eastAsia" w:ascii="宋体" w:hAnsi="宋体" w:cs="宋体"/>
                <w:b/>
                <w:bCs/>
                <w:color w:val="auto"/>
                <w:sz w:val="24"/>
                <w:highlight w:val="none"/>
              </w:rPr>
              <w:t>本项目实行电子投标。电子投标文件，按“乐采云”平台项目采购-电子招投标操作指南及本采购文件要求递交。投标文件由资格审查文件、</w:t>
            </w:r>
            <w:r>
              <w:rPr>
                <w:rFonts w:hint="eastAsia" w:ascii="宋体" w:hAnsi="宋体" w:cs="宋体"/>
                <w:b/>
                <w:bCs/>
                <w:color w:val="auto"/>
                <w:sz w:val="24"/>
                <w:highlight w:val="none"/>
                <w:lang w:eastAsia="zh-CN"/>
              </w:rPr>
              <w:t>商务技术文件</w:t>
            </w:r>
            <w:r>
              <w:rPr>
                <w:rFonts w:hint="eastAsia" w:ascii="宋体" w:hAnsi="宋体" w:cs="宋体"/>
                <w:b/>
                <w:bCs/>
                <w:color w:val="auto"/>
                <w:sz w:val="24"/>
                <w:highlight w:val="none"/>
              </w:rPr>
              <w:t>、报价文件三部分组成。投标人务必按时自行解密，规定时间内解密失败者作无效响应处理。</w:t>
            </w:r>
          </w:p>
          <w:p w14:paraId="7CBD7C14">
            <w:pPr>
              <w:snapToGrid w:val="0"/>
              <w:spacing w:line="400" w:lineRule="exact"/>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sz w:val="24"/>
                <w:highlight w:val="none"/>
              </w:rPr>
              <w:t>▲投标截止时间前，供应商未传输递交“电子加密投标文件”的，投标无效。</w:t>
            </w:r>
          </w:p>
        </w:tc>
      </w:tr>
      <w:tr w14:paraId="5DCF6C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6C0FB34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4"/>
              </w:rPr>
            </w:pPr>
            <w:r>
              <w:rPr>
                <w:rFonts w:hint="eastAsia" w:ascii="宋体" w:hAnsi="宋体" w:eastAsia="宋体" w:cs="宋体"/>
                <w:color w:val="auto"/>
                <w:sz w:val="24"/>
              </w:rPr>
              <w:t>6</w:t>
            </w:r>
          </w:p>
        </w:tc>
        <w:tc>
          <w:tcPr>
            <w:tcW w:w="90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F6DC5D">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现场踏勘：自行组织。</w:t>
            </w:r>
          </w:p>
        </w:tc>
      </w:tr>
      <w:tr w14:paraId="34D3C0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7F32010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4"/>
              </w:rPr>
            </w:pPr>
            <w:r>
              <w:rPr>
                <w:rFonts w:hint="eastAsia" w:ascii="宋体" w:hAnsi="宋体" w:eastAsia="宋体" w:cs="宋体"/>
                <w:color w:val="auto"/>
                <w:sz w:val="24"/>
              </w:rPr>
              <w:t>7</w:t>
            </w:r>
          </w:p>
        </w:tc>
        <w:tc>
          <w:tcPr>
            <w:tcW w:w="90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24F64C">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评审结果公示：评审结束后2个工作日内，中标（成交）结果公示于浙江省政府采购网上发布。</w:t>
            </w:r>
          </w:p>
        </w:tc>
      </w:tr>
      <w:tr w14:paraId="1E020D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4AEE1B1B">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4"/>
              </w:rPr>
            </w:pPr>
            <w:r>
              <w:rPr>
                <w:rFonts w:hint="eastAsia" w:ascii="宋体" w:hAnsi="宋体" w:eastAsia="宋体" w:cs="宋体"/>
                <w:color w:val="auto"/>
                <w:sz w:val="24"/>
              </w:rPr>
              <w:t>8</w:t>
            </w:r>
          </w:p>
        </w:tc>
        <w:tc>
          <w:tcPr>
            <w:tcW w:w="90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251DB6">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签订合同时间：成交通知书发出后30日内。</w:t>
            </w:r>
          </w:p>
        </w:tc>
      </w:tr>
      <w:tr w14:paraId="2E4637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10EACF6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4"/>
              </w:rPr>
            </w:pPr>
            <w:r>
              <w:rPr>
                <w:rFonts w:hint="eastAsia" w:ascii="宋体" w:hAnsi="宋体" w:eastAsia="宋体" w:cs="宋体"/>
                <w:color w:val="auto"/>
                <w:sz w:val="24"/>
              </w:rPr>
              <w:t>9</w:t>
            </w:r>
          </w:p>
        </w:tc>
        <w:tc>
          <w:tcPr>
            <w:tcW w:w="90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33CCB4">
            <w:pPr>
              <w:pStyle w:val="13"/>
              <w:keepNext w:val="0"/>
              <w:keepLines w:val="0"/>
              <w:pageBreakBefore w:val="0"/>
              <w:widowControl w:val="0"/>
              <w:kinsoku/>
              <w:wordWrap/>
              <w:overflowPunct/>
              <w:topLinePunct w:val="0"/>
              <w:autoSpaceDE/>
              <w:autoSpaceDN/>
              <w:bidi w:val="0"/>
              <w:adjustRightInd/>
              <w:snapToGrid w:val="0"/>
              <w:spacing w:before="0" w:beforeLines="0" w:after="0" w:afterLines="0" w:line="46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付款方式：详见第五章合同条款。</w:t>
            </w:r>
          </w:p>
        </w:tc>
      </w:tr>
      <w:tr w14:paraId="4AF204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353443E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4"/>
              </w:rPr>
            </w:pPr>
            <w:r>
              <w:rPr>
                <w:rFonts w:hint="eastAsia" w:ascii="宋体" w:hAnsi="宋体" w:eastAsia="宋体" w:cs="宋体"/>
                <w:color w:val="auto"/>
                <w:sz w:val="24"/>
              </w:rPr>
              <w:t>10</w:t>
            </w:r>
          </w:p>
        </w:tc>
        <w:tc>
          <w:tcPr>
            <w:tcW w:w="90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DA93B3">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投标文件有效期：90天。</w:t>
            </w:r>
          </w:p>
        </w:tc>
      </w:tr>
      <w:tr w14:paraId="02FFFA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2ACE94A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4"/>
              </w:rPr>
            </w:pPr>
            <w:r>
              <w:rPr>
                <w:rFonts w:hint="eastAsia" w:ascii="宋体" w:hAnsi="宋体" w:eastAsia="宋体" w:cs="宋体"/>
                <w:color w:val="auto"/>
                <w:sz w:val="24"/>
              </w:rPr>
              <w:t>11</w:t>
            </w:r>
          </w:p>
        </w:tc>
        <w:tc>
          <w:tcPr>
            <w:tcW w:w="90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97F384">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eastAsia="宋体" w:cs="宋体"/>
                <w:color w:val="auto"/>
                <w:kern w:val="2"/>
                <w:sz w:val="24"/>
                <w:szCs w:val="24"/>
                <w:lang w:val="en-US" w:eastAsia="zh-CN" w:bidi="ar-SA"/>
              </w:rPr>
            </w:pPr>
            <w:r>
              <w:rPr>
                <w:rFonts w:hint="eastAsia" w:ascii="宋体" w:hAnsi="宋体" w:cs="宋体"/>
                <w:b/>
                <w:bCs/>
                <w:sz w:val="24"/>
              </w:rPr>
              <w:t>采购代理服务费及其他费用：采购代理服务费按国家发展改革委[2011]534号文件规定收费标准收取；</w:t>
            </w:r>
            <w:r>
              <w:rPr>
                <w:rFonts w:hint="eastAsia" w:ascii="宋体" w:hAnsi="宋体" w:cs="宋体"/>
                <w:b/>
                <w:bCs/>
                <w:sz w:val="24"/>
                <w:lang w:val="en-US" w:eastAsia="zh-CN"/>
              </w:rPr>
              <w:t>招标代理</w:t>
            </w:r>
            <w:r>
              <w:rPr>
                <w:rFonts w:hint="eastAsia" w:ascii="宋体" w:hAnsi="宋体" w:cs="宋体"/>
                <w:b/>
                <w:bCs/>
                <w:sz w:val="24"/>
              </w:rPr>
              <w:t>费用由</w:t>
            </w:r>
            <w:r>
              <w:rPr>
                <w:rFonts w:hint="eastAsia" w:ascii="宋体" w:hAnsi="宋体" w:cs="宋体"/>
                <w:b/>
                <w:bCs/>
                <w:sz w:val="24"/>
                <w:lang w:eastAsia="zh-CN"/>
              </w:rPr>
              <w:t>中标人</w:t>
            </w:r>
            <w:r>
              <w:rPr>
                <w:rFonts w:hint="eastAsia" w:ascii="宋体" w:hAnsi="宋体" w:cs="宋体"/>
                <w:b/>
                <w:bCs/>
                <w:sz w:val="24"/>
              </w:rPr>
              <w:t>支付，在成交通知书发出前付清。</w:t>
            </w:r>
          </w:p>
        </w:tc>
      </w:tr>
      <w:tr w14:paraId="137CF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25200AB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宋体" w:hAnsi="宋体" w:eastAsia="宋体" w:cs="宋体"/>
                <w:color w:val="auto"/>
                <w:sz w:val="24"/>
              </w:rPr>
            </w:pPr>
            <w:r>
              <w:rPr>
                <w:rFonts w:hint="eastAsia" w:ascii="宋体" w:hAnsi="宋体" w:eastAsia="宋体" w:cs="宋体"/>
                <w:color w:val="auto"/>
                <w:sz w:val="24"/>
              </w:rPr>
              <w:t>12</w:t>
            </w:r>
          </w:p>
        </w:tc>
        <w:tc>
          <w:tcPr>
            <w:tcW w:w="90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7973AD">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eastAsia="宋体" w:cs="宋体"/>
                <w:color w:val="auto"/>
                <w:kern w:val="2"/>
                <w:sz w:val="24"/>
                <w:szCs w:val="24"/>
                <w:lang w:val="zh-CN" w:eastAsia="zh-CN" w:bidi="ar-SA"/>
              </w:rPr>
            </w:pPr>
            <w:r>
              <w:rPr>
                <w:rFonts w:hint="eastAsia" w:ascii="宋体" w:hAnsi="宋体" w:cs="宋体"/>
                <w:b/>
                <w:bCs/>
                <w:color w:val="auto"/>
                <w:sz w:val="24"/>
                <w:highlight w:val="none"/>
              </w:rPr>
              <w:t>解释：本采购文件的解释权属于</w:t>
            </w:r>
            <w:r>
              <w:rPr>
                <w:rFonts w:hint="eastAsia" w:ascii="宋体" w:hAnsi="宋体" w:cs="宋体"/>
                <w:b/>
                <w:bCs/>
                <w:color w:val="auto"/>
                <w:sz w:val="24"/>
                <w:highlight w:val="none"/>
                <w:lang w:eastAsia="zh-CN"/>
              </w:rPr>
              <w:t>采购人</w:t>
            </w:r>
            <w:r>
              <w:rPr>
                <w:rFonts w:hint="eastAsia" w:ascii="宋体" w:hAnsi="宋体" w:cs="宋体"/>
                <w:b/>
                <w:bCs/>
                <w:color w:val="auto"/>
                <w:sz w:val="24"/>
                <w:highlight w:val="none"/>
              </w:rPr>
              <w:t>。</w:t>
            </w:r>
          </w:p>
        </w:tc>
      </w:tr>
    </w:tbl>
    <w:p w14:paraId="165C79D6">
      <w:pPr>
        <w:pStyle w:val="13"/>
        <w:keepNext w:val="0"/>
        <w:keepLines w:val="0"/>
        <w:pageBreakBefore w:val="0"/>
        <w:kinsoku/>
        <w:wordWrap/>
        <w:overflowPunct/>
        <w:topLinePunct w:val="0"/>
        <w:autoSpaceDE/>
        <w:autoSpaceDN/>
        <w:bidi w:val="0"/>
        <w:snapToGrid w:val="0"/>
        <w:spacing w:before="0" w:beforeLines="0" w:after="0" w:afterLines="0" w:line="400" w:lineRule="exact"/>
        <w:textAlignment w:val="auto"/>
        <w:outlineLvl w:val="1"/>
        <w:rPr>
          <w:rFonts w:hint="eastAsia" w:ascii="宋体" w:hAnsi="宋体" w:eastAsia="宋体" w:cs="宋体"/>
          <w:b/>
          <w:color w:val="auto"/>
        </w:rPr>
        <w:sectPr>
          <w:footerReference r:id="rId3"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D1904B9">
      <w:pPr>
        <w:keepNext w:val="0"/>
        <w:keepLines w:val="0"/>
        <w:pageBreakBefore w:val="0"/>
        <w:widowControl w:val="0"/>
        <w:kinsoku/>
        <w:wordWrap/>
        <w:overflowPunct/>
        <w:topLinePunct w:val="0"/>
        <w:autoSpaceDE/>
        <w:autoSpaceDN/>
        <w:bidi w:val="0"/>
        <w:adjustRightInd/>
        <w:snapToGrid w:val="0"/>
        <w:spacing w:line="430" w:lineRule="exact"/>
        <w:ind w:firstLine="482" w:firstLineChars="200"/>
        <w:textAlignment w:val="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一、总  则</w:t>
      </w:r>
    </w:p>
    <w:p w14:paraId="6331A1BC">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（一）适用范围</w:t>
      </w:r>
    </w:p>
    <w:p w14:paraId="0B55DA42">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仅适用于本次</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文件中项目的</w:t>
      </w: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rPr>
        <w:t>、验收、合同履约、付款等行为（法律、法规另有规定的，从其规定）。</w:t>
      </w:r>
    </w:p>
    <w:p w14:paraId="5A7910DC">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（二）定义</w:t>
      </w:r>
    </w:p>
    <w:p w14:paraId="11760A50">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1.“采购机构”系指组织本次采购的</w:t>
      </w:r>
      <w:r>
        <w:rPr>
          <w:rFonts w:hint="eastAsia" w:ascii="宋体" w:hAnsi="宋体" w:eastAsia="宋体" w:cs="宋体"/>
          <w:color w:val="auto"/>
          <w:sz w:val="24"/>
          <w:szCs w:val="24"/>
          <w:lang w:eastAsia="zh-CN"/>
        </w:rPr>
        <w:t>杭州正信工程咨询管理有限公司</w:t>
      </w:r>
      <w:r>
        <w:rPr>
          <w:rFonts w:hint="eastAsia" w:ascii="宋体" w:hAnsi="宋体" w:eastAsia="宋体" w:cs="宋体"/>
          <w:color w:val="auto"/>
          <w:sz w:val="24"/>
          <w:szCs w:val="24"/>
        </w:rPr>
        <w:t>。</w:t>
      </w:r>
    </w:p>
    <w:p w14:paraId="2821E38F">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2.“投标人”系指向采购机构提交</w:t>
      </w: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rPr>
        <w:t>文件的单位。</w:t>
      </w:r>
    </w:p>
    <w:p w14:paraId="3DC4546C">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“采购人”系指委托采购机构采购本次项目的</w:t>
      </w:r>
      <w:r>
        <w:rPr>
          <w:rFonts w:hint="eastAsia" w:ascii="宋体" w:hAnsi="宋体" w:eastAsia="宋体" w:cs="宋体"/>
          <w:color w:val="auto"/>
          <w:sz w:val="24"/>
          <w:szCs w:val="24"/>
          <w:lang w:val="en-US" w:eastAsia="zh-CN"/>
        </w:rPr>
        <w:t>浙江国兴投资集团有限公司、中国联合工程有限公司、大象建筑设计有限公司、中建三局集团有限公司</w:t>
      </w:r>
      <w:r>
        <w:rPr>
          <w:rFonts w:hint="eastAsia" w:ascii="宋体" w:hAnsi="宋体" w:eastAsia="宋体" w:cs="宋体"/>
          <w:color w:val="auto"/>
          <w:sz w:val="24"/>
          <w:szCs w:val="24"/>
        </w:rPr>
        <w:t>。</w:t>
      </w:r>
    </w:p>
    <w:p w14:paraId="401BC33A">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4.“产品”系指供方按采购文件规定，须向采购人提供的</w:t>
      </w:r>
      <w:r>
        <w:rPr>
          <w:rFonts w:hint="eastAsia" w:ascii="宋体" w:hAnsi="宋体" w:eastAsia="宋体" w:cs="宋体"/>
          <w:color w:val="auto"/>
          <w:sz w:val="24"/>
          <w:szCs w:val="24"/>
          <w:lang w:eastAsia="zh-CN"/>
        </w:rPr>
        <w:t>一切设备</w:t>
      </w:r>
      <w:r>
        <w:rPr>
          <w:rFonts w:hint="eastAsia" w:ascii="宋体" w:hAnsi="宋体" w:eastAsia="宋体" w:cs="宋体"/>
          <w:color w:val="auto"/>
          <w:sz w:val="24"/>
          <w:szCs w:val="24"/>
        </w:rPr>
        <w:t>、保险、税金、备品备件、工具、手册及其它有关技术资料和材料。</w:t>
      </w:r>
    </w:p>
    <w:p w14:paraId="0715AF19">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“服务”系指采购文件规定投标人须承担的</w:t>
      </w:r>
      <w:r>
        <w:rPr>
          <w:rFonts w:hint="eastAsia" w:ascii="宋体" w:hAnsi="宋体" w:eastAsia="宋体" w:cs="宋体"/>
          <w:color w:val="auto"/>
          <w:sz w:val="24"/>
          <w:szCs w:val="24"/>
          <w:lang w:eastAsia="zh-CN"/>
        </w:rPr>
        <w:t>项目</w:t>
      </w:r>
      <w:r>
        <w:rPr>
          <w:rFonts w:hint="eastAsia" w:ascii="宋体" w:hAnsi="宋体" w:eastAsia="宋体" w:cs="宋体"/>
          <w:color w:val="auto"/>
          <w:sz w:val="24"/>
          <w:szCs w:val="24"/>
        </w:rPr>
        <w:t>以及其他类似的义务。</w:t>
      </w:r>
    </w:p>
    <w:p w14:paraId="73B9B68A">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6.“项目”系指响应方按采购文件规定向采购人提供的</w:t>
      </w:r>
      <w:r>
        <w:rPr>
          <w:rFonts w:hint="eastAsia" w:ascii="宋体" w:hAnsi="宋体" w:eastAsia="宋体" w:cs="宋体"/>
          <w:color w:val="auto"/>
          <w:sz w:val="24"/>
          <w:szCs w:val="24"/>
          <w:lang w:val="en-US" w:eastAsia="zh-CN"/>
        </w:rPr>
        <w:t>设备</w:t>
      </w:r>
      <w:r>
        <w:rPr>
          <w:rFonts w:hint="eastAsia" w:ascii="宋体" w:hAnsi="宋体" w:eastAsia="宋体" w:cs="宋体"/>
          <w:color w:val="auto"/>
          <w:sz w:val="24"/>
          <w:szCs w:val="24"/>
        </w:rPr>
        <w:t>、材料和服务。</w:t>
      </w:r>
    </w:p>
    <w:p w14:paraId="352EA8DE">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（三）开标委托</w:t>
      </w:r>
    </w:p>
    <w:p w14:paraId="4A114301">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本项目无须投标人到场参加开标会议。</w:t>
      </w:r>
    </w:p>
    <w:p w14:paraId="3F3E278E">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（四）投标费用</w:t>
      </w:r>
    </w:p>
    <w:p w14:paraId="2098C13F">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不论采购结果如何，投标人均应自行承担所有与投标有关的全部费用（</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文件有其他规定的除外）。</w:t>
      </w:r>
    </w:p>
    <w:p w14:paraId="001C43C6">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（五）特别说明</w:t>
      </w:r>
    </w:p>
    <w:p w14:paraId="494F2195">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1.投标人投标所使用的资格、信誉、荣誉、业绩与企业认证须为本法人所拥有。投标人投标所使用的项目实施人员必须为本法人员工（或必须为本法人或控股公司正式员工）。</w:t>
      </w:r>
    </w:p>
    <w:p w14:paraId="1A6CC045">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2.投标人应仔细阅读</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文件的所有内容，按照</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文件的要求提交</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，并对所提供的全部资料的真实性承担法律责任。</w:t>
      </w:r>
    </w:p>
    <w:p w14:paraId="31C8A6BE">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本项目不允许转包、</w:t>
      </w:r>
      <w:r>
        <w:rPr>
          <w:rFonts w:hint="eastAsia" w:ascii="宋体" w:hAnsi="宋体" w:eastAsia="宋体" w:cs="宋体"/>
          <w:color w:val="auto"/>
          <w:sz w:val="24"/>
          <w:szCs w:val="24"/>
          <w:lang w:eastAsia="zh-CN"/>
        </w:rPr>
        <w:t>违法</w:t>
      </w:r>
      <w:r>
        <w:rPr>
          <w:rFonts w:hint="eastAsia" w:ascii="宋体" w:hAnsi="宋体" w:eastAsia="宋体" w:cs="宋体"/>
          <w:color w:val="auto"/>
          <w:sz w:val="24"/>
          <w:szCs w:val="24"/>
        </w:rPr>
        <w:t>分包，否则采购人有权追究责任</w:t>
      </w:r>
      <w:r>
        <w:rPr>
          <w:rFonts w:hint="eastAsia" w:ascii="宋体" w:hAnsi="宋体" w:eastAsia="宋体" w:cs="宋体"/>
          <w:color w:val="auto"/>
          <w:sz w:val="24"/>
          <w:szCs w:val="24"/>
          <w:lang w:eastAsia="zh-CN"/>
        </w:rPr>
        <w:t>。</w:t>
      </w:r>
    </w:p>
    <w:p w14:paraId="53C29276">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4.投标人自行踏勘现场，踏勘现场发生的费用自理，投标人自行负责在踏勘现场中所发生的人员伤亡和财产损失。</w:t>
      </w:r>
    </w:p>
    <w:p w14:paraId="1EED4B26">
      <w:pPr>
        <w:keepNext w:val="0"/>
        <w:keepLines w:val="0"/>
        <w:pageBreakBefore w:val="0"/>
        <w:widowControl w:val="0"/>
        <w:kinsoku/>
        <w:wordWrap/>
        <w:overflowPunct/>
        <w:topLinePunct w:val="0"/>
        <w:autoSpaceDE/>
        <w:autoSpaceDN/>
        <w:bidi w:val="0"/>
        <w:adjustRightInd/>
        <w:snapToGrid w:val="0"/>
        <w:spacing w:line="430" w:lineRule="exact"/>
        <w:ind w:firstLine="357" w:firstLineChars="148"/>
        <w:jc w:val="left"/>
        <w:textAlignment w:val="auto"/>
        <w:outlineLvl w:val="2"/>
        <w:rPr>
          <w:rFonts w:hint="eastAsia" w:ascii="宋体" w:hAnsi="宋体" w:eastAsia="宋体" w:cs="宋体"/>
          <w:b/>
          <w:bCs/>
          <w:color w:val="auto"/>
          <w:sz w:val="24"/>
          <w:szCs w:val="24"/>
        </w:rPr>
      </w:pP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单位负责人为同一人或者存在直接控股、管理关系的不同供应商，不得参加同一合同项下的政府采购活动。</w:t>
      </w:r>
    </w:p>
    <w:p w14:paraId="20A1F17F">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（六）</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文件的澄清与修改</w:t>
      </w:r>
    </w:p>
    <w:p w14:paraId="68C23C4B">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1.投标人应认真阅读本采购文件，发现其中有误或有不合理要求的，投标人应当</w:t>
      </w:r>
      <w:r>
        <w:rPr>
          <w:rFonts w:hint="eastAsia" w:ascii="宋体" w:hAnsi="宋体" w:eastAsia="宋体" w:cs="宋体"/>
          <w:color w:val="auto"/>
          <w:sz w:val="24"/>
          <w:szCs w:val="24"/>
          <w:lang w:eastAsia="zh-CN"/>
        </w:rPr>
        <w:t>规定时间</w:t>
      </w:r>
      <w:r>
        <w:rPr>
          <w:rFonts w:hint="eastAsia" w:ascii="宋体" w:hAnsi="宋体" w:eastAsia="宋体" w:cs="宋体"/>
          <w:color w:val="auto"/>
          <w:sz w:val="24"/>
          <w:szCs w:val="24"/>
        </w:rPr>
        <w:t>前以书面形式向</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或</w:t>
      </w:r>
      <w:r>
        <w:rPr>
          <w:rFonts w:hint="eastAsia" w:ascii="宋体" w:hAnsi="宋体" w:eastAsia="宋体" w:cs="宋体"/>
          <w:color w:val="auto"/>
          <w:sz w:val="24"/>
          <w:szCs w:val="24"/>
          <w:lang w:eastAsia="zh-CN"/>
        </w:rPr>
        <w:t>采购机构</w:t>
      </w:r>
      <w:r>
        <w:rPr>
          <w:rFonts w:hint="eastAsia" w:ascii="宋体" w:hAnsi="宋体" w:eastAsia="宋体" w:cs="宋体"/>
          <w:color w:val="auto"/>
          <w:sz w:val="24"/>
          <w:szCs w:val="24"/>
        </w:rPr>
        <w:t>提出。</w:t>
      </w:r>
      <w:r>
        <w:rPr>
          <w:rFonts w:hint="eastAsia" w:ascii="宋体" w:hAnsi="宋体" w:eastAsia="宋体" w:cs="宋体"/>
          <w:color w:val="auto"/>
          <w:sz w:val="24"/>
          <w:szCs w:val="24"/>
          <w:lang w:eastAsia="zh-CN"/>
        </w:rPr>
        <w:t>采购机构</w:t>
      </w:r>
      <w:r>
        <w:rPr>
          <w:rFonts w:hint="eastAsia" w:ascii="宋体" w:hAnsi="宋体" w:eastAsia="宋体" w:cs="宋体"/>
          <w:color w:val="auto"/>
          <w:sz w:val="24"/>
          <w:szCs w:val="24"/>
        </w:rPr>
        <w:t>将在规定的时间内，在浙江政府采购</w:t>
      </w:r>
      <w:r>
        <w:rPr>
          <w:rFonts w:hint="eastAsia" w:ascii="宋体" w:hAnsi="宋体" w:eastAsia="宋体" w:cs="宋体"/>
          <w:color w:val="auto"/>
          <w:sz w:val="24"/>
          <w:szCs w:val="24"/>
          <w:lang w:val="en-US" w:eastAsia="zh-CN"/>
        </w:rPr>
        <w:t>网</w:t>
      </w:r>
      <w:r>
        <w:rPr>
          <w:rFonts w:hint="eastAsia" w:ascii="宋体" w:hAnsi="宋体" w:eastAsia="宋体" w:cs="宋体"/>
          <w:color w:val="auto"/>
          <w:sz w:val="24"/>
          <w:szCs w:val="24"/>
        </w:rPr>
        <w:t>信息发布媒体上发布更正公告。</w:t>
      </w:r>
    </w:p>
    <w:p w14:paraId="7CE12FDF">
      <w:pPr>
        <w:keepNext w:val="0"/>
        <w:keepLines w:val="0"/>
        <w:pageBreakBefore w:val="0"/>
        <w:widowControl w:val="0"/>
        <w:kinsoku/>
        <w:wordWrap/>
        <w:overflowPunct/>
        <w:topLinePunct w:val="0"/>
        <w:autoSpaceDE/>
        <w:autoSpaceDN/>
        <w:bidi w:val="0"/>
        <w:adjustRightInd/>
        <w:snapToGrid w:val="0"/>
        <w:spacing w:line="430" w:lineRule="exact"/>
        <w:ind w:firstLine="355" w:firstLineChars="148"/>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文件澄清、答复、修改、补充的内容为</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文件的组成部分。当</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文件与</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文件的答复、澄清、修改、补充通知就同一内容的表述不一致时，以最后发出的书面文件为准。</w:t>
      </w:r>
    </w:p>
    <w:p w14:paraId="6CE0E544">
      <w:pPr>
        <w:keepNext w:val="0"/>
        <w:keepLines w:val="0"/>
        <w:pageBreakBefore w:val="0"/>
        <w:widowControl w:val="0"/>
        <w:kinsoku/>
        <w:wordWrap/>
        <w:overflowPunct/>
        <w:topLinePunct w:val="0"/>
        <w:autoSpaceDE/>
        <w:autoSpaceDN/>
        <w:bidi w:val="0"/>
        <w:adjustRightInd/>
        <w:snapToGrid w:val="0"/>
        <w:spacing w:line="430" w:lineRule="exact"/>
        <w:ind w:firstLine="482" w:firstLineChars="200"/>
        <w:textAlignment w:val="auto"/>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w:t>
      </w:r>
      <w:r>
        <w:rPr>
          <w:rFonts w:hint="eastAsia" w:ascii="宋体" w:hAnsi="宋体" w:eastAsia="宋体" w:cs="宋体"/>
          <w:b/>
          <w:bCs/>
          <w:color w:val="auto"/>
          <w:sz w:val="24"/>
          <w:szCs w:val="24"/>
          <w:highlight w:val="none"/>
          <w:lang w:eastAsia="zh-CN"/>
        </w:rPr>
        <w:t>投标</w:t>
      </w:r>
      <w:r>
        <w:rPr>
          <w:rFonts w:hint="eastAsia" w:ascii="宋体" w:hAnsi="宋体" w:eastAsia="宋体" w:cs="宋体"/>
          <w:b/>
          <w:bCs/>
          <w:color w:val="auto"/>
          <w:sz w:val="24"/>
          <w:szCs w:val="24"/>
          <w:highlight w:val="none"/>
        </w:rPr>
        <w:t>文件的编制</w:t>
      </w:r>
    </w:p>
    <w:p w14:paraId="44B5E5EC">
      <w:pPr>
        <w:keepNext w:val="0"/>
        <w:keepLines w:val="0"/>
        <w:pageBreakBefore w:val="0"/>
        <w:widowControl w:val="0"/>
        <w:kinsoku/>
        <w:wordWrap/>
        <w:overflowPunct/>
        <w:topLinePunct w:val="0"/>
        <w:autoSpaceDE/>
        <w:autoSpaceDN/>
        <w:bidi w:val="0"/>
        <w:adjustRightInd/>
        <w:snapToGrid w:val="0"/>
        <w:spacing w:line="430" w:lineRule="exact"/>
        <w:ind w:firstLine="482" w:firstLineChars="200"/>
        <w:textAlignment w:val="auto"/>
        <w:outlineLvl w:val="2"/>
        <w:rPr>
          <w:rFonts w:hint="eastAsia" w:ascii="宋体" w:hAnsi="宋体" w:eastAsia="宋体" w:cs="宋体"/>
          <w:b w:val="0"/>
          <w:bCs w:val="0"/>
          <w:color w:val="auto"/>
          <w:sz w:val="24"/>
          <w:szCs w:val="24"/>
          <w:highlight w:val="none"/>
          <w:lang w:eastAsia="zh-CN"/>
        </w:rPr>
      </w:pPr>
      <w:r>
        <w:rPr>
          <w:rFonts w:hint="eastAsia" w:ascii="宋体" w:hAnsi="宋体" w:eastAsia="宋体" w:cs="宋体"/>
          <w:b/>
          <w:bCs/>
          <w:color w:val="auto"/>
          <w:sz w:val="24"/>
          <w:szCs w:val="24"/>
          <w:highlight w:val="none"/>
        </w:rPr>
        <w:t>投标文件为电子投标文件。电子投标文件，按“乐采云供应商项目采购-电子招投标操作指南”及本采购文件要求制作、加密并递交。</w:t>
      </w:r>
    </w:p>
    <w:p w14:paraId="4B1672F7">
      <w:pPr>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outlineLvl w:val="2"/>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eastAsia="zh-CN"/>
        </w:rPr>
        <w:t>（一）</w:t>
      </w:r>
      <w:r>
        <w:rPr>
          <w:rFonts w:hint="eastAsia" w:ascii="宋体" w:hAnsi="宋体" w:eastAsia="宋体" w:cs="宋体"/>
          <w:color w:val="auto"/>
          <w:sz w:val="24"/>
          <w:szCs w:val="24"/>
          <w:highlight w:val="none"/>
        </w:rPr>
        <w:t>投标文件的组成</w:t>
      </w:r>
    </w:p>
    <w:p w14:paraId="30945185">
      <w:pPr>
        <w:keepNext w:val="0"/>
        <w:keepLines w:val="0"/>
        <w:pageBreakBefore w:val="0"/>
        <w:widowControl w:val="0"/>
        <w:kinsoku/>
        <w:wordWrap/>
        <w:overflowPunct/>
        <w:topLinePunct w:val="0"/>
        <w:autoSpaceDE/>
        <w:autoSpaceDN/>
        <w:bidi w:val="0"/>
        <w:adjustRightInd/>
        <w:snapToGrid w:val="0"/>
        <w:spacing w:line="430" w:lineRule="exact"/>
        <w:ind w:firstLine="482" w:firstLineChars="200"/>
        <w:textAlignment w:val="auto"/>
        <w:outlineLvl w:val="2"/>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sz w:val="24"/>
          <w:szCs w:val="24"/>
          <w:highlight w:val="none"/>
        </w:rPr>
        <w:t>投标文件组成包括资格审查文件、</w:t>
      </w:r>
      <w:r>
        <w:rPr>
          <w:rFonts w:hint="eastAsia" w:ascii="宋体" w:hAnsi="宋体" w:eastAsia="宋体" w:cs="宋体"/>
          <w:b/>
          <w:bCs/>
          <w:color w:val="auto"/>
          <w:sz w:val="24"/>
          <w:szCs w:val="24"/>
          <w:highlight w:val="none"/>
          <w:lang w:eastAsia="zh-CN"/>
        </w:rPr>
        <w:t>商务技术文件</w:t>
      </w:r>
      <w:r>
        <w:rPr>
          <w:rFonts w:hint="eastAsia" w:ascii="宋体" w:hAnsi="宋体" w:eastAsia="宋体" w:cs="宋体"/>
          <w:b/>
          <w:bCs/>
          <w:color w:val="auto"/>
          <w:sz w:val="24"/>
          <w:szCs w:val="24"/>
          <w:highlight w:val="none"/>
        </w:rPr>
        <w:t>、报价文件三部份，电子投标文件中所须加盖公章部分均采用CA签章。</w:t>
      </w:r>
    </w:p>
    <w:p w14:paraId="0B353E68">
      <w:pPr>
        <w:keepNext w:val="0"/>
        <w:keepLines w:val="0"/>
        <w:pageBreakBefore w:val="0"/>
        <w:widowControl w:val="0"/>
        <w:kinsoku/>
        <w:wordWrap/>
        <w:overflowPunct/>
        <w:topLinePunct w:val="0"/>
        <w:autoSpaceDE/>
        <w:autoSpaceDN/>
        <w:bidi w:val="0"/>
        <w:adjustRightInd/>
        <w:snapToGrid w:val="0"/>
        <w:spacing w:line="430" w:lineRule="exact"/>
        <w:ind w:firstLine="482" w:firstLineChars="20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1.</w:t>
      </w:r>
      <w:r>
        <w:rPr>
          <w:rFonts w:hint="eastAsia" w:ascii="宋体" w:hAnsi="宋体" w:eastAsia="宋体" w:cs="宋体"/>
          <w:b/>
          <w:bCs/>
          <w:color w:val="auto"/>
          <w:sz w:val="24"/>
          <w:szCs w:val="24"/>
          <w:lang w:eastAsia="zh-CN"/>
        </w:rPr>
        <w:t>资格</w:t>
      </w:r>
      <w:r>
        <w:rPr>
          <w:rFonts w:hint="eastAsia" w:ascii="宋体" w:hAnsi="宋体" w:eastAsia="宋体" w:cs="宋体"/>
          <w:b/>
          <w:bCs/>
          <w:color w:val="auto"/>
          <w:sz w:val="24"/>
          <w:szCs w:val="24"/>
        </w:rPr>
        <w:t>文件内容</w:t>
      </w:r>
      <w:r>
        <w:rPr>
          <w:rFonts w:hint="eastAsia" w:ascii="宋体" w:hAnsi="宋体" w:eastAsia="宋体" w:cs="宋体"/>
          <w:b/>
          <w:color w:val="auto"/>
          <w:sz w:val="24"/>
          <w:szCs w:val="24"/>
        </w:rPr>
        <w:t>：</w:t>
      </w:r>
    </w:p>
    <w:p w14:paraId="71703D7A">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（1）承诺函（提供相应证明材料）</w:t>
      </w:r>
    </w:p>
    <w:p w14:paraId="712F0996">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（2）法定代表人资格证明书（附身份证扫描件）</w:t>
      </w:r>
    </w:p>
    <w:p w14:paraId="509A73DA">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（3）法定代表人授权委托书（附身份证扫描件）</w:t>
      </w:r>
    </w:p>
    <w:p w14:paraId="31B6802C">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（4）其它特定资格条件要求的证明文件（如营业执照等）</w:t>
      </w:r>
    </w:p>
    <w:p w14:paraId="61C61618">
      <w:pPr>
        <w:pStyle w:val="24"/>
        <w:keepNext w:val="0"/>
        <w:keepLines w:val="0"/>
        <w:pageBreakBefore w:val="0"/>
        <w:widowControl w:val="0"/>
        <w:kinsoku/>
        <w:wordWrap/>
        <w:overflowPunct/>
        <w:topLinePunct w:val="0"/>
        <w:autoSpaceDE/>
        <w:autoSpaceDN/>
        <w:bidi w:val="0"/>
        <w:adjustRightInd/>
        <w:snapToGrid/>
        <w:spacing w:after="0" w:line="430" w:lineRule="exact"/>
        <w:ind w:firstLine="482" w:firstLineChars="20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上述资格条件审查材料有一项不提供的，视为资格审查不通过，做无效标处理。</w:t>
      </w:r>
    </w:p>
    <w:p w14:paraId="7259B049">
      <w:pPr>
        <w:keepNext w:val="0"/>
        <w:keepLines w:val="0"/>
        <w:pageBreakBefore w:val="0"/>
        <w:widowControl w:val="0"/>
        <w:numPr>
          <w:ilvl w:val="0"/>
          <w:numId w:val="0"/>
        </w:numPr>
        <w:kinsoku/>
        <w:wordWrap/>
        <w:overflowPunct/>
        <w:topLinePunct w:val="0"/>
        <w:autoSpaceDE/>
        <w:autoSpaceDN/>
        <w:bidi w:val="0"/>
        <w:adjustRightInd/>
        <w:snapToGrid w:val="0"/>
        <w:spacing w:line="430" w:lineRule="exact"/>
        <w:ind w:leftChars="0" w:firstLine="48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2.商务技术文件内容：</w:t>
      </w:r>
    </w:p>
    <w:p w14:paraId="26820D9E">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（1）评分对应表</w:t>
      </w:r>
      <w:r>
        <w:rPr>
          <w:rFonts w:hint="eastAsia" w:ascii="宋体" w:hAnsi="宋体" w:eastAsia="宋体" w:cs="宋体"/>
          <w:b/>
          <w:bCs/>
          <w:color w:val="auto"/>
          <w:sz w:val="24"/>
          <w:szCs w:val="24"/>
          <w:highlight w:val="none"/>
          <w:lang w:val="en-US" w:eastAsia="zh-CN"/>
        </w:rPr>
        <w:t>（格式自拟，主要用于评标委员会对应评分内容）</w:t>
      </w:r>
      <w:r>
        <w:rPr>
          <w:rFonts w:hint="eastAsia" w:ascii="宋体" w:hAnsi="宋体" w:eastAsia="宋体" w:cs="宋体"/>
          <w:color w:val="auto"/>
          <w:sz w:val="24"/>
          <w:szCs w:val="24"/>
          <w:highlight w:val="none"/>
          <w:lang w:val="en-US" w:eastAsia="zh-CN"/>
        </w:rPr>
        <w:t>；</w:t>
      </w:r>
    </w:p>
    <w:p w14:paraId="4F610966">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（2）声明书； </w:t>
      </w:r>
    </w:p>
    <w:p w14:paraId="766AD19C">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（3）法人授权委托书；</w:t>
      </w:r>
    </w:p>
    <w:p w14:paraId="1C46E6A0">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（4）法定代表人及授权委托人的身份证（复印件）；</w:t>
      </w:r>
    </w:p>
    <w:p w14:paraId="41CB61F4">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（5）所有资质文件（含节能、环保、创新等凭证复印件）； </w:t>
      </w:r>
    </w:p>
    <w:p w14:paraId="1EAA7C40">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（6）投标人企业介绍（含企业概况、技术力量、主要产品、生产规模、市场业绩等）； </w:t>
      </w:r>
    </w:p>
    <w:p w14:paraId="4DE5EB5B">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（7）主要类似业绩证明； </w:t>
      </w:r>
    </w:p>
    <w:p w14:paraId="6467A841">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（8）商务偏离说明表；</w:t>
      </w:r>
    </w:p>
    <w:p w14:paraId="7434DC80">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（9）关于对采购文件中有关条款的拒绝声明；</w:t>
      </w:r>
    </w:p>
    <w:p w14:paraId="2B6E0BD7">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（10）拟派项目成员配备表；</w:t>
      </w:r>
    </w:p>
    <w:p w14:paraId="0C6E3420">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（11）技术偏离说明（格式附后）；</w:t>
      </w:r>
    </w:p>
    <w:p w14:paraId="3F98E208">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（12）采购文件要求的或投标人认为需要的其它资料（格式自拟）。</w:t>
      </w:r>
    </w:p>
    <w:p w14:paraId="1CBCE303">
      <w:pPr>
        <w:keepNext w:val="0"/>
        <w:keepLines w:val="0"/>
        <w:pageBreakBefore w:val="0"/>
        <w:widowControl w:val="0"/>
        <w:kinsoku/>
        <w:wordWrap/>
        <w:overflowPunct/>
        <w:topLinePunct w:val="0"/>
        <w:autoSpaceDE/>
        <w:autoSpaceDN/>
        <w:bidi w:val="0"/>
        <w:adjustRightInd/>
        <w:snapToGrid w:val="0"/>
        <w:spacing w:line="430" w:lineRule="exact"/>
        <w:ind w:firstLine="482" w:firstLineChars="200"/>
        <w:textAlignment w:val="auto"/>
        <w:outlineLvl w:val="2"/>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注：以上目录是编制技术响应内容的基本格式要求，供参考，投标人可根据自身情况进一步补充、细化、优化。</w:t>
      </w:r>
    </w:p>
    <w:p w14:paraId="6C56C8D9">
      <w:pPr>
        <w:pStyle w:val="24"/>
        <w:keepNext w:val="0"/>
        <w:keepLines w:val="0"/>
        <w:pageBreakBefore w:val="0"/>
        <w:widowControl w:val="0"/>
        <w:kinsoku/>
        <w:wordWrap/>
        <w:overflowPunct/>
        <w:topLinePunct w:val="0"/>
        <w:autoSpaceDE/>
        <w:autoSpaceDN/>
        <w:bidi w:val="0"/>
        <w:adjustRightInd/>
        <w:snapToGrid/>
        <w:spacing w:after="0" w:line="430" w:lineRule="exact"/>
        <w:ind w:firstLine="482" w:firstLineChars="20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3.报价文件：</w:t>
      </w:r>
    </w:p>
    <w:p w14:paraId="24552797">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（1）报价一览表；</w:t>
      </w:r>
    </w:p>
    <w:p w14:paraId="1563532B">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（2）报价明细表（格式参考设备清单表）；</w:t>
      </w:r>
    </w:p>
    <w:p w14:paraId="68417D3C">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（3）主要材料品牌表</w:t>
      </w:r>
    </w:p>
    <w:p w14:paraId="0B21C206">
      <w:pPr>
        <w:pStyle w:val="18"/>
        <w:keepNext w:val="0"/>
        <w:keepLines w:val="0"/>
        <w:pageBreakBefore w:val="0"/>
        <w:widowControl w:val="0"/>
        <w:numPr>
          <w:ilvl w:val="0"/>
          <w:numId w:val="0"/>
        </w:numPr>
        <w:kinsoku/>
        <w:wordWrap/>
        <w:overflowPunct/>
        <w:topLinePunct w:val="0"/>
        <w:autoSpaceDE/>
        <w:autoSpaceDN/>
        <w:bidi w:val="0"/>
        <w:adjustRightInd/>
        <w:spacing w:line="430" w:lineRule="exact"/>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（4）采购文件要求的或投标人认为需要的其它资料。</w:t>
      </w:r>
    </w:p>
    <w:p w14:paraId="7A77BE36">
      <w:pPr>
        <w:pStyle w:val="24"/>
        <w:keepNext w:val="0"/>
        <w:keepLines w:val="0"/>
        <w:pageBreakBefore w:val="0"/>
        <w:widowControl w:val="0"/>
        <w:kinsoku/>
        <w:wordWrap/>
        <w:overflowPunct/>
        <w:topLinePunct w:val="0"/>
        <w:autoSpaceDE/>
        <w:autoSpaceDN/>
        <w:bidi w:val="0"/>
        <w:adjustRightInd/>
        <w:snapToGrid/>
        <w:spacing w:after="0" w:line="430" w:lineRule="exact"/>
        <w:ind w:firstLine="482" w:firstLineChars="20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投标人在《资格文件》和《商务技术文件》中不得出现本项目报价，如因投标人原因提前泄露报价，是投标人的责任。</w:t>
      </w:r>
    </w:p>
    <w:p w14:paraId="171D19F7">
      <w:pPr>
        <w:keepNext w:val="0"/>
        <w:keepLines w:val="0"/>
        <w:pageBreakBefore w:val="0"/>
        <w:widowControl w:val="0"/>
        <w:kinsoku/>
        <w:wordWrap/>
        <w:overflowPunct/>
        <w:topLinePunct w:val="0"/>
        <w:autoSpaceDE/>
        <w:autoSpaceDN/>
        <w:bidi w:val="0"/>
        <w:adjustRightInd/>
        <w:snapToGrid w:val="0"/>
        <w:spacing w:line="430" w:lineRule="exact"/>
        <w:ind w:firstLine="470" w:firstLineChars="196"/>
        <w:jc w:val="left"/>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（二）投标文件的语言及计量</w:t>
      </w:r>
    </w:p>
    <w:p w14:paraId="40B5B4C3">
      <w:pPr>
        <w:keepNext w:val="0"/>
        <w:keepLines w:val="0"/>
        <w:pageBreakBefore w:val="0"/>
        <w:widowControl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1.投标文件以及投标人与采购机构就有关投标事宜的所有来往函电，均应以中文汉语书写。除签名、盖章、专用名称等特殊情形外，以中文汉语以外的文字表述的投标文件视同未提供。</w:t>
      </w:r>
    </w:p>
    <w:p w14:paraId="3A84B864">
      <w:pPr>
        <w:keepNext w:val="0"/>
        <w:keepLines w:val="0"/>
        <w:pageBreakBefore w:val="0"/>
        <w:widowControl w:val="0"/>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2.投标计量单位，采购文件已有明确规定的，使用采购文件规定的计量单位，采购文件没有规定的，应采用中华人民共和国法定计量单位（货币单位：人民币元），否则视同未响应。</w:t>
      </w:r>
    </w:p>
    <w:p w14:paraId="7CC6B17C">
      <w:pPr>
        <w:keepNext w:val="0"/>
        <w:keepLines w:val="0"/>
        <w:pageBreakBefore w:val="0"/>
        <w:widowControl w:val="0"/>
        <w:kinsoku/>
        <w:wordWrap/>
        <w:overflowPunct/>
        <w:topLinePunct w:val="0"/>
        <w:autoSpaceDE/>
        <w:autoSpaceDN/>
        <w:bidi w:val="0"/>
        <w:adjustRightInd/>
        <w:snapToGrid w:val="0"/>
        <w:spacing w:line="430" w:lineRule="exact"/>
        <w:ind w:firstLine="470" w:firstLineChars="196"/>
        <w:jc w:val="left"/>
        <w:textAlignment w:val="auto"/>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（三）投标报价</w:t>
      </w:r>
    </w:p>
    <w:p w14:paraId="1A728151">
      <w:pPr>
        <w:keepNext w:val="0"/>
        <w:keepLines w:val="0"/>
        <w:pageBreakBefore w:val="0"/>
        <w:widowControl w:val="0"/>
        <w:tabs>
          <w:tab w:val="left" w:pos="525"/>
        </w:tabs>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1.投标文件只允许有一个报价，报价应按采购文件中相关附表格式填报</w:t>
      </w:r>
      <w:r>
        <w:rPr>
          <w:rFonts w:hint="eastAsia" w:ascii="宋体" w:hAnsi="宋体" w:eastAsia="宋体" w:cs="宋体"/>
          <w:color w:val="auto"/>
          <w:sz w:val="24"/>
          <w:szCs w:val="24"/>
          <w:highlight w:val="none"/>
          <w:lang w:eastAsia="zh-CN"/>
        </w:rPr>
        <w:t>；</w:t>
      </w:r>
    </w:p>
    <w:p w14:paraId="493AC8DE">
      <w:pPr>
        <w:pStyle w:val="24"/>
        <w:keepNext w:val="0"/>
        <w:keepLines w:val="0"/>
        <w:pageBreakBefore w:val="0"/>
        <w:widowControl w:val="0"/>
        <w:kinsoku/>
        <w:wordWrap/>
        <w:overflowPunct/>
        <w:topLinePunct w:val="0"/>
        <w:autoSpaceDE/>
        <w:autoSpaceDN/>
        <w:bidi w:val="0"/>
        <w:adjustRightInd/>
        <w:snapToGrid/>
        <w:spacing w:after="0" w:line="430" w:lineRule="exact"/>
        <w:ind w:firstLine="480" w:firstLineChars="20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4"/>
          <w:szCs w:val="24"/>
          <w:highlight w:val="none"/>
        </w:rPr>
        <w:t>2.投标报价是履行合同的最终价格，</w:t>
      </w:r>
      <w:r>
        <w:rPr>
          <w:rFonts w:hint="eastAsia" w:ascii="宋体" w:hAnsi="宋体" w:eastAsia="宋体" w:cs="宋体"/>
          <w:b/>
          <w:bCs/>
          <w:color w:val="auto"/>
          <w:sz w:val="24"/>
          <w:szCs w:val="24"/>
          <w:highlight w:val="none"/>
        </w:rPr>
        <w:t>投标报价应</w:t>
      </w:r>
      <w:r>
        <w:rPr>
          <w:rFonts w:hint="eastAsia" w:ascii="宋体" w:hAnsi="宋体" w:eastAsia="宋体" w:cs="宋体"/>
          <w:b/>
          <w:bCs/>
          <w:color w:val="auto"/>
          <w:sz w:val="24"/>
          <w:szCs w:val="24"/>
          <w:highlight w:val="none"/>
          <w:lang w:val="en-US" w:eastAsia="zh-CN"/>
        </w:rPr>
        <w:t>包括一切设备、保险、税金、备品备件、</w:t>
      </w:r>
      <w:r>
        <w:rPr>
          <w:rFonts w:hint="eastAsia" w:ascii="宋体" w:hAnsi="宋体" w:eastAsia="宋体" w:cs="宋体"/>
          <w:b/>
          <w:bCs/>
          <w:color w:val="auto"/>
          <w:kern w:val="2"/>
          <w:sz w:val="24"/>
          <w:szCs w:val="24"/>
          <w:highlight w:val="none"/>
          <w:lang w:val="en-US" w:eastAsia="zh-CN" w:bidi="ar-SA"/>
        </w:rPr>
        <w:t>工具、手册、售后服务费、招标代理费、不可预知费用开销及相应的风险金等为完成本次项目所涉及的一切费用。未列入报价的费用将被视为投标人优惠 ，采购人均不予支付。</w:t>
      </w:r>
    </w:p>
    <w:p w14:paraId="0A20B641">
      <w:pPr>
        <w:pStyle w:val="24"/>
        <w:keepNext w:val="0"/>
        <w:keepLines w:val="0"/>
        <w:pageBreakBefore w:val="0"/>
        <w:widowControl w:val="0"/>
        <w:kinsoku/>
        <w:wordWrap/>
        <w:overflowPunct/>
        <w:topLinePunct w:val="0"/>
        <w:autoSpaceDE/>
        <w:autoSpaceDN/>
        <w:bidi w:val="0"/>
        <w:adjustRightInd/>
        <w:snapToGrid/>
        <w:spacing w:after="0" w:line="430" w:lineRule="exact"/>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3.各投标供应商根据自身的综合实力，充分考虑本项目的各种情况竞争报价。</w:t>
      </w:r>
    </w:p>
    <w:p w14:paraId="238B3C2D">
      <w:pPr>
        <w:pStyle w:val="24"/>
        <w:keepNext w:val="0"/>
        <w:keepLines w:val="0"/>
        <w:pageBreakBefore w:val="0"/>
        <w:widowControl w:val="0"/>
        <w:kinsoku/>
        <w:wordWrap/>
        <w:overflowPunct/>
        <w:topLinePunct w:val="0"/>
        <w:autoSpaceDE/>
        <w:autoSpaceDN/>
        <w:bidi w:val="0"/>
        <w:adjustRightInd/>
        <w:snapToGrid/>
        <w:spacing w:after="0" w:line="430" w:lineRule="exact"/>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4.所有投标报价必须以人民币报价，否则不予接受。</w:t>
      </w:r>
    </w:p>
    <w:p w14:paraId="24CD7CA9">
      <w:pPr>
        <w:pStyle w:val="24"/>
        <w:keepNext w:val="0"/>
        <w:keepLines w:val="0"/>
        <w:pageBreakBefore w:val="0"/>
        <w:widowControl w:val="0"/>
        <w:kinsoku/>
        <w:wordWrap/>
        <w:overflowPunct/>
        <w:topLinePunct w:val="0"/>
        <w:autoSpaceDE/>
        <w:autoSpaceDN/>
        <w:bidi w:val="0"/>
        <w:adjustRightInd/>
        <w:snapToGrid/>
        <w:spacing w:after="0" w:line="43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（四）投标文件的有效期</w:t>
      </w:r>
    </w:p>
    <w:p w14:paraId="5E1A57AF">
      <w:pPr>
        <w:keepNext w:val="0"/>
        <w:keepLines w:val="0"/>
        <w:pageBreakBefore w:val="0"/>
        <w:widowControl w:val="0"/>
        <w:tabs>
          <w:tab w:val="left" w:pos="525"/>
        </w:tabs>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1.自投标截止日起90天内投标文件应保持有效。有效期不足的投标文件将被拒绝。</w:t>
      </w:r>
    </w:p>
    <w:p w14:paraId="38F3BC67">
      <w:pPr>
        <w:keepNext w:val="0"/>
        <w:keepLines w:val="0"/>
        <w:pageBreakBefore w:val="0"/>
        <w:widowControl w:val="0"/>
        <w:tabs>
          <w:tab w:val="left" w:pos="525"/>
        </w:tabs>
        <w:kinsoku/>
        <w:wordWrap/>
        <w:overflowPunct/>
        <w:topLinePunct w:val="0"/>
        <w:autoSpaceDE/>
        <w:autoSpaceDN/>
        <w:bidi w:val="0"/>
        <w:adjustRightInd/>
        <w:snapToGrid w:val="0"/>
        <w:spacing w:line="43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的投标文件自开标之日起至合同履行完毕止均应保持有效。</w:t>
      </w:r>
    </w:p>
    <w:p w14:paraId="23820BEE">
      <w:pPr>
        <w:keepNext w:val="0"/>
        <w:keepLines w:val="0"/>
        <w:pageBreakBefore w:val="0"/>
        <w:widowControl w:val="0"/>
        <w:kinsoku/>
        <w:wordWrap/>
        <w:overflowPunct/>
        <w:topLinePunct w:val="0"/>
        <w:autoSpaceDE/>
        <w:autoSpaceDN/>
        <w:bidi w:val="0"/>
        <w:adjustRightInd/>
        <w:snapToGrid w:val="0"/>
        <w:spacing w:line="430" w:lineRule="exact"/>
        <w:ind w:firstLine="472" w:firstLineChars="196"/>
        <w:jc w:val="left"/>
        <w:textAlignment w:val="auto"/>
        <w:outlineLvl w:val="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（五）投标保证金：本项目不采用</w:t>
      </w:r>
      <w:r>
        <w:rPr>
          <w:rFonts w:hint="eastAsia" w:ascii="宋体" w:hAnsi="宋体" w:eastAsia="宋体" w:cs="宋体"/>
          <w:b/>
          <w:bCs/>
          <w:color w:val="auto"/>
          <w:sz w:val="24"/>
          <w:szCs w:val="24"/>
          <w:highlight w:val="none"/>
          <w:lang w:eastAsia="zh-CN"/>
        </w:rPr>
        <w:t>。</w:t>
      </w:r>
    </w:p>
    <w:p w14:paraId="04A99CA9">
      <w:pPr>
        <w:keepNext w:val="0"/>
        <w:keepLines w:val="0"/>
        <w:pageBreakBefore w:val="0"/>
        <w:widowControl w:val="0"/>
        <w:kinsoku/>
        <w:wordWrap/>
        <w:overflowPunct/>
        <w:topLinePunct w:val="0"/>
        <w:autoSpaceDE/>
        <w:autoSpaceDN/>
        <w:bidi w:val="0"/>
        <w:adjustRightInd/>
        <w:snapToGrid w:val="0"/>
        <w:spacing w:line="430" w:lineRule="exact"/>
        <w:ind w:firstLine="472" w:firstLineChars="196"/>
        <w:jc w:val="left"/>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六</w:t>
      </w:r>
      <w:r>
        <w:rPr>
          <w:rFonts w:hint="eastAsia" w:ascii="宋体" w:hAnsi="宋体" w:eastAsia="宋体" w:cs="宋体"/>
          <w:b/>
          <w:bCs/>
          <w:color w:val="auto"/>
          <w:sz w:val="24"/>
          <w:szCs w:val="24"/>
          <w:highlight w:val="none"/>
        </w:rPr>
        <w:t>）投标文件的编制、签署</w:t>
      </w:r>
    </w:p>
    <w:p w14:paraId="48C212C6">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组成投标文件的各项资料均应遵守本条：</w:t>
      </w:r>
    </w:p>
    <w:p w14:paraId="7C3AE4E0">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1.投标文件的签署、盖章：</w:t>
      </w:r>
    </w:p>
    <w:p w14:paraId="23390465">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文件按照采购文件格式要求进行签署、盖章。投标人的投标文件未按照采购文件要求签署、盖章的，其投标无效；其中电子投标文件中所须加盖公章部分均采用CA签章，并根据“乐采云供应商项目采购-电子招投标操作指南”及本采购文件规定的格式和顺序编制电子投标文件并进行关联定位。</w:t>
      </w:r>
    </w:p>
    <w:p w14:paraId="0BC69761">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2.投标文件必须由法定代表人或其授权代表签署。投标人法定代表人或授权代表的签字须用不褪色墨水或电子签名，否则按无效标处理。</w:t>
      </w:r>
    </w:p>
    <w:p w14:paraId="28143B7D">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3.资格审查文件、商务技术文件中不得出现投标报价等价格信息，否则按无效标处理。</w:t>
      </w:r>
    </w:p>
    <w:p w14:paraId="6E7C96B3">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4.投标文件应字迹清楚、内容齐全、格式规范，如有修改，修改处须有法定代表人或其授权代表不褪色墨水或电子签名并加盖公章。投标文件因字迹潦草或表达不清所引起的后果由投标人负责。</w:t>
      </w:r>
    </w:p>
    <w:p w14:paraId="60F41B5B">
      <w:pPr>
        <w:pStyle w:val="13"/>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因未按照采购文件要求编制而导致的投标文件被误读或按无效标处理等不利后果由投标人承担。</w:t>
      </w:r>
    </w:p>
    <w:p w14:paraId="4F65D28B">
      <w:pPr>
        <w:keepNext w:val="0"/>
        <w:keepLines w:val="0"/>
        <w:pageBreakBefore w:val="0"/>
        <w:widowControl w:val="0"/>
        <w:kinsoku/>
        <w:wordWrap/>
        <w:overflowPunct/>
        <w:topLinePunct w:val="0"/>
        <w:autoSpaceDE/>
        <w:autoSpaceDN/>
        <w:bidi w:val="0"/>
        <w:adjustRightInd/>
        <w:snapToGrid w:val="0"/>
        <w:spacing w:line="430" w:lineRule="exact"/>
        <w:ind w:firstLine="466"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bCs/>
          <w:color w:val="auto"/>
          <w:spacing w:val="-4"/>
          <w:sz w:val="24"/>
          <w:szCs w:val="24"/>
          <w:highlight w:val="none"/>
        </w:rPr>
        <w:t>（</w:t>
      </w:r>
      <w:r>
        <w:rPr>
          <w:rFonts w:hint="eastAsia" w:ascii="宋体" w:hAnsi="宋体" w:eastAsia="宋体" w:cs="宋体"/>
          <w:b/>
          <w:bCs/>
          <w:color w:val="auto"/>
          <w:spacing w:val="-4"/>
          <w:sz w:val="24"/>
          <w:szCs w:val="24"/>
          <w:highlight w:val="none"/>
          <w:lang w:eastAsia="zh-CN"/>
        </w:rPr>
        <w:t>七</w:t>
      </w:r>
      <w:r>
        <w:rPr>
          <w:rFonts w:hint="eastAsia" w:ascii="宋体" w:hAnsi="宋体" w:eastAsia="宋体" w:cs="宋体"/>
          <w:b/>
          <w:bCs/>
          <w:color w:val="auto"/>
          <w:spacing w:val="-4"/>
          <w:sz w:val="24"/>
          <w:szCs w:val="24"/>
          <w:highlight w:val="none"/>
        </w:rPr>
        <w:t>）</w:t>
      </w:r>
      <w:r>
        <w:rPr>
          <w:rFonts w:hint="eastAsia" w:ascii="宋体" w:hAnsi="宋体" w:eastAsia="宋体" w:cs="宋体"/>
          <w:b/>
          <w:color w:val="auto"/>
          <w:sz w:val="24"/>
          <w:szCs w:val="24"/>
          <w:highlight w:val="none"/>
        </w:rPr>
        <w:t>投标文件的递交</w:t>
      </w:r>
    </w:p>
    <w:p w14:paraId="0F274CFB">
      <w:pPr>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在投标截止时间前将加密的投标文件上传至“乐采云”平台，同时在投标截止时间前将在“投标客户端”上最后生成的具备电子签章的备份加密投标文件(文件名采用“采购编号+投标人名称+系统自动生成的后缀名")以电子邮件方式传送至代理机构邮箱(邮箱地址：262967652@qq.com)，传送的备份投标文件需打包压缩并加密，加密密码由投标人自行保管。为了防止泄密，建议投标人在设置加密密码时采用大小写字母加数字的组合方式。投标供应商仅递交备份投标文件的，投标无效。</w:t>
      </w:r>
    </w:p>
    <w:p w14:paraId="35D78C0F">
      <w:pPr>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rPr>
        <w:t>采购机构可以视情况延长投标文件提交的截止时间。在上述情况下，采购人与投标人以前在投标截止期方面的全部权利、责任和义务，将适用于延长至新的投标截止期。</w:t>
      </w:r>
    </w:p>
    <w:p w14:paraId="5D773A98">
      <w:pPr>
        <w:pStyle w:val="16"/>
        <w:keepNext w:val="0"/>
        <w:keepLines w:val="0"/>
        <w:pageBreakBefore w:val="0"/>
        <w:widowControl w:val="0"/>
        <w:kinsoku/>
        <w:wordWrap/>
        <w:overflowPunct/>
        <w:topLinePunct w:val="0"/>
        <w:autoSpaceDE/>
        <w:autoSpaceDN/>
        <w:bidi w:val="0"/>
        <w:adjustRightInd/>
        <w:spacing w:line="430" w:lineRule="exact"/>
        <w:ind w:firstLine="482" w:firstLineChars="200"/>
        <w:jc w:val="both"/>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lang w:eastAsia="zh-CN"/>
        </w:rPr>
        <w:t>三、</w:t>
      </w:r>
      <w:r>
        <w:rPr>
          <w:rFonts w:hint="eastAsia" w:ascii="宋体" w:hAnsi="宋体" w:eastAsia="宋体" w:cs="宋体"/>
          <w:b/>
          <w:color w:val="auto"/>
          <w:spacing w:val="0"/>
          <w:sz w:val="24"/>
          <w:szCs w:val="24"/>
          <w:highlight w:val="none"/>
        </w:rPr>
        <w:t>开标</w:t>
      </w:r>
    </w:p>
    <w:p w14:paraId="30E41D2F">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（一）开标程序：</w:t>
      </w:r>
    </w:p>
    <w:p w14:paraId="3D8B9D8E">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1.开标会由采购人主持，主持人宣布开标会议开始；</w:t>
      </w:r>
    </w:p>
    <w:p w14:paraId="1BFAD49E">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2.主持人介绍参加开标会的成员，宣布开标期间的有关事项、开标纪律、应当回避的情形等注意事项；</w:t>
      </w:r>
    </w:p>
    <w:p w14:paraId="7E76F870">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投标截止时间后，“乐采云”平台按开标时间自动提取所有投标文件，采购人依托“乐采云”平台发起开始解密指令，主持人宣读在线递交电子投标文件的投标人名单。投标人登录“乐采云”平台，用“项目采购-开标评标”功能对电子投标文件进行在线解密。在线解密电子投标文件时间为开标时间起30分钟内。所有投标人均应当准时在线参加，投标人不足3家的，不得开标。</w:t>
      </w:r>
    </w:p>
    <w:p w14:paraId="79251BE3">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开标解密后，采购人应当依法对投标人的资格进行审查，依据法律法规和招标文件的规定，对投标人的基本资格条件、特定资格条件进行审查。投标人未按照招标文件要求提供与基本资格条件、特定资格条件相应的有效资格证明材料的，视为投标人不具备招标文件中规定的资格要求，其投标无效。对未通过资格审查的投标人，采购人或采购机构告知其未通过的原因。合格投标人不足3家的，不得评标。评标委员会对通过资格审查的投标人的商务技术文件进行评审。</w:t>
      </w:r>
    </w:p>
    <w:p w14:paraId="5A361815">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5.在“乐采云”平台上公开资格和商务技术评审结果，由主持人公布无效投标的投标人名单、投标无效的原因；如投标有效供应商不足三家，评标委员会确定为废标；</w:t>
      </w:r>
    </w:p>
    <w:p w14:paraId="34E29742">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在“乐采云”平台上公开报价开标情况，采购人做开标记录并进行公开唱标，唱标内容为报价文件中“报价一览表”内容，以及采购人认为合适的其他内容与记录。采购人在“乐采云”平台-开标记录模块开放供应商在线签字确认环节，投标人法定代表人或其授权代表对开标记录进行在线核实，投标人法定代表人或其授权代表未在10分钟内进行在线核实的，视作同意报价，不影响评标过程和结果；同时由唱标人、监督人当场签字确认。</w:t>
      </w:r>
    </w:p>
    <w:p w14:paraId="6EC2EEF6">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7.评标委员会对各投标人的报价文件进行评审；</w:t>
      </w:r>
    </w:p>
    <w:p w14:paraId="15FE3BB3">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8.在“乐采云”平台上公布评审结果。评标结束，采购人公布有效投标人的评审结果和推荐的中标候选人，宣布本次开标会议结束。</w:t>
      </w:r>
    </w:p>
    <w:p w14:paraId="28EE7C6B">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2" w:firstLineChars="200"/>
        <w:jc w:val="both"/>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特别说明：</w:t>
      </w:r>
    </w:p>
    <w:p w14:paraId="33A12755">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1、政采云公司如对电子化开标及评审程序有调整的，请根据相关公告，按调整后的程序操作。</w:t>
      </w:r>
    </w:p>
    <w:p w14:paraId="0FD9B7A1">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2、项目采购全流程电子化交易，投标人须在规定时间内自行解密。</w:t>
      </w:r>
    </w:p>
    <w:p w14:paraId="78D19428">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3、本项目严格采用“乐采云”平台开标及评审程序，但有下情形之一的，按以下情况处理：</w:t>
      </w:r>
    </w:p>
    <w:p w14:paraId="23BEAE8F">
      <w:pPr>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jc w:val="both"/>
        <w:textAlignment w:val="auto"/>
        <w:outlineLvl w:val="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（1）若个别投标人在规定时间内无法解密或解密失败的，作无效投标处理。解密成功的投标人不足三家的，本项目重新组织采购活动。</w:t>
      </w:r>
    </w:p>
    <w:p w14:paraId="77A0E40E">
      <w:pPr>
        <w:pStyle w:val="13"/>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0" w:firstLineChars="200"/>
        <w:textAlignment w:val="auto"/>
        <w:outlineLvl w:val="1"/>
        <w:rPr>
          <w:rFonts w:hint="eastAsia" w:ascii="宋体" w:hAnsi="宋体" w:eastAsia="宋体" w:cs="宋体"/>
          <w:b/>
          <w:color w:val="auto"/>
          <w:spacing w:val="0"/>
          <w:sz w:val="24"/>
          <w:szCs w:val="24"/>
          <w:highlight w:val="none"/>
          <w:lang w:eastAsia="zh-CN"/>
        </w:rPr>
      </w:pPr>
      <w:r>
        <w:rPr>
          <w:rFonts w:hint="eastAsia" w:ascii="宋体" w:hAnsi="宋体" w:eastAsia="宋体" w:cs="宋体"/>
          <w:color w:val="auto"/>
          <w:kern w:val="2"/>
          <w:sz w:val="24"/>
          <w:szCs w:val="24"/>
          <w:highlight w:val="none"/>
          <w:lang w:val="en-US" w:eastAsia="zh-CN" w:bidi="ar-SA"/>
        </w:rPr>
        <w:t>（2）若因“乐采云”平台原因导致采购活动无法正常进行的，采购人将情况报告采购监管部门，经同意后，重新组织采购活动。</w:t>
      </w:r>
    </w:p>
    <w:p w14:paraId="751B8855">
      <w:pPr>
        <w:pStyle w:val="16"/>
        <w:keepNext w:val="0"/>
        <w:keepLines w:val="0"/>
        <w:pageBreakBefore w:val="0"/>
        <w:widowControl w:val="0"/>
        <w:kinsoku/>
        <w:wordWrap/>
        <w:overflowPunct/>
        <w:topLinePunct w:val="0"/>
        <w:autoSpaceDE/>
        <w:autoSpaceDN/>
        <w:bidi w:val="0"/>
        <w:adjustRightInd/>
        <w:spacing w:line="430" w:lineRule="exact"/>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pacing w:val="0"/>
          <w:sz w:val="24"/>
          <w:szCs w:val="24"/>
          <w:highlight w:val="none"/>
          <w:lang w:eastAsia="zh-CN"/>
        </w:rPr>
        <w:t>四</w:t>
      </w:r>
      <w:r>
        <w:rPr>
          <w:rFonts w:hint="eastAsia" w:ascii="宋体" w:hAnsi="宋体" w:eastAsia="宋体" w:cs="宋体"/>
          <w:b/>
          <w:color w:val="auto"/>
          <w:sz w:val="24"/>
          <w:szCs w:val="24"/>
          <w:highlight w:val="none"/>
        </w:rPr>
        <w:t>、评标</w:t>
      </w:r>
    </w:p>
    <w:p w14:paraId="0DB4A7BA">
      <w:pPr>
        <w:pStyle w:val="16"/>
        <w:keepNext w:val="0"/>
        <w:keepLines w:val="0"/>
        <w:pageBreakBefore w:val="0"/>
        <w:widowControl w:val="0"/>
        <w:kinsoku/>
        <w:wordWrap/>
        <w:overflowPunct/>
        <w:topLinePunct w:val="0"/>
        <w:autoSpaceDE/>
        <w:autoSpaceDN/>
        <w:bidi w:val="0"/>
        <w:adjustRightInd/>
        <w:spacing w:line="430" w:lineRule="exact"/>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详见第三章评标办法及评标标准</w:t>
      </w:r>
    </w:p>
    <w:p w14:paraId="2FE83342">
      <w:pPr>
        <w:pStyle w:val="16"/>
        <w:keepNext w:val="0"/>
        <w:keepLines w:val="0"/>
        <w:pageBreakBefore w:val="0"/>
        <w:widowControl w:val="0"/>
        <w:kinsoku/>
        <w:wordWrap/>
        <w:overflowPunct/>
        <w:topLinePunct w:val="0"/>
        <w:autoSpaceDE/>
        <w:autoSpaceDN/>
        <w:bidi w:val="0"/>
        <w:adjustRightInd/>
        <w:spacing w:line="430" w:lineRule="exact"/>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五、定标</w:t>
      </w:r>
    </w:p>
    <w:p w14:paraId="0FFAF31E">
      <w:pPr>
        <w:pStyle w:val="16"/>
        <w:keepNext w:val="0"/>
        <w:keepLines w:val="0"/>
        <w:pageBreakBefore w:val="0"/>
        <w:widowControl w:val="0"/>
        <w:kinsoku/>
        <w:wordWrap/>
        <w:overflowPunct/>
        <w:topLinePunct w:val="0"/>
        <w:autoSpaceDE/>
        <w:autoSpaceDN/>
        <w:bidi w:val="0"/>
        <w:adjustRightInd/>
        <w:spacing w:line="43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1.本项目由评标委员会根据采购文件和有关规定推荐中标候选人，采购结果由采购人代表签字确认，采购人自收到评审报告之日起5个工作日内确认</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w:t>
      </w:r>
    </w:p>
    <w:p w14:paraId="5E2BD1F7">
      <w:pPr>
        <w:pStyle w:val="16"/>
        <w:keepNext w:val="0"/>
        <w:keepLines w:val="0"/>
        <w:pageBreakBefore w:val="0"/>
        <w:widowControl w:val="0"/>
        <w:kinsoku/>
        <w:wordWrap/>
        <w:overflowPunct/>
        <w:topLinePunct w:val="0"/>
        <w:autoSpaceDE/>
        <w:autoSpaceDN/>
        <w:bidi w:val="0"/>
        <w:adjustRightInd/>
        <w:spacing w:line="43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2.自中标人确定之日起2个工作日内，采购机构通过纸质形式或电子交易平台向中标人发出</w:t>
      </w:r>
      <w:r>
        <w:rPr>
          <w:rFonts w:hint="eastAsia" w:ascii="宋体" w:hAnsi="宋体" w:eastAsia="宋体" w:cs="宋体"/>
          <w:color w:val="auto"/>
          <w:sz w:val="24"/>
          <w:szCs w:val="24"/>
          <w:highlight w:val="none"/>
          <w:lang w:eastAsia="zh-CN"/>
        </w:rPr>
        <w:t>成交确认书</w:t>
      </w:r>
      <w:r>
        <w:rPr>
          <w:rFonts w:hint="eastAsia" w:ascii="宋体" w:hAnsi="宋体" w:eastAsia="宋体" w:cs="宋体"/>
          <w:color w:val="auto"/>
          <w:sz w:val="24"/>
          <w:szCs w:val="24"/>
          <w:highlight w:val="none"/>
        </w:rPr>
        <w:t>，同时在浙江省政府采购网发布采购结果公告。公告期限为1个工作日。</w:t>
      </w:r>
    </w:p>
    <w:p w14:paraId="2A3C5941">
      <w:pPr>
        <w:pStyle w:val="16"/>
        <w:keepNext w:val="0"/>
        <w:keepLines w:val="0"/>
        <w:pageBreakBefore w:val="0"/>
        <w:widowControl w:val="0"/>
        <w:kinsoku/>
        <w:wordWrap/>
        <w:overflowPunct/>
        <w:topLinePunct w:val="0"/>
        <w:autoSpaceDE/>
        <w:autoSpaceDN/>
        <w:bidi w:val="0"/>
        <w:adjustRightInd/>
        <w:spacing w:line="43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成交确认书</w:t>
      </w:r>
      <w:r>
        <w:rPr>
          <w:rFonts w:hint="eastAsia" w:ascii="宋体" w:hAnsi="宋体" w:eastAsia="宋体" w:cs="宋体"/>
          <w:color w:val="auto"/>
          <w:sz w:val="24"/>
          <w:szCs w:val="24"/>
          <w:highlight w:val="none"/>
        </w:rPr>
        <w:t>发出后，若</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放弃中标，应当承担相应的法律责任，</w:t>
      </w:r>
      <w:r>
        <w:rPr>
          <w:rFonts w:hint="eastAsia" w:ascii="宋体" w:hAnsi="宋体" w:eastAsia="宋体" w:cs="宋体"/>
          <w:color w:val="auto"/>
          <w:sz w:val="24"/>
          <w:szCs w:val="24"/>
          <w:highlight w:val="none"/>
          <w:lang w:eastAsia="zh-CN"/>
        </w:rPr>
        <w:t>成交确认书</w:t>
      </w:r>
      <w:r>
        <w:rPr>
          <w:rFonts w:hint="eastAsia" w:ascii="宋体" w:hAnsi="宋体" w:eastAsia="宋体" w:cs="宋体"/>
          <w:color w:val="auto"/>
          <w:sz w:val="24"/>
          <w:szCs w:val="24"/>
          <w:highlight w:val="none"/>
        </w:rPr>
        <w:t>对采购人和</w:t>
      </w:r>
      <w:r>
        <w:rPr>
          <w:rFonts w:hint="eastAsia" w:ascii="宋体" w:hAnsi="宋体" w:eastAsia="宋体" w:cs="宋体"/>
          <w:color w:val="auto"/>
          <w:sz w:val="24"/>
          <w:szCs w:val="24"/>
          <w:highlight w:val="none"/>
          <w:lang w:eastAsia="zh-CN"/>
        </w:rPr>
        <w:t>中标人</w:t>
      </w:r>
      <w:r>
        <w:rPr>
          <w:rFonts w:hint="eastAsia" w:ascii="宋体" w:hAnsi="宋体" w:eastAsia="宋体" w:cs="宋体"/>
          <w:color w:val="auto"/>
          <w:sz w:val="24"/>
          <w:szCs w:val="24"/>
          <w:highlight w:val="none"/>
        </w:rPr>
        <w:t>具有同等法律效力。</w:t>
      </w:r>
    </w:p>
    <w:p w14:paraId="0BA85F66">
      <w:pPr>
        <w:keepNext w:val="0"/>
        <w:keepLines w:val="0"/>
        <w:pageBreakBefore w:val="0"/>
        <w:widowControl w:val="0"/>
        <w:kinsoku/>
        <w:wordWrap/>
        <w:overflowPunct/>
        <w:topLinePunct w:val="0"/>
        <w:autoSpaceDE/>
        <w:autoSpaceDN/>
        <w:bidi w:val="0"/>
        <w:adjustRightInd/>
        <w:snapToGrid w:val="0"/>
        <w:spacing w:line="430" w:lineRule="exact"/>
        <w:ind w:firstLine="482" w:firstLineChars="200"/>
        <w:textAlignment w:val="auto"/>
        <w:outlineLvl w:val="1"/>
        <w:rPr>
          <w:rFonts w:hint="eastAsia" w:ascii="宋体" w:hAnsi="宋体" w:eastAsia="宋体" w:cs="宋体"/>
          <w:b/>
          <w:color w:val="auto"/>
          <w:sz w:val="24"/>
          <w:szCs w:val="24"/>
          <w:highlight w:val="none"/>
        </w:rPr>
      </w:pPr>
      <w:bookmarkStart w:id="0" w:name="_Toc107820051"/>
      <w:bookmarkStart w:id="1" w:name="_Toc170792772"/>
      <w:r>
        <w:rPr>
          <w:rFonts w:hint="eastAsia" w:ascii="宋体" w:hAnsi="宋体" w:eastAsia="宋体" w:cs="宋体"/>
          <w:b/>
          <w:color w:val="auto"/>
          <w:sz w:val="24"/>
          <w:szCs w:val="24"/>
          <w:highlight w:val="none"/>
        </w:rPr>
        <w:t>六、</w:t>
      </w:r>
      <w:bookmarkStart w:id="2" w:name="_Toc177870556"/>
      <w:r>
        <w:rPr>
          <w:rFonts w:hint="eastAsia" w:ascii="宋体" w:hAnsi="宋体" w:eastAsia="宋体" w:cs="宋体"/>
          <w:b/>
          <w:color w:val="auto"/>
          <w:sz w:val="24"/>
          <w:szCs w:val="24"/>
          <w:highlight w:val="none"/>
        </w:rPr>
        <w:t>合同</w:t>
      </w:r>
      <w:bookmarkEnd w:id="0"/>
      <w:bookmarkEnd w:id="1"/>
      <w:r>
        <w:rPr>
          <w:rFonts w:hint="eastAsia" w:ascii="宋体" w:hAnsi="宋体" w:eastAsia="宋体" w:cs="宋体"/>
          <w:b/>
          <w:color w:val="auto"/>
          <w:sz w:val="24"/>
          <w:szCs w:val="24"/>
          <w:highlight w:val="none"/>
        </w:rPr>
        <w:t>授予</w:t>
      </w:r>
      <w:bookmarkEnd w:id="2"/>
    </w:p>
    <w:p w14:paraId="0D4FAA41">
      <w:pPr>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（一）签订合同</w:t>
      </w:r>
    </w:p>
    <w:p w14:paraId="5BDA77BE">
      <w:pPr>
        <w:pStyle w:val="16"/>
        <w:keepNext w:val="0"/>
        <w:keepLines w:val="0"/>
        <w:pageBreakBefore w:val="0"/>
        <w:widowControl w:val="0"/>
        <w:kinsoku/>
        <w:wordWrap/>
        <w:overflowPunct/>
        <w:topLinePunct w:val="0"/>
        <w:autoSpaceDE/>
        <w:autoSpaceDN/>
        <w:bidi w:val="0"/>
        <w:adjustRightInd/>
        <w:spacing w:line="43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1.成交通知书发出之日起30日内签订合同。</w:t>
      </w:r>
    </w:p>
    <w:p w14:paraId="00788DDA">
      <w:pPr>
        <w:pStyle w:val="16"/>
        <w:keepNext w:val="0"/>
        <w:keepLines w:val="0"/>
        <w:pageBreakBefore w:val="0"/>
        <w:widowControl w:val="0"/>
        <w:kinsoku/>
        <w:wordWrap/>
        <w:overflowPunct/>
        <w:topLinePunct w:val="0"/>
        <w:autoSpaceDE/>
        <w:autoSpaceDN/>
        <w:bidi w:val="0"/>
        <w:adjustRightInd/>
        <w:spacing w:line="43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2.成交通知书发出后30日内，成交单位若借口故意拖延、拒签合同，在签订合同时向采购人提出附加条件的，将被取消成交资格，给采购人造成损失的，应赔偿损失。</w:t>
      </w:r>
    </w:p>
    <w:p w14:paraId="62B1DBD8">
      <w:pPr>
        <w:pStyle w:val="16"/>
        <w:keepNext w:val="0"/>
        <w:keepLines w:val="0"/>
        <w:pageBreakBefore w:val="0"/>
        <w:widowControl w:val="0"/>
        <w:kinsoku/>
        <w:wordWrap/>
        <w:overflowPunct/>
        <w:topLinePunct w:val="0"/>
        <w:autoSpaceDE/>
        <w:autoSpaceDN/>
        <w:bidi w:val="0"/>
        <w:adjustRightInd/>
        <w:spacing w:line="43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（二）履约保证金：签订合同</w:t>
      </w:r>
      <w:r>
        <w:rPr>
          <w:rFonts w:hint="eastAsia" w:ascii="宋体" w:hAnsi="宋体" w:eastAsia="宋体" w:cs="宋体"/>
          <w:color w:val="auto"/>
          <w:sz w:val="24"/>
          <w:szCs w:val="24"/>
          <w:highlight w:val="none"/>
          <w:lang w:eastAsia="zh-CN"/>
        </w:rPr>
        <w:t>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中标人应向采购人提交合同金额</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%的履约保证金</w:t>
      </w:r>
      <w:r>
        <w:rPr>
          <w:rFonts w:hint="eastAsia" w:ascii="宋体" w:hAnsi="宋体" w:eastAsia="宋体" w:cs="宋体"/>
          <w:color w:val="auto"/>
          <w:sz w:val="24"/>
          <w:szCs w:val="24"/>
          <w:highlight w:val="none"/>
          <w:lang w:val="en-US" w:eastAsia="zh-CN"/>
        </w:rPr>
        <w:t>（采用转账/支票/汇票/银行保函/保险公司保函方式）</w:t>
      </w:r>
      <w:r>
        <w:rPr>
          <w:rFonts w:hint="eastAsia" w:ascii="宋体" w:hAnsi="宋体" w:eastAsia="宋体" w:cs="宋体"/>
          <w:color w:val="auto"/>
          <w:sz w:val="24"/>
          <w:szCs w:val="24"/>
          <w:highlight w:val="none"/>
          <w:lang w:eastAsia="zh-CN"/>
        </w:rPr>
        <w:t>。</w:t>
      </w:r>
    </w:p>
    <w:p w14:paraId="4BE54DF6">
      <w:pPr>
        <w:pStyle w:val="13"/>
        <w:keepNext w:val="0"/>
        <w:keepLines w:val="0"/>
        <w:pageBreakBefore w:val="0"/>
        <w:widowControl w:val="0"/>
        <w:kinsoku/>
        <w:wordWrap/>
        <w:overflowPunct/>
        <w:topLinePunct w:val="0"/>
        <w:autoSpaceDE/>
        <w:autoSpaceDN/>
        <w:bidi w:val="0"/>
        <w:adjustRightInd/>
        <w:snapToGrid w:val="0"/>
        <w:spacing w:before="0" w:beforeLines="0" w:after="0" w:afterLines="0" w:line="430" w:lineRule="exact"/>
        <w:ind w:firstLine="482" w:firstLineChars="200"/>
        <w:textAlignment w:val="auto"/>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七、费用的结算</w:t>
      </w:r>
    </w:p>
    <w:p w14:paraId="5D2EA8F1">
      <w:pPr>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合同中另行签订。</w:t>
      </w:r>
    </w:p>
    <w:p w14:paraId="7784CE83">
      <w:pPr>
        <w:keepNext w:val="0"/>
        <w:keepLines w:val="0"/>
        <w:pageBreakBefore w:val="0"/>
        <w:widowControl w:val="0"/>
        <w:kinsoku/>
        <w:wordWrap/>
        <w:overflowPunct/>
        <w:topLinePunct w:val="0"/>
        <w:autoSpaceDE/>
        <w:autoSpaceDN/>
        <w:bidi w:val="0"/>
        <w:adjustRightInd/>
        <w:spacing w:line="43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八、询问、质疑和投诉</w:t>
      </w:r>
    </w:p>
    <w:p w14:paraId="41E35144">
      <w:pPr>
        <w:keepNext w:val="0"/>
        <w:keepLines w:val="0"/>
        <w:pageBreakBefore w:val="0"/>
        <w:widowControl w:val="0"/>
        <w:kinsoku/>
        <w:wordWrap/>
        <w:overflowPunct/>
        <w:topLinePunct w:val="0"/>
        <w:autoSpaceDE/>
        <w:autoSpaceDN/>
        <w:bidi w:val="0"/>
        <w:adjustRightInd/>
        <w:spacing w:line="43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1.供应商对采购活动事项有疑问的，可以向采购人提出询问。询问函范本详见附件。质疑函范本、投诉书范本请到浙江政府采购网下载专区下载。</w:t>
      </w:r>
    </w:p>
    <w:p w14:paraId="1EA56449">
      <w:pPr>
        <w:keepNext w:val="0"/>
        <w:keepLines w:val="0"/>
        <w:pageBreakBefore w:val="0"/>
        <w:widowControl w:val="0"/>
        <w:kinsoku/>
        <w:wordWrap/>
        <w:overflowPunct/>
        <w:topLinePunct w:val="0"/>
        <w:autoSpaceDE/>
        <w:autoSpaceDN/>
        <w:bidi w:val="0"/>
        <w:adjustRightInd/>
        <w:spacing w:line="43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供应商可以就采购文件及采购过程中针对特定资格条件、采购需求、评分办法中的相关事项向采购人提出询问、质疑，采购人将对此作出答复，答复的内容不得涉及商业秘密。</w:t>
      </w:r>
    </w:p>
    <w:p w14:paraId="0F46EFC5">
      <w:pPr>
        <w:keepNext w:val="0"/>
        <w:keepLines w:val="0"/>
        <w:pageBreakBefore w:val="0"/>
        <w:widowControl w:val="0"/>
        <w:kinsoku/>
        <w:wordWrap/>
        <w:overflowPunct/>
        <w:topLinePunct w:val="0"/>
        <w:autoSpaceDE/>
        <w:autoSpaceDN/>
        <w:bidi w:val="0"/>
        <w:adjustRightInd/>
        <w:spacing w:line="43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2.提出质疑的供应商应当是参与所质疑项目采购活动的供应商。潜在投标人已依法获取其可质疑的采购文件的，可以对该文件提出质疑。</w:t>
      </w:r>
    </w:p>
    <w:p w14:paraId="6D6E77E4">
      <w:pPr>
        <w:keepNext w:val="0"/>
        <w:keepLines w:val="0"/>
        <w:pageBreakBefore w:val="0"/>
        <w:widowControl w:val="0"/>
        <w:kinsoku/>
        <w:wordWrap/>
        <w:overflowPunct/>
        <w:topLinePunct w:val="0"/>
        <w:autoSpaceDE/>
        <w:autoSpaceDN/>
        <w:bidi w:val="0"/>
        <w:adjustRightInd/>
        <w:spacing w:line="43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认为招标文件、采购过程和中标结果使自己的合法权益受到损害的，可以自知道或者应知其权益受到损害之日起七个工作日内，即获取采购文件之日或者采购文件公告期限届满之日（公告期限届满后获取采购文件的，以公告期限届满之日为准）起七个工作日内，以书面形式向采购人提出质疑。否则，采购人将不予受理。</w:t>
      </w:r>
    </w:p>
    <w:p w14:paraId="4E012F42">
      <w:pPr>
        <w:keepNext w:val="0"/>
        <w:keepLines w:val="0"/>
        <w:pageBreakBefore w:val="0"/>
        <w:widowControl w:val="0"/>
        <w:kinsoku/>
        <w:wordWrap/>
        <w:overflowPunct/>
        <w:topLinePunct w:val="0"/>
        <w:autoSpaceDE/>
        <w:autoSpaceDN/>
        <w:bidi w:val="0"/>
        <w:adjustRightInd/>
        <w:spacing w:line="43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供应商提交的质疑函需一式三份。供应商为自然人的，应当由本人签字；供应商为法人或者其他组织的，应当由法定代表人、主要负责人、或者其授权代表签字或者盖章，并加盖公章。质疑函至少应包括下列主要内容：</w:t>
      </w:r>
    </w:p>
    <w:p w14:paraId="04788989">
      <w:pPr>
        <w:keepNext w:val="0"/>
        <w:keepLines w:val="0"/>
        <w:pageBreakBefore w:val="0"/>
        <w:widowControl w:val="0"/>
        <w:kinsoku/>
        <w:wordWrap/>
        <w:overflowPunct/>
        <w:topLinePunct w:val="0"/>
        <w:autoSpaceDE/>
        <w:autoSpaceDN/>
        <w:bidi w:val="0"/>
        <w:adjustRightInd/>
        <w:spacing w:line="43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（1）质疑人的姓名或名称、地址、邮政编码、联系人、联系电话；</w:t>
      </w:r>
    </w:p>
    <w:p w14:paraId="4098770E">
      <w:pPr>
        <w:keepNext w:val="0"/>
        <w:keepLines w:val="0"/>
        <w:pageBreakBefore w:val="0"/>
        <w:widowControl w:val="0"/>
        <w:kinsoku/>
        <w:wordWrap/>
        <w:overflowPunct/>
        <w:topLinePunct w:val="0"/>
        <w:autoSpaceDE/>
        <w:autoSpaceDN/>
        <w:bidi w:val="0"/>
        <w:adjustRightInd/>
        <w:spacing w:line="43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（2）被质疑采购项目名称、编号；</w:t>
      </w:r>
    </w:p>
    <w:p w14:paraId="1EBA3806">
      <w:pPr>
        <w:keepNext w:val="0"/>
        <w:keepLines w:val="0"/>
        <w:pageBreakBefore w:val="0"/>
        <w:widowControl w:val="0"/>
        <w:kinsoku/>
        <w:wordWrap/>
        <w:overflowPunct/>
        <w:topLinePunct w:val="0"/>
        <w:autoSpaceDE/>
        <w:autoSpaceDN/>
        <w:bidi w:val="0"/>
        <w:adjustRightInd/>
        <w:spacing w:line="43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（3）具体、明确的质疑事项和与质疑事项相关的请求；</w:t>
      </w:r>
    </w:p>
    <w:p w14:paraId="4631FBF0">
      <w:pPr>
        <w:keepNext w:val="0"/>
        <w:keepLines w:val="0"/>
        <w:pageBreakBefore w:val="0"/>
        <w:widowControl w:val="0"/>
        <w:kinsoku/>
        <w:wordWrap/>
        <w:overflowPunct/>
        <w:topLinePunct w:val="0"/>
        <w:autoSpaceDE/>
        <w:autoSpaceDN/>
        <w:bidi w:val="0"/>
        <w:adjustRightInd/>
        <w:spacing w:line="43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（4）认为自己合法权益受到损害或可能受到损害的相关证据材料：事实依据、必要的法律依据；</w:t>
      </w:r>
    </w:p>
    <w:p w14:paraId="1A1030DA">
      <w:pPr>
        <w:keepNext w:val="0"/>
        <w:keepLines w:val="0"/>
        <w:pageBreakBefore w:val="0"/>
        <w:widowControl w:val="0"/>
        <w:kinsoku/>
        <w:wordWrap/>
        <w:overflowPunct/>
        <w:topLinePunct w:val="0"/>
        <w:autoSpaceDE/>
        <w:autoSpaceDN/>
        <w:bidi w:val="0"/>
        <w:adjustRightInd/>
        <w:spacing w:line="43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（5）提出质疑的日期；</w:t>
      </w:r>
    </w:p>
    <w:p w14:paraId="6E2AEC22">
      <w:pPr>
        <w:keepNext w:val="0"/>
        <w:keepLines w:val="0"/>
        <w:pageBreakBefore w:val="0"/>
        <w:widowControl w:val="0"/>
        <w:kinsoku/>
        <w:wordWrap/>
        <w:overflowPunct/>
        <w:topLinePunct w:val="0"/>
        <w:autoSpaceDE/>
        <w:autoSpaceDN/>
        <w:bidi w:val="0"/>
        <w:adjustRightInd/>
        <w:spacing w:line="43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（6）采购文件获取日期及“乐采云”平台截图。</w:t>
      </w:r>
    </w:p>
    <w:p w14:paraId="171ABCF4">
      <w:pPr>
        <w:keepNext w:val="0"/>
        <w:keepLines w:val="0"/>
        <w:pageBreakBefore w:val="0"/>
        <w:widowControl w:val="0"/>
        <w:kinsoku/>
        <w:wordWrap/>
        <w:overflowPunct/>
        <w:topLinePunct w:val="0"/>
        <w:autoSpaceDE/>
        <w:autoSpaceDN/>
        <w:bidi w:val="0"/>
        <w:adjustRightInd/>
        <w:spacing w:line="43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4.采购人会在收到投标人的书面质疑后7个工作日内审查质疑事项，作出答复或相关处理决定，并以书面形式通知质疑投标人，但答复的内容涉及商业秘密的除外。</w:t>
      </w:r>
    </w:p>
    <w:p w14:paraId="2C568E5E">
      <w:pPr>
        <w:keepNext w:val="0"/>
        <w:keepLines w:val="0"/>
        <w:pageBreakBefore w:val="0"/>
        <w:widowControl w:val="0"/>
        <w:kinsoku/>
        <w:wordWrap/>
        <w:overflowPunct/>
        <w:topLinePunct w:val="0"/>
        <w:autoSpaceDE/>
        <w:autoSpaceDN/>
        <w:bidi w:val="0"/>
        <w:adjustRightInd/>
        <w:spacing w:line="43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若质疑涉及招标制度或程序，会被转交采购管理部门审查。</w:t>
      </w:r>
    </w:p>
    <w:p w14:paraId="7A7DDA77">
      <w:pPr>
        <w:keepNext w:val="0"/>
        <w:keepLines w:val="0"/>
        <w:pageBreakBefore w:val="0"/>
        <w:widowControl w:val="0"/>
        <w:kinsoku/>
        <w:wordWrap/>
        <w:overflowPunct/>
        <w:topLinePunct w:val="0"/>
        <w:autoSpaceDE/>
        <w:autoSpaceDN/>
        <w:bidi w:val="0"/>
        <w:adjustRightInd/>
        <w:spacing w:line="43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质疑供应商对采购人的答复不满意或者采购人未在规定的时间内做出答复的，可以在答复期满后15个工作日内向采购人所在采购监督管理部门提出投诉。</w:t>
      </w:r>
    </w:p>
    <w:p w14:paraId="7FA9E07E">
      <w:pPr>
        <w:pStyle w:val="16"/>
        <w:keepNext w:val="0"/>
        <w:keepLines w:val="0"/>
        <w:pageBreakBefore w:val="0"/>
        <w:widowControl w:val="0"/>
        <w:kinsoku/>
        <w:wordWrap/>
        <w:overflowPunct/>
        <w:topLinePunct w:val="0"/>
        <w:autoSpaceDE/>
        <w:autoSpaceDN/>
        <w:bidi w:val="0"/>
        <w:adjustRightInd/>
        <w:spacing w:line="43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供应商投诉的事项不得超出已质疑事项的范围，基于质疑答复内容提出的投诉事项除外。供应商投诉应当有明确的请求和必要的证明材料。</w:t>
      </w:r>
    </w:p>
    <w:p w14:paraId="3E845B51">
      <w:pPr>
        <w:pStyle w:val="10"/>
        <w:keepNext w:val="0"/>
        <w:keepLines w:val="0"/>
        <w:pageBreakBefore w:val="0"/>
        <w:kinsoku/>
        <w:wordWrap/>
        <w:overflowPunct/>
        <w:topLinePunct w:val="0"/>
        <w:autoSpaceDE/>
        <w:autoSpaceDN/>
        <w:bidi w:val="0"/>
        <w:adjustRightInd/>
        <w:spacing w:before="0" w:after="0" w:line="440" w:lineRule="exact"/>
        <w:ind w:firstLine="240" w:firstLineChars="100"/>
        <w:textAlignment w:val="auto"/>
        <w:rPr>
          <w:rFonts w:hint="eastAsia" w:ascii="宋体" w:hAnsi="宋体" w:eastAsia="宋体" w:cs="宋体"/>
          <w:color w:val="auto"/>
          <w:kern w:val="0"/>
          <w:sz w:val="24"/>
          <w:highlight w:val="none"/>
        </w:rPr>
      </w:pPr>
    </w:p>
    <w:p w14:paraId="40D09D13">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br w:type="page"/>
      </w:r>
    </w:p>
    <w:p w14:paraId="405734A3">
      <w:pPr>
        <w:pStyle w:val="3"/>
        <w:keepNext/>
        <w:keepLines/>
        <w:pageBreakBefore w:val="0"/>
        <w:widowControl w:val="0"/>
        <w:numPr>
          <w:ilvl w:val="0"/>
          <w:numId w:val="0"/>
        </w:numPr>
        <w:kinsoku/>
        <w:wordWrap/>
        <w:overflowPunct/>
        <w:topLinePunct w:val="0"/>
        <w:autoSpaceDE/>
        <w:autoSpaceDN/>
        <w:bidi w:val="0"/>
        <w:adjustRightInd/>
        <w:snapToGrid/>
        <w:spacing w:after="40" w:line="579" w:lineRule="auto"/>
        <w:jc w:val="center"/>
        <w:textAlignment w:val="auto"/>
        <w:rPr>
          <w:rFonts w:hint="eastAsia" w:ascii="宋体" w:hAnsi="宋体" w:eastAsia="宋体" w:cs="宋体"/>
          <w:color w:val="auto"/>
          <w:sz w:val="36"/>
          <w:highlight w:val="none"/>
          <w:lang w:val="en-US" w:eastAsia="zh-CN"/>
        </w:rPr>
      </w:pPr>
      <w:r>
        <w:rPr>
          <w:rFonts w:hint="eastAsia" w:ascii="宋体" w:hAnsi="宋体" w:eastAsia="宋体" w:cs="宋体"/>
          <w:color w:val="auto"/>
          <w:sz w:val="36"/>
          <w:highlight w:val="none"/>
          <w:lang w:val="en-US" w:eastAsia="zh-CN"/>
        </w:rPr>
        <w:t>第三章  评标办法及评标标准</w:t>
      </w:r>
    </w:p>
    <w:p w14:paraId="1398DEE8">
      <w:pPr>
        <w:keepNext w:val="0"/>
        <w:keepLines w:val="0"/>
        <w:pageBreakBefore w:val="0"/>
        <w:kinsoku/>
        <w:wordWrap/>
        <w:overflowPunct/>
        <w:topLinePunct w:val="0"/>
        <w:autoSpaceDE/>
        <w:autoSpaceDN/>
        <w:bidi w:val="0"/>
        <w:spacing w:line="46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第一条  </w:t>
      </w:r>
      <w:r>
        <w:rPr>
          <w:rFonts w:hint="eastAsia" w:ascii="宋体" w:hAnsi="宋体" w:eastAsia="宋体" w:cs="宋体"/>
          <w:color w:val="auto"/>
          <w:sz w:val="24"/>
          <w:highlight w:val="none"/>
        </w:rPr>
        <w:t>评标按下列程序进行：</w:t>
      </w:r>
    </w:p>
    <w:p w14:paraId="758FEE46">
      <w:pPr>
        <w:keepNext w:val="0"/>
        <w:keepLines w:val="0"/>
        <w:pageBreakBefore w:val="0"/>
        <w:tabs>
          <w:tab w:val="center" w:pos="4153"/>
          <w:tab w:val="right" w:pos="8306"/>
        </w:tabs>
        <w:kinsoku/>
        <w:wordWrap/>
        <w:overflowPunct/>
        <w:topLinePunct w:val="0"/>
        <w:autoSpaceDE/>
        <w:autoSpaceDN/>
        <w:bidi w:val="0"/>
        <w:snapToGrid w:val="0"/>
        <w:spacing w:line="460" w:lineRule="exact"/>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（一）依法组建评标委员会；</w:t>
      </w:r>
    </w:p>
    <w:p w14:paraId="333A903D">
      <w:pPr>
        <w:keepNext w:val="0"/>
        <w:keepLines w:val="0"/>
        <w:pageBreakBefore w:val="0"/>
        <w:tabs>
          <w:tab w:val="center" w:pos="4153"/>
          <w:tab w:val="right" w:pos="8306"/>
        </w:tabs>
        <w:kinsoku/>
        <w:wordWrap/>
        <w:overflowPunct/>
        <w:topLinePunct w:val="0"/>
        <w:autoSpaceDE/>
        <w:autoSpaceDN/>
        <w:bidi w:val="0"/>
        <w:snapToGrid w:val="0"/>
        <w:spacing w:line="460" w:lineRule="exact"/>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（二）评标前准备；</w:t>
      </w:r>
    </w:p>
    <w:p w14:paraId="289A63B4">
      <w:pPr>
        <w:keepNext w:val="0"/>
        <w:keepLines w:val="0"/>
        <w:pageBreakBefore w:val="0"/>
        <w:tabs>
          <w:tab w:val="center" w:pos="4153"/>
          <w:tab w:val="right" w:pos="8306"/>
        </w:tabs>
        <w:kinsoku/>
        <w:wordWrap/>
        <w:overflowPunct/>
        <w:topLinePunct w:val="0"/>
        <w:autoSpaceDE/>
        <w:autoSpaceDN/>
        <w:bidi w:val="0"/>
        <w:snapToGrid w:val="0"/>
        <w:spacing w:line="460" w:lineRule="exact"/>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（三）资格审查；</w:t>
      </w:r>
    </w:p>
    <w:p w14:paraId="3D59D1DF">
      <w:pPr>
        <w:keepNext w:val="0"/>
        <w:keepLines w:val="0"/>
        <w:pageBreakBefore w:val="0"/>
        <w:tabs>
          <w:tab w:val="center" w:pos="4153"/>
          <w:tab w:val="right" w:pos="8306"/>
        </w:tabs>
        <w:kinsoku/>
        <w:wordWrap/>
        <w:overflowPunct/>
        <w:topLinePunct w:val="0"/>
        <w:autoSpaceDE/>
        <w:autoSpaceDN/>
        <w:bidi w:val="0"/>
        <w:snapToGrid w:val="0"/>
        <w:spacing w:line="460" w:lineRule="exact"/>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（四）</w:t>
      </w:r>
      <w:r>
        <w:rPr>
          <w:rFonts w:hint="eastAsia" w:ascii="宋体" w:hAnsi="宋体" w:cs="宋体"/>
          <w:color w:val="auto"/>
          <w:kern w:val="2"/>
          <w:sz w:val="24"/>
          <w:szCs w:val="24"/>
          <w:highlight w:val="none"/>
          <w:lang w:val="en-US" w:eastAsia="zh-CN" w:bidi="ar-SA"/>
        </w:rPr>
        <w:t>商务</w:t>
      </w:r>
      <w:r>
        <w:rPr>
          <w:rFonts w:hint="eastAsia" w:ascii="宋体" w:hAnsi="宋体" w:eastAsia="宋体" w:cs="宋体"/>
          <w:color w:val="auto"/>
          <w:kern w:val="2"/>
          <w:sz w:val="24"/>
          <w:szCs w:val="24"/>
          <w:highlight w:val="none"/>
          <w:lang w:val="en-US" w:eastAsia="zh-CN" w:bidi="ar-SA"/>
        </w:rPr>
        <w:t>技术标评审；</w:t>
      </w:r>
    </w:p>
    <w:p w14:paraId="60D68551">
      <w:pPr>
        <w:keepNext w:val="0"/>
        <w:keepLines w:val="0"/>
        <w:pageBreakBefore w:val="0"/>
        <w:tabs>
          <w:tab w:val="center" w:pos="4153"/>
          <w:tab w:val="right" w:pos="8306"/>
        </w:tabs>
        <w:kinsoku/>
        <w:wordWrap/>
        <w:overflowPunct/>
        <w:topLinePunct w:val="0"/>
        <w:autoSpaceDE/>
        <w:autoSpaceDN/>
        <w:bidi w:val="0"/>
        <w:snapToGrid w:val="0"/>
        <w:spacing w:line="460" w:lineRule="exact"/>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（五）报价评审</w:t>
      </w:r>
    </w:p>
    <w:p w14:paraId="67510718">
      <w:pPr>
        <w:keepNext w:val="0"/>
        <w:keepLines w:val="0"/>
        <w:pageBreakBefore w:val="0"/>
        <w:tabs>
          <w:tab w:val="center" w:pos="4153"/>
          <w:tab w:val="right" w:pos="8306"/>
        </w:tabs>
        <w:kinsoku/>
        <w:wordWrap/>
        <w:overflowPunct/>
        <w:topLinePunct w:val="0"/>
        <w:autoSpaceDE/>
        <w:autoSpaceDN/>
        <w:bidi w:val="0"/>
        <w:snapToGrid w:val="0"/>
        <w:spacing w:line="460" w:lineRule="exact"/>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（六）完成评标报告。</w:t>
      </w:r>
    </w:p>
    <w:p w14:paraId="760F333C">
      <w:pPr>
        <w:keepNext w:val="0"/>
        <w:keepLines w:val="0"/>
        <w:pageBreakBefore w:val="0"/>
        <w:tabs>
          <w:tab w:val="center" w:pos="4153"/>
          <w:tab w:val="right" w:pos="8306"/>
        </w:tabs>
        <w:kinsoku/>
        <w:wordWrap/>
        <w:overflowPunct/>
        <w:topLinePunct w:val="0"/>
        <w:autoSpaceDE/>
        <w:autoSpaceDN/>
        <w:bidi w:val="0"/>
        <w:snapToGrid w:val="0"/>
        <w:spacing w:line="460" w:lineRule="exact"/>
        <w:ind w:firstLine="482" w:firstLineChars="200"/>
        <w:jc w:val="lef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第二条</w:t>
      </w:r>
      <w:r>
        <w:rPr>
          <w:rFonts w:hint="eastAsia" w:ascii="宋体" w:hAnsi="宋体" w:eastAsia="宋体" w:cs="宋体"/>
          <w:color w:val="auto"/>
          <w:sz w:val="24"/>
          <w:highlight w:val="none"/>
        </w:rPr>
        <w:t xml:space="preserve">  采购</w:t>
      </w:r>
      <w:r>
        <w:rPr>
          <w:rFonts w:hint="eastAsia" w:ascii="宋体" w:hAnsi="宋体" w:cs="宋体"/>
          <w:color w:val="auto"/>
          <w:sz w:val="24"/>
          <w:highlight w:val="none"/>
          <w:lang w:val="en-US" w:eastAsia="zh-CN"/>
        </w:rPr>
        <w:t>人</w:t>
      </w:r>
      <w:r>
        <w:rPr>
          <w:rFonts w:hint="eastAsia" w:ascii="宋体" w:hAnsi="宋体" w:eastAsia="宋体" w:cs="宋体"/>
          <w:color w:val="auto"/>
          <w:sz w:val="24"/>
          <w:highlight w:val="none"/>
        </w:rPr>
        <w:t>依法组建</w:t>
      </w:r>
      <w:r>
        <w:rPr>
          <w:rFonts w:hint="eastAsia" w:ascii="宋体" w:hAnsi="宋体" w:eastAsia="宋体" w:cs="宋体"/>
          <w:color w:val="auto"/>
          <w:kern w:val="2"/>
          <w:sz w:val="24"/>
          <w:szCs w:val="24"/>
          <w:highlight w:val="none"/>
          <w:lang w:val="en-US" w:eastAsia="zh-CN" w:bidi="ar-SA"/>
        </w:rPr>
        <w:t>由5人以上（含）奇数的人员组成的评标委员会，负责对投标文件进行审查、质询、评审和比较等。</w:t>
      </w:r>
    </w:p>
    <w:p w14:paraId="6406E0E1">
      <w:pPr>
        <w:keepNext w:val="0"/>
        <w:keepLines w:val="0"/>
        <w:pageBreakBefore w:val="0"/>
        <w:tabs>
          <w:tab w:val="center" w:pos="4153"/>
          <w:tab w:val="right" w:pos="8306"/>
        </w:tabs>
        <w:kinsoku/>
        <w:wordWrap/>
        <w:overflowPunct/>
        <w:topLinePunct w:val="0"/>
        <w:autoSpaceDE/>
        <w:autoSpaceDN/>
        <w:bidi w:val="0"/>
        <w:snapToGrid w:val="0"/>
        <w:spacing w:line="460" w:lineRule="exact"/>
        <w:ind w:firstLine="557" w:firstLineChars="231"/>
        <w:jc w:val="lef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第三条 </w:t>
      </w:r>
      <w:r>
        <w:rPr>
          <w:rFonts w:hint="eastAsia" w:ascii="宋体" w:hAnsi="宋体" w:eastAsia="宋体" w:cs="宋体"/>
          <w:color w:val="auto"/>
          <w:sz w:val="24"/>
          <w:highlight w:val="none"/>
        </w:rPr>
        <w:t xml:space="preserve"> 评标委员会</w:t>
      </w:r>
      <w:r>
        <w:rPr>
          <w:rFonts w:hint="eastAsia" w:ascii="宋体" w:hAnsi="宋体" w:eastAsia="宋体" w:cs="宋体"/>
          <w:color w:val="auto"/>
          <w:kern w:val="2"/>
          <w:sz w:val="24"/>
          <w:szCs w:val="24"/>
          <w:highlight w:val="none"/>
          <w:lang w:val="en-US" w:eastAsia="zh-CN" w:bidi="ar-SA"/>
        </w:rPr>
        <w:t>必须公平、公正、客观，不带任何倾向性和启发性；不得向外界透露任何与评标有关的内容；任何单位和个人不得干扰、影响评标的正常进行；评标委员会及有关工作人员不得私下与投标人接触。</w:t>
      </w:r>
    </w:p>
    <w:p w14:paraId="184B899F">
      <w:pPr>
        <w:keepNext w:val="0"/>
        <w:keepLines w:val="0"/>
        <w:pageBreakBefore w:val="0"/>
        <w:kinsoku/>
        <w:wordWrap/>
        <w:overflowPunct/>
        <w:topLinePunct w:val="0"/>
        <w:autoSpaceDE/>
        <w:autoSpaceDN/>
        <w:bidi w:val="0"/>
        <w:spacing w:line="460" w:lineRule="exact"/>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bCs w:val="0"/>
          <w:color w:val="auto"/>
          <w:sz w:val="24"/>
          <w:highlight w:val="none"/>
        </w:rPr>
        <w:t xml:space="preserve">第四条 </w:t>
      </w:r>
      <w:r>
        <w:rPr>
          <w:rFonts w:hint="eastAsia" w:ascii="宋体" w:hAnsi="宋体" w:eastAsia="宋体" w:cs="宋体"/>
          <w:bCs/>
          <w:color w:val="auto"/>
          <w:sz w:val="24"/>
          <w:highlight w:val="none"/>
        </w:rPr>
        <w:t xml:space="preserve"> 本项目先开</w:t>
      </w:r>
      <w:r>
        <w:rPr>
          <w:rFonts w:hint="eastAsia" w:ascii="宋体" w:hAnsi="宋体" w:eastAsia="宋体" w:cs="宋体"/>
          <w:bCs/>
          <w:color w:val="auto"/>
          <w:sz w:val="24"/>
          <w:highlight w:val="none"/>
          <w:lang w:val="en-US" w:eastAsia="zh-CN"/>
        </w:rPr>
        <w:t>资格文件</w:t>
      </w:r>
      <w:r>
        <w:rPr>
          <w:rFonts w:hint="eastAsia" w:ascii="宋体" w:hAnsi="宋体" w:cs="宋体"/>
          <w:bCs/>
          <w:color w:val="auto"/>
          <w:sz w:val="24"/>
          <w:highlight w:val="none"/>
          <w:lang w:val="en-US" w:eastAsia="zh-CN"/>
        </w:rPr>
        <w:t>、商务</w:t>
      </w:r>
      <w:r>
        <w:rPr>
          <w:rFonts w:hint="eastAsia" w:ascii="宋体" w:hAnsi="宋体" w:eastAsia="宋体" w:cs="宋体"/>
          <w:bCs/>
          <w:color w:val="auto"/>
          <w:sz w:val="24"/>
          <w:highlight w:val="none"/>
        </w:rPr>
        <w:t>技术文件，再开报价文件。其中</w:t>
      </w:r>
      <w:r>
        <w:rPr>
          <w:rFonts w:hint="eastAsia" w:ascii="宋体" w:hAnsi="宋体" w:cs="宋体"/>
          <w:bCs/>
          <w:color w:val="auto"/>
          <w:sz w:val="24"/>
          <w:highlight w:val="none"/>
          <w:lang w:val="en-US" w:eastAsia="zh-CN"/>
        </w:rPr>
        <w:t>商务</w:t>
      </w:r>
      <w:r>
        <w:rPr>
          <w:rFonts w:hint="eastAsia" w:ascii="宋体" w:hAnsi="宋体" w:eastAsia="宋体" w:cs="宋体"/>
          <w:bCs/>
          <w:color w:val="auto"/>
          <w:sz w:val="24"/>
          <w:highlight w:val="none"/>
        </w:rPr>
        <w:t>技术分占</w:t>
      </w:r>
      <w:r>
        <w:rPr>
          <w:rFonts w:hint="eastAsia" w:ascii="宋体" w:hAnsi="宋体" w:eastAsia="宋体" w:cs="宋体"/>
          <w:bCs/>
          <w:color w:val="auto"/>
          <w:sz w:val="24"/>
          <w:highlight w:val="none"/>
          <w:lang w:val="en-US" w:eastAsia="zh-CN"/>
        </w:rPr>
        <w:t>70</w:t>
      </w:r>
      <w:r>
        <w:rPr>
          <w:rFonts w:hint="eastAsia" w:ascii="宋体" w:hAnsi="宋体" w:eastAsia="宋体" w:cs="宋体"/>
          <w:bCs/>
          <w:color w:val="auto"/>
          <w:sz w:val="24"/>
          <w:highlight w:val="none"/>
        </w:rPr>
        <w:t>%，报价分占</w:t>
      </w:r>
      <w:r>
        <w:rPr>
          <w:rFonts w:hint="eastAsia" w:ascii="宋体" w:hAnsi="宋体" w:eastAsia="宋体" w:cs="宋体"/>
          <w:bCs/>
          <w:color w:val="auto"/>
          <w:sz w:val="24"/>
          <w:highlight w:val="none"/>
          <w:lang w:val="en-US" w:eastAsia="zh-CN"/>
        </w:rPr>
        <w:t>30</w:t>
      </w:r>
      <w:r>
        <w:rPr>
          <w:rFonts w:hint="eastAsia" w:ascii="宋体" w:hAnsi="宋体" w:eastAsia="宋体" w:cs="宋体"/>
          <w:bCs/>
          <w:color w:val="auto"/>
          <w:sz w:val="24"/>
          <w:highlight w:val="none"/>
        </w:rPr>
        <w:t>%。</w:t>
      </w:r>
    </w:p>
    <w:p w14:paraId="46D24056">
      <w:pPr>
        <w:keepNext w:val="0"/>
        <w:keepLines w:val="0"/>
        <w:pageBreakBefore w:val="0"/>
        <w:kinsoku/>
        <w:wordWrap/>
        <w:overflowPunct/>
        <w:topLinePunct w:val="0"/>
        <w:autoSpaceDE/>
        <w:autoSpaceDN/>
        <w:bidi w:val="0"/>
        <w:spacing w:line="460" w:lineRule="exact"/>
        <w:ind w:firstLine="463" w:firstLineChars="192"/>
        <w:textAlignment w:val="auto"/>
        <w:rPr>
          <w:rFonts w:hint="eastAsia" w:ascii="宋体" w:hAnsi="宋体" w:eastAsia="宋体" w:cs="宋体"/>
          <w:bCs/>
          <w:color w:val="auto"/>
          <w:sz w:val="24"/>
          <w:highlight w:val="none"/>
        </w:rPr>
      </w:pPr>
      <w:r>
        <w:rPr>
          <w:rFonts w:hint="eastAsia" w:ascii="宋体" w:hAnsi="宋体" w:eastAsia="宋体" w:cs="宋体"/>
          <w:b/>
          <w:bCs w:val="0"/>
          <w:color w:val="auto"/>
          <w:sz w:val="24"/>
          <w:highlight w:val="none"/>
        </w:rPr>
        <w:t>第五条</w:t>
      </w:r>
      <w:r>
        <w:rPr>
          <w:rFonts w:hint="eastAsia" w:ascii="宋体" w:hAnsi="宋体" w:eastAsia="宋体" w:cs="宋体"/>
          <w:bCs/>
          <w:color w:val="auto"/>
          <w:sz w:val="24"/>
          <w:highlight w:val="none"/>
        </w:rPr>
        <w:t xml:space="preserve">  本项目采用综合评分法。即在全部满足</w:t>
      </w:r>
      <w:r>
        <w:rPr>
          <w:rFonts w:hint="eastAsia" w:ascii="宋体" w:hAnsi="宋体" w:eastAsia="宋体" w:cs="宋体"/>
          <w:color w:val="auto"/>
          <w:kern w:val="2"/>
          <w:sz w:val="24"/>
          <w:szCs w:val="24"/>
          <w:highlight w:val="none"/>
          <w:lang w:val="en-US" w:eastAsia="zh-CN" w:bidi="ar-SA"/>
        </w:rPr>
        <w:t>采购文件实质性要求的前提下，评标委员会对通过评审的所有投标人以总分由高到低推荐一名中标候选人，并进行采购结果公示。</w:t>
      </w:r>
    </w:p>
    <w:p w14:paraId="43E43343">
      <w:pPr>
        <w:keepNext w:val="0"/>
        <w:keepLines w:val="0"/>
        <w:pageBreakBefore w:val="0"/>
        <w:widowControl w:val="0"/>
        <w:numPr>
          <w:ilvl w:val="0"/>
          <w:numId w:val="0"/>
        </w:numPr>
        <w:kinsoku/>
        <w:wordWrap/>
        <w:overflowPunct/>
        <w:topLinePunct w:val="0"/>
        <w:autoSpaceDE/>
        <w:autoSpaceDN/>
        <w:bidi w:val="0"/>
        <w:adjustRightInd/>
        <w:spacing w:line="46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bCs w:val="0"/>
          <w:color w:val="auto"/>
          <w:sz w:val="24"/>
          <w:highlight w:val="none"/>
        </w:rPr>
        <w:t>第五条</w:t>
      </w:r>
      <w:r>
        <w:rPr>
          <w:rFonts w:hint="eastAsia" w:ascii="宋体" w:hAnsi="宋体" w:eastAsia="宋体" w:cs="宋体"/>
          <w:b/>
          <w:bCs w:val="0"/>
          <w:color w:val="auto"/>
          <w:sz w:val="24"/>
          <w:highlight w:val="none"/>
          <w:lang w:val="en-US" w:eastAsia="zh-CN"/>
        </w:rPr>
        <w:t xml:space="preserve">  </w:t>
      </w:r>
      <w:r>
        <w:rPr>
          <w:rFonts w:hint="eastAsia" w:ascii="宋体" w:hAnsi="宋体" w:eastAsia="宋体" w:cs="宋体"/>
          <w:b/>
          <w:color w:val="auto"/>
          <w:sz w:val="24"/>
          <w:highlight w:val="none"/>
        </w:rPr>
        <w:t>评标步骤</w:t>
      </w:r>
    </w:p>
    <w:p w14:paraId="086971B0">
      <w:pPr>
        <w:keepNext w:val="0"/>
        <w:keepLines w:val="0"/>
        <w:pageBreakBefore w:val="0"/>
        <w:widowControl w:val="0"/>
        <w:kinsoku/>
        <w:wordWrap/>
        <w:overflowPunct/>
        <w:topLinePunct w:val="0"/>
        <w:autoSpaceDE/>
        <w:autoSpaceDN/>
        <w:bidi w:val="0"/>
        <w:adjustRightInd/>
        <w:snapToGrid w:val="0"/>
        <w:spacing w:line="46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w:t>
      </w:r>
      <w:r>
        <w:rPr>
          <w:rFonts w:hint="eastAsia" w:ascii="宋体" w:hAnsi="宋体" w:eastAsia="宋体" w:cs="宋体"/>
          <w:b/>
          <w:color w:val="auto"/>
          <w:sz w:val="24"/>
          <w:highlight w:val="none"/>
          <w:lang w:val="en-US" w:eastAsia="zh-CN"/>
        </w:rPr>
        <w:t>.</w:t>
      </w:r>
      <w:r>
        <w:rPr>
          <w:rFonts w:hint="eastAsia" w:ascii="宋体" w:hAnsi="宋体" w:eastAsia="宋体" w:cs="宋体"/>
          <w:b/>
          <w:color w:val="auto"/>
          <w:sz w:val="24"/>
          <w:highlight w:val="none"/>
        </w:rPr>
        <w:t>在资格审查时，如发现下列情形之一的，</w:t>
      </w:r>
      <w:r>
        <w:rPr>
          <w:rFonts w:hint="eastAsia" w:ascii="宋体" w:hAnsi="宋体" w:eastAsia="宋体" w:cs="宋体"/>
          <w:b/>
          <w:color w:val="auto"/>
          <w:sz w:val="24"/>
          <w:highlight w:val="none"/>
          <w:lang w:eastAsia="zh-CN"/>
        </w:rPr>
        <w:t>投标</w:t>
      </w:r>
      <w:r>
        <w:rPr>
          <w:rFonts w:hint="eastAsia" w:ascii="宋体" w:hAnsi="宋体" w:eastAsia="宋体" w:cs="宋体"/>
          <w:b/>
          <w:color w:val="auto"/>
          <w:sz w:val="24"/>
          <w:highlight w:val="none"/>
        </w:rPr>
        <w:t>文件将被视为无效投标：</w:t>
      </w:r>
    </w:p>
    <w:p w14:paraId="5640F66C">
      <w:pPr>
        <w:pStyle w:val="16"/>
        <w:keepNext w:val="0"/>
        <w:keepLines w:val="0"/>
        <w:pageBreakBefore w:val="0"/>
        <w:kinsoku/>
        <w:wordWrap/>
        <w:overflowPunct/>
        <w:topLinePunct w:val="0"/>
        <w:autoSpaceDE/>
        <w:autoSpaceDN/>
        <w:bidi w:val="0"/>
        <w:spacing w:line="46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1）投标人不符合《中华人民共和国政府采购法》第二十二条规定；</w:t>
      </w:r>
    </w:p>
    <w:p w14:paraId="1A178AFC">
      <w:pPr>
        <w:pStyle w:val="16"/>
        <w:keepNext w:val="0"/>
        <w:keepLines w:val="0"/>
        <w:pageBreakBefore w:val="0"/>
        <w:kinsoku/>
        <w:wordWrap/>
        <w:overflowPunct/>
        <w:topLinePunct w:val="0"/>
        <w:autoSpaceDE/>
        <w:autoSpaceDN/>
        <w:bidi w:val="0"/>
        <w:spacing w:line="46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2）被“信用中国”（www.creditchina.gov.cn）、中国政府采购网（www.ccgp.gov.cn）列入失信被执行人、重大税收违法案件当事人名单、政府采购严重违法失信行为记录名单；</w:t>
      </w:r>
    </w:p>
    <w:p w14:paraId="0B2824E0">
      <w:pPr>
        <w:pStyle w:val="16"/>
        <w:keepNext w:val="0"/>
        <w:keepLines w:val="0"/>
        <w:pageBreakBefore w:val="0"/>
        <w:kinsoku/>
        <w:wordWrap/>
        <w:overflowPunct/>
        <w:topLinePunct w:val="0"/>
        <w:autoSpaceDE/>
        <w:autoSpaceDN/>
        <w:bidi w:val="0"/>
        <w:spacing w:line="46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3）无有效授权、法定代表人授权书填写不完整或有涂改的；</w:t>
      </w:r>
    </w:p>
    <w:p w14:paraId="0FCA5CE2">
      <w:pPr>
        <w:pStyle w:val="16"/>
        <w:keepNext w:val="0"/>
        <w:keepLines w:val="0"/>
        <w:pageBreakBefore w:val="0"/>
        <w:kinsoku/>
        <w:wordWrap/>
        <w:overflowPunct/>
        <w:topLinePunct w:val="0"/>
        <w:autoSpaceDE/>
        <w:autoSpaceDN/>
        <w:bidi w:val="0"/>
        <w:spacing w:line="46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4）不符合特定资格条件要求的。</w:t>
      </w:r>
    </w:p>
    <w:p w14:paraId="2E5DE064">
      <w:pPr>
        <w:pStyle w:val="16"/>
        <w:keepNext w:val="0"/>
        <w:keepLines w:val="0"/>
        <w:pageBreakBefore w:val="0"/>
        <w:kinsoku/>
        <w:wordWrap/>
        <w:overflowPunct/>
        <w:topLinePunct w:val="0"/>
        <w:autoSpaceDE/>
        <w:autoSpaceDN/>
        <w:bidi w:val="0"/>
        <w:spacing w:line="46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5）不符合法律、行政法规和本采购文件规定的其他条件（投标人未提供有效的资格文件的，视为投标人不具备采购文件中规定的资格要求）。</w:t>
      </w:r>
    </w:p>
    <w:p w14:paraId="761AA062">
      <w:pPr>
        <w:keepNext w:val="0"/>
        <w:keepLines w:val="0"/>
        <w:pageBreakBefore w:val="0"/>
        <w:widowControl w:val="0"/>
        <w:kinsoku/>
        <w:wordWrap/>
        <w:overflowPunct/>
        <w:topLinePunct w:val="0"/>
        <w:autoSpaceDE/>
        <w:autoSpaceDN/>
        <w:bidi w:val="0"/>
        <w:snapToGrid w:val="0"/>
        <w:spacing w:line="46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w:t>
      </w:r>
      <w:r>
        <w:rPr>
          <w:rFonts w:hint="eastAsia" w:ascii="宋体" w:hAnsi="宋体" w:eastAsia="宋体" w:cs="宋体"/>
          <w:b/>
          <w:bCs/>
          <w:color w:val="auto"/>
          <w:sz w:val="24"/>
          <w:highlight w:val="none"/>
        </w:rPr>
        <w:t>符合性审查</w:t>
      </w:r>
      <w:r>
        <w:rPr>
          <w:rFonts w:hint="eastAsia" w:ascii="宋体" w:hAnsi="宋体" w:eastAsia="宋体" w:cs="宋体"/>
          <w:b/>
          <w:color w:val="auto"/>
          <w:sz w:val="24"/>
          <w:highlight w:val="none"/>
        </w:rPr>
        <w:t>，如发现下列情形之一的，投标文件将被视为无效投标：</w:t>
      </w:r>
    </w:p>
    <w:p w14:paraId="046F6532">
      <w:pPr>
        <w:keepNext w:val="0"/>
        <w:keepLines w:val="0"/>
        <w:pageBreakBefore w:val="0"/>
        <w:widowControl w:val="0"/>
        <w:kinsoku/>
        <w:wordWrap/>
        <w:overflowPunct/>
        <w:topLinePunct w:val="0"/>
        <w:autoSpaceDE/>
        <w:autoSpaceDN/>
        <w:bidi w:val="0"/>
        <w:snapToGrid w:val="0"/>
        <w:spacing w:line="460" w:lineRule="exact"/>
        <w:ind w:firstLine="482" w:firstLineChars="200"/>
        <w:textAlignment w:val="auto"/>
        <w:rPr>
          <w:rFonts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cs="宋体"/>
          <w:b/>
          <w:bCs/>
          <w:color w:val="auto"/>
          <w:sz w:val="24"/>
          <w:highlight w:val="none"/>
          <w:lang w:val="en-US" w:eastAsia="zh-CN"/>
        </w:rPr>
        <w:t>商务</w:t>
      </w:r>
      <w:r>
        <w:rPr>
          <w:rFonts w:hint="eastAsia" w:ascii="宋体" w:hAnsi="宋体" w:eastAsia="宋体" w:cs="宋体"/>
          <w:b/>
          <w:bCs/>
          <w:color w:val="auto"/>
          <w:sz w:val="24"/>
          <w:highlight w:val="none"/>
        </w:rPr>
        <w:t>评审</w:t>
      </w:r>
    </w:p>
    <w:p w14:paraId="036EF3FB">
      <w:pPr>
        <w:pStyle w:val="16"/>
        <w:keepNext w:val="0"/>
        <w:keepLines w:val="0"/>
        <w:pageBreakBefore w:val="0"/>
        <w:kinsoku/>
        <w:wordWrap/>
        <w:overflowPunct/>
        <w:topLinePunct w:val="0"/>
        <w:autoSpaceDE/>
        <w:autoSpaceDN/>
        <w:bidi w:val="0"/>
        <w:spacing w:line="46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1）投标文件未按照采购文件规定的格式编制，未按照采购文件要求签署和盖章的；</w:t>
      </w:r>
    </w:p>
    <w:p w14:paraId="71A779D4">
      <w:pPr>
        <w:pStyle w:val="16"/>
        <w:keepNext w:val="0"/>
        <w:keepLines w:val="0"/>
        <w:pageBreakBefore w:val="0"/>
        <w:kinsoku/>
        <w:wordWrap/>
        <w:overflowPunct/>
        <w:topLinePunct w:val="0"/>
        <w:autoSpaceDE/>
        <w:autoSpaceDN/>
        <w:bidi w:val="0"/>
        <w:spacing w:line="46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2）投标人名称与报名时登记的名称或提供的证件上的名称不一致的（单位名称发生合法变更的除外，但需提供合法变更的有效证明）；</w:t>
      </w:r>
    </w:p>
    <w:p w14:paraId="436335D9">
      <w:pPr>
        <w:pStyle w:val="16"/>
        <w:keepNext w:val="0"/>
        <w:keepLines w:val="0"/>
        <w:pageBreakBefore w:val="0"/>
        <w:kinsoku/>
        <w:wordWrap/>
        <w:overflowPunct/>
        <w:topLinePunct w:val="0"/>
        <w:autoSpaceDE/>
        <w:autoSpaceDN/>
        <w:bidi w:val="0"/>
        <w:spacing w:line="46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3）投标文件内容虚假的；</w:t>
      </w:r>
    </w:p>
    <w:p w14:paraId="51A96049">
      <w:pPr>
        <w:pStyle w:val="16"/>
        <w:keepNext w:val="0"/>
        <w:keepLines w:val="0"/>
        <w:pageBreakBefore w:val="0"/>
        <w:kinsoku/>
        <w:wordWrap/>
        <w:overflowPunct/>
        <w:topLinePunct w:val="0"/>
        <w:autoSpaceDE/>
        <w:autoSpaceDN/>
        <w:bidi w:val="0"/>
        <w:spacing w:line="46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4）投标文件的实质性内容未使用中文表述、意思表述不明确、前后矛盾或者使用计量单位不符合采购文件要求的（经评标委员会认定允许其当场更正的笔误除外）；</w:t>
      </w:r>
    </w:p>
    <w:p w14:paraId="04041307">
      <w:pPr>
        <w:pStyle w:val="16"/>
        <w:keepNext w:val="0"/>
        <w:keepLines w:val="0"/>
        <w:pageBreakBefore w:val="0"/>
        <w:kinsoku/>
        <w:wordWrap/>
        <w:overflowPunct/>
        <w:topLinePunct w:val="0"/>
        <w:autoSpaceDE/>
        <w:autoSpaceDN/>
        <w:bidi w:val="0"/>
        <w:spacing w:line="46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5）投标文件的关键内容字迹模糊、无法辨认的，或者投标文件中经修正的内容字迹模糊难以辨认或者修改处未按规定盖章的；</w:t>
      </w:r>
    </w:p>
    <w:p w14:paraId="606AD2F9">
      <w:pPr>
        <w:pStyle w:val="16"/>
        <w:keepNext w:val="0"/>
        <w:keepLines w:val="0"/>
        <w:pageBreakBefore w:val="0"/>
        <w:kinsoku/>
        <w:wordWrap/>
        <w:overflowPunct/>
        <w:topLinePunct w:val="0"/>
        <w:autoSpaceDE/>
        <w:autoSpaceDN/>
        <w:bidi w:val="0"/>
        <w:spacing w:line="46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6）投标有效期、交货期、质保期等不能满足采购文件实质性要求的；</w:t>
      </w:r>
    </w:p>
    <w:p w14:paraId="363CC8FA">
      <w:pPr>
        <w:pStyle w:val="16"/>
        <w:keepNext w:val="0"/>
        <w:keepLines w:val="0"/>
        <w:pageBreakBefore w:val="0"/>
        <w:kinsoku/>
        <w:wordWrap/>
        <w:overflowPunct/>
        <w:topLinePunct w:val="0"/>
        <w:autoSpaceDE/>
        <w:autoSpaceDN/>
        <w:bidi w:val="0"/>
        <w:spacing w:line="46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7）投标人拒绝按采购文件修正原则对投标文件进行修正的；</w:t>
      </w:r>
    </w:p>
    <w:p w14:paraId="5DB38F3B">
      <w:pPr>
        <w:pStyle w:val="16"/>
        <w:keepNext w:val="0"/>
        <w:keepLines w:val="0"/>
        <w:pageBreakBefore w:val="0"/>
        <w:kinsoku/>
        <w:wordWrap/>
        <w:overflowPunct/>
        <w:topLinePunct w:val="0"/>
        <w:autoSpaceDE/>
        <w:autoSpaceDN/>
        <w:bidi w:val="0"/>
        <w:spacing w:line="46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8）不符合法律、法规和本采购文件规定的其他实质性要求的。</w:t>
      </w:r>
    </w:p>
    <w:p w14:paraId="5211634F">
      <w:pPr>
        <w:keepNext w:val="0"/>
        <w:keepLines w:val="0"/>
        <w:pageBreakBefore w:val="0"/>
        <w:widowControl w:val="0"/>
        <w:kinsoku/>
        <w:wordWrap/>
        <w:overflowPunct/>
        <w:topLinePunct w:val="0"/>
        <w:autoSpaceDE/>
        <w:autoSpaceDN/>
        <w:bidi w:val="0"/>
        <w:snapToGrid w:val="0"/>
        <w:spacing w:before="0" w:beforeLines="0" w:after="0" w:afterLines="0" w:line="460" w:lineRule="exact"/>
        <w:ind w:firstLine="482" w:firstLineChars="200"/>
        <w:jc w:val="both"/>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（2）技术评审</w:t>
      </w:r>
    </w:p>
    <w:p w14:paraId="4A958655">
      <w:pPr>
        <w:keepNext w:val="0"/>
        <w:keepLines w:val="0"/>
        <w:pageBreakBefore w:val="0"/>
        <w:widowControl w:val="0"/>
        <w:kinsoku/>
        <w:wordWrap/>
        <w:overflowPunct/>
        <w:topLinePunct w:val="0"/>
        <w:autoSpaceDE/>
        <w:autoSpaceDN/>
        <w:bidi w:val="0"/>
        <w:snapToGrid w:val="0"/>
        <w:spacing w:before="0" w:beforeLines="0" w:after="0" w:afterLines="0" w:line="46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1）明显不符合采购文件中规定的采购需求的投标方案；</w:t>
      </w:r>
    </w:p>
    <w:p w14:paraId="367302C6">
      <w:pPr>
        <w:keepNext w:val="0"/>
        <w:keepLines w:val="0"/>
        <w:pageBreakBefore w:val="0"/>
        <w:widowControl w:val="0"/>
        <w:kinsoku/>
        <w:wordWrap/>
        <w:overflowPunct/>
        <w:topLinePunct w:val="0"/>
        <w:autoSpaceDE/>
        <w:autoSpaceDN/>
        <w:bidi w:val="0"/>
        <w:snapToGrid w:val="0"/>
        <w:spacing w:line="46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2）与采购文件有重大偏离的投标文件；</w:t>
      </w:r>
    </w:p>
    <w:p w14:paraId="1D768931">
      <w:pPr>
        <w:keepNext w:val="0"/>
        <w:keepLines w:val="0"/>
        <w:pageBreakBefore w:val="0"/>
        <w:widowControl w:val="0"/>
        <w:kinsoku/>
        <w:wordWrap/>
        <w:overflowPunct/>
        <w:topLinePunct w:val="0"/>
        <w:autoSpaceDE/>
        <w:autoSpaceDN/>
        <w:bidi w:val="0"/>
        <w:snapToGrid w:val="0"/>
        <w:spacing w:before="0" w:beforeLines="0" w:after="0" w:afterLines="0" w:line="46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3）不响应或者擅自改变采购文件实质性要求或者投标文件有采购人不能接受的附加条件的；</w:t>
      </w:r>
    </w:p>
    <w:p w14:paraId="173A8171">
      <w:pPr>
        <w:keepNext w:val="0"/>
        <w:keepLines w:val="0"/>
        <w:pageBreakBefore w:val="0"/>
        <w:widowControl w:val="0"/>
        <w:kinsoku/>
        <w:wordWrap/>
        <w:overflowPunct/>
        <w:topLinePunct w:val="0"/>
        <w:autoSpaceDE/>
        <w:autoSpaceDN/>
        <w:bidi w:val="0"/>
        <w:snapToGrid w:val="0"/>
        <w:spacing w:before="0" w:beforeLines="0" w:after="0" w:afterLines="0" w:line="46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4）投标</w:t>
      </w:r>
      <w:r>
        <w:rPr>
          <w:rFonts w:hint="eastAsia" w:ascii="宋体" w:hAnsi="宋体" w:cs="宋体"/>
          <w:color w:val="auto"/>
          <w:kern w:val="2"/>
          <w:sz w:val="24"/>
          <w:szCs w:val="24"/>
          <w:highlight w:val="none"/>
          <w:lang w:val="en-US" w:eastAsia="zh-CN" w:bidi="ar-SA"/>
        </w:rPr>
        <w:t>人</w:t>
      </w:r>
      <w:r>
        <w:rPr>
          <w:rFonts w:hint="eastAsia" w:ascii="宋体" w:hAnsi="宋体" w:eastAsia="宋体" w:cs="宋体"/>
          <w:color w:val="auto"/>
          <w:kern w:val="2"/>
          <w:sz w:val="24"/>
          <w:szCs w:val="24"/>
          <w:highlight w:val="none"/>
          <w:lang w:val="en-US" w:eastAsia="zh-CN" w:bidi="ar-SA"/>
        </w:rPr>
        <w:t>技术方案不明确，存在一个或一个以上备选（替代）方案的；</w:t>
      </w:r>
    </w:p>
    <w:p w14:paraId="730D2015">
      <w:pPr>
        <w:keepNext w:val="0"/>
        <w:keepLines w:val="0"/>
        <w:pageBreakBefore w:val="0"/>
        <w:kinsoku/>
        <w:wordWrap/>
        <w:overflowPunct/>
        <w:topLinePunct w:val="0"/>
        <w:autoSpaceDE/>
        <w:autoSpaceDN/>
        <w:bidi w:val="0"/>
        <w:snapToGrid w:val="0"/>
        <w:spacing w:line="460" w:lineRule="exact"/>
        <w:ind w:left="719" w:leftChars="228" w:hanging="240" w:hangingChars="1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5）不符合法律、法规和本采购文件规定的其他实质性要求的。</w:t>
      </w:r>
    </w:p>
    <w:p w14:paraId="5EB3E39D">
      <w:pPr>
        <w:keepNext w:val="0"/>
        <w:keepLines w:val="0"/>
        <w:pageBreakBefore w:val="0"/>
        <w:widowControl w:val="0"/>
        <w:kinsoku/>
        <w:wordWrap/>
        <w:overflowPunct/>
        <w:topLinePunct w:val="0"/>
        <w:autoSpaceDE/>
        <w:autoSpaceDN/>
        <w:bidi w:val="0"/>
        <w:snapToGrid w:val="0"/>
        <w:spacing w:line="460" w:lineRule="exact"/>
        <w:ind w:firstLine="482" w:firstLineChars="200"/>
        <w:textAlignment w:val="auto"/>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val="en-US" w:eastAsia="zh-CN"/>
        </w:rPr>
        <w:t>3.</w:t>
      </w:r>
      <w:r>
        <w:rPr>
          <w:rFonts w:hint="eastAsia" w:ascii="宋体" w:hAnsi="宋体" w:eastAsia="宋体" w:cs="宋体"/>
          <w:b/>
          <w:color w:val="auto"/>
          <w:sz w:val="24"/>
          <w:highlight w:val="none"/>
        </w:rPr>
        <w:t>商务技术评分表</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lang w:val="en-US" w:eastAsia="zh-CN"/>
        </w:rPr>
        <w:t>7</w:t>
      </w:r>
      <w:r>
        <w:rPr>
          <w:rFonts w:hint="eastAsia" w:ascii="宋体" w:hAnsi="宋体" w:eastAsia="宋体" w:cs="宋体"/>
          <w:b/>
          <w:color w:val="auto"/>
          <w:sz w:val="24"/>
          <w:highlight w:val="none"/>
          <w:lang w:eastAsia="zh-CN"/>
        </w:rPr>
        <w:t>0分）</w:t>
      </w:r>
    </w:p>
    <w:tbl>
      <w:tblPr>
        <w:tblStyle w:val="25"/>
        <w:tblW w:w="9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7493"/>
        <w:gridCol w:w="960"/>
      </w:tblGrid>
      <w:tr w14:paraId="683C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Align w:val="center"/>
          </w:tcPr>
          <w:p w14:paraId="392D10F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项目</w:t>
            </w:r>
          </w:p>
        </w:tc>
        <w:tc>
          <w:tcPr>
            <w:tcW w:w="7493" w:type="dxa"/>
            <w:vAlign w:val="center"/>
          </w:tcPr>
          <w:p w14:paraId="5A05481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评分细则</w:t>
            </w:r>
          </w:p>
        </w:tc>
        <w:tc>
          <w:tcPr>
            <w:tcW w:w="960" w:type="dxa"/>
            <w:vAlign w:val="center"/>
          </w:tcPr>
          <w:p w14:paraId="54CE3AC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分值</w:t>
            </w:r>
          </w:p>
        </w:tc>
      </w:tr>
      <w:tr w14:paraId="042F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Align w:val="center"/>
          </w:tcPr>
          <w:p w14:paraId="797947C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投标人</w:t>
            </w:r>
          </w:p>
          <w:p w14:paraId="692D4BC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综合实力</w:t>
            </w:r>
          </w:p>
        </w:tc>
        <w:tc>
          <w:tcPr>
            <w:tcW w:w="7493" w:type="dxa"/>
            <w:vAlign w:val="center"/>
          </w:tcPr>
          <w:p w14:paraId="4F3A5B0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1、投标人综合实力进行综合比较打分：优的得1.1-2分；良的得0.6-1分；一般的得0.1-0.5分；</w:t>
            </w:r>
          </w:p>
          <w:p w14:paraId="4258414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投标人具有</w:t>
            </w:r>
            <w:r>
              <w:rPr>
                <w:rFonts w:hint="eastAsia" w:ascii="宋体" w:hAnsi="宋体" w:eastAsia="宋体" w:cs="宋体"/>
                <w:color w:val="auto"/>
                <w:sz w:val="24"/>
                <w:szCs w:val="24"/>
                <w:highlight w:val="none"/>
                <w:lang w:val="en-US" w:eastAsia="zh-CN"/>
              </w:rPr>
              <w:t>建筑</w:t>
            </w:r>
            <w:r>
              <w:rPr>
                <w:rFonts w:hint="eastAsia" w:ascii="宋体" w:hAnsi="宋体" w:eastAsia="宋体" w:cs="宋体"/>
                <w:color w:val="auto"/>
                <w:sz w:val="24"/>
                <w:szCs w:val="24"/>
                <w:highlight w:val="none"/>
              </w:rPr>
              <w:t>机电安装</w:t>
            </w:r>
            <w:r>
              <w:rPr>
                <w:rFonts w:hint="eastAsia" w:ascii="宋体" w:hAnsi="宋体" w:eastAsia="宋体" w:cs="宋体"/>
                <w:color w:val="auto"/>
                <w:sz w:val="24"/>
                <w:szCs w:val="24"/>
                <w:highlight w:val="none"/>
                <w:lang w:val="en-US" w:eastAsia="zh-CN"/>
              </w:rPr>
              <w:t>工程专业承包资质三</w:t>
            </w:r>
            <w:r>
              <w:rPr>
                <w:rFonts w:hint="eastAsia" w:ascii="宋体" w:hAnsi="宋体" w:eastAsia="宋体" w:cs="宋体"/>
                <w:color w:val="auto"/>
                <w:sz w:val="24"/>
                <w:szCs w:val="24"/>
                <w:highlight w:val="none"/>
              </w:rPr>
              <w:t>级</w:t>
            </w:r>
            <w:r>
              <w:rPr>
                <w:rFonts w:hint="eastAsia" w:ascii="宋体" w:hAnsi="宋体" w:eastAsia="宋体" w:cs="宋体"/>
                <w:color w:val="auto"/>
                <w:sz w:val="24"/>
                <w:szCs w:val="24"/>
                <w:highlight w:val="none"/>
                <w:lang w:val="en-US" w:eastAsia="zh-CN"/>
              </w:rPr>
              <w:t>及以上资质</w:t>
            </w:r>
            <w:r>
              <w:rPr>
                <w:rFonts w:hint="eastAsia" w:ascii="宋体" w:hAnsi="宋体" w:eastAsia="宋体" w:cs="宋体"/>
                <w:color w:val="auto"/>
                <w:sz w:val="24"/>
                <w:szCs w:val="24"/>
                <w:highlight w:val="none"/>
              </w:rPr>
              <w:t>及安全生产许可证</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分，无不得分。</w:t>
            </w:r>
          </w:p>
          <w:p w14:paraId="2E0D891A">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color w:val="auto"/>
                <w:sz w:val="24"/>
                <w:szCs w:val="24"/>
                <w:highlight w:val="none"/>
              </w:rPr>
            </w:pPr>
            <w:r>
              <w:rPr>
                <w:rFonts w:hint="eastAsia" w:ascii="宋体" w:hAnsi="宋体" w:cs="宋体"/>
                <w:b/>
                <w:bCs/>
                <w:color w:val="auto"/>
                <w:sz w:val="24"/>
                <w:szCs w:val="24"/>
                <w:highlight w:val="none"/>
              </w:rPr>
              <w:t>注：提供</w:t>
            </w:r>
            <w:r>
              <w:rPr>
                <w:rFonts w:hint="eastAsia" w:ascii="宋体" w:hAnsi="宋体" w:cs="宋体"/>
                <w:b/>
                <w:bCs/>
                <w:color w:val="auto"/>
                <w:sz w:val="24"/>
                <w:szCs w:val="24"/>
                <w:highlight w:val="none"/>
                <w:lang w:val="en-US" w:eastAsia="zh-CN"/>
              </w:rPr>
              <w:t>有效的资质证书、安全许可证</w:t>
            </w:r>
            <w:r>
              <w:rPr>
                <w:rFonts w:hint="eastAsia" w:ascii="宋体" w:hAnsi="宋体" w:cs="宋体"/>
                <w:b/>
                <w:bCs/>
                <w:color w:val="auto"/>
                <w:sz w:val="24"/>
                <w:szCs w:val="24"/>
                <w:highlight w:val="none"/>
              </w:rPr>
              <w:t>。</w:t>
            </w:r>
          </w:p>
        </w:tc>
        <w:tc>
          <w:tcPr>
            <w:tcW w:w="960" w:type="dxa"/>
            <w:vAlign w:val="center"/>
          </w:tcPr>
          <w:p w14:paraId="40FA1C3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分</w:t>
            </w:r>
          </w:p>
        </w:tc>
      </w:tr>
      <w:tr w14:paraId="57E0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Align w:val="center"/>
          </w:tcPr>
          <w:p w14:paraId="4D9ED8C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投标人</w:t>
            </w:r>
          </w:p>
          <w:p w14:paraId="50122E3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业绩</w:t>
            </w:r>
          </w:p>
        </w:tc>
        <w:tc>
          <w:tcPr>
            <w:tcW w:w="7493" w:type="dxa"/>
            <w:vAlign w:val="center"/>
          </w:tcPr>
          <w:p w14:paraId="4D977B7C">
            <w:pPr>
              <w:keepNext w:val="0"/>
              <w:keepLines w:val="0"/>
              <w:pageBreakBefore w:val="0"/>
              <w:widowControl/>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投标人自2021年1月1日起（以合同签订时间为准）完成过类似项目采购的且合同金额在</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00万元及以上的1个得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分，最高得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p w14:paraId="129F4DB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注：提供合同及发票</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rPr>
              <w:t>缺一不可。</w:t>
            </w:r>
          </w:p>
        </w:tc>
        <w:tc>
          <w:tcPr>
            <w:tcW w:w="960" w:type="dxa"/>
            <w:vAlign w:val="center"/>
          </w:tcPr>
          <w:p w14:paraId="4BD543B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分</w:t>
            </w:r>
          </w:p>
        </w:tc>
      </w:tr>
      <w:tr w14:paraId="4733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Align w:val="center"/>
          </w:tcPr>
          <w:p w14:paraId="704250E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产品技术性能</w:t>
            </w:r>
          </w:p>
        </w:tc>
        <w:tc>
          <w:tcPr>
            <w:tcW w:w="7493" w:type="dxa"/>
            <w:vAlign w:val="center"/>
          </w:tcPr>
          <w:p w14:paraId="730D58A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投标人所投产品的生产标准、工艺、用材用料等高于或完全满足采购文件所有参数要求的得3.1-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分，基本满足采购文件要求的得0.1-3分，不满足采购文件要求的得0分。</w:t>
            </w:r>
          </w:p>
        </w:tc>
        <w:tc>
          <w:tcPr>
            <w:tcW w:w="960" w:type="dxa"/>
            <w:vAlign w:val="center"/>
          </w:tcPr>
          <w:p w14:paraId="0D09AE8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分</w:t>
            </w:r>
          </w:p>
        </w:tc>
      </w:tr>
      <w:tr w14:paraId="5CAA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Align w:val="center"/>
          </w:tcPr>
          <w:p w14:paraId="64B603F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产品品质</w:t>
            </w:r>
          </w:p>
        </w:tc>
        <w:tc>
          <w:tcPr>
            <w:tcW w:w="7493" w:type="dxa"/>
            <w:vAlign w:val="center"/>
          </w:tcPr>
          <w:p w14:paraId="74CB1D2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热泵机组具有低碳MCS认证</w:t>
            </w:r>
            <w:r>
              <w:rPr>
                <w:rFonts w:hint="eastAsia" w:ascii="宋体" w:hAnsi="宋体" w:cs="宋体"/>
                <w:color w:val="auto"/>
                <w:sz w:val="24"/>
                <w:szCs w:val="24"/>
                <w:highlight w:val="none"/>
                <w:lang w:val="en-US" w:eastAsia="zh-CN"/>
              </w:rPr>
              <w:t>的得2分</w:t>
            </w:r>
            <w:r>
              <w:rPr>
                <w:rFonts w:hint="eastAsia" w:ascii="宋体" w:hAnsi="宋体" w:cs="宋体"/>
                <w:color w:val="auto"/>
                <w:sz w:val="24"/>
                <w:szCs w:val="24"/>
                <w:highlight w:val="none"/>
                <w:lang w:eastAsia="zh-CN"/>
              </w:rPr>
              <w:t>。</w:t>
            </w:r>
          </w:p>
          <w:p w14:paraId="089B932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color w:val="auto"/>
                <w:sz w:val="24"/>
                <w:szCs w:val="24"/>
                <w:highlight w:val="none"/>
              </w:rPr>
            </w:pPr>
            <w:r>
              <w:rPr>
                <w:rFonts w:hint="eastAsia" w:ascii="宋体" w:hAnsi="宋体" w:cs="宋体"/>
                <w:b/>
                <w:bCs/>
                <w:color w:val="auto"/>
                <w:sz w:val="24"/>
                <w:szCs w:val="24"/>
                <w:highlight w:val="none"/>
              </w:rPr>
              <w:t>注：提供</w:t>
            </w:r>
            <w:r>
              <w:rPr>
                <w:rFonts w:hint="eastAsia" w:ascii="宋体" w:hAnsi="宋体" w:cs="宋体"/>
                <w:b/>
                <w:bCs/>
                <w:color w:val="auto"/>
                <w:sz w:val="24"/>
                <w:szCs w:val="24"/>
                <w:highlight w:val="none"/>
                <w:lang w:val="en-US" w:eastAsia="zh-CN"/>
              </w:rPr>
              <w:t>有效的</w:t>
            </w:r>
            <w:r>
              <w:rPr>
                <w:rFonts w:hint="eastAsia" w:ascii="宋体" w:hAnsi="宋体" w:cs="宋体"/>
                <w:b/>
                <w:bCs/>
                <w:color w:val="auto"/>
                <w:sz w:val="24"/>
                <w:szCs w:val="24"/>
                <w:highlight w:val="none"/>
              </w:rPr>
              <w:t>认证</w:t>
            </w:r>
            <w:r>
              <w:rPr>
                <w:rFonts w:hint="eastAsia" w:ascii="宋体" w:hAnsi="宋体" w:cs="宋体"/>
                <w:b/>
                <w:bCs/>
                <w:color w:val="auto"/>
                <w:sz w:val="24"/>
                <w:szCs w:val="24"/>
                <w:highlight w:val="none"/>
                <w:lang w:val="en-US" w:eastAsia="zh-CN"/>
              </w:rPr>
              <w:t>证书</w:t>
            </w:r>
            <w:r>
              <w:rPr>
                <w:rFonts w:hint="eastAsia" w:ascii="宋体" w:hAnsi="宋体" w:cs="宋体"/>
                <w:b/>
                <w:bCs/>
                <w:color w:val="auto"/>
                <w:sz w:val="24"/>
                <w:szCs w:val="24"/>
                <w:highlight w:val="none"/>
              </w:rPr>
              <w:t>。</w:t>
            </w:r>
          </w:p>
        </w:tc>
        <w:tc>
          <w:tcPr>
            <w:tcW w:w="960" w:type="dxa"/>
            <w:vAlign w:val="center"/>
          </w:tcPr>
          <w:p w14:paraId="2BED310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分</w:t>
            </w:r>
          </w:p>
        </w:tc>
      </w:tr>
      <w:tr w14:paraId="38C3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Align w:val="center"/>
          </w:tcPr>
          <w:p w14:paraId="3650CC8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技术组织实施方案、进度及保障措施</w:t>
            </w:r>
          </w:p>
        </w:tc>
        <w:tc>
          <w:tcPr>
            <w:tcW w:w="7493" w:type="dxa"/>
            <w:vAlign w:val="center"/>
          </w:tcPr>
          <w:p w14:paraId="2CF6FBE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1、根据投标人提供的项目供货安装计划安排措施进行评审，合理得3.1-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分，基本合理得</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rPr>
              <w:t>1-3分，不合理或未提供0分；</w:t>
            </w:r>
          </w:p>
          <w:p w14:paraId="64CE81B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2、根据投标人提供的项目工期进度计划保障措施进行评审，合理得3.1-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分，基本合理得</w:t>
            </w:r>
            <w:r>
              <w:rPr>
                <w:rFonts w:hint="eastAsia" w:ascii="宋体" w:hAnsi="宋体" w:cs="宋体"/>
                <w:color w:val="auto"/>
                <w:sz w:val="24"/>
                <w:szCs w:val="24"/>
                <w:highlight w:val="none"/>
                <w:lang w:eastAsia="zh-CN"/>
              </w:rPr>
              <w:t>0.1-</w:t>
            </w:r>
            <w:r>
              <w:rPr>
                <w:rFonts w:hint="eastAsia" w:ascii="宋体" w:hAnsi="宋体" w:cs="宋体"/>
                <w:color w:val="auto"/>
                <w:sz w:val="24"/>
                <w:szCs w:val="24"/>
                <w:highlight w:val="none"/>
              </w:rPr>
              <w:t>3分，不合理或未提供0分；</w:t>
            </w:r>
          </w:p>
          <w:p w14:paraId="05102EE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3、根据投标人提供的项目质量保证措施进行评审，合理得3.1-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分，基本合理得</w:t>
            </w:r>
            <w:r>
              <w:rPr>
                <w:rFonts w:hint="eastAsia" w:ascii="宋体" w:hAnsi="宋体" w:cs="宋体"/>
                <w:color w:val="auto"/>
                <w:sz w:val="24"/>
                <w:szCs w:val="24"/>
                <w:highlight w:val="none"/>
                <w:lang w:eastAsia="zh-CN"/>
              </w:rPr>
              <w:t>0.1-</w:t>
            </w:r>
            <w:r>
              <w:rPr>
                <w:rFonts w:hint="eastAsia" w:ascii="宋体" w:hAnsi="宋体" w:cs="宋体"/>
                <w:color w:val="auto"/>
                <w:sz w:val="24"/>
                <w:szCs w:val="24"/>
                <w:highlight w:val="none"/>
              </w:rPr>
              <w:t>3分，不合理或未提供0分；</w:t>
            </w:r>
          </w:p>
          <w:p w14:paraId="2AB45CD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4、根据投标人提供的验收措施进行评审，合理得</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分，基本合理得</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分，不合理或未提供0分；</w:t>
            </w:r>
          </w:p>
          <w:p w14:paraId="6EB3037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5、根据投标人提供的施工工序穿插合理和关键思路清晰，施工指导性强，机械设备及劳动力配套资源计划齐全，配套资源安排合理得</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分，基本合理得</w:t>
            </w:r>
            <w:r>
              <w:rPr>
                <w:rFonts w:hint="eastAsia" w:ascii="宋体" w:hAnsi="宋体" w:cs="宋体"/>
                <w:color w:val="auto"/>
                <w:sz w:val="24"/>
                <w:szCs w:val="24"/>
                <w:highlight w:val="none"/>
                <w:lang w:val="en-US" w:eastAsia="zh-CN"/>
              </w:rPr>
              <w:t>0.1-3</w:t>
            </w:r>
            <w:r>
              <w:rPr>
                <w:rFonts w:hint="eastAsia" w:ascii="宋体" w:hAnsi="宋体" w:cs="宋体"/>
                <w:color w:val="auto"/>
                <w:sz w:val="24"/>
                <w:szCs w:val="24"/>
                <w:highlight w:val="none"/>
              </w:rPr>
              <w:t>分，不合理或未提供0分；</w:t>
            </w:r>
          </w:p>
          <w:p w14:paraId="23C3EEB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宋体"/>
                <w:b/>
                <w:bCs/>
                <w:color w:val="auto"/>
                <w:sz w:val="24"/>
                <w:szCs w:val="24"/>
                <w:highlight w:val="none"/>
              </w:rPr>
            </w:pPr>
            <w:r>
              <w:rPr>
                <w:rFonts w:hint="eastAsia" w:ascii="宋体" w:hAnsi="宋体" w:cs="宋体"/>
                <w:color w:val="auto"/>
                <w:sz w:val="24"/>
                <w:szCs w:val="24"/>
                <w:highlight w:val="none"/>
              </w:rPr>
              <w:t>6、根据投标人提供的应急组织措施方案进行评审，合理得</w:t>
            </w:r>
            <w:r>
              <w:rPr>
                <w:rFonts w:hint="eastAsia" w:ascii="宋体" w:hAnsi="宋体" w:cs="宋体"/>
                <w:color w:val="auto"/>
                <w:sz w:val="24"/>
                <w:szCs w:val="24"/>
                <w:highlight w:val="none"/>
                <w:lang w:val="en-US" w:eastAsia="zh-CN"/>
              </w:rPr>
              <w:t>3.1-6</w:t>
            </w:r>
            <w:r>
              <w:rPr>
                <w:rFonts w:hint="eastAsia" w:ascii="宋体" w:hAnsi="宋体" w:cs="宋体"/>
                <w:color w:val="auto"/>
                <w:sz w:val="24"/>
                <w:szCs w:val="24"/>
                <w:highlight w:val="none"/>
              </w:rPr>
              <w:t>分，基本合理得</w:t>
            </w:r>
            <w:r>
              <w:rPr>
                <w:rFonts w:hint="eastAsia" w:ascii="宋体" w:hAnsi="宋体" w:cs="宋体"/>
                <w:color w:val="auto"/>
                <w:sz w:val="24"/>
                <w:szCs w:val="24"/>
                <w:highlight w:val="none"/>
                <w:lang w:val="en-US" w:eastAsia="zh-CN"/>
              </w:rPr>
              <w:t>0.1-3</w:t>
            </w:r>
            <w:r>
              <w:rPr>
                <w:rFonts w:hint="eastAsia" w:ascii="宋体" w:hAnsi="宋体" w:cs="宋体"/>
                <w:color w:val="auto"/>
                <w:sz w:val="24"/>
                <w:szCs w:val="24"/>
                <w:highlight w:val="none"/>
              </w:rPr>
              <w:t>分，不合理或未提供0分。</w:t>
            </w:r>
          </w:p>
        </w:tc>
        <w:tc>
          <w:tcPr>
            <w:tcW w:w="960" w:type="dxa"/>
            <w:vAlign w:val="center"/>
          </w:tcPr>
          <w:p w14:paraId="4AB1CB4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36</w:t>
            </w:r>
            <w:r>
              <w:rPr>
                <w:rFonts w:hint="eastAsia" w:ascii="宋体" w:hAnsi="宋体" w:cs="宋体"/>
                <w:color w:val="auto"/>
                <w:sz w:val="24"/>
                <w:szCs w:val="24"/>
                <w:highlight w:val="none"/>
              </w:rPr>
              <w:t>分</w:t>
            </w:r>
          </w:p>
        </w:tc>
      </w:tr>
      <w:tr w14:paraId="3692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Align w:val="center"/>
          </w:tcPr>
          <w:p w14:paraId="694ACA5A">
            <w:pPr>
              <w:pStyle w:val="61"/>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color w:val="auto"/>
                <w:sz w:val="24"/>
                <w:szCs w:val="24"/>
                <w:highlight w:val="none"/>
              </w:rPr>
            </w:pPr>
            <w:r>
              <w:rPr>
                <w:rFonts w:hint="eastAsia"/>
                <w:color w:val="auto"/>
                <w:sz w:val="24"/>
                <w:szCs w:val="24"/>
                <w:highlight w:val="none"/>
              </w:rPr>
              <w:t>质量保证与成品保护方案</w:t>
            </w:r>
          </w:p>
        </w:tc>
        <w:tc>
          <w:tcPr>
            <w:tcW w:w="7493" w:type="dxa"/>
            <w:vAlign w:val="center"/>
          </w:tcPr>
          <w:p w14:paraId="1689BFD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根据投标人提供的有效的质量管控方案及成品保护实施方案具体、可行且方案可实施性进行综合打分，优得</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分，良得2.1-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分，一般得1-2分。</w:t>
            </w:r>
          </w:p>
        </w:tc>
        <w:tc>
          <w:tcPr>
            <w:tcW w:w="960" w:type="dxa"/>
            <w:vAlign w:val="center"/>
          </w:tcPr>
          <w:p w14:paraId="65677FD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分</w:t>
            </w:r>
          </w:p>
        </w:tc>
      </w:tr>
      <w:tr w14:paraId="6812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Align w:val="center"/>
          </w:tcPr>
          <w:p w14:paraId="0F7BA9F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项目技术人员配置</w:t>
            </w:r>
          </w:p>
        </w:tc>
        <w:tc>
          <w:tcPr>
            <w:tcW w:w="7493" w:type="dxa"/>
            <w:vAlign w:val="center"/>
          </w:tcPr>
          <w:p w14:paraId="2B288FF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技术团队力量强、项目负责人从业经历丰富、有技术职称，生产人员、安装人员综合素质高、人员整体配置科学合理的得3分；技术团队力量较强、项目负责人从业经历较丰富、有技术职称，生产人员、安装人员综合素质较高、人员整体配置较科学合理的得2分；技术团队力量弱、项目负责人从业经历较丰富、有技术职称，生产人员、安装人员综合素质低、人员整体配置不科学合理的得1分。</w:t>
            </w:r>
          </w:p>
        </w:tc>
        <w:tc>
          <w:tcPr>
            <w:tcW w:w="960" w:type="dxa"/>
            <w:vAlign w:val="center"/>
          </w:tcPr>
          <w:p w14:paraId="11B7F8D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3分</w:t>
            </w:r>
          </w:p>
        </w:tc>
      </w:tr>
      <w:tr w14:paraId="3865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Align w:val="center"/>
          </w:tcPr>
          <w:p w14:paraId="3103E35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售后服务</w:t>
            </w:r>
          </w:p>
        </w:tc>
        <w:tc>
          <w:tcPr>
            <w:tcW w:w="7493" w:type="dxa"/>
            <w:vAlign w:val="center"/>
          </w:tcPr>
          <w:p w14:paraId="2A72178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宋体"/>
                <w:b/>
                <w:bCs/>
                <w:color w:val="auto"/>
                <w:sz w:val="24"/>
                <w:szCs w:val="24"/>
                <w:highlight w:val="none"/>
              </w:rPr>
            </w:pPr>
            <w:r>
              <w:rPr>
                <w:rFonts w:hint="eastAsia" w:ascii="宋体" w:hAnsi="宋体" w:cs="宋体"/>
                <w:color w:val="auto"/>
                <w:sz w:val="24"/>
                <w:szCs w:val="24"/>
                <w:highlight w:val="none"/>
              </w:rPr>
              <w:t>对投标人提供的售后服务的响应情况（维修网点、维修人员、维修能力、定期巡检、故障响应等）及配件供应、优惠条件情况等方面进行综合打分，优得</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分，良得2.1-</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分，一般得1-2分。</w:t>
            </w:r>
          </w:p>
        </w:tc>
        <w:tc>
          <w:tcPr>
            <w:tcW w:w="960" w:type="dxa"/>
            <w:vAlign w:val="center"/>
          </w:tcPr>
          <w:p w14:paraId="2C5BF01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分</w:t>
            </w:r>
          </w:p>
        </w:tc>
      </w:tr>
    </w:tbl>
    <w:p w14:paraId="74CD33BD">
      <w:pPr>
        <w:keepNext w:val="0"/>
        <w:keepLines w:val="0"/>
        <w:pageBreakBefore w:val="0"/>
        <w:widowControl w:val="0"/>
        <w:kinsoku/>
        <w:wordWrap/>
        <w:overflowPunct/>
        <w:topLinePunct w:val="0"/>
        <w:autoSpaceDE/>
        <w:autoSpaceDN/>
        <w:bidi w:val="0"/>
        <w:adjustRightInd/>
        <w:spacing w:line="460" w:lineRule="exact"/>
        <w:ind w:firstLine="482" w:firstLineChars="200"/>
        <w:textAlignment w:val="auto"/>
        <w:rPr>
          <w:rFonts w:hint="eastAsia" w:ascii="宋体" w:hAnsi="宋体" w:eastAsia="宋体" w:cs="宋体"/>
          <w:color w:val="auto"/>
          <w:kern w:val="0"/>
          <w:sz w:val="24"/>
          <w:highlight w:val="none"/>
        </w:rPr>
      </w:pPr>
      <w:r>
        <w:rPr>
          <w:rFonts w:hint="eastAsia" w:ascii="宋体" w:hAnsi="宋体" w:eastAsia="宋体" w:cs="宋体"/>
          <w:b/>
          <w:bCs/>
          <w:iCs/>
          <w:color w:val="auto"/>
          <w:sz w:val="24"/>
          <w:highlight w:val="none"/>
        </w:rPr>
        <w:t>注：评分所有相关证明材料须提供扫描件或复印件并加盖公章，若未按要求提供相关证明材料的不得分；若提供的证明资料字迹不清或资料内容无法辨认等，一律不得分。</w:t>
      </w:r>
    </w:p>
    <w:p w14:paraId="7CD73212">
      <w:pPr>
        <w:keepNext w:val="0"/>
        <w:keepLines w:val="0"/>
        <w:pageBreakBefore w:val="0"/>
        <w:widowControl w:val="0"/>
        <w:kinsoku/>
        <w:wordWrap/>
        <w:overflowPunct/>
        <w:topLinePunct w:val="0"/>
        <w:autoSpaceDE/>
        <w:autoSpaceDN/>
        <w:bidi w:val="0"/>
        <w:adjustRightInd/>
        <w:spacing w:line="460" w:lineRule="exact"/>
        <w:ind w:firstLine="470" w:firstLineChars="196"/>
        <w:textAlignment w:val="auto"/>
        <w:rPr>
          <w:rFonts w:hint="eastAsia" w:ascii="宋体" w:hAnsi="宋体" w:eastAsia="宋体" w:cs="宋体"/>
          <w:bCs/>
          <w:color w:val="auto"/>
          <w:sz w:val="24"/>
          <w:highlight w:val="none"/>
        </w:rPr>
      </w:pPr>
      <w:r>
        <w:rPr>
          <w:rFonts w:hint="eastAsia" w:ascii="宋体" w:hAnsi="宋体" w:eastAsia="宋体" w:cs="宋体"/>
          <w:color w:val="auto"/>
          <w:kern w:val="0"/>
          <w:sz w:val="24"/>
          <w:highlight w:val="none"/>
        </w:rPr>
        <w:t>各响应人的技术得分为所有</w:t>
      </w:r>
      <w:r>
        <w:rPr>
          <w:rFonts w:hint="eastAsia" w:ascii="宋体" w:hAnsi="宋体" w:cs="宋体"/>
          <w:color w:val="auto"/>
          <w:kern w:val="0"/>
          <w:sz w:val="24"/>
          <w:highlight w:val="none"/>
          <w:lang w:eastAsia="zh-CN"/>
        </w:rPr>
        <w:t>评标委员会</w:t>
      </w:r>
      <w:r>
        <w:rPr>
          <w:rFonts w:hint="eastAsia" w:ascii="宋体" w:hAnsi="宋体" w:eastAsia="宋体" w:cs="宋体"/>
          <w:color w:val="auto"/>
          <w:kern w:val="0"/>
          <w:sz w:val="24"/>
          <w:highlight w:val="none"/>
        </w:rPr>
        <w:t>的有效评分的算术平均数。</w:t>
      </w:r>
      <w:r>
        <w:rPr>
          <w:rFonts w:hint="eastAsia" w:ascii="宋体" w:hAnsi="宋体" w:eastAsia="宋体" w:cs="宋体"/>
          <w:bCs/>
          <w:color w:val="auto"/>
          <w:sz w:val="24"/>
          <w:highlight w:val="none"/>
        </w:rPr>
        <w:t>评分时保留小数2位,小数点采用四舍五入方法。</w:t>
      </w:r>
    </w:p>
    <w:p w14:paraId="64EA573B">
      <w:pPr>
        <w:pStyle w:val="24"/>
        <w:keepNext w:val="0"/>
        <w:keepLines w:val="0"/>
        <w:pageBreakBefore w:val="0"/>
        <w:widowControl w:val="0"/>
        <w:kinsoku/>
        <w:wordWrap/>
        <w:overflowPunct/>
        <w:topLinePunct w:val="0"/>
        <w:autoSpaceDE/>
        <w:autoSpaceDN/>
        <w:bidi w:val="0"/>
        <w:adjustRightInd/>
        <w:spacing w:after="0" w:line="460" w:lineRule="exact"/>
        <w:ind w:firstLine="482" w:firstLineChars="200"/>
        <w:textAlignment w:val="auto"/>
        <w:rPr>
          <w:rFonts w:hint="eastAsia" w:ascii="宋体" w:hAnsi="宋体" w:eastAsia="宋体" w:cs="宋体"/>
          <w:b/>
          <w:color w:val="auto"/>
          <w:kern w:val="0"/>
          <w:highlight w:val="none"/>
          <w:lang w:val="en-US" w:eastAsia="zh-CN"/>
        </w:rPr>
      </w:pPr>
      <w:r>
        <w:rPr>
          <w:rFonts w:hint="eastAsia" w:ascii="宋体" w:hAnsi="宋体" w:eastAsia="宋体" w:cs="宋体"/>
          <w:b/>
          <w:bCs/>
          <w:color w:val="auto"/>
          <w:kern w:val="2"/>
          <w:sz w:val="24"/>
          <w:szCs w:val="24"/>
          <w:highlight w:val="none"/>
          <w:lang w:val="en-US" w:eastAsia="zh-CN" w:bidi="ar-SA"/>
        </w:rPr>
        <w:t>为方便专家评审，请各</w:t>
      </w:r>
      <w:r>
        <w:rPr>
          <w:rFonts w:hint="eastAsia" w:ascii="宋体" w:hAnsi="宋体" w:cs="宋体"/>
          <w:b/>
          <w:bCs/>
          <w:color w:val="auto"/>
          <w:kern w:val="2"/>
          <w:sz w:val="24"/>
          <w:szCs w:val="24"/>
          <w:highlight w:val="none"/>
          <w:lang w:val="en-US" w:eastAsia="zh-CN" w:bidi="ar-SA"/>
        </w:rPr>
        <w:t>投标人</w:t>
      </w:r>
      <w:r>
        <w:rPr>
          <w:rFonts w:hint="eastAsia" w:ascii="宋体" w:hAnsi="宋体" w:eastAsia="宋体" w:cs="宋体"/>
          <w:b/>
          <w:bCs/>
          <w:color w:val="auto"/>
          <w:kern w:val="2"/>
          <w:sz w:val="24"/>
          <w:szCs w:val="24"/>
          <w:highlight w:val="none"/>
          <w:lang w:val="en-US" w:eastAsia="zh-CN" w:bidi="ar-SA"/>
        </w:rPr>
        <w:t>参照本表进行自评，并将自评表编入投标文件，置于投标文件目录之前</w:t>
      </w:r>
      <w:r>
        <w:rPr>
          <w:rFonts w:hint="eastAsia" w:ascii="宋体" w:hAnsi="宋体" w:eastAsia="宋体" w:cs="宋体"/>
          <w:color w:val="auto"/>
          <w:kern w:val="2"/>
          <w:sz w:val="24"/>
          <w:szCs w:val="24"/>
          <w:highlight w:val="none"/>
          <w:lang w:val="en-US" w:eastAsia="zh-CN" w:bidi="ar-SA"/>
        </w:rPr>
        <w:t>。</w:t>
      </w:r>
    </w:p>
    <w:p w14:paraId="7A7BF41F">
      <w:pPr>
        <w:pStyle w:val="11"/>
        <w:keepNext w:val="0"/>
        <w:keepLines w:val="0"/>
        <w:pageBreakBefore w:val="0"/>
        <w:widowControl w:val="0"/>
        <w:kinsoku/>
        <w:wordWrap/>
        <w:overflowPunct/>
        <w:topLinePunct w:val="0"/>
        <w:autoSpaceDE/>
        <w:autoSpaceDN/>
        <w:bidi w:val="0"/>
        <w:adjustRightInd/>
        <w:snapToGrid/>
        <w:spacing w:after="0" w:line="46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b/>
          <w:color w:val="auto"/>
          <w:sz w:val="24"/>
          <w:highlight w:val="none"/>
          <w:lang w:val="en-US" w:eastAsia="zh-CN"/>
        </w:rPr>
        <w:t>.</w:t>
      </w:r>
      <w:r>
        <w:rPr>
          <w:rFonts w:hint="eastAsia" w:ascii="宋体" w:hAnsi="宋体" w:eastAsia="宋体" w:cs="宋体"/>
          <w:b/>
          <w:color w:val="auto"/>
          <w:sz w:val="24"/>
          <w:highlight w:val="none"/>
        </w:rPr>
        <w:t>报价计算（</w:t>
      </w:r>
      <w:r>
        <w:rPr>
          <w:rFonts w:hint="eastAsia" w:ascii="宋体" w:hAnsi="宋体" w:eastAsia="宋体" w:cs="宋体"/>
          <w:b/>
          <w:color w:val="auto"/>
          <w:sz w:val="24"/>
          <w:highlight w:val="none"/>
          <w:lang w:val="en-US" w:eastAsia="zh-CN"/>
        </w:rPr>
        <w:t>3</w:t>
      </w:r>
      <w:r>
        <w:rPr>
          <w:rFonts w:hint="eastAsia" w:ascii="宋体" w:hAnsi="宋体" w:eastAsia="宋体" w:cs="宋体"/>
          <w:b/>
          <w:color w:val="auto"/>
          <w:sz w:val="24"/>
          <w:highlight w:val="none"/>
        </w:rPr>
        <w:t>0分）</w:t>
      </w:r>
    </w:p>
    <w:p w14:paraId="320AF583">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lang w:val="zh-CN"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val="zh-CN" w:eastAsia="zh-CN"/>
        </w:rPr>
        <w:t>投标价格的合理性：</w:t>
      </w:r>
    </w:p>
    <w:p w14:paraId="27E667BB">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lang w:val="zh-CN" w:eastAsia="zh-CN"/>
        </w:rPr>
      </w:pPr>
      <w:r>
        <w:rPr>
          <w:rFonts w:hint="eastAsia" w:ascii="宋体" w:hAnsi="宋体" w:eastAsia="宋体" w:cs="宋体"/>
          <w:color w:val="auto"/>
          <w:sz w:val="24"/>
          <w:highlight w:val="none"/>
          <w:lang w:val="zh-CN" w:eastAsia="zh-CN"/>
        </w:rPr>
        <w:t>分析总报价及各个分项报价是否合理，报价范围是否完整，有否重大错漏项，评标委员会认为投标报价出现异常时，有权要求投标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lang w:val="zh-CN" w:eastAsia="zh-CN"/>
        </w:rPr>
        <w:t>在评标期间对投标报价的详细组成作出解释和澄清，并确认其投标报价是否有效。</w:t>
      </w:r>
    </w:p>
    <w:p w14:paraId="61546D5C">
      <w:pPr>
        <w:keepNext w:val="0"/>
        <w:keepLines w:val="0"/>
        <w:pageBreakBefore w:val="0"/>
        <w:kinsoku/>
        <w:wordWrap/>
        <w:overflowPunct/>
        <w:topLinePunct w:val="0"/>
        <w:autoSpaceDE/>
        <w:autoSpaceDN/>
        <w:bidi w:val="0"/>
        <w:snapToGrid w:val="0"/>
        <w:spacing w:line="460" w:lineRule="exact"/>
        <w:ind w:firstLine="482" w:firstLineChars="200"/>
        <w:textAlignment w:val="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2）为避免恶意竞争，本项目实行风险保证金制度，即投标人的投标报价低于投标最高限价的80%并成为第一中标候选人的，投标人须在原有履约保证金的基础上再增加风险保证金（</w:t>
      </w:r>
      <w:r>
        <w:rPr>
          <w:rFonts w:hint="eastAsia" w:ascii="宋体" w:hAnsi="宋体" w:eastAsia="宋体" w:cs="宋体"/>
          <w:b/>
          <w:bCs/>
          <w:color w:val="auto"/>
          <w:sz w:val="24"/>
          <w:highlight w:val="none"/>
          <w:lang w:val="en-US" w:eastAsia="zh-CN"/>
        </w:rPr>
        <w:t>采用现金的方式</w:t>
      </w:r>
      <w:r>
        <w:rPr>
          <w:rFonts w:hint="eastAsia" w:ascii="宋体" w:hAnsi="宋体" w:eastAsia="宋体" w:cs="宋体"/>
          <w:b/>
          <w:bCs/>
          <w:color w:val="auto"/>
          <w:sz w:val="24"/>
          <w:highlight w:val="none"/>
          <w:lang w:val="zh-CN"/>
        </w:rPr>
        <w:t>）。风险保证金金额为投标最高限价的80%与中标价之间的差额，所增加缴纳的风险保证金于采购文件规定的质保期满后无息返还。</w:t>
      </w:r>
    </w:p>
    <w:p w14:paraId="0482B62F">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商务报价计算</w:t>
      </w:r>
    </w:p>
    <w:p w14:paraId="591C60E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各投标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lang w:val="zh-CN"/>
        </w:rPr>
        <w:t>的商务报价得分统一采用低价优先法计算，即满足采购文件要求且投标价格最低的投标报价为评标基准价，其价格分为满分</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0分</w:t>
      </w:r>
      <w:r>
        <w:rPr>
          <w:rFonts w:hint="eastAsia" w:ascii="宋体" w:hAnsi="宋体" w:eastAsia="宋体" w:cs="宋体"/>
          <w:color w:val="auto"/>
          <w:sz w:val="24"/>
          <w:highlight w:val="none"/>
          <w:lang w:val="zh-CN"/>
        </w:rPr>
        <w:t>。其他投标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lang w:val="zh-CN"/>
        </w:rPr>
        <w:t>的商务报价得分统一按照下列公式计算</w:t>
      </w:r>
      <w:r>
        <w:rPr>
          <w:rFonts w:hint="eastAsia" w:ascii="宋体" w:hAnsi="宋体" w:eastAsia="宋体" w:cs="宋体"/>
          <w:color w:val="auto"/>
          <w:sz w:val="24"/>
          <w:highlight w:val="none"/>
        </w:rPr>
        <w:t>(评标过程保留一位小数)</w:t>
      </w:r>
      <w:r>
        <w:rPr>
          <w:rFonts w:hint="eastAsia" w:ascii="宋体" w:hAnsi="宋体" w:eastAsia="宋体" w:cs="宋体"/>
          <w:color w:val="auto"/>
          <w:sz w:val="24"/>
          <w:highlight w:val="none"/>
          <w:lang w:val="zh-CN"/>
        </w:rPr>
        <w:t>：</w:t>
      </w:r>
    </w:p>
    <w:p w14:paraId="095577F2">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投标报价得分=（评标基准价/投标报价）×价格权值（即</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val="zh-CN"/>
        </w:rPr>
        <w:t>%）×100。</w:t>
      </w:r>
    </w:p>
    <w:p w14:paraId="27334C50">
      <w:pPr>
        <w:keepNext w:val="0"/>
        <w:keepLines w:val="0"/>
        <w:pageBreakBefore w:val="0"/>
        <w:widowControl w:val="0"/>
        <w:kinsoku/>
        <w:wordWrap/>
        <w:overflowPunct/>
        <w:topLinePunct w:val="0"/>
        <w:autoSpaceDE/>
        <w:autoSpaceDN/>
        <w:bidi w:val="0"/>
        <w:adjustRightInd/>
        <w:snapToGrid w:val="0"/>
        <w:spacing w:line="460" w:lineRule="exact"/>
        <w:ind w:firstLine="482" w:firstLineChars="200"/>
        <w:textAlignment w:val="auto"/>
        <w:outlineLvl w:val="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w:t>
      </w:r>
      <w:r>
        <w:rPr>
          <w:rFonts w:hint="eastAsia" w:ascii="宋体" w:hAnsi="宋体" w:eastAsia="宋体" w:cs="宋体"/>
          <w:b/>
          <w:color w:val="auto"/>
          <w:sz w:val="24"/>
          <w:highlight w:val="none"/>
          <w:lang w:val="en-US" w:eastAsia="zh-CN"/>
        </w:rPr>
        <w:t>.</w:t>
      </w:r>
      <w:r>
        <w:rPr>
          <w:rFonts w:hint="eastAsia" w:ascii="宋体" w:hAnsi="宋体" w:eastAsia="宋体" w:cs="宋体"/>
          <w:b/>
          <w:color w:val="auto"/>
          <w:sz w:val="24"/>
          <w:highlight w:val="none"/>
        </w:rPr>
        <w:t>错误修正</w:t>
      </w:r>
    </w:p>
    <w:p w14:paraId="3A2B56DA">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报价文件如果出现计算或表达上的错误，修正错误的原则如下：</w:t>
      </w:r>
    </w:p>
    <w:p w14:paraId="15EC8232">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报价一览表总价与报价明细表汇总数不一致的，以开标一览表为准；</w:t>
      </w:r>
    </w:p>
    <w:p w14:paraId="0422065C">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大写金额和小写金额不一致的，以大写金额为准；</w:t>
      </w:r>
    </w:p>
    <w:p w14:paraId="6F5748FB">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总价金额与单价汇总金额不一致的，以单价金额计算结果为准；</w:t>
      </w:r>
    </w:p>
    <w:p w14:paraId="6F38CAA8">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对不同文字文本投标文件的解释发生异议的，以中文正本为准。</w:t>
      </w:r>
    </w:p>
    <w:p w14:paraId="2AD1BA9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按上述修正错误的原则及方法调整或修正投标文件的报价，投标人同意并签字确认后，调整后的报价对投标人具有约束作用。如果投标人不接受修正后的报价，则其投标将作为无效处理。</w:t>
      </w:r>
    </w:p>
    <w:p w14:paraId="37C92B4D">
      <w:pPr>
        <w:pStyle w:val="13"/>
        <w:keepNext w:val="0"/>
        <w:keepLines w:val="0"/>
        <w:pageBreakBefore w:val="0"/>
        <w:kinsoku/>
        <w:wordWrap/>
        <w:overflowPunct/>
        <w:topLinePunct w:val="0"/>
        <w:autoSpaceDE/>
        <w:autoSpaceDN/>
        <w:bidi w:val="0"/>
        <w:snapToGrid w:val="0"/>
        <w:spacing w:before="0" w:beforeLines="0" w:after="0" w:afterLines="0" w:line="460" w:lineRule="exact"/>
        <w:ind w:left="720" w:leftChars="228" w:hanging="241" w:hangingChars="100"/>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5</w:t>
      </w:r>
      <w:r>
        <w:rPr>
          <w:rFonts w:hint="eastAsia" w:ascii="宋体" w:hAnsi="宋体" w:eastAsia="宋体" w:cs="宋体"/>
          <w:b/>
          <w:color w:val="auto"/>
          <w:highlight w:val="none"/>
          <w:lang w:val="en-US" w:eastAsia="zh-CN"/>
        </w:rPr>
        <w:t>.</w:t>
      </w:r>
      <w:r>
        <w:rPr>
          <w:rFonts w:hint="eastAsia" w:ascii="宋体" w:hAnsi="宋体" w:eastAsia="宋体" w:cs="宋体"/>
          <w:b/>
          <w:color w:val="auto"/>
          <w:highlight w:val="none"/>
        </w:rPr>
        <w:t>在报价评议时，如发现下列情形之一的，</w:t>
      </w:r>
      <w:r>
        <w:rPr>
          <w:rFonts w:hint="eastAsia" w:ascii="宋体" w:hAnsi="宋体" w:eastAsia="宋体" w:cs="宋体"/>
          <w:b/>
          <w:color w:val="auto"/>
          <w:highlight w:val="none"/>
          <w:lang w:eastAsia="zh-CN"/>
        </w:rPr>
        <w:t>投标</w:t>
      </w:r>
      <w:r>
        <w:rPr>
          <w:rFonts w:hint="eastAsia" w:ascii="宋体" w:hAnsi="宋体" w:eastAsia="宋体" w:cs="宋体"/>
          <w:b/>
          <w:color w:val="auto"/>
          <w:highlight w:val="none"/>
        </w:rPr>
        <w:t>文件将被视为无效：</w:t>
      </w:r>
    </w:p>
    <w:p w14:paraId="1B48D77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1）报价一览表未填价格；</w:t>
      </w:r>
    </w:p>
    <w:p w14:paraId="2AFC54A7">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2）投标最终报价超出上限价的；</w:t>
      </w:r>
    </w:p>
    <w:p w14:paraId="5BD1FA7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w:t>
      </w:r>
      <w:r>
        <w:rPr>
          <w:rFonts w:hint="eastAsia" w:ascii="宋体" w:hAnsi="宋体" w:cs="宋体"/>
          <w:color w:val="auto"/>
          <w:sz w:val="24"/>
          <w:highlight w:val="none"/>
          <w:lang w:val="en-US" w:eastAsia="zh-CN"/>
        </w:rPr>
        <w:t>人</w:t>
      </w:r>
      <w:r>
        <w:rPr>
          <w:rFonts w:hint="eastAsia" w:ascii="宋体" w:hAnsi="宋体" w:eastAsia="宋体" w:cs="宋体"/>
          <w:color w:val="auto"/>
          <w:sz w:val="24"/>
          <w:highlight w:val="none"/>
          <w:lang w:val="en-US" w:eastAsia="zh-CN"/>
        </w:rPr>
        <w:t>递交两份或多份内容不同的投标文件，或在一份投标文件中对同一招标项目报有两个或多个报价，且未声明哪一个有效，按</w:t>
      </w:r>
      <w:r>
        <w:rPr>
          <w:rFonts w:hint="eastAsia" w:ascii="宋体" w:hAnsi="宋体" w:cs="宋体"/>
          <w:color w:val="auto"/>
          <w:sz w:val="24"/>
          <w:highlight w:val="none"/>
          <w:lang w:val="en-US" w:eastAsia="zh-CN"/>
        </w:rPr>
        <w:t>采购文件</w:t>
      </w:r>
      <w:r>
        <w:rPr>
          <w:rFonts w:hint="eastAsia" w:ascii="宋体" w:hAnsi="宋体" w:eastAsia="宋体" w:cs="宋体"/>
          <w:color w:val="auto"/>
          <w:sz w:val="24"/>
          <w:highlight w:val="none"/>
          <w:lang w:val="en-US" w:eastAsia="zh-CN"/>
        </w:rPr>
        <w:t>规定提交备选投标方案的除外；</w:t>
      </w:r>
    </w:p>
    <w:p w14:paraId="551407E8">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4）评审时如发现投标</w:t>
      </w:r>
      <w:r>
        <w:rPr>
          <w:rFonts w:hint="eastAsia" w:ascii="宋体" w:hAnsi="宋体" w:cs="宋体"/>
          <w:color w:val="auto"/>
          <w:sz w:val="24"/>
          <w:highlight w:val="none"/>
          <w:lang w:val="en-US" w:eastAsia="zh-CN"/>
        </w:rPr>
        <w:t>人</w:t>
      </w:r>
      <w:r>
        <w:rPr>
          <w:rFonts w:hint="eastAsia" w:ascii="宋体" w:hAnsi="宋体" w:eastAsia="宋体" w:cs="宋体"/>
          <w:color w:val="auto"/>
          <w:sz w:val="24"/>
          <w:highlight w:val="none"/>
          <w:lang w:val="en-US" w:eastAsia="zh-CN"/>
        </w:rPr>
        <w:t>的报价明显高于其市场报价或低于成本价的，应要求该投标</w:t>
      </w:r>
      <w:r>
        <w:rPr>
          <w:rFonts w:hint="eastAsia" w:ascii="宋体" w:hAnsi="宋体" w:cs="宋体"/>
          <w:color w:val="auto"/>
          <w:sz w:val="24"/>
          <w:highlight w:val="none"/>
          <w:lang w:val="en-US" w:eastAsia="zh-CN"/>
        </w:rPr>
        <w:t>人</w:t>
      </w:r>
      <w:r>
        <w:rPr>
          <w:rFonts w:hint="eastAsia" w:ascii="宋体" w:hAnsi="宋体" w:eastAsia="宋体" w:cs="宋体"/>
          <w:color w:val="auto"/>
          <w:sz w:val="24"/>
          <w:highlight w:val="none"/>
          <w:lang w:val="en-US" w:eastAsia="zh-CN"/>
        </w:rPr>
        <w:t>书面说明并提供相关证明材料。该投标</w:t>
      </w:r>
      <w:r>
        <w:rPr>
          <w:rFonts w:hint="eastAsia" w:ascii="宋体" w:hAnsi="宋体" w:cs="宋体"/>
          <w:color w:val="auto"/>
          <w:sz w:val="24"/>
          <w:highlight w:val="none"/>
          <w:lang w:val="en-US" w:eastAsia="zh-CN"/>
        </w:rPr>
        <w:t>人</w:t>
      </w:r>
      <w:r>
        <w:rPr>
          <w:rFonts w:hint="eastAsia" w:ascii="宋体" w:hAnsi="宋体" w:eastAsia="宋体" w:cs="宋体"/>
          <w:color w:val="auto"/>
          <w:sz w:val="24"/>
          <w:highlight w:val="none"/>
          <w:lang w:val="en-US" w:eastAsia="zh-CN"/>
        </w:rPr>
        <w:t>不能合理说明原因并提供证明材料的，</w:t>
      </w:r>
      <w:r>
        <w:rPr>
          <w:rFonts w:hint="eastAsia" w:ascii="宋体" w:hAnsi="宋体" w:cs="宋体"/>
          <w:color w:val="auto"/>
          <w:sz w:val="24"/>
          <w:highlight w:val="none"/>
          <w:lang w:val="en-US" w:eastAsia="zh-CN"/>
        </w:rPr>
        <w:t>评标委员会</w:t>
      </w:r>
      <w:r>
        <w:rPr>
          <w:rFonts w:hint="eastAsia" w:ascii="宋体" w:hAnsi="宋体" w:eastAsia="宋体" w:cs="宋体"/>
          <w:color w:val="auto"/>
          <w:sz w:val="24"/>
          <w:highlight w:val="none"/>
          <w:lang w:val="en-US" w:eastAsia="zh-CN"/>
        </w:rPr>
        <w:t>应将该投标</w:t>
      </w:r>
      <w:r>
        <w:rPr>
          <w:rFonts w:hint="eastAsia" w:ascii="宋体" w:hAnsi="宋体" w:cs="宋体"/>
          <w:color w:val="auto"/>
          <w:sz w:val="24"/>
          <w:highlight w:val="none"/>
          <w:lang w:val="en-US" w:eastAsia="zh-CN"/>
        </w:rPr>
        <w:t>人</w:t>
      </w:r>
      <w:r>
        <w:rPr>
          <w:rFonts w:hint="eastAsia" w:ascii="宋体" w:hAnsi="宋体" w:eastAsia="宋体" w:cs="宋体"/>
          <w:color w:val="auto"/>
          <w:sz w:val="24"/>
          <w:highlight w:val="none"/>
          <w:lang w:val="en-US" w:eastAsia="zh-CN"/>
        </w:rPr>
        <w:t>的投标文件作无效处理。</w:t>
      </w:r>
    </w:p>
    <w:p w14:paraId="146A2F34">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改变采购文件提供的工程量清单</w:t>
      </w:r>
      <w:r>
        <w:rPr>
          <w:rFonts w:hint="eastAsia" w:ascii="宋体" w:hAnsi="宋体" w:eastAsia="宋体" w:cs="宋体"/>
          <w:color w:val="auto"/>
          <w:sz w:val="24"/>
          <w:highlight w:val="none"/>
          <w:lang w:eastAsia="zh-CN"/>
        </w:rPr>
        <w:t>。</w:t>
      </w:r>
    </w:p>
    <w:p w14:paraId="03A25EB6">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6）</w:t>
      </w:r>
      <w:r>
        <w:rPr>
          <w:rFonts w:hint="eastAsia" w:ascii="宋体" w:hAnsi="宋体" w:eastAsia="宋体" w:cs="宋体"/>
          <w:color w:val="auto"/>
          <w:sz w:val="24"/>
          <w:highlight w:val="none"/>
          <w:lang w:val="en-US" w:eastAsia="zh-CN"/>
        </w:rPr>
        <w:t>不符合法律、法规和本采购文件规定的其他实质性要求的（实质上没有响应</w:t>
      </w:r>
      <w:r>
        <w:rPr>
          <w:rFonts w:hint="eastAsia" w:ascii="宋体" w:hAnsi="宋体" w:cs="宋体"/>
          <w:color w:val="auto"/>
          <w:sz w:val="24"/>
          <w:highlight w:val="none"/>
          <w:lang w:val="en-US" w:eastAsia="zh-CN"/>
        </w:rPr>
        <w:t>采购文件</w:t>
      </w:r>
      <w:r>
        <w:rPr>
          <w:rFonts w:hint="eastAsia" w:ascii="宋体" w:hAnsi="宋体" w:eastAsia="宋体" w:cs="宋体"/>
          <w:color w:val="auto"/>
          <w:sz w:val="24"/>
          <w:highlight w:val="none"/>
          <w:lang w:val="en-US" w:eastAsia="zh-CN"/>
        </w:rPr>
        <w:t>要求的投标将被视为无效，但经评标委员会认定属于投标</w:t>
      </w:r>
      <w:r>
        <w:rPr>
          <w:rFonts w:hint="eastAsia" w:ascii="宋体" w:hAnsi="宋体" w:cs="宋体"/>
          <w:color w:val="auto"/>
          <w:sz w:val="24"/>
          <w:highlight w:val="none"/>
          <w:lang w:val="en-US" w:eastAsia="zh-CN"/>
        </w:rPr>
        <w:t>人</w:t>
      </w:r>
      <w:r>
        <w:rPr>
          <w:rFonts w:hint="eastAsia" w:ascii="宋体" w:hAnsi="宋体" w:eastAsia="宋体" w:cs="宋体"/>
          <w:color w:val="auto"/>
          <w:sz w:val="24"/>
          <w:highlight w:val="none"/>
          <w:lang w:val="en-US" w:eastAsia="zh-CN"/>
        </w:rPr>
        <w:t>疏忽、笔误所造成的差错，应当允许其在开标结束之前进行修改或者补正。）。</w:t>
      </w:r>
    </w:p>
    <w:p w14:paraId="6C93C15F">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rFonts w:hint="eastAsia" w:ascii="宋体" w:hAnsi="宋体" w:eastAsia="宋体" w:cs="宋体"/>
          <w:b/>
          <w:color w:val="auto"/>
          <w:sz w:val="24"/>
          <w:highlight w:val="none"/>
        </w:rPr>
      </w:pPr>
      <w:bookmarkStart w:id="3" w:name="_Toc91899903"/>
      <w:r>
        <w:rPr>
          <w:rFonts w:hint="eastAsia" w:ascii="宋体" w:hAnsi="宋体" w:eastAsia="宋体" w:cs="宋体"/>
          <w:b/>
          <w:color w:val="auto"/>
          <w:sz w:val="24"/>
          <w:highlight w:val="none"/>
        </w:rPr>
        <w:t>第七条  开标内容的保密</w:t>
      </w:r>
    </w:p>
    <w:p w14:paraId="2ED44377">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1）开标开始后，直到宣布成交结果止，凡属于</w:t>
      </w:r>
      <w:r>
        <w:rPr>
          <w:rFonts w:hint="eastAsia" w:ascii="宋体" w:hAnsi="宋体" w:cs="宋体"/>
          <w:color w:val="auto"/>
          <w:sz w:val="24"/>
          <w:highlight w:val="none"/>
          <w:lang w:val="en-US" w:eastAsia="zh-CN"/>
        </w:rPr>
        <w:t>评审（如分数等）</w:t>
      </w:r>
      <w:r>
        <w:rPr>
          <w:rFonts w:hint="eastAsia" w:ascii="宋体" w:hAnsi="宋体" w:eastAsia="宋体" w:cs="宋体"/>
          <w:color w:val="auto"/>
          <w:sz w:val="24"/>
          <w:highlight w:val="none"/>
        </w:rPr>
        <w:t>、澄清、</w:t>
      </w:r>
      <w:r>
        <w:rPr>
          <w:rFonts w:hint="eastAsia" w:ascii="宋体" w:hAnsi="宋体" w:cs="宋体"/>
          <w:color w:val="auto"/>
          <w:sz w:val="24"/>
          <w:highlight w:val="none"/>
          <w:lang w:val="en-US" w:eastAsia="zh-CN"/>
        </w:rPr>
        <w:t>评价</w:t>
      </w:r>
      <w:r>
        <w:rPr>
          <w:rFonts w:hint="eastAsia" w:ascii="宋体" w:hAnsi="宋体" w:eastAsia="宋体" w:cs="宋体"/>
          <w:color w:val="auto"/>
          <w:sz w:val="24"/>
          <w:highlight w:val="none"/>
        </w:rPr>
        <w:t>和比较的所有资料，都不应向</w:t>
      </w:r>
      <w:r>
        <w:rPr>
          <w:rFonts w:hint="eastAsia" w:ascii="宋体" w:hAnsi="宋体" w:eastAsia="宋体" w:cs="宋体"/>
          <w:bCs/>
          <w:color w:val="auto"/>
          <w:sz w:val="24"/>
          <w:highlight w:val="none"/>
        </w:rPr>
        <w:t>投标人</w:t>
      </w:r>
      <w:r>
        <w:rPr>
          <w:rFonts w:hint="eastAsia" w:ascii="宋体" w:hAnsi="宋体" w:eastAsia="宋体" w:cs="宋体"/>
          <w:color w:val="auto"/>
          <w:sz w:val="24"/>
          <w:highlight w:val="none"/>
        </w:rPr>
        <w:t>或与开标无关的其他人泄露。</w:t>
      </w:r>
    </w:p>
    <w:p w14:paraId="7C7D3C2F">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2）在</w:t>
      </w:r>
      <w:r>
        <w:rPr>
          <w:rFonts w:hint="eastAsia" w:ascii="宋体" w:hAnsi="宋体" w:eastAsia="宋体" w:cs="宋体"/>
          <w:bCs/>
          <w:color w:val="auto"/>
          <w:sz w:val="24"/>
          <w:highlight w:val="none"/>
        </w:rPr>
        <w:t>投标</w:t>
      </w:r>
      <w:r>
        <w:rPr>
          <w:rFonts w:hint="eastAsia" w:ascii="宋体" w:hAnsi="宋体" w:eastAsia="宋体" w:cs="宋体"/>
          <w:color w:val="auto"/>
          <w:sz w:val="24"/>
          <w:highlight w:val="none"/>
        </w:rPr>
        <w:t>文件的</w:t>
      </w:r>
      <w:r>
        <w:rPr>
          <w:rFonts w:hint="eastAsia" w:ascii="宋体" w:hAnsi="宋体" w:cs="宋体"/>
          <w:color w:val="auto"/>
          <w:sz w:val="24"/>
          <w:highlight w:val="none"/>
          <w:lang w:val="en-US" w:eastAsia="zh-CN"/>
        </w:rPr>
        <w:t>评审（如分数等）</w:t>
      </w:r>
      <w:r>
        <w:rPr>
          <w:rFonts w:hint="eastAsia" w:ascii="宋体" w:hAnsi="宋体" w:eastAsia="宋体" w:cs="宋体"/>
          <w:color w:val="auto"/>
          <w:sz w:val="24"/>
          <w:highlight w:val="none"/>
        </w:rPr>
        <w:t>、澄清、评价和比较以及确定</w:t>
      </w:r>
      <w:r>
        <w:rPr>
          <w:rFonts w:hint="eastAsia" w:ascii="宋体" w:hAnsi="宋体" w:cs="宋体"/>
          <w:color w:val="auto"/>
          <w:sz w:val="24"/>
          <w:highlight w:val="none"/>
          <w:lang w:eastAsia="zh-CN"/>
        </w:rPr>
        <w:t>中标人</w:t>
      </w:r>
      <w:r>
        <w:rPr>
          <w:rFonts w:hint="eastAsia" w:ascii="宋体" w:hAnsi="宋体" w:eastAsia="宋体" w:cs="宋体"/>
          <w:color w:val="auto"/>
          <w:sz w:val="24"/>
          <w:highlight w:val="none"/>
        </w:rPr>
        <w:t>过程中，</w:t>
      </w:r>
      <w:r>
        <w:rPr>
          <w:rFonts w:hint="eastAsia" w:ascii="宋体" w:hAnsi="宋体" w:eastAsia="宋体" w:cs="宋体"/>
          <w:bCs/>
          <w:color w:val="auto"/>
          <w:sz w:val="24"/>
          <w:highlight w:val="none"/>
        </w:rPr>
        <w:t>投标人</w:t>
      </w:r>
      <w:r>
        <w:rPr>
          <w:rFonts w:hint="eastAsia" w:ascii="宋体" w:hAnsi="宋体" w:eastAsia="宋体" w:cs="宋体"/>
          <w:color w:val="auto"/>
          <w:sz w:val="24"/>
          <w:highlight w:val="none"/>
        </w:rPr>
        <w:t>对采购机构和</w:t>
      </w:r>
      <w:r>
        <w:rPr>
          <w:rFonts w:hint="eastAsia" w:ascii="宋体" w:hAnsi="宋体" w:cs="宋体"/>
          <w:color w:val="auto"/>
          <w:sz w:val="24"/>
          <w:highlight w:val="none"/>
          <w:lang w:eastAsia="zh-CN"/>
        </w:rPr>
        <w:t>评标委员会</w:t>
      </w:r>
      <w:r>
        <w:rPr>
          <w:rFonts w:hint="eastAsia" w:ascii="宋体" w:hAnsi="宋体" w:eastAsia="宋体" w:cs="宋体"/>
          <w:color w:val="auto"/>
          <w:sz w:val="24"/>
          <w:highlight w:val="none"/>
        </w:rPr>
        <w:t>施加影响的任何行为，都将导致取消资格。</w:t>
      </w:r>
    </w:p>
    <w:p w14:paraId="55A9B0F8">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第八条  </w:t>
      </w:r>
      <w:r>
        <w:rPr>
          <w:rFonts w:hint="eastAsia" w:ascii="宋体" w:hAnsi="宋体" w:eastAsia="宋体" w:cs="宋体"/>
          <w:b/>
          <w:bCs/>
          <w:color w:val="auto"/>
          <w:sz w:val="24"/>
          <w:highlight w:val="none"/>
        </w:rPr>
        <w:t>投标</w:t>
      </w:r>
      <w:r>
        <w:rPr>
          <w:rFonts w:hint="eastAsia" w:ascii="宋体" w:hAnsi="宋体" w:eastAsia="宋体" w:cs="宋体"/>
          <w:b/>
          <w:color w:val="auto"/>
          <w:sz w:val="24"/>
          <w:highlight w:val="none"/>
        </w:rPr>
        <w:t>文件的澄清</w:t>
      </w:r>
    </w:p>
    <w:p w14:paraId="2C923E80">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对投标文件中含义不明、表述不一致或有明显计算错误等内容，</w:t>
      </w:r>
      <w:r>
        <w:rPr>
          <w:rFonts w:hint="eastAsia" w:ascii="宋体" w:hAnsi="宋体" w:cs="宋体"/>
          <w:color w:val="auto"/>
          <w:sz w:val="24"/>
          <w:highlight w:val="none"/>
          <w:lang w:eastAsia="zh-CN"/>
        </w:rPr>
        <w:t>评标委员会</w:t>
      </w:r>
      <w:r>
        <w:rPr>
          <w:rFonts w:hint="eastAsia" w:ascii="宋体" w:hAnsi="宋体" w:eastAsia="宋体" w:cs="宋体"/>
          <w:color w:val="auto"/>
          <w:sz w:val="24"/>
          <w:highlight w:val="none"/>
        </w:rPr>
        <w:t>将对投标人进行询标，并要求投标人作书面澄清；投标人的书面澄清，应由法定代表人或授权代表签字，作为</w:t>
      </w:r>
      <w:r>
        <w:rPr>
          <w:rFonts w:hint="eastAsia" w:ascii="宋体" w:hAnsi="宋体" w:eastAsia="宋体" w:cs="宋体"/>
          <w:color w:val="auto"/>
          <w:sz w:val="24"/>
          <w:highlight w:val="none"/>
          <w:lang w:val="zh-CN"/>
        </w:rPr>
        <w:t>投标文件的补充部分。</w:t>
      </w:r>
      <w:bookmarkEnd w:id="3"/>
    </w:p>
    <w:p w14:paraId="0E16A759">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第</w:t>
      </w:r>
      <w:r>
        <w:rPr>
          <w:rFonts w:hint="eastAsia" w:ascii="宋体" w:hAnsi="宋体" w:cs="宋体"/>
          <w:b/>
          <w:color w:val="auto"/>
          <w:sz w:val="24"/>
          <w:highlight w:val="none"/>
          <w:lang w:eastAsia="zh-CN"/>
        </w:rPr>
        <w:t>九</w:t>
      </w:r>
      <w:r>
        <w:rPr>
          <w:rFonts w:hint="eastAsia" w:ascii="宋体" w:hAnsi="宋体" w:eastAsia="宋体" w:cs="宋体"/>
          <w:b/>
          <w:color w:val="auto"/>
          <w:sz w:val="24"/>
          <w:highlight w:val="none"/>
        </w:rPr>
        <w:t xml:space="preserve">条  </w:t>
      </w:r>
      <w:r>
        <w:rPr>
          <w:rFonts w:hint="eastAsia" w:ascii="宋体" w:hAnsi="宋体" w:cs="宋体"/>
          <w:b/>
          <w:color w:val="auto"/>
          <w:sz w:val="24"/>
          <w:highlight w:val="none"/>
          <w:lang w:val="en-US" w:eastAsia="zh-CN"/>
        </w:rPr>
        <w:t>其它</w:t>
      </w:r>
    </w:p>
    <w:p w14:paraId="5B7BA7F2">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rFonts w:hint="default"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1</w:t>
      </w:r>
      <w:r>
        <w:rPr>
          <w:rFonts w:hint="eastAsia" w:ascii="宋体" w:hAnsi="宋体" w:eastAsia="宋体" w:cs="宋体"/>
          <w:b/>
          <w:bCs/>
          <w:color w:val="auto"/>
          <w:sz w:val="24"/>
          <w:highlight w:val="none"/>
          <w:lang w:val="en-US" w:eastAsia="zh-CN"/>
        </w:rPr>
        <w:t>、关于中标人投标时所提供的品牌，经采购人及酒店方认可后不得更换品牌，特殊情况除外（如采购人要求更换的、实施期间该选定品牌型号停产等情况），经采购人书面同意后，可选择同档次及以上的其它品牌，但价格不予调整。</w:t>
      </w:r>
    </w:p>
    <w:p w14:paraId="08F48111">
      <w:pPr>
        <w:keepNext w:val="0"/>
        <w:keepLines w:val="0"/>
        <w:pageBreakBefore w:val="0"/>
        <w:kinsoku/>
        <w:wordWrap/>
        <w:overflowPunct/>
        <w:topLinePunct w:val="0"/>
        <w:autoSpaceDE/>
        <w:autoSpaceDN/>
        <w:bidi w:val="0"/>
        <w:snapToGrid w:val="0"/>
        <w:spacing w:line="460" w:lineRule="exact"/>
        <w:ind w:firstLine="482" w:firstLineChars="200"/>
        <w:textAlignment w:val="auto"/>
        <w:rPr>
          <w:rFonts w:hint="eastAsia" w:ascii="宋体" w:hAnsi="宋体" w:eastAsia="宋体" w:cs="宋体"/>
          <w:color w:val="auto"/>
          <w:sz w:val="24"/>
          <w:highlight w:val="none"/>
          <w:lang w:val="zh-CN"/>
        </w:rPr>
      </w:pPr>
      <w:r>
        <w:rPr>
          <w:rFonts w:hint="eastAsia" w:ascii="宋体" w:hAnsi="宋体" w:cs="宋体"/>
          <w:b/>
          <w:bCs/>
          <w:color w:val="auto"/>
          <w:sz w:val="24"/>
          <w:highlight w:val="none"/>
          <w:lang w:val="en-US" w:eastAsia="zh-CN"/>
        </w:rPr>
        <w:t>2</w:t>
      </w:r>
      <w:r>
        <w:rPr>
          <w:rFonts w:hint="eastAsia" w:ascii="宋体" w:hAnsi="宋体" w:eastAsia="宋体" w:cs="宋体"/>
          <w:b/>
          <w:bCs/>
          <w:color w:val="auto"/>
          <w:sz w:val="24"/>
          <w:highlight w:val="none"/>
          <w:lang w:val="en-US" w:eastAsia="zh-CN"/>
        </w:rPr>
        <w:t>、</w:t>
      </w:r>
      <w:r>
        <w:rPr>
          <w:rFonts w:hint="eastAsia" w:ascii="宋体" w:hAnsi="宋体" w:cs="宋体"/>
          <w:b/>
          <w:bCs/>
          <w:color w:val="auto"/>
          <w:sz w:val="24"/>
          <w:highlight w:val="none"/>
          <w:lang w:val="en-US" w:eastAsia="zh-CN"/>
        </w:rPr>
        <w:t>投标人中标后需对现场进行改造的，所产生的一切费用须中标人自行承担。</w:t>
      </w:r>
    </w:p>
    <w:p w14:paraId="4B99AA0C">
      <w:pPr>
        <w:pStyle w:val="3"/>
        <w:keepNext/>
        <w:keepLines/>
        <w:pageBreakBefore w:val="0"/>
        <w:widowControl w:val="0"/>
        <w:numPr>
          <w:ilvl w:val="0"/>
          <w:numId w:val="0"/>
        </w:numPr>
        <w:kinsoku/>
        <w:wordWrap/>
        <w:overflowPunct/>
        <w:topLinePunct w:val="0"/>
        <w:autoSpaceDE/>
        <w:autoSpaceDN/>
        <w:bidi w:val="0"/>
        <w:adjustRightInd/>
        <w:snapToGrid/>
        <w:spacing w:before="0" w:beforeAutospacing="0" w:after="0" w:afterAutospacing="0" w:line="579" w:lineRule="auto"/>
        <w:jc w:val="center"/>
        <w:textAlignment w:val="auto"/>
        <w:rPr>
          <w:rFonts w:hint="eastAsia" w:ascii="宋体" w:hAnsi="宋体" w:eastAsia="宋体" w:cs="宋体"/>
          <w:color w:val="auto"/>
          <w:sz w:val="36"/>
          <w:highlight w:val="none"/>
          <w:lang w:val="en-US" w:eastAsia="zh-CN"/>
        </w:rPr>
        <w:sectPr>
          <w:headerReference r:id="rId4" w:type="default"/>
          <w:footerReference r:id="rId5"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C000AF5">
      <w:pPr>
        <w:pStyle w:val="3"/>
        <w:keepNext/>
        <w:keepLines/>
        <w:pageBreakBefore w:val="0"/>
        <w:widowControl w:val="0"/>
        <w:numPr>
          <w:ilvl w:val="0"/>
          <w:numId w:val="0"/>
        </w:numPr>
        <w:kinsoku/>
        <w:wordWrap/>
        <w:overflowPunct/>
        <w:topLinePunct w:val="0"/>
        <w:autoSpaceDE/>
        <w:autoSpaceDN/>
        <w:bidi w:val="0"/>
        <w:adjustRightInd/>
        <w:snapToGrid/>
        <w:spacing w:before="0" w:beforeAutospacing="0" w:after="0" w:afterAutospacing="0" w:line="579" w:lineRule="auto"/>
        <w:jc w:val="center"/>
        <w:textAlignment w:val="auto"/>
        <w:rPr>
          <w:rFonts w:hint="eastAsia" w:ascii="宋体" w:hAnsi="宋体" w:eastAsia="宋体" w:cs="宋体"/>
          <w:color w:val="auto"/>
          <w:sz w:val="36"/>
          <w:highlight w:val="none"/>
          <w:lang w:val="en-US" w:eastAsia="zh-CN"/>
        </w:rPr>
      </w:pPr>
      <w:r>
        <w:rPr>
          <w:rFonts w:hint="eastAsia" w:ascii="宋体" w:hAnsi="宋体" w:eastAsia="宋体" w:cs="宋体"/>
          <w:color w:val="auto"/>
          <w:sz w:val="36"/>
          <w:highlight w:val="none"/>
          <w:lang w:val="en-US" w:eastAsia="zh-CN"/>
        </w:rPr>
        <w:t>第四章 采购需求</w:t>
      </w:r>
    </w:p>
    <w:p w14:paraId="14C3A114">
      <w:pPr>
        <w:pStyle w:val="34"/>
        <w:numPr>
          <w:ilvl w:val="0"/>
          <w:numId w:val="0"/>
        </w:numPr>
        <w:spacing w:beforeAutospacing="0" w:line="360" w:lineRule="auto"/>
        <w:ind w:left="0" w:leftChars="0" w:firstLine="0" w:firstLineChars="0"/>
        <w:jc w:val="left"/>
        <w:outlineLvl w:val="1"/>
        <w:rPr>
          <w:rFonts w:hint="eastAsia" w:ascii="宋体" w:hAnsi="宋体" w:eastAsia="宋体" w:cs="宋体"/>
          <w:b/>
          <w:color w:val="auto"/>
          <w:sz w:val="24"/>
          <w:szCs w:val="24"/>
          <w:highlight w:val="none"/>
        </w:rPr>
      </w:pPr>
      <w:bookmarkStart w:id="4" w:name="_Toc81381929"/>
      <w:r>
        <w:rPr>
          <w:rFonts w:hint="eastAsia" w:ascii="宋体" w:hAnsi="宋体" w:eastAsia="宋体" w:cs="宋体"/>
          <w:b/>
          <w:color w:val="auto"/>
          <w:kern w:val="2"/>
          <w:sz w:val="24"/>
          <w:szCs w:val="24"/>
          <w:lang w:val="en-US" w:eastAsia="zh-CN" w:bidi="ar-SA"/>
        </w:rPr>
        <w:t>1.</w:t>
      </w:r>
      <w:r>
        <w:rPr>
          <w:rFonts w:hint="eastAsia" w:ascii="宋体" w:hAnsi="宋体" w:cs="宋体"/>
          <w:b/>
          <w:color w:val="auto"/>
          <w:sz w:val="24"/>
          <w:szCs w:val="24"/>
          <w:highlight w:val="none"/>
          <w:lang w:eastAsia="zh-CN"/>
        </w:rPr>
        <w:t>项目</w:t>
      </w:r>
      <w:r>
        <w:rPr>
          <w:rFonts w:hint="eastAsia" w:ascii="宋体" w:hAnsi="宋体" w:eastAsia="宋体" w:cs="宋体"/>
          <w:b/>
          <w:color w:val="auto"/>
          <w:sz w:val="24"/>
          <w:szCs w:val="24"/>
          <w:highlight w:val="none"/>
        </w:rPr>
        <w:t>技术要求</w:t>
      </w:r>
      <w:bookmarkEnd w:id="4"/>
    </w:p>
    <w:p w14:paraId="30074A7E">
      <w:pPr>
        <w:pStyle w:val="34"/>
        <w:numPr>
          <w:ilvl w:val="1"/>
          <w:numId w:val="0"/>
        </w:numPr>
        <w:spacing w:line="360" w:lineRule="auto"/>
        <w:ind w:left="0" w:leftChars="0" w:firstLine="0" w:firstLineChars="0"/>
        <w:jc w:val="left"/>
        <w:outlineLvl w:val="1"/>
        <w:rPr>
          <w:rFonts w:hint="eastAsia" w:ascii="宋体" w:hAnsi="宋体" w:eastAsia="宋体" w:cs="宋体"/>
          <w:b/>
          <w:color w:val="auto"/>
          <w:sz w:val="24"/>
          <w:szCs w:val="24"/>
          <w:highlight w:val="none"/>
        </w:rPr>
      </w:pPr>
      <w:bookmarkStart w:id="5" w:name="_Toc20656"/>
      <w:bookmarkStart w:id="6" w:name="_Toc16734"/>
      <w:bookmarkStart w:id="7" w:name="_Toc29799"/>
      <w:bookmarkStart w:id="8" w:name="_Toc23635"/>
      <w:bookmarkStart w:id="9" w:name="_Toc81381932"/>
      <w:r>
        <w:rPr>
          <w:rFonts w:hint="eastAsia" w:eastAsia="宋体" w:cs="宋体" w:asciiTheme="minorEastAsia" w:hAnsiTheme="minorEastAsia"/>
          <w:b/>
          <w:color w:val="auto"/>
          <w:kern w:val="2"/>
          <w:sz w:val="24"/>
          <w:szCs w:val="24"/>
          <w:lang w:val="en-US" w:eastAsia="zh-CN" w:bidi="ar-SA"/>
        </w:rPr>
        <w:t>1.1.</w:t>
      </w:r>
      <w:r>
        <w:rPr>
          <w:rFonts w:hint="eastAsia" w:ascii="宋体" w:hAnsi="宋体" w:cs="宋体"/>
          <w:b/>
          <w:color w:val="auto"/>
          <w:sz w:val="24"/>
          <w:szCs w:val="24"/>
          <w:highlight w:val="none"/>
          <w:lang w:eastAsia="zh-CN"/>
        </w:rPr>
        <w:t>项目</w:t>
      </w:r>
      <w:r>
        <w:rPr>
          <w:rFonts w:hint="eastAsia" w:ascii="宋体" w:hAnsi="宋体" w:eastAsia="宋体" w:cs="宋体"/>
          <w:b/>
          <w:color w:val="auto"/>
          <w:sz w:val="24"/>
          <w:szCs w:val="24"/>
          <w:highlight w:val="none"/>
        </w:rPr>
        <w:t>概况与基本要求</w:t>
      </w:r>
      <w:bookmarkEnd w:id="5"/>
      <w:bookmarkEnd w:id="6"/>
      <w:bookmarkEnd w:id="7"/>
      <w:bookmarkEnd w:id="8"/>
    </w:p>
    <w:p w14:paraId="22C18F87">
      <w:pPr>
        <w:pStyle w:val="34"/>
        <w:numPr>
          <w:ilvl w:val="2"/>
          <w:numId w:val="0"/>
        </w:numPr>
        <w:spacing w:line="360" w:lineRule="auto"/>
        <w:ind w:left="420" w:leftChars="0" w:firstLine="0" w:firstLineChars="0"/>
        <w:jc w:val="left"/>
        <w:outlineLvl w:val="1"/>
        <w:rPr>
          <w:rFonts w:hint="eastAsia" w:ascii="宋体" w:hAnsi="宋体" w:eastAsia="宋体" w:cs="宋体"/>
          <w:b/>
          <w:color w:val="auto"/>
          <w:sz w:val="24"/>
          <w:szCs w:val="24"/>
          <w:highlight w:val="none"/>
        </w:rPr>
      </w:pPr>
      <w:bookmarkStart w:id="10" w:name="_Toc21168"/>
      <w:bookmarkStart w:id="11" w:name="_Toc1126"/>
      <w:bookmarkStart w:id="12" w:name="_Toc18954"/>
      <w:bookmarkStart w:id="13" w:name="_Toc14661"/>
      <w:r>
        <w:rPr>
          <w:rFonts w:hint="eastAsia" w:eastAsia="宋体" w:cs="宋体" w:asciiTheme="minorEastAsia" w:hAnsiTheme="minorEastAsia"/>
          <w:b/>
          <w:color w:val="auto"/>
          <w:kern w:val="2"/>
          <w:sz w:val="24"/>
          <w:szCs w:val="24"/>
          <w:lang w:val="en-US" w:eastAsia="zh-CN" w:bidi="ar-SA"/>
        </w:rPr>
        <w:t>1.1.1.</w:t>
      </w:r>
      <w:r>
        <w:rPr>
          <w:rFonts w:hint="eastAsia" w:ascii="宋体" w:hAnsi="宋体" w:cs="宋体"/>
          <w:b/>
          <w:color w:val="auto"/>
          <w:sz w:val="24"/>
          <w:szCs w:val="24"/>
          <w:highlight w:val="none"/>
          <w:lang w:eastAsia="zh-CN"/>
        </w:rPr>
        <w:t>项目</w:t>
      </w:r>
      <w:r>
        <w:rPr>
          <w:rFonts w:hint="eastAsia" w:ascii="宋体" w:hAnsi="宋体" w:eastAsia="宋体" w:cs="宋体"/>
          <w:b/>
          <w:color w:val="auto"/>
          <w:sz w:val="24"/>
          <w:szCs w:val="24"/>
          <w:highlight w:val="none"/>
        </w:rPr>
        <w:t>概况</w:t>
      </w:r>
      <w:bookmarkEnd w:id="10"/>
      <w:bookmarkEnd w:id="11"/>
      <w:bookmarkEnd w:id="12"/>
      <w:bookmarkEnd w:id="13"/>
    </w:p>
    <w:p w14:paraId="3EA372B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en-US" w:eastAsia="zh-CN"/>
        </w:rPr>
        <w:t>本项目</w:t>
      </w:r>
      <w:r>
        <w:rPr>
          <w:rFonts w:hint="eastAsia" w:ascii="宋体" w:hAnsi="宋体" w:eastAsia="宋体" w:cs="宋体"/>
          <w:color w:val="auto"/>
          <w:sz w:val="24"/>
          <w:szCs w:val="24"/>
          <w:highlight w:val="none"/>
          <w:u w:val="single"/>
        </w:rPr>
        <w:t>位于</w:t>
      </w:r>
      <w:r>
        <w:rPr>
          <w:rFonts w:hint="eastAsia" w:ascii="宋体" w:hAnsi="宋体" w:eastAsia="宋体" w:cs="宋体"/>
          <w:color w:val="auto"/>
          <w:sz w:val="24"/>
          <w:szCs w:val="24"/>
          <w:highlight w:val="none"/>
          <w:u w:val="single"/>
          <w:lang w:val="en-US" w:eastAsia="zh-CN"/>
        </w:rPr>
        <w:t>杭州市临安区於潜镇绍鲁村天目未来谷生态研学城，项目总用地面积约72385㎡（其中红线内61685㎡，红线外10700㎡），总建筑面积约101780平方米，其中地上建筑面积62300平方米，地下建筑面积39480平方米，该泳池工程位于本项目会所地下一层，泳池厅内，按摩池/泡池具有按摩功能，水水温设定为38度，水处理需</w:t>
      </w:r>
      <w:r>
        <w:rPr>
          <w:rFonts w:hint="eastAsia" w:ascii="宋体" w:hAnsi="宋体" w:eastAsia="宋体" w:cs="宋体"/>
          <w:color w:val="auto"/>
          <w:sz w:val="24"/>
          <w:szCs w:val="24"/>
          <w:highlight w:val="none"/>
          <w:u w:val="single"/>
        </w:rPr>
        <w:t>符合当地卫生标准，并采用滤芯过滤器过滤、水质监控器在线进行时时水质检测，次氯酸钠在线自动添加，羟基自由基在线消毒。另客房泡池池长1.58米，宽1.00米，水深0.75米，水面面积1.58m²，泡池水容积1.19m³。</w:t>
      </w:r>
    </w:p>
    <w:p w14:paraId="1F7411A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按摩池/泡池设备参数技术需求表:</w:t>
      </w:r>
    </w:p>
    <w:tbl>
      <w:tblPr>
        <w:tblStyle w:val="25"/>
        <w:tblW w:w="5000" w:type="pct"/>
        <w:tblInd w:w="0" w:type="dxa"/>
        <w:tblLayout w:type="fixed"/>
        <w:tblCellMar>
          <w:top w:w="0" w:type="dxa"/>
          <w:left w:w="0" w:type="dxa"/>
          <w:bottom w:w="0" w:type="dxa"/>
          <w:right w:w="0" w:type="dxa"/>
        </w:tblCellMar>
      </w:tblPr>
      <w:tblGrid>
        <w:gridCol w:w="792"/>
        <w:gridCol w:w="705"/>
        <w:gridCol w:w="516"/>
        <w:gridCol w:w="505"/>
        <w:gridCol w:w="1063"/>
        <w:gridCol w:w="779"/>
        <w:gridCol w:w="830"/>
        <w:gridCol w:w="853"/>
        <w:gridCol w:w="757"/>
        <w:gridCol w:w="624"/>
        <w:gridCol w:w="691"/>
        <w:gridCol w:w="558"/>
        <w:gridCol w:w="537"/>
        <w:gridCol w:w="567"/>
      </w:tblGrid>
      <w:tr w14:paraId="69B1B2DD">
        <w:tblPrEx>
          <w:tblCellMar>
            <w:top w:w="0" w:type="dxa"/>
            <w:left w:w="0" w:type="dxa"/>
            <w:bottom w:w="0" w:type="dxa"/>
            <w:right w:w="0" w:type="dxa"/>
          </w:tblCellMar>
        </w:tblPrEx>
        <w:trPr>
          <w:trHeight w:val="23" w:hRule="atLeast"/>
        </w:trPr>
        <w:tc>
          <w:tcPr>
            <w:tcW w:w="7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D4DD6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设计参数</w:t>
            </w:r>
            <w:r>
              <w:rPr>
                <w:rFonts w:hint="eastAsia" w:ascii="宋体" w:hAnsi="宋体" w:eastAsia="宋体" w:cs="宋体"/>
                <w:color w:val="auto"/>
                <w:kern w:val="0"/>
                <w:sz w:val="24"/>
                <w:szCs w:val="24"/>
                <w:highlight w:val="none"/>
                <w:lang w:bidi="ar"/>
              </w:rPr>
              <w:br w:type="textWrapping"/>
            </w:r>
            <w:r>
              <w:rPr>
                <w:rFonts w:hint="eastAsia" w:ascii="宋体" w:hAnsi="宋体" w:eastAsia="宋体" w:cs="宋体"/>
                <w:color w:val="auto"/>
                <w:kern w:val="0"/>
                <w:sz w:val="24"/>
                <w:szCs w:val="24"/>
                <w:highlight w:val="none"/>
                <w:lang w:bidi="ar"/>
              </w:rPr>
              <w:t>水池名称</w:t>
            </w:r>
          </w:p>
        </w:tc>
        <w:tc>
          <w:tcPr>
            <w:tcW w:w="69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3D72D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水池面积</w:t>
            </w:r>
            <w:r>
              <w:rPr>
                <w:rFonts w:hint="eastAsia" w:ascii="宋体" w:hAnsi="宋体" w:eastAsia="宋体" w:cs="宋体"/>
                <w:color w:val="auto"/>
                <w:kern w:val="0"/>
                <w:sz w:val="24"/>
                <w:szCs w:val="24"/>
                <w:highlight w:val="none"/>
                <w:lang w:bidi="ar"/>
              </w:rPr>
              <w:br w:type="textWrapping"/>
            </w:r>
            <w:r>
              <w:rPr>
                <w:rFonts w:hint="eastAsia" w:ascii="宋体" w:hAnsi="宋体" w:eastAsia="宋体" w:cs="宋体"/>
                <w:color w:val="auto"/>
                <w:kern w:val="0"/>
                <w:sz w:val="24"/>
                <w:szCs w:val="24"/>
                <w:highlight w:val="none"/>
                <w:lang w:bidi="ar"/>
              </w:rPr>
              <w:t>m²</w:t>
            </w:r>
          </w:p>
        </w:tc>
        <w:tc>
          <w:tcPr>
            <w:tcW w:w="51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6B2FB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平均水深</w:t>
            </w:r>
            <w:r>
              <w:rPr>
                <w:rFonts w:hint="eastAsia" w:ascii="宋体" w:hAnsi="宋体" w:eastAsia="宋体" w:cs="宋体"/>
                <w:color w:val="auto"/>
                <w:kern w:val="0"/>
                <w:sz w:val="24"/>
                <w:szCs w:val="24"/>
                <w:highlight w:val="none"/>
                <w:lang w:bidi="ar"/>
              </w:rPr>
              <w:br w:type="textWrapping"/>
            </w:r>
            <w:r>
              <w:rPr>
                <w:rFonts w:hint="eastAsia" w:ascii="宋体" w:hAnsi="宋体" w:eastAsia="宋体" w:cs="宋体"/>
                <w:color w:val="auto"/>
                <w:kern w:val="0"/>
                <w:sz w:val="24"/>
                <w:szCs w:val="24"/>
                <w:highlight w:val="none"/>
                <w:lang w:bidi="ar"/>
              </w:rPr>
              <w:t>m</w:t>
            </w:r>
          </w:p>
        </w:tc>
        <w:tc>
          <w:tcPr>
            <w:tcW w:w="4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13684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容积</w:t>
            </w:r>
            <w:r>
              <w:rPr>
                <w:rFonts w:hint="eastAsia" w:ascii="宋体" w:hAnsi="宋体" w:eastAsia="宋体" w:cs="宋体"/>
                <w:color w:val="auto"/>
                <w:kern w:val="0"/>
                <w:sz w:val="24"/>
                <w:szCs w:val="24"/>
                <w:highlight w:val="none"/>
                <w:lang w:bidi="ar"/>
              </w:rPr>
              <w:br w:type="textWrapping"/>
            </w:r>
            <w:r>
              <w:rPr>
                <w:rFonts w:hint="eastAsia" w:ascii="宋体" w:hAnsi="宋体" w:eastAsia="宋体" w:cs="宋体"/>
                <w:color w:val="auto"/>
                <w:kern w:val="0"/>
                <w:sz w:val="24"/>
                <w:szCs w:val="24"/>
                <w:highlight w:val="none"/>
                <w:lang w:bidi="ar"/>
              </w:rPr>
              <w:t>m³</w:t>
            </w:r>
          </w:p>
        </w:tc>
        <w:tc>
          <w:tcPr>
            <w:tcW w:w="105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939CE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循环周期</w:t>
            </w:r>
            <w:r>
              <w:rPr>
                <w:rFonts w:hint="eastAsia" w:ascii="宋体" w:hAnsi="宋体" w:eastAsia="宋体" w:cs="宋体"/>
                <w:color w:val="auto"/>
                <w:kern w:val="0"/>
                <w:sz w:val="24"/>
                <w:szCs w:val="24"/>
                <w:highlight w:val="none"/>
                <w:lang w:bidi="ar"/>
              </w:rPr>
              <w:br w:type="textWrapping"/>
            </w:r>
            <w:r>
              <w:rPr>
                <w:rFonts w:hint="eastAsia" w:ascii="宋体" w:hAnsi="宋体" w:eastAsia="宋体" w:cs="宋体"/>
                <w:color w:val="auto"/>
                <w:kern w:val="0"/>
                <w:sz w:val="24"/>
                <w:szCs w:val="24"/>
                <w:highlight w:val="none"/>
                <w:lang w:bidi="ar"/>
              </w:rPr>
              <w:t>hr</w:t>
            </w:r>
          </w:p>
        </w:tc>
        <w:tc>
          <w:tcPr>
            <w:tcW w:w="77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6CCC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循环水量</w:t>
            </w:r>
            <w:r>
              <w:rPr>
                <w:rFonts w:hint="eastAsia" w:ascii="宋体" w:hAnsi="宋体" w:eastAsia="宋体" w:cs="宋体"/>
                <w:color w:val="auto"/>
                <w:kern w:val="0"/>
                <w:sz w:val="24"/>
                <w:szCs w:val="24"/>
                <w:highlight w:val="none"/>
                <w:lang w:bidi="ar"/>
              </w:rPr>
              <w:br w:type="textWrapping"/>
            </w:r>
            <w:r>
              <w:rPr>
                <w:rFonts w:hint="eastAsia" w:ascii="宋体" w:hAnsi="宋体" w:eastAsia="宋体" w:cs="宋体"/>
                <w:color w:val="auto"/>
                <w:kern w:val="0"/>
                <w:sz w:val="24"/>
                <w:szCs w:val="24"/>
                <w:highlight w:val="none"/>
                <w:lang w:bidi="ar"/>
              </w:rPr>
              <w:t>m³/hr</w:t>
            </w:r>
          </w:p>
        </w:tc>
        <w:tc>
          <w:tcPr>
            <w:tcW w:w="82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A514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初次充水时间</w:t>
            </w:r>
            <w:r>
              <w:rPr>
                <w:rFonts w:hint="eastAsia" w:ascii="宋体" w:hAnsi="宋体" w:eastAsia="宋体" w:cs="宋体"/>
                <w:color w:val="auto"/>
                <w:kern w:val="0"/>
                <w:sz w:val="24"/>
                <w:szCs w:val="24"/>
                <w:highlight w:val="none"/>
                <w:lang w:bidi="ar"/>
              </w:rPr>
              <w:br w:type="textWrapping"/>
            </w:r>
            <w:r>
              <w:rPr>
                <w:rFonts w:hint="eastAsia" w:ascii="宋体" w:hAnsi="宋体" w:eastAsia="宋体" w:cs="宋体"/>
                <w:color w:val="auto"/>
                <w:kern w:val="0"/>
                <w:sz w:val="24"/>
                <w:szCs w:val="24"/>
                <w:highlight w:val="none"/>
                <w:lang w:bidi="ar"/>
              </w:rPr>
              <w:t>hr</w:t>
            </w:r>
          </w:p>
        </w:tc>
        <w:tc>
          <w:tcPr>
            <w:tcW w:w="84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AD9F2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初次充水水量</w:t>
            </w:r>
            <w:r>
              <w:rPr>
                <w:rFonts w:hint="eastAsia" w:ascii="宋体" w:hAnsi="宋体" w:eastAsia="宋体" w:cs="宋体"/>
                <w:color w:val="auto"/>
                <w:kern w:val="0"/>
                <w:sz w:val="24"/>
                <w:szCs w:val="24"/>
                <w:highlight w:val="none"/>
                <w:lang w:bidi="ar"/>
              </w:rPr>
              <w:br w:type="textWrapping"/>
            </w:r>
            <w:r>
              <w:rPr>
                <w:rFonts w:hint="eastAsia" w:ascii="宋体" w:hAnsi="宋体" w:eastAsia="宋体" w:cs="宋体"/>
                <w:color w:val="auto"/>
                <w:kern w:val="0"/>
                <w:sz w:val="24"/>
                <w:szCs w:val="24"/>
                <w:highlight w:val="none"/>
                <w:lang w:bidi="ar"/>
              </w:rPr>
              <w:t>m³/hr</w:t>
            </w:r>
          </w:p>
        </w:tc>
        <w:tc>
          <w:tcPr>
            <w:tcW w:w="7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EC2F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水温</w:t>
            </w:r>
            <w:r>
              <w:rPr>
                <w:rFonts w:hint="eastAsia" w:ascii="宋体" w:hAnsi="宋体" w:eastAsia="宋体" w:cs="宋体"/>
                <w:color w:val="auto"/>
                <w:kern w:val="0"/>
                <w:sz w:val="24"/>
                <w:szCs w:val="24"/>
                <w:highlight w:val="none"/>
                <w:lang w:bidi="ar"/>
              </w:rPr>
              <w:br w:type="textWrapping"/>
            </w:r>
            <w:r>
              <w:rPr>
                <w:rFonts w:hint="eastAsia" w:ascii="宋体" w:hAnsi="宋体" w:eastAsia="宋体" w:cs="宋体"/>
                <w:color w:val="auto"/>
                <w:kern w:val="0"/>
                <w:sz w:val="24"/>
                <w:szCs w:val="24"/>
                <w:highlight w:val="none"/>
                <w:lang w:bidi="ar"/>
              </w:rPr>
              <w:t>℃</w:t>
            </w:r>
          </w:p>
        </w:tc>
        <w:tc>
          <w:tcPr>
            <w:tcW w:w="2383"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4AD2A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运行方式</w:t>
            </w:r>
          </w:p>
        </w:tc>
        <w:tc>
          <w:tcPr>
            <w:tcW w:w="56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1193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放空时间</w:t>
            </w:r>
            <w:r>
              <w:rPr>
                <w:rFonts w:hint="eastAsia" w:ascii="宋体" w:hAnsi="宋体" w:eastAsia="宋体" w:cs="宋体"/>
                <w:color w:val="auto"/>
                <w:kern w:val="0"/>
                <w:sz w:val="24"/>
                <w:szCs w:val="24"/>
                <w:highlight w:val="none"/>
                <w:lang w:bidi="ar"/>
              </w:rPr>
              <w:br w:type="textWrapping"/>
            </w:r>
            <w:r>
              <w:rPr>
                <w:rFonts w:hint="eastAsia" w:ascii="宋体" w:hAnsi="宋体" w:eastAsia="宋体" w:cs="宋体"/>
                <w:color w:val="auto"/>
                <w:kern w:val="0"/>
                <w:sz w:val="24"/>
                <w:szCs w:val="24"/>
                <w:highlight w:val="none"/>
                <w:lang w:bidi="ar"/>
              </w:rPr>
              <w:t>hr</w:t>
            </w:r>
          </w:p>
        </w:tc>
      </w:tr>
      <w:tr w14:paraId="7422B67E">
        <w:tblPrEx>
          <w:tblCellMar>
            <w:top w:w="0" w:type="dxa"/>
            <w:left w:w="0" w:type="dxa"/>
            <w:bottom w:w="0" w:type="dxa"/>
            <w:right w:w="0" w:type="dxa"/>
          </w:tblCellMar>
        </w:tblPrEx>
        <w:trPr>
          <w:trHeight w:val="23" w:hRule="atLeast"/>
        </w:trPr>
        <w:tc>
          <w:tcPr>
            <w:tcW w:w="7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7BE98">
            <w:pPr>
              <w:jc w:val="center"/>
              <w:rPr>
                <w:rFonts w:hint="eastAsia" w:ascii="宋体" w:hAnsi="宋体" w:eastAsia="宋体" w:cs="宋体"/>
                <w:color w:val="auto"/>
                <w:sz w:val="24"/>
                <w:szCs w:val="24"/>
                <w:highlight w:val="none"/>
              </w:rPr>
            </w:pPr>
          </w:p>
        </w:tc>
        <w:tc>
          <w:tcPr>
            <w:tcW w:w="69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C7C627">
            <w:pPr>
              <w:jc w:val="center"/>
              <w:rPr>
                <w:rFonts w:hint="eastAsia" w:ascii="宋体" w:hAnsi="宋体" w:eastAsia="宋体" w:cs="宋体"/>
                <w:color w:val="auto"/>
                <w:sz w:val="24"/>
                <w:szCs w:val="24"/>
                <w:highlight w:val="none"/>
              </w:rPr>
            </w:pPr>
          </w:p>
        </w:tc>
        <w:tc>
          <w:tcPr>
            <w:tcW w:w="51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09A674">
            <w:pPr>
              <w:jc w:val="center"/>
              <w:rPr>
                <w:rFonts w:hint="eastAsia" w:ascii="宋体" w:hAnsi="宋体" w:eastAsia="宋体" w:cs="宋体"/>
                <w:color w:val="auto"/>
                <w:sz w:val="24"/>
                <w:szCs w:val="24"/>
                <w:highlight w:val="none"/>
              </w:rPr>
            </w:pPr>
          </w:p>
        </w:tc>
        <w:tc>
          <w:tcPr>
            <w:tcW w:w="4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437347">
            <w:pPr>
              <w:jc w:val="center"/>
              <w:rPr>
                <w:rFonts w:hint="eastAsia" w:ascii="宋体" w:hAnsi="宋体" w:eastAsia="宋体" w:cs="宋体"/>
                <w:color w:val="auto"/>
                <w:sz w:val="24"/>
                <w:szCs w:val="24"/>
                <w:highlight w:val="none"/>
              </w:rPr>
            </w:pPr>
          </w:p>
        </w:tc>
        <w:tc>
          <w:tcPr>
            <w:tcW w:w="105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A3B0B">
            <w:pPr>
              <w:jc w:val="center"/>
              <w:rPr>
                <w:rFonts w:hint="eastAsia" w:ascii="宋体" w:hAnsi="宋体" w:eastAsia="宋体" w:cs="宋体"/>
                <w:color w:val="auto"/>
                <w:sz w:val="24"/>
                <w:szCs w:val="24"/>
                <w:highlight w:val="none"/>
              </w:rPr>
            </w:pPr>
          </w:p>
        </w:tc>
        <w:tc>
          <w:tcPr>
            <w:tcW w:w="7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7DD14">
            <w:pPr>
              <w:jc w:val="center"/>
              <w:rPr>
                <w:rFonts w:hint="eastAsia" w:ascii="宋体" w:hAnsi="宋体" w:eastAsia="宋体" w:cs="宋体"/>
                <w:color w:val="auto"/>
                <w:sz w:val="24"/>
                <w:szCs w:val="24"/>
                <w:highlight w:val="none"/>
              </w:rPr>
            </w:pPr>
          </w:p>
        </w:tc>
        <w:tc>
          <w:tcPr>
            <w:tcW w:w="82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D91810">
            <w:pPr>
              <w:jc w:val="center"/>
              <w:rPr>
                <w:rFonts w:hint="eastAsia" w:ascii="宋体" w:hAnsi="宋体" w:eastAsia="宋体" w:cs="宋体"/>
                <w:color w:val="auto"/>
                <w:sz w:val="24"/>
                <w:szCs w:val="24"/>
                <w:highlight w:val="none"/>
              </w:rPr>
            </w:pPr>
          </w:p>
        </w:tc>
        <w:tc>
          <w:tcPr>
            <w:tcW w:w="8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D08D0">
            <w:pPr>
              <w:jc w:val="center"/>
              <w:rPr>
                <w:rFonts w:hint="eastAsia" w:ascii="宋体" w:hAnsi="宋体" w:eastAsia="宋体" w:cs="宋体"/>
                <w:color w:val="auto"/>
                <w:sz w:val="24"/>
                <w:szCs w:val="24"/>
                <w:highlight w:val="none"/>
              </w:rPr>
            </w:pPr>
          </w:p>
        </w:tc>
        <w:tc>
          <w:tcPr>
            <w:tcW w:w="7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C7D5B9">
            <w:pPr>
              <w:jc w:val="center"/>
              <w:rPr>
                <w:rFonts w:hint="eastAsia" w:ascii="宋体" w:hAnsi="宋体" w:eastAsia="宋体" w:cs="宋体"/>
                <w:color w:val="auto"/>
                <w:sz w:val="24"/>
                <w:szCs w:val="24"/>
                <w:highlight w:val="none"/>
              </w:rPr>
            </w:pP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F02F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补水</w:t>
            </w:r>
          </w:p>
        </w:tc>
        <w:tc>
          <w:tcPr>
            <w:tcW w:w="6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1484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放空</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F568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排料</w:t>
            </w:r>
          </w:p>
        </w:tc>
        <w:tc>
          <w:tcPr>
            <w:tcW w:w="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E7B83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投药泵</w:t>
            </w:r>
          </w:p>
        </w:tc>
        <w:tc>
          <w:tcPr>
            <w:tcW w:w="56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91CAEE">
            <w:pPr>
              <w:jc w:val="center"/>
              <w:rPr>
                <w:rFonts w:hint="eastAsia" w:ascii="宋体" w:hAnsi="宋体" w:eastAsia="宋体" w:cs="宋体"/>
                <w:color w:val="auto"/>
                <w:sz w:val="24"/>
                <w:szCs w:val="24"/>
                <w:highlight w:val="none"/>
              </w:rPr>
            </w:pPr>
          </w:p>
        </w:tc>
      </w:tr>
      <w:tr w14:paraId="1104D218">
        <w:tblPrEx>
          <w:tblCellMar>
            <w:top w:w="0" w:type="dxa"/>
            <w:left w:w="0" w:type="dxa"/>
            <w:bottom w:w="0" w:type="dxa"/>
            <w:right w:w="0" w:type="dxa"/>
          </w:tblCellMar>
        </w:tblPrEx>
        <w:trPr>
          <w:trHeight w:val="312" w:hRule="atLeast"/>
        </w:trPr>
        <w:tc>
          <w:tcPr>
            <w:tcW w:w="7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BFFC27">
            <w:pPr>
              <w:jc w:val="center"/>
              <w:rPr>
                <w:rFonts w:hint="eastAsia" w:ascii="宋体" w:hAnsi="宋体" w:eastAsia="宋体" w:cs="宋体"/>
                <w:color w:val="auto"/>
                <w:sz w:val="24"/>
                <w:szCs w:val="24"/>
                <w:highlight w:val="none"/>
              </w:rPr>
            </w:pPr>
          </w:p>
        </w:tc>
        <w:tc>
          <w:tcPr>
            <w:tcW w:w="69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395DA0">
            <w:pPr>
              <w:jc w:val="center"/>
              <w:rPr>
                <w:rFonts w:hint="eastAsia" w:ascii="宋体" w:hAnsi="宋体" w:eastAsia="宋体" w:cs="宋体"/>
                <w:color w:val="auto"/>
                <w:sz w:val="24"/>
                <w:szCs w:val="24"/>
                <w:highlight w:val="none"/>
              </w:rPr>
            </w:pPr>
          </w:p>
        </w:tc>
        <w:tc>
          <w:tcPr>
            <w:tcW w:w="51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C9ADE7">
            <w:pPr>
              <w:jc w:val="center"/>
              <w:rPr>
                <w:rFonts w:hint="eastAsia" w:ascii="宋体" w:hAnsi="宋体" w:eastAsia="宋体" w:cs="宋体"/>
                <w:color w:val="auto"/>
                <w:sz w:val="24"/>
                <w:szCs w:val="24"/>
                <w:highlight w:val="none"/>
              </w:rPr>
            </w:pPr>
          </w:p>
        </w:tc>
        <w:tc>
          <w:tcPr>
            <w:tcW w:w="4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21242C">
            <w:pPr>
              <w:jc w:val="center"/>
              <w:rPr>
                <w:rFonts w:hint="eastAsia" w:ascii="宋体" w:hAnsi="宋体" w:eastAsia="宋体" w:cs="宋体"/>
                <w:color w:val="auto"/>
                <w:sz w:val="24"/>
                <w:szCs w:val="24"/>
                <w:highlight w:val="none"/>
              </w:rPr>
            </w:pPr>
          </w:p>
        </w:tc>
        <w:tc>
          <w:tcPr>
            <w:tcW w:w="105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5A11A">
            <w:pPr>
              <w:jc w:val="center"/>
              <w:rPr>
                <w:rFonts w:hint="eastAsia" w:ascii="宋体" w:hAnsi="宋体" w:eastAsia="宋体" w:cs="宋体"/>
                <w:color w:val="auto"/>
                <w:sz w:val="24"/>
                <w:szCs w:val="24"/>
                <w:highlight w:val="none"/>
              </w:rPr>
            </w:pPr>
          </w:p>
        </w:tc>
        <w:tc>
          <w:tcPr>
            <w:tcW w:w="7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B21254">
            <w:pPr>
              <w:jc w:val="center"/>
              <w:rPr>
                <w:rFonts w:hint="eastAsia" w:ascii="宋体" w:hAnsi="宋体" w:eastAsia="宋体" w:cs="宋体"/>
                <w:color w:val="auto"/>
                <w:sz w:val="24"/>
                <w:szCs w:val="24"/>
                <w:highlight w:val="none"/>
              </w:rPr>
            </w:pPr>
          </w:p>
        </w:tc>
        <w:tc>
          <w:tcPr>
            <w:tcW w:w="82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75D69E">
            <w:pPr>
              <w:jc w:val="center"/>
              <w:rPr>
                <w:rFonts w:hint="eastAsia" w:ascii="宋体" w:hAnsi="宋体" w:eastAsia="宋体" w:cs="宋体"/>
                <w:color w:val="auto"/>
                <w:sz w:val="24"/>
                <w:szCs w:val="24"/>
                <w:highlight w:val="none"/>
              </w:rPr>
            </w:pPr>
          </w:p>
        </w:tc>
        <w:tc>
          <w:tcPr>
            <w:tcW w:w="8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B7246B">
            <w:pPr>
              <w:jc w:val="center"/>
              <w:rPr>
                <w:rFonts w:hint="eastAsia" w:ascii="宋体" w:hAnsi="宋体" w:eastAsia="宋体" w:cs="宋体"/>
                <w:color w:val="auto"/>
                <w:sz w:val="24"/>
                <w:szCs w:val="24"/>
                <w:highlight w:val="none"/>
              </w:rPr>
            </w:pPr>
          </w:p>
        </w:tc>
        <w:tc>
          <w:tcPr>
            <w:tcW w:w="7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CFF7B">
            <w:pPr>
              <w:jc w:val="center"/>
              <w:rPr>
                <w:rFonts w:hint="eastAsia" w:ascii="宋体" w:hAnsi="宋体" w:eastAsia="宋体" w:cs="宋体"/>
                <w:color w:val="auto"/>
                <w:sz w:val="24"/>
                <w:szCs w:val="24"/>
                <w:highlight w:val="none"/>
              </w:rPr>
            </w:pP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E1C6A9">
            <w:pPr>
              <w:jc w:val="center"/>
              <w:rPr>
                <w:rFonts w:hint="eastAsia" w:ascii="宋体" w:hAnsi="宋体" w:eastAsia="宋体" w:cs="宋体"/>
                <w:color w:val="auto"/>
                <w:sz w:val="24"/>
                <w:szCs w:val="24"/>
                <w:highlight w:val="none"/>
              </w:rPr>
            </w:pPr>
          </w:p>
        </w:tc>
        <w:tc>
          <w:tcPr>
            <w:tcW w:w="6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F04FC">
            <w:pPr>
              <w:jc w:val="center"/>
              <w:rPr>
                <w:rFonts w:hint="eastAsia" w:ascii="宋体" w:hAnsi="宋体" w:eastAsia="宋体" w:cs="宋体"/>
                <w:color w:val="auto"/>
                <w:sz w:val="24"/>
                <w:szCs w:val="24"/>
                <w:highlight w:val="none"/>
              </w:rPr>
            </w:pP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BEE4E1">
            <w:pPr>
              <w:jc w:val="center"/>
              <w:rPr>
                <w:rFonts w:hint="eastAsia" w:ascii="宋体" w:hAnsi="宋体" w:eastAsia="宋体" w:cs="宋体"/>
                <w:color w:val="auto"/>
                <w:sz w:val="24"/>
                <w:szCs w:val="24"/>
                <w:highlight w:val="none"/>
              </w:rPr>
            </w:pPr>
          </w:p>
        </w:tc>
        <w:tc>
          <w:tcPr>
            <w:tcW w:w="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F6175">
            <w:pPr>
              <w:jc w:val="center"/>
              <w:rPr>
                <w:rFonts w:hint="eastAsia" w:ascii="宋体" w:hAnsi="宋体" w:eastAsia="宋体" w:cs="宋体"/>
                <w:color w:val="auto"/>
                <w:sz w:val="24"/>
                <w:szCs w:val="24"/>
                <w:highlight w:val="none"/>
              </w:rPr>
            </w:pPr>
          </w:p>
        </w:tc>
        <w:tc>
          <w:tcPr>
            <w:tcW w:w="56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A978D">
            <w:pPr>
              <w:jc w:val="center"/>
              <w:rPr>
                <w:rFonts w:hint="eastAsia" w:ascii="宋体" w:hAnsi="宋体" w:eastAsia="宋体" w:cs="宋体"/>
                <w:color w:val="auto"/>
                <w:sz w:val="24"/>
                <w:szCs w:val="24"/>
                <w:highlight w:val="none"/>
              </w:rPr>
            </w:pPr>
          </w:p>
        </w:tc>
      </w:tr>
      <w:tr w14:paraId="3136DE8B">
        <w:tblPrEx>
          <w:tblCellMar>
            <w:top w:w="0" w:type="dxa"/>
            <w:left w:w="0" w:type="dxa"/>
            <w:bottom w:w="0" w:type="dxa"/>
            <w:right w:w="0" w:type="dxa"/>
          </w:tblCellMar>
        </w:tblPrEx>
        <w:trPr>
          <w:trHeight w:val="460" w:hRule="atLeast"/>
        </w:trPr>
        <w:tc>
          <w:tcPr>
            <w:tcW w:w="7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C9C5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按摩</w:t>
            </w:r>
          </w:p>
        </w:tc>
        <w:tc>
          <w:tcPr>
            <w:tcW w:w="6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06833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30.2</w:t>
            </w:r>
          </w:p>
        </w:tc>
        <w:tc>
          <w:tcPr>
            <w:tcW w:w="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E54F2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0.8</w:t>
            </w:r>
          </w:p>
        </w:tc>
        <w:tc>
          <w:tcPr>
            <w:tcW w:w="4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1AF6D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w:t>
            </w:r>
          </w:p>
        </w:tc>
        <w:tc>
          <w:tcPr>
            <w:tcW w:w="10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B93C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w:t>
            </w: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2248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w:t>
            </w:r>
          </w:p>
        </w:tc>
        <w:tc>
          <w:tcPr>
            <w:tcW w:w="8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A0D91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6079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6.5</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4E762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17ED3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手动</w:t>
            </w:r>
          </w:p>
        </w:tc>
        <w:tc>
          <w:tcPr>
            <w:tcW w:w="6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44D8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手动</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4EA86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手动</w:t>
            </w:r>
          </w:p>
        </w:tc>
        <w:tc>
          <w:tcPr>
            <w:tcW w:w="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A057E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自动</w:t>
            </w:r>
          </w:p>
        </w:tc>
        <w:tc>
          <w:tcPr>
            <w:tcW w:w="5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583D5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w:t>
            </w:r>
          </w:p>
        </w:tc>
      </w:tr>
      <w:tr w14:paraId="153F720F">
        <w:tblPrEx>
          <w:tblCellMar>
            <w:top w:w="0" w:type="dxa"/>
            <w:left w:w="0" w:type="dxa"/>
            <w:bottom w:w="0" w:type="dxa"/>
            <w:right w:w="0" w:type="dxa"/>
          </w:tblCellMar>
        </w:tblPrEx>
        <w:trPr>
          <w:trHeight w:val="23" w:hRule="atLeast"/>
        </w:trPr>
        <w:tc>
          <w:tcPr>
            <w:tcW w:w="7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045876">
            <w:pPr>
              <w:shd w:val="clear" w:fill="FFFFFF" w:themeFill="background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客房泡池</w:t>
            </w:r>
          </w:p>
        </w:tc>
        <w:tc>
          <w:tcPr>
            <w:tcW w:w="6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C25D4E">
            <w:pPr>
              <w:shd w:val="clear" w:fill="FFFFFF" w:themeFill="background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1.58</w:t>
            </w:r>
          </w:p>
        </w:tc>
        <w:tc>
          <w:tcPr>
            <w:tcW w:w="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23E88">
            <w:pPr>
              <w:shd w:val="clear" w:fill="FFFFFF" w:themeFill="background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0.75</w:t>
            </w:r>
          </w:p>
        </w:tc>
        <w:tc>
          <w:tcPr>
            <w:tcW w:w="4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A5CA9D">
            <w:pPr>
              <w:shd w:val="clear" w:fill="FFFFFF" w:themeFill="background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1.19</w:t>
            </w:r>
          </w:p>
        </w:tc>
        <w:tc>
          <w:tcPr>
            <w:tcW w:w="10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5AAF65">
            <w:pPr>
              <w:shd w:val="clear" w:fill="FFFFFF" w:themeFill="background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w:t>
            </w:r>
          </w:p>
        </w:tc>
        <w:tc>
          <w:tcPr>
            <w:tcW w:w="7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077EAD">
            <w:pPr>
              <w:shd w:val="clear" w:fill="FFFFFF" w:themeFill="background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最大6</w:t>
            </w:r>
          </w:p>
        </w:tc>
        <w:tc>
          <w:tcPr>
            <w:tcW w:w="8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93632D">
            <w:pPr>
              <w:shd w:val="clear" w:fill="FFFFFF" w:themeFill="background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509542">
            <w:pPr>
              <w:shd w:val="clear" w:fill="FFFFFF" w:themeFill="background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0.6</w:t>
            </w:r>
          </w:p>
        </w:tc>
        <w:tc>
          <w:tcPr>
            <w:tcW w:w="7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7ACBA2">
            <w:pPr>
              <w:shd w:val="clear" w:fill="FFFFFF" w:themeFill="background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w:t>
            </w:r>
          </w:p>
        </w:tc>
        <w:tc>
          <w:tcPr>
            <w:tcW w:w="6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2EAB4">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自动</w:t>
            </w:r>
          </w:p>
        </w:tc>
        <w:tc>
          <w:tcPr>
            <w:tcW w:w="6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2E81C">
            <w:pPr>
              <w:widowControl/>
              <w:shd w:val="clear" w:fill="FFFFFF" w:themeFill="background1"/>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手动</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F6998">
            <w:pPr>
              <w:widowControl/>
              <w:shd w:val="clear" w:fill="FFFFFF" w:themeFill="background1"/>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手动</w:t>
            </w:r>
          </w:p>
        </w:tc>
        <w:tc>
          <w:tcPr>
            <w:tcW w:w="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2A384">
            <w:pPr>
              <w:widowControl/>
              <w:shd w:val="clear" w:fill="FFFFFF" w:themeFill="background1"/>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w:t>
            </w:r>
          </w:p>
        </w:tc>
        <w:tc>
          <w:tcPr>
            <w:tcW w:w="5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67DABD">
            <w:pPr>
              <w:widowControl/>
              <w:shd w:val="clear" w:fill="FFFFFF" w:themeFill="background1"/>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0.5</w:t>
            </w:r>
          </w:p>
        </w:tc>
      </w:tr>
    </w:tbl>
    <w:p w14:paraId="3E07646B">
      <w:pPr>
        <w:shd w:val="clear" w:fill="FFFFFF" w:themeFill="background1"/>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泳池池厅按摩池设备参数：</w:t>
      </w:r>
    </w:p>
    <w:tbl>
      <w:tblPr>
        <w:tblStyle w:val="25"/>
        <w:tblW w:w="5000" w:type="pct"/>
        <w:tblInd w:w="0" w:type="dxa"/>
        <w:tblLayout w:type="fixed"/>
        <w:tblCellMar>
          <w:top w:w="0" w:type="dxa"/>
          <w:left w:w="0" w:type="dxa"/>
          <w:bottom w:w="0" w:type="dxa"/>
          <w:right w:w="0" w:type="dxa"/>
        </w:tblCellMar>
      </w:tblPr>
      <w:tblGrid>
        <w:gridCol w:w="792"/>
        <w:gridCol w:w="1831"/>
        <w:gridCol w:w="3692"/>
        <w:gridCol w:w="633"/>
        <w:gridCol w:w="622"/>
        <w:gridCol w:w="2206"/>
      </w:tblGrid>
      <w:tr w14:paraId="028BD907">
        <w:tblPrEx>
          <w:tblCellMar>
            <w:top w:w="0" w:type="dxa"/>
            <w:left w:w="0" w:type="dxa"/>
            <w:bottom w:w="0" w:type="dxa"/>
            <w:right w:w="0" w:type="dxa"/>
          </w:tblCellMar>
        </w:tblPrEx>
        <w:trPr>
          <w:cantSplit/>
          <w:trHeight w:val="532" w:hRule="atLeast"/>
          <w:tblHeader/>
        </w:trPr>
        <w:tc>
          <w:tcPr>
            <w:tcW w:w="9668" w:type="dxa"/>
            <w:gridSpan w:val="6"/>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CA434D6">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主要设备表</w:t>
            </w:r>
          </w:p>
        </w:tc>
      </w:tr>
      <w:tr w14:paraId="40937218">
        <w:tblPrEx>
          <w:tblCellMar>
            <w:top w:w="0" w:type="dxa"/>
            <w:left w:w="0" w:type="dxa"/>
            <w:bottom w:w="0" w:type="dxa"/>
            <w:right w:w="0" w:type="dxa"/>
          </w:tblCellMar>
        </w:tblPrEx>
        <w:trPr>
          <w:trHeight w:val="541" w:hRule="atLeast"/>
        </w:trPr>
        <w:tc>
          <w:tcPr>
            <w:tcW w:w="7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118881">
            <w:pPr>
              <w:widowControl/>
              <w:shd w:val="clear" w:fill="FFFFFF" w:themeFill="background1"/>
              <w:adjustRightInd w:val="0"/>
              <w:snapToGrid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序号</w:t>
            </w:r>
          </w:p>
        </w:tc>
        <w:tc>
          <w:tcPr>
            <w:tcW w:w="1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EA817">
            <w:pPr>
              <w:widowControl/>
              <w:shd w:val="clear" w:fill="FFFFFF" w:themeFill="background1"/>
              <w:adjustRightInd w:val="0"/>
              <w:snapToGrid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名   称</w:t>
            </w:r>
          </w:p>
        </w:tc>
        <w:tc>
          <w:tcPr>
            <w:tcW w:w="36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734210">
            <w:pPr>
              <w:widowControl/>
              <w:shd w:val="clear" w:fill="FFFFFF" w:themeFill="background1"/>
              <w:adjustRightInd w:val="0"/>
              <w:snapToGrid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参       数</w:t>
            </w:r>
          </w:p>
        </w:tc>
        <w:tc>
          <w:tcPr>
            <w:tcW w:w="6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A3321">
            <w:pPr>
              <w:widowControl/>
              <w:shd w:val="clear" w:fill="FFFFFF" w:themeFill="background1"/>
              <w:adjustRightInd w:val="0"/>
              <w:snapToGrid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数量</w:t>
            </w:r>
          </w:p>
        </w:tc>
        <w:tc>
          <w:tcPr>
            <w:tcW w:w="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87898">
            <w:pPr>
              <w:widowControl/>
              <w:shd w:val="clear" w:fill="FFFFFF" w:themeFill="background1"/>
              <w:adjustRightInd w:val="0"/>
              <w:snapToGrid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单位</w:t>
            </w:r>
          </w:p>
        </w:tc>
        <w:tc>
          <w:tcPr>
            <w:tcW w:w="21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471F96">
            <w:pPr>
              <w:widowControl/>
              <w:shd w:val="clear" w:fill="FFFFFF" w:themeFill="background1"/>
              <w:adjustRightInd w:val="0"/>
              <w:snapToGrid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备   注</w:t>
            </w:r>
          </w:p>
        </w:tc>
      </w:tr>
      <w:tr w14:paraId="431C6BE0">
        <w:tblPrEx>
          <w:tblCellMar>
            <w:top w:w="0" w:type="dxa"/>
            <w:left w:w="0" w:type="dxa"/>
            <w:bottom w:w="0" w:type="dxa"/>
            <w:right w:w="0" w:type="dxa"/>
          </w:tblCellMar>
        </w:tblPrEx>
        <w:tc>
          <w:tcPr>
            <w:tcW w:w="7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8CC9D3">
            <w:pPr>
              <w:widowControl/>
              <w:numPr>
                <w:ilvl w:val="0"/>
                <w:numId w:val="0"/>
              </w:numPr>
              <w:shd w:val="clear" w:fill="FFFFFF" w:themeFill="background1"/>
              <w:ind w:left="0" w:leftChars="0" w:firstLine="0" w:firstLine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lang w:val="en-US" w:eastAsia="zh-CN" w:bidi="ar"/>
              </w:rPr>
              <w:t>1</w:t>
            </w:r>
          </w:p>
        </w:tc>
        <w:tc>
          <w:tcPr>
            <w:tcW w:w="1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78BF3">
            <w:pPr>
              <w:widowControl/>
              <w:shd w:val="clear" w:fill="FFFFFF" w:themeFill="background1"/>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按摩池循环水泵</w:t>
            </w:r>
          </w:p>
        </w:tc>
        <w:tc>
          <w:tcPr>
            <w:tcW w:w="36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0E37C">
            <w:pPr>
              <w:widowControl/>
              <w:shd w:val="clear" w:fill="FFFFFF" w:themeFill="background1"/>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Q≥27m³/hr,H=18mH ,N=2.2kW，专用自带毛发收集器</w:t>
            </w:r>
          </w:p>
        </w:tc>
        <w:tc>
          <w:tcPr>
            <w:tcW w:w="6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3EFC6">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627610">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21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583CAC">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二用一备</w:t>
            </w:r>
          </w:p>
        </w:tc>
      </w:tr>
      <w:tr w14:paraId="454ADA0A">
        <w:tblPrEx>
          <w:tblCellMar>
            <w:top w:w="0" w:type="dxa"/>
            <w:left w:w="0" w:type="dxa"/>
            <w:bottom w:w="0" w:type="dxa"/>
            <w:right w:w="0" w:type="dxa"/>
          </w:tblCellMar>
        </w:tblPrEx>
        <w:tc>
          <w:tcPr>
            <w:tcW w:w="7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33E9A">
            <w:pPr>
              <w:widowControl/>
              <w:numPr>
                <w:ilvl w:val="0"/>
                <w:numId w:val="0"/>
              </w:numPr>
              <w:shd w:val="clear" w:fill="FFFFFF" w:themeFill="background1"/>
              <w:ind w:left="0" w:leftChars="0" w:firstLine="0" w:firstLine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lang w:val="en-US" w:eastAsia="zh-CN" w:bidi="ar"/>
              </w:rPr>
              <w:t>2</w:t>
            </w:r>
          </w:p>
        </w:tc>
        <w:tc>
          <w:tcPr>
            <w:tcW w:w="1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6565B2">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按摩滤芯过滤器</w:t>
            </w:r>
          </w:p>
        </w:tc>
        <w:tc>
          <w:tcPr>
            <w:tcW w:w="36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FB5000">
            <w:pPr>
              <w:widowControl/>
              <w:shd w:val="clear" w:fill="FFFFFF" w:themeFill="background1"/>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过滤面积≥48.8m²，滤速＜0.6m/h，</w:t>
            </w:r>
          </w:p>
          <w:p w14:paraId="2E39173F">
            <w:pPr>
              <w:widowControl/>
              <w:shd w:val="clear" w:fill="FFFFFF" w:themeFill="background1"/>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直径=0.6m，Q≥27m³ /h，过滤精度10微米，壳体由强化玻璃纤维聚化合物注塑成型，最大工作压力2.5kg/cm2，过滤材质强化聚酯纤</w:t>
            </w:r>
          </w:p>
        </w:tc>
        <w:tc>
          <w:tcPr>
            <w:tcW w:w="6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DA07B">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426B4B">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21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1B0991">
            <w:pPr>
              <w:widowControl/>
              <w:shd w:val="clear" w:fill="FFFFFF" w:themeFill="background1"/>
              <w:jc w:val="center"/>
              <w:textAlignment w:val="center"/>
              <w:rPr>
                <w:rFonts w:hint="eastAsia" w:ascii="宋体" w:hAnsi="宋体" w:eastAsia="宋体" w:cs="宋体"/>
                <w:color w:val="auto"/>
                <w:kern w:val="0"/>
                <w:sz w:val="24"/>
                <w:szCs w:val="24"/>
                <w:highlight w:val="none"/>
                <w:lang w:bidi="ar"/>
              </w:rPr>
            </w:pPr>
          </w:p>
        </w:tc>
      </w:tr>
      <w:tr w14:paraId="15A17BB3">
        <w:tblPrEx>
          <w:tblCellMar>
            <w:top w:w="0" w:type="dxa"/>
            <w:left w:w="0" w:type="dxa"/>
            <w:bottom w:w="0" w:type="dxa"/>
            <w:right w:w="0" w:type="dxa"/>
          </w:tblCellMar>
        </w:tblPrEx>
        <w:tc>
          <w:tcPr>
            <w:tcW w:w="7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9B8DB8">
            <w:pPr>
              <w:widowControl/>
              <w:numPr>
                <w:ilvl w:val="0"/>
                <w:numId w:val="0"/>
              </w:numPr>
              <w:shd w:val="clear" w:fill="FFFFFF" w:themeFill="background1"/>
              <w:ind w:left="0" w:leftChars="0" w:firstLine="0" w:firstLine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lang w:val="en-US" w:eastAsia="zh-CN" w:bidi="ar"/>
              </w:rPr>
              <w:t>3</w:t>
            </w:r>
          </w:p>
        </w:tc>
        <w:tc>
          <w:tcPr>
            <w:tcW w:w="1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98AEBF">
            <w:pPr>
              <w:widowControl/>
              <w:shd w:val="clear" w:fill="FFFFFF" w:themeFill="background1"/>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按摩池水利按摩泵</w:t>
            </w:r>
          </w:p>
        </w:tc>
        <w:tc>
          <w:tcPr>
            <w:tcW w:w="36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74CC99">
            <w:pPr>
              <w:widowControl/>
              <w:shd w:val="clear" w:fill="FFFFFF" w:themeFill="background1"/>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Q=30m³/h，H=18m，N=2.2kW，自带毛发收集器</w:t>
            </w:r>
          </w:p>
        </w:tc>
        <w:tc>
          <w:tcPr>
            <w:tcW w:w="6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D9E30C">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E8188D">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02C737">
            <w:pPr>
              <w:widowControl/>
              <w:shd w:val="clear" w:fill="FFFFFF" w:themeFill="background1"/>
              <w:jc w:val="center"/>
              <w:textAlignment w:val="center"/>
              <w:rPr>
                <w:rFonts w:hint="eastAsia" w:ascii="宋体" w:hAnsi="宋体" w:eastAsia="宋体" w:cs="宋体"/>
                <w:color w:val="auto"/>
                <w:kern w:val="0"/>
                <w:sz w:val="24"/>
                <w:szCs w:val="24"/>
                <w:highlight w:val="none"/>
                <w:lang w:bidi="ar"/>
              </w:rPr>
            </w:pPr>
          </w:p>
        </w:tc>
      </w:tr>
      <w:tr w14:paraId="57A13078">
        <w:tblPrEx>
          <w:tblCellMar>
            <w:top w:w="0" w:type="dxa"/>
            <w:left w:w="0" w:type="dxa"/>
            <w:bottom w:w="0" w:type="dxa"/>
            <w:right w:w="0" w:type="dxa"/>
          </w:tblCellMar>
        </w:tblPrEx>
        <w:tc>
          <w:tcPr>
            <w:tcW w:w="7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133906">
            <w:pPr>
              <w:widowControl/>
              <w:numPr>
                <w:ilvl w:val="0"/>
                <w:numId w:val="0"/>
              </w:numPr>
              <w:shd w:val="clear" w:fill="FFFFFF" w:themeFill="background1"/>
              <w:ind w:left="0" w:leftChars="0" w:firstLine="0" w:firstLine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lang w:val="en-US" w:eastAsia="zh-CN" w:bidi="ar"/>
              </w:rPr>
              <w:t>4</w:t>
            </w:r>
          </w:p>
        </w:tc>
        <w:tc>
          <w:tcPr>
            <w:tcW w:w="18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F8175">
            <w:pPr>
              <w:widowControl/>
              <w:shd w:val="clear" w:fill="FFFFFF" w:themeFill="background1"/>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按摩池水质监控仪</w:t>
            </w:r>
          </w:p>
        </w:tc>
        <w:tc>
          <w:tcPr>
            <w:tcW w:w="36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963D18">
            <w:pPr>
              <w:widowControl/>
              <w:shd w:val="clear" w:fill="FFFFFF" w:themeFill="background1"/>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四参数监控PH/ORP/余氯/温度，专用，自带清洗砂，校正水质时刻自动清洗探头附着物</w:t>
            </w:r>
          </w:p>
        </w:tc>
        <w:tc>
          <w:tcPr>
            <w:tcW w:w="6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2A885">
            <w:pPr>
              <w:widowControl/>
              <w:shd w:val="clear" w:fill="FFFFFF" w:themeFill="background1"/>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7D840">
            <w:pPr>
              <w:widowControl/>
              <w:shd w:val="clear" w:fill="FFFFFF" w:themeFill="background1"/>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台</w:t>
            </w:r>
          </w:p>
        </w:tc>
        <w:tc>
          <w:tcPr>
            <w:tcW w:w="21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FD23D">
            <w:pPr>
              <w:widowControl/>
              <w:shd w:val="clear" w:fill="FFFFFF" w:themeFill="background1"/>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自动监测,与水泵连锁控制,进行自动控制投药的启停</w:t>
            </w:r>
          </w:p>
        </w:tc>
      </w:tr>
      <w:tr w14:paraId="3E28FB8D">
        <w:tblPrEx>
          <w:tblCellMar>
            <w:top w:w="0" w:type="dxa"/>
            <w:left w:w="0" w:type="dxa"/>
            <w:bottom w:w="0" w:type="dxa"/>
            <w:right w:w="0" w:type="dxa"/>
          </w:tblCellMar>
        </w:tblPrEx>
        <w:tc>
          <w:tcPr>
            <w:tcW w:w="783"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DCD6247">
            <w:pPr>
              <w:widowControl/>
              <w:numPr>
                <w:ilvl w:val="0"/>
                <w:numId w:val="0"/>
              </w:numPr>
              <w:shd w:val="clear" w:fill="FFFFFF" w:themeFill="background1"/>
              <w:ind w:left="0" w:leftChars="0" w:firstLine="0" w:firstLine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lang w:val="en-US" w:eastAsia="zh-CN" w:bidi="ar"/>
              </w:rPr>
              <w:t>5</w:t>
            </w:r>
          </w:p>
        </w:tc>
        <w:tc>
          <w:tcPr>
            <w:tcW w:w="181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B403335">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按摩池PH值调整剂投加装置</w:t>
            </w:r>
          </w:p>
        </w:tc>
        <w:tc>
          <w:tcPr>
            <w:tcW w:w="365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8F943EE">
            <w:pPr>
              <w:widowControl/>
              <w:shd w:val="clear" w:fill="FFFFFF" w:themeFill="background1"/>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Q=8L/hr，H=6bar，配100L投药桶</w:t>
            </w:r>
          </w:p>
        </w:tc>
        <w:tc>
          <w:tcPr>
            <w:tcW w:w="62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DAFECD5">
            <w:pPr>
              <w:widowControl/>
              <w:shd w:val="clear" w:fill="FFFFFF" w:themeFill="background1"/>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11D8C63">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218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59F5FBF">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根据水质监控仪指令启停pH调整剂投加</w:t>
            </w:r>
          </w:p>
        </w:tc>
      </w:tr>
      <w:tr w14:paraId="5C95AFDB">
        <w:tblPrEx>
          <w:tblCellMar>
            <w:top w:w="0" w:type="dxa"/>
            <w:left w:w="0" w:type="dxa"/>
            <w:bottom w:w="0" w:type="dxa"/>
            <w:right w:w="0" w:type="dxa"/>
          </w:tblCellMar>
        </w:tblPrEx>
        <w:tc>
          <w:tcPr>
            <w:tcW w:w="783"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5472FE8">
            <w:pPr>
              <w:widowControl/>
              <w:numPr>
                <w:ilvl w:val="0"/>
                <w:numId w:val="0"/>
              </w:numPr>
              <w:shd w:val="clear" w:fill="FFFFFF" w:themeFill="background1"/>
              <w:ind w:left="0" w:leftChars="0" w:firstLine="0" w:firstLine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lang w:val="en-US" w:eastAsia="zh-CN" w:bidi="ar"/>
              </w:rPr>
              <w:t>6</w:t>
            </w:r>
          </w:p>
        </w:tc>
        <w:tc>
          <w:tcPr>
            <w:tcW w:w="181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705AF65">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按摩池消毒剂投加装置</w:t>
            </w:r>
          </w:p>
        </w:tc>
        <w:tc>
          <w:tcPr>
            <w:tcW w:w="365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026A6E9">
            <w:pPr>
              <w:widowControl/>
              <w:shd w:val="clear" w:fill="FFFFFF" w:themeFill="background1"/>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Q=8L/hr，H=6bar，配100L投药桶（一用一备）</w:t>
            </w:r>
          </w:p>
        </w:tc>
        <w:tc>
          <w:tcPr>
            <w:tcW w:w="62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5DDFDBB">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61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05BB48B">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218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92A0884">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根据水质监控仪指令启停消毒剂投加</w:t>
            </w:r>
          </w:p>
        </w:tc>
      </w:tr>
      <w:tr w14:paraId="7BABB3E2">
        <w:tblPrEx>
          <w:tblCellMar>
            <w:top w:w="0" w:type="dxa"/>
            <w:left w:w="0" w:type="dxa"/>
            <w:bottom w:w="0" w:type="dxa"/>
            <w:right w:w="0" w:type="dxa"/>
          </w:tblCellMar>
        </w:tblPrEx>
        <w:trPr>
          <w:trHeight w:val="475" w:hRule="atLeast"/>
        </w:trPr>
        <w:tc>
          <w:tcPr>
            <w:tcW w:w="783"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58840CB">
            <w:pPr>
              <w:widowControl/>
              <w:numPr>
                <w:ilvl w:val="0"/>
                <w:numId w:val="0"/>
              </w:numPr>
              <w:shd w:val="clear" w:fill="FFFFFF" w:themeFill="background1"/>
              <w:ind w:left="0" w:leftChars="0" w:firstLine="0" w:firstLine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lang w:val="en-US" w:eastAsia="zh-CN" w:bidi="ar"/>
              </w:rPr>
              <w:t>7</w:t>
            </w:r>
          </w:p>
        </w:tc>
        <w:tc>
          <w:tcPr>
            <w:tcW w:w="181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72A9C98">
            <w:pPr>
              <w:widowControl/>
              <w:shd w:val="clear" w:fill="FFFFFF" w:themeFill="background1"/>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紫外线杀菌器</w:t>
            </w:r>
          </w:p>
        </w:tc>
        <w:tc>
          <w:tcPr>
            <w:tcW w:w="365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8C6159D">
            <w:pPr>
              <w:widowControl/>
              <w:shd w:val="clear" w:fill="FFFFFF" w:themeFill="background1"/>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Q≥30m3 /h,N=0.34KW/220V</w:t>
            </w:r>
          </w:p>
        </w:tc>
        <w:tc>
          <w:tcPr>
            <w:tcW w:w="62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237E9D3">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61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6120990">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218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D059ED9">
            <w:pPr>
              <w:widowControl/>
              <w:shd w:val="clear" w:fill="FFFFFF" w:themeFill="background1"/>
              <w:jc w:val="center"/>
              <w:textAlignment w:val="center"/>
              <w:rPr>
                <w:rFonts w:hint="eastAsia" w:ascii="宋体" w:hAnsi="宋体" w:eastAsia="宋体" w:cs="宋体"/>
                <w:color w:val="auto"/>
                <w:sz w:val="24"/>
                <w:szCs w:val="24"/>
                <w:highlight w:val="none"/>
              </w:rPr>
            </w:pPr>
          </w:p>
        </w:tc>
      </w:tr>
      <w:tr w14:paraId="7BAF0230">
        <w:tblPrEx>
          <w:tblCellMar>
            <w:top w:w="0" w:type="dxa"/>
            <w:left w:w="0" w:type="dxa"/>
            <w:bottom w:w="0" w:type="dxa"/>
            <w:right w:w="0" w:type="dxa"/>
          </w:tblCellMar>
        </w:tblPrEx>
        <w:tc>
          <w:tcPr>
            <w:tcW w:w="783"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520E921">
            <w:pPr>
              <w:widowControl/>
              <w:numPr>
                <w:ilvl w:val="0"/>
                <w:numId w:val="0"/>
              </w:numPr>
              <w:shd w:val="clear" w:fill="FFFFFF" w:themeFill="background1"/>
              <w:ind w:left="0" w:leftChars="0" w:firstLine="0" w:firstLine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lang w:val="en-US" w:eastAsia="zh-CN" w:bidi="ar"/>
              </w:rPr>
              <w:t>8</w:t>
            </w:r>
          </w:p>
        </w:tc>
        <w:tc>
          <w:tcPr>
            <w:tcW w:w="181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A9C4C90">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按摩水水板式换热器</w:t>
            </w:r>
          </w:p>
        </w:tc>
        <w:tc>
          <w:tcPr>
            <w:tcW w:w="365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9320548">
            <w:pPr>
              <w:shd w:val="clear" w:fill="FFFFFF" w:themeFill="background1"/>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初次加热2台，保温1台，单台换热量≥80KW,</w:t>
            </w:r>
          </w:p>
          <w:p w14:paraId="4F01743F">
            <w:pPr>
              <w:shd w:val="clear" w:fill="FFFFFF" w:themeFill="background1"/>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初次加热时间12h，起始温度10℃，目标水位38±1℃，板片材质SUS316L。</w:t>
            </w:r>
          </w:p>
        </w:tc>
        <w:tc>
          <w:tcPr>
            <w:tcW w:w="62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5D56D9B">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1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7DA892E">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8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5CD9A8E">
            <w:pPr>
              <w:widowControl/>
              <w:shd w:val="clear" w:fill="FFFFFF" w:themeFill="background1"/>
              <w:jc w:val="center"/>
              <w:textAlignment w:val="center"/>
              <w:rPr>
                <w:rFonts w:hint="eastAsia" w:ascii="宋体" w:hAnsi="宋体" w:eastAsia="宋体" w:cs="宋体"/>
                <w:color w:val="auto"/>
                <w:sz w:val="24"/>
                <w:szCs w:val="24"/>
                <w:highlight w:val="none"/>
              </w:rPr>
            </w:pPr>
          </w:p>
        </w:tc>
      </w:tr>
      <w:tr w14:paraId="41B60C09">
        <w:tblPrEx>
          <w:tblCellMar>
            <w:top w:w="0" w:type="dxa"/>
            <w:left w:w="0" w:type="dxa"/>
            <w:bottom w:w="0" w:type="dxa"/>
            <w:right w:w="0" w:type="dxa"/>
          </w:tblCellMar>
        </w:tblPrEx>
        <w:tc>
          <w:tcPr>
            <w:tcW w:w="783"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3F3EC05">
            <w:pPr>
              <w:widowControl/>
              <w:numPr>
                <w:ilvl w:val="0"/>
                <w:numId w:val="0"/>
              </w:numPr>
              <w:shd w:val="clear" w:fill="FFFFFF" w:themeFill="background1"/>
              <w:ind w:left="0" w:leftChars="0" w:firstLine="0" w:firstLine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lang w:val="en-US" w:eastAsia="zh-CN" w:bidi="ar"/>
              </w:rPr>
              <w:t>9</w:t>
            </w:r>
          </w:p>
        </w:tc>
        <w:tc>
          <w:tcPr>
            <w:tcW w:w="181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FB2239B">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专用真空破坏器</w:t>
            </w:r>
          </w:p>
        </w:tc>
        <w:tc>
          <w:tcPr>
            <w:tcW w:w="365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00CB618">
            <w:pPr>
              <w:shd w:val="clear" w:fill="FFFFFF" w:themeFill="background1"/>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含单向止回、通风屏，锁定释放机构，浪涌抑制器，旋转螺钉及真空计</w:t>
            </w:r>
          </w:p>
        </w:tc>
        <w:tc>
          <w:tcPr>
            <w:tcW w:w="62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2B286D0">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1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5EAE06F">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218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EB0DA5D">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安装在主吸水管上</w:t>
            </w:r>
          </w:p>
        </w:tc>
      </w:tr>
    </w:tbl>
    <w:p w14:paraId="6DBC5A35">
      <w:pPr>
        <w:shd w:val="clear" w:fill="FFFFFF" w:themeFill="background1"/>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客房泡池设备参数</w:t>
      </w:r>
    </w:p>
    <w:tbl>
      <w:tblPr>
        <w:tblStyle w:val="25"/>
        <w:tblW w:w="5000" w:type="pct"/>
        <w:tblInd w:w="0" w:type="dxa"/>
        <w:tblLayout w:type="fixed"/>
        <w:tblCellMar>
          <w:top w:w="0" w:type="dxa"/>
          <w:left w:w="57" w:type="dxa"/>
          <w:bottom w:w="0" w:type="dxa"/>
          <w:right w:w="57" w:type="dxa"/>
        </w:tblCellMar>
      </w:tblPr>
      <w:tblGrid>
        <w:gridCol w:w="792"/>
        <w:gridCol w:w="1831"/>
        <w:gridCol w:w="3692"/>
        <w:gridCol w:w="751"/>
        <w:gridCol w:w="752"/>
        <w:gridCol w:w="1958"/>
      </w:tblGrid>
      <w:tr w14:paraId="66317DAA">
        <w:tblPrEx>
          <w:tblCellMar>
            <w:top w:w="0" w:type="dxa"/>
            <w:left w:w="57" w:type="dxa"/>
            <w:bottom w:w="0" w:type="dxa"/>
            <w:right w:w="57" w:type="dxa"/>
          </w:tblCellMar>
        </w:tblPrEx>
        <w:trPr>
          <w:cantSplit/>
          <w:trHeight w:val="512" w:hRule="atLeast"/>
          <w:tblHeader/>
        </w:trPr>
        <w:tc>
          <w:tcPr>
            <w:tcW w:w="9776" w:type="dxa"/>
            <w:gridSpan w:val="6"/>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DDD8483">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主要设备表</w:t>
            </w:r>
          </w:p>
        </w:tc>
      </w:tr>
      <w:tr w14:paraId="03185AFA">
        <w:tblPrEx>
          <w:tblCellMar>
            <w:top w:w="0" w:type="dxa"/>
            <w:left w:w="57" w:type="dxa"/>
            <w:bottom w:w="0" w:type="dxa"/>
            <w:right w:w="57" w:type="dxa"/>
          </w:tblCellMar>
        </w:tblPrEx>
        <w:trPr>
          <w:trHeight w:val="90" w:hRule="atLeast"/>
        </w:trPr>
        <w:tc>
          <w:tcPr>
            <w:tcW w:w="7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EC824">
            <w:pPr>
              <w:widowControl/>
              <w:shd w:val="clear" w:fill="FFFFFF" w:themeFill="background1"/>
              <w:adjustRightInd w:val="0"/>
              <w:snapToGrid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序号</w:t>
            </w:r>
          </w:p>
        </w:tc>
        <w:tc>
          <w:tcPr>
            <w:tcW w:w="18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40B757">
            <w:pPr>
              <w:widowControl/>
              <w:shd w:val="clear" w:fill="FFFFFF" w:themeFill="background1"/>
              <w:adjustRightInd w:val="0"/>
              <w:snapToGrid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名   称</w:t>
            </w:r>
          </w:p>
        </w:tc>
        <w:tc>
          <w:tcPr>
            <w:tcW w:w="36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C6492A">
            <w:pPr>
              <w:widowControl/>
              <w:shd w:val="clear" w:fill="FFFFFF" w:themeFill="background1"/>
              <w:adjustRightInd w:val="0"/>
              <w:snapToGrid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参       数</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1B1D0">
            <w:pPr>
              <w:widowControl/>
              <w:shd w:val="clear" w:fill="FFFFFF" w:themeFill="background1"/>
              <w:adjustRightInd w:val="0"/>
              <w:snapToGrid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数量</w:t>
            </w:r>
          </w:p>
        </w:tc>
        <w:tc>
          <w:tcPr>
            <w:tcW w:w="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3F656F">
            <w:pPr>
              <w:widowControl/>
              <w:shd w:val="clear" w:fill="FFFFFF" w:themeFill="background1"/>
              <w:adjustRightInd w:val="0"/>
              <w:snapToGrid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单位</w:t>
            </w:r>
          </w:p>
        </w:tc>
        <w:tc>
          <w:tcPr>
            <w:tcW w:w="19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232A3D">
            <w:pPr>
              <w:widowControl/>
              <w:shd w:val="clear" w:fill="FFFFFF" w:themeFill="background1"/>
              <w:adjustRightInd w:val="0"/>
              <w:snapToGrid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备   注</w:t>
            </w:r>
          </w:p>
        </w:tc>
      </w:tr>
      <w:tr w14:paraId="12AFA02A">
        <w:tblPrEx>
          <w:tblCellMar>
            <w:top w:w="0" w:type="dxa"/>
            <w:left w:w="57" w:type="dxa"/>
            <w:bottom w:w="0" w:type="dxa"/>
            <w:right w:w="57" w:type="dxa"/>
          </w:tblCellMar>
        </w:tblPrEx>
        <w:tc>
          <w:tcPr>
            <w:tcW w:w="7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6E330">
            <w:pPr>
              <w:widowControl/>
              <w:numPr>
                <w:ilvl w:val="0"/>
                <w:numId w:val="0"/>
              </w:numPr>
              <w:shd w:val="clear" w:fill="FFFFFF" w:themeFill="background1"/>
              <w:ind w:left="0" w:leftChars="0" w:firstLine="0" w:firstLine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lang w:val="en-US" w:eastAsia="zh-CN" w:bidi="ar"/>
              </w:rPr>
              <w:t>10</w:t>
            </w:r>
          </w:p>
        </w:tc>
        <w:tc>
          <w:tcPr>
            <w:tcW w:w="18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269562">
            <w:pPr>
              <w:widowControl/>
              <w:shd w:val="clear" w:fill="FFFFFF" w:themeFill="background1"/>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泡池变频循环水泵</w:t>
            </w:r>
          </w:p>
        </w:tc>
        <w:tc>
          <w:tcPr>
            <w:tcW w:w="36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3DC57E">
            <w:pPr>
              <w:widowControl/>
              <w:shd w:val="clear" w:fill="FFFFFF" w:themeFill="background1"/>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Q≥6m³/hr,H=20mH ,N=1.5kW/380V，变频</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CE3409">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F1F21">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19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9F102">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动力变频</w:t>
            </w:r>
          </w:p>
        </w:tc>
      </w:tr>
      <w:tr w14:paraId="2A3C1D0D">
        <w:tblPrEx>
          <w:tblCellMar>
            <w:top w:w="0" w:type="dxa"/>
            <w:left w:w="57" w:type="dxa"/>
            <w:bottom w:w="0" w:type="dxa"/>
            <w:right w:w="57" w:type="dxa"/>
          </w:tblCellMar>
        </w:tblPrEx>
        <w:tc>
          <w:tcPr>
            <w:tcW w:w="7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014D7">
            <w:pPr>
              <w:widowControl/>
              <w:numPr>
                <w:ilvl w:val="0"/>
                <w:numId w:val="0"/>
              </w:numPr>
              <w:shd w:val="clear" w:fill="FFFFFF" w:themeFill="background1"/>
              <w:ind w:left="0" w:leftChars="0" w:firstLine="0" w:firstLine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lang w:val="en-US" w:eastAsia="zh-CN" w:bidi="ar"/>
              </w:rPr>
              <w:t>11</w:t>
            </w:r>
          </w:p>
        </w:tc>
        <w:tc>
          <w:tcPr>
            <w:tcW w:w="18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4C7509">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泡池滤芯过滤器</w:t>
            </w:r>
          </w:p>
        </w:tc>
        <w:tc>
          <w:tcPr>
            <w:tcW w:w="36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2E110">
            <w:pPr>
              <w:widowControl/>
              <w:shd w:val="clear" w:fill="FFFFFF" w:themeFill="background1"/>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Q≥6m³ /h，过滤精度10微米，壳体由强化玻璃纤维聚化合物注塑成型，最大工作压力2.5kg/cm</w:t>
            </w:r>
            <w:r>
              <w:rPr>
                <w:rFonts w:hint="eastAsia" w:ascii="宋体" w:hAnsi="宋体" w:eastAsia="宋体" w:cs="宋体"/>
                <w:color w:val="auto"/>
                <w:kern w:val="0"/>
                <w:sz w:val="24"/>
                <w:szCs w:val="24"/>
                <w:highlight w:val="none"/>
                <w:vertAlign w:val="superscript"/>
                <w:lang w:bidi="ar"/>
              </w:rPr>
              <w:t>2</w:t>
            </w:r>
            <w:r>
              <w:rPr>
                <w:rFonts w:hint="eastAsia" w:ascii="宋体" w:hAnsi="宋体" w:eastAsia="宋体" w:cs="宋体"/>
                <w:color w:val="auto"/>
                <w:kern w:val="0"/>
                <w:sz w:val="24"/>
                <w:szCs w:val="24"/>
                <w:highlight w:val="none"/>
                <w:lang w:bidi="ar"/>
              </w:rPr>
              <w:t>，过滤材质强化聚酯纤</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F11A53">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8BB134">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19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19E392">
            <w:pPr>
              <w:widowControl/>
              <w:shd w:val="clear" w:fill="FFFFFF" w:themeFill="background1"/>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过滤</w:t>
            </w:r>
          </w:p>
        </w:tc>
      </w:tr>
      <w:tr w14:paraId="5ABEEB3D">
        <w:tblPrEx>
          <w:tblCellMar>
            <w:top w:w="0" w:type="dxa"/>
            <w:left w:w="57" w:type="dxa"/>
            <w:bottom w:w="0" w:type="dxa"/>
            <w:right w:w="57" w:type="dxa"/>
          </w:tblCellMar>
        </w:tblPrEx>
        <w:tc>
          <w:tcPr>
            <w:tcW w:w="7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33A5C">
            <w:pPr>
              <w:widowControl/>
              <w:numPr>
                <w:ilvl w:val="0"/>
                <w:numId w:val="0"/>
              </w:numPr>
              <w:shd w:val="clear" w:fill="FFFFFF" w:themeFill="background1"/>
              <w:ind w:left="0" w:leftChars="0" w:firstLine="0" w:firstLine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lang w:val="en-US" w:eastAsia="zh-CN" w:bidi="ar"/>
              </w:rPr>
              <w:t>12</w:t>
            </w:r>
          </w:p>
        </w:tc>
        <w:tc>
          <w:tcPr>
            <w:tcW w:w="18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52D5EE">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紫外线杀菌器</w:t>
            </w:r>
          </w:p>
        </w:tc>
        <w:tc>
          <w:tcPr>
            <w:tcW w:w="36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E5E4A0">
            <w:pPr>
              <w:widowControl/>
              <w:shd w:val="clear" w:fill="FFFFFF" w:themeFill="background1"/>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N=0.05KW/220V</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80ADCE">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98B651">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19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970C48">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杀菌</w:t>
            </w:r>
          </w:p>
        </w:tc>
      </w:tr>
      <w:tr w14:paraId="5B24C29F">
        <w:tblPrEx>
          <w:tblCellMar>
            <w:top w:w="0" w:type="dxa"/>
            <w:left w:w="57" w:type="dxa"/>
            <w:bottom w:w="0" w:type="dxa"/>
            <w:right w:w="57" w:type="dxa"/>
          </w:tblCellMar>
        </w:tblPrEx>
        <w:tc>
          <w:tcPr>
            <w:tcW w:w="7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36F21">
            <w:pPr>
              <w:widowControl/>
              <w:numPr>
                <w:ilvl w:val="0"/>
                <w:numId w:val="0"/>
              </w:numPr>
              <w:shd w:val="clear" w:fill="FFFFFF" w:themeFill="background1"/>
              <w:ind w:left="0" w:leftChars="0" w:firstLine="0" w:firstLine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lang w:val="en-US" w:eastAsia="zh-CN" w:bidi="ar"/>
              </w:rPr>
              <w:t>13</w:t>
            </w:r>
          </w:p>
        </w:tc>
        <w:tc>
          <w:tcPr>
            <w:tcW w:w="18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B3B60">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钛管式电加热器</w:t>
            </w:r>
          </w:p>
        </w:tc>
        <w:tc>
          <w:tcPr>
            <w:tcW w:w="36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81AB6A">
            <w:pPr>
              <w:widowControl/>
              <w:shd w:val="clear" w:fill="FFFFFF" w:themeFill="background1"/>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最大功率3.0KW/380V</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99DDAB">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D9D300">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台</w:t>
            </w:r>
          </w:p>
        </w:tc>
        <w:tc>
          <w:tcPr>
            <w:tcW w:w="19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804D5D">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加热</w:t>
            </w:r>
          </w:p>
        </w:tc>
      </w:tr>
      <w:tr w14:paraId="2A8CFED5">
        <w:tblPrEx>
          <w:tblCellMar>
            <w:top w:w="0" w:type="dxa"/>
            <w:left w:w="57" w:type="dxa"/>
            <w:bottom w:w="0" w:type="dxa"/>
            <w:right w:w="57" w:type="dxa"/>
          </w:tblCellMar>
        </w:tblPrEx>
        <w:tc>
          <w:tcPr>
            <w:tcW w:w="7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B45CC">
            <w:pPr>
              <w:widowControl/>
              <w:numPr>
                <w:ilvl w:val="0"/>
                <w:numId w:val="0"/>
              </w:numPr>
              <w:shd w:val="clear" w:fill="FFFFFF" w:themeFill="background1"/>
              <w:ind w:left="0" w:leftChars="0" w:firstLine="0" w:firstLineChars="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lang w:val="en-US" w:eastAsia="zh-CN" w:bidi="ar"/>
              </w:rPr>
              <w:t>14</w:t>
            </w:r>
          </w:p>
        </w:tc>
        <w:tc>
          <w:tcPr>
            <w:tcW w:w="18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C17C7F">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定制外壳</w:t>
            </w:r>
          </w:p>
          <w:p w14:paraId="3FD208BA">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（户外设备罩）</w:t>
            </w:r>
          </w:p>
        </w:tc>
        <w:tc>
          <w:tcPr>
            <w:tcW w:w="36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A59352">
            <w:pPr>
              <w:shd w:val="clear" w:fill="FFFFFF" w:themeFill="background1"/>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0.7m*0.7m*0.7m（制作要求详见技术要求）</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1A322">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AC0A06">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座</w:t>
            </w:r>
          </w:p>
        </w:tc>
        <w:tc>
          <w:tcPr>
            <w:tcW w:w="19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094446">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保护</w:t>
            </w:r>
          </w:p>
        </w:tc>
      </w:tr>
      <w:tr w14:paraId="67F31B33">
        <w:tblPrEx>
          <w:tblCellMar>
            <w:top w:w="0" w:type="dxa"/>
            <w:left w:w="57" w:type="dxa"/>
            <w:bottom w:w="0" w:type="dxa"/>
            <w:right w:w="57" w:type="dxa"/>
          </w:tblCellMar>
        </w:tblPrEx>
        <w:tc>
          <w:tcPr>
            <w:tcW w:w="79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E18FD34">
            <w:pPr>
              <w:widowControl/>
              <w:numPr>
                <w:ilvl w:val="0"/>
                <w:numId w:val="0"/>
              </w:numPr>
              <w:shd w:val="clear" w:fill="FFFFFF" w:themeFill="background1"/>
              <w:ind w:lef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15</w:t>
            </w:r>
          </w:p>
        </w:tc>
        <w:tc>
          <w:tcPr>
            <w:tcW w:w="18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FB6AD34">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专用真空破坏器</w:t>
            </w:r>
          </w:p>
        </w:tc>
        <w:tc>
          <w:tcPr>
            <w:tcW w:w="369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E1F5A5D">
            <w:pPr>
              <w:shd w:val="clear" w:fill="FFFFFF" w:themeFill="background1"/>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含单向止回、通风屏，锁定释放机构，浪涌抑制器，旋转螺钉及真空计</w:t>
            </w:r>
          </w:p>
        </w:tc>
        <w:tc>
          <w:tcPr>
            <w:tcW w:w="75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3DA7DA5">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75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013174F">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195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771E88B">
            <w:pPr>
              <w:widowControl/>
              <w:shd w:val="clear" w:fill="FFFFFF" w:themeFill="background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安装在主吸水管上</w:t>
            </w:r>
          </w:p>
        </w:tc>
      </w:tr>
    </w:tbl>
    <w:p w14:paraId="3D00FEF0">
      <w:pPr>
        <w:pStyle w:val="34"/>
        <w:numPr>
          <w:ilvl w:val="2"/>
          <w:numId w:val="0"/>
        </w:numPr>
        <w:shd w:val="clear" w:fill="FFFFFF" w:themeFill="background1"/>
        <w:spacing w:line="360" w:lineRule="auto"/>
        <w:ind w:left="420" w:leftChars="0" w:firstLine="0" w:firstLineChars="0"/>
        <w:jc w:val="left"/>
        <w:outlineLvl w:val="1"/>
        <w:rPr>
          <w:rFonts w:hint="eastAsia" w:ascii="宋体" w:hAnsi="宋体" w:eastAsia="宋体" w:cs="宋体"/>
          <w:b/>
          <w:color w:val="auto"/>
          <w:sz w:val="24"/>
          <w:szCs w:val="24"/>
          <w:highlight w:val="none"/>
        </w:rPr>
      </w:pPr>
      <w:bookmarkStart w:id="14" w:name="_Toc22056"/>
      <w:bookmarkStart w:id="15" w:name="_Toc2924"/>
      <w:bookmarkStart w:id="16" w:name="_Toc19352"/>
      <w:bookmarkStart w:id="17" w:name="_Toc6479"/>
      <w:r>
        <w:rPr>
          <w:rFonts w:hint="eastAsia" w:eastAsia="宋体" w:cs="宋体" w:asciiTheme="minorEastAsia" w:hAnsiTheme="minorEastAsia"/>
          <w:b/>
          <w:color w:val="auto"/>
          <w:kern w:val="2"/>
          <w:sz w:val="24"/>
          <w:szCs w:val="24"/>
          <w:lang w:val="en-US" w:eastAsia="zh-CN" w:bidi="ar-SA"/>
        </w:rPr>
        <w:t>1.1.2.</w:t>
      </w:r>
      <w:r>
        <w:rPr>
          <w:rFonts w:hint="eastAsia" w:ascii="宋体" w:hAnsi="宋体" w:eastAsia="宋体" w:cs="宋体"/>
          <w:b/>
          <w:color w:val="auto"/>
          <w:sz w:val="24"/>
          <w:szCs w:val="24"/>
          <w:highlight w:val="none"/>
        </w:rPr>
        <w:t>水质标准</w:t>
      </w:r>
      <w:bookmarkEnd w:id="14"/>
      <w:bookmarkEnd w:id="15"/>
      <w:bookmarkEnd w:id="16"/>
      <w:bookmarkEnd w:id="17"/>
    </w:p>
    <w:p w14:paraId="6A411108">
      <w:pPr>
        <w:shd w:val="clear" w:fill="FFFFFF" w:themeFill="background1"/>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要求经处理后的池水，其净化质量需达到“人工游泳池水质卫生标准”和《游泳池给水排水设计规范》的各项要求，其中包括：</w:t>
      </w:r>
    </w:p>
    <w:p w14:paraId="5D37438F">
      <w:pPr>
        <w:spacing w:line="360" w:lineRule="auto"/>
        <w:ind w:left="36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pH值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7.2 -- 7.8</w:t>
      </w:r>
    </w:p>
    <w:p w14:paraId="2C27B51E">
      <w:pPr>
        <w:spacing w:line="360" w:lineRule="auto"/>
        <w:ind w:left="36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浑浊度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≤0.5NTU</w:t>
      </w:r>
    </w:p>
    <w:p w14:paraId="0A5C1685">
      <w:pPr>
        <w:spacing w:line="360" w:lineRule="auto"/>
        <w:ind w:left="36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大肠埃希氏杆菌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100ml池水中不可检出</w:t>
      </w:r>
    </w:p>
    <w:p w14:paraId="09D89EE6">
      <w:pPr>
        <w:spacing w:line="360" w:lineRule="auto"/>
        <w:ind w:left="36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菌落总数（36±1℃，48h）</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≤100CFU/mL</w:t>
      </w:r>
    </w:p>
    <w:p w14:paraId="565481F8">
      <w:pPr>
        <w:spacing w:line="360" w:lineRule="auto"/>
        <w:ind w:left="36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游离余氯</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0.3—1.0毫克/升</w:t>
      </w:r>
    </w:p>
    <w:p w14:paraId="030AEB94">
      <w:pPr>
        <w:spacing w:line="360" w:lineRule="auto"/>
        <w:ind w:left="36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化合性余氯</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≤0.4毫克/升</w:t>
      </w:r>
    </w:p>
    <w:p w14:paraId="54FC3021">
      <w:pPr>
        <w:spacing w:line="360" w:lineRule="auto"/>
        <w:ind w:left="36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三卤甲烷（THM）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≤20μg/L</w:t>
      </w:r>
    </w:p>
    <w:p w14:paraId="69CF5800">
      <w:pPr>
        <w:spacing w:line="360" w:lineRule="auto"/>
        <w:ind w:left="36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清晰度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可以看清楚池底</w:t>
      </w:r>
    </w:p>
    <w:p w14:paraId="526FEC10">
      <w:pPr>
        <w:pStyle w:val="34"/>
        <w:numPr>
          <w:ilvl w:val="2"/>
          <w:numId w:val="0"/>
        </w:numPr>
        <w:spacing w:line="360" w:lineRule="auto"/>
        <w:ind w:left="420" w:leftChars="0" w:firstLine="0" w:firstLineChars="0"/>
        <w:jc w:val="left"/>
        <w:outlineLvl w:val="1"/>
        <w:rPr>
          <w:rFonts w:hint="eastAsia" w:ascii="宋体" w:hAnsi="宋体" w:eastAsia="宋体" w:cs="宋体"/>
          <w:b/>
          <w:color w:val="auto"/>
          <w:sz w:val="24"/>
          <w:szCs w:val="24"/>
          <w:highlight w:val="none"/>
        </w:rPr>
      </w:pPr>
      <w:bookmarkStart w:id="18" w:name="_Toc3515"/>
      <w:bookmarkStart w:id="19" w:name="_Toc14000"/>
      <w:bookmarkStart w:id="20" w:name="_Toc8315"/>
      <w:bookmarkStart w:id="21" w:name="_Toc1555"/>
      <w:r>
        <w:rPr>
          <w:rFonts w:hint="eastAsia" w:eastAsia="宋体" w:cs="宋体" w:asciiTheme="minorEastAsia" w:hAnsiTheme="minorEastAsia"/>
          <w:b/>
          <w:color w:val="auto"/>
          <w:kern w:val="2"/>
          <w:sz w:val="24"/>
          <w:szCs w:val="24"/>
          <w:lang w:val="en-US" w:eastAsia="zh-CN" w:bidi="ar-SA"/>
        </w:rPr>
        <w:t>1.1.3.</w:t>
      </w:r>
      <w:r>
        <w:rPr>
          <w:rFonts w:hint="eastAsia" w:ascii="宋体" w:hAnsi="宋体" w:eastAsia="宋体" w:cs="宋体"/>
          <w:b/>
          <w:color w:val="auto"/>
          <w:sz w:val="24"/>
          <w:szCs w:val="24"/>
          <w:highlight w:val="none"/>
        </w:rPr>
        <w:t>设计依据</w:t>
      </w:r>
      <w:bookmarkEnd w:id="18"/>
      <w:bookmarkEnd w:id="19"/>
      <w:bookmarkEnd w:id="20"/>
      <w:bookmarkEnd w:id="21"/>
    </w:p>
    <w:p w14:paraId="2AC00984">
      <w:pPr>
        <w:numPr>
          <w:ilvl w:val="0"/>
          <w:numId w:val="0"/>
        </w:numPr>
        <w:tabs>
          <w:tab w:val="left" w:pos="720"/>
        </w:tabs>
        <w:spacing w:line="360" w:lineRule="auto"/>
        <w:ind w:left="36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招标文件及相关图纸资料</w:t>
      </w:r>
    </w:p>
    <w:p w14:paraId="2439CF6B">
      <w:pPr>
        <w:numPr>
          <w:ilvl w:val="0"/>
          <w:numId w:val="0"/>
        </w:numPr>
        <w:tabs>
          <w:tab w:val="left" w:pos="720"/>
        </w:tabs>
        <w:spacing w:line="360" w:lineRule="auto"/>
        <w:ind w:left="36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设计规范：</w:t>
      </w:r>
    </w:p>
    <w:tbl>
      <w:tblPr>
        <w:tblStyle w:val="25"/>
        <w:tblW w:w="0" w:type="auto"/>
        <w:tblInd w:w="675" w:type="dxa"/>
        <w:tblLayout w:type="fixed"/>
        <w:tblCellMar>
          <w:top w:w="0" w:type="dxa"/>
          <w:left w:w="108" w:type="dxa"/>
          <w:bottom w:w="0" w:type="dxa"/>
          <w:right w:w="108" w:type="dxa"/>
        </w:tblCellMar>
      </w:tblPr>
      <w:tblGrid>
        <w:gridCol w:w="6253"/>
        <w:gridCol w:w="2480"/>
      </w:tblGrid>
      <w:tr w14:paraId="7FEC964C">
        <w:tblPrEx>
          <w:tblCellMar>
            <w:top w:w="0" w:type="dxa"/>
            <w:left w:w="108" w:type="dxa"/>
            <w:bottom w:w="0" w:type="dxa"/>
            <w:right w:w="108" w:type="dxa"/>
          </w:tblCellMar>
        </w:tblPrEx>
        <w:tc>
          <w:tcPr>
            <w:tcW w:w="6253" w:type="dxa"/>
            <w:shd w:val="clear" w:color="auto" w:fill="auto"/>
            <w:vAlign w:val="center"/>
          </w:tcPr>
          <w:p w14:paraId="58D6F3C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《游泳池给水排水工程技术规程》</w:t>
            </w:r>
          </w:p>
        </w:tc>
        <w:tc>
          <w:tcPr>
            <w:tcW w:w="2480" w:type="dxa"/>
            <w:shd w:val="clear" w:color="auto" w:fill="auto"/>
            <w:vAlign w:val="center"/>
          </w:tcPr>
          <w:p w14:paraId="4952936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CJJ122-2017</w:t>
            </w:r>
          </w:p>
        </w:tc>
      </w:tr>
      <w:tr w14:paraId="6B2F31BF">
        <w:tblPrEx>
          <w:tblCellMar>
            <w:top w:w="0" w:type="dxa"/>
            <w:left w:w="108" w:type="dxa"/>
            <w:bottom w:w="0" w:type="dxa"/>
            <w:right w:w="108" w:type="dxa"/>
          </w:tblCellMar>
        </w:tblPrEx>
        <w:tc>
          <w:tcPr>
            <w:tcW w:w="6253" w:type="dxa"/>
            <w:shd w:val="clear" w:color="auto" w:fill="auto"/>
            <w:vAlign w:val="center"/>
          </w:tcPr>
          <w:p w14:paraId="324EEC4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《建筑给水排水设计规范》</w:t>
            </w:r>
          </w:p>
        </w:tc>
        <w:tc>
          <w:tcPr>
            <w:tcW w:w="2480" w:type="dxa"/>
            <w:shd w:val="clear" w:color="auto" w:fill="auto"/>
            <w:vAlign w:val="center"/>
          </w:tcPr>
          <w:p w14:paraId="18CC283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GB50015-2019</w:t>
            </w:r>
          </w:p>
        </w:tc>
      </w:tr>
      <w:tr w14:paraId="482810B5">
        <w:tblPrEx>
          <w:tblCellMar>
            <w:top w:w="0" w:type="dxa"/>
            <w:left w:w="108" w:type="dxa"/>
            <w:bottom w:w="0" w:type="dxa"/>
            <w:right w:w="108" w:type="dxa"/>
          </w:tblCellMar>
        </w:tblPrEx>
        <w:tc>
          <w:tcPr>
            <w:tcW w:w="6253" w:type="dxa"/>
            <w:shd w:val="clear" w:color="auto" w:fill="auto"/>
            <w:vAlign w:val="center"/>
          </w:tcPr>
          <w:p w14:paraId="0C946AF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《建筑设计防火规范》</w:t>
            </w:r>
          </w:p>
        </w:tc>
        <w:tc>
          <w:tcPr>
            <w:tcW w:w="2480" w:type="dxa"/>
            <w:shd w:val="clear" w:color="auto" w:fill="auto"/>
            <w:vAlign w:val="center"/>
          </w:tcPr>
          <w:p w14:paraId="34D7717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GB50016-2014</w:t>
            </w:r>
          </w:p>
        </w:tc>
      </w:tr>
      <w:tr w14:paraId="75FC7839">
        <w:tblPrEx>
          <w:tblCellMar>
            <w:top w:w="0" w:type="dxa"/>
            <w:left w:w="108" w:type="dxa"/>
            <w:bottom w:w="0" w:type="dxa"/>
            <w:right w:w="108" w:type="dxa"/>
          </w:tblCellMar>
        </w:tblPrEx>
        <w:tc>
          <w:tcPr>
            <w:tcW w:w="6253" w:type="dxa"/>
            <w:shd w:val="clear" w:color="auto" w:fill="auto"/>
            <w:vAlign w:val="center"/>
          </w:tcPr>
          <w:p w14:paraId="4415D7F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《公共场所卫生指标及限值要求》</w:t>
            </w:r>
          </w:p>
        </w:tc>
        <w:tc>
          <w:tcPr>
            <w:tcW w:w="2480" w:type="dxa"/>
            <w:shd w:val="clear" w:color="auto" w:fill="auto"/>
            <w:vAlign w:val="center"/>
          </w:tcPr>
          <w:p w14:paraId="150B851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37488-2019</w:t>
            </w:r>
          </w:p>
        </w:tc>
      </w:tr>
      <w:tr w14:paraId="4F9564D6">
        <w:tblPrEx>
          <w:tblCellMar>
            <w:top w:w="0" w:type="dxa"/>
            <w:left w:w="108" w:type="dxa"/>
            <w:bottom w:w="0" w:type="dxa"/>
            <w:right w:w="108" w:type="dxa"/>
          </w:tblCellMar>
        </w:tblPrEx>
        <w:tc>
          <w:tcPr>
            <w:tcW w:w="6253" w:type="dxa"/>
            <w:shd w:val="clear" w:color="auto" w:fill="auto"/>
            <w:vAlign w:val="center"/>
          </w:tcPr>
          <w:p w14:paraId="719D127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《体育建筑设计规范》</w:t>
            </w:r>
          </w:p>
        </w:tc>
        <w:tc>
          <w:tcPr>
            <w:tcW w:w="2480" w:type="dxa"/>
            <w:shd w:val="clear" w:color="auto" w:fill="auto"/>
            <w:vAlign w:val="center"/>
          </w:tcPr>
          <w:p w14:paraId="31DB92A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JGJ31-2003</w:t>
            </w:r>
          </w:p>
        </w:tc>
      </w:tr>
      <w:tr w14:paraId="68A77667">
        <w:tblPrEx>
          <w:tblCellMar>
            <w:top w:w="0" w:type="dxa"/>
            <w:left w:w="108" w:type="dxa"/>
            <w:bottom w:w="0" w:type="dxa"/>
            <w:right w:w="108" w:type="dxa"/>
          </w:tblCellMar>
        </w:tblPrEx>
        <w:tc>
          <w:tcPr>
            <w:tcW w:w="6253" w:type="dxa"/>
            <w:shd w:val="clear" w:color="auto" w:fill="auto"/>
            <w:vAlign w:val="center"/>
          </w:tcPr>
          <w:p w14:paraId="314A359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《室外给水设计规范》</w:t>
            </w:r>
          </w:p>
        </w:tc>
        <w:tc>
          <w:tcPr>
            <w:tcW w:w="2480" w:type="dxa"/>
            <w:shd w:val="clear" w:color="auto" w:fill="auto"/>
            <w:vAlign w:val="center"/>
          </w:tcPr>
          <w:p w14:paraId="06F7BA0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GB50013-2018</w:t>
            </w:r>
          </w:p>
        </w:tc>
      </w:tr>
      <w:tr w14:paraId="74EF7B89">
        <w:tblPrEx>
          <w:tblCellMar>
            <w:top w:w="0" w:type="dxa"/>
            <w:left w:w="108" w:type="dxa"/>
            <w:bottom w:w="0" w:type="dxa"/>
            <w:right w:w="108" w:type="dxa"/>
          </w:tblCellMar>
        </w:tblPrEx>
        <w:tc>
          <w:tcPr>
            <w:tcW w:w="6253" w:type="dxa"/>
            <w:shd w:val="clear" w:color="auto" w:fill="auto"/>
            <w:vAlign w:val="center"/>
          </w:tcPr>
          <w:p w14:paraId="7B76368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《游泳池及水疗池用循环泵》</w:t>
            </w:r>
          </w:p>
        </w:tc>
        <w:tc>
          <w:tcPr>
            <w:tcW w:w="2480" w:type="dxa"/>
            <w:shd w:val="clear" w:color="auto" w:fill="auto"/>
            <w:vAlign w:val="center"/>
          </w:tcPr>
          <w:p w14:paraId="0117464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CJ/T 534-2018</w:t>
            </w:r>
          </w:p>
        </w:tc>
      </w:tr>
      <w:tr w14:paraId="193F6283">
        <w:tblPrEx>
          <w:tblCellMar>
            <w:top w:w="0" w:type="dxa"/>
            <w:left w:w="108" w:type="dxa"/>
            <w:bottom w:w="0" w:type="dxa"/>
            <w:right w:w="108" w:type="dxa"/>
          </w:tblCellMar>
        </w:tblPrEx>
        <w:tc>
          <w:tcPr>
            <w:tcW w:w="6253" w:type="dxa"/>
            <w:shd w:val="clear" w:color="auto" w:fill="auto"/>
            <w:vAlign w:val="center"/>
          </w:tcPr>
          <w:p w14:paraId="2263390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《化工自控设计规定》</w:t>
            </w:r>
          </w:p>
        </w:tc>
        <w:tc>
          <w:tcPr>
            <w:tcW w:w="2480" w:type="dxa"/>
            <w:shd w:val="clear" w:color="auto" w:fill="auto"/>
            <w:vAlign w:val="center"/>
          </w:tcPr>
          <w:p w14:paraId="538E682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HG/T 20505-2014</w:t>
            </w:r>
          </w:p>
        </w:tc>
      </w:tr>
      <w:tr w14:paraId="455D52D3">
        <w:tblPrEx>
          <w:tblCellMar>
            <w:top w:w="0" w:type="dxa"/>
            <w:left w:w="108" w:type="dxa"/>
            <w:bottom w:w="0" w:type="dxa"/>
            <w:right w:w="108" w:type="dxa"/>
          </w:tblCellMar>
        </w:tblPrEx>
        <w:tc>
          <w:tcPr>
            <w:tcW w:w="6253" w:type="dxa"/>
            <w:shd w:val="clear" w:color="auto" w:fill="auto"/>
            <w:vAlign w:val="center"/>
          </w:tcPr>
          <w:p w14:paraId="2FB2FF1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《民用建筑电气设计规范》</w:t>
            </w:r>
          </w:p>
        </w:tc>
        <w:tc>
          <w:tcPr>
            <w:tcW w:w="2480" w:type="dxa"/>
            <w:shd w:val="clear" w:color="auto" w:fill="auto"/>
            <w:vAlign w:val="center"/>
          </w:tcPr>
          <w:p w14:paraId="00F1552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51348-2019</w:t>
            </w:r>
          </w:p>
        </w:tc>
      </w:tr>
      <w:tr w14:paraId="43557DEF">
        <w:tblPrEx>
          <w:tblCellMar>
            <w:top w:w="0" w:type="dxa"/>
            <w:left w:w="108" w:type="dxa"/>
            <w:bottom w:w="0" w:type="dxa"/>
            <w:right w:w="108" w:type="dxa"/>
          </w:tblCellMar>
        </w:tblPrEx>
        <w:tc>
          <w:tcPr>
            <w:tcW w:w="6253" w:type="dxa"/>
            <w:shd w:val="clear" w:color="auto" w:fill="auto"/>
            <w:vAlign w:val="center"/>
          </w:tcPr>
          <w:p w14:paraId="283F3A5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《建筑电气制图标准》</w:t>
            </w:r>
          </w:p>
        </w:tc>
        <w:tc>
          <w:tcPr>
            <w:tcW w:w="2480" w:type="dxa"/>
            <w:shd w:val="clear" w:color="auto" w:fill="auto"/>
            <w:vAlign w:val="center"/>
          </w:tcPr>
          <w:p w14:paraId="1CAD670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50786-2012</w:t>
            </w:r>
          </w:p>
        </w:tc>
      </w:tr>
      <w:tr w14:paraId="66FB464E">
        <w:tblPrEx>
          <w:tblCellMar>
            <w:top w:w="0" w:type="dxa"/>
            <w:left w:w="108" w:type="dxa"/>
            <w:bottom w:w="0" w:type="dxa"/>
            <w:right w:w="108" w:type="dxa"/>
          </w:tblCellMar>
        </w:tblPrEx>
        <w:tc>
          <w:tcPr>
            <w:tcW w:w="6253" w:type="dxa"/>
            <w:shd w:val="clear" w:color="auto" w:fill="auto"/>
            <w:vAlign w:val="center"/>
          </w:tcPr>
          <w:p w14:paraId="41CD1B3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《建筑电气工程施工质量验收规范》</w:t>
            </w:r>
          </w:p>
        </w:tc>
        <w:tc>
          <w:tcPr>
            <w:tcW w:w="2480" w:type="dxa"/>
            <w:shd w:val="clear" w:color="auto" w:fill="auto"/>
            <w:vAlign w:val="center"/>
          </w:tcPr>
          <w:p w14:paraId="749A855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50303-2015</w:t>
            </w:r>
          </w:p>
        </w:tc>
      </w:tr>
      <w:tr w14:paraId="57193AB8">
        <w:tblPrEx>
          <w:tblCellMar>
            <w:top w:w="0" w:type="dxa"/>
            <w:left w:w="108" w:type="dxa"/>
            <w:bottom w:w="0" w:type="dxa"/>
            <w:right w:w="108" w:type="dxa"/>
          </w:tblCellMar>
        </w:tblPrEx>
        <w:tc>
          <w:tcPr>
            <w:tcW w:w="6253" w:type="dxa"/>
            <w:shd w:val="clear" w:color="auto" w:fill="auto"/>
            <w:vAlign w:val="center"/>
          </w:tcPr>
          <w:p w14:paraId="50C5128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《给水、排水管道工程施工及验收规范》</w:t>
            </w:r>
          </w:p>
        </w:tc>
        <w:tc>
          <w:tcPr>
            <w:tcW w:w="2480" w:type="dxa"/>
            <w:shd w:val="clear" w:color="auto" w:fill="auto"/>
            <w:vAlign w:val="center"/>
          </w:tcPr>
          <w:p w14:paraId="33657A7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50268-2008</w:t>
            </w:r>
          </w:p>
        </w:tc>
      </w:tr>
      <w:tr w14:paraId="7228C1CE">
        <w:tblPrEx>
          <w:tblCellMar>
            <w:top w:w="0" w:type="dxa"/>
            <w:left w:w="108" w:type="dxa"/>
            <w:bottom w:w="0" w:type="dxa"/>
            <w:right w:w="108" w:type="dxa"/>
          </w:tblCellMar>
        </w:tblPrEx>
        <w:tc>
          <w:tcPr>
            <w:tcW w:w="6253" w:type="dxa"/>
            <w:shd w:val="clear" w:color="auto" w:fill="auto"/>
            <w:vAlign w:val="center"/>
          </w:tcPr>
          <w:p w14:paraId="7DEE83D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《低压电气装置第7-702部分：特殊装置或场所的要求游泳池和喷泉》</w:t>
            </w:r>
          </w:p>
        </w:tc>
        <w:tc>
          <w:tcPr>
            <w:tcW w:w="2480" w:type="dxa"/>
            <w:shd w:val="clear" w:color="auto" w:fill="auto"/>
            <w:vAlign w:val="center"/>
          </w:tcPr>
          <w:p w14:paraId="4245285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GB/T16895.19-2017</w:t>
            </w:r>
          </w:p>
        </w:tc>
      </w:tr>
    </w:tbl>
    <w:p w14:paraId="209FEAE2">
      <w:pPr>
        <w:numPr>
          <w:ilvl w:val="0"/>
          <w:numId w:val="0"/>
        </w:numPr>
        <w:tabs>
          <w:tab w:val="left" w:pos="720"/>
        </w:tabs>
        <w:spacing w:line="360" w:lineRule="auto"/>
        <w:ind w:left="36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材料标准：</w:t>
      </w:r>
    </w:p>
    <w:tbl>
      <w:tblPr>
        <w:tblStyle w:val="25"/>
        <w:tblW w:w="0" w:type="auto"/>
        <w:tblInd w:w="675" w:type="dxa"/>
        <w:tblLayout w:type="autofit"/>
        <w:tblCellMar>
          <w:top w:w="0" w:type="dxa"/>
          <w:left w:w="108" w:type="dxa"/>
          <w:bottom w:w="0" w:type="dxa"/>
          <w:right w:w="108" w:type="dxa"/>
        </w:tblCellMar>
      </w:tblPr>
      <w:tblGrid>
        <w:gridCol w:w="5920"/>
        <w:gridCol w:w="2814"/>
      </w:tblGrid>
      <w:tr w14:paraId="13BC0D25">
        <w:tblPrEx>
          <w:tblCellMar>
            <w:top w:w="0" w:type="dxa"/>
            <w:left w:w="108" w:type="dxa"/>
            <w:bottom w:w="0" w:type="dxa"/>
            <w:right w:w="108" w:type="dxa"/>
          </w:tblCellMar>
        </w:tblPrEx>
        <w:tc>
          <w:tcPr>
            <w:tcW w:w="5920" w:type="dxa"/>
            <w:shd w:val="clear" w:color="auto" w:fill="auto"/>
            <w:vAlign w:val="center"/>
          </w:tcPr>
          <w:p w14:paraId="32029B1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《建筑给水硬聚氯乙烯管道工程技术规程》</w:t>
            </w:r>
          </w:p>
        </w:tc>
        <w:tc>
          <w:tcPr>
            <w:tcW w:w="2814" w:type="dxa"/>
            <w:shd w:val="clear" w:color="auto" w:fill="auto"/>
            <w:vAlign w:val="center"/>
          </w:tcPr>
          <w:p w14:paraId="2903D98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CECS 41:2004</w:t>
            </w:r>
          </w:p>
        </w:tc>
      </w:tr>
      <w:tr w14:paraId="38A967AA">
        <w:tblPrEx>
          <w:tblCellMar>
            <w:top w:w="0" w:type="dxa"/>
            <w:left w:w="108" w:type="dxa"/>
            <w:bottom w:w="0" w:type="dxa"/>
            <w:right w:w="108" w:type="dxa"/>
          </w:tblCellMar>
        </w:tblPrEx>
        <w:tc>
          <w:tcPr>
            <w:tcW w:w="5920" w:type="dxa"/>
            <w:shd w:val="clear" w:color="auto" w:fill="auto"/>
            <w:vAlign w:val="center"/>
          </w:tcPr>
          <w:p w14:paraId="305111C5">
            <w:pPr>
              <w:rPr>
                <w:rFonts w:hint="eastAsia" w:ascii="宋体" w:hAnsi="宋体" w:eastAsia="宋体" w:cs="宋体"/>
                <w:color w:val="auto"/>
                <w:sz w:val="24"/>
                <w:szCs w:val="24"/>
                <w:highlight w:val="none"/>
              </w:rPr>
            </w:pPr>
          </w:p>
        </w:tc>
        <w:tc>
          <w:tcPr>
            <w:tcW w:w="2814" w:type="dxa"/>
            <w:shd w:val="clear" w:color="auto" w:fill="auto"/>
            <w:vAlign w:val="center"/>
          </w:tcPr>
          <w:p w14:paraId="3123776D">
            <w:pPr>
              <w:rPr>
                <w:rFonts w:hint="eastAsia" w:ascii="宋体" w:hAnsi="宋体" w:eastAsia="宋体" w:cs="宋体"/>
                <w:color w:val="auto"/>
                <w:sz w:val="24"/>
                <w:szCs w:val="24"/>
                <w:highlight w:val="none"/>
              </w:rPr>
            </w:pPr>
          </w:p>
        </w:tc>
      </w:tr>
      <w:tr w14:paraId="4CEC3849">
        <w:tblPrEx>
          <w:tblCellMar>
            <w:top w:w="0" w:type="dxa"/>
            <w:left w:w="108" w:type="dxa"/>
            <w:bottom w:w="0" w:type="dxa"/>
            <w:right w:w="108" w:type="dxa"/>
          </w:tblCellMar>
        </w:tblPrEx>
        <w:tc>
          <w:tcPr>
            <w:tcW w:w="5920" w:type="dxa"/>
            <w:shd w:val="clear" w:color="auto" w:fill="auto"/>
            <w:vAlign w:val="center"/>
          </w:tcPr>
          <w:p w14:paraId="55FAC12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《给水、排水管道工程施工及验收规范》</w:t>
            </w:r>
          </w:p>
        </w:tc>
        <w:tc>
          <w:tcPr>
            <w:tcW w:w="2814" w:type="dxa"/>
            <w:shd w:val="clear" w:color="auto" w:fill="auto"/>
            <w:vAlign w:val="center"/>
          </w:tcPr>
          <w:p w14:paraId="0FD080D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GB50268-2008</w:t>
            </w:r>
          </w:p>
        </w:tc>
      </w:tr>
    </w:tbl>
    <w:p w14:paraId="1D38237C">
      <w:pPr>
        <w:numPr>
          <w:ilvl w:val="0"/>
          <w:numId w:val="0"/>
        </w:numPr>
        <w:tabs>
          <w:tab w:val="left" w:pos="720"/>
        </w:tabs>
        <w:spacing w:line="360" w:lineRule="auto"/>
        <w:ind w:left="360" w:leftChars="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国家其他相关规程、规范。</w:t>
      </w:r>
    </w:p>
    <w:p w14:paraId="0DB61328">
      <w:pPr>
        <w:pStyle w:val="34"/>
        <w:numPr>
          <w:ilvl w:val="1"/>
          <w:numId w:val="0"/>
        </w:numPr>
        <w:spacing w:line="360" w:lineRule="auto"/>
        <w:ind w:left="0" w:leftChars="0" w:firstLine="0" w:firstLineChars="0"/>
        <w:jc w:val="left"/>
        <w:outlineLvl w:val="1"/>
        <w:rPr>
          <w:rFonts w:hint="eastAsia" w:ascii="宋体" w:hAnsi="宋体" w:eastAsia="宋体" w:cs="宋体"/>
          <w:b/>
          <w:color w:val="auto"/>
          <w:sz w:val="24"/>
          <w:szCs w:val="24"/>
          <w:highlight w:val="none"/>
        </w:rPr>
      </w:pPr>
      <w:bookmarkStart w:id="22" w:name="_Toc20589"/>
      <w:bookmarkStart w:id="23" w:name="_Toc2625"/>
      <w:bookmarkStart w:id="24" w:name="_Toc32683"/>
      <w:bookmarkStart w:id="25" w:name="_Toc17509"/>
      <w:r>
        <w:rPr>
          <w:rFonts w:hint="eastAsia" w:eastAsia="宋体" w:cs="宋体" w:asciiTheme="minorEastAsia" w:hAnsiTheme="minorEastAsia"/>
          <w:b/>
          <w:color w:val="auto"/>
          <w:kern w:val="2"/>
          <w:sz w:val="24"/>
          <w:szCs w:val="24"/>
          <w:lang w:val="en-US" w:eastAsia="zh-CN" w:bidi="ar-SA"/>
        </w:rPr>
        <w:t>1.2.</w:t>
      </w:r>
      <w:r>
        <w:rPr>
          <w:rFonts w:hint="eastAsia" w:ascii="宋体" w:hAnsi="宋体" w:eastAsia="宋体" w:cs="宋体"/>
          <w:b/>
          <w:color w:val="auto"/>
          <w:sz w:val="24"/>
          <w:szCs w:val="24"/>
          <w:highlight w:val="none"/>
        </w:rPr>
        <w:t>按摩池/泡池循环过滤系统</w:t>
      </w:r>
      <w:bookmarkEnd w:id="22"/>
      <w:bookmarkEnd w:id="23"/>
      <w:bookmarkEnd w:id="24"/>
      <w:bookmarkEnd w:id="25"/>
    </w:p>
    <w:p w14:paraId="1D09A778">
      <w:pPr>
        <w:pStyle w:val="34"/>
        <w:numPr>
          <w:ilvl w:val="2"/>
          <w:numId w:val="0"/>
        </w:numPr>
        <w:spacing w:line="360" w:lineRule="auto"/>
        <w:ind w:left="420" w:leftChars="0" w:firstLine="0" w:firstLineChars="0"/>
        <w:jc w:val="left"/>
        <w:outlineLvl w:val="1"/>
        <w:rPr>
          <w:rFonts w:hint="eastAsia" w:ascii="宋体" w:hAnsi="宋体" w:eastAsia="宋体" w:cs="宋体"/>
          <w:b/>
          <w:color w:val="auto"/>
          <w:sz w:val="24"/>
          <w:szCs w:val="24"/>
          <w:highlight w:val="none"/>
        </w:rPr>
      </w:pPr>
      <w:bookmarkStart w:id="26" w:name="_Toc288"/>
      <w:bookmarkStart w:id="27" w:name="_Toc14675"/>
      <w:bookmarkStart w:id="28" w:name="_Toc11384"/>
      <w:bookmarkStart w:id="29" w:name="_Toc9804"/>
      <w:r>
        <w:rPr>
          <w:rFonts w:hint="eastAsia" w:eastAsia="宋体" w:cs="宋体" w:asciiTheme="minorEastAsia" w:hAnsiTheme="minorEastAsia"/>
          <w:b/>
          <w:color w:val="auto"/>
          <w:kern w:val="2"/>
          <w:sz w:val="24"/>
          <w:szCs w:val="24"/>
          <w:lang w:val="en-US" w:eastAsia="zh-CN" w:bidi="ar-SA"/>
        </w:rPr>
        <w:t>1.2.1.</w:t>
      </w:r>
      <w:r>
        <w:rPr>
          <w:rFonts w:hint="eastAsia" w:ascii="宋体" w:hAnsi="宋体" w:eastAsia="宋体" w:cs="宋体"/>
          <w:b/>
          <w:color w:val="auto"/>
          <w:sz w:val="24"/>
          <w:szCs w:val="24"/>
          <w:highlight w:val="none"/>
        </w:rPr>
        <w:t xml:space="preserve"> 滤芯过滤</w:t>
      </w:r>
      <w:bookmarkEnd w:id="26"/>
      <w:bookmarkEnd w:id="27"/>
      <w:bookmarkEnd w:id="28"/>
      <w:bookmarkEnd w:id="29"/>
      <w:r>
        <w:rPr>
          <w:rFonts w:hint="eastAsia" w:ascii="宋体" w:hAnsi="宋体" w:eastAsia="宋体" w:cs="宋体"/>
          <w:b/>
          <w:color w:val="auto"/>
          <w:sz w:val="24"/>
          <w:szCs w:val="24"/>
          <w:highlight w:val="none"/>
        </w:rPr>
        <w:t>系统</w:t>
      </w:r>
    </w:p>
    <w:p w14:paraId="166A7A71">
      <w:pPr>
        <w:pStyle w:val="62"/>
        <w:numPr>
          <w:ilvl w:val="0"/>
          <w:numId w:val="4"/>
        </w:numPr>
        <w:adjustRightInd w:val="0"/>
        <w:snapToGrid w:val="0"/>
        <w:spacing w:after="50"/>
        <w:ind w:firstLineChars="0"/>
        <w:rPr>
          <w:rFonts w:hint="eastAsia" w:ascii="宋体" w:hAnsi="宋体" w:eastAsia="宋体" w:cs="宋体"/>
          <w:color w:val="auto"/>
          <w:sz w:val="24"/>
          <w:szCs w:val="24"/>
          <w:highlight w:val="none"/>
          <w:lang w:val="en-GB"/>
        </w:rPr>
      </w:pPr>
      <w:bookmarkStart w:id="30" w:name="_Toc9922"/>
      <w:bookmarkStart w:id="31" w:name="_Toc11683"/>
      <w:bookmarkStart w:id="32" w:name="_Toc5280"/>
      <w:bookmarkStart w:id="33" w:name="_Toc29423"/>
      <w:r>
        <w:rPr>
          <w:rFonts w:hint="eastAsia" w:ascii="宋体" w:hAnsi="宋体" w:eastAsia="宋体" w:cs="宋体"/>
          <w:color w:val="auto"/>
          <w:sz w:val="24"/>
          <w:szCs w:val="24"/>
          <w:highlight w:val="none"/>
          <w:lang w:val="en-GB"/>
        </w:rPr>
        <w:t>循环流</w:t>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GB"/>
        </w:rPr>
        <w:t>m3/h，滤速≤</w:t>
      </w:r>
      <w:r>
        <w:rPr>
          <w:rFonts w:hint="eastAsia" w:ascii="宋体" w:hAnsi="宋体" w:eastAsia="宋体" w:cs="宋体"/>
          <w:color w:val="auto"/>
          <w:sz w:val="24"/>
          <w:szCs w:val="24"/>
          <w:highlight w:val="none"/>
        </w:rPr>
        <w:t>0.6</w:t>
      </w:r>
      <w:r>
        <w:rPr>
          <w:rFonts w:hint="eastAsia" w:ascii="宋体" w:hAnsi="宋体" w:eastAsia="宋体" w:cs="宋体"/>
          <w:color w:val="auto"/>
          <w:sz w:val="24"/>
          <w:szCs w:val="24"/>
          <w:highlight w:val="none"/>
          <w:lang w:val="en-GB"/>
        </w:rPr>
        <w:t>m/h；</w:t>
      </w:r>
    </w:p>
    <w:p w14:paraId="0DE7FE58">
      <w:pPr>
        <w:pStyle w:val="62"/>
        <w:numPr>
          <w:ilvl w:val="0"/>
          <w:numId w:val="4"/>
        </w:numPr>
        <w:adjustRightInd w:val="0"/>
        <w:snapToGrid w:val="0"/>
        <w:spacing w:after="50"/>
        <w:ind w:firstLineChars="0"/>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采用可重复使用的聚酯纤维滤芯；</w:t>
      </w:r>
    </w:p>
    <w:p w14:paraId="18153FC7">
      <w:pPr>
        <w:pStyle w:val="62"/>
        <w:numPr>
          <w:ilvl w:val="0"/>
          <w:numId w:val="4"/>
        </w:numPr>
        <w:adjustRightInd w:val="0"/>
        <w:snapToGrid w:val="0"/>
        <w:spacing w:after="50"/>
        <w:ind w:firstLineChars="0"/>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尺寸紧凑；</w:t>
      </w:r>
    </w:p>
    <w:p w14:paraId="023C658D">
      <w:pPr>
        <w:pStyle w:val="62"/>
        <w:numPr>
          <w:ilvl w:val="0"/>
          <w:numId w:val="4"/>
        </w:numPr>
        <w:adjustRightInd w:val="0"/>
        <w:snapToGrid w:val="0"/>
        <w:spacing w:after="50"/>
        <w:ind w:firstLineChars="0"/>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坚固的加强聚化合物注塑外壳，彻底杜绝化学药剂及盐腐蚀；</w:t>
      </w:r>
    </w:p>
    <w:p w14:paraId="621084CC">
      <w:pPr>
        <w:pStyle w:val="62"/>
        <w:numPr>
          <w:ilvl w:val="0"/>
          <w:numId w:val="4"/>
        </w:numPr>
        <w:adjustRightInd w:val="0"/>
        <w:snapToGrid w:val="0"/>
        <w:spacing w:after="50"/>
        <w:ind w:firstLineChars="0"/>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配备有压力表、排气阀、排水塞；</w:t>
      </w:r>
    </w:p>
    <w:p w14:paraId="2EC37741">
      <w:pPr>
        <w:pStyle w:val="62"/>
        <w:numPr>
          <w:ilvl w:val="0"/>
          <w:numId w:val="4"/>
        </w:numPr>
        <w:adjustRightInd w:val="0"/>
        <w:snapToGrid w:val="0"/>
        <w:spacing w:after="50"/>
        <w:ind w:firstLineChars="0"/>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自对齐的上壳体和下壳体，更换滤芯更方便、快捷</w:t>
      </w:r>
      <w:r>
        <w:rPr>
          <w:rFonts w:hint="eastAsia" w:ascii="宋体" w:hAnsi="宋体" w:eastAsia="宋体" w:cs="宋体"/>
          <w:color w:val="auto"/>
          <w:sz w:val="24"/>
          <w:szCs w:val="24"/>
          <w:highlight w:val="none"/>
          <w:lang w:val="en-GB"/>
        </w:rPr>
        <w:t>；</w:t>
      </w:r>
    </w:p>
    <w:p w14:paraId="1BC2CDBC">
      <w:pPr>
        <w:pStyle w:val="62"/>
        <w:numPr>
          <w:ilvl w:val="0"/>
          <w:numId w:val="4"/>
        </w:numPr>
        <w:adjustRightInd w:val="0"/>
        <w:snapToGrid w:val="0"/>
        <w:spacing w:after="50"/>
        <w:ind w:firstLineChars="0"/>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整机原装进口，NSF 认证文件，需出具报关证明文件。</w:t>
      </w:r>
    </w:p>
    <w:p w14:paraId="1B5B65F6">
      <w:pPr>
        <w:pStyle w:val="34"/>
        <w:numPr>
          <w:ilvl w:val="2"/>
          <w:numId w:val="0"/>
        </w:numPr>
        <w:spacing w:line="360" w:lineRule="auto"/>
        <w:ind w:left="420" w:leftChars="0" w:firstLine="0" w:firstLineChars="0"/>
        <w:jc w:val="left"/>
        <w:outlineLvl w:val="1"/>
        <w:rPr>
          <w:rFonts w:hint="eastAsia" w:ascii="宋体" w:hAnsi="宋体" w:eastAsia="宋体" w:cs="宋体"/>
          <w:b/>
          <w:color w:val="auto"/>
          <w:sz w:val="24"/>
          <w:szCs w:val="24"/>
          <w:highlight w:val="none"/>
        </w:rPr>
      </w:pPr>
      <w:r>
        <w:rPr>
          <w:rFonts w:hint="eastAsia" w:eastAsia="宋体" w:cs="宋体" w:asciiTheme="minorEastAsia" w:hAnsiTheme="minorEastAsia"/>
          <w:b/>
          <w:color w:val="auto"/>
          <w:kern w:val="2"/>
          <w:sz w:val="24"/>
          <w:szCs w:val="24"/>
          <w:lang w:val="en-US" w:eastAsia="zh-CN" w:bidi="ar-SA"/>
        </w:rPr>
        <w:t>1.2.2.</w:t>
      </w:r>
      <w:r>
        <w:rPr>
          <w:rFonts w:hint="eastAsia" w:ascii="宋体" w:hAnsi="宋体" w:eastAsia="宋体" w:cs="宋体"/>
          <w:b/>
          <w:color w:val="auto"/>
          <w:sz w:val="24"/>
          <w:szCs w:val="24"/>
          <w:highlight w:val="none"/>
        </w:rPr>
        <w:t>设计参数</w:t>
      </w:r>
      <w:bookmarkEnd w:id="30"/>
      <w:bookmarkEnd w:id="31"/>
      <w:bookmarkEnd w:id="32"/>
      <w:bookmarkEnd w:id="33"/>
    </w:p>
    <w:tbl>
      <w:tblPr>
        <w:tblStyle w:val="25"/>
        <w:tblW w:w="9485" w:type="dxa"/>
        <w:tblInd w:w="236" w:type="dxa"/>
        <w:tblLayout w:type="fixed"/>
        <w:tblCellMar>
          <w:top w:w="0" w:type="dxa"/>
          <w:left w:w="108" w:type="dxa"/>
          <w:bottom w:w="0" w:type="dxa"/>
          <w:right w:w="108" w:type="dxa"/>
        </w:tblCellMar>
      </w:tblPr>
      <w:tblGrid>
        <w:gridCol w:w="1388"/>
        <w:gridCol w:w="952"/>
        <w:gridCol w:w="1125"/>
        <w:gridCol w:w="1275"/>
        <w:gridCol w:w="1335"/>
        <w:gridCol w:w="1672"/>
        <w:gridCol w:w="1738"/>
      </w:tblGrid>
      <w:tr w14:paraId="4F64F591">
        <w:tblPrEx>
          <w:tblCellMar>
            <w:top w:w="0" w:type="dxa"/>
            <w:left w:w="108" w:type="dxa"/>
            <w:bottom w:w="0" w:type="dxa"/>
            <w:right w:w="108" w:type="dxa"/>
          </w:tblCellMar>
        </w:tblPrEx>
        <w:trPr>
          <w:trHeight w:val="398" w:hRule="atLeast"/>
        </w:trPr>
        <w:tc>
          <w:tcPr>
            <w:tcW w:w="138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C635ED8">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按摩池/泡池</w:t>
            </w:r>
          </w:p>
        </w:tc>
        <w:tc>
          <w:tcPr>
            <w:tcW w:w="95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B3A3B18">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有效容积</w:t>
            </w:r>
          </w:p>
        </w:tc>
        <w:tc>
          <w:tcPr>
            <w:tcW w:w="112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3F9CB27">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循环周期</w:t>
            </w:r>
          </w:p>
        </w:tc>
        <w:tc>
          <w:tcPr>
            <w:tcW w:w="12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0F3834A">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循环流量</w:t>
            </w:r>
          </w:p>
        </w:tc>
        <w:tc>
          <w:tcPr>
            <w:tcW w:w="133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9008BEB">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温度</w:t>
            </w:r>
          </w:p>
        </w:tc>
        <w:tc>
          <w:tcPr>
            <w:tcW w:w="167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5048EA4">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过滤方式</w:t>
            </w:r>
          </w:p>
        </w:tc>
        <w:tc>
          <w:tcPr>
            <w:tcW w:w="173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AE0DC01">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r>
      <w:tr w14:paraId="6AAA4BD0">
        <w:tblPrEx>
          <w:tblCellMar>
            <w:top w:w="0" w:type="dxa"/>
            <w:left w:w="108" w:type="dxa"/>
            <w:bottom w:w="0" w:type="dxa"/>
            <w:right w:w="108" w:type="dxa"/>
          </w:tblCellMar>
        </w:tblPrEx>
        <w:trPr>
          <w:trHeight w:val="398" w:hRule="atLeast"/>
        </w:trPr>
        <w:tc>
          <w:tcPr>
            <w:tcW w:w="1388" w:type="dxa"/>
            <w:tcBorders>
              <w:top w:val="single" w:color="auto" w:sz="4" w:space="0"/>
              <w:left w:val="single" w:color="auto" w:sz="4" w:space="0"/>
              <w:bottom w:val="single" w:color="auto" w:sz="4" w:space="0"/>
              <w:right w:val="single" w:color="auto" w:sz="4" w:space="0"/>
            </w:tcBorders>
            <w:noWrap/>
            <w:vAlign w:val="center"/>
          </w:tcPr>
          <w:p w14:paraId="6F2DA865">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室内按摩池/泡池</w:t>
            </w:r>
          </w:p>
        </w:tc>
        <w:tc>
          <w:tcPr>
            <w:tcW w:w="952" w:type="dxa"/>
            <w:tcBorders>
              <w:top w:val="single" w:color="auto" w:sz="4" w:space="0"/>
              <w:left w:val="single" w:color="auto" w:sz="4" w:space="0"/>
              <w:bottom w:val="single" w:color="auto" w:sz="4" w:space="0"/>
              <w:right w:val="single" w:color="auto" w:sz="4" w:space="0"/>
            </w:tcBorders>
            <w:noWrap/>
            <w:vAlign w:val="center"/>
          </w:tcPr>
          <w:p w14:paraId="45A21A09">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26m</w:t>
            </w:r>
            <w:r>
              <w:rPr>
                <w:rFonts w:hint="eastAsia" w:ascii="宋体" w:hAnsi="宋体" w:eastAsia="宋体" w:cs="宋体"/>
                <w:color w:val="auto"/>
                <w:kern w:val="0"/>
                <w:sz w:val="24"/>
                <w:szCs w:val="24"/>
                <w:highlight w:val="none"/>
                <w:vertAlign w:val="superscript"/>
              </w:rPr>
              <w:t>3</w:t>
            </w:r>
          </w:p>
        </w:tc>
        <w:tc>
          <w:tcPr>
            <w:tcW w:w="1125" w:type="dxa"/>
            <w:tcBorders>
              <w:top w:val="single" w:color="auto" w:sz="4" w:space="0"/>
              <w:left w:val="single" w:color="auto" w:sz="4" w:space="0"/>
              <w:bottom w:val="single" w:color="auto" w:sz="4" w:space="0"/>
              <w:right w:val="single" w:color="auto" w:sz="4" w:space="0"/>
            </w:tcBorders>
            <w:noWrap/>
            <w:vAlign w:val="center"/>
          </w:tcPr>
          <w:p w14:paraId="76CDA21C">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0.5h</w:t>
            </w:r>
          </w:p>
        </w:tc>
        <w:tc>
          <w:tcPr>
            <w:tcW w:w="1275" w:type="dxa"/>
            <w:tcBorders>
              <w:top w:val="single" w:color="auto" w:sz="4" w:space="0"/>
              <w:left w:val="single" w:color="auto" w:sz="4" w:space="0"/>
              <w:bottom w:val="single" w:color="auto" w:sz="4" w:space="0"/>
              <w:right w:val="single" w:color="auto" w:sz="4" w:space="0"/>
            </w:tcBorders>
            <w:noWrap/>
            <w:vAlign w:val="center"/>
          </w:tcPr>
          <w:p w14:paraId="49D0FA04">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52m</w:t>
            </w:r>
            <w:r>
              <w:rPr>
                <w:rFonts w:hint="eastAsia" w:ascii="宋体" w:hAnsi="宋体" w:eastAsia="宋体" w:cs="宋体"/>
                <w:color w:val="auto"/>
                <w:kern w:val="0"/>
                <w:sz w:val="24"/>
                <w:szCs w:val="24"/>
                <w:highlight w:val="none"/>
                <w:vertAlign w:val="superscript"/>
              </w:rPr>
              <w:t>3</w:t>
            </w:r>
            <w:r>
              <w:rPr>
                <w:rFonts w:hint="eastAsia" w:ascii="宋体" w:hAnsi="宋体" w:eastAsia="宋体" w:cs="宋体"/>
                <w:color w:val="auto"/>
                <w:kern w:val="0"/>
                <w:sz w:val="24"/>
                <w:szCs w:val="24"/>
                <w:highlight w:val="none"/>
              </w:rPr>
              <w:t>/h</w:t>
            </w:r>
          </w:p>
        </w:tc>
        <w:tc>
          <w:tcPr>
            <w:tcW w:w="1335" w:type="dxa"/>
            <w:tcBorders>
              <w:top w:val="single" w:color="auto" w:sz="4" w:space="0"/>
              <w:left w:val="single" w:color="auto" w:sz="4" w:space="0"/>
              <w:bottom w:val="single" w:color="auto" w:sz="4" w:space="0"/>
              <w:right w:val="single" w:color="auto" w:sz="4" w:space="0"/>
            </w:tcBorders>
            <w:noWrap/>
            <w:vAlign w:val="center"/>
          </w:tcPr>
          <w:p w14:paraId="71145061">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37～39℃</w:t>
            </w:r>
          </w:p>
        </w:tc>
        <w:tc>
          <w:tcPr>
            <w:tcW w:w="1672" w:type="dxa"/>
            <w:tcBorders>
              <w:top w:val="single" w:color="auto" w:sz="4" w:space="0"/>
              <w:left w:val="single" w:color="auto" w:sz="4" w:space="0"/>
              <w:bottom w:val="single" w:color="auto" w:sz="4" w:space="0"/>
              <w:right w:val="single" w:color="auto" w:sz="4" w:space="0"/>
            </w:tcBorders>
            <w:noWrap/>
            <w:vAlign w:val="center"/>
          </w:tcPr>
          <w:p w14:paraId="335C8CC7">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滤芯过滤器</w:t>
            </w:r>
          </w:p>
        </w:tc>
        <w:tc>
          <w:tcPr>
            <w:tcW w:w="1738" w:type="dxa"/>
            <w:tcBorders>
              <w:top w:val="single" w:color="auto" w:sz="4" w:space="0"/>
              <w:left w:val="single" w:color="auto" w:sz="4" w:space="0"/>
              <w:bottom w:val="single" w:color="auto" w:sz="4" w:space="0"/>
              <w:right w:val="single" w:color="auto" w:sz="4" w:space="0"/>
            </w:tcBorders>
            <w:noWrap/>
            <w:vAlign w:val="center"/>
          </w:tcPr>
          <w:p w14:paraId="00918BBC">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过滤精度10微米</w:t>
            </w:r>
          </w:p>
        </w:tc>
      </w:tr>
      <w:tr w14:paraId="2B952BBB">
        <w:tblPrEx>
          <w:tblCellMar>
            <w:top w:w="0" w:type="dxa"/>
            <w:left w:w="108" w:type="dxa"/>
            <w:bottom w:w="0" w:type="dxa"/>
            <w:right w:w="108" w:type="dxa"/>
          </w:tblCellMar>
        </w:tblPrEx>
        <w:trPr>
          <w:trHeight w:val="398" w:hRule="atLeast"/>
        </w:trPr>
        <w:tc>
          <w:tcPr>
            <w:tcW w:w="1388" w:type="dxa"/>
            <w:tcBorders>
              <w:top w:val="single" w:color="auto" w:sz="4" w:space="0"/>
              <w:left w:val="single" w:color="auto" w:sz="4" w:space="0"/>
              <w:bottom w:val="single" w:color="auto" w:sz="4" w:space="0"/>
              <w:right w:val="single" w:color="auto" w:sz="4" w:space="0"/>
            </w:tcBorders>
            <w:noWrap/>
            <w:vAlign w:val="center"/>
          </w:tcPr>
          <w:p w14:paraId="222B6453">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客房泡池</w:t>
            </w:r>
          </w:p>
        </w:tc>
        <w:tc>
          <w:tcPr>
            <w:tcW w:w="952" w:type="dxa"/>
            <w:tcBorders>
              <w:top w:val="single" w:color="auto" w:sz="4" w:space="0"/>
              <w:left w:val="single" w:color="auto" w:sz="4" w:space="0"/>
              <w:bottom w:val="single" w:color="auto" w:sz="4" w:space="0"/>
              <w:right w:val="single" w:color="auto" w:sz="4" w:space="0"/>
            </w:tcBorders>
            <w:noWrap/>
            <w:vAlign w:val="center"/>
          </w:tcPr>
          <w:p w14:paraId="75B48975">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1.19m</w:t>
            </w:r>
            <w:r>
              <w:rPr>
                <w:rFonts w:hint="eastAsia" w:ascii="宋体" w:hAnsi="宋体" w:eastAsia="宋体" w:cs="宋体"/>
                <w:color w:val="auto"/>
                <w:kern w:val="0"/>
                <w:sz w:val="24"/>
                <w:szCs w:val="24"/>
                <w:highlight w:val="none"/>
                <w:vertAlign w:val="superscript"/>
              </w:rPr>
              <w:t>3</w:t>
            </w:r>
          </w:p>
        </w:tc>
        <w:tc>
          <w:tcPr>
            <w:tcW w:w="1125" w:type="dxa"/>
            <w:tcBorders>
              <w:top w:val="single" w:color="auto" w:sz="4" w:space="0"/>
              <w:left w:val="single" w:color="auto" w:sz="4" w:space="0"/>
              <w:bottom w:val="single" w:color="auto" w:sz="4" w:space="0"/>
              <w:right w:val="single" w:color="auto" w:sz="4" w:space="0"/>
            </w:tcBorders>
            <w:noWrap/>
            <w:vAlign w:val="center"/>
          </w:tcPr>
          <w:p w14:paraId="2A0A4E62">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0.5h</w:t>
            </w:r>
          </w:p>
        </w:tc>
        <w:tc>
          <w:tcPr>
            <w:tcW w:w="1275" w:type="dxa"/>
            <w:tcBorders>
              <w:top w:val="single" w:color="auto" w:sz="4" w:space="0"/>
              <w:left w:val="single" w:color="auto" w:sz="4" w:space="0"/>
              <w:bottom w:val="single" w:color="auto" w:sz="4" w:space="0"/>
              <w:right w:val="single" w:color="auto" w:sz="4" w:space="0"/>
            </w:tcBorders>
            <w:noWrap/>
            <w:vAlign w:val="center"/>
          </w:tcPr>
          <w:p w14:paraId="686DC942">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最大6m</w:t>
            </w:r>
            <w:r>
              <w:rPr>
                <w:rFonts w:hint="eastAsia" w:ascii="宋体" w:hAnsi="宋体" w:eastAsia="宋体" w:cs="宋体"/>
                <w:color w:val="auto"/>
                <w:kern w:val="0"/>
                <w:sz w:val="24"/>
                <w:szCs w:val="24"/>
                <w:highlight w:val="none"/>
                <w:vertAlign w:val="superscript"/>
              </w:rPr>
              <w:t>3</w:t>
            </w:r>
            <w:r>
              <w:rPr>
                <w:rFonts w:hint="eastAsia" w:ascii="宋体" w:hAnsi="宋体" w:eastAsia="宋体" w:cs="宋体"/>
                <w:color w:val="auto"/>
                <w:kern w:val="0"/>
                <w:sz w:val="24"/>
                <w:szCs w:val="24"/>
                <w:highlight w:val="none"/>
              </w:rPr>
              <w:t>/h</w:t>
            </w:r>
          </w:p>
        </w:tc>
        <w:tc>
          <w:tcPr>
            <w:tcW w:w="1335" w:type="dxa"/>
            <w:tcBorders>
              <w:top w:val="single" w:color="auto" w:sz="4" w:space="0"/>
              <w:left w:val="single" w:color="auto" w:sz="4" w:space="0"/>
              <w:bottom w:val="single" w:color="auto" w:sz="4" w:space="0"/>
              <w:right w:val="single" w:color="auto" w:sz="4" w:space="0"/>
            </w:tcBorders>
            <w:noWrap/>
            <w:vAlign w:val="center"/>
          </w:tcPr>
          <w:p w14:paraId="56CEEA01">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37～39℃</w:t>
            </w:r>
          </w:p>
        </w:tc>
        <w:tc>
          <w:tcPr>
            <w:tcW w:w="1672" w:type="dxa"/>
            <w:tcBorders>
              <w:top w:val="single" w:color="auto" w:sz="4" w:space="0"/>
              <w:left w:val="single" w:color="auto" w:sz="4" w:space="0"/>
              <w:bottom w:val="single" w:color="auto" w:sz="4" w:space="0"/>
              <w:right w:val="single" w:color="auto" w:sz="4" w:space="0"/>
            </w:tcBorders>
            <w:noWrap/>
            <w:vAlign w:val="center"/>
          </w:tcPr>
          <w:p w14:paraId="5AF3F9F5">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滤芯过滤器</w:t>
            </w:r>
          </w:p>
        </w:tc>
        <w:tc>
          <w:tcPr>
            <w:tcW w:w="1738" w:type="dxa"/>
            <w:tcBorders>
              <w:top w:val="single" w:color="auto" w:sz="4" w:space="0"/>
              <w:left w:val="single" w:color="auto" w:sz="4" w:space="0"/>
              <w:bottom w:val="single" w:color="auto" w:sz="4" w:space="0"/>
              <w:right w:val="single" w:color="auto" w:sz="4" w:space="0"/>
            </w:tcBorders>
            <w:noWrap/>
            <w:vAlign w:val="center"/>
          </w:tcPr>
          <w:p w14:paraId="5CC924C9">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过滤精度10微米</w:t>
            </w:r>
          </w:p>
        </w:tc>
      </w:tr>
    </w:tbl>
    <w:p w14:paraId="14BB7050">
      <w:pPr>
        <w:pStyle w:val="34"/>
        <w:numPr>
          <w:ilvl w:val="2"/>
          <w:numId w:val="0"/>
        </w:numPr>
        <w:spacing w:line="360" w:lineRule="auto"/>
        <w:ind w:left="420" w:leftChars="0" w:firstLine="0" w:firstLineChars="0"/>
        <w:jc w:val="left"/>
        <w:outlineLvl w:val="1"/>
        <w:rPr>
          <w:rFonts w:hint="eastAsia" w:ascii="宋体" w:hAnsi="宋体" w:eastAsia="宋体" w:cs="宋体"/>
          <w:b/>
          <w:color w:val="auto"/>
          <w:sz w:val="24"/>
          <w:szCs w:val="24"/>
          <w:highlight w:val="none"/>
        </w:rPr>
      </w:pPr>
      <w:bookmarkStart w:id="34" w:name="_Toc6959"/>
      <w:bookmarkStart w:id="35" w:name="_Toc18094"/>
      <w:bookmarkStart w:id="36" w:name="_Toc8048"/>
      <w:bookmarkStart w:id="37" w:name="_Toc31092"/>
      <w:r>
        <w:rPr>
          <w:rFonts w:hint="eastAsia" w:eastAsia="宋体" w:cs="宋体" w:asciiTheme="minorEastAsia" w:hAnsiTheme="minorEastAsia"/>
          <w:b/>
          <w:color w:val="auto"/>
          <w:kern w:val="2"/>
          <w:sz w:val="24"/>
          <w:szCs w:val="24"/>
          <w:lang w:val="en-US" w:eastAsia="zh-CN" w:bidi="ar-SA"/>
        </w:rPr>
        <w:t>1.2.3.</w:t>
      </w:r>
      <w:r>
        <w:rPr>
          <w:rFonts w:hint="eastAsia" w:ascii="宋体" w:hAnsi="宋体" w:eastAsia="宋体" w:cs="宋体"/>
          <w:b/>
          <w:color w:val="auto"/>
          <w:sz w:val="24"/>
          <w:szCs w:val="24"/>
          <w:highlight w:val="none"/>
        </w:rPr>
        <w:t>按摩池/泡池水源</w:t>
      </w:r>
      <w:bookmarkEnd w:id="34"/>
      <w:bookmarkEnd w:id="35"/>
      <w:bookmarkEnd w:id="36"/>
      <w:bookmarkEnd w:id="37"/>
    </w:p>
    <w:p w14:paraId="75D07C8F">
      <w:pPr>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按摩池/泡池水源应为市政自来水</w:t>
      </w:r>
    </w:p>
    <w:p w14:paraId="5A476F6F">
      <w:pPr>
        <w:pStyle w:val="34"/>
        <w:numPr>
          <w:ilvl w:val="2"/>
          <w:numId w:val="0"/>
        </w:numPr>
        <w:spacing w:line="360" w:lineRule="auto"/>
        <w:ind w:left="420" w:leftChars="0" w:firstLine="0" w:firstLineChars="0"/>
        <w:jc w:val="left"/>
        <w:outlineLvl w:val="1"/>
        <w:rPr>
          <w:rFonts w:hint="eastAsia" w:ascii="宋体" w:hAnsi="宋体" w:eastAsia="宋体" w:cs="宋体"/>
          <w:b/>
          <w:color w:val="auto"/>
          <w:sz w:val="24"/>
          <w:szCs w:val="24"/>
          <w:highlight w:val="none"/>
        </w:rPr>
      </w:pPr>
      <w:bookmarkStart w:id="38" w:name="_Toc18411"/>
      <w:bookmarkStart w:id="39" w:name="_Toc2149"/>
      <w:bookmarkStart w:id="40" w:name="_Toc2705"/>
      <w:bookmarkStart w:id="41" w:name="_Toc5608"/>
      <w:r>
        <w:rPr>
          <w:rFonts w:hint="eastAsia" w:eastAsia="宋体" w:cs="宋体" w:asciiTheme="minorEastAsia" w:hAnsiTheme="minorEastAsia"/>
          <w:b/>
          <w:color w:val="auto"/>
          <w:kern w:val="2"/>
          <w:sz w:val="24"/>
          <w:szCs w:val="24"/>
          <w:lang w:val="en-US" w:eastAsia="zh-CN" w:bidi="ar-SA"/>
        </w:rPr>
        <w:t>1.2.4.</w:t>
      </w:r>
      <w:r>
        <w:rPr>
          <w:rFonts w:hint="eastAsia" w:ascii="宋体" w:hAnsi="宋体" w:eastAsia="宋体" w:cs="宋体"/>
          <w:b/>
          <w:color w:val="auto"/>
          <w:sz w:val="24"/>
          <w:szCs w:val="24"/>
          <w:highlight w:val="none"/>
        </w:rPr>
        <w:t>按摩池/泡池水质处理药剂</w:t>
      </w:r>
      <w:bookmarkEnd w:id="38"/>
      <w:bookmarkEnd w:id="39"/>
      <w:bookmarkEnd w:id="40"/>
      <w:bookmarkEnd w:id="41"/>
    </w:p>
    <w:p w14:paraId="018AEE56">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按摩池/泡池池水的循环处理是物理处理（即过滤）跟化学处理相结合的工艺，化学处理就是在循环系统中投加水处理药剂，即：</w:t>
      </w:r>
    </w:p>
    <w:p w14:paraId="49E61A21">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PH调整剂----因池水的PH值会因原水水质、投加的消毒剂种类、天气情况、按摩人数的多少而产生变化，如池水的PH值过高（大于8.5）或过低（小于6.5）均会影响</w:t>
      </w:r>
    </w:p>
    <w:p w14:paraId="1B85495F">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池水的消毒效果、对设备的腐蚀程度等，因此在按摩池/泡池开放的过程中必须向系统中投加PH调整剂，调整池水的PH值。</w:t>
      </w:r>
    </w:p>
    <w:p w14:paraId="635C773C">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PH调整剂（酸剂及碱剂精密计量泵压力式投加，投加点在过滤加热后，设计投加量为1-5mg/L，PH值调整至7.2-7.8；</w:t>
      </w:r>
    </w:p>
    <w:p w14:paraId="6D571BB3">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采用投加固体药剂投加装置，自动投加次氯酸钙药片，直接采用按摩池/泡池循环水溶解并投加的消毒工艺，投加量使水中余氯保持在0.3-1mg/L；</w:t>
      </w:r>
    </w:p>
    <w:p w14:paraId="41CE993D">
      <w:pPr>
        <w:pStyle w:val="34"/>
        <w:numPr>
          <w:ilvl w:val="1"/>
          <w:numId w:val="0"/>
        </w:numPr>
        <w:spacing w:line="360" w:lineRule="auto"/>
        <w:ind w:left="0" w:leftChars="0" w:firstLine="0" w:firstLineChars="0"/>
        <w:jc w:val="left"/>
        <w:outlineLvl w:val="1"/>
        <w:rPr>
          <w:rFonts w:hint="eastAsia" w:ascii="宋体" w:hAnsi="宋体" w:eastAsia="宋体" w:cs="宋体"/>
          <w:b/>
          <w:color w:val="auto"/>
          <w:sz w:val="24"/>
          <w:szCs w:val="24"/>
          <w:highlight w:val="none"/>
        </w:rPr>
      </w:pPr>
      <w:bookmarkStart w:id="42" w:name="_Toc26181"/>
      <w:bookmarkStart w:id="43" w:name="_Toc9455"/>
      <w:bookmarkStart w:id="44" w:name="_Toc7574"/>
      <w:bookmarkStart w:id="45" w:name="_Toc5158"/>
      <w:r>
        <w:rPr>
          <w:rFonts w:hint="eastAsia" w:eastAsia="宋体" w:cs="宋体" w:asciiTheme="minorEastAsia" w:hAnsiTheme="minorEastAsia"/>
          <w:b/>
          <w:color w:val="auto"/>
          <w:kern w:val="2"/>
          <w:sz w:val="24"/>
          <w:szCs w:val="24"/>
          <w:lang w:val="en-US" w:eastAsia="zh-CN" w:bidi="ar-SA"/>
        </w:rPr>
        <w:t>1.3.</w:t>
      </w:r>
      <w:r>
        <w:rPr>
          <w:rFonts w:hint="eastAsia" w:ascii="宋体" w:hAnsi="宋体" w:eastAsia="宋体" w:cs="宋体"/>
          <w:b/>
          <w:color w:val="auto"/>
          <w:sz w:val="24"/>
          <w:szCs w:val="24"/>
          <w:highlight w:val="none"/>
        </w:rPr>
        <w:t>按摩池/泡池水处理系统主设备技术要求</w:t>
      </w:r>
      <w:bookmarkEnd w:id="42"/>
      <w:bookmarkEnd w:id="43"/>
      <w:bookmarkEnd w:id="44"/>
      <w:bookmarkEnd w:id="45"/>
    </w:p>
    <w:p w14:paraId="2DD992B3">
      <w:pPr>
        <w:pStyle w:val="34"/>
        <w:numPr>
          <w:ilvl w:val="2"/>
          <w:numId w:val="0"/>
        </w:numPr>
        <w:spacing w:line="360" w:lineRule="auto"/>
        <w:ind w:left="420" w:leftChars="0" w:firstLine="0" w:firstLineChars="0"/>
        <w:jc w:val="left"/>
        <w:outlineLvl w:val="1"/>
        <w:rPr>
          <w:rFonts w:hint="eastAsia" w:ascii="宋体" w:hAnsi="宋体" w:eastAsia="宋体" w:cs="宋体"/>
          <w:b/>
          <w:color w:val="auto"/>
          <w:sz w:val="24"/>
          <w:szCs w:val="24"/>
          <w:highlight w:val="none"/>
        </w:rPr>
      </w:pPr>
      <w:bookmarkStart w:id="46" w:name="_Toc8145"/>
      <w:bookmarkStart w:id="47" w:name="_Toc15143"/>
      <w:bookmarkStart w:id="48" w:name="_Toc9940"/>
      <w:bookmarkStart w:id="49" w:name="_Toc23414"/>
      <w:r>
        <w:rPr>
          <w:rFonts w:hint="eastAsia" w:eastAsia="宋体" w:cs="宋体" w:asciiTheme="minorEastAsia" w:hAnsiTheme="minorEastAsia"/>
          <w:b/>
          <w:color w:val="auto"/>
          <w:kern w:val="2"/>
          <w:sz w:val="24"/>
          <w:szCs w:val="24"/>
          <w:lang w:val="en-US" w:eastAsia="zh-CN" w:bidi="ar-SA"/>
        </w:rPr>
        <w:t>1.3.1.</w:t>
      </w:r>
      <w:r>
        <w:rPr>
          <w:rFonts w:hint="eastAsia" w:ascii="宋体" w:hAnsi="宋体" w:eastAsia="宋体" w:cs="宋体"/>
          <w:b/>
          <w:color w:val="auto"/>
          <w:sz w:val="24"/>
          <w:szCs w:val="24"/>
          <w:highlight w:val="none"/>
        </w:rPr>
        <w:t xml:space="preserve"> 过滤循环水泵</w:t>
      </w:r>
      <w:bookmarkEnd w:id="46"/>
      <w:bookmarkEnd w:id="47"/>
      <w:bookmarkEnd w:id="48"/>
      <w:bookmarkEnd w:id="49"/>
    </w:p>
    <w:p w14:paraId="0EDDB931">
      <w:pPr>
        <w:numPr>
          <w:ilvl w:val="0"/>
          <w:numId w:val="5"/>
        </w:numPr>
        <w:tabs>
          <w:tab w:val="left" w:pos="900"/>
        </w:tabs>
        <w:autoSpaceDE w:val="0"/>
        <w:autoSpaceDN w:val="0"/>
        <w:adjustRightInd w:val="0"/>
        <w:spacing w:before="93" w:beforeLines="30" w:after="93" w:afterLines="30" w:line="360" w:lineRule="auto"/>
        <w:ind w:left="896" w:right="-23" w:hanging="357"/>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水泵应为卧式离心泵。泵体及叶轮连轴等材料须不被氯及氯化物腐蚀。</w:t>
      </w:r>
    </w:p>
    <w:p w14:paraId="6B16504F">
      <w:pPr>
        <w:numPr>
          <w:ilvl w:val="0"/>
          <w:numId w:val="5"/>
        </w:numPr>
        <w:tabs>
          <w:tab w:val="left" w:pos="900"/>
        </w:tabs>
        <w:autoSpaceDE w:val="0"/>
        <w:autoSpaceDN w:val="0"/>
        <w:adjustRightInd w:val="0"/>
        <w:spacing w:before="93" w:beforeLines="30" w:after="93" w:afterLines="30" w:line="360" w:lineRule="auto"/>
        <w:ind w:left="896" w:right="-23" w:hanging="357"/>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水泵自带专用毛</w:t>
      </w:r>
      <w:r>
        <w:rPr>
          <w:rFonts w:hint="eastAsia" w:ascii="宋体" w:hAnsi="宋体" w:eastAsia="宋体" w:cs="宋体"/>
          <w:color w:val="auto"/>
          <w:sz w:val="24"/>
          <w:szCs w:val="24"/>
          <w:highlight w:val="none"/>
        </w:rPr>
        <w:t>发收集器，上盖为快开式，开闭简洁，清洗方便。</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客房泡池不自带毛发收集器，但应配备Y型过滤器。</w:t>
      </w:r>
    </w:p>
    <w:p w14:paraId="5213D9CA">
      <w:pPr>
        <w:numPr>
          <w:ilvl w:val="0"/>
          <w:numId w:val="5"/>
        </w:numPr>
        <w:tabs>
          <w:tab w:val="left" w:pos="900"/>
        </w:tabs>
        <w:autoSpaceDE w:val="0"/>
        <w:autoSpaceDN w:val="0"/>
        <w:adjustRightInd w:val="0"/>
        <w:spacing w:before="93" w:beforeLines="30" w:after="93" w:afterLines="30" w:line="360" w:lineRule="auto"/>
        <w:ind w:left="896" w:right="-23" w:hanging="357"/>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每组水泵应有“工作泵”和“备用泵”，“工作泵”和“备用泵”应能人为设定。</w:t>
      </w:r>
      <w:r>
        <w:rPr>
          <w:rFonts w:hint="eastAsia" w:ascii="宋体" w:hAnsi="宋体" w:eastAsia="宋体" w:cs="宋体"/>
          <w:color w:val="auto"/>
          <w:sz w:val="24"/>
          <w:szCs w:val="24"/>
          <w:highlight w:val="none"/>
        </w:rPr>
        <w:t>客房泡池不设置备用泵。</w:t>
      </w:r>
    </w:p>
    <w:p w14:paraId="5E96F438">
      <w:pPr>
        <w:numPr>
          <w:ilvl w:val="0"/>
          <w:numId w:val="5"/>
        </w:numPr>
        <w:tabs>
          <w:tab w:val="left" w:pos="900"/>
        </w:tabs>
        <w:autoSpaceDE w:val="0"/>
        <w:autoSpaceDN w:val="0"/>
        <w:adjustRightInd w:val="0"/>
        <w:spacing w:before="93" w:beforeLines="30" w:after="93" w:afterLines="30" w:line="360" w:lineRule="auto"/>
        <w:ind w:left="896" w:right="-23" w:hanging="357"/>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水泵运转时产生的噪音和震动应尽量小。</w:t>
      </w:r>
    </w:p>
    <w:p w14:paraId="60240061">
      <w:pPr>
        <w:numPr>
          <w:ilvl w:val="0"/>
          <w:numId w:val="5"/>
        </w:numPr>
        <w:tabs>
          <w:tab w:val="left" w:pos="900"/>
        </w:tabs>
        <w:autoSpaceDE w:val="0"/>
        <w:autoSpaceDN w:val="0"/>
        <w:adjustRightInd w:val="0"/>
        <w:spacing w:before="93" w:beforeLines="30" w:after="93" w:afterLines="30" w:line="360" w:lineRule="auto"/>
        <w:ind w:left="896" w:right="-23" w:hanging="357"/>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水泵控制柜上应设有“自动/手动控制转换装置”。在“自动”工作方式下，当“工作泵”出现故障无法正常工作时，“备用泵”应能自动启动并投入运行。在水泵控制柜上应能对电压/电流/水泵的“运行”、“停止”及“故障”状态/电源的“正常”或“故障”状态参数或信息进行显示；并应设有短路保护/电动机过载保护/电源电压过压或欠压保护/低水位保护装置。</w:t>
      </w:r>
    </w:p>
    <w:p w14:paraId="602F62A0">
      <w:pPr>
        <w:numPr>
          <w:ilvl w:val="0"/>
          <w:numId w:val="5"/>
        </w:numPr>
        <w:tabs>
          <w:tab w:val="left" w:pos="900"/>
        </w:tabs>
        <w:autoSpaceDE w:val="0"/>
        <w:autoSpaceDN w:val="0"/>
        <w:adjustRightInd w:val="0"/>
        <w:spacing w:before="93" w:beforeLines="30" w:after="93" w:afterLines="30" w:line="360" w:lineRule="atLeast"/>
        <w:ind w:left="896" w:right="-23" w:hanging="357"/>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其他要求详见《水泵技术要求》</w:t>
      </w:r>
    </w:p>
    <w:p w14:paraId="14E788B7">
      <w:pPr>
        <w:pStyle w:val="34"/>
        <w:numPr>
          <w:ilvl w:val="1"/>
          <w:numId w:val="0"/>
        </w:numPr>
        <w:shd w:val="clear" w:fill="FFFFFF" w:themeFill="background1"/>
        <w:spacing w:line="360" w:lineRule="auto"/>
        <w:ind w:left="0" w:leftChars="0" w:firstLine="0" w:firstLineChars="0"/>
        <w:jc w:val="left"/>
        <w:outlineLvl w:val="1"/>
        <w:rPr>
          <w:rFonts w:hint="eastAsia" w:ascii="宋体" w:hAnsi="宋体" w:eastAsia="宋体" w:cs="宋体"/>
          <w:b/>
          <w:color w:val="auto"/>
          <w:sz w:val="24"/>
          <w:szCs w:val="24"/>
          <w:highlight w:val="none"/>
        </w:rPr>
      </w:pPr>
      <w:r>
        <w:rPr>
          <w:rFonts w:hint="eastAsia" w:eastAsia="宋体" w:cs="宋体" w:asciiTheme="minorEastAsia" w:hAnsiTheme="minorEastAsia"/>
          <w:b/>
          <w:color w:val="auto"/>
          <w:kern w:val="2"/>
          <w:sz w:val="24"/>
          <w:szCs w:val="24"/>
          <w:lang w:val="en-US" w:eastAsia="zh-CN" w:bidi="ar-SA"/>
        </w:rPr>
        <w:t>1.4.</w:t>
      </w:r>
      <w:r>
        <w:rPr>
          <w:rFonts w:hint="eastAsia" w:ascii="宋体" w:hAnsi="宋体" w:eastAsia="宋体" w:cs="宋体"/>
          <w:b/>
          <w:color w:val="auto"/>
          <w:sz w:val="24"/>
          <w:szCs w:val="24"/>
          <w:highlight w:val="none"/>
        </w:rPr>
        <w:t>按摩池/泡池水处理系统水质监测及投药系统技术要求</w:t>
      </w:r>
    </w:p>
    <w:p w14:paraId="1174A03C">
      <w:pPr>
        <w:pStyle w:val="34"/>
        <w:numPr>
          <w:ilvl w:val="2"/>
          <w:numId w:val="0"/>
        </w:numPr>
        <w:shd w:val="clear" w:fill="FFFFFF" w:themeFill="background1"/>
        <w:spacing w:line="360" w:lineRule="auto"/>
        <w:ind w:left="420" w:leftChars="0" w:firstLine="0" w:firstLineChars="0"/>
        <w:jc w:val="left"/>
        <w:outlineLvl w:val="1"/>
        <w:rPr>
          <w:rFonts w:hint="eastAsia" w:ascii="宋体" w:hAnsi="宋体" w:eastAsia="宋体" w:cs="宋体"/>
          <w:b/>
          <w:color w:val="auto"/>
          <w:sz w:val="24"/>
          <w:szCs w:val="24"/>
          <w:highlight w:val="none"/>
        </w:rPr>
      </w:pPr>
      <w:bookmarkStart w:id="50" w:name="_Toc30709"/>
      <w:bookmarkStart w:id="51" w:name="_Toc28937"/>
      <w:bookmarkStart w:id="52" w:name="_Toc12957"/>
      <w:bookmarkStart w:id="53" w:name="_Toc1221"/>
      <w:r>
        <w:rPr>
          <w:rFonts w:hint="eastAsia" w:eastAsia="宋体" w:cs="宋体" w:asciiTheme="minorEastAsia" w:hAnsiTheme="minorEastAsia"/>
          <w:b/>
          <w:color w:val="auto"/>
          <w:kern w:val="2"/>
          <w:sz w:val="24"/>
          <w:szCs w:val="24"/>
          <w:lang w:val="en-US" w:eastAsia="zh-CN" w:bidi="ar-SA"/>
        </w:rPr>
        <w:t>1.4.1.</w:t>
      </w:r>
      <w:r>
        <w:rPr>
          <w:rFonts w:hint="eastAsia" w:ascii="宋体" w:hAnsi="宋体" w:eastAsia="宋体" w:cs="宋体"/>
          <w:b/>
          <w:color w:val="auto"/>
          <w:sz w:val="24"/>
          <w:szCs w:val="24"/>
          <w:highlight w:val="none"/>
        </w:rPr>
        <w:t xml:space="preserve"> 一般要求</w:t>
      </w:r>
      <w:bookmarkEnd w:id="50"/>
      <w:bookmarkEnd w:id="51"/>
      <w:bookmarkEnd w:id="52"/>
      <w:bookmarkEnd w:id="53"/>
    </w:p>
    <w:p w14:paraId="4233E9C6">
      <w:pPr>
        <w:shd w:val="clear" w:fill="FFFFFF" w:themeFill="background1"/>
        <w:tabs>
          <w:tab w:val="left" w:pos="900"/>
        </w:tabs>
        <w:autoSpaceDE w:val="0"/>
        <w:autoSpaceDN w:val="0"/>
        <w:adjustRightInd w:val="0"/>
        <w:spacing w:before="93" w:beforeLines="30" w:after="93" w:afterLines="30" w:line="360" w:lineRule="atLeast"/>
        <w:ind w:left="539"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除特别注明外，池水水质监测系统及池水过滤设备应该采用全自动控制。</w:t>
      </w:r>
    </w:p>
    <w:p w14:paraId="5C9C31D0">
      <w:pPr>
        <w:pStyle w:val="34"/>
        <w:numPr>
          <w:ilvl w:val="2"/>
          <w:numId w:val="0"/>
        </w:numPr>
        <w:shd w:val="clear" w:fill="FFFFFF" w:themeFill="background1"/>
        <w:spacing w:line="360" w:lineRule="auto"/>
        <w:ind w:left="420" w:leftChars="0" w:firstLine="0" w:firstLineChars="0"/>
        <w:jc w:val="left"/>
        <w:outlineLvl w:val="1"/>
        <w:rPr>
          <w:rFonts w:hint="eastAsia" w:ascii="宋体" w:hAnsi="宋体" w:eastAsia="宋体" w:cs="宋体"/>
          <w:b/>
          <w:color w:val="auto"/>
          <w:sz w:val="24"/>
          <w:szCs w:val="24"/>
          <w:highlight w:val="none"/>
        </w:rPr>
      </w:pPr>
      <w:bookmarkStart w:id="54" w:name="_Toc29760"/>
      <w:bookmarkStart w:id="55" w:name="_Toc24580"/>
      <w:bookmarkStart w:id="56" w:name="_Toc10438"/>
      <w:bookmarkStart w:id="57" w:name="_Toc29541"/>
      <w:r>
        <w:rPr>
          <w:rFonts w:hint="eastAsia" w:eastAsia="宋体" w:cs="宋体" w:asciiTheme="minorEastAsia" w:hAnsiTheme="minorEastAsia"/>
          <w:b/>
          <w:color w:val="auto"/>
          <w:kern w:val="2"/>
          <w:sz w:val="24"/>
          <w:szCs w:val="24"/>
          <w:lang w:val="en-US" w:eastAsia="zh-CN" w:bidi="ar-SA"/>
        </w:rPr>
        <w:t>1.4.2.</w:t>
      </w:r>
      <w:r>
        <w:rPr>
          <w:rFonts w:hint="eastAsia" w:ascii="宋体" w:hAnsi="宋体" w:eastAsia="宋体" w:cs="宋体"/>
          <w:b/>
          <w:color w:val="auto"/>
          <w:sz w:val="24"/>
          <w:szCs w:val="24"/>
          <w:highlight w:val="none"/>
        </w:rPr>
        <w:t>按摩池水质监测</w:t>
      </w:r>
      <w:bookmarkEnd w:id="54"/>
      <w:bookmarkEnd w:id="55"/>
      <w:bookmarkEnd w:id="56"/>
      <w:bookmarkEnd w:id="57"/>
    </w:p>
    <w:p w14:paraId="6F2FCD14">
      <w:pPr>
        <w:shd w:val="clear" w:fill="FFFFFF" w:themeFill="background1"/>
        <w:tabs>
          <w:tab w:val="left" w:pos="900"/>
        </w:tabs>
        <w:autoSpaceDE w:val="0"/>
        <w:autoSpaceDN w:val="0"/>
        <w:adjustRightInd w:val="0"/>
        <w:spacing w:before="93" w:beforeLines="30" w:after="93" w:afterLines="30" w:line="360" w:lineRule="atLeast"/>
        <w:ind w:left="539"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应监测、显示下列项目</w:t>
      </w:r>
    </w:p>
    <w:p w14:paraId="17DB7446">
      <w:pPr>
        <w:numPr>
          <w:ilvl w:val="0"/>
          <w:numId w:val="6"/>
        </w:numPr>
        <w:shd w:val="clear" w:fill="FFFFFF" w:themeFill="background1"/>
        <w:tabs>
          <w:tab w:val="left" w:pos="900"/>
        </w:tabs>
        <w:autoSpaceDE w:val="0"/>
        <w:autoSpaceDN w:val="0"/>
        <w:adjustRightInd w:val="0"/>
        <w:spacing w:before="93" w:beforeLines="30" w:after="93" w:afterLines="30" w:line="360" w:lineRule="atLeast"/>
        <w:ind w:left="896" w:right="-23" w:hanging="357"/>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连续监测、显示和记录池水的ORP值、PH值、余氯量、水温</w:t>
      </w:r>
      <w:r>
        <w:rPr>
          <w:rFonts w:hint="eastAsia" w:ascii="宋体" w:hAnsi="宋体" w:eastAsia="宋体" w:cs="宋体"/>
          <w:color w:val="auto"/>
          <w:sz w:val="24"/>
          <w:szCs w:val="24"/>
          <w:highlight w:val="none"/>
        </w:rPr>
        <w:t>值</w:t>
      </w:r>
      <w:r>
        <w:rPr>
          <w:rFonts w:hint="eastAsia" w:ascii="宋体" w:hAnsi="宋体" w:eastAsia="宋体" w:cs="宋体"/>
          <w:color w:val="auto"/>
          <w:sz w:val="24"/>
          <w:szCs w:val="24"/>
          <w:highlight w:val="none"/>
          <w:lang w:val="en-GB"/>
        </w:rPr>
        <w:t>。</w:t>
      </w:r>
    </w:p>
    <w:p w14:paraId="59086C95">
      <w:pPr>
        <w:numPr>
          <w:ilvl w:val="0"/>
          <w:numId w:val="6"/>
        </w:numPr>
        <w:shd w:val="clear" w:fill="FFFFFF" w:themeFill="background1"/>
        <w:tabs>
          <w:tab w:val="left" w:pos="900"/>
        </w:tabs>
        <w:autoSpaceDE w:val="0"/>
        <w:autoSpaceDN w:val="0"/>
        <w:adjustRightInd w:val="0"/>
        <w:spacing w:before="93" w:beforeLines="30" w:after="93" w:afterLines="30" w:line="360" w:lineRule="atLeast"/>
        <w:ind w:left="896" w:right="-23" w:hanging="357"/>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投药设备运行状况和其他设备的控制和监测。</w:t>
      </w:r>
    </w:p>
    <w:p w14:paraId="333A7116">
      <w:pPr>
        <w:pStyle w:val="34"/>
        <w:numPr>
          <w:ilvl w:val="2"/>
          <w:numId w:val="0"/>
        </w:numPr>
        <w:shd w:val="clear" w:fill="FFFFFF" w:themeFill="background1"/>
        <w:spacing w:line="360" w:lineRule="auto"/>
        <w:ind w:left="420" w:leftChars="0" w:firstLine="0" w:firstLineChars="0"/>
        <w:jc w:val="left"/>
        <w:outlineLvl w:val="1"/>
        <w:rPr>
          <w:rFonts w:hint="eastAsia" w:ascii="宋体" w:hAnsi="宋体" w:eastAsia="宋体" w:cs="宋体"/>
          <w:b/>
          <w:color w:val="auto"/>
          <w:sz w:val="24"/>
          <w:szCs w:val="24"/>
          <w:highlight w:val="none"/>
        </w:rPr>
      </w:pPr>
      <w:bookmarkStart w:id="58" w:name="_Toc12945"/>
      <w:bookmarkStart w:id="59" w:name="_Toc7824"/>
      <w:bookmarkStart w:id="60" w:name="_Toc426"/>
      <w:bookmarkStart w:id="61" w:name="_Toc5289"/>
      <w:r>
        <w:rPr>
          <w:rFonts w:hint="eastAsia" w:eastAsia="宋体" w:cs="宋体" w:asciiTheme="minorEastAsia" w:hAnsiTheme="minorEastAsia"/>
          <w:b/>
          <w:color w:val="auto"/>
          <w:kern w:val="2"/>
          <w:sz w:val="24"/>
          <w:szCs w:val="24"/>
          <w:lang w:val="en-US" w:eastAsia="zh-CN" w:bidi="ar-SA"/>
        </w:rPr>
        <w:t>1.4.3.</w:t>
      </w:r>
      <w:r>
        <w:rPr>
          <w:rFonts w:hint="eastAsia" w:ascii="宋体" w:hAnsi="宋体" w:eastAsia="宋体" w:cs="宋体"/>
          <w:b/>
          <w:color w:val="auto"/>
          <w:sz w:val="24"/>
          <w:szCs w:val="24"/>
          <w:highlight w:val="none"/>
        </w:rPr>
        <w:t>控制要求</w:t>
      </w:r>
      <w:bookmarkEnd w:id="58"/>
      <w:bookmarkEnd w:id="59"/>
      <w:bookmarkEnd w:id="60"/>
      <w:bookmarkEnd w:id="61"/>
    </w:p>
    <w:p w14:paraId="6411347A">
      <w:pPr>
        <w:pStyle w:val="62"/>
        <w:numPr>
          <w:ilvl w:val="0"/>
          <w:numId w:val="7"/>
        </w:numPr>
        <w:shd w:val="clear" w:fill="FFFFFF" w:themeFill="background1"/>
        <w:adjustRightInd w:val="0"/>
        <w:snapToGrid w:val="0"/>
        <w:spacing w:after="50"/>
        <w:ind w:firstLineChars="0"/>
        <w:rPr>
          <w:rFonts w:hint="eastAsia" w:ascii="宋体" w:hAnsi="宋体" w:eastAsia="宋体" w:cs="宋体"/>
          <w:color w:val="auto"/>
          <w:sz w:val="24"/>
          <w:szCs w:val="24"/>
          <w:highlight w:val="none"/>
        </w:rPr>
      </w:pPr>
      <w:bookmarkStart w:id="62" w:name="_Toc23060"/>
      <w:bookmarkStart w:id="63" w:name="_Toc20165"/>
      <w:bookmarkStart w:id="64" w:name="_Toc10986"/>
      <w:bookmarkStart w:id="65" w:name="_Toc19912"/>
      <w:r>
        <w:rPr>
          <w:rFonts w:hint="eastAsia" w:ascii="宋体" w:hAnsi="宋体" w:eastAsia="宋体" w:cs="宋体"/>
          <w:color w:val="auto"/>
          <w:sz w:val="24"/>
          <w:szCs w:val="24"/>
          <w:highlight w:val="none"/>
        </w:rPr>
        <w:t>内须供应及安装</w:t>
      </w:r>
      <w:r>
        <w:rPr>
          <w:rFonts w:hint="eastAsia" w:ascii="宋体" w:hAnsi="宋体" w:eastAsia="宋体" w:cs="宋体"/>
          <w:b/>
          <w:bCs/>
          <w:color w:val="auto"/>
          <w:sz w:val="24"/>
          <w:szCs w:val="24"/>
          <w:highlight w:val="none"/>
        </w:rPr>
        <w:t>ORP、PH、余氯、温度</w:t>
      </w:r>
      <w:r>
        <w:rPr>
          <w:rFonts w:hint="eastAsia" w:ascii="宋体" w:hAnsi="宋体" w:eastAsia="宋体" w:cs="宋体"/>
          <w:color w:val="auto"/>
          <w:sz w:val="24"/>
          <w:szCs w:val="24"/>
          <w:highlight w:val="none"/>
        </w:rPr>
        <w:t>监测仪，以便控制池内的</w:t>
      </w:r>
      <w:r>
        <w:rPr>
          <w:rFonts w:hint="eastAsia" w:ascii="宋体" w:hAnsi="宋体" w:eastAsia="宋体" w:cs="宋体"/>
          <w:b/>
          <w:bCs/>
          <w:color w:val="auto"/>
          <w:sz w:val="24"/>
          <w:szCs w:val="24"/>
          <w:highlight w:val="none"/>
        </w:rPr>
        <w:t>ORP、PH、余氯、温度</w:t>
      </w:r>
      <w:r>
        <w:rPr>
          <w:rFonts w:hint="eastAsia" w:ascii="宋体" w:hAnsi="宋体" w:eastAsia="宋体" w:cs="宋体"/>
          <w:color w:val="auto"/>
          <w:sz w:val="24"/>
          <w:szCs w:val="24"/>
          <w:highlight w:val="none"/>
        </w:rPr>
        <w:t>值。</w:t>
      </w:r>
    </w:p>
    <w:p w14:paraId="03172436">
      <w:pPr>
        <w:pStyle w:val="62"/>
        <w:numPr>
          <w:ilvl w:val="0"/>
          <w:numId w:val="7"/>
        </w:numPr>
        <w:shd w:val="clear"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ORP、PH、余氯、温度</w:t>
      </w:r>
      <w:r>
        <w:rPr>
          <w:rFonts w:hint="eastAsia" w:ascii="宋体" w:hAnsi="宋体" w:eastAsia="宋体" w:cs="宋体"/>
          <w:color w:val="auto"/>
          <w:sz w:val="24"/>
          <w:szCs w:val="24"/>
          <w:highlight w:val="none"/>
        </w:rPr>
        <w:t>感应器一般均安装在池内的回水管位置。</w:t>
      </w:r>
    </w:p>
    <w:p w14:paraId="29D4D0B5">
      <w:pPr>
        <w:pStyle w:val="62"/>
        <w:numPr>
          <w:ilvl w:val="0"/>
          <w:numId w:val="7"/>
        </w:numPr>
        <w:shd w:val="clear"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测量参数指标和精度要求：</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温度：-5-45°C,±0.5℃</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pH值：1-12,±0.05</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余氯：0.1-10mg/L(ppm),±0.05mg/L(ppm)</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浊度：0-10NTU,±0.05NTU</w:t>
      </w:r>
    </w:p>
    <w:p w14:paraId="64578639">
      <w:pPr>
        <w:pStyle w:val="62"/>
        <w:numPr>
          <w:ilvl w:val="0"/>
          <w:numId w:val="7"/>
        </w:numPr>
        <w:shd w:val="clear"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ORP、余氯值调节一般用以控制氯的投加，当ORP、余氯不符合设定要求时自动控制投药泵进行投加。</w:t>
      </w:r>
    </w:p>
    <w:p w14:paraId="0CC51AB7">
      <w:pPr>
        <w:pStyle w:val="62"/>
        <w:numPr>
          <w:ilvl w:val="0"/>
          <w:numId w:val="7"/>
        </w:numPr>
        <w:shd w:val="clear"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测量精度，余氯探头的测量次数要求每秒超过1次。</w:t>
      </w:r>
    </w:p>
    <w:p w14:paraId="009EA870">
      <w:pPr>
        <w:pStyle w:val="62"/>
        <w:numPr>
          <w:ilvl w:val="0"/>
          <w:numId w:val="7"/>
        </w:numPr>
        <w:shd w:val="clear"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自我诊断和自我校准功能。无需校准液或传感器校准。</w:t>
      </w:r>
    </w:p>
    <w:p w14:paraId="61B08EE0">
      <w:pPr>
        <w:pStyle w:val="62"/>
        <w:numPr>
          <w:ilvl w:val="0"/>
          <w:numId w:val="7"/>
        </w:numPr>
        <w:shd w:val="clear"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IP等级65。</w:t>
      </w:r>
    </w:p>
    <w:p w14:paraId="4D661E70">
      <w:pPr>
        <w:pStyle w:val="62"/>
        <w:numPr>
          <w:ilvl w:val="0"/>
          <w:numId w:val="7"/>
        </w:numPr>
        <w:shd w:val="clear"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GB"/>
        </w:rPr>
        <w:t>整机原装进口，</w:t>
      </w:r>
      <w:r>
        <w:rPr>
          <w:rFonts w:hint="eastAsia" w:ascii="宋体" w:hAnsi="宋体" w:eastAsia="宋体" w:cs="宋体"/>
          <w:color w:val="auto"/>
          <w:sz w:val="24"/>
          <w:szCs w:val="24"/>
          <w:highlight w:val="none"/>
        </w:rPr>
        <w:t>NSF认证文件，</w:t>
      </w:r>
      <w:r>
        <w:rPr>
          <w:rFonts w:hint="eastAsia" w:ascii="宋体" w:hAnsi="宋体" w:eastAsia="宋体" w:cs="宋体"/>
          <w:color w:val="auto"/>
          <w:sz w:val="24"/>
          <w:szCs w:val="24"/>
          <w:highlight w:val="none"/>
          <w:lang w:val="en-GB"/>
        </w:rPr>
        <w:t>需出具报关证明文件。</w:t>
      </w:r>
    </w:p>
    <w:p w14:paraId="61AA85AD">
      <w:pPr>
        <w:pStyle w:val="62"/>
        <w:numPr>
          <w:ilvl w:val="0"/>
          <w:numId w:val="7"/>
        </w:numPr>
        <w:shd w:val="clear"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有关附件用以配合调节器操作亦须由本承包单位负责提供。</w:t>
      </w:r>
    </w:p>
    <w:p w14:paraId="65D739A1">
      <w:pPr>
        <w:pStyle w:val="62"/>
        <w:numPr>
          <w:ilvl w:val="0"/>
          <w:numId w:val="7"/>
        </w:numPr>
        <w:shd w:val="clear"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客房泡池不配置</w:t>
      </w:r>
      <w:r>
        <w:rPr>
          <w:rFonts w:hint="eastAsia" w:ascii="宋体" w:hAnsi="宋体" w:eastAsia="宋体" w:cs="宋体"/>
          <w:color w:val="auto"/>
          <w:sz w:val="24"/>
          <w:szCs w:val="24"/>
          <w:highlight w:val="none"/>
          <w:lang w:val="en-GB"/>
        </w:rPr>
        <w:t>。</w:t>
      </w:r>
    </w:p>
    <w:p w14:paraId="0CCAB207">
      <w:pPr>
        <w:pStyle w:val="34"/>
        <w:numPr>
          <w:ilvl w:val="2"/>
          <w:numId w:val="0"/>
        </w:numPr>
        <w:shd w:val="clear" w:fill="FFFFFF" w:themeFill="background1"/>
        <w:spacing w:line="360" w:lineRule="auto"/>
        <w:ind w:left="420" w:leftChars="0" w:firstLine="0" w:firstLineChars="0"/>
        <w:jc w:val="left"/>
        <w:outlineLvl w:val="1"/>
        <w:rPr>
          <w:rFonts w:hint="eastAsia" w:ascii="宋体" w:hAnsi="宋体" w:eastAsia="宋体" w:cs="宋体"/>
          <w:b/>
          <w:color w:val="auto"/>
          <w:sz w:val="24"/>
          <w:szCs w:val="24"/>
          <w:highlight w:val="none"/>
        </w:rPr>
      </w:pPr>
      <w:r>
        <w:rPr>
          <w:rFonts w:hint="eastAsia" w:eastAsia="宋体" w:cs="宋体" w:asciiTheme="minorEastAsia" w:hAnsiTheme="minorEastAsia"/>
          <w:b/>
          <w:color w:val="auto"/>
          <w:kern w:val="2"/>
          <w:sz w:val="24"/>
          <w:szCs w:val="24"/>
          <w:lang w:val="en-US" w:eastAsia="zh-CN" w:bidi="ar-SA"/>
        </w:rPr>
        <w:t>1.4.4.</w:t>
      </w:r>
      <w:r>
        <w:rPr>
          <w:rFonts w:hint="eastAsia" w:ascii="宋体" w:hAnsi="宋体" w:eastAsia="宋体" w:cs="宋体"/>
          <w:b/>
          <w:color w:val="auto"/>
          <w:sz w:val="24"/>
          <w:szCs w:val="24"/>
          <w:highlight w:val="none"/>
        </w:rPr>
        <w:t>按摩池计量投药装置</w:t>
      </w:r>
      <w:bookmarkEnd w:id="62"/>
      <w:bookmarkEnd w:id="63"/>
      <w:bookmarkEnd w:id="64"/>
      <w:bookmarkEnd w:id="65"/>
    </w:p>
    <w:p w14:paraId="571C7688">
      <w:pPr>
        <w:numPr>
          <w:ilvl w:val="0"/>
          <w:numId w:val="8"/>
        </w:numPr>
        <w:shd w:val="clear" w:fill="FFFFFF" w:themeFill="background1"/>
        <w:tabs>
          <w:tab w:val="left" w:pos="900"/>
        </w:tabs>
        <w:autoSpaceDE w:val="0"/>
        <w:autoSpaceDN w:val="0"/>
        <w:adjustRightInd w:val="0"/>
        <w:spacing w:before="93" w:beforeLines="30" w:after="93" w:afterLines="30" w:line="360" w:lineRule="auto"/>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设计1套计量投药装置。通过监控传输信号控制计量泵的频率用于PH调整剂</w:t>
      </w:r>
      <w:r>
        <w:rPr>
          <w:rFonts w:hint="eastAsia" w:ascii="宋体" w:hAnsi="宋体" w:eastAsia="宋体" w:cs="宋体"/>
          <w:color w:val="auto"/>
          <w:sz w:val="24"/>
          <w:szCs w:val="24"/>
          <w:highlight w:val="none"/>
          <w:lang w:val="en-GB"/>
        </w:rPr>
        <w:t>。</w:t>
      </w:r>
    </w:p>
    <w:p w14:paraId="79FC1DE3">
      <w:pPr>
        <w:numPr>
          <w:ilvl w:val="0"/>
          <w:numId w:val="8"/>
        </w:numPr>
        <w:shd w:val="clear" w:fill="FFFFFF" w:themeFill="background1"/>
        <w:tabs>
          <w:tab w:val="left" w:pos="900"/>
        </w:tabs>
        <w:autoSpaceDE w:val="0"/>
        <w:autoSpaceDN w:val="0"/>
        <w:adjustRightInd w:val="0"/>
        <w:spacing w:before="93" w:beforeLines="30" w:after="93" w:afterLines="30" w:line="360" w:lineRule="auto"/>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该加药装置罐体为PE材质，耐腐蚀性能好，并配置药剂计量泵，可根据水质情况随时调节加药量。</w:t>
      </w:r>
    </w:p>
    <w:p w14:paraId="58138F8A">
      <w:pPr>
        <w:numPr>
          <w:ilvl w:val="0"/>
          <w:numId w:val="8"/>
        </w:numPr>
        <w:shd w:val="clear" w:fill="FFFFFF" w:themeFill="background1"/>
        <w:tabs>
          <w:tab w:val="left" w:pos="900"/>
        </w:tabs>
        <w:autoSpaceDE w:val="0"/>
        <w:autoSpaceDN w:val="0"/>
        <w:adjustRightInd w:val="0"/>
        <w:spacing w:before="93" w:beforeLines="30" w:after="93" w:afterLines="30" w:line="360" w:lineRule="auto"/>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所提供投药泵流量扬程，应能满足系统需求</w:t>
      </w:r>
    </w:p>
    <w:p w14:paraId="01768790">
      <w:pPr>
        <w:numPr>
          <w:ilvl w:val="0"/>
          <w:numId w:val="8"/>
        </w:numPr>
        <w:shd w:val="clear" w:fill="FFFFFF" w:themeFill="background1"/>
        <w:tabs>
          <w:tab w:val="left" w:pos="900"/>
        </w:tabs>
        <w:autoSpaceDE w:val="0"/>
        <w:autoSpaceDN w:val="0"/>
        <w:adjustRightInd w:val="0"/>
        <w:spacing w:before="93" w:beforeLines="30" w:after="93" w:afterLines="30" w:line="360" w:lineRule="auto"/>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溶药池、定量投加装置和溶液管道应采用不透水和耐腐蚀的材料制造。</w:t>
      </w:r>
    </w:p>
    <w:p w14:paraId="3B3B5E67">
      <w:pPr>
        <w:numPr>
          <w:ilvl w:val="0"/>
          <w:numId w:val="8"/>
        </w:numPr>
        <w:shd w:val="clear" w:fill="FFFFFF" w:themeFill="background1"/>
        <w:tabs>
          <w:tab w:val="left" w:pos="900"/>
        </w:tabs>
        <w:autoSpaceDE w:val="0"/>
        <w:autoSpaceDN w:val="0"/>
        <w:adjustRightInd w:val="0"/>
        <w:spacing w:before="93" w:beforeLines="30" w:after="93" w:afterLines="30" w:line="360" w:lineRule="auto"/>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客房泡池不配置。</w:t>
      </w:r>
    </w:p>
    <w:p w14:paraId="6FA16D02">
      <w:pPr>
        <w:pStyle w:val="34"/>
        <w:numPr>
          <w:ilvl w:val="1"/>
          <w:numId w:val="0"/>
        </w:numPr>
        <w:shd w:val="clear" w:fill="FFFFFF" w:themeFill="background1"/>
        <w:spacing w:line="360" w:lineRule="auto"/>
        <w:ind w:left="0" w:leftChars="0" w:firstLine="0" w:firstLineChars="0"/>
        <w:jc w:val="left"/>
        <w:outlineLvl w:val="1"/>
        <w:rPr>
          <w:rFonts w:hint="eastAsia" w:ascii="宋体" w:hAnsi="宋体" w:eastAsia="宋体" w:cs="宋体"/>
          <w:b/>
          <w:color w:val="auto"/>
          <w:sz w:val="24"/>
          <w:szCs w:val="24"/>
          <w:highlight w:val="none"/>
        </w:rPr>
      </w:pPr>
      <w:r>
        <w:rPr>
          <w:rFonts w:hint="eastAsia" w:eastAsia="宋体" w:cs="宋体" w:asciiTheme="minorEastAsia" w:hAnsiTheme="minorEastAsia"/>
          <w:b/>
          <w:color w:val="auto"/>
          <w:kern w:val="2"/>
          <w:sz w:val="24"/>
          <w:szCs w:val="24"/>
          <w:lang w:val="en-US" w:eastAsia="zh-CN" w:bidi="ar-SA"/>
        </w:rPr>
        <w:t>1.5.</w:t>
      </w:r>
      <w:r>
        <w:rPr>
          <w:rFonts w:hint="eastAsia" w:ascii="宋体" w:hAnsi="宋体" w:eastAsia="宋体" w:cs="宋体"/>
          <w:b/>
          <w:color w:val="auto"/>
          <w:sz w:val="24"/>
          <w:szCs w:val="24"/>
          <w:highlight w:val="none"/>
        </w:rPr>
        <w:t>紫外线杀菌技术要求</w:t>
      </w:r>
    </w:p>
    <w:p w14:paraId="1EDFD7FF">
      <w:pPr>
        <w:pStyle w:val="62"/>
        <w:numPr>
          <w:ilvl w:val="2"/>
          <w:numId w:val="9"/>
        </w:numPr>
        <w:shd w:val="clear"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破坏池水中99.9%的耐氯微生物；</w:t>
      </w:r>
    </w:p>
    <w:p w14:paraId="0C6E0544">
      <w:pPr>
        <w:pStyle w:val="62"/>
        <w:numPr>
          <w:ilvl w:val="2"/>
          <w:numId w:val="9"/>
        </w:numPr>
        <w:shd w:val="clear"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一个智能的、一体化的设计，有效地运行保证池水的干净；</w:t>
      </w:r>
    </w:p>
    <w:p w14:paraId="73CCBAF2">
      <w:pPr>
        <w:pStyle w:val="62"/>
        <w:numPr>
          <w:ilvl w:val="2"/>
          <w:numId w:val="9"/>
        </w:numPr>
        <w:shd w:val="clear"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提供消毒保障，减少了氯胺的刺激；</w:t>
      </w:r>
    </w:p>
    <w:p w14:paraId="102CCD6E">
      <w:pPr>
        <w:pStyle w:val="62"/>
        <w:numPr>
          <w:ilvl w:val="2"/>
          <w:numId w:val="9"/>
        </w:numPr>
        <w:shd w:val="clear"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一体式整机便于安装；</w:t>
      </w:r>
    </w:p>
    <w:p w14:paraId="21D19DA6">
      <w:pPr>
        <w:pStyle w:val="34"/>
        <w:numPr>
          <w:ilvl w:val="1"/>
          <w:numId w:val="0"/>
        </w:numPr>
        <w:shd w:val="clear" w:color="auto" w:fill="FFFFFF" w:themeFill="background1"/>
        <w:spacing w:line="360" w:lineRule="auto"/>
        <w:ind w:left="0" w:leftChars="0" w:firstLine="0" w:firstLineChars="0"/>
        <w:jc w:val="left"/>
        <w:outlineLvl w:val="1"/>
        <w:rPr>
          <w:rFonts w:hint="eastAsia" w:ascii="宋体" w:hAnsi="宋体" w:eastAsia="宋体" w:cs="宋体"/>
          <w:b/>
          <w:color w:val="auto"/>
          <w:sz w:val="24"/>
          <w:szCs w:val="24"/>
          <w:highlight w:val="none"/>
        </w:rPr>
      </w:pPr>
      <w:bookmarkStart w:id="66" w:name="_Toc15979"/>
      <w:bookmarkStart w:id="67" w:name="_Toc11113"/>
      <w:bookmarkStart w:id="68" w:name="_Toc30138"/>
      <w:bookmarkStart w:id="69" w:name="_Toc29397"/>
      <w:r>
        <w:rPr>
          <w:rFonts w:hint="eastAsia" w:eastAsia="宋体" w:cs="宋体" w:asciiTheme="minorEastAsia" w:hAnsiTheme="minorEastAsia"/>
          <w:b/>
          <w:color w:val="auto"/>
          <w:kern w:val="2"/>
          <w:sz w:val="24"/>
          <w:szCs w:val="24"/>
          <w:lang w:val="en-US" w:eastAsia="zh-CN" w:bidi="ar-SA"/>
        </w:rPr>
        <w:t>1.6.</w:t>
      </w:r>
      <w:r>
        <w:rPr>
          <w:rFonts w:hint="eastAsia" w:ascii="宋体" w:hAnsi="宋体" w:eastAsia="宋体" w:cs="宋体"/>
          <w:b/>
          <w:color w:val="auto"/>
          <w:sz w:val="24"/>
          <w:szCs w:val="24"/>
          <w:highlight w:val="none"/>
        </w:rPr>
        <w:t>真空破坏器</w:t>
      </w:r>
    </w:p>
    <w:p w14:paraId="0199B4FD">
      <w:pPr>
        <w:pStyle w:val="62"/>
        <w:numPr>
          <w:ilvl w:val="2"/>
          <w:numId w:val="10"/>
        </w:numPr>
        <w:shd w:val="clear" w:color="auto"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含单向止回、通风屏，锁定释放机构，浪涌抑制器，旋转螺钉及真空计；</w:t>
      </w:r>
    </w:p>
    <w:p w14:paraId="00C0EC8F">
      <w:pPr>
        <w:pStyle w:val="62"/>
        <w:numPr>
          <w:ilvl w:val="2"/>
          <w:numId w:val="10"/>
        </w:numPr>
        <w:shd w:val="clear" w:color="auto"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非国标12S108-2《真空破坏器选用与安装》设置在泳池系统充水或补水管道出口与溢流水位之间的空气间隙小于出口管径2.5倍时安装的产品；</w:t>
      </w:r>
    </w:p>
    <w:p w14:paraId="043FE898">
      <w:pPr>
        <w:pStyle w:val="62"/>
        <w:numPr>
          <w:ilvl w:val="2"/>
          <w:numId w:val="10"/>
        </w:numPr>
        <w:shd w:val="clear" w:color="auto"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应用场景为泡池、按摩池主回水主管上安装；</w:t>
      </w:r>
    </w:p>
    <w:p w14:paraId="22CAC880">
      <w:pPr>
        <w:pStyle w:val="62"/>
        <w:numPr>
          <w:ilvl w:val="2"/>
          <w:numId w:val="10"/>
        </w:numPr>
        <w:shd w:val="clear" w:color="auto" w:fill="FFFFFF" w:themeFill="background1"/>
        <w:adjustRightInd w:val="0"/>
        <w:snapToGrid w:val="0"/>
        <w:spacing w:after="50"/>
        <w:ind w:firstLineChars="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需获得ARL（CERTIFICATE OF COMPLIANCE）认证；</w:t>
      </w:r>
    </w:p>
    <w:p w14:paraId="587AA752">
      <w:pPr>
        <w:pStyle w:val="62"/>
        <w:numPr>
          <w:ilvl w:val="2"/>
          <w:numId w:val="10"/>
        </w:numPr>
        <w:shd w:val="clear" w:color="auto" w:fill="FFFFFF" w:themeFill="background1"/>
        <w:adjustRightInd w:val="0"/>
        <w:snapToGrid w:val="0"/>
        <w:spacing w:after="50"/>
        <w:ind w:firstLineChars="0"/>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真空警报安全真空释放系统的弹簧加载活塞不稳定地反应，打开大气并释放危及生命的排水口吸力。</w:t>
      </w:r>
    </w:p>
    <w:p w14:paraId="7471C6D5">
      <w:pPr>
        <w:pStyle w:val="62"/>
        <w:numPr>
          <w:ilvl w:val="2"/>
          <w:numId w:val="10"/>
        </w:numPr>
        <w:shd w:val="clear" w:color="auto" w:fill="FFFFFF" w:themeFill="background1"/>
        <w:adjustRightInd w:val="0"/>
        <w:snapToGrid w:val="0"/>
        <w:spacing w:after="50"/>
        <w:ind w:firstLineChars="0"/>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其材质为耐腐蚀的PVC和不锈钢结构，确保使用寿命长；</w:t>
      </w:r>
    </w:p>
    <w:p w14:paraId="4BE5D59C">
      <w:pPr>
        <w:pStyle w:val="62"/>
        <w:numPr>
          <w:ilvl w:val="2"/>
          <w:numId w:val="10"/>
        </w:numPr>
        <w:shd w:val="clear" w:color="auto" w:fill="FFFFFF" w:themeFill="background1"/>
        <w:adjustRightInd w:val="0"/>
        <w:snapToGrid w:val="0"/>
        <w:spacing w:after="50"/>
        <w:ind w:firstLineChars="0"/>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确保跳闸不损坏水泵。</w:t>
      </w:r>
    </w:p>
    <w:p w14:paraId="4B40A1CE">
      <w:pPr>
        <w:pStyle w:val="34"/>
        <w:numPr>
          <w:ilvl w:val="1"/>
          <w:numId w:val="0"/>
        </w:numPr>
        <w:shd w:val="clear" w:fill="FFFFFF" w:themeFill="background1"/>
        <w:spacing w:line="360" w:lineRule="auto"/>
        <w:ind w:left="0" w:leftChars="0" w:firstLine="0" w:firstLineChars="0"/>
        <w:jc w:val="left"/>
        <w:outlineLvl w:val="1"/>
        <w:rPr>
          <w:rFonts w:hint="eastAsia" w:ascii="宋体" w:hAnsi="宋体" w:eastAsia="宋体" w:cs="宋体"/>
          <w:b/>
          <w:color w:val="auto"/>
          <w:sz w:val="24"/>
          <w:szCs w:val="24"/>
          <w:highlight w:val="none"/>
        </w:rPr>
      </w:pPr>
      <w:r>
        <w:rPr>
          <w:rFonts w:hint="eastAsia" w:eastAsia="宋体" w:cs="宋体" w:asciiTheme="minorEastAsia" w:hAnsiTheme="minorEastAsia"/>
          <w:b/>
          <w:color w:val="auto"/>
          <w:kern w:val="2"/>
          <w:sz w:val="24"/>
          <w:szCs w:val="24"/>
          <w:lang w:val="en-US" w:eastAsia="zh-CN" w:bidi="ar-SA"/>
        </w:rPr>
        <w:t>1.7.</w:t>
      </w:r>
      <w:r>
        <w:rPr>
          <w:rFonts w:hint="eastAsia" w:ascii="宋体" w:hAnsi="宋体" w:eastAsia="宋体" w:cs="宋体"/>
          <w:b/>
          <w:color w:val="auto"/>
          <w:sz w:val="24"/>
          <w:szCs w:val="24"/>
          <w:highlight w:val="none"/>
        </w:rPr>
        <w:t>客房泡池电控系统要求</w:t>
      </w:r>
    </w:p>
    <w:p w14:paraId="098C3767">
      <w:pPr>
        <w:numPr>
          <w:ilvl w:val="0"/>
          <w:numId w:val="11"/>
        </w:numPr>
        <w:shd w:val="clear" w:fill="FFFFFF" w:themeFill="background1"/>
        <w:tabs>
          <w:tab w:val="left" w:pos="900"/>
        </w:tabs>
        <w:autoSpaceDE w:val="0"/>
        <w:autoSpaceDN w:val="0"/>
        <w:adjustRightInd w:val="0"/>
        <w:spacing w:before="93" w:beforeLines="30" w:after="93" w:afterLines="30" w:line="360" w:lineRule="auto"/>
        <w:ind w:left="900" w:right="-23" w:hanging="36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客房泡池系统设备设置在泳池设备房内，客房泡池按摩泵通过设置在按摩池/泡池边红外线按钮触发启动；</w:t>
      </w:r>
    </w:p>
    <w:p w14:paraId="63361C8B">
      <w:pPr>
        <w:numPr>
          <w:ilvl w:val="0"/>
          <w:numId w:val="11"/>
        </w:numPr>
        <w:shd w:val="clear" w:fill="FFFFFF" w:themeFill="background1"/>
        <w:tabs>
          <w:tab w:val="left" w:pos="900"/>
        </w:tabs>
        <w:autoSpaceDE w:val="0"/>
        <w:autoSpaceDN w:val="0"/>
        <w:adjustRightInd w:val="0"/>
        <w:spacing w:before="93" w:beforeLines="30" w:after="93" w:afterLines="30" w:line="360" w:lineRule="auto"/>
        <w:ind w:left="900" w:right="-23" w:hanging="360"/>
        <w:jc w:val="left"/>
        <w:textAlignment w:val="baseline"/>
        <w:rPr>
          <w:rFonts w:hint="eastAsia" w:ascii="宋体" w:hAnsi="宋体" w:eastAsia="宋体" w:cs="宋体"/>
          <w:color w:val="auto"/>
          <w:sz w:val="24"/>
          <w:szCs w:val="24"/>
          <w:highlight w:val="none"/>
          <w:shd w:val="clear" w:color="auto" w:fill="FFFF00"/>
        </w:rPr>
      </w:pPr>
      <w:r>
        <w:rPr>
          <w:rFonts w:hint="eastAsia" w:ascii="宋体" w:hAnsi="宋体" w:eastAsia="宋体" w:cs="宋体"/>
          <w:color w:val="auto"/>
          <w:sz w:val="24"/>
          <w:szCs w:val="24"/>
          <w:highlight w:val="none"/>
        </w:rPr>
        <w:t>泡池电控箱分为两个箱体：</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1号箱体设置在客房内客房衣柜内，控制泡池阀门组；规格尺寸限定不大于0.5m*0.4m*0.16m；</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HMI触屏设置在客房泡池边，为单套系统控制大脑，提供客户操作泡池功能指令；</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2号箱体设置在设备区域内，控制设备组；单套参考尺寸限定不大于0.5m*0.4m*0.16m；</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总控电脑（甲供）设置在工程师维修设备房内。</w:t>
      </w:r>
    </w:p>
    <w:p w14:paraId="2DF1EE31">
      <w:pPr>
        <w:numPr>
          <w:ilvl w:val="0"/>
          <w:numId w:val="11"/>
        </w:numPr>
        <w:shd w:val="clear" w:fill="FFFFFF" w:themeFill="background1"/>
        <w:tabs>
          <w:tab w:val="left" w:pos="900"/>
        </w:tabs>
        <w:autoSpaceDE w:val="0"/>
        <w:autoSpaceDN w:val="0"/>
        <w:adjustRightInd w:val="0"/>
        <w:spacing w:before="93" w:beforeLines="30" w:after="93" w:afterLines="30" w:line="360" w:lineRule="auto"/>
        <w:ind w:left="900" w:right="-23" w:hanging="36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功能需求，需要满足以下：</w:t>
      </w:r>
    </w:p>
    <w:p w14:paraId="354BA4A5">
      <w:pPr>
        <w:numPr>
          <w:ilvl w:val="0"/>
          <w:numId w:val="12"/>
        </w:numPr>
        <w:shd w:val="clear" w:fill="FFFFFF" w:themeFill="background1"/>
        <w:tabs>
          <w:tab w:val="left" w:pos="900"/>
        </w:tabs>
        <w:autoSpaceDE w:val="0"/>
        <w:autoSpaceDN w:val="0"/>
        <w:adjustRightInd w:val="0"/>
        <w:spacing w:before="93" w:beforeLines="30" w:after="93" w:afterLines="30" w:line="360" w:lineRule="auto"/>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注入新鲜热水（热混合后42℃），达到设定水位后，自动关闭注水；</w:t>
      </w:r>
    </w:p>
    <w:p w14:paraId="31F8156D">
      <w:pPr>
        <w:numPr>
          <w:ilvl w:val="0"/>
          <w:numId w:val="12"/>
        </w:numPr>
        <w:shd w:val="clear" w:fill="FFFFFF" w:themeFill="background1"/>
        <w:tabs>
          <w:tab w:val="left" w:pos="900"/>
        </w:tabs>
        <w:autoSpaceDE w:val="0"/>
        <w:autoSpaceDN w:val="0"/>
        <w:adjustRightInd w:val="0"/>
        <w:spacing w:before="93" w:beforeLines="30" w:after="93" w:afterLines="30" w:line="360" w:lineRule="auto"/>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注入新鲜热水达到设定水位后，自动触发过滤、消毒、加热保温；</w:t>
      </w:r>
    </w:p>
    <w:p w14:paraId="155AB504">
      <w:pPr>
        <w:numPr>
          <w:ilvl w:val="0"/>
          <w:numId w:val="12"/>
        </w:numPr>
        <w:shd w:val="clear" w:fill="FFFFFF" w:themeFill="background1"/>
        <w:tabs>
          <w:tab w:val="left" w:pos="900"/>
        </w:tabs>
        <w:autoSpaceDE w:val="0"/>
        <w:autoSpaceDN w:val="0"/>
        <w:adjustRightInd w:val="0"/>
        <w:spacing w:before="93" w:beforeLines="30" w:after="93" w:afterLines="30" w:line="360" w:lineRule="auto"/>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用户触发按摩模式后，经设定的持续时间后，关闭按摩模式；</w:t>
      </w:r>
    </w:p>
    <w:p w14:paraId="53DF19B1">
      <w:pPr>
        <w:numPr>
          <w:ilvl w:val="0"/>
          <w:numId w:val="12"/>
        </w:numPr>
        <w:shd w:val="clear" w:fill="FFFFFF" w:themeFill="background1"/>
        <w:tabs>
          <w:tab w:val="left" w:pos="900"/>
        </w:tabs>
        <w:autoSpaceDE w:val="0"/>
        <w:autoSpaceDN w:val="0"/>
        <w:adjustRightInd w:val="0"/>
        <w:spacing w:before="93" w:beforeLines="30" w:after="93" w:afterLines="30" w:line="360" w:lineRule="auto"/>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用户触发水上出水后，水流通过设置在水面上的瀑布出水龙头出水；</w:t>
      </w:r>
    </w:p>
    <w:p w14:paraId="30E980D4">
      <w:pPr>
        <w:numPr>
          <w:ilvl w:val="0"/>
          <w:numId w:val="12"/>
        </w:numPr>
        <w:shd w:val="clear" w:fill="FFFFFF" w:themeFill="background1"/>
        <w:tabs>
          <w:tab w:val="left" w:pos="900"/>
        </w:tabs>
        <w:autoSpaceDE w:val="0"/>
        <w:autoSpaceDN w:val="0"/>
        <w:adjustRightInd w:val="0"/>
        <w:spacing w:before="93" w:beforeLines="30" w:after="93" w:afterLines="30" w:line="360" w:lineRule="auto"/>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当系统处于保温模式，液位探测低于设定水位，触发自动补充新鲜热水；</w:t>
      </w:r>
    </w:p>
    <w:p w14:paraId="09002394">
      <w:pPr>
        <w:numPr>
          <w:ilvl w:val="0"/>
          <w:numId w:val="12"/>
        </w:numPr>
        <w:shd w:val="clear" w:fill="FFFFFF" w:themeFill="background1"/>
        <w:tabs>
          <w:tab w:val="left" w:pos="900"/>
        </w:tabs>
        <w:autoSpaceDE w:val="0"/>
        <w:autoSpaceDN w:val="0"/>
        <w:adjustRightInd w:val="0"/>
        <w:spacing w:before="93" w:beforeLines="30" w:after="93" w:afterLines="30" w:line="360" w:lineRule="auto"/>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当系统处于保温模式，液位探测低于设定水位，触发自动补充新鲜热水；</w:t>
      </w:r>
    </w:p>
    <w:p w14:paraId="6561A115">
      <w:pPr>
        <w:numPr>
          <w:ilvl w:val="0"/>
          <w:numId w:val="12"/>
        </w:numPr>
        <w:shd w:val="clear" w:fill="FFFFFF" w:themeFill="background1"/>
        <w:tabs>
          <w:tab w:val="left" w:pos="900"/>
        </w:tabs>
        <w:autoSpaceDE w:val="0"/>
        <w:autoSpaceDN w:val="0"/>
        <w:adjustRightInd w:val="0"/>
        <w:spacing w:before="93" w:beforeLines="30" w:after="93" w:afterLines="30" w:line="360" w:lineRule="auto"/>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水池排空，停止补水，并停止消毒、加热保温；</w:t>
      </w:r>
    </w:p>
    <w:p w14:paraId="6D6D84EF">
      <w:pPr>
        <w:numPr>
          <w:ilvl w:val="0"/>
          <w:numId w:val="12"/>
        </w:numPr>
        <w:shd w:val="clear" w:color="auto" w:fill="FFFFFF" w:themeFill="background1"/>
        <w:tabs>
          <w:tab w:val="left" w:pos="900"/>
        </w:tabs>
        <w:autoSpaceDE w:val="0"/>
        <w:autoSpaceDN w:val="0"/>
        <w:adjustRightInd w:val="0"/>
        <w:spacing w:before="93" w:beforeLines="30" w:after="93" w:afterLines="30" w:line="360" w:lineRule="auto"/>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吸水压力达到设置值，循环泵停机报警，以保证管道堵塞后造成的设备损坏。</w:t>
      </w:r>
    </w:p>
    <w:p w14:paraId="1D91AAA7">
      <w:pPr>
        <w:numPr>
          <w:ilvl w:val="0"/>
          <w:numId w:val="11"/>
        </w:numPr>
        <w:shd w:val="clear" w:fill="FFFFFF" w:themeFill="background1"/>
        <w:tabs>
          <w:tab w:val="left" w:pos="900"/>
        </w:tabs>
        <w:autoSpaceDE w:val="0"/>
        <w:autoSpaceDN w:val="0"/>
        <w:adjustRightInd w:val="0"/>
        <w:spacing w:before="93" w:beforeLines="30" w:after="93" w:afterLines="30" w:line="360" w:lineRule="atLeast"/>
        <w:ind w:left="900" w:right="-23" w:hanging="36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客房泡池系统接驳方案：</w:t>
      </w:r>
    </w:p>
    <w:p w14:paraId="411ECA42">
      <w:pPr>
        <w:numPr>
          <w:ilvl w:val="0"/>
          <w:numId w:val="0"/>
        </w:numPr>
        <w:tabs>
          <w:tab w:val="left" w:pos="900"/>
        </w:tabs>
        <w:autoSpaceDE w:val="0"/>
        <w:autoSpaceDN w:val="0"/>
        <w:adjustRightInd w:val="0"/>
        <w:spacing w:before="93" w:beforeLines="30" w:after="93" w:afterLines="30" w:line="360" w:lineRule="atLeast"/>
        <w:ind w:left="540" w:leftChars="0" w:right="-23" w:rightChars="0"/>
        <w:jc w:val="left"/>
        <w:textAlignment w:val="baseline"/>
        <w:rPr>
          <w:rFonts w:hint="eastAsia" w:ascii="宋体" w:hAnsi="宋体" w:eastAsia="宋体" w:cs="宋体"/>
          <w:color w:val="auto"/>
          <w:sz w:val="24"/>
          <w:szCs w:val="24"/>
          <w:highlight w:val="none"/>
        </w:rPr>
      </w:pPr>
    </w:p>
    <w:p w14:paraId="784C9CCF">
      <w:pPr>
        <w:tabs>
          <w:tab w:val="left" w:pos="900"/>
        </w:tabs>
        <w:autoSpaceDE w:val="0"/>
        <w:autoSpaceDN w:val="0"/>
        <w:adjustRightInd w:val="0"/>
        <w:spacing w:before="93" w:beforeLines="30" w:after="93" w:afterLines="30" w:line="360" w:lineRule="atLeast"/>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336540" cy="3659505"/>
            <wp:effectExtent l="0" t="0" r="698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336540" cy="3659505"/>
                    </a:xfrm>
                    <a:prstGeom prst="rect">
                      <a:avLst/>
                    </a:prstGeom>
                    <a:noFill/>
                    <a:ln>
                      <a:noFill/>
                    </a:ln>
                  </pic:spPr>
                </pic:pic>
              </a:graphicData>
            </a:graphic>
          </wp:inline>
        </w:drawing>
      </w:r>
    </w:p>
    <w:p w14:paraId="2E28B0BB">
      <w:pPr>
        <w:numPr>
          <w:ilvl w:val="0"/>
          <w:numId w:val="11"/>
        </w:numPr>
        <w:tabs>
          <w:tab w:val="left" w:pos="900"/>
        </w:tabs>
        <w:autoSpaceDE w:val="0"/>
        <w:autoSpaceDN w:val="0"/>
        <w:adjustRightInd w:val="0"/>
        <w:spacing w:before="93" w:beforeLines="30" w:after="93" w:afterLines="30" w:line="360" w:lineRule="atLeast"/>
        <w:ind w:left="900" w:right="-23" w:hanging="36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客房泡池区控制配置方案：</w:t>
      </w:r>
    </w:p>
    <w:p w14:paraId="6A10AF67">
      <w:pPr>
        <w:tabs>
          <w:tab w:val="left" w:pos="900"/>
        </w:tabs>
        <w:autoSpaceDE w:val="0"/>
        <w:autoSpaceDN w:val="0"/>
        <w:adjustRightInd w:val="0"/>
        <w:spacing w:before="93" w:beforeLines="30" w:after="93" w:afterLines="30" w:line="360" w:lineRule="atLeast"/>
        <w:ind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6113145" cy="3895090"/>
            <wp:effectExtent l="0" t="0" r="190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6113145" cy="3895090"/>
                    </a:xfrm>
                    <a:prstGeom prst="rect">
                      <a:avLst/>
                    </a:prstGeom>
                    <a:noFill/>
                    <a:ln>
                      <a:noFill/>
                    </a:ln>
                  </pic:spPr>
                </pic:pic>
              </a:graphicData>
            </a:graphic>
          </wp:inline>
        </w:drawing>
      </w:r>
    </w:p>
    <w:p w14:paraId="1D25E879">
      <w:pPr>
        <w:tabs>
          <w:tab w:val="left" w:pos="900"/>
        </w:tabs>
        <w:autoSpaceDE w:val="0"/>
        <w:autoSpaceDN w:val="0"/>
        <w:adjustRightInd w:val="0"/>
        <w:spacing w:before="93" w:beforeLines="30" w:after="93" w:afterLines="30" w:line="360" w:lineRule="atLeast"/>
        <w:ind w:right="-23"/>
        <w:jc w:val="left"/>
        <w:textAlignment w:val="baseline"/>
        <w:rPr>
          <w:rFonts w:hint="eastAsia" w:ascii="宋体" w:hAnsi="宋体" w:eastAsia="宋体" w:cs="宋体"/>
          <w:color w:val="auto"/>
          <w:sz w:val="24"/>
          <w:szCs w:val="24"/>
          <w:highlight w:val="none"/>
        </w:rPr>
      </w:pPr>
    </w:p>
    <w:p w14:paraId="52542C91">
      <w:pPr>
        <w:tabs>
          <w:tab w:val="left" w:pos="900"/>
        </w:tabs>
        <w:autoSpaceDE w:val="0"/>
        <w:autoSpaceDN w:val="0"/>
        <w:adjustRightInd w:val="0"/>
        <w:spacing w:before="93" w:beforeLines="30" w:after="93" w:afterLines="30" w:line="360" w:lineRule="atLeast"/>
        <w:ind w:right="-23"/>
        <w:jc w:val="left"/>
        <w:textAlignment w:val="baseline"/>
        <w:rPr>
          <w:rFonts w:hint="eastAsia" w:ascii="宋体" w:hAnsi="宋体" w:eastAsia="宋体" w:cs="宋体"/>
          <w:color w:val="auto"/>
          <w:sz w:val="24"/>
          <w:szCs w:val="24"/>
          <w:highlight w:val="none"/>
        </w:rPr>
      </w:pPr>
    </w:p>
    <w:p w14:paraId="023EA2E0">
      <w:pPr>
        <w:numPr>
          <w:ilvl w:val="0"/>
          <w:numId w:val="11"/>
        </w:numPr>
        <w:tabs>
          <w:tab w:val="left" w:pos="900"/>
        </w:tabs>
        <w:autoSpaceDE w:val="0"/>
        <w:autoSpaceDN w:val="0"/>
        <w:adjustRightInd w:val="0"/>
        <w:spacing w:before="93" w:beforeLines="30" w:after="93" w:afterLines="30" w:line="360" w:lineRule="atLeast"/>
        <w:ind w:left="900" w:right="-23" w:hanging="36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设备区设备配置方案</w:t>
      </w:r>
    </w:p>
    <w:p w14:paraId="37FB29F1">
      <w:pPr>
        <w:tabs>
          <w:tab w:val="left" w:pos="900"/>
        </w:tabs>
        <w:autoSpaceDE w:val="0"/>
        <w:autoSpaceDN w:val="0"/>
        <w:adjustRightInd w:val="0"/>
        <w:spacing w:before="93" w:beforeLines="30" w:after="93" w:afterLines="30" w:line="360" w:lineRule="atLeast"/>
        <w:ind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6115685" cy="3658870"/>
            <wp:effectExtent l="0" t="0" r="8890"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6115685" cy="3658870"/>
                    </a:xfrm>
                    <a:prstGeom prst="rect">
                      <a:avLst/>
                    </a:prstGeom>
                    <a:noFill/>
                    <a:ln>
                      <a:noFill/>
                    </a:ln>
                  </pic:spPr>
                </pic:pic>
              </a:graphicData>
            </a:graphic>
          </wp:inline>
        </w:drawing>
      </w:r>
    </w:p>
    <w:p w14:paraId="3984CFBB">
      <w:pPr>
        <w:numPr>
          <w:ilvl w:val="0"/>
          <w:numId w:val="11"/>
        </w:numPr>
        <w:tabs>
          <w:tab w:val="left" w:pos="900"/>
        </w:tabs>
        <w:autoSpaceDE w:val="0"/>
        <w:autoSpaceDN w:val="0"/>
        <w:adjustRightInd w:val="0"/>
        <w:spacing w:before="93" w:beforeLines="30" w:after="93" w:afterLines="30" w:line="360" w:lineRule="atLeast"/>
        <w:ind w:left="900" w:right="-23" w:hanging="36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HMI配置要求</w:t>
      </w:r>
    </w:p>
    <w:p w14:paraId="372206DC">
      <w:pPr>
        <w:tabs>
          <w:tab w:val="left" w:pos="900"/>
        </w:tabs>
        <w:autoSpaceDE w:val="0"/>
        <w:autoSpaceDN w:val="0"/>
        <w:adjustRightInd w:val="0"/>
        <w:spacing w:before="93" w:beforeLines="30" w:after="93" w:afterLines="30" w:line="480" w:lineRule="auto"/>
        <w:ind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3508375" cy="366712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rcRect r="42597"/>
                    <a:stretch>
                      <a:fillRect/>
                    </a:stretch>
                  </pic:blipFill>
                  <pic:spPr>
                    <a:xfrm>
                      <a:off x="0" y="0"/>
                      <a:ext cx="3508375" cy="3667125"/>
                    </a:xfrm>
                    <a:prstGeom prst="rect">
                      <a:avLst/>
                    </a:prstGeom>
                    <a:noFill/>
                    <a:ln>
                      <a:noFill/>
                    </a:ln>
                  </pic:spPr>
                </pic:pic>
              </a:graphicData>
            </a:graphic>
          </wp:inline>
        </w:drawing>
      </w:r>
    </w:p>
    <w:p w14:paraId="2F6DFC2A">
      <w:pPr>
        <w:tabs>
          <w:tab w:val="left" w:pos="900"/>
        </w:tabs>
        <w:autoSpaceDE w:val="0"/>
        <w:autoSpaceDN w:val="0"/>
        <w:adjustRightInd w:val="0"/>
        <w:spacing w:before="93" w:beforeLines="30" w:after="93" w:afterLines="30" w:line="360" w:lineRule="auto"/>
        <w:ind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控制屏幕为7寸触屏，显示类型：LCD-TFT，分辨率800*480象素。</w:t>
      </w:r>
    </w:p>
    <w:p w14:paraId="296FB3B9">
      <w:pPr>
        <w:tabs>
          <w:tab w:val="left" w:pos="900"/>
        </w:tabs>
        <w:autoSpaceDE w:val="0"/>
        <w:autoSpaceDN w:val="0"/>
        <w:adjustRightInd w:val="0"/>
        <w:spacing w:before="93" w:beforeLines="30" w:after="93" w:afterLines="30" w:line="360" w:lineRule="auto"/>
        <w:ind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客户退房或者电话前台后，由前台工作人员发出指令给后勤保障人员，后勤保障人员在工作室内，通过安装中控系统的电脑，对目标客房相关操作超过限定次数的内容进行一键复位，或者关停。</w:t>
      </w:r>
    </w:p>
    <w:p w14:paraId="7EC1302F">
      <w:pPr>
        <w:tabs>
          <w:tab w:val="left" w:pos="900"/>
        </w:tabs>
        <w:autoSpaceDE w:val="0"/>
        <w:autoSpaceDN w:val="0"/>
        <w:adjustRightInd w:val="0"/>
        <w:spacing w:before="93" w:beforeLines="30" w:after="93" w:afterLines="30" w:line="360" w:lineRule="auto"/>
        <w:ind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按摩喷嘴启动按钮为机械式按钮，点亮后出现蓝色点亮圈，按摩功能进行中仍继续点亮，按摩功能结束后会熄灭。</w:t>
      </w:r>
    </w:p>
    <w:p w14:paraId="54626506">
      <w:pPr>
        <w:tabs>
          <w:tab w:val="left" w:pos="900"/>
        </w:tabs>
        <w:autoSpaceDE w:val="0"/>
        <w:autoSpaceDN w:val="0"/>
        <w:adjustRightInd w:val="0"/>
        <w:spacing w:before="93" w:beforeLines="30" w:after="93" w:afterLines="30" w:line="360" w:lineRule="auto"/>
        <w:ind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863090" cy="1607185"/>
            <wp:effectExtent l="0" t="0" r="3810" b="25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tretch>
                      <a:fillRect/>
                    </a:stretch>
                  </pic:blipFill>
                  <pic:spPr>
                    <a:xfrm>
                      <a:off x="0" y="0"/>
                      <a:ext cx="1863090" cy="1607185"/>
                    </a:xfrm>
                    <a:prstGeom prst="rect">
                      <a:avLst/>
                    </a:prstGeom>
                    <a:noFill/>
                    <a:ln>
                      <a:noFill/>
                    </a:ln>
                  </pic:spPr>
                </pic:pic>
              </a:graphicData>
            </a:graphic>
          </wp:inline>
        </w:drawing>
      </w:r>
      <w:r>
        <w:rPr>
          <w:rFonts w:hint="eastAsia" w:ascii="宋体" w:hAnsi="宋体" w:eastAsia="宋体" w:cs="宋体"/>
          <w:color w:val="auto"/>
          <w:sz w:val="24"/>
          <w:szCs w:val="24"/>
          <w:highlight w:val="none"/>
        </w:rPr>
        <w:drawing>
          <wp:inline distT="0" distB="0" distL="114300" distR="114300">
            <wp:extent cx="2037080" cy="1576070"/>
            <wp:effectExtent l="0" t="0" r="1270" b="508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3"/>
                    <a:stretch>
                      <a:fillRect/>
                    </a:stretch>
                  </pic:blipFill>
                  <pic:spPr>
                    <a:xfrm>
                      <a:off x="0" y="0"/>
                      <a:ext cx="2037080" cy="1576070"/>
                    </a:xfrm>
                    <a:prstGeom prst="rect">
                      <a:avLst/>
                    </a:prstGeom>
                    <a:noFill/>
                    <a:ln>
                      <a:noFill/>
                    </a:ln>
                  </pic:spPr>
                </pic:pic>
              </a:graphicData>
            </a:graphic>
          </wp:inline>
        </w:drawing>
      </w:r>
    </w:p>
    <w:p w14:paraId="64F1E38B">
      <w:pPr>
        <w:numPr>
          <w:ilvl w:val="0"/>
          <w:numId w:val="11"/>
        </w:numPr>
        <w:tabs>
          <w:tab w:val="left" w:pos="900"/>
        </w:tabs>
        <w:autoSpaceDE w:val="0"/>
        <w:autoSpaceDN w:val="0"/>
        <w:adjustRightInd w:val="0"/>
        <w:spacing w:before="93" w:beforeLines="30" w:after="93" w:afterLines="30" w:line="360" w:lineRule="atLeast"/>
        <w:ind w:left="900" w:right="-23" w:hanging="36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互联配置方案</w:t>
      </w:r>
    </w:p>
    <w:p w14:paraId="2EB3487A">
      <w:pPr>
        <w:tabs>
          <w:tab w:val="left" w:pos="900"/>
        </w:tabs>
        <w:autoSpaceDE w:val="0"/>
        <w:autoSpaceDN w:val="0"/>
        <w:adjustRightInd w:val="0"/>
        <w:spacing w:before="93" w:beforeLines="30" w:after="93" w:afterLines="30" w:line="360" w:lineRule="atLeast"/>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6116320" cy="3707130"/>
            <wp:effectExtent l="0" t="0" r="825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6116320" cy="3707130"/>
                    </a:xfrm>
                    <a:prstGeom prst="rect">
                      <a:avLst/>
                    </a:prstGeom>
                    <a:noFill/>
                    <a:ln>
                      <a:noFill/>
                    </a:ln>
                  </pic:spPr>
                </pic:pic>
              </a:graphicData>
            </a:graphic>
          </wp:inline>
        </w:drawing>
      </w:r>
    </w:p>
    <w:p w14:paraId="2EF04943">
      <w:pPr>
        <w:numPr>
          <w:ilvl w:val="0"/>
          <w:numId w:val="13"/>
        </w:numPr>
        <w:tabs>
          <w:tab w:val="left" w:pos="900"/>
        </w:tabs>
        <w:autoSpaceDE w:val="0"/>
        <w:autoSpaceDN w:val="0"/>
        <w:adjustRightInd w:val="0"/>
        <w:spacing w:before="93" w:beforeLines="30" w:after="93" w:afterLines="30" w:line="360" w:lineRule="auto"/>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中心控制器设置在后请保障人员工作室内，电脑由甲供，本次采购内容含控制软件，以及控制软件编程，可根据业主使用过程中产生的问题，提供两次软件调整服务。</w:t>
      </w:r>
    </w:p>
    <w:p w14:paraId="53375A1E">
      <w:pPr>
        <w:numPr>
          <w:ilvl w:val="0"/>
          <w:numId w:val="13"/>
        </w:numPr>
        <w:tabs>
          <w:tab w:val="left" w:pos="900"/>
        </w:tabs>
        <w:autoSpaceDE w:val="0"/>
        <w:autoSpaceDN w:val="0"/>
        <w:adjustRightInd w:val="0"/>
        <w:spacing w:before="93" w:beforeLines="30" w:after="93" w:afterLines="30" w:line="360" w:lineRule="auto"/>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HMI设备明装在客房区域内，客房区控制设备设置在客房区域内，设备控制设置在设备区内。</w:t>
      </w:r>
    </w:p>
    <w:p w14:paraId="0D891561">
      <w:pPr>
        <w:numPr>
          <w:ilvl w:val="0"/>
          <w:numId w:val="13"/>
        </w:numPr>
        <w:tabs>
          <w:tab w:val="left" w:pos="900"/>
        </w:tabs>
        <w:autoSpaceDE w:val="0"/>
        <w:autoSpaceDN w:val="0"/>
        <w:adjustRightInd w:val="0"/>
        <w:spacing w:before="93" w:beforeLines="30" w:after="93" w:afterLines="30" w:line="360" w:lineRule="auto"/>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互联方式采用内网连接。</w:t>
      </w:r>
    </w:p>
    <w:p w14:paraId="5F05F3F7">
      <w:pPr>
        <w:numPr>
          <w:ilvl w:val="0"/>
          <w:numId w:val="13"/>
        </w:numPr>
        <w:tabs>
          <w:tab w:val="left" w:pos="900"/>
        </w:tabs>
        <w:autoSpaceDE w:val="0"/>
        <w:autoSpaceDN w:val="0"/>
        <w:adjustRightInd w:val="0"/>
        <w:spacing w:before="93" w:beforeLines="30" w:after="93" w:afterLines="30" w:line="360" w:lineRule="auto"/>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复位电脑程序需要设置密码程序，以及数据记录，保证若干周期内对于操作记录可查，或者目标记录数内，譬如1000条内，可查时间以及反馈。</w:t>
      </w:r>
    </w:p>
    <w:p w14:paraId="026D40BF">
      <w:pPr>
        <w:numPr>
          <w:ilvl w:val="0"/>
          <w:numId w:val="13"/>
        </w:numPr>
        <w:tabs>
          <w:tab w:val="left" w:pos="900"/>
        </w:tabs>
        <w:autoSpaceDE w:val="0"/>
        <w:autoSpaceDN w:val="0"/>
        <w:adjustRightInd w:val="0"/>
        <w:spacing w:before="93" w:beforeLines="30" w:after="93" w:afterLines="30" w:line="360" w:lineRule="auto"/>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需要提供一定周期内使用要求变更后，程序修正服务。</w:t>
      </w:r>
    </w:p>
    <w:bookmarkEnd w:id="66"/>
    <w:bookmarkEnd w:id="67"/>
    <w:bookmarkEnd w:id="68"/>
    <w:bookmarkEnd w:id="69"/>
    <w:p w14:paraId="34599616">
      <w:pPr>
        <w:pStyle w:val="34"/>
        <w:numPr>
          <w:ilvl w:val="1"/>
          <w:numId w:val="0"/>
        </w:numPr>
        <w:spacing w:line="360" w:lineRule="auto"/>
        <w:ind w:left="0" w:leftChars="0" w:firstLine="0" w:firstLineChars="0"/>
        <w:jc w:val="left"/>
        <w:outlineLvl w:val="1"/>
        <w:rPr>
          <w:rFonts w:hint="eastAsia" w:ascii="宋体" w:hAnsi="宋体" w:eastAsia="宋体" w:cs="宋体"/>
          <w:b/>
          <w:color w:val="auto"/>
          <w:sz w:val="24"/>
          <w:szCs w:val="24"/>
          <w:highlight w:val="none"/>
        </w:rPr>
      </w:pPr>
      <w:r>
        <w:rPr>
          <w:rFonts w:hint="eastAsia" w:eastAsia="宋体" w:cs="宋体" w:asciiTheme="minorEastAsia" w:hAnsiTheme="minorEastAsia"/>
          <w:b/>
          <w:color w:val="auto"/>
          <w:kern w:val="2"/>
          <w:sz w:val="24"/>
          <w:szCs w:val="24"/>
          <w:lang w:val="en-US" w:eastAsia="zh-CN" w:bidi="ar-SA"/>
        </w:rPr>
        <w:t>1.8.</w:t>
      </w:r>
      <w:r>
        <w:rPr>
          <w:rFonts w:hint="eastAsia" w:ascii="宋体" w:hAnsi="宋体" w:eastAsia="宋体" w:cs="宋体"/>
          <w:b/>
          <w:color w:val="auto"/>
          <w:sz w:val="24"/>
          <w:szCs w:val="24"/>
          <w:highlight w:val="none"/>
        </w:rPr>
        <w:t>定制外壳（户外设备罩）</w:t>
      </w:r>
    </w:p>
    <w:p w14:paraId="6BDF9465">
      <w:pPr>
        <w:numPr>
          <w:ilvl w:val="0"/>
          <w:numId w:val="14"/>
        </w:numPr>
        <w:tabs>
          <w:tab w:val="left" w:pos="900"/>
        </w:tabs>
        <w:autoSpaceDE w:val="0"/>
        <w:autoSpaceDN w:val="0"/>
        <w:adjustRightInd w:val="0"/>
        <w:spacing w:before="93" w:beforeLines="30" w:after="93" w:afterLines="30" w:line="360" w:lineRule="auto"/>
        <w:ind w:left="900" w:right="-23" w:hanging="36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外型尺寸0.7m*0.7m*0.7m（高）。</w:t>
      </w:r>
    </w:p>
    <w:p w14:paraId="7B4CE5B1">
      <w:pPr>
        <w:numPr>
          <w:ilvl w:val="0"/>
          <w:numId w:val="14"/>
        </w:numPr>
        <w:tabs>
          <w:tab w:val="left" w:pos="900"/>
        </w:tabs>
        <w:autoSpaceDE w:val="0"/>
        <w:autoSpaceDN w:val="0"/>
        <w:adjustRightInd w:val="0"/>
        <w:spacing w:before="93" w:beforeLines="30" w:after="93" w:afterLines="30" w:line="360" w:lineRule="auto"/>
        <w:ind w:left="900" w:right="-23" w:hanging="36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外饰面装饰要求如下：</w:t>
      </w:r>
    </w:p>
    <w:p w14:paraId="5014B30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2244725" cy="2037080"/>
            <wp:effectExtent l="0" t="0" r="3175" b="1270"/>
            <wp:docPr id="9" name="图片 9" descr="ec28f3b926be1cb49204fd10837a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c28f3b926be1cb49204fd10837ace6"/>
                    <pic:cNvPicPr>
                      <a:picLocks noChangeAspect="1"/>
                    </pic:cNvPicPr>
                  </pic:nvPicPr>
                  <pic:blipFill>
                    <a:blip r:embed="rId15">
                      <a:clrChange>
                        <a:clrFrom>
                          <a:srgbClr val="CCCCC9">
                            <a:alpha val="100000"/>
                          </a:srgbClr>
                        </a:clrFrom>
                        <a:clrTo>
                          <a:srgbClr val="CCCCC9">
                            <a:alpha val="100000"/>
                            <a:alpha val="0"/>
                          </a:srgbClr>
                        </a:clrTo>
                      </a:clrChange>
                    </a:blip>
                    <a:srcRect l="18790" t="16848" r="14788"/>
                    <a:stretch>
                      <a:fillRect/>
                    </a:stretch>
                  </pic:blipFill>
                  <pic:spPr>
                    <a:xfrm>
                      <a:off x="0" y="0"/>
                      <a:ext cx="2244725" cy="2037080"/>
                    </a:xfrm>
                    <a:prstGeom prst="rect">
                      <a:avLst/>
                    </a:prstGeom>
                  </pic:spPr>
                </pic:pic>
              </a:graphicData>
            </a:graphic>
          </wp:inline>
        </w:drawing>
      </w:r>
      <w:r>
        <w:rPr>
          <w:rFonts w:hint="eastAsia" w:ascii="宋体" w:hAnsi="宋体" w:eastAsia="宋体" w:cs="宋体"/>
          <w:color w:val="auto"/>
          <w:sz w:val="24"/>
          <w:szCs w:val="24"/>
          <w:highlight w:val="none"/>
        </w:rPr>
        <w:drawing>
          <wp:inline distT="0" distB="0" distL="114300" distR="114300">
            <wp:extent cx="2628900" cy="2225675"/>
            <wp:effectExtent l="0" t="0" r="0"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2628900" cy="2225675"/>
                    </a:xfrm>
                    <a:prstGeom prst="rect">
                      <a:avLst/>
                    </a:prstGeom>
                    <a:noFill/>
                    <a:ln>
                      <a:noFill/>
                    </a:ln>
                  </pic:spPr>
                </pic:pic>
              </a:graphicData>
            </a:graphic>
          </wp:inline>
        </w:drawing>
      </w:r>
    </w:p>
    <w:p w14:paraId="4524295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2914015" cy="2298065"/>
            <wp:effectExtent l="0" t="0" r="635"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2914015" cy="2298065"/>
                    </a:xfrm>
                    <a:prstGeom prst="rect">
                      <a:avLst/>
                    </a:prstGeom>
                    <a:noFill/>
                    <a:ln>
                      <a:noFill/>
                    </a:ln>
                  </pic:spPr>
                </pic:pic>
              </a:graphicData>
            </a:graphic>
          </wp:inline>
        </w:drawing>
      </w:r>
      <w:r>
        <w:rPr>
          <w:rFonts w:hint="eastAsia" w:ascii="宋体" w:hAnsi="宋体" w:eastAsia="宋体" w:cs="宋体"/>
          <w:color w:val="auto"/>
          <w:sz w:val="24"/>
          <w:szCs w:val="24"/>
          <w:highlight w:val="none"/>
        </w:rPr>
        <w:drawing>
          <wp:inline distT="0" distB="0" distL="114300" distR="114300">
            <wp:extent cx="2576830" cy="2313940"/>
            <wp:effectExtent l="0" t="0" r="4445" b="6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8"/>
                    <a:stretch>
                      <a:fillRect/>
                    </a:stretch>
                  </pic:blipFill>
                  <pic:spPr>
                    <a:xfrm>
                      <a:off x="0" y="0"/>
                      <a:ext cx="2576830" cy="2313940"/>
                    </a:xfrm>
                    <a:prstGeom prst="rect">
                      <a:avLst/>
                    </a:prstGeom>
                    <a:noFill/>
                    <a:ln>
                      <a:noFill/>
                    </a:ln>
                  </pic:spPr>
                </pic:pic>
              </a:graphicData>
            </a:graphic>
          </wp:inline>
        </w:drawing>
      </w:r>
      <w:r>
        <w:rPr>
          <w:rFonts w:hint="eastAsia" w:ascii="宋体" w:hAnsi="宋体" w:eastAsia="宋体" w:cs="宋体"/>
          <w:color w:val="auto"/>
          <w:sz w:val="24"/>
          <w:szCs w:val="24"/>
          <w:highlight w:val="none"/>
        </w:rPr>
        <w:drawing>
          <wp:inline distT="0" distB="0" distL="114300" distR="114300">
            <wp:extent cx="2609850" cy="2462530"/>
            <wp:effectExtent l="0" t="0" r="0" b="444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9"/>
                    <a:stretch>
                      <a:fillRect/>
                    </a:stretch>
                  </pic:blipFill>
                  <pic:spPr>
                    <a:xfrm>
                      <a:off x="0" y="0"/>
                      <a:ext cx="2609850" cy="2462530"/>
                    </a:xfrm>
                    <a:prstGeom prst="rect">
                      <a:avLst/>
                    </a:prstGeom>
                    <a:noFill/>
                    <a:ln>
                      <a:noFill/>
                    </a:ln>
                  </pic:spPr>
                </pic:pic>
              </a:graphicData>
            </a:graphic>
          </wp:inline>
        </w:drawing>
      </w:r>
      <w:r>
        <w:rPr>
          <w:rFonts w:hint="eastAsia" w:ascii="宋体" w:hAnsi="宋体" w:eastAsia="宋体" w:cs="宋体"/>
          <w:color w:val="auto"/>
          <w:sz w:val="24"/>
          <w:szCs w:val="24"/>
          <w:highlight w:val="none"/>
        </w:rPr>
        <w:drawing>
          <wp:inline distT="0" distB="0" distL="114300" distR="114300">
            <wp:extent cx="2305050" cy="2698115"/>
            <wp:effectExtent l="0" t="0" r="0" b="698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0"/>
                    <a:stretch>
                      <a:fillRect/>
                    </a:stretch>
                  </pic:blipFill>
                  <pic:spPr>
                    <a:xfrm>
                      <a:off x="0" y="0"/>
                      <a:ext cx="2305050" cy="2698115"/>
                    </a:xfrm>
                    <a:prstGeom prst="rect">
                      <a:avLst/>
                    </a:prstGeom>
                    <a:noFill/>
                    <a:ln>
                      <a:noFill/>
                    </a:ln>
                  </pic:spPr>
                </pic:pic>
              </a:graphicData>
            </a:graphic>
          </wp:inline>
        </w:drawing>
      </w:r>
    </w:p>
    <w:p w14:paraId="1753EC98">
      <w:pPr>
        <w:numPr>
          <w:ilvl w:val="0"/>
          <w:numId w:val="14"/>
        </w:numPr>
        <w:tabs>
          <w:tab w:val="left" w:pos="900"/>
        </w:tabs>
        <w:autoSpaceDE w:val="0"/>
        <w:autoSpaceDN w:val="0"/>
        <w:adjustRightInd w:val="0"/>
        <w:spacing w:before="93" w:beforeLines="30" w:after="93" w:afterLines="30" w:line="360" w:lineRule="atLeast"/>
        <w:ind w:left="900" w:right="-23" w:hanging="36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仅14套室外机组配置，室内机组不配。</w:t>
      </w:r>
    </w:p>
    <w:p w14:paraId="09A836D9">
      <w:pPr>
        <w:pStyle w:val="34"/>
        <w:numPr>
          <w:ilvl w:val="1"/>
          <w:numId w:val="0"/>
        </w:numPr>
        <w:spacing w:line="360" w:lineRule="auto"/>
        <w:ind w:left="0" w:leftChars="0" w:firstLine="0" w:firstLineChars="0"/>
        <w:jc w:val="left"/>
        <w:outlineLvl w:val="1"/>
        <w:rPr>
          <w:rFonts w:hint="eastAsia" w:ascii="宋体" w:hAnsi="宋体" w:eastAsia="宋体" w:cs="宋体"/>
          <w:b/>
          <w:color w:val="auto"/>
          <w:sz w:val="24"/>
          <w:szCs w:val="24"/>
          <w:highlight w:val="none"/>
        </w:rPr>
      </w:pPr>
      <w:r>
        <w:rPr>
          <w:rFonts w:hint="eastAsia" w:eastAsia="宋体" w:cs="宋体" w:asciiTheme="minorEastAsia" w:hAnsiTheme="minorEastAsia"/>
          <w:b/>
          <w:color w:val="auto"/>
          <w:kern w:val="2"/>
          <w:sz w:val="24"/>
          <w:szCs w:val="24"/>
          <w:lang w:val="en-US" w:eastAsia="zh-CN" w:bidi="ar-SA"/>
        </w:rPr>
        <w:t>1.9.</w:t>
      </w:r>
      <w:r>
        <w:rPr>
          <w:rFonts w:hint="eastAsia" w:ascii="宋体" w:hAnsi="宋体" w:eastAsia="宋体" w:cs="宋体"/>
          <w:b/>
          <w:color w:val="auto"/>
          <w:sz w:val="24"/>
          <w:szCs w:val="24"/>
          <w:highlight w:val="none"/>
        </w:rPr>
        <w:t>按摩池/泡池水口及清洁测试设备技术要求</w:t>
      </w:r>
    </w:p>
    <w:p w14:paraId="154CDC15">
      <w:pPr>
        <w:pStyle w:val="34"/>
        <w:numPr>
          <w:ilvl w:val="2"/>
          <w:numId w:val="0"/>
        </w:numPr>
        <w:spacing w:line="360" w:lineRule="auto"/>
        <w:ind w:left="420" w:leftChars="0" w:firstLine="0" w:firstLineChars="0"/>
        <w:jc w:val="left"/>
        <w:outlineLvl w:val="1"/>
        <w:rPr>
          <w:rFonts w:hint="eastAsia" w:ascii="宋体" w:hAnsi="宋体" w:eastAsia="宋体" w:cs="宋体"/>
          <w:b/>
          <w:color w:val="auto"/>
          <w:sz w:val="24"/>
          <w:szCs w:val="24"/>
          <w:highlight w:val="none"/>
        </w:rPr>
      </w:pPr>
      <w:bookmarkStart w:id="70" w:name="_Toc26944"/>
      <w:bookmarkStart w:id="71" w:name="_Toc5753"/>
      <w:bookmarkStart w:id="72" w:name="_Toc29150"/>
      <w:bookmarkStart w:id="73" w:name="_Toc3243"/>
      <w:r>
        <w:rPr>
          <w:rFonts w:hint="eastAsia" w:eastAsia="宋体" w:cs="宋体" w:asciiTheme="minorEastAsia" w:hAnsiTheme="minorEastAsia"/>
          <w:b/>
          <w:color w:val="auto"/>
          <w:kern w:val="2"/>
          <w:sz w:val="24"/>
          <w:szCs w:val="24"/>
          <w:lang w:val="en-US" w:eastAsia="zh-CN" w:bidi="ar-SA"/>
        </w:rPr>
        <w:t>1.9.1.</w:t>
      </w:r>
      <w:r>
        <w:rPr>
          <w:rFonts w:hint="eastAsia" w:ascii="宋体" w:hAnsi="宋体" w:eastAsia="宋体" w:cs="宋体"/>
          <w:b/>
          <w:color w:val="auto"/>
          <w:sz w:val="24"/>
          <w:szCs w:val="24"/>
          <w:highlight w:val="none"/>
        </w:rPr>
        <w:t xml:space="preserve"> 水下灯</w:t>
      </w:r>
      <w:bookmarkEnd w:id="70"/>
      <w:bookmarkEnd w:id="71"/>
      <w:bookmarkEnd w:id="72"/>
      <w:bookmarkEnd w:id="73"/>
    </w:p>
    <w:p w14:paraId="40A3BC6A">
      <w:pPr>
        <w:numPr>
          <w:ilvl w:val="0"/>
          <w:numId w:val="15"/>
        </w:numPr>
        <w:tabs>
          <w:tab w:val="left" w:pos="900"/>
        </w:tabs>
        <w:autoSpaceDE w:val="0"/>
        <w:autoSpaceDN w:val="0"/>
        <w:adjustRightInd w:val="0"/>
        <w:spacing w:before="93" w:beforeLines="30" w:after="93" w:afterLines="30" w:line="360" w:lineRule="atLeas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按摩池/泡池应设置水下照明用水下灯，安装方式为嵌入式安装。</w:t>
      </w:r>
    </w:p>
    <w:p w14:paraId="647FFD7B">
      <w:pPr>
        <w:numPr>
          <w:ilvl w:val="0"/>
          <w:numId w:val="15"/>
        </w:numPr>
        <w:tabs>
          <w:tab w:val="left" w:pos="900"/>
        </w:tabs>
        <w:autoSpaceDE w:val="0"/>
        <w:autoSpaceDN w:val="0"/>
        <w:adjustRightInd w:val="0"/>
        <w:spacing w:before="93" w:beforeLines="30" w:after="93" w:afterLines="30" w:line="360" w:lineRule="atLeas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承包单位需按图纸所示提供各按摩池/泡池内的水下灯装置包括潜水式灯具连护罩、潜水式电缆、过路箱、线管、变压器等</w:t>
      </w:r>
    </w:p>
    <w:p w14:paraId="1D2C42C2">
      <w:pPr>
        <w:numPr>
          <w:ilvl w:val="0"/>
          <w:numId w:val="15"/>
        </w:numPr>
        <w:tabs>
          <w:tab w:val="left" w:pos="900"/>
        </w:tabs>
        <w:autoSpaceDE w:val="0"/>
        <w:autoSpaceDN w:val="0"/>
        <w:adjustRightInd w:val="0"/>
        <w:spacing w:before="93" w:beforeLines="30" w:after="93" w:afterLines="30" w:line="360" w:lineRule="atLeas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水下灯应配套塑料预埋件。</w:t>
      </w:r>
    </w:p>
    <w:p w14:paraId="4609D59B">
      <w:pPr>
        <w:numPr>
          <w:ilvl w:val="0"/>
          <w:numId w:val="15"/>
        </w:numPr>
        <w:tabs>
          <w:tab w:val="left" w:pos="900"/>
        </w:tabs>
        <w:autoSpaceDE w:val="0"/>
        <w:autoSpaceDN w:val="0"/>
        <w:adjustRightInd w:val="0"/>
        <w:spacing w:before="93" w:beforeLines="30" w:after="93" w:afterLines="30" w:line="360" w:lineRule="atLeas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变压器应为双绕组结线，单相，二次结线输出电压不得大于12V交流电，并自带高低压漏电保护。一次接线与二次接线之间不得直接或间接连接。两组结线之间应提供接地。二次接线及与其接驳的电路应提供接地至主接地网。</w:t>
      </w:r>
    </w:p>
    <w:p w14:paraId="02547FF1">
      <w:pPr>
        <w:numPr>
          <w:ilvl w:val="0"/>
          <w:numId w:val="15"/>
        </w:numPr>
        <w:tabs>
          <w:tab w:val="left" w:pos="900"/>
        </w:tabs>
        <w:autoSpaceDE w:val="0"/>
        <w:autoSpaceDN w:val="0"/>
        <w:adjustRightInd w:val="0"/>
        <w:spacing w:before="93" w:beforeLines="30" w:after="93" w:afterLines="30" w:line="360" w:lineRule="atLeas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水下照面灯具的安装位置，应保证从灯具的上部边缘至正常水面不低于0.5m。</w:t>
      </w:r>
    </w:p>
    <w:p w14:paraId="7EBCF1DA">
      <w:pPr>
        <w:numPr>
          <w:ilvl w:val="0"/>
          <w:numId w:val="15"/>
        </w:numPr>
        <w:tabs>
          <w:tab w:val="left" w:pos="900"/>
        </w:tabs>
        <w:autoSpaceDE w:val="0"/>
        <w:autoSpaceDN w:val="0"/>
        <w:adjustRightInd w:val="0"/>
        <w:spacing w:before="93" w:beforeLines="30" w:after="93" w:afterLines="30" w:line="360" w:lineRule="atLeas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灯具必须等电位接地。</w:t>
      </w:r>
    </w:p>
    <w:p w14:paraId="319725F8">
      <w:pPr>
        <w:tabs>
          <w:tab w:val="left" w:pos="900"/>
        </w:tabs>
        <w:autoSpaceDE w:val="0"/>
        <w:autoSpaceDN w:val="0"/>
        <w:adjustRightInd w:val="0"/>
        <w:spacing w:before="93" w:beforeLines="30" w:after="93" w:afterLines="30" w:line="360" w:lineRule="atLeast"/>
        <w:ind w:left="540"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drawing>
          <wp:inline distT="0" distB="0" distL="114300" distR="114300">
            <wp:extent cx="5290185" cy="6788785"/>
            <wp:effectExtent l="0" t="0" r="5715" b="2540"/>
            <wp:docPr id="17" name="图片 17" descr="6debd1ae08105b2ba85244054ff4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debd1ae08105b2ba85244054ff48d2"/>
                    <pic:cNvPicPr>
                      <a:picLocks noChangeAspect="1"/>
                    </pic:cNvPicPr>
                  </pic:nvPicPr>
                  <pic:blipFill>
                    <a:blip r:embed="rId21"/>
                    <a:stretch>
                      <a:fillRect/>
                    </a:stretch>
                  </pic:blipFill>
                  <pic:spPr>
                    <a:xfrm>
                      <a:off x="0" y="0"/>
                      <a:ext cx="5290185" cy="6788785"/>
                    </a:xfrm>
                    <a:prstGeom prst="rect">
                      <a:avLst/>
                    </a:prstGeom>
                  </pic:spPr>
                </pic:pic>
              </a:graphicData>
            </a:graphic>
          </wp:inline>
        </w:drawing>
      </w:r>
    </w:p>
    <w:p w14:paraId="0E98698C">
      <w:pPr>
        <w:tabs>
          <w:tab w:val="left" w:pos="900"/>
        </w:tabs>
        <w:autoSpaceDE w:val="0"/>
        <w:autoSpaceDN w:val="0"/>
        <w:adjustRightInd w:val="0"/>
        <w:spacing w:before="93" w:beforeLines="30" w:after="93" w:afterLines="30" w:line="360" w:lineRule="atLeast"/>
        <w:ind w:left="540"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drawing>
          <wp:inline distT="0" distB="0" distL="0" distR="0">
            <wp:extent cx="5700395" cy="7644130"/>
            <wp:effectExtent l="0" t="0" r="5080" b="4445"/>
            <wp:docPr id="13311241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24196" name="图片 15"/>
                    <pic:cNvPicPr>
                      <a:picLocks noChangeAspect="1"/>
                    </pic:cNvPicPr>
                  </pic:nvPicPr>
                  <pic:blipFill>
                    <a:blip r:embed="rId22">
                      <a:extLst>
                        <a:ext uri="{28A0092B-C50C-407E-A947-70E740481C1C}">
                          <a14:useLocalDpi xmlns:a14="http://schemas.microsoft.com/office/drawing/2010/main" val="0"/>
                        </a:ext>
                      </a:extLst>
                    </a:blip>
                    <a:srcRect l="4240" r="4240"/>
                    <a:stretch>
                      <a:fillRect/>
                    </a:stretch>
                  </pic:blipFill>
                  <pic:spPr>
                    <a:xfrm>
                      <a:off x="0" y="0"/>
                      <a:ext cx="5700395" cy="7644130"/>
                    </a:xfrm>
                    <a:prstGeom prst="rect">
                      <a:avLst/>
                    </a:prstGeom>
                  </pic:spPr>
                </pic:pic>
              </a:graphicData>
            </a:graphic>
          </wp:inline>
        </w:drawing>
      </w:r>
    </w:p>
    <w:p w14:paraId="0815DA28">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color w:val="auto"/>
          <w:sz w:val="24"/>
          <w:szCs w:val="24"/>
          <w:highlight w:val="none"/>
        </w:rPr>
      </w:pPr>
      <w:bookmarkStart w:id="74" w:name="_Toc22377"/>
      <w:bookmarkStart w:id="75" w:name="_Toc24646"/>
      <w:bookmarkStart w:id="76" w:name="_Toc22945"/>
      <w:bookmarkStart w:id="77" w:name="_Toc26000"/>
      <w:r>
        <w:rPr>
          <w:rFonts w:hint="eastAsia" w:eastAsia="宋体" w:cs="宋体" w:asciiTheme="minorEastAsia" w:hAnsiTheme="minorEastAsia"/>
          <w:b/>
          <w:color w:val="auto"/>
          <w:kern w:val="2"/>
          <w:sz w:val="24"/>
          <w:szCs w:val="24"/>
          <w:lang w:val="en-US" w:eastAsia="zh-CN" w:bidi="ar-SA"/>
        </w:rPr>
        <w:t>1.9.2.</w:t>
      </w:r>
      <w:r>
        <w:rPr>
          <w:rFonts w:hint="eastAsia" w:ascii="宋体" w:hAnsi="宋体" w:eastAsia="宋体" w:cs="宋体"/>
          <w:b/>
          <w:color w:val="auto"/>
          <w:sz w:val="24"/>
          <w:szCs w:val="24"/>
          <w:highlight w:val="none"/>
        </w:rPr>
        <w:t>主泄水/回水器配置</w:t>
      </w:r>
      <w:bookmarkEnd w:id="74"/>
      <w:bookmarkEnd w:id="75"/>
      <w:bookmarkEnd w:id="76"/>
      <w:bookmarkEnd w:id="77"/>
    </w:p>
    <w:p w14:paraId="495EF025">
      <w:pPr>
        <w:pageBreakBefore w:val="0"/>
        <w:numPr>
          <w:ilvl w:val="0"/>
          <w:numId w:val="16"/>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按摩池/泡池主排水/回水器数量不小于</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GB"/>
        </w:rPr>
        <w:t>个。</w:t>
      </w:r>
    </w:p>
    <w:p w14:paraId="5A2F9D72">
      <w:pPr>
        <w:pageBreakBefore w:val="0"/>
        <w:numPr>
          <w:ilvl w:val="0"/>
          <w:numId w:val="16"/>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主排水器及回水装置为提供按摩池/泡池底之泄水系统装置，泄水口格栅之总有效截面由本承包商提供尺寸及安装大样。</w:t>
      </w:r>
    </w:p>
    <w:p w14:paraId="6FB80EBB">
      <w:pPr>
        <w:pageBreakBefore w:val="0"/>
        <w:numPr>
          <w:ilvl w:val="0"/>
          <w:numId w:val="16"/>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其中池底泄水口或回水口的格栅板的格栅孔隙宽度不得超过8mm。</w:t>
      </w:r>
    </w:p>
    <w:p w14:paraId="031A007E">
      <w:pPr>
        <w:pageBreakBefore w:val="0"/>
        <w:numPr>
          <w:ilvl w:val="0"/>
          <w:numId w:val="16"/>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格栅孔隙的水流速度不应大于0.2m/s。。</w:t>
      </w:r>
    </w:p>
    <w:p w14:paraId="17918C43">
      <w:pPr>
        <w:pageBreakBefore w:val="0"/>
        <w:numPr>
          <w:ilvl w:val="0"/>
          <w:numId w:val="16"/>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主排水器必须用ABS或同类材料</w:t>
      </w:r>
    </w:p>
    <w:p w14:paraId="45BE9971">
      <w:pPr>
        <w:pageBreakBefore w:val="0"/>
        <w:numPr>
          <w:ilvl w:val="0"/>
          <w:numId w:val="16"/>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应设在按摩池/泡池最低标高处</w:t>
      </w:r>
    </w:p>
    <w:p w14:paraId="3C11703F">
      <w:pPr>
        <w:pageBreakBefore w:val="0"/>
        <w:numPr>
          <w:ilvl w:val="0"/>
          <w:numId w:val="16"/>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取得IAPMO认证，防虹吸配件。</w:t>
      </w:r>
    </w:p>
    <w:p w14:paraId="040C05D2">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color w:val="auto"/>
          <w:sz w:val="24"/>
          <w:szCs w:val="24"/>
          <w:highlight w:val="none"/>
        </w:rPr>
      </w:pPr>
      <w:bookmarkStart w:id="78" w:name="_Toc29897"/>
      <w:bookmarkStart w:id="79" w:name="_Toc24636"/>
      <w:bookmarkStart w:id="80" w:name="_Toc800"/>
      <w:bookmarkStart w:id="81" w:name="_Toc20929"/>
      <w:r>
        <w:rPr>
          <w:rFonts w:hint="eastAsia" w:eastAsia="宋体" w:cs="宋体" w:asciiTheme="minorEastAsia" w:hAnsiTheme="minorEastAsia"/>
          <w:b/>
          <w:color w:val="auto"/>
          <w:kern w:val="2"/>
          <w:sz w:val="24"/>
          <w:szCs w:val="24"/>
          <w:lang w:val="en-US" w:eastAsia="zh-CN" w:bidi="ar-SA"/>
        </w:rPr>
        <w:t>1.9.3.</w:t>
      </w:r>
      <w:r>
        <w:rPr>
          <w:rFonts w:hint="eastAsia" w:ascii="宋体" w:hAnsi="宋体" w:eastAsia="宋体" w:cs="宋体"/>
          <w:b/>
          <w:color w:val="auto"/>
          <w:sz w:val="24"/>
          <w:szCs w:val="24"/>
          <w:highlight w:val="none"/>
        </w:rPr>
        <w:t>给水口</w:t>
      </w:r>
      <w:bookmarkEnd w:id="78"/>
      <w:bookmarkEnd w:id="79"/>
      <w:bookmarkEnd w:id="80"/>
      <w:bookmarkEnd w:id="81"/>
    </w:p>
    <w:p w14:paraId="5C47F01A">
      <w:pPr>
        <w:pageBreakBefore w:val="0"/>
        <w:numPr>
          <w:ilvl w:val="0"/>
          <w:numId w:val="17"/>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应采用出水流量为可调节型给水口，形状应为喇叭形，喇叭口面积不得小于连接管截面积。</w:t>
      </w:r>
    </w:p>
    <w:p w14:paraId="4ED2F2BB">
      <w:pPr>
        <w:pageBreakBefore w:val="0"/>
        <w:numPr>
          <w:ilvl w:val="0"/>
          <w:numId w:val="17"/>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喇叭口格栅护盖的孔隙不得大于8mm。</w:t>
      </w:r>
    </w:p>
    <w:p w14:paraId="0DB6CF3F">
      <w:pPr>
        <w:pageBreakBefore w:val="0"/>
        <w:numPr>
          <w:ilvl w:val="0"/>
          <w:numId w:val="17"/>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池壁安装给水口，应设在水面以下0.5-1m处。</w:t>
      </w:r>
    </w:p>
    <w:p w14:paraId="39395929">
      <w:pPr>
        <w:pageBreakBefore w:val="0"/>
        <w:numPr>
          <w:ilvl w:val="0"/>
          <w:numId w:val="17"/>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材质应为ABS或同类材料</w:t>
      </w:r>
      <w:r>
        <w:rPr>
          <w:rFonts w:hint="eastAsia" w:ascii="宋体" w:hAnsi="宋体" w:eastAsia="宋体" w:cs="宋体"/>
          <w:color w:val="auto"/>
          <w:sz w:val="24"/>
          <w:szCs w:val="24"/>
          <w:highlight w:val="none"/>
          <w:lang w:val="en-GB"/>
        </w:rPr>
        <w:t>。</w:t>
      </w:r>
    </w:p>
    <w:p w14:paraId="681E595A">
      <w:pPr>
        <w:pageBreakBefore w:val="0"/>
        <w:numPr>
          <w:ilvl w:val="0"/>
          <w:numId w:val="17"/>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给水口流速不应大于1m/s</w:t>
      </w:r>
      <w:r>
        <w:rPr>
          <w:rFonts w:hint="eastAsia" w:ascii="宋体" w:hAnsi="宋体" w:eastAsia="宋体" w:cs="宋体"/>
          <w:color w:val="auto"/>
          <w:sz w:val="24"/>
          <w:szCs w:val="24"/>
          <w:highlight w:val="none"/>
          <w:lang w:val="en-GB"/>
        </w:rPr>
        <w:t>。</w:t>
      </w:r>
    </w:p>
    <w:p w14:paraId="6F56BB44">
      <w:pPr>
        <w:pageBreakBefore w:val="0"/>
        <w:numPr>
          <w:ilvl w:val="0"/>
          <w:numId w:val="17"/>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顺流式按摩池/泡池应采用池</w:t>
      </w:r>
      <w:r>
        <w:rPr>
          <w:rFonts w:hint="eastAsia" w:ascii="宋体" w:hAnsi="宋体" w:eastAsia="宋体" w:cs="宋体"/>
          <w:color w:val="auto"/>
          <w:sz w:val="24"/>
          <w:szCs w:val="24"/>
          <w:highlight w:val="none"/>
        </w:rPr>
        <w:t>壁</w:t>
      </w:r>
      <w:r>
        <w:rPr>
          <w:rFonts w:hint="eastAsia" w:ascii="宋体" w:hAnsi="宋体" w:eastAsia="宋体" w:cs="宋体"/>
          <w:color w:val="auto"/>
          <w:sz w:val="24"/>
          <w:szCs w:val="24"/>
          <w:highlight w:val="none"/>
          <w:lang w:val="en-GB"/>
        </w:rPr>
        <w:t>布水口。</w:t>
      </w:r>
    </w:p>
    <w:p w14:paraId="6D5B1D48">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color w:val="auto"/>
          <w:sz w:val="24"/>
          <w:szCs w:val="24"/>
          <w:highlight w:val="none"/>
        </w:rPr>
      </w:pPr>
      <w:bookmarkStart w:id="82" w:name="_Toc12116"/>
      <w:bookmarkStart w:id="83" w:name="_Toc4306"/>
      <w:bookmarkStart w:id="84" w:name="_Toc19655"/>
      <w:bookmarkStart w:id="85" w:name="_Toc30926"/>
      <w:r>
        <w:rPr>
          <w:rFonts w:hint="eastAsia" w:eastAsia="宋体" w:cs="宋体" w:asciiTheme="minorEastAsia" w:hAnsiTheme="minorEastAsia"/>
          <w:b/>
          <w:color w:val="auto"/>
          <w:kern w:val="2"/>
          <w:sz w:val="24"/>
          <w:szCs w:val="24"/>
          <w:lang w:val="en-US" w:eastAsia="zh-CN" w:bidi="ar-SA"/>
        </w:rPr>
        <w:t>1.9.4.</w:t>
      </w:r>
      <w:r>
        <w:rPr>
          <w:rFonts w:hint="eastAsia" w:ascii="宋体" w:hAnsi="宋体" w:eastAsia="宋体" w:cs="宋体"/>
          <w:b/>
          <w:color w:val="auto"/>
          <w:sz w:val="24"/>
          <w:szCs w:val="24"/>
          <w:highlight w:val="none"/>
        </w:rPr>
        <w:t>溢流口</w:t>
      </w:r>
      <w:bookmarkEnd w:id="82"/>
      <w:bookmarkEnd w:id="83"/>
      <w:bookmarkEnd w:id="84"/>
      <w:bookmarkEnd w:id="85"/>
    </w:p>
    <w:p w14:paraId="5B7F3D7A">
      <w:pPr>
        <w:pageBreakBefore w:val="0"/>
        <w:numPr>
          <w:ilvl w:val="0"/>
          <w:numId w:val="18"/>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材质应为ABS或同类材料。</w:t>
      </w:r>
    </w:p>
    <w:p w14:paraId="3B6667EF">
      <w:pPr>
        <w:pageBreakBefore w:val="0"/>
        <w:numPr>
          <w:ilvl w:val="0"/>
          <w:numId w:val="18"/>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形状应为喇叭形，喇叭口有效面积不得小于连接管截面积。</w:t>
      </w:r>
    </w:p>
    <w:p w14:paraId="62AE03E7">
      <w:pPr>
        <w:pageBreakBefore w:val="0"/>
        <w:numPr>
          <w:ilvl w:val="0"/>
          <w:numId w:val="18"/>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应布置在溢流槽内。</w:t>
      </w:r>
    </w:p>
    <w:p w14:paraId="48D8AB14">
      <w:pPr>
        <w:pageBreakBefore w:val="0"/>
        <w:numPr>
          <w:ilvl w:val="0"/>
          <w:numId w:val="18"/>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材质应为ABS或同类材料</w:t>
      </w:r>
      <w:r>
        <w:rPr>
          <w:rFonts w:hint="eastAsia" w:ascii="宋体" w:hAnsi="宋体" w:eastAsia="宋体" w:cs="宋体"/>
          <w:color w:val="auto"/>
          <w:sz w:val="24"/>
          <w:szCs w:val="24"/>
          <w:highlight w:val="none"/>
          <w:lang w:val="en-GB"/>
        </w:rPr>
        <w:t>。</w:t>
      </w:r>
    </w:p>
    <w:p w14:paraId="3B280944">
      <w:pPr>
        <w:pageBreakBefore w:val="0"/>
        <w:numPr>
          <w:ilvl w:val="0"/>
          <w:numId w:val="18"/>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形状</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val="en-GB"/>
        </w:rPr>
        <w:t>为长方形或圆形。</w:t>
      </w:r>
    </w:p>
    <w:p w14:paraId="09F837DE">
      <w:pPr>
        <w:pageBreakBefore w:val="0"/>
        <w:tabs>
          <w:tab w:val="left" w:pos="900"/>
        </w:tabs>
        <w:kinsoku/>
        <w:wordWrap/>
        <w:overflowPunct/>
        <w:topLinePunct w:val="0"/>
        <w:autoSpaceDE w:val="0"/>
        <w:autoSpaceDN w:val="0"/>
        <w:bidi w:val="0"/>
        <w:adjustRightInd w:val="0"/>
        <w:spacing w:before="93" w:beforeLines="30" w:after="93" w:afterLines="30" w:line="460" w:lineRule="exact"/>
        <w:ind w:left="540" w:right="-23"/>
        <w:jc w:val="left"/>
        <w:textAlignment w:val="baseline"/>
        <w:rPr>
          <w:rFonts w:hint="eastAsia" w:ascii="宋体" w:hAnsi="宋体" w:eastAsia="宋体" w:cs="宋体"/>
          <w:color w:val="auto"/>
          <w:sz w:val="24"/>
          <w:szCs w:val="24"/>
          <w:highlight w:val="none"/>
          <w:lang w:val="en-GB"/>
        </w:rPr>
      </w:pPr>
    </w:p>
    <w:p w14:paraId="1284020A">
      <w:pPr>
        <w:pStyle w:val="34"/>
        <w:pageBreakBefore w:val="0"/>
        <w:numPr>
          <w:ilvl w:val="1"/>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bookmarkStart w:id="86" w:name="_Toc19034"/>
      <w:bookmarkStart w:id="87" w:name="_Toc13296"/>
      <w:bookmarkStart w:id="88" w:name="_Toc18847"/>
      <w:bookmarkStart w:id="89" w:name="_Toc2642"/>
      <w:r>
        <w:rPr>
          <w:rFonts w:hint="eastAsia" w:eastAsia="宋体" w:cs="宋体" w:asciiTheme="minorEastAsia" w:hAnsiTheme="minorEastAsia"/>
          <w:b/>
          <w:color w:val="auto"/>
          <w:kern w:val="2"/>
          <w:sz w:val="24"/>
          <w:szCs w:val="24"/>
          <w:lang w:val="en-US" w:eastAsia="zh-CN" w:bidi="ar-SA"/>
        </w:rPr>
        <w:t>1.10.</w:t>
      </w:r>
      <w:r>
        <w:rPr>
          <w:rFonts w:hint="eastAsia" w:ascii="宋体" w:hAnsi="宋体" w:eastAsia="宋体" w:cs="宋体"/>
          <w:b/>
          <w:color w:val="auto"/>
          <w:sz w:val="24"/>
          <w:szCs w:val="24"/>
          <w:highlight w:val="none"/>
        </w:rPr>
        <w:t>管道技术要求</w:t>
      </w:r>
      <w:bookmarkEnd w:id="86"/>
      <w:bookmarkEnd w:id="87"/>
      <w:bookmarkEnd w:id="88"/>
      <w:bookmarkEnd w:id="89"/>
    </w:p>
    <w:p w14:paraId="6D4EEA8F">
      <w:pPr>
        <w:pageBreakBefore w:val="0"/>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本章说明管道工程的规格及其它附件的安装要求。</w:t>
      </w:r>
    </w:p>
    <w:p w14:paraId="0789613F">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color w:val="auto"/>
          <w:sz w:val="24"/>
          <w:szCs w:val="24"/>
          <w:highlight w:val="none"/>
        </w:rPr>
      </w:pPr>
      <w:bookmarkStart w:id="90" w:name="_Toc6128"/>
      <w:bookmarkStart w:id="91" w:name="_Toc28536"/>
      <w:bookmarkStart w:id="92" w:name="_Toc29701"/>
      <w:bookmarkStart w:id="93" w:name="_Toc8094"/>
      <w:r>
        <w:rPr>
          <w:rFonts w:hint="eastAsia" w:eastAsia="宋体" w:cs="宋体" w:asciiTheme="minorEastAsia" w:hAnsiTheme="minorEastAsia"/>
          <w:b/>
          <w:color w:val="auto"/>
          <w:kern w:val="2"/>
          <w:sz w:val="24"/>
          <w:szCs w:val="24"/>
          <w:lang w:val="en-US" w:eastAsia="zh-CN" w:bidi="ar-SA"/>
        </w:rPr>
        <w:t>1.10.1.</w:t>
      </w:r>
      <w:r>
        <w:rPr>
          <w:rFonts w:hint="eastAsia" w:ascii="宋体" w:hAnsi="宋体" w:eastAsia="宋体" w:cs="宋体"/>
          <w:b/>
          <w:color w:val="auto"/>
          <w:sz w:val="24"/>
          <w:szCs w:val="24"/>
          <w:highlight w:val="none"/>
        </w:rPr>
        <w:t xml:space="preserve"> 一般要求</w:t>
      </w:r>
      <w:bookmarkEnd w:id="90"/>
      <w:bookmarkEnd w:id="91"/>
      <w:bookmarkEnd w:id="92"/>
      <w:bookmarkEnd w:id="93"/>
    </w:p>
    <w:p w14:paraId="3C645394">
      <w:pPr>
        <w:pageBreakBefore w:val="0"/>
        <w:numPr>
          <w:ilvl w:val="1"/>
          <w:numId w:val="19"/>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所有送达工地的管道均应为全新的，并有颜色标志以利辨认不同的等级。</w:t>
      </w:r>
    </w:p>
    <w:p w14:paraId="6FE71640">
      <w:pPr>
        <w:pageBreakBefore w:val="0"/>
        <w:numPr>
          <w:ilvl w:val="1"/>
          <w:numId w:val="19"/>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管道应以正确的坡度安装，以保证充分的排气和排水。</w:t>
      </w:r>
    </w:p>
    <w:p w14:paraId="0F4D8C04">
      <w:pPr>
        <w:pageBreakBefore w:val="0"/>
        <w:numPr>
          <w:ilvl w:val="1"/>
          <w:numId w:val="19"/>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泵送管道的水流速度不宜大于2.5m/s，排水管道的水流速度不宜大于1m/s。</w:t>
      </w:r>
    </w:p>
    <w:p w14:paraId="2D01252F">
      <w:pPr>
        <w:pageBreakBefore w:val="0"/>
        <w:numPr>
          <w:ilvl w:val="1"/>
          <w:numId w:val="19"/>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管道接头不得藏在墙壁或楼板之内。</w:t>
      </w:r>
    </w:p>
    <w:p w14:paraId="1FFC4A9A">
      <w:pPr>
        <w:pageBreakBefore w:val="0"/>
        <w:numPr>
          <w:ilvl w:val="1"/>
          <w:numId w:val="19"/>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管道须采用套管穿过墙壁和楼板。若所穿过的结构需要防水密封时，须用热浸镀锌厚壁防水套管以法兰型式直接接驳。</w:t>
      </w:r>
    </w:p>
    <w:p w14:paraId="2CC6B736">
      <w:pPr>
        <w:pageBreakBefore w:val="0"/>
        <w:numPr>
          <w:ilvl w:val="1"/>
          <w:numId w:val="19"/>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所有穿过楼宇伸缩缝的管道必须采用活动接头连接。</w:t>
      </w:r>
    </w:p>
    <w:p w14:paraId="5E6F4E1C">
      <w:pPr>
        <w:pageBreakBefore w:val="0"/>
        <w:numPr>
          <w:ilvl w:val="1"/>
          <w:numId w:val="19"/>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所有管道装置应按批准施工图纸安装。</w:t>
      </w:r>
    </w:p>
    <w:p w14:paraId="6F146A8D">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color w:val="auto"/>
          <w:sz w:val="24"/>
          <w:szCs w:val="24"/>
          <w:highlight w:val="none"/>
        </w:rPr>
      </w:pPr>
      <w:bookmarkStart w:id="94" w:name="_Toc28854"/>
      <w:bookmarkStart w:id="95" w:name="_Toc4694"/>
      <w:bookmarkStart w:id="96" w:name="_Toc6493"/>
      <w:bookmarkStart w:id="97" w:name="_Toc16412"/>
      <w:r>
        <w:rPr>
          <w:rFonts w:hint="eastAsia" w:eastAsia="宋体" w:cs="宋体" w:asciiTheme="minorEastAsia" w:hAnsiTheme="minorEastAsia"/>
          <w:b/>
          <w:color w:val="auto"/>
          <w:kern w:val="2"/>
          <w:sz w:val="24"/>
          <w:szCs w:val="24"/>
          <w:lang w:val="en-US" w:eastAsia="zh-CN" w:bidi="ar-SA"/>
        </w:rPr>
        <w:t>1.10.2.</w:t>
      </w:r>
      <w:r>
        <w:rPr>
          <w:rFonts w:hint="eastAsia" w:ascii="宋体" w:hAnsi="宋体" w:eastAsia="宋体" w:cs="宋体"/>
          <w:b/>
          <w:color w:val="auto"/>
          <w:sz w:val="24"/>
          <w:szCs w:val="24"/>
          <w:highlight w:val="none"/>
        </w:rPr>
        <w:t>质量保证</w:t>
      </w:r>
      <w:bookmarkEnd w:id="94"/>
      <w:bookmarkEnd w:id="95"/>
      <w:bookmarkEnd w:id="96"/>
      <w:bookmarkEnd w:id="97"/>
    </w:p>
    <w:p w14:paraId="7D489004">
      <w:pPr>
        <w:pageBreakBefore w:val="0"/>
        <w:numPr>
          <w:ilvl w:val="0"/>
          <w:numId w:val="20"/>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所有管道装配和设备安装技工均应具有此行业中三年以上的工作经验。</w:t>
      </w:r>
    </w:p>
    <w:p w14:paraId="63C9DFC3">
      <w:pPr>
        <w:pageBreakBefore w:val="0"/>
        <w:numPr>
          <w:ilvl w:val="0"/>
          <w:numId w:val="20"/>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所有烧焊技工必须具备由有关政府部门签发的有效施工证书。</w:t>
      </w:r>
    </w:p>
    <w:p w14:paraId="529A34D9">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color w:val="auto"/>
          <w:sz w:val="24"/>
          <w:szCs w:val="24"/>
          <w:highlight w:val="none"/>
        </w:rPr>
      </w:pPr>
      <w:bookmarkStart w:id="98" w:name="_Toc6957"/>
      <w:bookmarkStart w:id="99" w:name="_Toc936"/>
      <w:bookmarkStart w:id="100" w:name="_Toc28160"/>
      <w:bookmarkStart w:id="101" w:name="_Toc17737"/>
      <w:r>
        <w:rPr>
          <w:rFonts w:hint="eastAsia" w:eastAsia="宋体" w:cs="宋体" w:asciiTheme="minorEastAsia" w:hAnsiTheme="minorEastAsia"/>
          <w:b/>
          <w:color w:val="auto"/>
          <w:kern w:val="2"/>
          <w:sz w:val="24"/>
          <w:szCs w:val="24"/>
          <w:lang w:val="en-US" w:eastAsia="zh-CN" w:bidi="ar-SA"/>
        </w:rPr>
        <w:t>1.10.3.</w:t>
      </w:r>
      <w:r>
        <w:rPr>
          <w:rFonts w:hint="eastAsia" w:ascii="宋体" w:hAnsi="宋体" w:eastAsia="宋体" w:cs="宋体"/>
          <w:b/>
          <w:color w:val="auto"/>
          <w:sz w:val="24"/>
          <w:szCs w:val="24"/>
          <w:highlight w:val="none"/>
        </w:rPr>
        <w:t>资料呈审</w:t>
      </w:r>
      <w:bookmarkEnd w:id="98"/>
      <w:bookmarkEnd w:id="99"/>
      <w:bookmarkEnd w:id="100"/>
      <w:bookmarkEnd w:id="101"/>
    </w:p>
    <w:p w14:paraId="00EA5016">
      <w:pPr>
        <w:pageBreakBefore w:val="0"/>
        <w:numPr>
          <w:ilvl w:val="0"/>
          <w:numId w:val="21"/>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提交施工图和制造厂家的技术数据。</w:t>
      </w:r>
    </w:p>
    <w:p w14:paraId="380F1B02">
      <w:pPr>
        <w:pageBreakBefore w:val="0"/>
        <w:numPr>
          <w:ilvl w:val="0"/>
          <w:numId w:val="21"/>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提交管道试验和清洁程序，以供审批。</w:t>
      </w:r>
    </w:p>
    <w:p w14:paraId="368BEC5A">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color w:val="auto"/>
          <w:sz w:val="24"/>
          <w:szCs w:val="24"/>
          <w:highlight w:val="none"/>
        </w:rPr>
      </w:pPr>
      <w:bookmarkStart w:id="102" w:name="_Toc10349"/>
      <w:bookmarkStart w:id="103" w:name="_Toc19603"/>
      <w:bookmarkStart w:id="104" w:name="_Toc17912"/>
      <w:bookmarkStart w:id="105" w:name="_Toc24327"/>
      <w:r>
        <w:rPr>
          <w:rFonts w:hint="eastAsia" w:eastAsia="宋体" w:cs="宋体" w:asciiTheme="minorEastAsia" w:hAnsiTheme="minorEastAsia"/>
          <w:b/>
          <w:color w:val="auto"/>
          <w:kern w:val="2"/>
          <w:sz w:val="24"/>
          <w:szCs w:val="24"/>
          <w:lang w:val="en-US" w:eastAsia="zh-CN" w:bidi="ar-SA"/>
        </w:rPr>
        <w:t>1.10.4.</w:t>
      </w:r>
      <w:r>
        <w:rPr>
          <w:rFonts w:hint="eastAsia" w:ascii="宋体" w:hAnsi="宋体" w:eastAsia="宋体" w:cs="宋体"/>
          <w:b/>
          <w:color w:val="auto"/>
          <w:sz w:val="24"/>
          <w:szCs w:val="24"/>
          <w:highlight w:val="none"/>
        </w:rPr>
        <w:t>管道</w:t>
      </w:r>
      <w:bookmarkEnd w:id="102"/>
      <w:bookmarkEnd w:id="103"/>
      <w:bookmarkEnd w:id="104"/>
      <w:bookmarkEnd w:id="105"/>
    </w:p>
    <w:p w14:paraId="30F708B8">
      <w:pPr>
        <w:pStyle w:val="34"/>
        <w:pageBreakBefore w:val="0"/>
        <w:numPr>
          <w:ilvl w:val="3"/>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bookmarkStart w:id="106" w:name="_Toc29380"/>
      <w:bookmarkStart w:id="107" w:name="_Toc6598"/>
      <w:bookmarkStart w:id="108" w:name="_Toc28478"/>
      <w:bookmarkStart w:id="109" w:name="_Toc18511"/>
      <w:r>
        <w:rPr>
          <w:rFonts w:hint="eastAsia" w:eastAsia="宋体" w:cs="宋体" w:asciiTheme="minorEastAsia" w:hAnsiTheme="minorEastAsia"/>
          <w:b/>
          <w:color w:val="auto"/>
          <w:kern w:val="2"/>
          <w:sz w:val="24"/>
          <w:szCs w:val="24"/>
          <w:lang w:val="en-US" w:eastAsia="zh-CN" w:bidi="ar-SA"/>
        </w:rPr>
        <w:t>1.10.4.1.</w:t>
      </w:r>
      <w:r>
        <w:rPr>
          <w:rFonts w:hint="eastAsia" w:ascii="宋体" w:hAnsi="宋体" w:eastAsia="宋体" w:cs="宋体"/>
          <w:b/>
          <w:color w:val="auto"/>
          <w:sz w:val="24"/>
          <w:szCs w:val="24"/>
          <w:highlight w:val="none"/>
        </w:rPr>
        <w:t xml:space="preserve"> 管道工程材料</w:t>
      </w:r>
      <w:bookmarkEnd w:id="106"/>
      <w:bookmarkEnd w:id="107"/>
      <w:bookmarkEnd w:id="108"/>
      <w:bookmarkEnd w:id="109"/>
    </w:p>
    <w:p w14:paraId="10165463">
      <w:pPr>
        <w:pStyle w:val="63"/>
        <w:pageBreakBefore w:val="0"/>
        <w:kinsoku/>
        <w:wordWrap/>
        <w:overflowPunct/>
        <w:topLinePunct w:val="0"/>
        <w:bidi w:val="0"/>
        <w:spacing w:after="0" w:line="460" w:lineRule="exact"/>
        <w:ind w:left="720"/>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对不同的设施，管道工程的规格应符合下列各表的要求。</w:t>
      </w:r>
    </w:p>
    <w:p w14:paraId="43B00FC3">
      <w:pPr>
        <w:pStyle w:val="63"/>
        <w:pageBreakBefore w:val="0"/>
        <w:kinsoku/>
        <w:wordWrap/>
        <w:overflowPunct/>
        <w:topLinePunct w:val="0"/>
        <w:bidi w:val="0"/>
        <w:snapToGrid w:val="0"/>
        <w:spacing w:after="156" w:afterLines="50" w:line="460" w:lineRule="exact"/>
        <w:ind w:left="720"/>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表1 - 管道类别</w:t>
      </w:r>
    </w:p>
    <w:tbl>
      <w:tblPr>
        <w:tblStyle w:val="25"/>
        <w:tblW w:w="4841" w:type="pct"/>
        <w:tblInd w:w="26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01"/>
        <w:gridCol w:w="3289"/>
      </w:tblGrid>
      <w:tr w14:paraId="797E7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31" w:hRule="atLeast"/>
        </w:trPr>
        <w:tc>
          <w:tcPr>
            <w:tcW w:w="6133" w:type="dxa"/>
            <w:tcBorders>
              <w:top w:val="single" w:color="auto" w:sz="4" w:space="0"/>
              <w:left w:val="single" w:color="auto" w:sz="4" w:space="0"/>
              <w:bottom w:val="single" w:color="auto" w:sz="4" w:space="0"/>
              <w:right w:val="single" w:color="auto" w:sz="4" w:space="0"/>
            </w:tcBorders>
            <w:vAlign w:val="center"/>
          </w:tcPr>
          <w:p w14:paraId="545995B6">
            <w:pPr>
              <w:pStyle w:val="63"/>
              <w:pageBreakBefore w:val="0"/>
              <w:shd w:val="clear" w:fill="FFFFFF" w:themeFill="background1"/>
              <w:kinsoku/>
              <w:wordWrap/>
              <w:overflowPunct/>
              <w:topLinePunct w:val="0"/>
              <w:bidi w:val="0"/>
              <w:snapToGrid w:val="0"/>
              <w:spacing w:after="0" w:line="460" w:lineRule="exact"/>
              <w:ind w:left="0"/>
              <w:jc w:val="center"/>
              <w:rPr>
                <w:rFonts w:hint="eastAsia" w:ascii="宋体" w:hAnsi="宋体" w:eastAsia="宋体" w:cs="宋体"/>
                <w:b/>
                <w:color w:val="auto"/>
                <w:spacing w:val="0"/>
                <w:sz w:val="24"/>
                <w:szCs w:val="24"/>
                <w:highlight w:val="none"/>
                <w:lang w:eastAsia="zh-CN"/>
              </w:rPr>
            </w:pPr>
            <w:r>
              <w:rPr>
                <w:rFonts w:hint="eastAsia" w:ascii="宋体" w:hAnsi="宋体" w:eastAsia="宋体" w:cs="宋体"/>
                <w:b/>
                <w:color w:val="auto"/>
                <w:spacing w:val="0"/>
                <w:sz w:val="24"/>
                <w:szCs w:val="24"/>
                <w:highlight w:val="none"/>
                <w:lang w:eastAsia="zh-CN"/>
              </w:rPr>
              <w:t>管道设施</w:t>
            </w:r>
          </w:p>
        </w:tc>
        <w:tc>
          <w:tcPr>
            <w:tcW w:w="3253" w:type="dxa"/>
            <w:tcBorders>
              <w:top w:val="single" w:color="auto" w:sz="4" w:space="0"/>
              <w:left w:val="single" w:color="auto" w:sz="4" w:space="0"/>
              <w:bottom w:val="single" w:color="auto" w:sz="4" w:space="0"/>
              <w:right w:val="single" w:color="auto" w:sz="4" w:space="0"/>
            </w:tcBorders>
            <w:vAlign w:val="center"/>
          </w:tcPr>
          <w:p w14:paraId="0BD15A36">
            <w:pPr>
              <w:pStyle w:val="63"/>
              <w:pageBreakBefore w:val="0"/>
              <w:shd w:val="clear" w:fill="FFFFFF" w:themeFill="background1"/>
              <w:kinsoku/>
              <w:wordWrap/>
              <w:overflowPunct/>
              <w:topLinePunct w:val="0"/>
              <w:bidi w:val="0"/>
              <w:snapToGrid w:val="0"/>
              <w:spacing w:after="0" w:line="460" w:lineRule="exact"/>
              <w:ind w:left="0"/>
              <w:jc w:val="center"/>
              <w:rPr>
                <w:rFonts w:hint="eastAsia" w:ascii="宋体" w:hAnsi="宋体" w:eastAsia="宋体" w:cs="宋体"/>
                <w:b/>
                <w:color w:val="auto"/>
                <w:spacing w:val="0"/>
                <w:sz w:val="24"/>
                <w:szCs w:val="24"/>
                <w:highlight w:val="none"/>
                <w:lang w:eastAsia="zh-CN"/>
              </w:rPr>
            </w:pPr>
            <w:r>
              <w:rPr>
                <w:rFonts w:hint="eastAsia" w:ascii="宋体" w:hAnsi="宋体" w:eastAsia="宋体" w:cs="宋体"/>
                <w:b/>
                <w:color w:val="auto"/>
                <w:spacing w:val="0"/>
                <w:sz w:val="24"/>
                <w:szCs w:val="24"/>
                <w:highlight w:val="none"/>
                <w:lang w:eastAsia="zh-CN"/>
              </w:rPr>
              <w:t>管道类别</w:t>
            </w:r>
          </w:p>
        </w:tc>
      </w:tr>
      <w:tr w14:paraId="422E2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6133" w:type="dxa"/>
            <w:tcBorders>
              <w:top w:val="single" w:color="auto" w:sz="4" w:space="0"/>
              <w:left w:val="single" w:color="auto" w:sz="4" w:space="0"/>
              <w:bottom w:val="single" w:color="auto" w:sz="4" w:space="0"/>
              <w:right w:val="single" w:color="auto" w:sz="4" w:space="0"/>
            </w:tcBorders>
            <w:vAlign w:val="center"/>
          </w:tcPr>
          <w:p w14:paraId="0491D365">
            <w:pPr>
              <w:pStyle w:val="63"/>
              <w:pageBreakBefore w:val="0"/>
              <w:shd w:val="clear" w:fill="FFFFFF" w:themeFill="background1"/>
              <w:kinsoku/>
              <w:wordWrap/>
              <w:overflowPunct/>
              <w:topLinePunct w:val="0"/>
              <w:bidi w:val="0"/>
              <w:snapToGrid w:val="0"/>
              <w:spacing w:after="0" w:line="460" w:lineRule="exact"/>
              <w:ind w:left="0"/>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所有按摩池/泡池循环过滤系统装置管道</w:t>
            </w:r>
          </w:p>
        </w:tc>
        <w:tc>
          <w:tcPr>
            <w:tcW w:w="3253" w:type="dxa"/>
            <w:tcBorders>
              <w:top w:val="single" w:color="auto" w:sz="4" w:space="0"/>
              <w:left w:val="single" w:color="auto" w:sz="4" w:space="0"/>
              <w:bottom w:val="single" w:color="auto" w:sz="4" w:space="0"/>
              <w:right w:val="single" w:color="auto" w:sz="4" w:space="0"/>
            </w:tcBorders>
            <w:vAlign w:val="center"/>
          </w:tcPr>
          <w:p w14:paraId="69677CDD">
            <w:pPr>
              <w:pStyle w:val="63"/>
              <w:pageBreakBefore w:val="0"/>
              <w:shd w:val="clear" w:fill="FFFFFF" w:themeFill="background1"/>
              <w:kinsoku/>
              <w:wordWrap/>
              <w:overflowPunct/>
              <w:topLinePunct w:val="0"/>
              <w:bidi w:val="0"/>
              <w:snapToGrid w:val="0"/>
              <w:spacing w:line="460" w:lineRule="exact"/>
              <w:ind w:left="0"/>
              <w:jc w:val="center"/>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A</w:t>
            </w:r>
          </w:p>
        </w:tc>
      </w:tr>
      <w:tr w14:paraId="798A6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61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079EB14">
            <w:pPr>
              <w:pStyle w:val="63"/>
              <w:pageBreakBefore w:val="0"/>
              <w:shd w:val="clear" w:fill="FFFFFF" w:themeFill="background1"/>
              <w:kinsoku/>
              <w:wordWrap/>
              <w:overflowPunct/>
              <w:topLinePunct w:val="0"/>
              <w:bidi w:val="0"/>
              <w:snapToGrid w:val="0"/>
              <w:spacing w:after="0" w:line="460" w:lineRule="exact"/>
              <w:ind w:left="0"/>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设备区连接至客房区的隐蔽管道</w:t>
            </w:r>
          </w:p>
        </w:tc>
        <w:tc>
          <w:tcPr>
            <w:tcW w:w="325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03C04A1">
            <w:pPr>
              <w:pStyle w:val="63"/>
              <w:pageBreakBefore w:val="0"/>
              <w:shd w:val="clear" w:fill="FFFFFF" w:themeFill="background1"/>
              <w:kinsoku/>
              <w:wordWrap/>
              <w:overflowPunct/>
              <w:topLinePunct w:val="0"/>
              <w:bidi w:val="0"/>
              <w:snapToGrid w:val="0"/>
              <w:spacing w:line="460" w:lineRule="exact"/>
              <w:ind w:left="0"/>
              <w:jc w:val="center"/>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B</w:t>
            </w:r>
          </w:p>
        </w:tc>
      </w:tr>
    </w:tbl>
    <w:p w14:paraId="6D5CFD1D">
      <w:pPr>
        <w:pStyle w:val="63"/>
        <w:pageBreakBefore w:val="0"/>
        <w:shd w:val="clear" w:fill="FFFFFF" w:themeFill="background1"/>
        <w:kinsoku/>
        <w:wordWrap/>
        <w:overflowPunct/>
        <w:topLinePunct w:val="0"/>
        <w:bidi w:val="0"/>
        <w:snapToGrid w:val="0"/>
        <w:spacing w:after="156" w:afterLines="50" w:line="460" w:lineRule="exact"/>
        <w:ind w:left="720"/>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 xml:space="preserve">表2 - 管道规格 </w:t>
      </w:r>
    </w:p>
    <w:tbl>
      <w:tblPr>
        <w:tblStyle w:val="25"/>
        <w:tblW w:w="9404" w:type="dxa"/>
        <w:tblInd w:w="3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2280"/>
        <w:gridCol w:w="2520"/>
        <w:gridCol w:w="3247"/>
      </w:tblGrid>
      <w:tr w14:paraId="06BC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blHeader/>
        </w:trPr>
        <w:tc>
          <w:tcPr>
            <w:tcW w:w="1357" w:type="dxa"/>
            <w:vAlign w:val="center"/>
          </w:tcPr>
          <w:p w14:paraId="23672C63">
            <w:pPr>
              <w:pStyle w:val="63"/>
              <w:pageBreakBefore w:val="0"/>
              <w:shd w:val="clear" w:fill="FFFFFF" w:themeFill="background1"/>
              <w:kinsoku/>
              <w:wordWrap/>
              <w:overflowPunct/>
              <w:topLinePunct w:val="0"/>
              <w:bidi w:val="0"/>
              <w:snapToGrid w:val="0"/>
              <w:spacing w:after="0" w:line="460" w:lineRule="exact"/>
              <w:ind w:left="0"/>
              <w:jc w:val="center"/>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类别</w:t>
            </w:r>
          </w:p>
        </w:tc>
        <w:tc>
          <w:tcPr>
            <w:tcW w:w="2280" w:type="dxa"/>
            <w:vAlign w:val="center"/>
          </w:tcPr>
          <w:p w14:paraId="481E8657">
            <w:pPr>
              <w:pStyle w:val="63"/>
              <w:pageBreakBefore w:val="0"/>
              <w:shd w:val="clear" w:fill="FFFFFF" w:themeFill="background1"/>
              <w:kinsoku/>
              <w:wordWrap/>
              <w:overflowPunct/>
              <w:topLinePunct w:val="0"/>
              <w:bidi w:val="0"/>
              <w:snapToGrid w:val="0"/>
              <w:spacing w:after="0" w:line="460" w:lineRule="exact"/>
              <w:ind w:left="0"/>
              <w:jc w:val="center"/>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管道</w:t>
            </w:r>
          </w:p>
        </w:tc>
        <w:tc>
          <w:tcPr>
            <w:tcW w:w="2520" w:type="dxa"/>
            <w:vAlign w:val="center"/>
          </w:tcPr>
          <w:p w14:paraId="5614902B">
            <w:pPr>
              <w:pStyle w:val="63"/>
              <w:pageBreakBefore w:val="0"/>
              <w:shd w:val="clear" w:fill="FFFFFF" w:themeFill="background1"/>
              <w:kinsoku/>
              <w:wordWrap/>
              <w:overflowPunct/>
              <w:topLinePunct w:val="0"/>
              <w:bidi w:val="0"/>
              <w:snapToGrid w:val="0"/>
              <w:spacing w:after="0" w:line="460" w:lineRule="exact"/>
              <w:ind w:left="0"/>
              <w:jc w:val="center"/>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接口</w:t>
            </w:r>
          </w:p>
        </w:tc>
        <w:tc>
          <w:tcPr>
            <w:tcW w:w="3247" w:type="dxa"/>
            <w:vAlign w:val="center"/>
          </w:tcPr>
          <w:p w14:paraId="6DEBB648">
            <w:pPr>
              <w:pStyle w:val="63"/>
              <w:pageBreakBefore w:val="0"/>
              <w:shd w:val="clear" w:fill="FFFFFF" w:themeFill="background1"/>
              <w:kinsoku/>
              <w:wordWrap/>
              <w:overflowPunct/>
              <w:topLinePunct w:val="0"/>
              <w:bidi w:val="0"/>
              <w:snapToGrid w:val="0"/>
              <w:spacing w:after="0" w:line="460" w:lineRule="exact"/>
              <w:ind w:left="0"/>
              <w:jc w:val="center"/>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管件</w:t>
            </w:r>
          </w:p>
        </w:tc>
      </w:tr>
      <w:tr w14:paraId="4177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7" w:hRule="atLeast"/>
        </w:trPr>
        <w:tc>
          <w:tcPr>
            <w:tcW w:w="1357" w:type="dxa"/>
            <w:vAlign w:val="center"/>
          </w:tcPr>
          <w:p w14:paraId="1719CF62">
            <w:pPr>
              <w:pStyle w:val="63"/>
              <w:pageBreakBefore w:val="0"/>
              <w:shd w:val="clear" w:fill="FFFFFF" w:themeFill="background1"/>
              <w:kinsoku/>
              <w:wordWrap/>
              <w:overflowPunct/>
              <w:topLinePunct w:val="0"/>
              <w:bidi w:val="0"/>
              <w:snapToGrid w:val="0"/>
              <w:spacing w:after="0" w:line="460" w:lineRule="exact"/>
              <w:ind w:left="0"/>
              <w:jc w:val="center"/>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A</w:t>
            </w:r>
          </w:p>
        </w:tc>
        <w:tc>
          <w:tcPr>
            <w:tcW w:w="2280" w:type="dxa"/>
          </w:tcPr>
          <w:p w14:paraId="54359D7F">
            <w:pPr>
              <w:pageBreakBefore w:val="0"/>
              <w:shd w:val="clear" w:fill="FFFFFF" w:themeFill="background1"/>
              <w:kinsoku/>
              <w:wordWrap/>
              <w:overflowPunct/>
              <w:topLinePunct w:val="0"/>
              <w:bidi w:val="0"/>
              <w:adjustRightInd w:val="0"/>
              <w:snapToGrid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冷热水用氯化聚氯乙烯（PVC-C）管道系统GB/T18993.1-2003</w:t>
            </w:r>
          </w:p>
        </w:tc>
        <w:tc>
          <w:tcPr>
            <w:tcW w:w="2520" w:type="dxa"/>
          </w:tcPr>
          <w:p w14:paraId="27E7E223">
            <w:pPr>
              <w:pageBreakBefore w:val="0"/>
              <w:shd w:val="clear" w:fill="FFFFFF" w:themeFill="background1"/>
              <w:kinsoku/>
              <w:wordWrap/>
              <w:overflowPunct/>
              <w:topLinePunct w:val="0"/>
              <w:bidi w:val="0"/>
              <w:adjustRightInd w:val="0"/>
              <w:snapToGrid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S6.3管系列，CPVC管材与CPVC管件的链接应采用承插式粘接连接；</w:t>
            </w:r>
          </w:p>
        </w:tc>
        <w:tc>
          <w:tcPr>
            <w:tcW w:w="3247" w:type="dxa"/>
          </w:tcPr>
          <w:p w14:paraId="05DB19C2">
            <w:pPr>
              <w:pageBreakBefore w:val="0"/>
              <w:shd w:val="clear" w:fill="FFFFFF" w:themeFill="background1"/>
              <w:kinsoku/>
              <w:wordWrap/>
              <w:overflowPunct/>
              <w:topLinePunct w:val="0"/>
              <w:bidi w:val="0"/>
              <w:adjustRightInd w:val="0"/>
              <w:snapToGrid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粘接连接，材料符合冷热水用氯化聚氯乙烯（PVC-C）管道系统GB/T18993.1-2003，S6.3系列</w:t>
            </w:r>
          </w:p>
        </w:tc>
      </w:tr>
      <w:tr w14:paraId="1F3F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357" w:type="dxa"/>
            <w:shd w:val="clear" w:color="auto" w:fill="FFFFFF" w:themeFill="background1"/>
            <w:vAlign w:val="center"/>
          </w:tcPr>
          <w:p w14:paraId="2C292A8F">
            <w:pPr>
              <w:pStyle w:val="63"/>
              <w:pageBreakBefore w:val="0"/>
              <w:shd w:val="clear" w:fill="FFFFFF" w:themeFill="background1"/>
              <w:kinsoku/>
              <w:wordWrap/>
              <w:overflowPunct/>
              <w:topLinePunct w:val="0"/>
              <w:bidi w:val="0"/>
              <w:snapToGrid w:val="0"/>
              <w:spacing w:after="0" w:line="460" w:lineRule="exact"/>
              <w:ind w:left="0"/>
              <w:jc w:val="center"/>
              <w:rPr>
                <w:rFonts w:hint="eastAsia" w:ascii="宋体" w:hAnsi="宋体" w:eastAsia="宋体" w:cs="宋体"/>
                <w:color w:val="auto"/>
                <w:spacing w:val="0"/>
                <w:kern w:val="2"/>
                <w:sz w:val="24"/>
                <w:szCs w:val="24"/>
                <w:highlight w:val="none"/>
                <w:lang w:val="en-US" w:eastAsia="zh-CN" w:bidi="ar-SA"/>
              </w:rPr>
            </w:pPr>
            <w:r>
              <w:rPr>
                <w:rFonts w:hint="eastAsia" w:ascii="宋体" w:hAnsi="宋体" w:eastAsia="宋体" w:cs="宋体"/>
                <w:color w:val="auto"/>
                <w:spacing w:val="0"/>
                <w:kern w:val="2"/>
                <w:sz w:val="24"/>
                <w:szCs w:val="24"/>
                <w:highlight w:val="none"/>
                <w:lang w:val="en-US" w:eastAsia="zh-CN" w:bidi="ar-SA"/>
              </w:rPr>
              <w:t>B</w:t>
            </w:r>
          </w:p>
        </w:tc>
        <w:tc>
          <w:tcPr>
            <w:tcW w:w="2280" w:type="dxa"/>
            <w:shd w:val="clear" w:color="auto" w:fill="FFFFFF" w:themeFill="background1"/>
          </w:tcPr>
          <w:p w14:paraId="42527542">
            <w:pPr>
              <w:pageBreakBefore w:val="0"/>
              <w:shd w:val="clear" w:fill="FFFFFF" w:themeFill="background1"/>
              <w:kinsoku/>
              <w:wordWrap/>
              <w:overflowPunct/>
              <w:topLinePunct w:val="0"/>
              <w:bidi w:val="0"/>
              <w:adjustRightInd w:val="0"/>
              <w:snapToGrid w:val="0"/>
              <w:spacing w:line="460" w:lineRule="exact"/>
              <w:rPr>
                <w:rFonts w:hint="eastAsia" w:ascii="宋体" w:hAnsi="宋体" w:eastAsia="宋体" w:cs="宋体"/>
                <w:color w:val="auto"/>
                <w:spacing w:val="0"/>
                <w:kern w:val="2"/>
                <w:sz w:val="24"/>
                <w:szCs w:val="24"/>
                <w:highlight w:val="none"/>
                <w:lang w:val="en-US" w:eastAsia="zh-CN" w:bidi="ar-SA"/>
              </w:rPr>
            </w:pPr>
            <w:r>
              <w:rPr>
                <w:rFonts w:hint="eastAsia" w:ascii="宋体" w:hAnsi="宋体" w:eastAsia="宋体" w:cs="宋体"/>
                <w:color w:val="auto"/>
                <w:spacing w:val="0"/>
                <w:kern w:val="2"/>
                <w:sz w:val="24"/>
                <w:szCs w:val="24"/>
                <w:highlight w:val="none"/>
                <w:lang w:val="en-US" w:eastAsia="zh-CN" w:bidi="ar-SA"/>
              </w:rPr>
              <w:t>CJT151-2016 薄壁不锈钢钢管</w:t>
            </w:r>
          </w:p>
        </w:tc>
        <w:tc>
          <w:tcPr>
            <w:tcW w:w="2520" w:type="dxa"/>
            <w:shd w:val="clear" w:color="auto" w:fill="FFFFFF" w:themeFill="background1"/>
          </w:tcPr>
          <w:p w14:paraId="70693F7D">
            <w:pPr>
              <w:pageBreakBefore w:val="0"/>
              <w:shd w:val="clear" w:fill="FFFFFF" w:themeFill="background1"/>
              <w:kinsoku/>
              <w:wordWrap/>
              <w:overflowPunct/>
              <w:topLinePunct w:val="0"/>
              <w:bidi w:val="0"/>
              <w:adjustRightInd w:val="0"/>
              <w:snapToGrid w:val="0"/>
              <w:spacing w:line="460" w:lineRule="exact"/>
              <w:rPr>
                <w:rFonts w:hint="eastAsia" w:ascii="宋体" w:hAnsi="宋体" w:eastAsia="宋体" w:cs="宋体"/>
                <w:color w:val="auto"/>
                <w:spacing w:val="0"/>
                <w:kern w:val="2"/>
                <w:sz w:val="24"/>
                <w:szCs w:val="24"/>
                <w:highlight w:val="none"/>
                <w:lang w:val="en-US" w:eastAsia="zh-CN" w:bidi="ar-SA"/>
              </w:rPr>
            </w:pPr>
            <w:r>
              <w:rPr>
                <w:rFonts w:hint="eastAsia" w:ascii="宋体" w:hAnsi="宋体" w:eastAsia="宋体" w:cs="宋体"/>
                <w:color w:val="auto"/>
                <w:spacing w:val="0"/>
                <w:kern w:val="2"/>
                <w:sz w:val="24"/>
                <w:szCs w:val="24"/>
                <w:highlight w:val="none"/>
                <w:lang w:val="en-US" w:eastAsia="zh-CN" w:bidi="ar-SA"/>
              </w:rPr>
              <w:t>卡压式连接；</w:t>
            </w:r>
          </w:p>
        </w:tc>
        <w:tc>
          <w:tcPr>
            <w:tcW w:w="3247" w:type="dxa"/>
            <w:shd w:val="clear" w:color="auto" w:fill="FFFFFF" w:themeFill="background1"/>
          </w:tcPr>
          <w:p w14:paraId="10B58870">
            <w:pPr>
              <w:pageBreakBefore w:val="0"/>
              <w:shd w:val="clear" w:fill="FFFFFF" w:themeFill="background1"/>
              <w:kinsoku/>
              <w:wordWrap/>
              <w:overflowPunct/>
              <w:topLinePunct w:val="0"/>
              <w:bidi w:val="0"/>
              <w:adjustRightInd w:val="0"/>
              <w:snapToGrid w:val="0"/>
              <w:spacing w:line="460" w:lineRule="exact"/>
              <w:rPr>
                <w:rFonts w:hint="eastAsia" w:ascii="宋体" w:hAnsi="宋体" w:eastAsia="宋体" w:cs="宋体"/>
                <w:color w:val="auto"/>
                <w:spacing w:val="0"/>
                <w:kern w:val="2"/>
                <w:sz w:val="24"/>
                <w:szCs w:val="24"/>
                <w:highlight w:val="none"/>
                <w:lang w:val="en-US" w:eastAsia="zh-CN" w:bidi="ar-SA"/>
              </w:rPr>
            </w:pPr>
            <w:r>
              <w:rPr>
                <w:rFonts w:hint="eastAsia" w:ascii="宋体" w:hAnsi="宋体" w:eastAsia="宋体" w:cs="宋体"/>
                <w:color w:val="auto"/>
                <w:spacing w:val="0"/>
                <w:kern w:val="2"/>
                <w:sz w:val="24"/>
                <w:szCs w:val="24"/>
                <w:highlight w:val="none"/>
                <w:lang w:val="en-US" w:eastAsia="zh-CN" w:bidi="ar-SA"/>
              </w:rPr>
              <w:t>CJT152-2016 薄壁不锈钢卡压式和沟槽式管件</w:t>
            </w:r>
          </w:p>
        </w:tc>
      </w:tr>
    </w:tbl>
    <w:p w14:paraId="71436F60">
      <w:pPr>
        <w:pStyle w:val="34"/>
        <w:pageBreakBefore w:val="0"/>
        <w:numPr>
          <w:ilvl w:val="3"/>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bookmarkStart w:id="110" w:name="_Toc18151"/>
      <w:bookmarkStart w:id="111" w:name="_Toc23838"/>
      <w:bookmarkStart w:id="112" w:name="_Toc11657"/>
      <w:bookmarkStart w:id="113" w:name="_Toc31692"/>
      <w:r>
        <w:rPr>
          <w:rFonts w:hint="eastAsia" w:eastAsia="宋体" w:cs="宋体" w:asciiTheme="minorEastAsia" w:hAnsiTheme="minorEastAsia"/>
          <w:b/>
          <w:color w:val="auto"/>
          <w:kern w:val="2"/>
          <w:sz w:val="24"/>
          <w:szCs w:val="24"/>
          <w:lang w:val="en-US" w:eastAsia="zh-CN" w:bidi="ar-SA"/>
        </w:rPr>
        <w:t>1.10.4.2.</w:t>
      </w:r>
      <w:r>
        <w:rPr>
          <w:rFonts w:hint="eastAsia" w:ascii="宋体" w:hAnsi="宋体" w:eastAsia="宋体" w:cs="宋体"/>
          <w:b/>
          <w:color w:val="auto"/>
          <w:sz w:val="24"/>
          <w:szCs w:val="24"/>
          <w:highlight w:val="none"/>
        </w:rPr>
        <w:t>管道接头</w:t>
      </w:r>
      <w:bookmarkEnd w:id="110"/>
      <w:bookmarkEnd w:id="111"/>
      <w:bookmarkEnd w:id="112"/>
      <w:bookmarkEnd w:id="113"/>
    </w:p>
    <w:p w14:paraId="4314AA8A">
      <w:pPr>
        <w:pageBreakBefore w:val="0"/>
        <w:tabs>
          <w:tab w:val="left" w:pos="900"/>
        </w:tabs>
        <w:kinsoku/>
        <w:wordWrap/>
        <w:overflowPunct/>
        <w:topLinePunct w:val="0"/>
        <w:autoSpaceDE w:val="0"/>
        <w:autoSpaceDN w:val="0"/>
        <w:bidi w:val="0"/>
        <w:adjustRightInd w:val="0"/>
        <w:spacing w:before="93" w:beforeLines="30" w:after="93" w:afterLines="30" w:line="460" w:lineRule="exact"/>
        <w:ind w:left="540"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各类的管道连接方法，应按表2的要求进行。除安装必要，接头的间距应不少于3米。</w:t>
      </w:r>
    </w:p>
    <w:p w14:paraId="0ADF42EF">
      <w:pPr>
        <w:pStyle w:val="34"/>
        <w:pageBreakBefore w:val="0"/>
        <w:numPr>
          <w:ilvl w:val="3"/>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bookmarkStart w:id="114" w:name="_Toc6434"/>
      <w:bookmarkStart w:id="115" w:name="_Toc26119"/>
      <w:bookmarkStart w:id="116" w:name="_Toc25815"/>
      <w:bookmarkStart w:id="117" w:name="_Toc4270"/>
      <w:r>
        <w:rPr>
          <w:rFonts w:hint="eastAsia" w:eastAsia="宋体" w:cs="宋体" w:asciiTheme="minorEastAsia" w:hAnsiTheme="minorEastAsia"/>
          <w:b/>
          <w:color w:val="auto"/>
          <w:kern w:val="2"/>
          <w:sz w:val="24"/>
          <w:szCs w:val="24"/>
          <w:lang w:val="en-US" w:eastAsia="zh-CN" w:bidi="ar-SA"/>
        </w:rPr>
        <w:t>1.10.4.3.</w:t>
      </w:r>
      <w:r>
        <w:rPr>
          <w:rFonts w:hint="eastAsia" w:ascii="宋体" w:hAnsi="宋体" w:eastAsia="宋体" w:cs="宋体"/>
          <w:b/>
          <w:color w:val="auto"/>
          <w:sz w:val="24"/>
          <w:szCs w:val="24"/>
          <w:highlight w:val="none"/>
        </w:rPr>
        <w:t>密封垫圈</w:t>
      </w:r>
      <w:bookmarkEnd w:id="114"/>
      <w:bookmarkEnd w:id="115"/>
      <w:bookmarkEnd w:id="116"/>
      <w:bookmarkEnd w:id="117"/>
    </w:p>
    <w:p w14:paraId="32177349">
      <w:pPr>
        <w:pageBreakBefore w:val="0"/>
        <w:numPr>
          <w:ilvl w:val="0"/>
          <w:numId w:val="22"/>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法兰连接应采用一片氯丁合成橡胶制成的3.0毫米厚的O型密封垫圈。不得采用含有石棉的密封垫圈。</w:t>
      </w:r>
    </w:p>
    <w:p w14:paraId="48AE94A8">
      <w:pPr>
        <w:pageBreakBefore w:val="0"/>
        <w:numPr>
          <w:ilvl w:val="0"/>
          <w:numId w:val="22"/>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不同金属之间的法兰连接:</w:t>
      </w:r>
      <w:r>
        <w:rPr>
          <w:rFonts w:hint="eastAsia" w:ascii="宋体" w:hAnsi="宋体" w:eastAsia="宋体" w:cs="宋体"/>
          <w:color w:val="auto"/>
          <w:sz w:val="24"/>
          <w:szCs w:val="24"/>
          <w:highlight w:val="none"/>
          <w:lang w:val="en-GB"/>
        </w:rPr>
        <w:tab/>
      </w:r>
      <w:r>
        <w:rPr>
          <w:rFonts w:hint="eastAsia" w:ascii="宋体" w:hAnsi="宋体" w:eastAsia="宋体" w:cs="宋体"/>
          <w:color w:val="auto"/>
          <w:sz w:val="24"/>
          <w:szCs w:val="24"/>
          <w:highlight w:val="none"/>
          <w:lang w:val="en-GB"/>
        </w:rPr>
        <w:t>在法兰、螺栓和螺帽之间分别采用绝缘之密封垫圈、套环和垫片。绝缘材料应采用聚四氟乙烯(Teflon)或其它同类型产品。</w:t>
      </w:r>
    </w:p>
    <w:p w14:paraId="6C89C267">
      <w:pPr>
        <w:pStyle w:val="34"/>
        <w:pageBreakBefore w:val="0"/>
        <w:numPr>
          <w:ilvl w:val="3"/>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bookmarkStart w:id="118" w:name="_Toc20637"/>
      <w:bookmarkStart w:id="119" w:name="_Toc24882"/>
      <w:bookmarkStart w:id="120" w:name="_Toc26640"/>
      <w:bookmarkStart w:id="121" w:name="_Toc3643"/>
      <w:r>
        <w:rPr>
          <w:rFonts w:hint="eastAsia" w:eastAsia="宋体" w:cs="宋体" w:asciiTheme="minorEastAsia" w:hAnsiTheme="minorEastAsia"/>
          <w:b/>
          <w:color w:val="auto"/>
          <w:kern w:val="2"/>
          <w:sz w:val="24"/>
          <w:szCs w:val="24"/>
          <w:lang w:val="en-US" w:eastAsia="zh-CN" w:bidi="ar-SA"/>
        </w:rPr>
        <w:t>1.10.4.4.</w:t>
      </w:r>
      <w:r>
        <w:rPr>
          <w:rFonts w:hint="eastAsia" w:ascii="宋体" w:hAnsi="宋体" w:eastAsia="宋体" w:cs="宋体"/>
          <w:b/>
          <w:color w:val="auto"/>
          <w:sz w:val="24"/>
          <w:szCs w:val="24"/>
          <w:highlight w:val="none"/>
        </w:rPr>
        <w:t>管道支架</w:t>
      </w:r>
      <w:bookmarkEnd w:id="118"/>
      <w:bookmarkEnd w:id="119"/>
      <w:bookmarkEnd w:id="120"/>
      <w:bookmarkEnd w:id="121"/>
    </w:p>
    <w:p w14:paraId="7BF3CD4B">
      <w:pPr>
        <w:pageBreakBefore w:val="0"/>
        <w:numPr>
          <w:ilvl w:val="0"/>
          <w:numId w:val="23"/>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供应所有安装用的吊架、支架、导杆和固定支架。其设计应允许在规定范围之内扩展和收缩。</w:t>
      </w:r>
    </w:p>
    <w:p w14:paraId="5317BB65">
      <w:pPr>
        <w:pageBreakBefore w:val="0"/>
        <w:numPr>
          <w:ilvl w:val="0"/>
          <w:numId w:val="23"/>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管道支架均须为热浸镀锌钢制，可调节高度，设置在水面下的管道支架需做不锈钢制。铁类管件应用铁类托架;聚氯乙烯类管件应用外层包有聚氯乙烯的铁类托架。邻近阀门及其它管道系统安装件的管道均应提供附加支架，以防毗连管道上的过度变形。对泵类连接器等亦应提供附加支架，以防止设备上的过度变形。</w:t>
      </w:r>
    </w:p>
    <w:p w14:paraId="507CE2FD">
      <w:pPr>
        <w:pageBreakBefore w:val="0"/>
        <w:numPr>
          <w:ilvl w:val="0"/>
          <w:numId w:val="23"/>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除另有规定，各支架之间的间距不应超过表3所规定的中心距。</w:t>
      </w:r>
    </w:p>
    <w:p w14:paraId="621CE0D2">
      <w:pPr>
        <w:pageBreakBefore w:val="0"/>
        <w:numPr>
          <w:ilvl w:val="0"/>
          <w:numId w:val="23"/>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所有固定支架和螺栓必须配有密封垫片和螺帽。</w:t>
      </w:r>
    </w:p>
    <w:p w14:paraId="08E9BB20">
      <w:pPr>
        <w:pageBreakBefore w:val="0"/>
        <w:numPr>
          <w:ilvl w:val="0"/>
          <w:numId w:val="23"/>
        </w:numPr>
        <w:tabs>
          <w:tab w:val="left" w:pos="900"/>
          <w:tab w:val="clear" w:pos="78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在固定位置前，铸套环必须涂上含沥青的化合物。</w:t>
      </w:r>
    </w:p>
    <w:p w14:paraId="09BC5E25">
      <w:pPr>
        <w:pStyle w:val="63"/>
        <w:pageBreakBefore w:val="0"/>
        <w:kinsoku/>
        <w:wordWrap/>
        <w:overflowPunct/>
        <w:topLinePunct w:val="0"/>
        <w:bidi w:val="0"/>
        <w:snapToGrid w:val="0"/>
        <w:spacing w:after="156" w:afterLines="50" w:line="460" w:lineRule="exact"/>
        <w:ind w:left="720"/>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表3 - 冷热水用氯化聚氯乙烯管道支架的最大间距</w:t>
      </w:r>
    </w:p>
    <w:tbl>
      <w:tblPr>
        <w:tblStyle w:val="25"/>
        <w:tblW w:w="9248" w:type="dxa"/>
        <w:tblInd w:w="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997"/>
        <w:gridCol w:w="825"/>
        <w:gridCol w:w="885"/>
        <w:gridCol w:w="758"/>
        <w:gridCol w:w="802"/>
        <w:gridCol w:w="848"/>
        <w:gridCol w:w="877"/>
        <w:gridCol w:w="915"/>
        <w:gridCol w:w="998"/>
      </w:tblGrid>
      <w:tr w14:paraId="5939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340" w:type="dxa"/>
            <w:gridSpan w:val="2"/>
            <w:tcBorders>
              <w:bottom w:val="single" w:color="auto" w:sz="4" w:space="0"/>
            </w:tcBorders>
            <w:vAlign w:val="center"/>
          </w:tcPr>
          <w:p w14:paraId="1A7468AB">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公称外径(mm)</w:t>
            </w:r>
          </w:p>
        </w:tc>
        <w:tc>
          <w:tcPr>
            <w:tcW w:w="825" w:type="dxa"/>
            <w:vAlign w:val="center"/>
          </w:tcPr>
          <w:p w14:paraId="7EE01693">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20</w:t>
            </w:r>
          </w:p>
        </w:tc>
        <w:tc>
          <w:tcPr>
            <w:tcW w:w="885" w:type="dxa"/>
            <w:vAlign w:val="center"/>
          </w:tcPr>
          <w:p w14:paraId="75CEF6EA">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25</w:t>
            </w:r>
          </w:p>
        </w:tc>
        <w:tc>
          <w:tcPr>
            <w:tcW w:w="758" w:type="dxa"/>
            <w:vAlign w:val="center"/>
          </w:tcPr>
          <w:p w14:paraId="1FE37668">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32</w:t>
            </w:r>
          </w:p>
        </w:tc>
        <w:tc>
          <w:tcPr>
            <w:tcW w:w="802" w:type="dxa"/>
            <w:vAlign w:val="center"/>
          </w:tcPr>
          <w:p w14:paraId="74422FF2">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40</w:t>
            </w:r>
          </w:p>
        </w:tc>
        <w:tc>
          <w:tcPr>
            <w:tcW w:w="848" w:type="dxa"/>
            <w:vAlign w:val="center"/>
          </w:tcPr>
          <w:p w14:paraId="2A3651A6">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50</w:t>
            </w:r>
          </w:p>
        </w:tc>
        <w:tc>
          <w:tcPr>
            <w:tcW w:w="877" w:type="dxa"/>
            <w:vAlign w:val="center"/>
          </w:tcPr>
          <w:p w14:paraId="00E7152A">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63</w:t>
            </w:r>
          </w:p>
        </w:tc>
        <w:tc>
          <w:tcPr>
            <w:tcW w:w="915" w:type="dxa"/>
            <w:vAlign w:val="center"/>
          </w:tcPr>
          <w:p w14:paraId="3C23A727">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75</w:t>
            </w:r>
          </w:p>
        </w:tc>
        <w:tc>
          <w:tcPr>
            <w:tcW w:w="998" w:type="dxa"/>
            <w:vAlign w:val="center"/>
          </w:tcPr>
          <w:p w14:paraId="3ED0542B">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90</w:t>
            </w:r>
          </w:p>
        </w:tc>
      </w:tr>
      <w:tr w14:paraId="58C1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343" w:type="dxa"/>
            <w:vMerge w:val="restart"/>
            <w:vAlign w:val="center"/>
          </w:tcPr>
          <w:p w14:paraId="17D90A90">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支承点</w:t>
            </w:r>
            <w:r>
              <w:rPr>
                <w:rFonts w:hint="eastAsia" w:ascii="宋体" w:hAnsi="宋体" w:eastAsia="宋体" w:cs="宋体"/>
                <w:bCs/>
                <w:color w:val="auto"/>
                <w:spacing w:val="0"/>
                <w:sz w:val="24"/>
                <w:szCs w:val="24"/>
                <w:highlight w:val="none"/>
                <w:lang w:eastAsia="zh-CN"/>
              </w:rPr>
              <w:t>的最大间距(m)</w:t>
            </w:r>
          </w:p>
        </w:tc>
        <w:tc>
          <w:tcPr>
            <w:tcW w:w="997" w:type="dxa"/>
            <w:vAlign w:val="center"/>
          </w:tcPr>
          <w:p w14:paraId="7C76EDFB">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立管</w:t>
            </w:r>
          </w:p>
        </w:tc>
        <w:tc>
          <w:tcPr>
            <w:tcW w:w="825" w:type="dxa"/>
            <w:vAlign w:val="center"/>
          </w:tcPr>
          <w:p w14:paraId="7994B4CF">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1.0</w:t>
            </w:r>
          </w:p>
        </w:tc>
        <w:tc>
          <w:tcPr>
            <w:tcW w:w="885" w:type="dxa"/>
            <w:vAlign w:val="center"/>
          </w:tcPr>
          <w:p w14:paraId="58E96880">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1.1</w:t>
            </w:r>
          </w:p>
        </w:tc>
        <w:tc>
          <w:tcPr>
            <w:tcW w:w="758" w:type="dxa"/>
            <w:vAlign w:val="center"/>
          </w:tcPr>
          <w:p w14:paraId="0D5AE7B8">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1.2</w:t>
            </w:r>
          </w:p>
        </w:tc>
        <w:tc>
          <w:tcPr>
            <w:tcW w:w="802" w:type="dxa"/>
            <w:vAlign w:val="center"/>
          </w:tcPr>
          <w:p w14:paraId="737842ED">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1.4</w:t>
            </w:r>
          </w:p>
        </w:tc>
        <w:tc>
          <w:tcPr>
            <w:tcW w:w="848" w:type="dxa"/>
            <w:vAlign w:val="center"/>
          </w:tcPr>
          <w:p w14:paraId="67AC6A11">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1.6</w:t>
            </w:r>
          </w:p>
        </w:tc>
        <w:tc>
          <w:tcPr>
            <w:tcW w:w="877" w:type="dxa"/>
            <w:vAlign w:val="center"/>
          </w:tcPr>
          <w:p w14:paraId="5C6E04A3">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1.8</w:t>
            </w:r>
          </w:p>
        </w:tc>
        <w:tc>
          <w:tcPr>
            <w:tcW w:w="915" w:type="dxa"/>
            <w:vAlign w:val="center"/>
          </w:tcPr>
          <w:p w14:paraId="03B4C1BA">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2.1</w:t>
            </w:r>
          </w:p>
        </w:tc>
        <w:tc>
          <w:tcPr>
            <w:tcW w:w="998" w:type="dxa"/>
            <w:vAlign w:val="center"/>
          </w:tcPr>
          <w:p w14:paraId="4878AE3F">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2.4</w:t>
            </w:r>
          </w:p>
        </w:tc>
      </w:tr>
      <w:tr w14:paraId="1CF4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343" w:type="dxa"/>
            <w:vMerge w:val="continue"/>
            <w:vAlign w:val="center"/>
          </w:tcPr>
          <w:p w14:paraId="14E9B4EC">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p>
        </w:tc>
        <w:tc>
          <w:tcPr>
            <w:tcW w:w="997" w:type="dxa"/>
            <w:vAlign w:val="center"/>
          </w:tcPr>
          <w:p w14:paraId="64CE86F7">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横管</w:t>
            </w:r>
          </w:p>
        </w:tc>
        <w:tc>
          <w:tcPr>
            <w:tcW w:w="825" w:type="dxa"/>
            <w:vAlign w:val="center"/>
          </w:tcPr>
          <w:p w14:paraId="621CABA3">
            <w:pPr>
              <w:pStyle w:val="64"/>
              <w:pageBreakBefore w:val="0"/>
              <w:tabs>
                <w:tab w:val="left" w:pos="339"/>
              </w:tabs>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0.6</w:t>
            </w:r>
          </w:p>
        </w:tc>
        <w:tc>
          <w:tcPr>
            <w:tcW w:w="885" w:type="dxa"/>
            <w:vAlign w:val="center"/>
          </w:tcPr>
          <w:p w14:paraId="00F17A5D">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0.65</w:t>
            </w:r>
          </w:p>
        </w:tc>
        <w:tc>
          <w:tcPr>
            <w:tcW w:w="758" w:type="dxa"/>
            <w:vAlign w:val="center"/>
          </w:tcPr>
          <w:p w14:paraId="4AEFF5B6">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0.7</w:t>
            </w:r>
          </w:p>
        </w:tc>
        <w:tc>
          <w:tcPr>
            <w:tcW w:w="802" w:type="dxa"/>
            <w:vAlign w:val="center"/>
          </w:tcPr>
          <w:p w14:paraId="72B21C3C">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0.9</w:t>
            </w:r>
          </w:p>
        </w:tc>
        <w:tc>
          <w:tcPr>
            <w:tcW w:w="848" w:type="dxa"/>
            <w:vAlign w:val="center"/>
          </w:tcPr>
          <w:p w14:paraId="35F21C4A">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1.0</w:t>
            </w:r>
          </w:p>
        </w:tc>
        <w:tc>
          <w:tcPr>
            <w:tcW w:w="877" w:type="dxa"/>
            <w:vAlign w:val="center"/>
          </w:tcPr>
          <w:p w14:paraId="24340B57">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1.2</w:t>
            </w:r>
          </w:p>
        </w:tc>
        <w:tc>
          <w:tcPr>
            <w:tcW w:w="915" w:type="dxa"/>
            <w:vAlign w:val="center"/>
          </w:tcPr>
          <w:p w14:paraId="7BA3D4E1">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1.3</w:t>
            </w:r>
          </w:p>
        </w:tc>
        <w:tc>
          <w:tcPr>
            <w:tcW w:w="998" w:type="dxa"/>
            <w:vAlign w:val="center"/>
          </w:tcPr>
          <w:p w14:paraId="572AB87E">
            <w:pPr>
              <w:pStyle w:val="64"/>
              <w:pageBreakBefore w:val="0"/>
              <w:kinsoku/>
              <w:wordWrap/>
              <w:overflowPunct/>
              <w:topLinePunct w:val="0"/>
              <w:bidi w:val="0"/>
              <w:snapToGrid w:val="0"/>
              <w:spacing w:after="0" w:line="460" w:lineRule="exact"/>
              <w:ind w:left="0"/>
              <w:jc w:val="center"/>
              <w:rPr>
                <w:rFonts w:hint="eastAsia" w:ascii="宋体" w:hAnsi="宋体" w:eastAsia="宋体" w:cs="宋体"/>
                <w:bCs/>
                <w:color w:val="auto"/>
                <w:spacing w:val="0"/>
                <w:sz w:val="24"/>
                <w:szCs w:val="24"/>
                <w:highlight w:val="none"/>
                <w:lang w:eastAsia="zh-CN"/>
              </w:rPr>
            </w:pPr>
            <w:r>
              <w:rPr>
                <w:rFonts w:hint="eastAsia" w:ascii="宋体" w:hAnsi="宋体" w:eastAsia="宋体" w:cs="宋体"/>
                <w:bCs/>
                <w:color w:val="auto"/>
                <w:spacing w:val="0"/>
                <w:sz w:val="24"/>
                <w:szCs w:val="24"/>
                <w:highlight w:val="none"/>
                <w:lang w:eastAsia="zh-CN"/>
              </w:rPr>
              <w:t>1.45</w:t>
            </w:r>
          </w:p>
        </w:tc>
      </w:tr>
    </w:tbl>
    <w:p w14:paraId="704DE2FE">
      <w:pPr>
        <w:pStyle w:val="34"/>
        <w:pageBreakBefore w:val="0"/>
        <w:kinsoku/>
        <w:wordWrap/>
        <w:overflowPunct/>
        <w:topLinePunct w:val="0"/>
        <w:bidi w:val="0"/>
        <w:spacing w:line="460" w:lineRule="exact"/>
        <w:ind w:firstLine="0" w:firstLineChars="0"/>
        <w:jc w:val="left"/>
        <w:outlineLvl w:val="1"/>
        <w:rPr>
          <w:rFonts w:hint="eastAsia" w:ascii="宋体" w:hAnsi="宋体" w:eastAsia="宋体" w:cs="宋体"/>
          <w:b/>
          <w:color w:val="auto"/>
          <w:sz w:val="24"/>
          <w:szCs w:val="24"/>
          <w:highlight w:val="none"/>
        </w:rPr>
      </w:pPr>
      <w:bookmarkStart w:id="122" w:name="_Toc28135"/>
      <w:bookmarkStart w:id="123" w:name="_Toc17728"/>
      <w:bookmarkStart w:id="124" w:name="_Toc23533"/>
      <w:bookmarkStart w:id="125" w:name="_Toc10830"/>
    </w:p>
    <w:p w14:paraId="770A2FDE">
      <w:pPr>
        <w:pStyle w:val="34"/>
        <w:pageBreakBefore w:val="0"/>
        <w:numPr>
          <w:ilvl w:val="3"/>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r>
        <w:rPr>
          <w:rFonts w:hint="eastAsia" w:eastAsia="宋体" w:cs="宋体" w:asciiTheme="minorEastAsia" w:hAnsiTheme="minorEastAsia"/>
          <w:b/>
          <w:color w:val="auto"/>
          <w:kern w:val="2"/>
          <w:sz w:val="24"/>
          <w:szCs w:val="24"/>
          <w:lang w:val="en-US" w:eastAsia="zh-CN" w:bidi="ar-SA"/>
        </w:rPr>
        <w:t>1.10.4.5.</w:t>
      </w:r>
      <w:r>
        <w:rPr>
          <w:rFonts w:hint="eastAsia" w:ascii="宋体" w:hAnsi="宋体" w:eastAsia="宋体" w:cs="宋体"/>
          <w:b/>
          <w:color w:val="auto"/>
          <w:sz w:val="24"/>
          <w:szCs w:val="24"/>
          <w:highlight w:val="none"/>
        </w:rPr>
        <w:t>管道套管</w:t>
      </w:r>
      <w:bookmarkEnd w:id="122"/>
      <w:bookmarkEnd w:id="123"/>
      <w:bookmarkEnd w:id="124"/>
      <w:bookmarkEnd w:id="125"/>
    </w:p>
    <w:p w14:paraId="5CDB52C1">
      <w:pPr>
        <w:pageBreakBefore w:val="0"/>
        <w:numPr>
          <w:ilvl w:val="0"/>
          <w:numId w:val="24"/>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在管道穿过墙壁和楼板处须设置钢类套管。套管和管道隔热层之间的间距必须用软的、不硬化的防水树胶复合物完全填塞，以保证密气。</w:t>
      </w:r>
    </w:p>
    <w:p w14:paraId="6502A0BC">
      <w:pPr>
        <w:pageBreakBefore w:val="0"/>
        <w:numPr>
          <w:ilvl w:val="0"/>
          <w:numId w:val="24"/>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在管道穿过按摩池/泡池池壁处，必须预埋A型刚性防水套管，套管尺寸一般需大于管道尺寸2号，应设止水翼环，套管材质应采用镀锌钢管。</w:t>
      </w:r>
    </w:p>
    <w:p w14:paraId="30DD3858">
      <w:pPr>
        <w:pageBreakBefore w:val="0"/>
        <w:numPr>
          <w:ilvl w:val="0"/>
          <w:numId w:val="24"/>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管道应能在套管中自由移动，而套管不应作为支架使用。</w:t>
      </w:r>
    </w:p>
    <w:p w14:paraId="31C75EF6">
      <w:pPr>
        <w:pageBreakBefore w:val="0"/>
        <w:numPr>
          <w:ilvl w:val="0"/>
          <w:numId w:val="24"/>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在管道穿过防火墙和楼板处时，应用6毫米厚法兰的金属防火板焊在或用螺栓固定在该管子的周围，并位于地板/墙壁厚度的中心，该法兰的直径应与管道套管的内径相同。或在管道与套管空隙处使用与防火间隔相同之耐火柔软填密料完全填塞。在套管两端则用非硬式胶粘剂所填塞。套管孔之修复应由本承包单位负责。</w:t>
      </w:r>
    </w:p>
    <w:p w14:paraId="4892D8C9">
      <w:pPr>
        <w:pageBreakBefore w:val="0"/>
        <w:numPr>
          <w:ilvl w:val="0"/>
          <w:numId w:val="24"/>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注意在每楼层之垂直管槽内如设有楼板，而管道穿过管槽楼板时应设置套管。</w:t>
      </w:r>
    </w:p>
    <w:p w14:paraId="4493738E">
      <w:pPr>
        <w:pageBreakBefore w:val="0"/>
        <w:numPr>
          <w:ilvl w:val="0"/>
          <w:numId w:val="24"/>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所有预埋套管在就位之前，应涂沥青保护层。</w:t>
      </w:r>
    </w:p>
    <w:p w14:paraId="67C4F4F0">
      <w:pPr>
        <w:pStyle w:val="34"/>
        <w:pageBreakBefore w:val="0"/>
        <w:numPr>
          <w:ilvl w:val="3"/>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bookmarkStart w:id="126" w:name="_Toc4145"/>
      <w:bookmarkStart w:id="127" w:name="_Toc1988"/>
      <w:bookmarkStart w:id="128" w:name="_Toc9880"/>
      <w:bookmarkStart w:id="129" w:name="_Toc19738"/>
      <w:r>
        <w:rPr>
          <w:rFonts w:hint="eastAsia" w:eastAsia="宋体" w:cs="宋体" w:asciiTheme="minorEastAsia" w:hAnsiTheme="minorEastAsia"/>
          <w:b/>
          <w:color w:val="auto"/>
          <w:kern w:val="2"/>
          <w:sz w:val="24"/>
          <w:szCs w:val="24"/>
          <w:lang w:val="en-US" w:eastAsia="zh-CN" w:bidi="ar-SA"/>
        </w:rPr>
        <w:t>1.10.4.6.</w:t>
      </w:r>
      <w:r>
        <w:rPr>
          <w:rFonts w:hint="eastAsia" w:ascii="宋体" w:hAnsi="宋体" w:eastAsia="宋体" w:cs="宋体"/>
          <w:b/>
          <w:color w:val="auto"/>
          <w:sz w:val="24"/>
          <w:szCs w:val="24"/>
          <w:highlight w:val="none"/>
        </w:rPr>
        <w:t>管道固定支架</w:t>
      </w:r>
      <w:bookmarkEnd w:id="126"/>
      <w:bookmarkEnd w:id="127"/>
      <w:bookmarkEnd w:id="128"/>
      <w:bookmarkEnd w:id="129"/>
    </w:p>
    <w:p w14:paraId="09F579AD">
      <w:pPr>
        <w:pageBreakBefore w:val="0"/>
        <w:numPr>
          <w:ilvl w:val="0"/>
          <w:numId w:val="25"/>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管道固定支架应设于管道系统改变方向处、伸缩接头以及管弯处，以便吸收因管道伸缩和内部压力所致的应力，并把这些应力传递到适当的结构件上。</w:t>
      </w:r>
    </w:p>
    <w:p w14:paraId="29499733">
      <w:pPr>
        <w:pageBreakBefore w:val="0"/>
        <w:numPr>
          <w:ilvl w:val="0"/>
          <w:numId w:val="25"/>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管道固定支架均应能承受水力压力试验时的较高推力。</w:t>
      </w:r>
    </w:p>
    <w:p w14:paraId="073A3F98">
      <w:pPr>
        <w:pStyle w:val="34"/>
        <w:pageBreakBefore w:val="0"/>
        <w:numPr>
          <w:ilvl w:val="3"/>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bookmarkStart w:id="130" w:name="_Toc1678"/>
      <w:bookmarkStart w:id="131" w:name="_Toc11736"/>
      <w:bookmarkStart w:id="132" w:name="_Toc24394"/>
      <w:bookmarkStart w:id="133" w:name="_Toc21645"/>
      <w:r>
        <w:rPr>
          <w:rFonts w:hint="eastAsia" w:eastAsia="宋体" w:cs="宋体" w:asciiTheme="minorEastAsia" w:hAnsiTheme="minorEastAsia"/>
          <w:b/>
          <w:color w:val="auto"/>
          <w:kern w:val="2"/>
          <w:sz w:val="24"/>
          <w:szCs w:val="24"/>
          <w:lang w:val="en-US" w:eastAsia="zh-CN" w:bidi="ar-SA"/>
        </w:rPr>
        <w:t>1.10.4.7.</w:t>
      </w:r>
      <w:r>
        <w:rPr>
          <w:rFonts w:hint="eastAsia" w:ascii="宋体" w:hAnsi="宋体" w:eastAsia="宋体" w:cs="宋体"/>
          <w:b/>
          <w:color w:val="auto"/>
          <w:sz w:val="24"/>
          <w:szCs w:val="24"/>
          <w:highlight w:val="none"/>
        </w:rPr>
        <w:t>管道支撑点</w:t>
      </w:r>
      <w:bookmarkEnd w:id="130"/>
      <w:bookmarkEnd w:id="131"/>
      <w:bookmarkEnd w:id="132"/>
      <w:bookmarkEnd w:id="133"/>
    </w:p>
    <w:p w14:paraId="60A6694F">
      <w:pPr>
        <w:pageBreakBefore w:val="0"/>
        <w:numPr>
          <w:ilvl w:val="0"/>
          <w:numId w:val="26"/>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管道支撑点应按管道系统的改变而安装在适当的位置，使管道改变方向或在膨胀接头时将压力传到支撑点并建筑结构上。管道支撑点应能抵受管道的试验压力。</w:t>
      </w:r>
    </w:p>
    <w:p w14:paraId="6B22D34A">
      <w:pPr>
        <w:pStyle w:val="34"/>
        <w:pageBreakBefore w:val="0"/>
        <w:numPr>
          <w:ilvl w:val="3"/>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bookmarkStart w:id="134" w:name="_Toc21391"/>
      <w:bookmarkStart w:id="135" w:name="_Toc9506"/>
      <w:bookmarkStart w:id="136" w:name="_Toc17923"/>
      <w:bookmarkStart w:id="137" w:name="_Toc26712"/>
      <w:r>
        <w:rPr>
          <w:rFonts w:hint="eastAsia" w:eastAsia="宋体" w:cs="宋体" w:asciiTheme="minorEastAsia" w:hAnsiTheme="minorEastAsia"/>
          <w:b/>
          <w:color w:val="auto"/>
          <w:kern w:val="2"/>
          <w:sz w:val="24"/>
          <w:szCs w:val="24"/>
          <w:lang w:val="en-US" w:eastAsia="zh-CN" w:bidi="ar-SA"/>
        </w:rPr>
        <w:t>1.10.4.8.</w:t>
      </w:r>
      <w:r>
        <w:rPr>
          <w:rFonts w:hint="eastAsia" w:ascii="宋体" w:hAnsi="宋体" w:eastAsia="宋体" w:cs="宋体"/>
          <w:b/>
          <w:color w:val="auto"/>
          <w:sz w:val="24"/>
          <w:szCs w:val="24"/>
          <w:highlight w:val="none"/>
        </w:rPr>
        <w:t>管道保温</w:t>
      </w:r>
      <w:bookmarkEnd w:id="134"/>
      <w:bookmarkEnd w:id="135"/>
      <w:bookmarkEnd w:id="136"/>
      <w:bookmarkEnd w:id="137"/>
    </w:p>
    <w:p w14:paraId="3210A4B0">
      <w:pPr>
        <w:pageBreakBefore w:val="0"/>
        <w:numPr>
          <w:ilvl w:val="0"/>
          <w:numId w:val="27"/>
        </w:numPr>
        <w:kinsoku/>
        <w:wordWrap/>
        <w:overflowPunct/>
        <w:topLinePunct w:val="0"/>
        <w:autoSpaceDE w:val="0"/>
        <w:autoSpaceDN w:val="0"/>
        <w:bidi w:val="0"/>
        <w:adjustRightInd w:val="0"/>
        <w:spacing w:line="4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热水管道（ 适用于热媒供回水管） 需作保温</w:t>
      </w:r>
    </w:p>
    <w:p w14:paraId="438AAF81">
      <w:pPr>
        <w:pageBreakBefore w:val="0"/>
        <w:numPr>
          <w:ilvl w:val="0"/>
          <w:numId w:val="27"/>
        </w:numPr>
        <w:kinsoku/>
        <w:wordWrap/>
        <w:overflowPunct/>
        <w:topLinePunct w:val="0"/>
        <w:autoSpaceDE w:val="0"/>
        <w:autoSpaceDN w:val="0"/>
        <w:bidi w:val="0"/>
        <w:adjustRightInd w:val="0"/>
        <w:spacing w:line="4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车库、管井、屋顶范围内冷媒、热媒运输管道采用柔性橡塑保温，保温材料防火等级为B1级及以上等级，外用双导箱胶带缠绕保护；车库及管井内，保温材料厚度≥40mm；</w:t>
      </w:r>
    </w:p>
    <w:p w14:paraId="3A7BD137">
      <w:pPr>
        <w:pageBreakBefore w:val="0"/>
        <w:numPr>
          <w:ilvl w:val="0"/>
          <w:numId w:val="27"/>
        </w:numPr>
        <w:kinsoku/>
        <w:wordWrap/>
        <w:overflowPunct/>
        <w:topLinePunct w:val="0"/>
        <w:autoSpaceDE w:val="0"/>
        <w:autoSpaceDN w:val="0"/>
        <w:bidi w:val="0"/>
        <w:adjustRightInd w:val="0"/>
        <w:spacing w:line="4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屋顶范围内，保温材料厚度≥50mm。</w:t>
      </w:r>
    </w:p>
    <w:p w14:paraId="3B15ED4B">
      <w:pPr>
        <w:pageBreakBefore w:val="0"/>
        <w:kinsoku/>
        <w:wordWrap/>
        <w:overflowPunct/>
        <w:topLinePunct w:val="0"/>
        <w:autoSpaceDE w:val="0"/>
        <w:autoSpaceDN w:val="0"/>
        <w:bidi w:val="0"/>
        <w:adjustRightInd w:val="0"/>
        <w:spacing w:line="460" w:lineRule="exact"/>
        <w:jc w:val="left"/>
        <w:rPr>
          <w:rFonts w:hint="eastAsia" w:ascii="宋体" w:hAnsi="宋体" w:eastAsia="宋体" w:cs="宋体"/>
          <w:color w:val="auto"/>
          <w:kern w:val="0"/>
          <w:sz w:val="24"/>
          <w:szCs w:val="24"/>
          <w:highlight w:val="none"/>
        </w:rPr>
      </w:pPr>
    </w:p>
    <w:p w14:paraId="533D2692">
      <w:pPr>
        <w:pStyle w:val="34"/>
        <w:pageBreakBefore w:val="0"/>
        <w:numPr>
          <w:ilvl w:val="1"/>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bookmarkStart w:id="138" w:name="_Toc21770"/>
      <w:bookmarkStart w:id="139" w:name="_Toc2235"/>
      <w:bookmarkStart w:id="140" w:name="_Toc6967"/>
      <w:bookmarkStart w:id="141" w:name="_Toc1967"/>
      <w:r>
        <w:rPr>
          <w:rFonts w:hint="eastAsia" w:eastAsia="宋体" w:cs="宋体" w:asciiTheme="minorEastAsia" w:hAnsiTheme="minorEastAsia"/>
          <w:b/>
          <w:color w:val="auto"/>
          <w:kern w:val="2"/>
          <w:sz w:val="24"/>
          <w:szCs w:val="24"/>
          <w:lang w:val="en-US" w:eastAsia="zh-CN" w:bidi="ar-SA"/>
        </w:rPr>
        <w:t>1.11.</w:t>
      </w:r>
      <w:r>
        <w:rPr>
          <w:rFonts w:hint="eastAsia" w:ascii="宋体" w:hAnsi="宋体" w:eastAsia="宋体" w:cs="宋体"/>
          <w:b/>
          <w:color w:val="auto"/>
          <w:sz w:val="24"/>
          <w:szCs w:val="24"/>
          <w:highlight w:val="none"/>
        </w:rPr>
        <w:t>管道施工</w:t>
      </w:r>
      <w:bookmarkEnd w:id="138"/>
      <w:bookmarkEnd w:id="139"/>
      <w:bookmarkEnd w:id="140"/>
      <w:bookmarkEnd w:id="141"/>
    </w:p>
    <w:p w14:paraId="6BFD7E16">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color w:val="auto"/>
          <w:sz w:val="24"/>
          <w:szCs w:val="24"/>
          <w:highlight w:val="none"/>
        </w:rPr>
      </w:pPr>
      <w:bookmarkStart w:id="142" w:name="_Toc17459"/>
      <w:bookmarkStart w:id="143" w:name="_Toc30390"/>
      <w:bookmarkStart w:id="144" w:name="_Toc24473"/>
      <w:bookmarkStart w:id="145" w:name="_Toc23531"/>
      <w:r>
        <w:rPr>
          <w:rFonts w:hint="eastAsia" w:eastAsia="宋体" w:cs="宋体" w:asciiTheme="minorEastAsia" w:hAnsiTheme="minorEastAsia"/>
          <w:b/>
          <w:color w:val="auto"/>
          <w:kern w:val="2"/>
          <w:sz w:val="24"/>
          <w:szCs w:val="24"/>
          <w:lang w:val="en-US" w:eastAsia="zh-CN" w:bidi="ar-SA"/>
        </w:rPr>
        <w:t>1.11.1.</w:t>
      </w:r>
      <w:r>
        <w:rPr>
          <w:rFonts w:hint="eastAsia" w:ascii="宋体" w:hAnsi="宋体" w:eastAsia="宋体" w:cs="宋体"/>
          <w:b/>
          <w:color w:val="auto"/>
          <w:sz w:val="24"/>
          <w:szCs w:val="24"/>
          <w:highlight w:val="none"/>
        </w:rPr>
        <w:t>管道安装</w:t>
      </w:r>
      <w:bookmarkEnd w:id="142"/>
      <w:bookmarkEnd w:id="143"/>
      <w:bookmarkEnd w:id="144"/>
      <w:bookmarkEnd w:id="145"/>
    </w:p>
    <w:p w14:paraId="76DB0408">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在每天工作和工作之后应保护所有管道以防湿气或污染。</w:t>
      </w:r>
    </w:p>
    <w:p w14:paraId="4B36926E">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安装的管道应与墙壁平行，提供维修空间和保持信道清洁和畅通。</w:t>
      </w:r>
    </w:p>
    <w:p w14:paraId="079C529E">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管件的切割应平滑和精巧且不损坏管件，可能时采用软式割管器，管子端部应铰口以去除毛口。</w:t>
      </w:r>
    </w:p>
    <w:p w14:paraId="131A23E9">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管道支架只能连接在结构构件上，在结构构件需要支撑处，提供适当的过渡金属构造。</w:t>
      </w:r>
    </w:p>
    <w:p w14:paraId="6CE05112">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以足够的间距架设管道以保证适当的排水和通风。</w:t>
      </w:r>
    </w:p>
    <w:p w14:paraId="74931EEA">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螺管接头应用适当的锥形螺纹接合，接头必须用一氧化铅与甘油的粘稠混合物或用聚四氟乙烯带，或其它有效的螺纹接头复合物加到阳螺纹上，进行接合，在接头完成之后不应露出三圈以上螺纹。</w:t>
      </w:r>
    </w:p>
    <w:p w14:paraId="4B15EF1E">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安装的管道套槽和接头应符合制造厂的建议。</w:t>
      </w:r>
    </w:p>
    <w:p w14:paraId="23833255">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每根水管的每个低位端应设置排水阀。</w:t>
      </w:r>
    </w:p>
    <w:p w14:paraId="7B2EB7F3">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在每根水管的高位处设置手动通气阀，终端泄放管应位于完成地板之上150毫米。</w:t>
      </w:r>
    </w:p>
    <w:p w14:paraId="4A53D3A5">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法兰和连接管应对准端面，设置气密垫片的法兰，在管道中连接每段管件或设备的连接处前，应设置连接管或法兰，或提供泵、控制阀门及其它类似物品等维修所需的材料，气密垫片应符合国家有关标准及规范。</w:t>
      </w:r>
    </w:p>
    <w:p w14:paraId="0CEB5037">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在水平管道中的阀门其阀杆应装成水平或垂直。在任何其它指明为了排水、隔热或分段的地方安装闸阀。每个阀门须加上卷标以便识别。</w:t>
      </w:r>
    </w:p>
    <w:p w14:paraId="3A70F757">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在所有设备上的管道应独立地支撑，使设备不因管道重量或伸缩而承受压力。</w:t>
      </w:r>
    </w:p>
    <w:p w14:paraId="1ACDA8A3">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按照便于维护、修理和更换的要求，提供螺纹的或法兰的连接管。</w:t>
      </w:r>
    </w:p>
    <w:p w14:paraId="5ECB3B7F">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在整个装配系统的前后过程中，采取一切措施，以防止管道受污染。</w:t>
      </w:r>
    </w:p>
    <w:p w14:paraId="35B65F83">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除得到建筑师批准外，不可采用延展弯头。</w:t>
      </w:r>
    </w:p>
    <w:p w14:paraId="307AFF67">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当管道穿过建筑物的伸缩缝和∕或有移动的可能时，应用认可的活动接头连接以抵消任何造成此移动的应力。</w:t>
      </w:r>
    </w:p>
    <w:p w14:paraId="79A4F1F3">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所有排水管道必须按锤线安装，或根据规格或图纸上所列的坡度，且必须整齐排列，交加处减至最少，并给以足够的排气、扩张、收缩和移动空间。管道不可安装离完成楼板面100毫米或以下，并须和其它设施和建筑结构维持足够的间隙。</w:t>
      </w:r>
    </w:p>
    <w:p w14:paraId="47E2E7D2">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在铺砌地下排水管道之前应检查所有深度，当发现偏差时应立即通知建筑师。</w:t>
      </w:r>
    </w:p>
    <w:p w14:paraId="66E43688">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所有铺砌在地下或埋藏于混凝土∕砖墙的镀锌钢管应用麻布或其它认可的物料包扎和涂上沥青以作保护。</w:t>
      </w:r>
    </w:p>
    <w:p w14:paraId="5C0CF80A">
      <w:pPr>
        <w:pageBreakBefore w:val="0"/>
        <w:numPr>
          <w:ilvl w:val="0"/>
          <w:numId w:val="28"/>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所有混凝土结构处理池皆由建筑承包单位负责建造。但所有埋设于结构内的管道、防水套管等均由本承包单位提供。承包单位须与建筑承包单位协调和合作，以保证所有上述管道、防水套管等皆正确安装并符合系统操作要求。</w:t>
      </w:r>
    </w:p>
    <w:p w14:paraId="78948267">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color w:val="auto"/>
          <w:sz w:val="24"/>
          <w:szCs w:val="24"/>
          <w:highlight w:val="none"/>
        </w:rPr>
      </w:pPr>
      <w:bookmarkStart w:id="146" w:name="_Toc8431"/>
      <w:bookmarkStart w:id="147" w:name="_Toc31707"/>
      <w:bookmarkStart w:id="148" w:name="_Toc16535"/>
      <w:bookmarkStart w:id="149" w:name="_Toc24994"/>
      <w:r>
        <w:rPr>
          <w:rFonts w:hint="eastAsia" w:eastAsia="宋体" w:cs="宋体" w:asciiTheme="minorEastAsia" w:hAnsiTheme="minorEastAsia"/>
          <w:b/>
          <w:color w:val="auto"/>
          <w:kern w:val="2"/>
          <w:sz w:val="24"/>
          <w:szCs w:val="24"/>
          <w:lang w:val="en-US" w:eastAsia="zh-CN" w:bidi="ar-SA"/>
        </w:rPr>
        <w:t>1.11.2.</w:t>
      </w:r>
      <w:r>
        <w:rPr>
          <w:rFonts w:hint="eastAsia" w:ascii="宋体" w:hAnsi="宋体" w:eastAsia="宋体" w:cs="宋体"/>
          <w:b/>
          <w:color w:val="auto"/>
          <w:sz w:val="24"/>
          <w:szCs w:val="24"/>
          <w:highlight w:val="none"/>
        </w:rPr>
        <w:t>管道吊架和支架安装</w:t>
      </w:r>
      <w:bookmarkEnd w:id="146"/>
      <w:bookmarkEnd w:id="147"/>
      <w:bookmarkEnd w:id="148"/>
      <w:bookmarkEnd w:id="149"/>
    </w:p>
    <w:p w14:paraId="745BA366">
      <w:pPr>
        <w:pageBreakBefore w:val="0"/>
        <w:numPr>
          <w:ilvl w:val="0"/>
          <w:numId w:val="29"/>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所需的吊架和支架，包括吊杆、角铁、槽钢和铁板以及由设计指示的任何变化等，均须先获得建筑师的批准后才可进行制造。</w:t>
      </w:r>
    </w:p>
    <w:p w14:paraId="7A98752A">
      <w:pPr>
        <w:pageBreakBefore w:val="0"/>
        <w:numPr>
          <w:ilvl w:val="0"/>
          <w:numId w:val="29"/>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垂直管道应在每根立管的中部用认可的钢托架支撑，以防摇晃、松垂、震动和共震。避免支架或固定支架之间的曳拉或扭弯而使管道承受压力。</w:t>
      </w:r>
    </w:p>
    <w:p w14:paraId="45D3C8DD">
      <w:pPr>
        <w:pageBreakBefore w:val="0"/>
        <w:numPr>
          <w:ilvl w:val="0"/>
          <w:numId w:val="29"/>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所有固定支架和吊架应用有足够强度的伸缩螺栓所固定。</w:t>
      </w:r>
    </w:p>
    <w:p w14:paraId="68CDA2D2">
      <w:pPr>
        <w:pageBreakBefore w:val="0"/>
        <w:numPr>
          <w:ilvl w:val="0"/>
          <w:numId w:val="29"/>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把吊架固定到嵌藏在混凝土中的金属嵌件中，如果没有这种嵌件，可用膨胀螺栓锚固于混凝土中。</w:t>
      </w:r>
    </w:p>
    <w:p w14:paraId="33EC38A4">
      <w:pPr>
        <w:pageBreakBefore w:val="0"/>
        <w:numPr>
          <w:ilvl w:val="0"/>
          <w:numId w:val="29"/>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在夹持器和管子或不同材料之间应安装密封垫片。</w:t>
      </w:r>
    </w:p>
    <w:p w14:paraId="0845CA11">
      <w:pPr>
        <w:pageBreakBefore w:val="0"/>
        <w:tabs>
          <w:tab w:val="left" w:pos="900"/>
        </w:tabs>
        <w:kinsoku/>
        <w:wordWrap/>
        <w:overflowPunct/>
        <w:topLinePunct w:val="0"/>
        <w:autoSpaceDE w:val="0"/>
        <w:autoSpaceDN w:val="0"/>
        <w:bidi w:val="0"/>
        <w:adjustRightInd w:val="0"/>
        <w:spacing w:before="93" w:beforeLines="30" w:after="93" w:afterLines="30" w:line="460" w:lineRule="exact"/>
        <w:ind w:left="420" w:right="-23"/>
        <w:jc w:val="left"/>
        <w:textAlignment w:val="baseline"/>
        <w:rPr>
          <w:rFonts w:hint="eastAsia" w:ascii="宋体" w:hAnsi="宋体" w:eastAsia="宋体" w:cs="宋体"/>
          <w:color w:val="auto"/>
          <w:sz w:val="24"/>
          <w:szCs w:val="24"/>
          <w:highlight w:val="none"/>
          <w:lang w:val="en-GB"/>
        </w:rPr>
      </w:pPr>
    </w:p>
    <w:p w14:paraId="7865A386">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color w:val="auto"/>
          <w:sz w:val="24"/>
          <w:szCs w:val="24"/>
          <w:highlight w:val="none"/>
        </w:rPr>
      </w:pPr>
      <w:bookmarkStart w:id="150" w:name="_Toc15632"/>
      <w:bookmarkStart w:id="151" w:name="_Toc2739"/>
      <w:bookmarkStart w:id="152" w:name="_Toc9974"/>
      <w:bookmarkStart w:id="153" w:name="_Toc25526"/>
      <w:r>
        <w:rPr>
          <w:rFonts w:hint="eastAsia" w:eastAsia="宋体" w:cs="宋体" w:asciiTheme="minorEastAsia" w:hAnsiTheme="minorEastAsia"/>
          <w:b/>
          <w:color w:val="auto"/>
          <w:kern w:val="2"/>
          <w:sz w:val="24"/>
          <w:szCs w:val="24"/>
          <w:lang w:val="en-US" w:eastAsia="zh-CN" w:bidi="ar-SA"/>
        </w:rPr>
        <w:t>1.11.3.</w:t>
      </w:r>
      <w:r>
        <w:rPr>
          <w:rFonts w:hint="eastAsia" w:ascii="宋体" w:hAnsi="宋体" w:eastAsia="宋体" w:cs="宋体"/>
          <w:b/>
          <w:color w:val="auto"/>
          <w:sz w:val="24"/>
          <w:szCs w:val="24"/>
          <w:highlight w:val="none"/>
        </w:rPr>
        <w:t>清洁步骤</w:t>
      </w:r>
      <w:bookmarkEnd w:id="150"/>
      <w:bookmarkEnd w:id="151"/>
      <w:bookmarkEnd w:id="152"/>
      <w:bookmarkEnd w:id="153"/>
    </w:p>
    <w:p w14:paraId="6E3F321B">
      <w:pPr>
        <w:pageBreakBefore w:val="0"/>
        <w:numPr>
          <w:ilvl w:val="0"/>
          <w:numId w:val="30"/>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采取一切预防措施，以避免外界物体，诸如焊珠和焊渣或污物侵入管道系统中。敲打已完工的焊缝以使碎屑松脱。所有管道、阀门和配件均应在装配成系统之前，用金属刷和擦扫清除管内的油污、油脂或污物。</w:t>
      </w:r>
    </w:p>
    <w:p w14:paraId="09721B57">
      <w:pPr>
        <w:pageBreakBefore w:val="0"/>
        <w:numPr>
          <w:ilvl w:val="0"/>
          <w:numId w:val="30"/>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在接合和装配之后，所有150毫米及以下的管件应用清水冲洗直至彻底清除污物、油污和金属屑等为止。在一般情况下，每种尺寸的管子在与更大尺寸的管子连接在一起之前均应分别冲洗。</w:t>
      </w:r>
    </w:p>
    <w:p w14:paraId="798F90E0">
      <w:pPr>
        <w:pageBreakBefore w:val="0"/>
        <w:numPr>
          <w:ilvl w:val="0"/>
          <w:numId w:val="30"/>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200毫米及以上的管件清洗处理应采用钢刷子，牵拉过每段管子的整个长度，随后用比管子内径稍大的纤维刷子或抹布抹刷。</w:t>
      </w:r>
    </w:p>
    <w:p w14:paraId="13B5CB07">
      <w:pPr>
        <w:pageBreakBefore w:val="0"/>
        <w:numPr>
          <w:ilvl w:val="0"/>
          <w:numId w:val="30"/>
        </w:numPr>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所有清洗处理均应贯通整个管道系统。清洗处理和最后接头完成之后，各管道节段的末端均须紧紧密封，以防任何污物</w:t>
      </w:r>
    </w:p>
    <w:p w14:paraId="1FD42CBB">
      <w:pPr>
        <w:pStyle w:val="34"/>
        <w:pageBreakBefore w:val="0"/>
        <w:numPr>
          <w:ilvl w:val="1"/>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bookmarkStart w:id="154" w:name="_Toc2500"/>
      <w:bookmarkStart w:id="155" w:name="_Toc8390"/>
      <w:bookmarkStart w:id="156" w:name="_Toc22043"/>
      <w:bookmarkStart w:id="157" w:name="_Toc4035"/>
      <w:r>
        <w:rPr>
          <w:rFonts w:hint="eastAsia" w:eastAsia="宋体" w:cs="宋体" w:asciiTheme="minorEastAsia" w:hAnsiTheme="minorEastAsia"/>
          <w:b/>
          <w:color w:val="auto"/>
          <w:kern w:val="2"/>
          <w:sz w:val="24"/>
          <w:szCs w:val="24"/>
          <w:lang w:val="en-US" w:eastAsia="zh-CN" w:bidi="ar-SA"/>
        </w:rPr>
        <w:t>1.12.</w:t>
      </w:r>
      <w:r>
        <w:rPr>
          <w:rFonts w:hint="eastAsia" w:ascii="宋体" w:hAnsi="宋体" w:eastAsia="宋体" w:cs="宋体"/>
          <w:b/>
          <w:color w:val="auto"/>
          <w:sz w:val="24"/>
          <w:szCs w:val="24"/>
          <w:highlight w:val="none"/>
        </w:rPr>
        <w:t>阀门与附件技术要求</w:t>
      </w:r>
      <w:bookmarkEnd w:id="154"/>
      <w:bookmarkEnd w:id="155"/>
      <w:bookmarkEnd w:id="156"/>
      <w:bookmarkEnd w:id="157"/>
    </w:p>
    <w:p w14:paraId="29C4CA3E">
      <w:pPr>
        <w:pageBreakBefore w:val="0"/>
        <w:tabs>
          <w:tab w:val="left" w:pos="900"/>
        </w:tabs>
        <w:kinsoku/>
        <w:wordWrap/>
        <w:overflowPunct/>
        <w:topLinePunct w:val="0"/>
        <w:autoSpaceDE w:val="0"/>
        <w:autoSpaceDN w:val="0"/>
        <w:bidi w:val="0"/>
        <w:adjustRightInd w:val="0"/>
        <w:spacing w:before="93" w:beforeLines="30" w:after="93" w:afterLines="30" w:line="460" w:lineRule="exact"/>
        <w:ind w:right="-23"/>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本章说明阀门与配件在管道工程布置的规格，安装及调试的要求。</w:t>
      </w:r>
    </w:p>
    <w:p w14:paraId="7D8F6ADC">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color w:val="auto"/>
          <w:sz w:val="24"/>
          <w:szCs w:val="24"/>
          <w:highlight w:val="none"/>
        </w:rPr>
      </w:pPr>
      <w:bookmarkStart w:id="158" w:name="_Toc3694"/>
      <w:bookmarkStart w:id="159" w:name="_Toc26224"/>
      <w:bookmarkStart w:id="160" w:name="_Toc30052"/>
      <w:bookmarkStart w:id="161" w:name="_Toc17488"/>
      <w:r>
        <w:rPr>
          <w:rFonts w:hint="eastAsia" w:eastAsia="宋体" w:cs="宋体" w:asciiTheme="minorEastAsia" w:hAnsiTheme="minorEastAsia"/>
          <w:b/>
          <w:color w:val="auto"/>
          <w:kern w:val="2"/>
          <w:sz w:val="24"/>
          <w:szCs w:val="24"/>
          <w:lang w:val="en-US" w:eastAsia="zh-CN" w:bidi="ar-SA"/>
        </w:rPr>
        <w:t>1.12.1.</w:t>
      </w:r>
      <w:r>
        <w:rPr>
          <w:rFonts w:hint="eastAsia" w:ascii="宋体" w:hAnsi="宋体" w:eastAsia="宋体" w:cs="宋体"/>
          <w:b/>
          <w:color w:val="auto"/>
          <w:sz w:val="24"/>
          <w:szCs w:val="24"/>
          <w:highlight w:val="none"/>
        </w:rPr>
        <w:t xml:space="preserve"> 一般要求</w:t>
      </w:r>
      <w:bookmarkEnd w:id="158"/>
      <w:bookmarkEnd w:id="159"/>
      <w:bookmarkEnd w:id="160"/>
      <w:bookmarkEnd w:id="161"/>
    </w:p>
    <w:p w14:paraId="02037EEC">
      <w:pPr>
        <w:pageBreakBefore w:val="0"/>
        <w:numPr>
          <w:ilvl w:val="0"/>
          <w:numId w:val="31"/>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所有送抵工地的阀门均应是新的，并有标示以利辨别其等级。</w:t>
      </w:r>
    </w:p>
    <w:p w14:paraId="5B28E718">
      <w:pPr>
        <w:pageBreakBefore w:val="0"/>
        <w:numPr>
          <w:ilvl w:val="0"/>
          <w:numId w:val="31"/>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在运送、储存、及安装阀门与配件时须予适当的保护。</w:t>
      </w:r>
    </w:p>
    <w:p w14:paraId="4B3668E0">
      <w:pPr>
        <w:pageBreakBefore w:val="0"/>
        <w:numPr>
          <w:ilvl w:val="0"/>
          <w:numId w:val="31"/>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在需要系统平衡处如分支管道，旁通管道等安装球形调节阀。</w:t>
      </w:r>
    </w:p>
    <w:p w14:paraId="01622C1A">
      <w:pPr>
        <w:pageBreakBefore w:val="0"/>
        <w:numPr>
          <w:ilvl w:val="0"/>
          <w:numId w:val="31"/>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阀门要有足够的维修间距，于测试压力下防漏。制造厂名或牌子、图号或编号，保证能达到工作压力等，须铸于阀体或阀盖上。除特别用途之外，所有同类同型号阀门要由单一供货商提供。</w:t>
      </w:r>
    </w:p>
    <w:p w14:paraId="2E4282F1">
      <w:pPr>
        <w:pageBreakBefore w:val="0"/>
        <w:numPr>
          <w:ilvl w:val="0"/>
          <w:numId w:val="31"/>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阀门应配合各系统的工作压力。蝶阀及球阀应适合于受压时作维修。不论安装于任何系统，阀门之额定工作压力不能少于1000kPa。</w:t>
      </w:r>
    </w:p>
    <w:p w14:paraId="48A61272">
      <w:pPr>
        <w:pageBreakBefore w:val="0"/>
        <w:numPr>
          <w:ilvl w:val="0"/>
          <w:numId w:val="31"/>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阀门接驳:</w:t>
      </w:r>
    </w:p>
    <w:p w14:paraId="261E7BEA">
      <w:pPr>
        <w:pageBreakBefore w:val="0"/>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ab/>
      </w:r>
      <w:r>
        <w:rPr>
          <w:rFonts w:hint="eastAsia" w:ascii="宋体" w:hAnsi="宋体" w:eastAsia="宋体" w:cs="宋体"/>
          <w:color w:val="auto"/>
          <w:sz w:val="24"/>
          <w:szCs w:val="24"/>
          <w:highlight w:val="none"/>
          <w:lang w:val="en-GB"/>
        </w:rPr>
        <w:t>1.</w:t>
      </w:r>
      <w:r>
        <w:rPr>
          <w:rFonts w:hint="eastAsia" w:ascii="宋体" w:hAnsi="宋体" w:eastAsia="宋体" w:cs="宋体"/>
          <w:color w:val="auto"/>
          <w:sz w:val="24"/>
          <w:szCs w:val="24"/>
          <w:highlight w:val="none"/>
          <w:lang w:val="en-GB"/>
        </w:rPr>
        <w:tab/>
      </w:r>
      <w:r>
        <w:rPr>
          <w:rFonts w:hint="eastAsia" w:ascii="宋体" w:hAnsi="宋体" w:eastAsia="宋体" w:cs="宋体"/>
          <w:color w:val="auto"/>
          <w:sz w:val="24"/>
          <w:szCs w:val="24"/>
          <w:highlight w:val="none"/>
          <w:lang w:val="en-GB"/>
        </w:rPr>
        <w:t>按管道接头的要求提供阀门，与管道相同。</w:t>
      </w:r>
    </w:p>
    <w:p w14:paraId="7A848FBA">
      <w:pPr>
        <w:pageBreakBefore w:val="0"/>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ab/>
      </w:r>
      <w:r>
        <w:rPr>
          <w:rFonts w:hint="eastAsia" w:ascii="宋体" w:hAnsi="宋体" w:eastAsia="宋体" w:cs="宋体"/>
          <w:color w:val="auto"/>
          <w:sz w:val="24"/>
          <w:szCs w:val="24"/>
          <w:highlight w:val="none"/>
          <w:lang w:val="en-GB"/>
        </w:rPr>
        <w:t>2.</w:t>
      </w:r>
      <w:r>
        <w:rPr>
          <w:rFonts w:hint="eastAsia" w:ascii="宋体" w:hAnsi="宋体" w:eastAsia="宋体" w:cs="宋体"/>
          <w:color w:val="auto"/>
          <w:sz w:val="24"/>
          <w:szCs w:val="24"/>
          <w:highlight w:val="none"/>
          <w:lang w:val="en-GB"/>
        </w:rPr>
        <w:tab/>
      </w:r>
      <w:r>
        <w:rPr>
          <w:rFonts w:hint="eastAsia" w:ascii="宋体" w:hAnsi="宋体" w:eastAsia="宋体" w:cs="宋体"/>
          <w:color w:val="auto"/>
          <w:sz w:val="24"/>
          <w:szCs w:val="24"/>
          <w:highlight w:val="none"/>
          <w:lang w:val="en-GB"/>
        </w:rPr>
        <w:t>50毫米及以下为螺纹接头。</w:t>
      </w:r>
    </w:p>
    <w:p w14:paraId="4A8ADCF6">
      <w:pPr>
        <w:pageBreakBefore w:val="0"/>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ab/>
      </w:r>
      <w:r>
        <w:rPr>
          <w:rFonts w:hint="eastAsia" w:ascii="宋体" w:hAnsi="宋体" w:eastAsia="宋体" w:cs="宋体"/>
          <w:color w:val="auto"/>
          <w:sz w:val="24"/>
          <w:szCs w:val="24"/>
          <w:highlight w:val="none"/>
          <w:lang w:val="en-GB"/>
        </w:rPr>
        <w:t>3.</w:t>
      </w:r>
      <w:r>
        <w:rPr>
          <w:rFonts w:hint="eastAsia" w:ascii="宋体" w:hAnsi="宋体" w:eastAsia="宋体" w:cs="宋体"/>
          <w:color w:val="auto"/>
          <w:sz w:val="24"/>
          <w:szCs w:val="24"/>
          <w:highlight w:val="none"/>
          <w:lang w:val="en-GB"/>
        </w:rPr>
        <w:tab/>
      </w:r>
      <w:r>
        <w:rPr>
          <w:rFonts w:hint="eastAsia" w:ascii="宋体" w:hAnsi="宋体" w:eastAsia="宋体" w:cs="宋体"/>
          <w:color w:val="auto"/>
          <w:sz w:val="24"/>
          <w:szCs w:val="24"/>
          <w:highlight w:val="none"/>
          <w:lang w:val="en-GB"/>
        </w:rPr>
        <w:t>65毫米及以上为法兰接头。</w:t>
      </w:r>
    </w:p>
    <w:p w14:paraId="4C4BB616">
      <w:pPr>
        <w:pageBreakBefore w:val="0"/>
        <w:numPr>
          <w:ilvl w:val="0"/>
          <w:numId w:val="31"/>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除另外规定，所有阀门应与所装接管道的管径相同。</w:t>
      </w:r>
    </w:p>
    <w:p w14:paraId="0F955957">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color w:val="auto"/>
          <w:sz w:val="24"/>
          <w:szCs w:val="24"/>
          <w:highlight w:val="none"/>
        </w:rPr>
      </w:pPr>
      <w:bookmarkStart w:id="162" w:name="_Toc3778"/>
      <w:bookmarkStart w:id="163" w:name="_Toc61"/>
      <w:bookmarkStart w:id="164" w:name="_Toc10457"/>
      <w:bookmarkStart w:id="165" w:name="_Toc20925"/>
      <w:r>
        <w:rPr>
          <w:rFonts w:hint="eastAsia" w:eastAsia="宋体" w:cs="宋体" w:asciiTheme="minorEastAsia" w:hAnsiTheme="minorEastAsia"/>
          <w:b/>
          <w:color w:val="auto"/>
          <w:kern w:val="2"/>
          <w:sz w:val="24"/>
          <w:szCs w:val="24"/>
          <w:lang w:val="en-US" w:eastAsia="zh-CN" w:bidi="ar-SA"/>
        </w:rPr>
        <w:t>1.12.2.</w:t>
      </w:r>
      <w:r>
        <w:rPr>
          <w:rFonts w:hint="eastAsia" w:ascii="宋体" w:hAnsi="宋体" w:eastAsia="宋体" w:cs="宋体"/>
          <w:b/>
          <w:color w:val="auto"/>
          <w:sz w:val="24"/>
          <w:szCs w:val="24"/>
          <w:highlight w:val="none"/>
        </w:rPr>
        <w:t>质量保证</w:t>
      </w:r>
      <w:bookmarkEnd w:id="162"/>
      <w:bookmarkEnd w:id="163"/>
      <w:bookmarkEnd w:id="164"/>
      <w:bookmarkEnd w:id="165"/>
    </w:p>
    <w:p w14:paraId="6F910EEF">
      <w:pPr>
        <w:pageBreakBefore w:val="0"/>
        <w:numPr>
          <w:ilvl w:val="0"/>
          <w:numId w:val="32"/>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以下的规例、条例、标准及规范适用于本章所述的工程:</w:t>
      </w:r>
    </w:p>
    <w:p w14:paraId="2AF6C6BC">
      <w:pPr>
        <w:pageBreakBefore w:val="0"/>
        <w:tabs>
          <w:tab w:val="left" w:pos="900"/>
        </w:tabs>
        <w:kinsoku/>
        <w:wordWrap/>
        <w:overflowPunct/>
        <w:topLinePunct w:val="0"/>
        <w:autoSpaceDE w:val="0"/>
        <w:autoSpaceDN w:val="0"/>
        <w:bidi w:val="0"/>
        <w:adjustRightInd w:val="0"/>
        <w:spacing w:before="93" w:beforeLines="30" w:after="93" w:afterLines="30" w:line="460" w:lineRule="exact"/>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应符合相关国家规范。</w:t>
      </w:r>
    </w:p>
    <w:p w14:paraId="5832E0F4">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color w:val="auto"/>
          <w:sz w:val="24"/>
          <w:szCs w:val="24"/>
          <w:highlight w:val="none"/>
        </w:rPr>
      </w:pPr>
      <w:bookmarkStart w:id="166" w:name="_Toc24899"/>
      <w:bookmarkStart w:id="167" w:name="_Toc28102"/>
      <w:bookmarkStart w:id="168" w:name="_Toc26792"/>
      <w:bookmarkStart w:id="169" w:name="_Toc26387"/>
      <w:r>
        <w:rPr>
          <w:rFonts w:hint="eastAsia" w:eastAsia="宋体" w:cs="宋体" w:asciiTheme="minorEastAsia" w:hAnsiTheme="minorEastAsia"/>
          <w:b/>
          <w:color w:val="auto"/>
          <w:kern w:val="2"/>
          <w:sz w:val="24"/>
          <w:szCs w:val="24"/>
          <w:lang w:val="en-US" w:eastAsia="zh-CN" w:bidi="ar-SA"/>
        </w:rPr>
        <w:t>1.12.3.</w:t>
      </w:r>
      <w:r>
        <w:rPr>
          <w:rFonts w:hint="eastAsia" w:ascii="宋体" w:hAnsi="宋体" w:eastAsia="宋体" w:cs="宋体"/>
          <w:b/>
          <w:color w:val="auto"/>
          <w:sz w:val="24"/>
          <w:szCs w:val="24"/>
          <w:highlight w:val="none"/>
        </w:rPr>
        <w:t>资料呈审</w:t>
      </w:r>
      <w:bookmarkEnd w:id="166"/>
      <w:bookmarkEnd w:id="167"/>
      <w:bookmarkEnd w:id="168"/>
      <w:bookmarkEnd w:id="169"/>
    </w:p>
    <w:p w14:paraId="32ECD57F">
      <w:pPr>
        <w:pageBreakBefore w:val="0"/>
        <w:numPr>
          <w:ilvl w:val="0"/>
          <w:numId w:val="33"/>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提交下列连同个别附加要求规格:</w:t>
      </w:r>
    </w:p>
    <w:p w14:paraId="42C72F58">
      <w:pPr>
        <w:pageBreakBefore w:val="0"/>
        <w:tabs>
          <w:tab w:val="left" w:pos="900"/>
        </w:tabs>
        <w:kinsoku/>
        <w:wordWrap/>
        <w:overflowPunct/>
        <w:topLinePunct w:val="0"/>
        <w:autoSpaceDE w:val="0"/>
        <w:autoSpaceDN w:val="0"/>
        <w:bidi w:val="0"/>
        <w:adjustRightInd w:val="0"/>
        <w:spacing w:before="93" w:beforeLines="30" w:after="93" w:afterLines="30" w:line="460" w:lineRule="exact"/>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制造厂提供的产品资料等。</w:t>
      </w:r>
    </w:p>
    <w:p w14:paraId="6E70245F">
      <w:pPr>
        <w:pageBreakBefore w:val="0"/>
        <w:tabs>
          <w:tab w:val="left" w:pos="900"/>
        </w:tabs>
        <w:kinsoku/>
        <w:wordWrap/>
        <w:overflowPunct/>
        <w:topLinePunct w:val="0"/>
        <w:autoSpaceDE w:val="0"/>
        <w:autoSpaceDN w:val="0"/>
        <w:bidi w:val="0"/>
        <w:adjustRightInd w:val="0"/>
        <w:spacing w:before="93" w:beforeLines="30" w:after="93" w:afterLines="30" w:line="460" w:lineRule="exact"/>
        <w:ind w:left="540" w:right="-23"/>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符合规格要求的证书。</w:t>
      </w:r>
    </w:p>
    <w:p w14:paraId="5F3055CF">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color w:val="auto"/>
          <w:sz w:val="24"/>
          <w:szCs w:val="24"/>
          <w:highlight w:val="none"/>
        </w:rPr>
      </w:pPr>
      <w:bookmarkStart w:id="170" w:name="_Toc29350"/>
      <w:bookmarkStart w:id="171" w:name="_Toc25863"/>
      <w:bookmarkStart w:id="172" w:name="_Toc25186"/>
      <w:bookmarkStart w:id="173" w:name="_Toc24126"/>
      <w:r>
        <w:rPr>
          <w:rFonts w:hint="eastAsia" w:eastAsia="宋体" w:cs="宋体" w:asciiTheme="minorEastAsia" w:hAnsiTheme="minorEastAsia"/>
          <w:b/>
          <w:color w:val="auto"/>
          <w:kern w:val="2"/>
          <w:sz w:val="24"/>
          <w:szCs w:val="24"/>
          <w:lang w:val="en-US" w:eastAsia="zh-CN" w:bidi="ar-SA"/>
        </w:rPr>
        <w:t>1.12.4.</w:t>
      </w:r>
      <w:r>
        <w:rPr>
          <w:rFonts w:hint="eastAsia" w:ascii="宋体" w:hAnsi="宋体" w:eastAsia="宋体" w:cs="宋体"/>
          <w:b/>
          <w:color w:val="auto"/>
          <w:sz w:val="24"/>
          <w:szCs w:val="24"/>
          <w:highlight w:val="none"/>
        </w:rPr>
        <w:t>阀门要求</w:t>
      </w:r>
      <w:bookmarkEnd w:id="170"/>
      <w:bookmarkEnd w:id="171"/>
      <w:bookmarkEnd w:id="172"/>
      <w:bookmarkEnd w:id="173"/>
    </w:p>
    <w:p w14:paraId="5C58C56F">
      <w:pPr>
        <w:pStyle w:val="63"/>
        <w:pageBreakBefore w:val="0"/>
        <w:kinsoku/>
        <w:wordWrap/>
        <w:overflowPunct/>
        <w:topLinePunct w:val="0"/>
        <w:bidi w:val="0"/>
        <w:spacing w:after="100" w:afterAutospacing="1" w:line="460" w:lineRule="exact"/>
        <w:ind w:left="720"/>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对不同的设施，管道工程的规格应符合下列各表的要求。</w:t>
      </w:r>
    </w:p>
    <w:p w14:paraId="549B07FE">
      <w:pPr>
        <w:pStyle w:val="63"/>
        <w:pageBreakBefore w:val="0"/>
        <w:kinsoku/>
        <w:wordWrap/>
        <w:overflowPunct/>
        <w:topLinePunct w:val="0"/>
        <w:bidi w:val="0"/>
        <w:spacing w:after="100" w:afterAutospacing="1" w:line="460" w:lineRule="exact"/>
        <w:ind w:left="720"/>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表1 - 管道类别</w:t>
      </w:r>
    </w:p>
    <w:tbl>
      <w:tblPr>
        <w:tblStyle w:val="25"/>
        <w:tblW w:w="9360" w:type="dxa"/>
        <w:tblInd w:w="3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77"/>
        <w:gridCol w:w="2580"/>
        <w:gridCol w:w="2123"/>
        <w:gridCol w:w="2280"/>
      </w:tblGrid>
      <w:tr w14:paraId="278DF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7" w:hRule="atLeast"/>
          <w:tblHeader/>
        </w:trPr>
        <w:tc>
          <w:tcPr>
            <w:tcW w:w="2377" w:type="dxa"/>
            <w:tcBorders>
              <w:top w:val="single" w:color="auto" w:sz="4" w:space="0"/>
              <w:left w:val="single" w:color="auto" w:sz="4" w:space="0"/>
              <w:bottom w:val="single" w:color="auto" w:sz="4" w:space="0"/>
              <w:right w:val="single" w:color="auto" w:sz="4" w:space="0"/>
            </w:tcBorders>
            <w:vAlign w:val="center"/>
          </w:tcPr>
          <w:p w14:paraId="5A8E7EDA">
            <w:pPr>
              <w:pStyle w:val="63"/>
              <w:pageBreakBefore w:val="0"/>
              <w:kinsoku/>
              <w:wordWrap/>
              <w:overflowPunct/>
              <w:topLinePunct w:val="0"/>
              <w:bidi w:val="0"/>
              <w:spacing w:after="0" w:afterAutospacing="0" w:line="460" w:lineRule="exact"/>
              <w:ind w:left="0"/>
              <w:jc w:val="center"/>
              <w:rPr>
                <w:rFonts w:hint="eastAsia" w:ascii="宋体" w:hAnsi="宋体" w:eastAsia="宋体" w:cs="宋体"/>
                <w:b/>
                <w:color w:val="auto"/>
                <w:spacing w:val="0"/>
                <w:sz w:val="24"/>
                <w:szCs w:val="24"/>
                <w:highlight w:val="none"/>
                <w:lang w:eastAsia="zh-CN"/>
              </w:rPr>
            </w:pPr>
            <w:r>
              <w:rPr>
                <w:rFonts w:hint="eastAsia" w:ascii="宋体" w:hAnsi="宋体" w:eastAsia="宋体" w:cs="宋体"/>
                <w:b/>
                <w:color w:val="auto"/>
                <w:spacing w:val="0"/>
                <w:sz w:val="24"/>
                <w:szCs w:val="24"/>
                <w:highlight w:val="none"/>
                <w:lang w:eastAsia="zh-CN"/>
              </w:rPr>
              <w:t>阀门类型</w:t>
            </w:r>
          </w:p>
        </w:tc>
        <w:tc>
          <w:tcPr>
            <w:tcW w:w="2580" w:type="dxa"/>
            <w:tcBorders>
              <w:top w:val="single" w:color="auto" w:sz="4" w:space="0"/>
              <w:left w:val="single" w:color="auto" w:sz="4" w:space="0"/>
              <w:bottom w:val="single" w:color="auto" w:sz="4" w:space="0"/>
              <w:right w:val="single" w:color="auto" w:sz="4" w:space="0"/>
            </w:tcBorders>
            <w:vAlign w:val="center"/>
          </w:tcPr>
          <w:p w14:paraId="27A55A65">
            <w:pPr>
              <w:pStyle w:val="63"/>
              <w:pageBreakBefore w:val="0"/>
              <w:kinsoku/>
              <w:wordWrap/>
              <w:overflowPunct/>
              <w:topLinePunct w:val="0"/>
              <w:bidi w:val="0"/>
              <w:spacing w:after="0" w:afterAutospacing="0" w:line="460" w:lineRule="exact"/>
              <w:ind w:left="0"/>
              <w:jc w:val="center"/>
              <w:rPr>
                <w:rFonts w:hint="eastAsia" w:ascii="宋体" w:hAnsi="宋体" w:eastAsia="宋体" w:cs="宋体"/>
                <w:b/>
                <w:color w:val="auto"/>
                <w:spacing w:val="0"/>
                <w:sz w:val="24"/>
                <w:szCs w:val="24"/>
                <w:highlight w:val="none"/>
                <w:lang w:eastAsia="zh-CN"/>
              </w:rPr>
            </w:pPr>
            <w:r>
              <w:rPr>
                <w:rFonts w:hint="eastAsia" w:ascii="宋体" w:hAnsi="宋体" w:eastAsia="宋体" w:cs="宋体"/>
                <w:b/>
                <w:color w:val="auto"/>
                <w:spacing w:val="0"/>
                <w:sz w:val="24"/>
                <w:szCs w:val="24"/>
                <w:highlight w:val="none"/>
                <w:lang w:eastAsia="zh-CN"/>
              </w:rPr>
              <w:t>尺码(mm)</w:t>
            </w:r>
          </w:p>
        </w:tc>
        <w:tc>
          <w:tcPr>
            <w:tcW w:w="2123" w:type="dxa"/>
            <w:tcBorders>
              <w:top w:val="single" w:color="auto" w:sz="4" w:space="0"/>
              <w:left w:val="single" w:color="auto" w:sz="4" w:space="0"/>
              <w:bottom w:val="single" w:color="auto" w:sz="4" w:space="0"/>
              <w:right w:val="single" w:color="auto" w:sz="4" w:space="0"/>
            </w:tcBorders>
            <w:vAlign w:val="center"/>
          </w:tcPr>
          <w:p w14:paraId="0D89AF6F">
            <w:pPr>
              <w:pStyle w:val="63"/>
              <w:pageBreakBefore w:val="0"/>
              <w:kinsoku/>
              <w:wordWrap/>
              <w:overflowPunct/>
              <w:topLinePunct w:val="0"/>
              <w:bidi w:val="0"/>
              <w:spacing w:after="0" w:afterAutospacing="0" w:line="460" w:lineRule="exact"/>
              <w:ind w:left="0"/>
              <w:jc w:val="center"/>
              <w:rPr>
                <w:rFonts w:hint="eastAsia" w:ascii="宋体" w:hAnsi="宋体" w:eastAsia="宋体" w:cs="宋体"/>
                <w:b/>
                <w:color w:val="auto"/>
                <w:spacing w:val="0"/>
                <w:sz w:val="24"/>
                <w:szCs w:val="24"/>
                <w:highlight w:val="none"/>
                <w:lang w:eastAsia="zh-CN"/>
              </w:rPr>
            </w:pPr>
            <w:r>
              <w:rPr>
                <w:rFonts w:hint="eastAsia" w:ascii="宋体" w:hAnsi="宋体" w:eastAsia="宋体" w:cs="宋体"/>
                <w:b/>
                <w:color w:val="auto"/>
                <w:spacing w:val="0"/>
                <w:sz w:val="24"/>
                <w:szCs w:val="24"/>
                <w:highlight w:val="none"/>
                <w:lang w:eastAsia="zh-CN"/>
              </w:rPr>
              <w:t>阀体材料</w:t>
            </w:r>
          </w:p>
        </w:tc>
        <w:tc>
          <w:tcPr>
            <w:tcW w:w="2280" w:type="dxa"/>
            <w:tcBorders>
              <w:top w:val="single" w:color="auto" w:sz="4" w:space="0"/>
              <w:left w:val="single" w:color="auto" w:sz="4" w:space="0"/>
              <w:bottom w:val="single" w:color="auto" w:sz="4" w:space="0"/>
              <w:right w:val="single" w:color="auto" w:sz="4" w:space="0"/>
            </w:tcBorders>
            <w:vAlign w:val="center"/>
          </w:tcPr>
          <w:p w14:paraId="761BE786">
            <w:pPr>
              <w:pStyle w:val="63"/>
              <w:pageBreakBefore w:val="0"/>
              <w:kinsoku/>
              <w:wordWrap/>
              <w:overflowPunct/>
              <w:topLinePunct w:val="0"/>
              <w:bidi w:val="0"/>
              <w:spacing w:after="0" w:afterAutospacing="0" w:line="460" w:lineRule="exact"/>
              <w:ind w:left="0"/>
              <w:jc w:val="center"/>
              <w:rPr>
                <w:rFonts w:hint="eastAsia" w:ascii="宋体" w:hAnsi="宋体" w:eastAsia="宋体" w:cs="宋体"/>
                <w:b/>
                <w:color w:val="auto"/>
                <w:spacing w:val="0"/>
                <w:sz w:val="24"/>
                <w:szCs w:val="24"/>
                <w:highlight w:val="none"/>
                <w:lang w:eastAsia="zh-CN"/>
              </w:rPr>
            </w:pPr>
            <w:r>
              <w:rPr>
                <w:rFonts w:hint="eastAsia" w:ascii="宋体" w:hAnsi="宋体" w:eastAsia="宋体" w:cs="宋体"/>
                <w:b/>
                <w:color w:val="auto"/>
                <w:spacing w:val="0"/>
                <w:sz w:val="24"/>
                <w:szCs w:val="24"/>
                <w:highlight w:val="none"/>
                <w:lang w:eastAsia="zh-CN"/>
              </w:rPr>
              <w:t>圆盘及阀座材料</w:t>
            </w:r>
          </w:p>
        </w:tc>
      </w:tr>
      <w:tr w14:paraId="0A746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2377" w:type="dxa"/>
            <w:tcBorders>
              <w:top w:val="single" w:color="auto" w:sz="4" w:space="0"/>
              <w:left w:val="single" w:color="auto" w:sz="4" w:space="0"/>
              <w:bottom w:val="single" w:color="auto" w:sz="4" w:space="0"/>
              <w:right w:val="single" w:color="auto" w:sz="4" w:space="0"/>
            </w:tcBorders>
            <w:vAlign w:val="center"/>
          </w:tcPr>
          <w:p w14:paraId="0BE3A6C5">
            <w:pPr>
              <w:pStyle w:val="63"/>
              <w:pageBreakBefore w:val="0"/>
              <w:kinsoku/>
              <w:wordWrap/>
              <w:overflowPunct/>
              <w:topLinePunct w:val="0"/>
              <w:bidi w:val="0"/>
              <w:spacing w:after="0" w:afterAutospacing="0" w:line="460" w:lineRule="exact"/>
              <w:ind w:left="0"/>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蝶阀</w:t>
            </w:r>
          </w:p>
        </w:tc>
        <w:tc>
          <w:tcPr>
            <w:tcW w:w="2580" w:type="dxa"/>
            <w:tcBorders>
              <w:top w:val="single" w:color="auto" w:sz="4" w:space="0"/>
              <w:left w:val="single" w:color="auto" w:sz="4" w:space="0"/>
              <w:bottom w:val="single" w:color="auto" w:sz="4" w:space="0"/>
              <w:right w:val="single" w:color="auto" w:sz="4" w:space="0"/>
            </w:tcBorders>
            <w:vAlign w:val="center"/>
          </w:tcPr>
          <w:p w14:paraId="37817C07">
            <w:pPr>
              <w:pStyle w:val="63"/>
              <w:pageBreakBefore w:val="0"/>
              <w:kinsoku/>
              <w:wordWrap/>
              <w:overflowPunct/>
              <w:topLinePunct w:val="0"/>
              <w:bidi w:val="0"/>
              <w:spacing w:after="0" w:afterAutospacing="0" w:line="460" w:lineRule="exact"/>
              <w:ind w:left="0"/>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80</w:t>
            </w:r>
            <w:r>
              <w:rPr>
                <w:rFonts w:hint="eastAsia" w:ascii="宋体" w:hAnsi="宋体" w:eastAsia="宋体" w:cs="宋体"/>
                <w:color w:val="auto"/>
                <w:spacing w:val="0"/>
                <w:sz w:val="24"/>
                <w:szCs w:val="24"/>
                <w:highlight w:val="none"/>
                <w:lang w:eastAsia="zh-CN"/>
              </w:rPr>
              <w:t>或以上</w:t>
            </w:r>
          </w:p>
        </w:tc>
        <w:tc>
          <w:tcPr>
            <w:tcW w:w="2123" w:type="dxa"/>
            <w:tcBorders>
              <w:top w:val="single" w:color="auto" w:sz="4" w:space="0"/>
              <w:left w:val="single" w:color="auto" w:sz="4" w:space="0"/>
              <w:bottom w:val="single" w:color="auto" w:sz="4" w:space="0"/>
              <w:right w:val="single" w:color="auto" w:sz="4" w:space="0"/>
            </w:tcBorders>
            <w:vAlign w:val="center"/>
          </w:tcPr>
          <w:p w14:paraId="7D7FF5AD">
            <w:pPr>
              <w:pStyle w:val="63"/>
              <w:pageBreakBefore w:val="0"/>
              <w:kinsoku/>
              <w:wordWrap/>
              <w:overflowPunct/>
              <w:topLinePunct w:val="0"/>
              <w:bidi w:val="0"/>
              <w:spacing w:after="0" w:afterAutospacing="0" w:line="460" w:lineRule="exact"/>
              <w:ind w:left="0"/>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CPVC</w:t>
            </w:r>
          </w:p>
        </w:tc>
        <w:tc>
          <w:tcPr>
            <w:tcW w:w="2280" w:type="dxa"/>
            <w:tcBorders>
              <w:top w:val="single" w:color="auto" w:sz="4" w:space="0"/>
              <w:left w:val="single" w:color="auto" w:sz="4" w:space="0"/>
              <w:bottom w:val="single" w:color="auto" w:sz="4" w:space="0"/>
              <w:right w:val="single" w:color="auto" w:sz="4" w:space="0"/>
            </w:tcBorders>
            <w:vAlign w:val="center"/>
          </w:tcPr>
          <w:p w14:paraId="3100E596">
            <w:pPr>
              <w:pStyle w:val="63"/>
              <w:pageBreakBefore w:val="0"/>
              <w:kinsoku/>
              <w:wordWrap/>
              <w:overflowPunct/>
              <w:topLinePunct w:val="0"/>
              <w:bidi w:val="0"/>
              <w:spacing w:after="0" w:afterAutospacing="0" w:line="460" w:lineRule="exact"/>
              <w:ind w:left="0"/>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CPVC</w:t>
            </w:r>
          </w:p>
        </w:tc>
      </w:tr>
      <w:tr w14:paraId="7BB98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7" w:hRule="atLeast"/>
        </w:trPr>
        <w:tc>
          <w:tcPr>
            <w:tcW w:w="2377" w:type="dxa"/>
            <w:tcBorders>
              <w:top w:val="single" w:color="auto" w:sz="4" w:space="0"/>
              <w:left w:val="single" w:color="auto" w:sz="4" w:space="0"/>
              <w:bottom w:val="single" w:color="auto" w:sz="4" w:space="0"/>
              <w:right w:val="single" w:color="auto" w:sz="4" w:space="0"/>
            </w:tcBorders>
            <w:vAlign w:val="center"/>
          </w:tcPr>
          <w:p w14:paraId="2EF3102E">
            <w:pPr>
              <w:pStyle w:val="63"/>
              <w:pageBreakBefore w:val="0"/>
              <w:kinsoku/>
              <w:wordWrap/>
              <w:overflowPunct/>
              <w:topLinePunct w:val="0"/>
              <w:bidi w:val="0"/>
              <w:spacing w:after="0" w:afterAutospacing="0" w:line="460" w:lineRule="exact"/>
              <w:ind w:left="0"/>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球阀</w:t>
            </w:r>
          </w:p>
        </w:tc>
        <w:tc>
          <w:tcPr>
            <w:tcW w:w="2580" w:type="dxa"/>
            <w:tcBorders>
              <w:top w:val="single" w:color="auto" w:sz="4" w:space="0"/>
              <w:left w:val="single" w:color="auto" w:sz="4" w:space="0"/>
              <w:bottom w:val="single" w:color="auto" w:sz="4" w:space="0"/>
              <w:right w:val="single" w:color="auto" w:sz="4" w:space="0"/>
            </w:tcBorders>
            <w:vAlign w:val="center"/>
          </w:tcPr>
          <w:p w14:paraId="3DC076B9">
            <w:pPr>
              <w:pStyle w:val="63"/>
              <w:pageBreakBefore w:val="0"/>
              <w:kinsoku/>
              <w:wordWrap/>
              <w:overflowPunct/>
              <w:topLinePunct w:val="0"/>
              <w:bidi w:val="0"/>
              <w:spacing w:after="0" w:afterAutospacing="0" w:line="460" w:lineRule="exact"/>
              <w:ind w:left="0"/>
              <w:jc w:val="center"/>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80</w:t>
            </w:r>
            <w:r>
              <w:rPr>
                <w:rFonts w:hint="eastAsia" w:ascii="宋体" w:hAnsi="宋体" w:eastAsia="宋体" w:cs="宋体"/>
                <w:color w:val="auto"/>
                <w:spacing w:val="0"/>
                <w:sz w:val="24"/>
                <w:szCs w:val="24"/>
                <w:highlight w:val="none"/>
                <w:lang w:eastAsia="zh-CN"/>
              </w:rPr>
              <w:t>或以下</w:t>
            </w:r>
          </w:p>
        </w:tc>
        <w:tc>
          <w:tcPr>
            <w:tcW w:w="2123" w:type="dxa"/>
            <w:tcBorders>
              <w:top w:val="single" w:color="auto" w:sz="4" w:space="0"/>
              <w:left w:val="single" w:color="auto" w:sz="4" w:space="0"/>
              <w:bottom w:val="single" w:color="auto" w:sz="4" w:space="0"/>
              <w:right w:val="single" w:color="auto" w:sz="4" w:space="0"/>
            </w:tcBorders>
            <w:vAlign w:val="center"/>
          </w:tcPr>
          <w:p w14:paraId="1B977206">
            <w:pPr>
              <w:pStyle w:val="63"/>
              <w:pageBreakBefore w:val="0"/>
              <w:kinsoku/>
              <w:wordWrap/>
              <w:overflowPunct/>
              <w:topLinePunct w:val="0"/>
              <w:bidi w:val="0"/>
              <w:spacing w:after="0" w:afterAutospacing="0" w:line="460" w:lineRule="exact"/>
              <w:ind w:left="0"/>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CPVC</w:t>
            </w:r>
          </w:p>
        </w:tc>
        <w:tc>
          <w:tcPr>
            <w:tcW w:w="2280" w:type="dxa"/>
            <w:tcBorders>
              <w:top w:val="single" w:color="auto" w:sz="4" w:space="0"/>
              <w:left w:val="single" w:color="auto" w:sz="4" w:space="0"/>
              <w:bottom w:val="single" w:color="auto" w:sz="4" w:space="0"/>
              <w:right w:val="single" w:color="auto" w:sz="4" w:space="0"/>
            </w:tcBorders>
            <w:vAlign w:val="center"/>
          </w:tcPr>
          <w:p w14:paraId="1BFE095A">
            <w:pPr>
              <w:pStyle w:val="63"/>
              <w:pageBreakBefore w:val="0"/>
              <w:kinsoku/>
              <w:wordWrap/>
              <w:overflowPunct/>
              <w:topLinePunct w:val="0"/>
              <w:bidi w:val="0"/>
              <w:spacing w:after="0" w:afterAutospacing="0" w:line="460" w:lineRule="exact"/>
              <w:ind w:left="0"/>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CPVC</w:t>
            </w:r>
          </w:p>
        </w:tc>
      </w:tr>
      <w:tr w14:paraId="1E573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9" w:hRule="atLeast"/>
        </w:trPr>
        <w:tc>
          <w:tcPr>
            <w:tcW w:w="2377" w:type="dxa"/>
            <w:tcBorders>
              <w:top w:val="single" w:color="auto" w:sz="4" w:space="0"/>
              <w:left w:val="single" w:color="auto" w:sz="4" w:space="0"/>
              <w:bottom w:val="single" w:color="auto" w:sz="4" w:space="0"/>
              <w:right w:val="single" w:color="auto" w:sz="4" w:space="0"/>
            </w:tcBorders>
            <w:vAlign w:val="center"/>
          </w:tcPr>
          <w:p w14:paraId="1837E379">
            <w:pPr>
              <w:pStyle w:val="63"/>
              <w:pageBreakBefore w:val="0"/>
              <w:kinsoku/>
              <w:wordWrap/>
              <w:overflowPunct/>
              <w:topLinePunct w:val="0"/>
              <w:bidi w:val="0"/>
              <w:spacing w:after="0" w:afterAutospacing="0" w:line="460" w:lineRule="exact"/>
              <w:ind w:left="0"/>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无声止回阀</w:t>
            </w:r>
          </w:p>
        </w:tc>
        <w:tc>
          <w:tcPr>
            <w:tcW w:w="2580" w:type="dxa"/>
            <w:tcBorders>
              <w:top w:val="single" w:color="auto" w:sz="4" w:space="0"/>
              <w:left w:val="single" w:color="auto" w:sz="4" w:space="0"/>
              <w:bottom w:val="single" w:color="auto" w:sz="4" w:space="0"/>
              <w:right w:val="single" w:color="auto" w:sz="4" w:space="0"/>
            </w:tcBorders>
            <w:vAlign w:val="center"/>
          </w:tcPr>
          <w:p w14:paraId="331E5D5E">
            <w:pPr>
              <w:pStyle w:val="63"/>
              <w:pageBreakBefore w:val="0"/>
              <w:kinsoku/>
              <w:wordWrap/>
              <w:overflowPunct/>
              <w:topLinePunct w:val="0"/>
              <w:bidi w:val="0"/>
              <w:spacing w:after="0" w:afterAutospacing="0" w:line="460" w:lineRule="exact"/>
              <w:ind w:left="0"/>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50及以下</w:t>
            </w:r>
          </w:p>
        </w:tc>
        <w:tc>
          <w:tcPr>
            <w:tcW w:w="2123" w:type="dxa"/>
            <w:tcBorders>
              <w:top w:val="single" w:color="auto" w:sz="4" w:space="0"/>
              <w:left w:val="single" w:color="auto" w:sz="4" w:space="0"/>
              <w:bottom w:val="single" w:color="auto" w:sz="4" w:space="0"/>
              <w:right w:val="single" w:color="auto" w:sz="4" w:space="0"/>
            </w:tcBorders>
            <w:vAlign w:val="center"/>
          </w:tcPr>
          <w:p w14:paraId="2EF0B2C5">
            <w:pPr>
              <w:pStyle w:val="63"/>
              <w:pageBreakBefore w:val="0"/>
              <w:kinsoku/>
              <w:wordWrap/>
              <w:overflowPunct/>
              <w:topLinePunct w:val="0"/>
              <w:bidi w:val="0"/>
              <w:spacing w:after="0" w:afterAutospacing="0" w:line="460" w:lineRule="exact"/>
              <w:ind w:left="0"/>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CPVC</w:t>
            </w:r>
          </w:p>
        </w:tc>
        <w:tc>
          <w:tcPr>
            <w:tcW w:w="2280" w:type="dxa"/>
            <w:tcBorders>
              <w:top w:val="single" w:color="auto" w:sz="4" w:space="0"/>
              <w:left w:val="single" w:color="auto" w:sz="4" w:space="0"/>
              <w:bottom w:val="single" w:color="auto" w:sz="4" w:space="0"/>
              <w:right w:val="single" w:color="auto" w:sz="4" w:space="0"/>
            </w:tcBorders>
            <w:vAlign w:val="center"/>
          </w:tcPr>
          <w:p w14:paraId="6306FE50">
            <w:pPr>
              <w:pStyle w:val="63"/>
              <w:pageBreakBefore w:val="0"/>
              <w:kinsoku/>
              <w:wordWrap/>
              <w:overflowPunct/>
              <w:topLinePunct w:val="0"/>
              <w:bidi w:val="0"/>
              <w:spacing w:after="0" w:afterAutospacing="0" w:line="460" w:lineRule="exact"/>
              <w:ind w:left="0"/>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CPVC</w:t>
            </w:r>
          </w:p>
        </w:tc>
      </w:tr>
      <w:tr w14:paraId="2A333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4" w:hRule="atLeast"/>
        </w:trPr>
        <w:tc>
          <w:tcPr>
            <w:tcW w:w="2377" w:type="dxa"/>
            <w:tcBorders>
              <w:top w:val="single" w:color="auto" w:sz="4" w:space="0"/>
              <w:left w:val="single" w:color="auto" w:sz="4" w:space="0"/>
              <w:bottom w:val="single" w:color="auto" w:sz="4" w:space="0"/>
              <w:right w:val="single" w:color="auto" w:sz="4" w:space="0"/>
            </w:tcBorders>
            <w:vAlign w:val="center"/>
          </w:tcPr>
          <w:p w14:paraId="142F7FB7">
            <w:pPr>
              <w:pStyle w:val="63"/>
              <w:pageBreakBefore w:val="0"/>
              <w:kinsoku/>
              <w:wordWrap/>
              <w:overflowPunct/>
              <w:topLinePunct w:val="0"/>
              <w:bidi w:val="0"/>
              <w:spacing w:after="0" w:afterAutospacing="0" w:line="460" w:lineRule="exact"/>
              <w:ind w:left="0"/>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摆荡止回阀</w:t>
            </w:r>
          </w:p>
        </w:tc>
        <w:tc>
          <w:tcPr>
            <w:tcW w:w="2580" w:type="dxa"/>
            <w:tcBorders>
              <w:top w:val="single" w:color="auto" w:sz="4" w:space="0"/>
              <w:left w:val="single" w:color="auto" w:sz="4" w:space="0"/>
              <w:bottom w:val="single" w:color="auto" w:sz="4" w:space="0"/>
              <w:right w:val="single" w:color="auto" w:sz="4" w:space="0"/>
            </w:tcBorders>
            <w:vAlign w:val="center"/>
          </w:tcPr>
          <w:p w14:paraId="7D434C9E">
            <w:pPr>
              <w:pStyle w:val="63"/>
              <w:pageBreakBefore w:val="0"/>
              <w:kinsoku/>
              <w:wordWrap/>
              <w:overflowPunct/>
              <w:topLinePunct w:val="0"/>
              <w:bidi w:val="0"/>
              <w:spacing w:after="0" w:afterAutospacing="0" w:line="460" w:lineRule="exact"/>
              <w:ind w:left="0"/>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65及以上</w:t>
            </w:r>
          </w:p>
        </w:tc>
        <w:tc>
          <w:tcPr>
            <w:tcW w:w="2123" w:type="dxa"/>
            <w:tcBorders>
              <w:top w:val="single" w:color="auto" w:sz="4" w:space="0"/>
              <w:left w:val="single" w:color="auto" w:sz="4" w:space="0"/>
              <w:bottom w:val="single" w:color="auto" w:sz="4" w:space="0"/>
              <w:right w:val="single" w:color="auto" w:sz="4" w:space="0"/>
            </w:tcBorders>
            <w:vAlign w:val="center"/>
          </w:tcPr>
          <w:p w14:paraId="19DF51FF">
            <w:pPr>
              <w:pStyle w:val="63"/>
              <w:pageBreakBefore w:val="0"/>
              <w:kinsoku/>
              <w:wordWrap/>
              <w:overflowPunct/>
              <w:topLinePunct w:val="0"/>
              <w:bidi w:val="0"/>
              <w:spacing w:after="0" w:afterAutospacing="0" w:line="460" w:lineRule="exact"/>
              <w:ind w:left="0"/>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CPVC</w:t>
            </w:r>
          </w:p>
        </w:tc>
        <w:tc>
          <w:tcPr>
            <w:tcW w:w="2280" w:type="dxa"/>
            <w:tcBorders>
              <w:top w:val="single" w:color="auto" w:sz="4" w:space="0"/>
              <w:left w:val="single" w:color="auto" w:sz="4" w:space="0"/>
              <w:bottom w:val="single" w:color="auto" w:sz="4" w:space="0"/>
              <w:right w:val="single" w:color="auto" w:sz="4" w:space="0"/>
            </w:tcBorders>
            <w:vAlign w:val="center"/>
          </w:tcPr>
          <w:p w14:paraId="27595C36">
            <w:pPr>
              <w:pStyle w:val="63"/>
              <w:pageBreakBefore w:val="0"/>
              <w:kinsoku/>
              <w:wordWrap/>
              <w:overflowPunct/>
              <w:topLinePunct w:val="0"/>
              <w:bidi w:val="0"/>
              <w:spacing w:after="0" w:afterAutospacing="0" w:line="460" w:lineRule="exact"/>
              <w:ind w:left="0"/>
              <w:jc w:val="center"/>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eastAsia="zh-CN"/>
              </w:rPr>
              <w:t>CPVC</w:t>
            </w:r>
          </w:p>
        </w:tc>
      </w:tr>
    </w:tbl>
    <w:p w14:paraId="0AA17C36">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color w:val="auto"/>
          <w:sz w:val="24"/>
          <w:szCs w:val="24"/>
          <w:highlight w:val="none"/>
        </w:rPr>
      </w:pPr>
      <w:bookmarkStart w:id="174" w:name="_Toc28934"/>
      <w:bookmarkStart w:id="175" w:name="_Toc17682"/>
      <w:bookmarkStart w:id="176" w:name="_Toc22168"/>
      <w:bookmarkStart w:id="177" w:name="_Toc28792"/>
      <w:r>
        <w:rPr>
          <w:rFonts w:hint="eastAsia" w:eastAsia="宋体" w:cs="宋体" w:asciiTheme="minorEastAsia" w:hAnsiTheme="minorEastAsia"/>
          <w:b/>
          <w:color w:val="auto"/>
          <w:kern w:val="2"/>
          <w:sz w:val="24"/>
          <w:szCs w:val="24"/>
          <w:lang w:val="en-US" w:eastAsia="zh-CN" w:bidi="ar-SA"/>
        </w:rPr>
        <w:t>1.12.5.</w:t>
      </w:r>
      <w:r>
        <w:rPr>
          <w:rFonts w:hint="eastAsia" w:ascii="宋体" w:hAnsi="宋体" w:eastAsia="宋体" w:cs="宋体"/>
          <w:b/>
          <w:color w:val="auto"/>
          <w:sz w:val="24"/>
          <w:szCs w:val="24"/>
          <w:highlight w:val="none"/>
        </w:rPr>
        <w:t>施工</w:t>
      </w:r>
      <w:bookmarkEnd w:id="174"/>
      <w:bookmarkEnd w:id="175"/>
      <w:bookmarkEnd w:id="176"/>
      <w:bookmarkEnd w:id="177"/>
    </w:p>
    <w:p w14:paraId="7026E4F4">
      <w:pPr>
        <w:pStyle w:val="34"/>
        <w:pageBreakBefore w:val="0"/>
        <w:numPr>
          <w:ilvl w:val="3"/>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bookmarkStart w:id="178" w:name="_Toc16551"/>
      <w:bookmarkStart w:id="179" w:name="_Toc9923"/>
      <w:bookmarkStart w:id="180" w:name="_Toc13964"/>
      <w:bookmarkStart w:id="181" w:name="_Toc17916"/>
      <w:r>
        <w:rPr>
          <w:rFonts w:hint="eastAsia" w:eastAsia="宋体" w:cs="宋体" w:asciiTheme="minorEastAsia" w:hAnsiTheme="minorEastAsia"/>
          <w:b/>
          <w:color w:val="auto"/>
          <w:kern w:val="2"/>
          <w:sz w:val="24"/>
          <w:szCs w:val="24"/>
          <w:lang w:val="en-US" w:eastAsia="zh-CN" w:bidi="ar-SA"/>
        </w:rPr>
        <w:t>1.12.5.1.</w:t>
      </w:r>
      <w:r>
        <w:rPr>
          <w:rFonts w:hint="eastAsia" w:ascii="宋体" w:hAnsi="宋体" w:eastAsia="宋体" w:cs="宋体"/>
          <w:b/>
          <w:color w:val="auto"/>
          <w:sz w:val="24"/>
          <w:szCs w:val="24"/>
          <w:highlight w:val="none"/>
        </w:rPr>
        <w:t xml:space="preserve"> 说明</w:t>
      </w:r>
      <w:bookmarkEnd w:id="178"/>
      <w:bookmarkEnd w:id="179"/>
      <w:bookmarkEnd w:id="180"/>
      <w:bookmarkEnd w:id="181"/>
    </w:p>
    <w:p w14:paraId="1F2A4D78">
      <w:pPr>
        <w:pageBreakBefore w:val="0"/>
        <w:numPr>
          <w:ilvl w:val="0"/>
          <w:numId w:val="34"/>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按图纸所示或规格说明书要求，提供阀门并排列以达致整个系统的控制。安装位置须方便操作及易于维修。</w:t>
      </w:r>
    </w:p>
    <w:p w14:paraId="34EAAC91">
      <w:pPr>
        <w:pStyle w:val="34"/>
        <w:pageBreakBefore w:val="0"/>
        <w:numPr>
          <w:ilvl w:val="3"/>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bookmarkStart w:id="182" w:name="_Toc1807"/>
      <w:bookmarkStart w:id="183" w:name="_Toc23556"/>
      <w:bookmarkStart w:id="184" w:name="_Toc30464"/>
      <w:bookmarkStart w:id="185" w:name="_Toc30773"/>
      <w:r>
        <w:rPr>
          <w:rFonts w:hint="eastAsia" w:eastAsia="宋体" w:cs="宋体" w:asciiTheme="minorEastAsia" w:hAnsiTheme="minorEastAsia"/>
          <w:b/>
          <w:color w:val="auto"/>
          <w:kern w:val="2"/>
          <w:sz w:val="24"/>
          <w:szCs w:val="24"/>
          <w:lang w:val="en-US" w:eastAsia="zh-CN" w:bidi="ar-SA"/>
        </w:rPr>
        <w:t>1.12.5.2.</w:t>
      </w:r>
      <w:r>
        <w:rPr>
          <w:rFonts w:hint="eastAsia" w:ascii="宋体" w:hAnsi="宋体" w:eastAsia="宋体" w:cs="宋体"/>
          <w:b/>
          <w:color w:val="auto"/>
          <w:sz w:val="24"/>
          <w:szCs w:val="24"/>
          <w:highlight w:val="none"/>
        </w:rPr>
        <w:t>管道吊架和支架安装</w:t>
      </w:r>
      <w:bookmarkEnd w:id="182"/>
      <w:bookmarkEnd w:id="183"/>
      <w:bookmarkEnd w:id="184"/>
      <w:bookmarkEnd w:id="185"/>
    </w:p>
    <w:p w14:paraId="29EB0474">
      <w:pPr>
        <w:pageBreakBefore w:val="0"/>
        <w:numPr>
          <w:ilvl w:val="0"/>
          <w:numId w:val="35"/>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安装使阀杆向上或水平，但不可向下。</w:t>
      </w:r>
    </w:p>
    <w:p w14:paraId="38169E72">
      <w:pPr>
        <w:pageBreakBefore w:val="0"/>
        <w:numPr>
          <w:ilvl w:val="0"/>
          <w:numId w:val="35"/>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安装闸阀及蝶阀作为关闭和隔离系统，使隔离设备系统一部分或垂直立管等。</w:t>
      </w:r>
    </w:p>
    <w:p w14:paraId="56C9601E">
      <w:pPr>
        <w:pageBreakBefore w:val="0"/>
        <w:numPr>
          <w:ilvl w:val="0"/>
          <w:numId w:val="35"/>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安装球阀作为节流或调控和水表旁通管。</w:t>
      </w:r>
    </w:p>
    <w:p w14:paraId="06793D89">
      <w:pPr>
        <w:pageBreakBefore w:val="0"/>
        <w:numPr>
          <w:ilvl w:val="0"/>
          <w:numId w:val="35"/>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安装排放阀于主要蝶阀及管道设备等的低位。</w:t>
      </w:r>
    </w:p>
    <w:p w14:paraId="743A740D">
      <w:pPr>
        <w:pageBreakBefore w:val="0"/>
        <w:numPr>
          <w:ilvl w:val="0"/>
          <w:numId w:val="35"/>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排放阀须有螺纹接头接驳软管。</w:t>
      </w:r>
    </w:p>
    <w:p w14:paraId="01831B46">
      <w:pPr>
        <w:pageBreakBefore w:val="0"/>
        <w:numPr>
          <w:ilvl w:val="0"/>
          <w:numId w:val="35"/>
        </w:numPr>
        <w:tabs>
          <w:tab w:val="left" w:pos="900"/>
        </w:tabs>
        <w:kinsoku/>
        <w:wordWrap/>
        <w:overflowPunct/>
        <w:topLinePunct w:val="0"/>
        <w:autoSpaceDE w:val="0"/>
        <w:autoSpaceDN w:val="0"/>
        <w:bidi w:val="0"/>
        <w:adjustRightInd w:val="0"/>
        <w:spacing w:before="93" w:beforeLines="30" w:after="93" w:afterLines="30" w:line="460" w:lineRule="exact"/>
        <w:ind w:left="900" w:right="-23" w:hanging="360"/>
        <w:jc w:val="left"/>
        <w:textAlignment w:val="baseline"/>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安装弹簧止回阀于水泵排放管。</w:t>
      </w:r>
    </w:p>
    <w:p w14:paraId="2C29B8F1">
      <w:pPr>
        <w:pStyle w:val="34"/>
        <w:pageBreakBefore w:val="0"/>
        <w:numPr>
          <w:ilvl w:val="1"/>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bookmarkStart w:id="186" w:name="_Toc29418"/>
      <w:bookmarkStart w:id="187" w:name="_Toc16587"/>
      <w:bookmarkStart w:id="188" w:name="_Toc10978"/>
      <w:bookmarkStart w:id="189" w:name="_Toc1810"/>
      <w:r>
        <w:rPr>
          <w:rFonts w:hint="eastAsia" w:eastAsia="宋体" w:cs="宋体" w:asciiTheme="minorEastAsia" w:hAnsiTheme="minorEastAsia"/>
          <w:b/>
          <w:color w:val="auto"/>
          <w:kern w:val="2"/>
          <w:sz w:val="24"/>
          <w:szCs w:val="24"/>
          <w:lang w:val="en-US" w:eastAsia="zh-CN" w:bidi="ar-SA"/>
        </w:rPr>
        <w:t>1.13.</w:t>
      </w:r>
      <w:r>
        <w:rPr>
          <w:rFonts w:hint="eastAsia" w:ascii="宋体" w:hAnsi="宋体" w:eastAsia="宋体" w:cs="宋体"/>
          <w:b/>
          <w:color w:val="auto"/>
          <w:sz w:val="24"/>
          <w:szCs w:val="24"/>
          <w:highlight w:val="none"/>
        </w:rPr>
        <w:t>按摩池/泡池系统控制装置</w:t>
      </w:r>
      <w:bookmarkEnd w:id="186"/>
      <w:bookmarkEnd w:id="187"/>
      <w:bookmarkEnd w:id="188"/>
      <w:bookmarkEnd w:id="189"/>
    </w:p>
    <w:p w14:paraId="57A8B89C">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提供完整设备说明书及所有材料和设备，包括各系统、控制屏电路和控制示意图之施工图。</w:t>
      </w:r>
    </w:p>
    <w:p w14:paraId="7EBF2850">
      <w:pPr>
        <w:pageBreakBefore w:val="0"/>
        <w:kinsoku/>
        <w:wordWrap/>
        <w:overflowPunct/>
        <w:topLinePunct w:val="0"/>
        <w:autoSpaceDE w:val="0"/>
        <w:autoSpaceDN w:val="0"/>
        <w:bidi w:val="0"/>
        <w:adjustRightInd w:val="0"/>
        <w:spacing w:line="4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控制装置及程序</w:t>
      </w:r>
    </w:p>
    <w:p w14:paraId="067A77A2">
      <w:pPr>
        <w:pageBreakBefore w:val="0"/>
        <w:numPr>
          <w:ilvl w:val="0"/>
          <w:numId w:val="36"/>
        </w:numPr>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循环水泵</w:t>
      </w:r>
    </w:p>
    <w:p w14:paraId="234C2AFD">
      <w:pPr>
        <w:pageBreakBefore w:val="0"/>
        <w:kinsoku/>
        <w:wordWrap/>
        <w:overflowPunct/>
        <w:topLinePunct w:val="0"/>
        <w:autoSpaceDE w:val="0"/>
        <w:autoSpaceDN w:val="0"/>
        <w:bidi w:val="0"/>
        <w:adjustRightInd w:val="0"/>
        <w:spacing w:line="4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 每一个系统中应考虑水泵备用，而水泵则按照预设之可调校时间开关器而自动启、停及切换。</w:t>
      </w:r>
    </w:p>
    <w:p w14:paraId="3C19FB09">
      <w:pPr>
        <w:pageBreakBefore w:val="0"/>
        <w:kinsoku/>
        <w:wordWrap/>
        <w:overflowPunct/>
        <w:topLinePunct w:val="0"/>
        <w:autoSpaceDE w:val="0"/>
        <w:autoSpaceDN w:val="0"/>
        <w:bidi w:val="0"/>
        <w:adjustRightInd w:val="0"/>
        <w:spacing w:line="4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C. 时间开关器之开关时间可任意调校及可挑选两个或以上之开关次数。</w:t>
      </w:r>
    </w:p>
    <w:p w14:paraId="4BC05AEA">
      <w:pPr>
        <w:pageBreakBefore w:val="0"/>
        <w:kinsoku/>
        <w:wordWrap/>
        <w:overflowPunct/>
        <w:topLinePunct w:val="0"/>
        <w:autoSpaceDE w:val="0"/>
        <w:autoSpaceDN w:val="0"/>
        <w:bidi w:val="0"/>
        <w:adjustRightInd w:val="0"/>
        <w:spacing w:line="4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 系统应装有自动交替设备， 将工作与备用水泵交替。</w:t>
      </w:r>
    </w:p>
    <w:p w14:paraId="2D6CAA43">
      <w:pPr>
        <w:pageBreakBefore w:val="0"/>
        <w:kinsoku/>
        <w:wordWrap/>
        <w:overflowPunct/>
        <w:topLinePunct w:val="0"/>
        <w:autoSpaceDE w:val="0"/>
        <w:autoSpaceDN w:val="0"/>
        <w:bidi w:val="0"/>
        <w:adjustRightInd w:val="0"/>
        <w:spacing w:line="4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E. 自动交替设备应在工作水泵发生故障时， 自动转用备用水泵。</w:t>
      </w:r>
    </w:p>
    <w:p w14:paraId="3CCC8B5B">
      <w:pPr>
        <w:pageBreakBefore w:val="0"/>
        <w:kinsoku/>
        <w:wordWrap/>
        <w:overflowPunct/>
        <w:topLinePunct w:val="0"/>
        <w:autoSpaceDE w:val="0"/>
        <w:autoSpaceDN w:val="0"/>
        <w:bidi w:val="0"/>
        <w:adjustRightInd w:val="0"/>
        <w:spacing w:line="4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F. 系统内应装工作/备用和自动/手动/停止的选择按钮。</w:t>
      </w:r>
    </w:p>
    <w:p w14:paraId="0E0AF2AF">
      <w:pPr>
        <w:pageBreakBefore w:val="0"/>
        <w:numPr>
          <w:ilvl w:val="0"/>
          <w:numId w:val="36"/>
        </w:numPr>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按摩池/泡池温度、水质监测及控制</w:t>
      </w:r>
    </w:p>
    <w:p w14:paraId="550CE822">
      <w:pPr>
        <w:pageBreakBefore w:val="0"/>
        <w:kinsoku/>
        <w:wordWrap/>
        <w:overflowPunct/>
        <w:topLinePunct w:val="0"/>
        <w:autoSpaceDE w:val="0"/>
        <w:autoSpaceDN w:val="0"/>
        <w:bidi w:val="0"/>
        <w:adjustRightInd w:val="0"/>
        <w:spacing w:line="4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 按摩池/泡池内设置温度传感器进行监测，根据设定温度进行水温调节及热回收连锁控制；</w:t>
      </w:r>
    </w:p>
    <w:p w14:paraId="6B3241E8">
      <w:pPr>
        <w:pageBreakBefore w:val="0"/>
        <w:kinsoku/>
        <w:wordWrap/>
        <w:overflowPunct/>
        <w:topLinePunct w:val="0"/>
        <w:autoSpaceDE w:val="0"/>
        <w:autoSpaceDN w:val="0"/>
        <w:bidi w:val="0"/>
        <w:adjustRightInd w:val="0"/>
        <w:spacing w:line="4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B. 水质监测采用循环分流式取样监测， 即通过取自硅藻土过滤器的按摩池/泡池回水流入取样管并流入传感器室，传感器室装有PH 传感器、余氯传感器，同时取样水经取样回水管回至水泵前端。</w:t>
      </w:r>
    </w:p>
    <w:p w14:paraId="02174E28">
      <w:pPr>
        <w:pageBreakBefore w:val="0"/>
        <w:kinsoku/>
        <w:wordWrap/>
        <w:overflowPunct/>
        <w:topLinePunct w:val="0"/>
        <w:autoSpaceDE w:val="0"/>
        <w:autoSpaceDN w:val="0"/>
        <w:bidi w:val="0"/>
        <w:adjustRightInd w:val="0"/>
        <w:spacing w:line="4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C. 水质传感器由电极及变送器组成，变送器将水质情况变为标准0-10V 或4-20mA 电流信号送至PLC 仿真量采集板，进行数模转换。</w:t>
      </w:r>
    </w:p>
    <w:p w14:paraId="531E0529">
      <w:pPr>
        <w:pageBreakBefore w:val="0"/>
        <w:numPr>
          <w:ilvl w:val="0"/>
          <w:numId w:val="36"/>
        </w:numPr>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与楼宇中央管理系统的连接</w:t>
      </w:r>
    </w:p>
    <w:p w14:paraId="41B8CB51">
      <w:pPr>
        <w:pageBreakBefore w:val="0"/>
        <w:kinsoku/>
        <w:wordWrap/>
        <w:overflowPunct/>
        <w:topLinePunct w:val="0"/>
        <w:autoSpaceDE w:val="0"/>
        <w:autoSpaceDN w:val="0"/>
        <w:bidi w:val="0"/>
        <w:adjustRightInd w:val="0"/>
        <w:spacing w:line="4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按摩池/泡池控制系统应采用通用开放式协议，并可通过网关接口接入中央控制系统，使之能够对整个系统进行监控。</w:t>
      </w:r>
    </w:p>
    <w:p w14:paraId="695CAF9A">
      <w:pPr>
        <w:pageBreakBefore w:val="0"/>
        <w:kinsoku/>
        <w:wordWrap/>
        <w:overflowPunct/>
        <w:topLinePunct w:val="0"/>
        <w:bidi w:val="0"/>
        <w:spacing w:line="460" w:lineRule="exact"/>
        <w:rPr>
          <w:rFonts w:hint="eastAsia" w:ascii="宋体" w:hAnsi="宋体" w:eastAsia="宋体" w:cs="宋体"/>
          <w:color w:val="auto"/>
          <w:sz w:val="24"/>
          <w:szCs w:val="24"/>
          <w:highlight w:val="none"/>
        </w:rPr>
      </w:pPr>
    </w:p>
    <w:p w14:paraId="23C9843C">
      <w:pPr>
        <w:pStyle w:val="34"/>
        <w:pageBreakBefore w:val="0"/>
        <w:numPr>
          <w:ilvl w:val="1"/>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bCs/>
          <w:color w:val="auto"/>
          <w:sz w:val="24"/>
          <w:szCs w:val="24"/>
          <w:highlight w:val="none"/>
        </w:rPr>
      </w:pPr>
      <w:r>
        <w:rPr>
          <w:rFonts w:hint="eastAsia" w:eastAsia="宋体" w:cs="宋体" w:asciiTheme="minorEastAsia" w:hAnsiTheme="minorEastAsia"/>
          <w:b/>
          <w:bCs/>
          <w:color w:val="auto"/>
          <w:kern w:val="2"/>
          <w:sz w:val="24"/>
          <w:szCs w:val="24"/>
          <w:lang w:val="en-US" w:eastAsia="zh-CN" w:bidi="ar-SA"/>
        </w:rPr>
        <w:t>1.14.</w:t>
      </w:r>
      <w:r>
        <w:rPr>
          <w:rFonts w:hint="eastAsia" w:ascii="宋体" w:hAnsi="宋体" w:eastAsia="宋体" w:cs="宋体"/>
          <w:b/>
          <w:bCs/>
          <w:color w:val="auto"/>
          <w:sz w:val="24"/>
          <w:szCs w:val="24"/>
          <w:highlight w:val="none"/>
        </w:rPr>
        <w:t>技术规范规程及相关法律法规</w:t>
      </w:r>
    </w:p>
    <w:p w14:paraId="04E2AABF">
      <w:pPr>
        <w:pStyle w:val="34"/>
        <w:pageBreakBefore w:val="0"/>
        <w:kinsoku/>
        <w:wordWrap/>
        <w:overflowPunct/>
        <w:topLinePunct w:val="0"/>
        <w:bidi w:val="0"/>
        <w:spacing w:line="460" w:lineRule="exact"/>
        <w:ind w:left="425"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w:t>
      </w:r>
      <w:r>
        <w:rPr>
          <w:rFonts w:hint="eastAsia" w:ascii="宋体" w:hAnsi="宋体" w:cs="宋体"/>
          <w:color w:val="auto"/>
          <w:sz w:val="24"/>
          <w:szCs w:val="24"/>
          <w:highlight w:val="none"/>
          <w:lang w:eastAsia="zh-CN"/>
        </w:rPr>
        <w:t>项目</w:t>
      </w:r>
      <w:r>
        <w:rPr>
          <w:rFonts w:hint="eastAsia" w:ascii="宋体" w:hAnsi="宋体" w:eastAsia="宋体" w:cs="宋体"/>
          <w:color w:val="auto"/>
          <w:sz w:val="24"/>
          <w:szCs w:val="24"/>
          <w:highlight w:val="none"/>
        </w:rPr>
        <w:t>执行以下技术规范规程及相关法律法规</w:t>
      </w:r>
    </w:p>
    <w:tbl>
      <w:tblPr>
        <w:tblStyle w:val="25"/>
        <w:tblW w:w="0" w:type="auto"/>
        <w:tblInd w:w="441" w:type="dxa"/>
        <w:tblLayout w:type="fixed"/>
        <w:tblCellMar>
          <w:top w:w="0" w:type="dxa"/>
          <w:left w:w="108" w:type="dxa"/>
          <w:bottom w:w="0" w:type="dxa"/>
          <w:right w:w="108" w:type="dxa"/>
        </w:tblCellMar>
      </w:tblPr>
      <w:tblGrid>
        <w:gridCol w:w="6792"/>
        <w:gridCol w:w="2665"/>
      </w:tblGrid>
      <w:tr w14:paraId="712E04C4">
        <w:tblPrEx>
          <w:tblCellMar>
            <w:top w:w="0" w:type="dxa"/>
            <w:left w:w="108" w:type="dxa"/>
            <w:bottom w:w="0" w:type="dxa"/>
            <w:right w:w="108" w:type="dxa"/>
          </w:tblCellMar>
        </w:tblPrEx>
        <w:tc>
          <w:tcPr>
            <w:tcW w:w="6792" w:type="dxa"/>
            <w:tcBorders>
              <w:top w:val="single" w:color="auto" w:sz="4" w:space="0"/>
              <w:left w:val="single" w:color="auto" w:sz="4" w:space="0"/>
              <w:bottom w:val="single" w:color="auto" w:sz="4" w:space="0"/>
              <w:right w:val="single" w:color="auto" w:sz="4" w:space="0"/>
            </w:tcBorders>
            <w:shd w:val="clear" w:color="auto" w:fill="auto"/>
            <w:vAlign w:val="center"/>
          </w:tcPr>
          <w:p w14:paraId="06BD16AA">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《游泳池给水排水工程技术规程》</w:t>
            </w: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14:paraId="1F1B30DB">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CJJ122-2017</w:t>
            </w:r>
          </w:p>
        </w:tc>
      </w:tr>
      <w:tr w14:paraId="0A86D75C">
        <w:tblPrEx>
          <w:tblCellMar>
            <w:top w:w="0" w:type="dxa"/>
            <w:left w:w="108" w:type="dxa"/>
            <w:bottom w:w="0" w:type="dxa"/>
            <w:right w:w="108" w:type="dxa"/>
          </w:tblCellMar>
        </w:tblPrEx>
        <w:tc>
          <w:tcPr>
            <w:tcW w:w="6792" w:type="dxa"/>
            <w:tcBorders>
              <w:top w:val="single" w:color="auto" w:sz="4" w:space="0"/>
              <w:left w:val="single" w:color="auto" w:sz="4" w:space="0"/>
              <w:bottom w:val="single" w:color="auto" w:sz="4" w:space="0"/>
              <w:right w:val="single" w:color="auto" w:sz="4" w:space="0"/>
            </w:tcBorders>
            <w:shd w:val="clear" w:color="auto" w:fill="auto"/>
            <w:vAlign w:val="center"/>
          </w:tcPr>
          <w:p w14:paraId="0D79D0C9">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《建筑给水排水设计规范》</w:t>
            </w: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14:paraId="154B72FC">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GB50015-2019</w:t>
            </w:r>
          </w:p>
        </w:tc>
      </w:tr>
      <w:tr w14:paraId="0119E691">
        <w:tblPrEx>
          <w:tblCellMar>
            <w:top w:w="0" w:type="dxa"/>
            <w:left w:w="108" w:type="dxa"/>
            <w:bottom w:w="0" w:type="dxa"/>
            <w:right w:w="108" w:type="dxa"/>
          </w:tblCellMar>
        </w:tblPrEx>
        <w:tc>
          <w:tcPr>
            <w:tcW w:w="6792" w:type="dxa"/>
            <w:tcBorders>
              <w:top w:val="single" w:color="auto" w:sz="4" w:space="0"/>
              <w:left w:val="single" w:color="auto" w:sz="4" w:space="0"/>
              <w:bottom w:val="single" w:color="auto" w:sz="4" w:space="0"/>
              <w:right w:val="single" w:color="auto" w:sz="4" w:space="0"/>
            </w:tcBorders>
            <w:shd w:val="clear" w:color="auto" w:fill="auto"/>
            <w:vAlign w:val="center"/>
          </w:tcPr>
          <w:p w14:paraId="7200A588">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《建筑设计防火规范》</w:t>
            </w: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14:paraId="1DDB4CB1">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GB50016-2014</w:t>
            </w:r>
          </w:p>
        </w:tc>
      </w:tr>
      <w:tr w14:paraId="747D195E">
        <w:tblPrEx>
          <w:tblCellMar>
            <w:top w:w="0" w:type="dxa"/>
            <w:left w:w="108" w:type="dxa"/>
            <w:bottom w:w="0" w:type="dxa"/>
            <w:right w:w="108" w:type="dxa"/>
          </w:tblCellMar>
        </w:tblPrEx>
        <w:tc>
          <w:tcPr>
            <w:tcW w:w="6792" w:type="dxa"/>
            <w:tcBorders>
              <w:top w:val="single" w:color="auto" w:sz="4" w:space="0"/>
              <w:left w:val="single" w:color="auto" w:sz="4" w:space="0"/>
              <w:bottom w:val="single" w:color="auto" w:sz="4" w:space="0"/>
              <w:right w:val="single" w:color="auto" w:sz="4" w:space="0"/>
            </w:tcBorders>
            <w:shd w:val="clear" w:color="auto" w:fill="auto"/>
            <w:vAlign w:val="center"/>
          </w:tcPr>
          <w:p w14:paraId="59AEE7FF">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《公共场所卫生指标及限值要求》</w:t>
            </w: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14:paraId="2606F8A2">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37488-2019</w:t>
            </w:r>
          </w:p>
        </w:tc>
      </w:tr>
      <w:tr w14:paraId="1431AA61">
        <w:tblPrEx>
          <w:tblCellMar>
            <w:top w:w="0" w:type="dxa"/>
            <w:left w:w="108" w:type="dxa"/>
            <w:bottom w:w="0" w:type="dxa"/>
            <w:right w:w="108" w:type="dxa"/>
          </w:tblCellMar>
        </w:tblPrEx>
        <w:tc>
          <w:tcPr>
            <w:tcW w:w="6792" w:type="dxa"/>
            <w:tcBorders>
              <w:top w:val="single" w:color="auto" w:sz="4" w:space="0"/>
              <w:left w:val="single" w:color="auto" w:sz="4" w:space="0"/>
              <w:bottom w:val="single" w:color="auto" w:sz="4" w:space="0"/>
              <w:right w:val="single" w:color="auto" w:sz="4" w:space="0"/>
            </w:tcBorders>
            <w:shd w:val="clear" w:color="auto" w:fill="auto"/>
            <w:vAlign w:val="center"/>
          </w:tcPr>
          <w:p w14:paraId="7E432607">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《体育建筑设计规范》</w:t>
            </w: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14:paraId="7116D68C">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JGJ31-2003</w:t>
            </w:r>
          </w:p>
        </w:tc>
      </w:tr>
      <w:tr w14:paraId="43C35B10">
        <w:tblPrEx>
          <w:tblCellMar>
            <w:top w:w="0" w:type="dxa"/>
            <w:left w:w="108" w:type="dxa"/>
            <w:bottom w:w="0" w:type="dxa"/>
            <w:right w:w="108" w:type="dxa"/>
          </w:tblCellMar>
        </w:tblPrEx>
        <w:tc>
          <w:tcPr>
            <w:tcW w:w="6792" w:type="dxa"/>
            <w:tcBorders>
              <w:top w:val="single" w:color="auto" w:sz="4" w:space="0"/>
              <w:left w:val="single" w:color="auto" w:sz="4" w:space="0"/>
              <w:bottom w:val="single" w:color="auto" w:sz="4" w:space="0"/>
              <w:right w:val="single" w:color="auto" w:sz="4" w:space="0"/>
            </w:tcBorders>
            <w:shd w:val="clear" w:color="auto" w:fill="auto"/>
            <w:vAlign w:val="center"/>
          </w:tcPr>
          <w:p w14:paraId="506205E8">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《室外给水设计规范》</w:t>
            </w: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14:paraId="5B8977BC">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GB50013-2018</w:t>
            </w:r>
          </w:p>
        </w:tc>
      </w:tr>
      <w:tr w14:paraId="7CDE3F70">
        <w:tblPrEx>
          <w:tblCellMar>
            <w:top w:w="0" w:type="dxa"/>
            <w:left w:w="108" w:type="dxa"/>
            <w:bottom w:w="0" w:type="dxa"/>
            <w:right w:w="108" w:type="dxa"/>
          </w:tblCellMar>
        </w:tblPrEx>
        <w:tc>
          <w:tcPr>
            <w:tcW w:w="6792" w:type="dxa"/>
            <w:tcBorders>
              <w:top w:val="single" w:color="auto" w:sz="4" w:space="0"/>
              <w:left w:val="single" w:color="auto" w:sz="4" w:space="0"/>
              <w:bottom w:val="single" w:color="auto" w:sz="4" w:space="0"/>
              <w:right w:val="single" w:color="auto" w:sz="4" w:space="0"/>
            </w:tcBorders>
            <w:shd w:val="clear" w:color="auto" w:fill="auto"/>
            <w:vAlign w:val="center"/>
          </w:tcPr>
          <w:p w14:paraId="388940A4">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《游泳池及水疗池用循环泵》</w:t>
            </w: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14:paraId="0481A687">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CJ/T 534-2018</w:t>
            </w:r>
          </w:p>
        </w:tc>
      </w:tr>
      <w:tr w14:paraId="040E6A0E">
        <w:tblPrEx>
          <w:tblCellMar>
            <w:top w:w="0" w:type="dxa"/>
            <w:left w:w="108" w:type="dxa"/>
            <w:bottom w:w="0" w:type="dxa"/>
            <w:right w:w="108" w:type="dxa"/>
          </w:tblCellMar>
        </w:tblPrEx>
        <w:tc>
          <w:tcPr>
            <w:tcW w:w="6792" w:type="dxa"/>
            <w:tcBorders>
              <w:top w:val="single" w:color="auto" w:sz="4" w:space="0"/>
              <w:left w:val="single" w:color="auto" w:sz="4" w:space="0"/>
              <w:bottom w:val="single" w:color="auto" w:sz="4" w:space="0"/>
              <w:right w:val="single" w:color="auto" w:sz="4" w:space="0"/>
            </w:tcBorders>
            <w:shd w:val="clear" w:color="auto" w:fill="auto"/>
            <w:vAlign w:val="center"/>
          </w:tcPr>
          <w:p w14:paraId="7534A6F1">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《化工自控设计规定》</w:t>
            </w: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14:paraId="7FF5641B">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HG/T 20505-2014</w:t>
            </w:r>
          </w:p>
        </w:tc>
      </w:tr>
      <w:tr w14:paraId="1428D8B9">
        <w:tblPrEx>
          <w:tblCellMar>
            <w:top w:w="0" w:type="dxa"/>
            <w:left w:w="108" w:type="dxa"/>
            <w:bottom w:w="0" w:type="dxa"/>
            <w:right w:w="108" w:type="dxa"/>
          </w:tblCellMar>
        </w:tblPrEx>
        <w:tc>
          <w:tcPr>
            <w:tcW w:w="6792" w:type="dxa"/>
            <w:tcBorders>
              <w:top w:val="single" w:color="auto" w:sz="4" w:space="0"/>
              <w:left w:val="single" w:color="auto" w:sz="4" w:space="0"/>
              <w:bottom w:val="single" w:color="auto" w:sz="4" w:space="0"/>
              <w:right w:val="single" w:color="auto" w:sz="4" w:space="0"/>
            </w:tcBorders>
            <w:shd w:val="clear" w:color="auto" w:fill="auto"/>
            <w:vAlign w:val="center"/>
          </w:tcPr>
          <w:p w14:paraId="38075382">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《民用建筑电气设计规范》</w:t>
            </w: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14:paraId="0C1B7374">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51348-2019</w:t>
            </w:r>
          </w:p>
        </w:tc>
      </w:tr>
      <w:tr w14:paraId="3A0EB038">
        <w:tblPrEx>
          <w:tblCellMar>
            <w:top w:w="0" w:type="dxa"/>
            <w:left w:w="108" w:type="dxa"/>
            <w:bottom w:w="0" w:type="dxa"/>
            <w:right w:w="108" w:type="dxa"/>
          </w:tblCellMar>
        </w:tblPrEx>
        <w:tc>
          <w:tcPr>
            <w:tcW w:w="6792" w:type="dxa"/>
            <w:tcBorders>
              <w:top w:val="single" w:color="auto" w:sz="4" w:space="0"/>
              <w:left w:val="single" w:color="auto" w:sz="4" w:space="0"/>
              <w:bottom w:val="single" w:color="auto" w:sz="4" w:space="0"/>
              <w:right w:val="single" w:color="auto" w:sz="4" w:space="0"/>
            </w:tcBorders>
            <w:shd w:val="clear" w:color="auto" w:fill="auto"/>
            <w:vAlign w:val="center"/>
          </w:tcPr>
          <w:p w14:paraId="7E0EF1CB">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《建筑电气制图标准》</w:t>
            </w: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14:paraId="1E5EE89E">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50786-2012</w:t>
            </w:r>
          </w:p>
        </w:tc>
      </w:tr>
      <w:tr w14:paraId="603C3BD8">
        <w:tblPrEx>
          <w:tblCellMar>
            <w:top w:w="0" w:type="dxa"/>
            <w:left w:w="108" w:type="dxa"/>
            <w:bottom w:w="0" w:type="dxa"/>
            <w:right w:w="108" w:type="dxa"/>
          </w:tblCellMar>
        </w:tblPrEx>
        <w:tc>
          <w:tcPr>
            <w:tcW w:w="6792" w:type="dxa"/>
            <w:tcBorders>
              <w:top w:val="single" w:color="auto" w:sz="4" w:space="0"/>
              <w:left w:val="single" w:color="auto" w:sz="4" w:space="0"/>
              <w:bottom w:val="single" w:color="auto" w:sz="4" w:space="0"/>
              <w:right w:val="single" w:color="auto" w:sz="4" w:space="0"/>
            </w:tcBorders>
            <w:shd w:val="clear" w:color="auto" w:fill="auto"/>
            <w:vAlign w:val="center"/>
          </w:tcPr>
          <w:p w14:paraId="608B1E5F">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《建筑电气工程施工质量验收规范》</w:t>
            </w: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14:paraId="54190E08">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50303-2015</w:t>
            </w:r>
          </w:p>
        </w:tc>
      </w:tr>
      <w:tr w14:paraId="1AC91543">
        <w:tblPrEx>
          <w:tblCellMar>
            <w:top w:w="0" w:type="dxa"/>
            <w:left w:w="108" w:type="dxa"/>
            <w:bottom w:w="0" w:type="dxa"/>
            <w:right w:w="108" w:type="dxa"/>
          </w:tblCellMar>
        </w:tblPrEx>
        <w:tc>
          <w:tcPr>
            <w:tcW w:w="6792" w:type="dxa"/>
            <w:tcBorders>
              <w:top w:val="single" w:color="auto" w:sz="4" w:space="0"/>
              <w:left w:val="single" w:color="auto" w:sz="4" w:space="0"/>
              <w:bottom w:val="single" w:color="auto" w:sz="4" w:space="0"/>
              <w:right w:val="single" w:color="auto" w:sz="4" w:space="0"/>
            </w:tcBorders>
            <w:shd w:val="clear" w:color="auto" w:fill="auto"/>
            <w:vAlign w:val="center"/>
          </w:tcPr>
          <w:p w14:paraId="01D0BFBD">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《给水、排水管道工程施工及验收规范》</w:t>
            </w: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14:paraId="40586936">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50268-2008</w:t>
            </w:r>
          </w:p>
        </w:tc>
      </w:tr>
      <w:tr w14:paraId="7DC10D12">
        <w:tblPrEx>
          <w:tblCellMar>
            <w:top w:w="0" w:type="dxa"/>
            <w:left w:w="108" w:type="dxa"/>
            <w:bottom w:w="0" w:type="dxa"/>
            <w:right w:w="108" w:type="dxa"/>
          </w:tblCellMar>
        </w:tblPrEx>
        <w:tc>
          <w:tcPr>
            <w:tcW w:w="6792" w:type="dxa"/>
            <w:tcBorders>
              <w:top w:val="single" w:color="auto" w:sz="4" w:space="0"/>
              <w:left w:val="single" w:color="auto" w:sz="4" w:space="0"/>
              <w:bottom w:val="single" w:color="auto" w:sz="4" w:space="0"/>
              <w:right w:val="single" w:color="auto" w:sz="4" w:space="0"/>
            </w:tcBorders>
            <w:shd w:val="clear" w:color="auto" w:fill="auto"/>
            <w:vAlign w:val="center"/>
          </w:tcPr>
          <w:p w14:paraId="2F417140">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《游泳池水质标准》</w:t>
            </w: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14:paraId="7CA269C8">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GJ/T 244-2016</w:t>
            </w:r>
          </w:p>
        </w:tc>
      </w:tr>
      <w:tr w14:paraId="221DCD51">
        <w:tblPrEx>
          <w:tblCellMar>
            <w:top w:w="0" w:type="dxa"/>
            <w:left w:w="108" w:type="dxa"/>
            <w:bottom w:w="0" w:type="dxa"/>
            <w:right w:w="108" w:type="dxa"/>
          </w:tblCellMar>
        </w:tblPrEx>
        <w:tc>
          <w:tcPr>
            <w:tcW w:w="6792" w:type="dxa"/>
            <w:tcBorders>
              <w:top w:val="single" w:color="auto" w:sz="4" w:space="0"/>
              <w:left w:val="single" w:color="auto" w:sz="4" w:space="0"/>
              <w:bottom w:val="single" w:color="auto" w:sz="4" w:space="0"/>
              <w:right w:val="single" w:color="auto" w:sz="4" w:space="0"/>
            </w:tcBorders>
            <w:shd w:val="clear" w:color="auto" w:fill="auto"/>
            <w:vAlign w:val="center"/>
          </w:tcPr>
          <w:p w14:paraId="721F6FA3">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《低压电气装置第7-702部分：特殊装置或场所的要求游泳池和喷泉》</w:t>
            </w: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14:paraId="3B0AA30C">
            <w:pPr>
              <w:pageBreakBefore w:val="0"/>
              <w:kinsoku/>
              <w:wordWrap/>
              <w:overflowPunct/>
              <w:topLinePunct w:val="0"/>
              <w:bidi w:val="0"/>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GB/T16895.19-2017</w:t>
            </w:r>
          </w:p>
        </w:tc>
      </w:tr>
    </w:tbl>
    <w:p w14:paraId="6C5A5A9D">
      <w:pPr>
        <w:pageBreakBefore w:val="0"/>
        <w:kinsoku/>
        <w:wordWrap/>
        <w:overflowPunct/>
        <w:topLinePunct w:val="0"/>
        <w:bidi w:val="0"/>
        <w:spacing w:line="460" w:lineRule="exact"/>
        <w:rPr>
          <w:rFonts w:hint="eastAsia" w:ascii="宋体" w:hAnsi="宋体" w:eastAsia="宋体" w:cs="宋体"/>
          <w:color w:val="auto"/>
          <w:sz w:val="24"/>
          <w:szCs w:val="24"/>
          <w:highlight w:val="none"/>
        </w:rPr>
      </w:pPr>
    </w:p>
    <w:p w14:paraId="61533018">
      <w:pPr>
        <w:pStyle w:val="34"/>
        <w:pageBreakBefore w:val="0"/>
        <w:numPr>
          <w:ilvl w:val="1"/>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r>
        <w:rPr>
          <w:rFonts w:hint="eastAsia" w:eastAsia="宋体" w:cs="宋体" w:asciiTheme="minorEastAsia" w:hAnsiTheme="minorEastAsia"/>
          <w:b/>
          <w:color w:val="auto"/>
          <w:kern w:val="2"/>
          <w:sz w:val="24"/>
          <w:szCs w:val="24"/>
          <w:lang w:val="en-US" w:eastAsia="zh-CN" w:bidi="ar-SA"/>
        </w:rPr>
        <w:t>1.15.</w:t>
      </w:r>
      <w:r>
        <w:rPr>
          <w:rFonts w:hint="eastAsia" w:ascii="宋体" w:hAnsi="宋体" w:eastAsia="宋体" w:cs="宋体"/>
          <w:b/>
          <w:color w:val="auto"/>
          <w:sz w:val="24"/>
          <w:szCs w:val="24"/>
          <w:highlight w:val="none"/>
        </w:rPr>
        <w:t>其他规范和图集要求</w:t>
      </w:r>
      <w:bookmarkStart w:id="190" w:name="_现场管理要求"/>
      <w:bookmarkEnd w:id="190"/>
    </w:p>
    <w:p w14:paraId="4F68FAAF">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lang w:val="en-US" w:eastAsia="zh-CN" w:bidi="ar-SA"/>
        </w:rPr>
        <w:t>1)</w:t>
      </w:r>
      <w:r>
        <w:rPr>
          <w:rFonts w:hint="eastAsia" w:ascii="宋体" w:hAnsi="宋体" w:eastAsia="宋体" w:cs="宋体"/>
          <w:color w:val="auto"/>
          <w:sz w:val="24"/>
          <w:szCs w:val="24"/>
          <w:highlight w:val="none"/>
        </w:rPr>
        <w:t>详见施工图纸说明</w:t>
      </w:r>
    </w:p>
    <w:p w14:paraId="0965EFFB">
      <w:pPr>
        <w:pStyle w:val="34"/>
        <w:pageBreakBefore w:val="0"/>
        <w:numPr>
          <w:ilvl w:val="1"/>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r>
        <w:rPr>
          <w:rFonts w:hint="eastAsia" w:eastAsia="宋体" w:cs="宋体" w:asciiTheme="minorEastAsia" w:hAnsiTheme="minorEastAsia"/>
          <w:b/>
          <w:color w:val="auto"/>
          <w:kern w:val="2"/>
          <w:sz w:val="24"/>
          <w:szCs w:val="24"/>
          <w:lang w:val="en-US" w:eastAsia="zh-CN" w:bidi="ar-SA"/>
        </w:rPr>
        <w:t>1.16.</w:t>
      </w:r>
      <w:r>
        <w:rPr>
          <w:rFonts w:hint="eastAsia" w:ascii="宋体" w:hAnsi="宋体" w:eastAsia="宋体" w:cs="宋体"/>
          <w:b/>
          <w:color w:val="auto"/>
          <w:sz w:val="24"/>
          <w:szCs w:val="24"/>
          <w:highlight w:val="none"/>
        </w:rPr>
        <w:t>特别说明</w:t>
      </w:r>
    </w:p>
    <w:p w14:paraId="26B432F2">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有关招标项目所采用的其他国家、行业和地方工程建设标准详见招标文件《专用合同条款》“招标项目专用经济技术要求”中的规定。</w:t>
      </w:r>
    </w:p>
    <w:p w14:paraId="6A1341AF">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rPr>
        <w:t>约定的其他标准文件和内容：</w:t>
      </w:r>
    </w:p>
    <w:p w14:paraId="44A8DF44">
      <w:pPr>
        <w:pStyle w:val="34"/>
        <w:pageBreakBefore w:val="0"/>
        <w:numPr>
          <w:ilvl w:val="1"/>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r>
        <w:rPr>
          <w:rFonts w:hint="eastAsia" w:eastAsia="宋体" w:cs="宋体" w:asciiTheme="minorEastAsia" w:hAnsiTheme="minorEastAsia"/>
          <w:b/>
          <w:color w:val="auto"/>
          <w:kern w:val="2"/>
          <w:sz w:val="24"/>
          <w:szCs w:val="24"/>
          <w:lang w:val="en-US" w:eastAsia="zh-CN" w:bidi="ar-SA"/>
        </w:rPr>
        <w:t>1.17.</w:t>
      </w:r>
      <w:r>
        <w:rPr>
          <w:rFonts w:hint="eastAsia" w:ascii="宋体" w:hAnsi="宋体" w:eastAsia="宋体" w:cs="宋体"/>
          <w:b/>
          <w:color w:val="auto"/>
          <w:sz w:val="24"/>
          <w:szCs w:val="24"/>
          <w:highlight w:val="none"/>
        </w:rPr>
        <w:t>质量标准和要求</w:t>
      </w:r>
    </w:p>
    <w:p w14:paraId="1D8A09F3">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bCs/>
          <w:color w:val="auto"/>
          <w:sz w:val="24"/>
          <w:szCs w:val="28"/>
          <w:highlight w:val="none"/>
        </w:rPr>
      </w:pPr>
      <w:r>
        <w:rPr>
          <w:rFonts w:hint="eastAsia" w:eastAsia="宋体" w:cs="宋体" w:asciiTheme="minorEastAsia" w:hAnsiTheme="minorEastAsia"/>
          <w:b/>
          <w:bCs/>
          <w:color w:val="auto"/>
          <w:kern w:val="2"/>
          <w:sz w:val="24"/>
          <w:szCs w:val="28"/>
          <w:lang w:val="en-US" w:eastAsia="zh-CN" w:bidi="ar-SA"/>
        </w:rPr>
        <w:t>1.17.1.</w:t>
      </w:r>
      <w:r>
        <w:rPr>
          <w:rFonts w:hint="eastAsia" w:ascii="宋体" w:hAnsi="宋体" w:eastAsia="宋体" w:cs="宋体"/>
          <w:b/>
          <w:bCs/>
          <w:color w:val="auto"/>
          <w:sz w:val="24"/>
          <w:szCs w:val="28"/>
          <w:highlight w:val="none"/>
        </w:rPr>
        <w:t>质量标准等级</w:t>
      </w:r>
    </w:p>
    <w:p w14:paraId="53AC656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本工程的质量标准等级要求为：</w:t>
      </w:r>
      <w:r>
        <w:rPr>
          <w:rFonts w:hint="eastAsia" w:ascii="宋体" w:hAnsi="宋体" w:eastAsia="宋体" w:cs="宋体"/>
          <w:bCs/>
          <w:color w:val="auto"/>
          <w:sz w:val="24"/>
          <w:szCs w:val="24"/>
          <w:highlight w:val="none"/>
        </w:rPr>
        <w:t>■合格；□优良，具体评定标准执行</w:t>
      </w: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rPr>
        <w:t>建筑工程施工质量验收统一标准</w:t>
      </w:r>
      <w:r>
        <w:rPr>
          <w:rFonts w:hint="eastAsia" w:ascii="宋体" w:hAnsi="宋体" w:eastAsia="宋体" w:cs="宋体"/>
          <w:color w:val="auto"/>
          <w:sz w:val="24"/>
          <w:szCs w:val="24"/>
          <w:highlight w:val="none"/>
        </w:rPr>
        <w:t>》。</w:t>
      </w:r>
    </w:p>
    <w:p w14:paraId="17B9F343">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bCs/>
          <w:color w:val="auto"/>
          <w:sz w:val="24"/>
          <w:szCs w:val="28"/>
          <w:highlight w:val="none"/>
        </w:rPr>
      </w:pPr>
      <w:r>
        <w:rPr>
          <w:rFonts w:hint="eastAsia" w:eastAsia="宋体" w:cs="宋体" w:asciiTheme="minorEastAsia" w:hAnsiTheme="minorEastAsia"/>
          <w:b/>
          <w:bCs/>
          <w:color w:val="auto"/>
          <w:kern w:val="2"/>
          <w:sz w:val="24"/>
          <w:szCs w:val="28"/>
          <w:lang w:val="en-US" w:eastAsia="zh-CN" w:bidi="ar-SA"/>
        </w:rPr>
        <w:t>1.17.2.</w:t>
      </w:r>
      <w:r>
        <w:rPr>
          <w:rFonts w:hint="eastAsia" w:ascii="宋体" w:hAnsi="宋体" w:eastAsia="宋体" w:cs="宋体"/>
          <w:b/>
          <w:bCs/>
          <w:color w:val="auto"/>
          <w:sz w:val="24"/>
          <w:szCs w:val="28"/>
          <w:highlight w:val="none"/>
        </w:rPr>
        <w:t>各分部分项工程质量要求要点</w:t>
      </w:r>
    </w:p>
    <w:p w14:paraId="53B60D95">
      <w:pPr>
        <w:pageBreakBefore w:val="0"/>
        <w:kinsoku/>
        <w:wordWrap/>
        <w:overflowPunct/>
        <w:topLinePunct w:val="0"/>
        <w:bidi w:val="0"/>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严格依据招标人提供图纸施工。</w:t>
      </w:r>
    </w:p>
    <w:p w14:paraId="0A33E878">
      <w:pPr>
        <w:pageBreakBefore w:val="0"/>
        <w:kinsoku/>
        <w:wordWrap/>
        <w:overflowPunct/>
        <w:topLinePunct w:val="0"/>
        <w:bidi w:val="0"/>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其他要求如下：</w:t>
      </w:r>
    </w:p>
    <w:p w14:paraId="046A072F">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1.严把材料采购质量关，确保进场的材料质量满足要求。</w:t>
      </w:r>
    </w:p>
    <w:p w14:paraId="72A24367">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2.基础与设备安装牢固，在安装前由项目部技术人员进行检查，检查合格后才可进行施工。</w:t>
      </w:r>
    </w:p>
    <w:p w14:paraId="5600C280">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3.按摩池/泡池设备安装在施工中必须保证施工人员及行人安全，对施工现场的废料、工具、材料等及时规整。</w:t>
      </w:r>
    </w:p>
    <w:p w14:paraId="76327A8B">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4.按摩池/泡池设备安装过程中须安排专人负责对各设备进行专项检查。</w:t>
      </w:r>
    </w:p>
    <w:p w14:paraId="099422BB">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5.加强日常安全巡视工作，发现安全隐患立即进行防护处理。</w:t>
      </w:r>
    </w:p>
    <w:p w14:paraId="130519B5">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6.按摩池/泡池设备安装过程中要随时注意预留预埋管线情况，如有管线或设备影响工程施工，需通知建设单位确认现场做法并对局部位置采取措施，因此产生的费用由中标人负责。</w:t>
      </w:r>
    </w:p>
    <w:p w14:paraId="45B7E9F4">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7.各按摩池/泡池预埋件应严格按照图纸进行预埋，保证预埋件的定位准确与牢固。</w:t>
      </w:r>
    </w:p>
    <w:p w14:paraId="3B970E22">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8.各设备安装前必须等基础砼养护达到一定强度后，按照图纸间距测放出设备及各管线位置，必须保证设备和管线安装稳定与牢固。</w:t>
      </w:r>
    </w:p>
    <w:p w14:paraId="2D05F5AF">
      <w:pPr>
        <w:pStyle w:val="34"/>
        <w:pageBreakBefore w:val="0"/>
        <w:numPr>
          <w:ilvl w:val="2"/>
          <w:numId w:val="0"/>
        </w:numPr>
        <w:kinsoku/>
        <w:wordWrap/>
        <w:overflowPunct/>
        <w:topLinePunct w:val="0"/>
        <w:bidi w:val="0"/>
        <w:spacing w:line="460" w:lineRule="exact"/>
        <w:ind w:left="420" w:leftChars="0" w:firstLine="0" w:firstLineChars="0"/>
        <w:jc w:val="left"/>
        <w:outlineLvl w:val="1"/>
        <w:rPr>
          <w:rFonts w:hint="eastAsia" w:ascii="宋体" w:hAnsi="宋体" w:eastAsia="宋体" w:cs="宋体"/>
          <w:b/>
          <w:color w:val="auto"/>
          <w:sz w:val="24"/>
          <w:szCs w:val="24"/>
          <w:highlight w:val="none"/>
        </w:rPr>
      </w:pPr>
      <w:r>
        <w:rPr>
          <w:rFonts w:hint="eastAsia" w:eastAsia="宋体" w:cs="宋体" w:asciiTheme="minorEastAsia" w:hAnsiTheme="minorEastAsia"/>
          <w:b/>
          <w:color w:val="auto"/>
          <w:kern w:val="2"/>
          <w:sz w:val="24"/>
          <w:szCs w:val="24"/>
          <w:lang w:val="en-US" w:eastAsia="zh-CN" w:bidi="ar-SA"/>
        </w:rPr>
        <w:t>1.17.3.</w:t>
      </w:r>
      <w:r>
        <w:rPr>
          <w:rFonts w:hint="eastAsia" w:ascii="宋体" w:hAnsi="宋体" w:eastAsia="宋体" w:cs="宋体"/>
          <w:b/>
          <w:color w:val="auto"/>
          <w:sz w:val="24"/>
          <w:szCs w:val="24"/>
          <w:highlight w:val="none"/>
        </w:rPr>
        <w:t>建筑质量通病防治方案要求</w:t>
      </w:r>
    </w:p>
    <w:p w14:paraId="58AF116A">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承包人在中标后应结合本单位施工经验重点就常见质量通病防治措施编制专项施工方案，在实施时对质量通病问题的整改应有针对性的处理方案。</w:t>
      </w:r>
    </w:p>
    <w:p w14:paraId="4B734A79">
      <w:pPr>
        <w:pStyle w:val="34"/>
        <w:pageBreakBefore w:val="0"/>
        <w:numPr>
          <w:ilvl w:val="0"/>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r>
        <w:rPr>
          <w:rFonts w:hint="eastAsia" w:ascii="宋体" w:hAnsi="宋体" w:eastAsia="宋体" w:cs="宋体"/>
          <w:b/>
          <w:color w:val="auto"/>
          <w:kern w:val="2"/>
          <w:sz w:val="24"/>
          <w:szCs w:val="24"/>
          <w:lang w:val="en-US" w:eastAsia="zh-CN" w:bidi="ar-SA"/>
        </w:rPr>
        <w:t>2.</w:t>
      </w:r>
      <w:r>
        <w:rPr>
          <w:rFonts w:hint="eastAsia" w:ascii="宋体" w:hAnsi="宋体" w:eastAsia="宋体" w:cs="宋体"/>
          <w:b/>
          <w:color w:val="auto"/>
          <w:sz w:val="24"/>
          <w:szCs w:val="24"/>
          <w:highlight w:val="none"/>
        </w:rPr>
        <w:t>材料设备品牌要求</w:t>
      </w:r>
    </w:p>
    <w:p w14:paraId="20FCE990">
      <w:pPr>
        <w:pageBreakBefore w:val="0"/>
        <w:numPr>
          <w:ilvl w:val="1"/>
          <w:numId w:val="0"/>
        </w:numPr>
        <w:kinsoku/>
        <w:wordWrap/>
        <w:overflowPunct/>
        <w:topLinePunct w:val="0"/>
        <w:bidi w:val="0"/>
        <w:spacing w:line="460" w:lineRule="exact"/>
        <w:ind w:left="0" w:leftChars="0" w:firstLine="0" w:firstLineChars="0"/>
        <w:rPr>
          <w:rFonts w:hint="eastAsia" w:ascii="宋体" w:hAnsi="宋体" w:eastAsia="宋体" w:cs="宋体"/>
          <w:color w:val="auto"/>
          <w:sz w:val="24"/>
          <w:szCs w:val="28"/>
          <w:highlight w:val="none"/>
        </w:rPr>
      </w:pPr>
      <w:r>
        <w:rPr>
          <w:rFonts w:hint="eastAsia" w:eastAsia="宋体" w:cs="宋体" w:asciiTheme="minorEastAsia" w:hAnsiTheme="minorEastAsia"/>
          <w:color w:val="auto"/>
          <w:kern w:val="2"/>
          <w:sz w:val="24"/>
          <w:szCs w:val="28"/>
          <w:lang w:val="en-US" w:eastAsia="zh-CN" w:bidi="ar-SA"/>
        </w:rPr>
        <w:t>2.1.</w:t>
      </w:r>
      <w:r>
        <w:rPr>
          <w:rFonts w:hint="eastAsia" w:ascii="宋体" w:hAnsi="宋体" w:eastAsia="宋体" w:cs="宋体"/>
          <w:color w:val="auto"/>
          <w:sz w:val="24"/>
          <w:szCs w:val="28"/>
          <w:highlight w:val="none"/>
        </w:rPr>
        <w:t>甲供材料设备：无</w:t>
      </w:r>
    </w:p>
    <w:bookmarkEnd w:id="9"/>
    <w:p w14:paraId="2198F87B">
      <w:pPr>
        <w:pStyle w:val="34"/>
        <w:pageBreakBefore w:val="0"/>
        <w:numPr>
          <w:ilvl w:val="0"/>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bookmarkStart w:id="191" w:name="_Toc81381934"/>
      <w:r>
        <w:rPr>
          <w:rFonts w:hint="eastAsia" w:ascii="宋体" w:hAnsi="宋体" w:eastAsia="宋体" w:cs="宋体"/>
          <w:b/>
          <w:color w:val="auto"/>
          <w:kern w:val="2"/>
          <w:sz w:val="24"/>
          <w:szCs w:val="24"/>
          <w:lang w:val="en-US" w:eastAsia="zh-CN" w:bidi="ar-SA"/>
        </w:rPr>
        <w:t>3.</w:t>
      </w:r>
      <w:r>
        <w:rPr>
          <w:rFonts w:hint="eastAsia" w:ascii="宋体" w:hAnsi="宋体" w:eastAsia="宋体" w:cs="宋体"/>
          <w:b/>
          <w:color w:val="auto"/>
          <w:sz w:val="24"/>
          <w:szCs w:val="24"/>
          <w:highlight w:val="none"/>
        </w:rPr>
        <w:t>施工组织安排及现场管理要求</w:t>
      </w:r>
      <w:bookmarkEnd w:id="191"/>
      <w:bookmarkStart w:id="192" w:name="_Toc81381935"/>
    </w:p>
    <w:bookmarkEnd w:id="192"/>
    <w:p w14:paraId="04813EE2">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kern w:val="2"/>
          <w:sz w:val="24"/>
          <w:szCs w:val="24"/>
          <w:lang w:val="en-US" w:eastAsia="zh-CN" w:bidi="ar-SA"/>
        </w:rPr>
        <w:t>1)</w:t>
      </w:r>
      <w:r>
        <w:rPr>
          <w:rFonts w:hint="eastAsia" w:ascii="宋体" w:hAnsi="宋体" w:eastAsia="宋体" w:cs="宋体"/>
          <w:color w:val="auto"/>
          <w:sz w:val="24"/>
          <w:szCs w:val="24"/>
          <w:highlight w:val="none"/>
        </w:rPr>
        <w:t>中标人必须按招标人要求的施工顺序及工期要求先后组织施工。中标人如未按经招标人确定的施工组织设计方案约定的节点工期竣工，按合同条款中条执行。</w:t>
      </w:r>
    </w:p>
    <w:p w14:paraId="6D56206B">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由于中标人的原因，未能按招标人要求进场施工，则按每延迟一天2000元的工程延误损失从工程付款中扣除。</w:t>
      </w:r>
    </w:p>
    <w:p w14:paraId="1C268B2E">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中标人必须配备完善的工程责任人和相关管理人员和施工人员，并明确岗位职责，并书面告知发包方。否则不予进场，造成损失由中标方负责。</w:t>
      </w:r>
    </w:p>
    <w:p w14:paraId="0DB6232E">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中标人在施工现场的人员必须服从发包方的管理，对于发包方的书面通知和整改通知书，必须及时书面回复。在发包方发出2天内没响应，或回复不符合要求的，每次1000元从当期工程款中扣出，以弥补对工程相关方的损失，保留损失超过的增加追索的权利。</w:t>
      </w:r>
    </w:p>
    <w:p w14:paraId="1F70496B">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进场材料指定场地内堆放整齐，有防止材料倾倒的措施。</w:t>
      </w:r>
    </w:p>
    <w:p w14:paraId="31BD6012">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材料堆场周边设置临时安全警示，注意安全用电。</w:t>
      </w:r>
    </w:p>
    <w:p w14:paraId="491B4FFB">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进出工地的车辆应冲洗干净后方可驶出工地，严禁工地内的土、垃圾带出工地污染市政道路，保持道路的干净整洁。若因此收到相关行政部门处罚，中标人除负责该部分处罚外，招标人有权处以5000元/每次的罚款，从工程款中扣除。</w:t>
      </w:r>
    </w:p>
    <w:p w14:paraId="37D827ED">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随时关注本地天气情况，项目部加强与当地气象部门的联系，得到台风、大风信息或通知后立即安排专人对按摩池/泡池设备进行检查、加固，并安排专人在现场24 小时执勤，直至天气好转后恢复正常执勤状况。</w:t>
      </w:r>
    </w:p>
    <w:p w14:paraId="7A807D78">
      <w:pPr>
        <w:pStyle w:val="34"/>
        <w:pageBreakBefore w:val="0"/>
        <w:numPr>
          <w:ilvl w:val="0"/>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bookmarkStart w:id="193" w:name="_Toc81381944"/>
      <w:r>
        <w:rPr>
          <w:rFonts w:hint="eastAsia" w:ascii="宋体" w:hAnsi="宋体" w:eastAsia="宋体" w:cs="宋体"/>
          <w:b/>
          <w:color w:val="auto"/>
          <w:kern w:val="2"/>
          <w:sz w:val="24"/>
          <w:szCs w:val="24"/>
          <w:lang w:val="en-US" w:eastAsia="zh-CN" w:bidi="ar-SA"/>
        </w:rPr>
        <w:t>4.</w:t>
      </w:r>
      <w:r>
        <w:rPr>
          <w:rFonts w:hint="eastAsia" w:ascii="宋体" w:hAnsi="宋体" w:eastAsia="宋体" w:cs="宋体"/>
          <w:b/>
          <w:color w:val="auto"/>
          <w:sz w:val="24"/>
          <w:szCs w:val="24"/>
          <w:highlight w:val="none"/>
        </w:rPr>
        <w:t>工期节点要求</w:t>
      </w:r>
      <w:bookmarkEnd w:id="193"/>
    </w:p>
    <w:p w14:paraId="2E5A64A6">
      <w:pPr>
        <w:pageBreakBefore w:val="0"/>
        <w:kinsoku/>
        <w:wordWrap/>
        <w:overflowPunct/>
        <w:topLinePunct w:val="0"/>
        <w:bidi w:val="0"/>
        <w:spacing w:line="460" w:lineRule="exact"/>
        <w:ind w:firstLine="480" w:firstLineChars="200"/>
        <w:rPr>
          <w:rFonts w:hint="eastAsia" w:ascii="宋体" w:hAnsi="宋体" w:eastAsia="宋体" w:cs="宋体"/>
          <w:bCs/>
          <w:color w:val="auto"/>
          <w:sz w:val="24"/>
          <w:szCs w:val="28"/>
          <w:highlight w:val="none"/>
        </w:rPr>
      </w:pPr>
      <w:r>
        <w:rPr>
          <w:rFonts w:hint="eastAsia" w:ascii="宋体" w:hAnsi="宋体" w:eastAsia="宋体" w:cs="宋体"/>
          <w:color w:val="auto"/>
          <w:sz w:val="24"/>
          <w:szCs w:val="28"/>
          <w:highlight w:val="none"/>
        </w:rPr>
        <w:t>本</w:t>
      </w:r>
      <w:r>
        <w:rPr>
          <w:rFonts w:hint="eastAsia" w:ascii="宋体" w:hAnsi="宋体" w:eastAsia="宋体" w:cs="宋体"/>
          <w:bCs/>
          <w:color w:val="auto"/>
          <w:sz w:val="24"/>
          <w:szCs w:val="28"/>
          <w:highlight w:val="none"/>
        </w:rPr>
        <w:t>项目总工期：</w:t>
      </w:r>
      <w:r>
        <w:rPr>
          <w:rFonts w:hint="eastAsia" w:ascii="宋体" w:hAnsi="宋体" w:eastAsia="宋体" w:cs="宋体"/>
          <w:bCs/>
          <w:color w:val="auto"/>
          <w:sz w:val="24"/>
          <w:szCs w:val="28"/>
          <w:highlight w:val="none"/>
          <w:u w:val="single"/>
        </w:rPr>
        <w:t xml:space="preserve">     </w:t>
      </w:r>
      <w:r>
        <w:rPr>
          <w:rFonts w:hint="eastAsia" w:ascii="宋体" w:hAnsi="宋体" w:eastAsia="宋体" w:cs="宋体"/>
          <w:bCs/>
          <w:color w:val="auto"/>
          <w:sz w:val="24"/>
          <w:szCs w:val="28"/>
          <w:highlight w:val="none"/>
        </w:rPr>
        <w:t>日历天；计划开工日期：202</w:t>
      </w:r>
      <w:r>
        <w:rPr>
          <w:rFonts w:hint="eastAsia" w:ascii="宋体" w:hAnsi="宋体" w:eastAsia="宋体" w:cs="宋体"/>
          <w:bCs/>
          <w:color w:val="auto"/>
          <w:sz w:val="24"/>
          <w:szCs w:val="28"/>
          <w:highlight w:val="none"/>
          <w:u w:val="single"/>
        </w:rPr>
        <w:t xml:space="preserve">   </w:t>
      </w:r>
      <w:r>
        <w:rPr>
          <w:rFonts w:hint="eastAsia" w:ascii="宋体" w:hAnsi="宋体" w:eastAsia="宋体" w:cs="宋体"/>
          <w:bCs/>
          <w:color w:val="auto"/>
          <w:sz w:val="24"/>
          <w:szCs w:val="28"/>
          <w:highlight w:val="none"/>
        </w:rPr>
        <w:t>年</w:t>
      </w:r>
      <w:r>
        <w:rPr>
          <w:rFonts w:hint="eastAsia" w:ascii="宋体" w:hAnsi="宋体" w:eastAsia="宋体" w:cs="宋体"/>
          <w:bCs/>
          <w:color w:val="auto"/>
          <w:sz w:val="24"/>
          <w:szCs w:val="28"/>
          <w:highlight w:val="none"/>
          <w:u w:val="single"/>
        </w:rPr>
        <w:t xml:space="preserve">     </w:t>
      </w:r>
      <w:r>
        <w:rPr>
          <w:rFonts w:hint="eastAsia" w:ascii="宋体" w:hAnsi="宋体" w:eastAsia="宋体" w:cs="宋体"/>
          <w:bCs/>
          <w:color w:val="auto"/>
          <w:sz w:val="24"/>
          <w:szCs w:val="28"/>
          <w:highlight w:val="none"/>
        </w:rPr>
        <w:t>月</w:t>
      </w:r>
      <w:r>
        <w:rPr>
          <w:rFonts w:hint="eastAsia" w:ascii="宋体" w:hAnsi="宋体" w:eastAsia="宋体" w:cs="宋体"/>
          <w:bCs/>
          <w:color w:val="auto"/>
          <w:sz w:val="24"/>
          <w:szCs w:val="28"/>
          <w:highlight w:val="none"/>
          <w:u w:val="single"/>
        </w:rPr>
        <w:t xml:space="preserve">     </w:t>
      </w:r>
      <w:r>
        <w:rPr>
          <w:rFonts w:hint="eastAsia" w:ascii="宋体" w:hAnsi="宋体" w:eastAsia="宋体" w:cs="宋体"/>
          <w:bCs/>
          <w:color w:val="auto"/>
          <w:sz w:val="24"/>
          <w:szCs w:val="28"/>
          <w:highlight w:val="none"/>
        </w:rPr>
        <w:t>日，计划竣工日期：202</w:t>
      </w:r>
      <w:r>
        <w:rPr>
          <w:rFonts w:hint="eastAsia" w:ascii="宋体" w:hAnsi="宋体" w:eastAsia="宋体" w:cs="宋体"/>
          <w:bCs/>
          <w:color w:val="auto"/>
          <w:sz w:val="24"/>
          <w:szCs w:val="28"/>
          <w:highlight w:val="none"/>
          <w:u w:val="single"/>
        </w:rPr>
        <w:t xml:space="preserve">   </w:t>
      </w:r>
      <w:r>
        <w:rPr>
          <w:rFonts w:hint="eastAsia" w:ascii="宋体" w:hAnsi="宋体" w:eastAsia="宋体" w:cs="宋体"/>
          <w:bCs/>
          <w:color w:val="auto"/>
          <w:sz w:val="24"/>
          <w:szCs w:val="28"/>
          <w:highlight w:val="none"/>
        </w:rPr>
        <w:t>年</w:t>
      </w:r>
      <w:r>
        <w:rPr>
          <w:rFonts w:hint="eastAsia" w:ascii="宋体" w:hAnsi="宋体" w:eastAsia="宋体" w:cs="宋体"/>
          <w:bCs/>
          <w:color w:val="auto"/>
          <w:sz w:val="24"/>
          <w:szCs w:val="28"/>
          <w:highlight w:val="none"/>
          <w:u w:val="single"/>
        </w:rPr>
        <w:t xml:space="preserve">   </w:t>
      </w:r>
      <w:r>
        <w:rPr>
          <w:rFonts w:hint="eastAsia" w:ascii="宋体" w:hAnsi="宋体" w:eastAsia="宋体" w:cs="宋体"/>
          <w:bCs/>
          <w:color w:val="auto"/>
          <w:sz w:val="24"/>
          <w:szCs w:val="28"/>
          <w:highlight w:val="none"/>
        </w:rPr>
        <w:t>月</w:t>
      </w:r>
      <w:r>
        <w:rPr>
          <w:rFonts w:hint="eastAsia" w:ascii="宋体" w:hAnsi="宋体" w:eastAsia="宋体" w:cs="宋体"/>
          <w:bCs/>
          <w:color w:val="auto"/>
          <w:sz w:val="24"/>
          <w:szCs w:val="28"/>
          <w:highlight w:val="none"/>
          <w:u w:val="single"/>
        </w:rPr>
        <w:t xml:space="preserve">   </w:t>
      </w:r>
      <w:r>
        <w:rPr>
          <w:rFonts w:hint="eastAsia" w:ascii="宋体" w:hAnsi="宋体" w:eastAsia="宋体" w:cs="宋体"/>
          <w:bCs/>
          <w:color w:val="auto"/>
          <w:sz w:val="24"/>
          <w:szCs w:val="28"/>
          <w:highlight w:val="none"/>
        </w:rPr>
        <w:t>日。具体开工日期以发包人签发的开工令为准，竣工日期根据开工日期进行调整。</w:t>
      </w:r>
    </w:p>
    <w:p w14:paraId="4AE25922">
      <w:pPr>
        <w:pageBreakBefore w:val="0"/>
        <w:kinsoku/>
        <w:wordWrap/>
        <w:overflowPunct/>
        <w:topLinePunct w:val="0"/>
        <w:bidi w:val="0"/>
        <w:spacing w:line="460" w:lineRule="exact"/>
        <w:ind w:firstLine="480" w:firstLineChars="200"/>
        <w:rPr>
          <w:rFonts w:hint="eastAsia" w:ascii="宋体" w:hAnsi="宋体" w:eastAsia="宋体" w:cs="宋体"/>
          <w:bCs/>
          <w:color w:val="auto"/>
          <w:sz w:val="24"/>
          <w:szCs w:val="28"/>
          <w:highlight w:val="none"/>
        </w:rPr>
      </w:pPr>
      <w:r>
        <w:rPr>
          <w:rFonts w:hint="eastAsia" w:ascii="宋体" w:hAnsi="宋体" w:eastAsia="宋体" w:cs="宋体"/>
          <w:bCs/>
          <w:color w:val="auto"/>
          <w:sz w:val="24"/>
          <w:szCs w:val="28"/>
          <w:highlight w:val="none"/>
        </w:rPr>
        <w:t>各专业工程关键工序的时间节点要求，详见下表：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5529"/>
        <w:gridCol w:w="3455"/>
      </w:tblGrid>
      <w:tr w14:paraId="64C5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3" w:type="dxa"/>
            <w:vAlign w:val="center"/>
          </w:tcPr>
          <w:p w14:paraId="68825D11">
            <w:pPr>
              <w:pageBreakBefore w:val="0"/>
              <w:kinsoku/>
              <w:wordWrap/>
              <w:overflowPunct/>
              <w:topLinePunct w:val="0"/>
              <w:bidi w:val="0"/>
              <w:snapToGrid w:val="0"/>
              <w:spacing w:line="460" w:lineRule="exact"/>
              <w:jc w:val="center"/>
              <w:rPr>
                <w:rFonts w:hint="eastAsia" w:ascii="宋体" w:hAnsi="宋体" w:eastAsia="宋体" w:cs="宋体"/>
                <w:b/>
                <w:bCs w:val="0"/>
                <w:color w:val="auto"/>
                <w:szCs w:val="24"/>
                <w:highlight w:val="none"/>
              </w:rPr>
            </w:pPr>
            <w:r>
              <w:rPr>
                <w:rFonts w:hint="eastAsia" w:ascii="宋体" w:hAnsi="宋体" w:eastAsia="宋体" w:cs="宋体"/>
                <w:b/>
                <w:bCs w:val="0"/>
                <w:color w:val="auto"/>
                <w:szCs w:val="24"/>
                <w:highlight w:val="none"/>
              </w:rPr>
              <w:t>序号</w:t>
            </w:r>
          </w:p>
        </w:tc>
        <w:tc>
          <w:tcPr>
            <w:tcW w:w="5529" w:type="dxa"/>
            <w:vAlign w:val="center"/>
          </w:tcPr>
          <w:p w14:paraId="6C394EB5">
            <w:pPr>
              <w:pageBreakBefore w:val="0"/>
              <w:kinsoku/>
              <w:wordWrap/>
              <w:overflowPunct/>
              <w:topLinePunct w:val="0"/>
              <w:bidi w:val="0"/>
              <w:snapToGrid w:val="0"/>
              <w:spacing w:line="460" w:lineRule="exact"/>
              <w:jc w:val="center"/>
              <w:rPr>
                <w:rFonts w:hint="eastAsia" w:ascii="宋体" w:hAnsi="宋体" w:eastAsia="宋体" w:cs="宋体"/>
                <w:b/>
                <w:bCs w:val="0"/>
                <w:color w:val="auto"/>
                <w:szCs w:val="24"/>
                <w:highlight w:val="none"/>
              </w:rPr>
            </w:pPr>
            <w:r>
              <w:rPr>
                <w:rFonts w:hint="eastAsia" w:ascii="宋体" w:hAnsi="宋体" w:eastAsia="宋体" w:cs="宋体"/>
                <w:b/>
                <w:bCs w:val="0"/>
                <w:color w:val="auto"/>
                <w:szCs w:val="24"/>
                <w:highlight w:val="none"/>
              </w:rPr>
              <w:t>各专业工程关键工序名称</w:t>
            </w:r>
          </w:p>
        </w:tc>
        <w:tc>
          <w:tcPr>
            <w:tcW w:w="3455" w:type="dxa"/>
            <w:vAlign w:val="center"/>
          </w:tcPr>
          <w:p w14:paraId="6D8D676B">
            <w:pPr>
              <w:pageBreakBefore w:val="0"/>
              <w:kinsoku/>
              <w:wordWrap/>
              <w:overflowPunct/>
              <w:topLinePunct w:val="0"/>
              <w:bidi w:val="0"/>
              <w:snapToGrid w:val="0"/>
              <w:spacing w:line="460" w:lineRule="exact"/>
              <w:jc w:val="center"/>
              <w:rPr>
                <w:rFonts w:hint="eastAsia" w:ascii="宋体" w:hAnsi="宋体" w:eastAsia="宋体" w:cs="宋体"/>
                <w:b/>
                <w:bCs w:val="0"/>
                <w:color w:val="auto"/>
                <w:szCs w:val="24"/>
                <w:highlight w:val="none"/>
              </w:rPr>
            </w:pPr>
            <w:r>
              <w:rPr>
                <w:rFonts w:hint="eastAsia" w:ascii="宋体" w:hAnsi="宋体" w:eastAsia="宋体" w:cs="宋体"/>
                <w:b/>
                <w:bCs w:val="0"/>
                <w:color w:val="auto"/>
                <w:szCs w:val="24"/>
                <w:highlight w:val="none"/>
              </w:rPr>
              <w:t>要求完成节点时间要求</w:t>
            </w:r>
          </w:p>
        </w:tc>
      </w:tr>
      <w:tr w14:paraId="39E6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83" w:type="dxa"/>
            <w:vAlign w:val="center"/>
          </w:tcPr>
          <w:p w14:paraId="036DAC66">
            <w:pPr>
              <w:pageBreakBefore w:val="0"/>
              <w:kinsoku/>
              <w:wordWrap/>
              <w:overflowPunct/>
              <w:topLinePunct w:val="0"/>
              <w:bidi w:val="0"/>
              <w:snapToGrid w:val="0"/>
              <w:spacing w:line="460" w:lineRule="exact"/>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1</w:t>
            </w:r>
          </w:p>
        </w:tc>
        <w:tc>
          <w:tcPr>
            <w:tcW w:w="5529" w:type="dxa"/>
            <w:vAlign w:val="center"/>
          </w:tcPr>
          <w:p w14:paraId="217B73D0">
            <w:pPr>
              <w:pageBreakBefore w:val="0"/>
              <w:kinsoku/>
              <w:wordWrap/>
              <w:overflowPunct/>
              <w:topLinePunct w:val="0"/>
              <w:bidi w:val="0"/>
              <w:snapToGrid w:val="0"/>
              <w:spacing w:line="460" w:lineRule="exact"/>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按摩池/泡池设备采购及安装工程</w:t>
            </w:r>
          </w:p>
        </w:tc>
        <w:tc>
          <w:tcPr>
            <w:tcW w:w="3455" w:type="dxa"/>
            <w:vAlign w:val="center"/>
          </w:tcPr>
          <w:p w14:paraId="1816B33A">
            <w:pPr>
              <w:pageBreakBefore w:val="0"/>
              <w:kinsoku/>
              <w:wordWrap/>
              <w:overflowPunct/>
              <w:topLinePunct w:val="0"/>
              <w:bidi w:val="0"/>
              <w:snapToGrid w:val="0"/>
              <w:spacing w:line="460" w:lineRule="exact"/>
              <w:jc w:val="center"/>
              <w:rPr>
                <w:rFonts w:hint="eastAsia" w:ascii="宋体" w:hAnsi="宋体" w:eastAsia="宋体" w:cs="宋体"/>
                <w:b w:val="0"/>
                <w:bCs/>
                <w:color w:val="auto"/>
                <w:szCs w:val="24"/>
                <w:highlight w:val="none"/>
              </w:rPr>
            </w:pPr>
          </w:p>
        </w:tc>
      </w:tr>
    </w:tbl>
    <w:p w14:paraId="775D03CB">
      <w:pPr>
        <w:pStyle w:val="34"/>
        <w:pageBreakBefore w:val="0"/>
        <w:numPr>
          <w:ilvl w:val="0"/>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bCs/>
          <w:color w:val="auto"/>
          <w:sz w:val="24"/>
          <w:szCs w:val="28"/>
          <w:highlight w:val="none"/>
        </w:rPr>
      </w:pPr>
      <w:r>
        <w:rPr>
          <w:rFonts w:hint="eastAsia" w:ascii="宋体" w:hAnsi="宋体" w:eastAsia="宋体" w:cs="宋体"/>
          <w:b/>
          <w:bCs/>
          <w:color w:val="auto"/>
          <w:kern w:val="2"/>
          <w:sz w:val="24"/>
          <w:szCs w:val="28"/>
          <w:lang w:val="en-US" w:eastAsia="zh-CN" w:bidi="ar-SA"/>
        </w:rPr>
        <w:t>5.</w:t>
      </w:r>
      <w:r>
        <w:rPr>
          <w:rFonts w:hint="eastAsia" w:ascii="宋体" w:hAnsi="宋体" w:eastAsia="宋体" w:cs="宋体"/>
          <w:b/>
          <w:bCs/>
          <w:color w:val="auto"/>
          <w:sz w:val="24"/>
          <w:szCs w:val="28"/>
          <w:highlight w:val="none"/>
        </w:rPr>
        <w:t>招标图纸</w:t>
      </w:r>
    </w:p>
    <w:p w14:paraId="46677A68">
      <w:pPr>
        <w:pageBreakBefore w:val="0"/>
        <w:numPr>
          <w:ilvl w:val="0"/>
          <w:numId w:val="0"/>
        </w:numPr>
        <w:kinsoku/>
        <w:wordWrap/>
        <w:overflowPunct/>
        <w:topLinePunct w:val="0"/>
        <w:bidi w:val="0"/>
        <w:spacing w:line="460" w:lineRule="exact"/>
        <w:ind w:leftChars="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一</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设计单位：</w:t>
      </w:r>
    </w:p>
    <w:p w14:paraId="0ACFC4C5">
      <w:pPr>
        <w:pageBreakBefore w:val="0"/>
        <w:numPr>
          <w:ilvl w:val="0"/>
          <w:numId w:val="0"/>
        </w:numPr>
        <w:kinsoku/>
        <w:wordWrap/>
        <w:overflowPunct/>
        <w:topLinePunct w:val="0"/>
        <w:bidi w:val="0"/>
        <w:spacing w:line="460" w:lineRule="exact"/>
        <w:ind w:leftChars="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二</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审图单位：无</w:t>
      </w:r>
    </w:p>
    <w:p w14:paraId="5FBC7D00">
      <w:pPr>
        <w:pageBreakBefore w:val="0"/>
        <w:numPr>
          <w:ilvl w:val="0"/>
          <w:numId w:val="0"/>
        </w:numPr>
        <w:kinsoku/>
        <w:wordWrap/>
        <w:overflowPunct/>
        <w:topLinePunct w:val="0"/>
        <w:bidi w:val="0"/>
        <w:spacing w:line="460" w:lineRule="exact"/>
        <w:ind w:leftChars="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三</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图纸目录</w:t>
      </w:r>
    </w:p>
    <w:tbl>
      <w:tblPr>
        <w:tblStyle w:val="25"/>
        <w:tblW w:w="9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0"/>
        <w:gridCol w:w="4038"/>
        <w:gridCol w:w="870"/>
        <w:gridCol w:w="1380"/>
        <w:gridCol w:w="960"/>
        <w:gridCol w:w="1845"/>
      </w:tblGrid>
      <w:tr w14:paraId="19E2B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exact"/>
          <w:jc w:val="center"/>
        </w:trPr>
        <w:tc>
          <w:tcPr>
            <w:tcW w:w="710" w:type="dxa"/>
            <w:vAlign w:val="center"/>
          </w:tcPr>
          <w:p w14:paraId="5D14551F">
            <w:pPr>
              <w:pageBreakBefore w:val="0"/>
              <w:kinsoku/>
              <w:wordWrap/>
              <w:overflowPunct/>
              <w:topLinePunct w:val="0"/>
              <w:bidi w:val="0"/>
              <w:spacing w:line="4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4038" w:type="dxa"/>
            <w:vAlign w:val="center"/>
          </w:tcPr>
          <w:p w14:paraId="70126438">
            <w:pPr>
              <w:pageBreakBefore w:val="0"/>
              <w:kinsoku/>
              <w:wordWrap/>
              <w:overflowPunct/>
              <w:topLinePunct w:val="0"/>
              <w:bidi w:val="0"/>
              <w:spacing w:line="4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图纸名称</w:t>
            </w:r>
          </w:p>
        </w:tc>
        <w:tc>
          <w:tcPr>
            <w:tcW w:w="870" w:type="dxa"/>
            <w:vAlign w:val="center"/>
          </w:tcPr>
          <w:p w14:paraId="0C9BB002">
            <w:pPr>
              <w:pageBreakBefore w:val="0"/>
              <w:kinsoku/>
              <w:wordWrap/>
              <w:overflowPunct/>
              <w:topLinePunct w:val="0"/>
              <w:bidi w:val="0"/>
              <w:spacing w:line="4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页数</w:t>
            </w:r>
          </w:p>
        </w:tc>
        <w:tc>
          <w:tcPr>
            <w:tcW w:w="1380" w:type="dxa"/>
            <w:vAlign w:val="center"/>
          </w:tcPr>
          <w:p w14:paraId="4BBBF359">
            <w:pPr>
              <w:pageBreakBefore w:val="0"/>
              <w:kinsoku/>
              <w:wordWrap/>
              <w:overflowPunct/>
              <w:topLinePunct w:val="0"/>
              <w:bidi w:val="0"/>
              <w:spacing w:line="4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出图日期</w:t>
            </w:r>
          </w:p>
        </w:tc>
        <w:tc>
          <w:tcPr>
            <w:tcW w:w="960" w:type="dxa"/>
            <w:vAlign w:val="center"/>
          </w:tcPr>
          <w:p w14:paraId="04738722">
            <w:pPr>
              <w:pageBreakBefore w:val="0"/>
              <w:kinsoku/>
              <w:wordWrap/>
              <w:overflowPunct/>
              <w:topLinePunct w:val="0"/>
              <w:bidi w:val="0"/>
              <w:spacing w:line="4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版次</w:t>
            </w:r>
          </w:p>
        </w:tc>
        <w:tc>
          <w:tcPr>
            <w:tcW w:w="1845" w:type="dxa"/>
            <w:vAlign w:val="center"/>
          </w:tcPr>
          <w:p w14:paraId="5F13E91C">
            <w:pPr>
              <w:pageBreakBefore w:val="0"/>
              <w:kinsoku/>
              <w:wordWrap/>
              <w:overflowPunct/>
              <w:topLinePunct w:val="0"/>
              <w:bidi w:val="0"/>
              <w:spacing w:line="4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0B06C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exact"/>
          <w:jc w:val="center"/>
        </w:trPr>
        <w:tc>
          <w:tcPr>
            <w:tcW w:w="710" w:type="dxa"/>
            <w:vAlign w:val="center"/>
          </w:tcPr>
          <w:p w14:paraId="294BAAA7">
            <w:pPr>
              <w:pageBreakBefore w:val="0"/>
              <w:kinsoku/>
              <w:wordWrap/>
              <w:overflowPunct/>
              <w:topLinePunct w:val="0"/>
              <w:bidi w:val="0"/>
              <w:spacing w:line="4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038" w:type="dxa"/>
            <w:vAlign w:val="center"/>
          </w:tcPr>
          <w:p w14:paraId="56DE7F37">
            <w:pPr>
              <w:pageBreakBefore w:val="0"/>
              <w:kinsoku/>
              <w:wordWrap/>
              <w:overflowPunct/>
              <w:topLinePunct w:val="0"/>
              <w:bidi w:val="0"/>
              <w:spacing w:line="460" w:lineRule="exact"/>
              <w:jc w:val="center"/>
              <w:rPr>
                <w:rFonts w:hint="eastAsia" w:ascii="宋体" w:hAnsi="宋体" w:eastAsia="宋体" w:cs="宋体"/>
                <w:color w:val="auto"/>
                <w:sz w:val="24"/>
                <w:szCs w:val="24"/>
                <w:highlight w:val="none"/>
              </w:rPr>
            </w:pPr>
          </w:p>
        </w:tc>
        <w:tc>
          <w:tcPr>
            <w:tcW w:w="870" w:type="dxa"/>
            <w:vAlign w:val="center"/>
          </w:tcPr>
          <w:p w14:paraId="30C343D0">
            <w:pPr>
              <w:pageBreakBefore w:val="0"/>
              <w:kinsoku/>
              <w:wordWrap/>
              <w:overflowPunct/>
              <w:topLinePunct w:val="0"/>
              <w:bidi w:val="0"/>
              <w:spacing w:line="460" w:lineRule="exact"/>
              <w:jc w:val="center"/>
              <w:rPr>
                <w:rFonts w:hint="eastAsia" w:ascii="宋体" w:hAnsi="宋体" w:eastAsia="宋体" w:cs="宋体"/>
                <w:color w:val="auto"/>
                <w:sz w:val="24"/>
                <w:szCs w:val="24"/>
                <w:highlight w:val="none"/>
              </w:rPr>
            </w:pPr>
          </w:p>
        </w:tc>
        <w:tc>
          <w:tcPr>
            <w:tcW w:w="1380" w:type="dxa"/>
            <w:vAlign w:val="center"/>
          </w:tcPr>
          <w:p w14:paraId="4E0D4C71">
            <w:pPr>
              <w:pageBreakBefore w:val="0"/>
              <w:kinsoku/>
              <w:wordWrap/>
              <w:overflowPunct/>
              <w:topLinePunct w:val="0"/>
              <w:bidi w:val="0"/>
              <w:spacing w:line="460" w:lineRule="exact"/>
              <w:jc w:val="center"/>
              <w:rPr>
                <w:rFonts w:hint="eastAsia" w:ascii="宋体" w:hAnsi="宋体" w:eastAsia="宋体" w:cs="宋体"/>
                <w:color w:val="auto"/>
                <w:sz w:val="24"/>
                <w:szCs w:val="24"/>
                <w:highlight w:val="none"/>
              </w:rPr>
            </w:pPr>
          </w:p>
        </w:tc>
        <w:tc>
          <w:tcPr>
            <w:tcW w:w="960" w:type="dxa"/>
            <w:vAlign w:val="center"/>
          </w:tcPr>
          <w:p w14:paraId="6F3A68A2">
            <w:pPr>
              <w:pageBreakBefore w:val="0"/>
              <w:kinsoku/>
              <w:wordWrap/>
              <w:overflowPunct/>
              <w:topLinePunct w:val="0"/>
              <w:bidi w:val="0"/>
              <w:spacing w:line="460" w:lineRule="exact"/>
              <w:jc w:val="center"/>
              <w:rPr>
                <w:rFonts w:hint="eastAsia" w:ascii="宋体" w:hAnsi="宋体" w:eastAsia="宋体" w:cs="宋体"/>
                <w:color w:val="auto"/>
                <w:sz w:val="24"/>
                <w:szCs w:val="24"/>
                <w:highlight w:val="none"/>
              </w:rPr>
            </w:pPr>
          </w:p>
        </w:tc>
        <w:tc>
          <w:tcPr>
            <w:tcW w:w="1845" w:type="dxa"/>
            <w:vAlign w:val="center"/>
          </w:tcPr>
          <w:p w14:paraId="2ECD0A09">
            <w:pPr>
              <w:pageBreakBefore w:val="0"/>
              <w:kinsoku/>
              <w:wordWrap/>
              <w:overflowPunct/>
              <w:topLinePunct w:val="0"/>
              <w:bidi w:val="0"/>
              <w:spacing w:line="4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提供电子版图</w:t>
            </w:r>
          </w:p>
        </w:tc>
      </w:tr>
    </w:tbl>
    <w:p w14:paraId="1DF6FE32">
      <w:pPr>
        <w:pStyle w:val="34"/>
        <w:pageBreakBefore w:val="0"/>
        <w:numPr>
          <w:ilvl w:val="0"/>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r>
        <w:rPr>
          <w:rFonts w:hint="eastAsia" w:ascii="宋体" w:hAnsi="宋体" w:eastAsia="宋体" w:cs="宋体"/>
          <w:b/>
          <w:color w:val="auto"/>
          <w:kern w:val="2"/>
          <w:sz w:val="24"/>
          <w:szCs w:val="24"/>
          <w:lang w:val="en-US" w:eastAsia="zh-CN" w:bidi="ar-SA"/>
        </w:rPr>
        <w:t>6.</w:t>
      </w:r>
      <w:r>
        <w:rPr>
          <w:rFonts w:hint="eastAsia" w:ascii="宋体" w:hAnsi="宋体" w:eastAsia="宋体" w:cs="宋体"/>
          <w:b/>
          <w:color w:val="auto"/>
          <w:sz w:val="24"/>
          <w:szCs w:val="24"/>
          <w:highlight w:val="none"/>
        </w:rPr>
        <w:t>其他</w:t>
      </w:r>
      <w:r>
        <w:rPr>
          <w:rFonts w:hint="eastAsia" w:ascii="宋体" w:hAnsi="宋体" w:eastAsia="宋体" w:cs="宋体"/>
          <w:b/>
          <w:bCs/>
          <w:color w:val="auto"/>
          <w:sz w:val="24"/>
          <w:szCs w:val="28"/>
          <w:highlight w:val="none"/>
        </w:rPr>
        <w:t>要求</w:t>
      </w:r>
    </w:p>
    <w:p w14:paraId="2782794A">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现场踏勘、图纸深化设计、材料与设备采购(含安装辅材)、材料设备装卸、材料设备运输与转运、材料与设备安装、成品保护、绿色施工安全防护措施费、系统调试、管道通水通风试验、完工后场地清理等。</w:t>
      </w:r>
    </w:p>
    <w:p w14:paraId="5373DD67">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材料与设备安装，包含但不限于：按摩池/泡池水循环系统、电箱、线管线、管道、补水口、溢水口、放空口、阀门、保温棉、按摩池/泡池灯等施工图纸上所有按摩池/泡池设备、主材、辅材的安装。</w:t>
      </w:r>
    </w:p>
    <w:p w14:paraId="1F01AA3D">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按摩池/泡池给排水系统：含按摩池/泡池相关设备、配套设施、阀门、管道、辅材、辅件、穿过按摩池/泡池壁的管道须设置防水套管并做孔洞密闭封堵、防水处理等。给水主管阀门起至按摩池/泡池给水系统；按摩池/泡池排空管、溢流管等排水管，由承包人接至最近集体井。</w:t>
      </w:r>
    </w:p>
    <w:p w14:paraId="1DEC9644">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按摩池/泡池电气系统：含配电箱、相关配管配线、线槽、灯具、变压器等按摩池/泡池设备配电系统相关的设施配套。</w:t>
      </w:r>
    </w:p>
    <w:p w14:paraId="184D79B6">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主配电箱和进线电缆总承包方负责，总配电箱出线到控制柜以及控制柜后的电线电缆均由中标单位负责。</w:t>
      </w:r>
    </w:p>
    <w:p w14:paraId="1DB500BD">
      <w:pPr>
        <w:pageBreakBefore w:val="0"/>
        <w:kinsoku/>
        <w:wordWrap/>
        <w:overflowPunct/>
        <w:topLinePunct w:val="0"/>
        <w:autoSpaceDE w:val="0"/>
        <w:autoSpaceDN w:val="0"/>
        <w:bidi w:val="0"/>
        <w:adjustRightInd w:val="0"/>
        <w:spacing w:line="460" w:lineRule="exact"/>
        <w:ind w:firstLine="480" w:firstLineChars="200"/>
        <w:jc w:val="left"/>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其他工作：水电挂表与线路连接、跟进总承包方对按摩池/泡池设备基础施工预留预埋与复核、确保设备调试后正常运行、及时提供结算资料与施工资料、保修期内保修。</w:t>
      </w:r>
    </w:p>
    <w:p w14:paraId="63E8763E">
      <w:pPr>
        <w:pStyle w:val="34"/>
        <w:pageBreakBefore w:val="0"/>
        <w:numPr>
          <w:ilvl w:val="0"/>
          <w:numId w:val="0"/>
        </w:numPr>
        <w:kinsoku/>
        <w:wordWrap/>
        <w:overflowPunct/>
        <w:topLinePunct w:val="0"/>
        <w:bidi w:val="0"/>
        <w:spacing w:line="460" w:lineRule="exact"/>
        <w:ind w:left="0" w:leftChars="0" w:firstLine="0" w:firstLineChars="0"/>
        <w:jc w:val="left"/>
        <w:outlineLvl w:val="1"/>
        <w:rPr>
          <w:rFonts w:hint="eastAsia" w:ascii="宋体" w:hAnsi="宋体" w:eastAsia="宋体" w:cs="宋体"/>
          <w:b/>
          <w:color w:val="auto"/>
          <w:sz w:val="24"/>
          <w:szCs w:val="24"/>
          <w:highlight w:val="none"/>
        </w:rPr>
      </w:pPr>
      <w:r>
        <w:rPr>
          <w:rFonts w:hint="eastAsia" w:ascii="宋体" w:hAnsi="宋体" w:eastAsia="宋体" w:cs="宋体"/>
          <w:b/>
          <w:color w:val="auto"/>
          <w:kern w:val="2"/>
          <w:sz w:val="24"/>
          <w:szCs w:val="24"/>
          <w:lang w:val="en-US" w:eastAsia="zh-CN" w:bidi="ar-SA"/>
        </w:rPr>
        <w:t>7.</w:t>
      </w:r>
      <w:r>
        <w:rPr>
          <w:rFonts w:hint="eastAsia" w:ascii="宋体" w:hAnsi="宋体" w:eastAsia="宋体" w:cs="宋体"/>
          <w:b/>
          <w:color w:val="auto"/>
          <w:sz w:val="24"/>
          <w:szCs w:val="24"/>
          <w:highlight w:val="none"/>
        </w:rPr>
        <w:t>施工界面：</w:t>
      </w:r>
    </w:p>
    <w:p w14:paraId="680D0210">
      <w:pPr>
        <w:pStyle w:val="5"/>
        <w:pageBreakBefore w:val="0"/>
        <w:numPr>
          <w:ilvl w:val="0"/>
          <w:numId w:val="0"/>
        </w:numPr>
        <w:kinsoku/>
        <w:wordWrap/>
        <w:overflowPunct/>
        <w:topLinePunct w:val="0"/>
        <w:bidi w:val="0"/>
        <w:spacing w:before="0" w:after="0" w:line="460" w:lineRule="exact"/>
        <w:ind w:leftChars="0"/>
        <w:rPr>
          <w:rFonts w:hint="eastAsia" w:ascii="宋体" w:hAnsi="宋体" w:eastAsia="宋体" w:cs="宋体"/>
          <w:bCs w:val="0"/>
          <w:color w:val="auto"/>
          <w:kern w:val="2"/>
          <w:sz w:val="24"/>
          <w:szCs w:val="24"/>
          <w:highlight w:val="none"/>
        </w:rPr>
      </w:pPr>
      <w:r>
        <w:rPr>
          <w:rFonts w:hint="eastAsia" w:ascii="宋体" w:hAnsi="宋体" w:eastAsia="宋体" w:cs="宋体"/>
          <w:bCs w:val="0"/>
          <w:color w:val="auto"/>
          <w:kern w:val="2"/>
          <w:sz w:val="24"/>
          <w:szCs w:val="24"/>
          <w:highlight w:val="none"/>
          <w:lang w:eastAsia="zh-CN"/>
        </w:rPr>
        <w:t>（</w:t>
      </w:r>
      <w:r>
        <w:rPr>
          <w:rFonts w:hint="eastAsia" w:ascii="宋体" w:hAnsi="宋体" w:eastAsia="宋体" w:cs="宋体"/>
          <w:bCs w:val="0"/>
          <w:color w:val="auto"/>
          <w:kern w:val="2"/>
          <w:sz w:val="24"/>
          <w:szCs w:val="24"/>
          <w:highlight w:val="none"/>
          <w:lang w:val="en-US" w:eastAsia="zh-CN"/>
        </w:rPr>
        <w:t>1</w:t>
      </w:r>
      <w:r>
        <w:rPr>
          <w:rFonts w:hint="eastAsia" w:ascii="宋体" w:hAnsi="宋体" w:eastAsia="宋体" w:cs="宋体"/>
          <w:bCs w:val="0"/>
          <w:color w:val="auto"/>
          <w:kern w:val="2"/>
          <w:sz w:val="24"/>
          <w:szCs w:val="24"/>
          <w:highlight w:val="none"/>
          <w:lang w:eastAsia="zh-CN"/>
        </w:rPr>
        <w:t>）</w:t>
      </w:r>
      <w:r>
        <w:rPr>
          <w:rFonts w:hint="eastAsia" w:ascii="宋体" w:hAnsi="宋体" w:eastAsia="宋体" w:cs="宋体"/>
          <w:bCs w:val="0"/>
          <w:color w:val="auto"/>
          <w:kern w:val="2"/>
          <w:sz w:val="24"/>
          <w:szCs w:val="24"/>
          <w:highlight w:val="none"/>
        </w:rPr>
        <w:t>按摩池/泡池水处理机房施工界面划分</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87"/>
        <w:gridCol w:w="5964"/>
        <w:gridCol w:w="1183"/>
        <w:gridCol w:w="1926"/>
      </w:tblGrid>
      <w:tr w14:paraId="55C0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trPr>
        <w:tc>
          <w:tcPr>
            <w:tcW w:w="793" w:type="dxa"/>
            <w:vAlign w:val="center"/>
          </w:tcPr>
          <w:p w14:paraId="5614FBF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6030" w:type="dxa"/>
            <w:vAlign w:val="center"/>
          </w:tcPr>
          <w:p w14:paraId="7E13695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工作内容</w:t>
            </w:r>
          </w:p>
        </w:tc>
        <w:tc>
          <w:tcPr>
            <w:tcW w:w="1194" w:type="dxa"/>
            <w:vAlign w:val="center"/>
          </w:tcPr>
          <w:p w14:paraId="49BCAE9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其他单位</w:t>
            </w:r>
          </w:p>
        </w:tc>
        <w:tc>
          <w:tcPr>
            <w:tcW w:w="1945" w:type="dxa"/>
            <w:vAlign w:val="center"/>
          </w:tcPr>
          <w:p w14:paraId="66834A2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按摩池/泡池设备供应安装单位</w:t>
            </w:r>
          </w:p>
        </w:tc>
      </w:tr>
      <w:tr w14:paraId="28A2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93" w:type="dxa"/>
            <w:vAlign w:val="center"/>
          </w:tcPr>
          <w:p w14:paraId="5101D2B6">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6030" w:type="dxa"/>
            <w:vAlign w:val="center"/>
          </w:tcPr>
          <w:p w14:paraId="4DFD5E58">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机房主体结构、内墙砌筑和抹灰等</w:t>
            </w:r>
          </w:p>
        </w:tc>
        <w:tc>
          <w:tcPr>
            <w:tcW w:w="1194" w:type="dxa"/>
            <w:vAlign w:val="center"/>
          </w:tcPr>
          <w:p w14:paraId="0C1921B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45" w:type="dxa"/>
            <w:vAlign w:val="center"/>
          </w:tcPr>
          <w:p w14:paraId="3B2F822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B05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93" w:type="dxa"/>
            <w:vAlign w:val="center"/>
          </w:tcPr>
          <w:p w14:paraId="6F96FC8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2</w:t>
            </w:r>
          </w:p>
        </w:tc>
        <w:tc>
          <w:tcPr>
            <w:tcW w:w="6030" w:type="dxa"/>
            <w:vAlign w:val="center"/>
          </w:tcPr>
          <w:p w14:paraId="0E627653">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机房地面找平及垫层、设备基础、建筑垃圾清理。</w:t>
            </w:r>
          </w:p>
        </w:tc>
        <w:tc>
          <w:tcPr>
            <w:tcW w:w="1194" w:type="dxa"/>
            <w:vAlign w:val="center"/>
          </w:tcPr>
          <w:p w14:paraId="7262194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45" w:type="dxa"/>
            <w:vAlign w:val="center"/>
          </w:tcPr>
          <w:p w14:paraId="3871A64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2B9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93" w:type="dxa"/>
            <w:vAlign w:val="center"/>
          </w:tcPr>
          <w:p w14:paraId="1948CB9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3</w:t>
            </w:r>
          </w:p>
        </w:tc>
        <w:tc>
          <w:tcPr>
            <w:tcW w:w="6030" w:type="dxa"/>
            <w:vAlign w:val="center"/>
          </w:tcPr>
          <w:p w14:paraId="18B616AD">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机房内精装工程的防水、天棚抹灰和其他装修工作</w:t>
            </w:r>
          </w:p>
        </w:tc>
        <w:tc>
          <w:tcPr>
            <w:tcW w:w="1194" w:type="dxa"/>
            <w:vAlign w:val="center"/>
          </w:tcPr>
          <w:p w14:paraId="1C90A9A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45" w:type="dxa"/>
            <w:vAlign w:val="center"/>
          </w:tcPr>
          <w:p w14:paraId="74C8B44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D67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93" w:type="dxa"/>
            <w:vAlign w:val="center"/>
          </w:tcPr>
          <w:p w14:paraId="351D79D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4</w:t>
            </w:r>
          </w:p>
        </w:tc>
        <w:tc>
          <w:tcPr>
            <w:tcW w:w="6030" w:type="dxa"/>
            <w:vAlign w:val="center"/>
          </w:tcPr>
          <w:p w14:paraId="46D7FE2E">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在砼结构及砌块墙体上的预留孔、洞</w:t>
            </w:r>
          </w:p>
        </w:tc>
        <w:tc>
          <w:tcPr>
            <w:tcW w:w="1194" w:type="dxa"/>
            <w:vAlign w:val="center"/>
          </w:tcPr>
          <w:p w14:paraId="673EF2B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45" w:type="dxa"/>
            <w:vAlign w:val="center"/>
          </w:tcPr>
          <w:p w14:paraId="74F245AC">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r>
      <w:tr w14:paraId="5E11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93" w:type="dxa"/>
            <w:vAlign w:val="center"/>
          </w:tcPr>
          <w:p w14:paraId="613AEA2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5</w:t>
            </w:r>
          </w:p>
        </w:tc>
        <w:tc>
          <w:tcPr>
            <w:tcW w:w="6030" w:type="dxa"/>
            <w:vAlign w:val="center"/>
          </w:tcPr>
          <w:p w14:paraId="2C3666DD">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总电箱下桩头接线至按摩池/泡池设备配电箱及之后包含按摩池/泡池配电箱的所有配电工程</w:t>
            </w:r>
          </w:p>
        </w:tc>
        <w:tc>
          <w:tcPr>
            <w:tcW w:w="1194" w:type="dxa"/>
            <w:vAlign w:val="center"/>
          </w:tcPr>
          <w:p w14:paraId="3E14EDB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c>
          <w:tcPr>
            <w:tcW w:w="1945" w:type="dxa"/>
            <w:vAlign w:val="center"/>
          </w:tcPr>
          <w:p w14:paraId="43EFB57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0897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93" w:type="dxa"/>
            <w:vAlign w:val="center"/>
          </w:tcPr>
          <w:p w14:paraId="5291381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6</w:t>
            </w:r>
          </w:p>
        </w:tc>
        <w:tc>
          <w:tcPr>
            <w:tcW w:w="6030" w:type="dxa"/>
            <w:vAlign w:val="center"/>
          </w:tcPr>
          <w:p w14:paraId="2822EC88">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带有阀门的市政补水管按图纸规格，分别接进按摩池/泡池设备房（进机房1米内），市政补水管需做好水表、倒流防止器、Y型过滤器等。</w:t>
            </w:r>
          </w:p>
        </w:tc>
        <w:tc>
          <w:tcPr>
            <w:tcW w:w="1194" w:type="dxa"/>
            <w:vAlign w:val="center"/>
          </w:tcPr>
          <w:p w14:paraId="5ED8ED2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45" w:type="dxa"/>
            <w:vAlign w:val="center"/>
          </w:tcPr>
          <w:p w14:paraId="430DEF0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r>
      <w:tr w14:paraId="3744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93" w:type="dxa"/>
            <w:vAlign w:val="center"/>
          </w:tcPr>
          <w:p w14:paraId="3141FC7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7</w:t>
            </w:r>
          </w:p>
        </w:tc>
        <w:tc>
          <w:tcPr>
            <w:tcW w:w="6030" w:type="dxa"/>
            <w:vAlign w:val="center"/>
          </w:tcPr>
          <w:p w14:paraId="4B7EEF51">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市政补水管接入按摩池/泡池系统；</w:t>
            </w:r>
          </w:p>
        </w:tc>
        <w:tc>
          <w:tcPr>
            <w:tcW w:w="1194" w:type="dxa"/>
            <w:vAlign w:val="center"/>
          </w:tcPr>
          <w:p w14:paraId="5FAFD5F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c>
          <w:tcPr>
            <w:tcW w:w="1945" w:type="dxa"/>
            <w:vAlign w:val="center"/>
          </w:tcPr>
          <w:p w14:paraId="77B0088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49EC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93" w:type="dxa"/>
            <w:vAlign w:val="center"/>
          </w:tcPr>
          <w:p w14:paraId="62053C6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8</w:t>
            </w:r>
          </w:p>
        </w:tc>
        <w:tc>
          <w:tcPr>
            <w:tcW w:w="6030" w:type="dxa"/>
            <w:vAlign w:val="center"/>
          </w:tcPr>
          <w:p w14:paraId="7DEB8220">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按摩池/泡池水处理设备及管道的安装；</w:t>
            </w:r>
          </w:p>
        </w:tc>
        <w:tc>
          <w:tcPr>
            <w:tcW w:w="1194" w:type="dxa"/>
            <w:vAlign w:val="center"/>
          </w:tcPr>
          <w:p w14:paraId="4EEBFAB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945" w:type="dxa"/>
            <w:vAlign w:val="center"/>
          </w:tcPr>
          <w:p w14:paraId="4DFEFAE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1D1D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93" w:type="dxa"/>
            <w:vAlign w:val="center"/>
          </w:tcPr>
          <w:p w14:paraId="093B04A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9</w:t>
            </w:r>
          </w:p>
        </w:tc>
        <w:tc>
          <w:tcPr>
            <w:tcW w:w="6030" w:type="dxa"/>
            <w:vAlign w:val="center"/>
          </w:tcPr>
          <w:p w14:paraId="382D2A5E">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集水井以及机房内坡向集水井的排水沟的设计和预留，并做好盖板</w:t>
            </w:r>
          </w:p>
        </w:tc>
        <w:tc>
          <w:tcPr>
            <w:tcW w:w="1194" w:type="dxa"/>
            <w:vAlign w:val="center"/>
          </w:tcPr>
          <w:p w14:paraId="37BF337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45" w:type="dxa"/>
            <w:vAlign w:val="center"/>
          </w:tcPr>
          <w:p w14:paraId="3D2705FF">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p>
        </w:tc>
      </w:tr>
      <w:tr w14:paraId="4DC5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93" w:type="dxa"/>
            <w:vAlign w:val="center"/>
          </w:tcPr>
          <w:p w14:paraId="1D74219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w:t>
            </w:r>
          </w:p>
        </w:tc>
        <w:tc>
          <w:tcPr>
            <w:tcW w:w="6030" w:type="dxa"/>
            <w:vAlign w:val="center"/>
          </w:tcPr>
          <w:p w14:paraId="0B39BCA2">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集水井内潜水排污泵应按满足图纸要求的设计流量提供并安装，以及排污管路的安装，以及集水井内潜污泵、闸阀、压力表、单向阀、软接、及污水排出管</w:t>
            </w:r>
          </w:p>
        </w:tc>
        <w:tc>
          <w:tcPr>
            <w:tcW w:w="1194" w:type="dxa"/>
            <w:vAlign w:val="center"/>
          </w:tcPr>
          <w:p w14:paraId="4106425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45" w:type="dxa"/>
            <w:vAlign w:val="center"/>
          </w:tcPr>
          <w:p w14:paraId="282C7D0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r>
      <w:tr w14:paraId="32E9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93" w:type="dxa"/>
            <w:vAlign w:val="center"/>
          </w:tcPr>
          <w:p w14:paraId="3AADA07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11</w:t>
            </w:r>
          </w:p>
        </w:tc>
        <w:tc>
          <w:tcPr>
            <w:tcW w:w="6030" w:type="dxa"/>
            <w:vAlign w:val="center"/>
          </w:tcPr>
          <w:p w14:paraId="31F2EEB8">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机房内所有排水沟渠盖板。</w:t>
            </w:r>
          </w:p>
        </w:tc>
        <w:tc>
          <w:tcPr>
            <w:tcW w:w="1194" w:type="dxa"/>
            <w:vAlign w:val="center"/>
          </w:tcPr>
          <w:p w14:paraId="4FBCE6B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945" w:type="dxa"/>
            <w:vAlign w:val="center"/>
          </w:tcPr>
          <w:p w14:paraId="1CEC5E4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r>
      <w:tr w14:paraId="6231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93" w:type="dxa"/>
            <w:vAlign w:val="center"/>
          </w:tcPr>
          <w:p w14:paraId="324C4BF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12</w:t>
            </w:r>
          </w:p>
        </w:tc>
        <w:tc>
          <w:tcPr>
            <w:tcW w:w="6030" w:type="dxa"/>
            <w:vAlign w:val="center"/>
          </w:tcPr>
          <w:p w14:paraId="340B367F">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机房内空调及通风系统工程。</w:t>
            </w:r>
          </w:p>
        </w:tc>
        <w:tc>
          <w:tcPr>
            <w:tcW w:w="1194" w:type="dxa"/>
            <w:vAlign w:val="center"/>
          </w:tcPr>
          <w:p w14:paraId="2D3671F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945" w:type="dxa"/>
            <w:vAlign w:val="center"/>
          </w:tcPr>
          <w:p w14:paraId="1CBEE3A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r>
      <w:tr w14:paraId="1373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93" w:type="dxa"/>
            <w:vAlign w:val="center"/>
          </w:tcPr>
          <w:p w14:paraId="1688759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13</w:t>
            </w:r>
          </w:p>
        </w:tc>
        <w:tc>
          <w:tcPr>
            <w:tcW w:w="6030" w:type="dxa"/>
            <w:vAlign w:val="center"/>
          </w:tcPr>
          <w:p w14:paraId="0C130DCD">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机房内照明、应急与疏散及消防工程。</w:t>
            </w:r>
          </w:p>
        </w:tc>
        <w:tc>
          <w:tcPr>
            <w:tcW w:w="1194" w:type="dxa"/>
            <w:vAlign w:val="center"/>
          </w:tcPr>
          <w:p w14:paraId="520527F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945" w:type="dxa"/>
            <w:vAlign w:val="center"/>
          </w:tcPr>
          <w:p w14:paraId="2ADA4AC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9B6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793" w:type="dxa"/>
            <w:vAlign w:val="center"/>
          </w:tcPr>
          <w:p w14:paraId="515A547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14</w:t>
            </w:r>
          </w:p>
        </w:tc>
        <w:tc>
          <w:tcPr>
            <w:tcW w:w="6030" w:type="dxa"/>
            <w:vAlign w:val="center"/>
          </w:tcPr>
          <w:p w14:paraId="1166E4D9">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机房等电位扁铁的提供，以及扁铁与建筑物等电位的连接</w:t>
            </w:r>
          </w:p>
        </w:tc>
        <w:tc>
          <w:tcPr>
            <w:tcW w:w="1194" w:type="dxa"/>
            <w:vAlign w:val="center"/>
          </w:tcPr>
          <w:p w14:paraId="3366123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45" w:type="dxa"/>
            <w:vAlign w:val="center"/>
          </w:tcPr>
          <w:p w14:paraId="6DD61A2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3FE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93" w:type="dxa"/>
            <w:vAlign w:val="center"/>
          </w:tcPr>
          <w:p w14:paraId="6E72F12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15</w:t>
            </w:r>
          </w:p>
        </w:tc>
        <w:tc>
          <w:tcPr>
            <w:tcW w:w="6030" w:type="dxa"/>
            <w:vAlign w:val="center"/>
          </w:tcPr>
          <w:p w14:paraId="4A9A9A58">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机房等电位扁铁到各金属设备之间的等电位连接</w:t>
            </w:r>
          </w:p>
        </w:tc>
        <w:tc>
          <w:tcPr>
            <w:tcW w:w="1194" w:type="dxa"/>
            <w:vAlign w:val="center"/>
          </w:tcPr>
          <w:p w14:paraId="282003E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c>
          <w:tcPr>
            <w:tcW w:w="1945" w:type="dxa"/>
            <w:vAlign w:val="center"/>
          </w:tcPr>
          <w:p w14:paraId="6F4277E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4302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93" w:type="dxa"/>
            <w:vAlign w:val="center"/>
          </w:tcPr>
          <w:p w14:paraId="3F55B49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16</w:t>
            </w:r>
          </w:p>
        </w:tc>
        <w:tc>
          <w:tcPr>
            <w:tcW w:w="6030" w:type="dxa"/>
            <w:vAlign w:val="center"/>
          </w:tcPr>
          <w:p w14:paraId="55FEE76A">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在砼结构及砌块墙体上的预留孔洞、管、盒、防水套管、预埋件等施工的封堵。</w:t>
            </w:r>
          </w:p>
        </w:tc>
        <w:tc>
          <w:tcPr>
            <w:tcW w:w="1194" w:type="dxa"/>
            <w:vAlign w:val="center"/>
          </w:tcPr>
          <w:p w14:paraId="2F00BB6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c>
          <w:tcPr>
            <w:tcW w:w="1945" w:type="dxa"/>
            <w:vAlign w:val="center"/>
          </w:tcPr>
          <w:p w14:paraId="4A23305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6A8B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93" w:type="dxa"/>
            <w:vAlign w:val="center"/>
          </w:tcPr>
          <w:p w14:paraId="522CFEA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17</w:t>
            </w:r>
          </w:p>
        </w:tc>
        <w:tc>
          <w:tcPr>
            <w:tcW w:w="6030" w:type="dxa"/>
            <w:vAlign w:val="center"/>
          </w:tcPr>
          <w:p w14:paraId="23333440">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按摩池/泡池系统水处理及循环管道及设备（包含但不局限于其手自动控制及故障报警，按摩池/泡池配电箱预留无缘干接点，输出对应信号，预留接入楼宇控制系统端口）</w:t>
            </w:r>
          </w:p>
        </w:tc>
        <w:tc>
          <w:tcPr>
            <w:tcW w:w="1194" w:type="dxa"/>
            <w:vAlign w:val="center"/>
          </w:tcPr>
          <w:p w14:paraId="7E68495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c>
          <w:tcPr>
            <w:tcW w:w="1945" w:type="dxa"/>
            <w:vAlign w:val="center"/>
          </w:tcPr>
          <w:p w14:paraId="01D1D956">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bl>
    <w:p w14:paraId="00DB8D18">
      <w:pPr>
        <w:pageBreakBefore w:val="0"/>
        <w:kinsoku/>
        <w:wordWrap/>
        <w:overflowPunct/>
        <w:topLinePunct w:val="0"/>
        <w:bidi w:val="0"/>
        <w:spacing w:line="460" w:lineRule="exact"/>
        <w:rPr>
          <w:rFonts w:hint="eastAsia" w:ascii="宋体" w:hAnsi="宋体" w:eastAsia="宋体" w:cs="宋体"/>
          <w:color w:val="auto"/>
          <w:sz w:val="24"/>
          <w:szCs w:val="24"/>
          <w:highlight w:val="none"/>
        </w:rPr>
      </w:pPr>
    </w:p>
    <w:p w14:paraId="01C07371">
      <w:pPr>
        <w:pStyle w:val="5"/>
        <w:pageBreakBefore w:val="0"/>
        <w:numPr>
          <w:ilvl w:val="0"/>
          <w:numId w:val="0"/>
        </w:numPr>
        <w:kinsoku/>
        <w:wordWrap/>
        <w:overflowPunct/>
        <w:topLinePunct w:val="0"/>
        <w:bidi w:val="0"/>
        <w:spacing w:before="0" w:after="0" w:line="460" w:lineRule="exact"/>
        <w:ind w:leftChars="0"/>
        <w:rPr>
          <w:rFonts w:hint="eastAsia" w:ascii="宋体" w:hAnsi="宋体" w:eastAsia="宋体" w:cs="宋体"/>
          <w:bCs w:val="0"/>
          <w:color w:val="auto"/>
          <w:kern w:val="2"/>
          <w:sz w:val="24"/>
          <w:szCs w:val="24"/>
          <w:highlight w:val="none"/>
        </w:rPr>
      </w:pPr>
      <w:r>
        <w:rPr>
          <w:rFonts w:hint="eastAsia" w:ascii="宋体" w:hAnsi="宋体" w:eastAsia="宋体" w:cs="宋体"/>
          <w:bCs w:val="0"/>
          <w:color w:val="auto"/>
          <w:kern w:val="2"/>
          <w:sz w:val="24"/>
          <w:szCs w:val="24"/>
          <w:highlight w:val="none"/>
          <w:lang w:eastAsia="zh-CN"/>
        </w:rPr>
        <w:t>（</w:t>
      </w:r>
      <w:r>
        <w:rPr>
          <w:rFonts w:hint="eastAsia" w:ascii="宋体" w:hAnsi="宋体" w:eastAsia="宋体" w:cs="宋体"/>
          <w:bCs w:val="0"/>
          <w:color w:val="auto"/>
          <w:kern w:val="2"/>
          <w:sz w:val="24"/>
          <w:szCs w:val="24"/>
          <w:highlight w:val="none"/>
          <w:lang w:val="en-US" w:eastAsia="zh-CN"/>
        </w:rPr>
        <w:t>2</w:t>
      </w:r>
      <w:r>
        <w:rPr>
          <w:rFonts w:hint="eastAsia" w:ascii="宋体" w:hAnsi="宋体" w:eastAsia="宋体" w:cs="宋体"/>
          <w:bCs w:val="0"/>
          <w:color w:val="auto"/>
          <w:kern w:val="2"/>
          <w:sz w:val="24"/>
          <w:szCs w:val="24"/>
          <w:highlight w:val="none"/>
          <w:lang w:eastAsia="zh-CN"/>
        </w:rPr>
        <w:t>）</w:t>
      </w:r>
      <w:r>
        <w:rPr>
          <w:rFonts w:hint="eastAsia" w:ascii="宋体" w:hAnsi="宋体" w:eastAsia="宋体" w:cs="宋体"/>
          <w:bCs w:val="0"/>
          <w:color w:val="auto"/>
          <w:kern w:val="2"/>
          <w:sz w:val="24"/>
          <w:szCs w:val="24"/>
          <w:highlight w:val="none"/>
        </w:rPr>
        <w:t>按摩池/泡池区域施工界面划分</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23"/>
        <w:gridCol w:w="5804"/>
        <w:gridCol w:w="1203"/>
        <w:gridCol w:w="2030"/>
      </w:tblGrid>
      <w:tr w14:paraId="44AC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3" w:type="dxa"/>
            <w:vAlign w:val="center"/>
          </w:tcPr>
          <w:p w14:paraId="4F195F7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5805" w:type="dxa"/>
            <w:vAlign w:val="center"/>
          </w:tcPr>
          <w:p w14:paraId="1B710E8C">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工作内容</w:t>
            </w:r>
          </w:p>
        </w:tc>
        <w:tc>
          <w:tcPr>
            <w:tcW w:w="1203" w:type="dxa"/>
            <w:vAlign w:val="center"/>
          </w:tcPr>
          <w:p w14:paraId="5B47CAB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其他单位</w:t>
            </w:r>
          </w:p>
        </w:tc>
        <w:tc>
          <w:tcPr>
            <w:tcW w:w="2030" w:type="dxa"/>
            <w:vAlign w:val="center"/>
          </w:tcPr>
          <w:p w14:paraId="6C383DE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按摩池/泡池设备供应/安装单位</w:t>
            </w:r>
          </w:p>
        </w:tc>
      </w:tr>
      <w:tr w14:paraId="66E2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3" w:type="dxa"/>
            <w:vAlign w:val="center"/>
          </w:tcPr>
          <w:p w14:paraId="232FE2AB">
            <w:pPr>
              <w:keepNext w:val="0"/>
              <w:keepLines w:val="0"/>
              <w:pageBreakBefore w:val="0"/>
              <w:widowControl/>
              <w:numPr>
                <w:ilvl w:val="0"/>
                <w:numId w:val="0"/>
              </w:numPr>
              <w:kinsoku/>
              <w:wordWrap/>
              <w:overflowPunct/>
              <w:topLinePunct w:val="0"/>
              <w:autoSpaceDE/>
              <w:autoSpaceDN/>
              <w:bidi w:val="0"/>
              <w:adjustRightInd w:val="0"/>
              <w:snapToGrid w:val="0"/>
              <w:spacing w:line="360" w:lineRule="exact"/>
              <w:ind w:left="420" w:leftChars="0" w:hanging="42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lang w:val="en-US" w:eastAsia="zh-CN" w:bidi="ar-SA"/>
              </w:rPr>
              <w:t>1</w:t>
            </w:r>
          </w:p>
        </w:tc>
        <w:tc>
          <w:tcPr>
            <w:tcW w:w="5805" w:type="dxa"/>
            <w:vAlign w:val="center"/>
          </w:tcPr>
          <w:p w14:paraId="7F177503">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按摩池/泡池池体结构，溢水沟结构</w:t>
            </w:r>
          </w:p>
        </w:tc>
        <w:tc>
          <w:tcPr>
            <w:tcW w:w="1203" w:type="dxa"/>
            <w:vAlign w:val="center"/>
          </w:tcPr>
          <w:p w14:paraId="41F0EB7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030" w:type="dxa"/>
            <w:vAlign w:val="center"/>
          </w:tcPr>
          <w:p w14:paraId="5285824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872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3" w:type="dxa"/>
            <w:vAlign w:val="center"/>
          </w:tcPr>
          <w:p w14:paraId="25A70B08">
            <w:pPr>
              <w:keepNext w:val="0"/>
              <w:keepLines w:val="0"/>
              <w:pageBreakBefore w:val="0"/>
              <w:widowControl/>
              <w:numPr>
                <w:ilvl w:val="0"/>
                <w:numId w:val="0"/>
              </w:numPr>
              <w:kinsoku/>
              <w:wordWrap/>
              <w:overflowPunct/>
              <w:topLinePunct w:val="0"/>
              <w:autoSpaceDE/>
              <w:autoSpaceDN/>
              <w:bidi w:val="0"/>
              <w:adjustRightInd w:val="0"/>
              <w:snapToGrid w:val="0"/>
              <w:spacing w:line="360" w:lineRule="exact"/>
              <w:ind w:left="420" w:leftChars="0" w:hanging="42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lang w:val="en-US" w:eastAsia="zh-CN" w:bidi="ar-SA"/>
              </w:rPr>
              <w:t>2</w:t>
            </w:r>
          </w:p>
        </w:tc>
        <w:tc>
          <w:tcPr>
            <w:tcW w:w="5805" w:type="dxa"/>
            <w:shd w:val="clear" w:color="auto" w:fill="FFFFFF" w:themeFill="background1"/>
            <w:vAlign w:val="center"/>
          </w:tcPr>
          <w:p w14:paraId="145EF798">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按摩池/泡池池底回填找平、池壁内二次结构体以及抹平，池底池壁贴马赛克，池壁压顶石的设置以及水沟的装修工作</w:t>
            </w:r>
          </w:p>
        </w:tc>
        <w:tc>
          <w:tcPr>
            <w:tcW w:w="1203" w:type="dxa"/>
            <w:shd w:val="clear" w:color="auto" w:fill="FFFFFF" w:themeFill="background1"/>
            <w:vAlign w:val="center"/>
          </w:tcPr>
          <w:p w14:paraId="1A4D32D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030" w:type="dxa"/>
            <w:shd w:val="clear" w:color="auto" w:fill="FFFFFF" w:themeFill="background1"/>
            <w:vAlign w:val="center"/>
          </w:tcPr>
          <w:p w14:paraId="1EA4844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C83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3" w:type="dxa"/>
            <w:vAlign w:val="center"/>
          </w:tcPr>
          <w:p w14:paraId="4804705F">
            <w:pPr>
              <w:keepNext w:val="0"/>
              <w:keepLines w:val="0"/>
              <w:pageBreakBefore w:val="0"/>
              <w:widowControl/>
              <w:numPr>
                <w:ilvl w:val="0"/>
                <w:numId w:val="0"/>
              </w:numPr>
              <w:kinsoku/>
              <w:wordWrap/>
              <w:overflowPunct/>
              <w:topLinePunct w:val="0"/>
              <w:autoSpaceDE/>
              <w:autoSpaceDN/>
              <w:bidi w:val="0"/>
              <w:adjustRightInd w:val="0"/>
              <w:snapToGrid w:val="0"/>
              <w:spacing w:line="360" w:lineRule="exact"/>
              <w:ind w:left="420" w:leftChars="0" w:hanging="42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lang w:val="en-US" w:eastAsia="zh-CN" w:bidi="ar-SA"/>
              </w:rPr>
              <w:t>3</w:t>
            </w:r>
          </w:p>
        </w:tc>
        <w:tc>
          <w:tcPr>
            <w:tcW w:w="5805" w:type="dxa"/>
            <w:shd w:val="clear" w:color="auto" w:fill="FFFFFF" w:themeFill="background1"/>
            <w:vAlign w:val="center"/>
          </w:tcPr>
          <w:p w14:paraId="6D57CAFE">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按摩池/泡池套管的预埋、模板开孔、套管定位定标高等；</w:t>
            </w:r>
          </w:p>
        </w:tc>
        <w:tc>
          <w:tcPr>
            <w:tcW w:w="1203" w:type="dxa"/>
            <w:shd w:val="clear" w:color="auto" w:fill="FFFFFF" w:themeFill="background1"/>
            <w:vAlign w:val="center"/>
          </w:tcPr>
          <w:p w14:paraId="5C13745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2030" w:type="dxa"/>
            <w:shd w:val="clear" w:color="auto" w:fill="FFFFFF" w:themeFill="background1"/>
            <w:vAlign w:val="center"/>
          </w:tcPr>
          <w:p w14:paraId="716360C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r>
      <w:tr w14:paraId="10A5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3" w:type="dxa"/>
            <w:vAlign w:val="center"/>
          </w:tcPr>
          <w:p w14:paraId="38FF9D34">
            <w:pPr>
              <w:keepNext w:val="0"/>
              <w:keepLines w:val="0"/>
              <w:pageBreakBefore w:val="0"/>
              <w:widowControl/>
              <w:numPr>
                <w:ilvl w:val="0"/>
                <w:numId w:val="0"/>
              </w:numPr>
              <w:kinsoku/>
              <w:wordWrap/>
              <w:overflowPunct/>
              <w:topLinePunct w:val="0"/>
              <w:autoSpaceDE/>
              <w:autoSpaceDN/>
              <w:bidi w:val="0"/>
              <w:adjustRightInd w:val="0"/>
              <w:snapToGrid w:val="0"/>
              <w:spacing w:line="360" w:lineRule="exact"/>
              <w:ind w:left="420" w:leftChars="0" w:hanging="42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lang w:val="en-US" w:eastAsia="zh-CN" w:bidi="ar-SA"/>
              </w:rPr>
              <w:t>4</w:t>
            </w:r>
          </w:p>
        </w:tc>
        <w:tc>
          <w:tcPr>
            <w:tcW w:w="5805" w:type="dxa"/>
            <w:shd w:val="clear" w:color="auto" w:fill="FFFFFF" w:themeFill="background1"/>
            <w:vAlign w:val="center"/>
          </w:tcPr>
          <w:p w14:paraId="413EA244">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不锈钢扶梯预埋件的预埋；</w:t>
            </w:r>
          </w:p>
        </w:tc>
        <w:tc>
          <w:tcPr>
            <w:tcW w:w="1203" w:type="dxa"/>
            <w:shd w:val="clear" w:color="auto" w:fill="FFFFFF" w:themeFill="background1"/>
            <w:vAlign w:val="center"/>
          </w:tcPr>
          <w:p w14:paraId="1AE3E46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030" w:type="dxa"/>
            <w:shd w:val="clear" w:color="auto" w:fill="FFFFFF" w:themeFill="background1"/>
            <w:vAlign w:val="center"/>
          </w:tcPr>
          <w:p w14:paraId="33BDBA6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r>
      <w:tr w14:paraId="5489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3" w:type="dxa"/>
            <w:vAlign w:val="center"/>
          </w:tcPr>
          <w:p w14:paraId="4325A9E9">
            <w:pPr>
              <w:keepNext w:val="0"/>
              <w:keepLines w:val="0"/>
              <w:pageBreakBefore w:val="0"/>
              <w:widowControl/>
              <w:numPr>
                <w:ilvl w:val="0"/>
                <w:numId w:val="0"/>
              </w:numPr>
              <w:kinsoku/>
              <w:wordWrap/>
              <w:overflowPunct/>
              <w:topLinePunct w:val="0"/>
              <w:autoSpaceDE/>
              <w:autoSpaceDN/>
              <w:bidi w:val="0"/>
              <w:adjustRightInd w:val="0"/>
              <w:snapToGrid w:val="0"/>
              <w:spacing w:line="360" w:lineRule="exact"/>
              <w:ind w:left="420" w:leftChars="0" w:hanging="42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lang w:val="en-US" w:eastAsia="zh-CN" w:bidi="ar-SA"/>
              </w:rPr>
              <w:t>5</w:t>
            </w:r>
          </w:p>
        </w:tc>
        <w:tc>
          <w:tcPr>
            <w:tcW w:w="5805" w:type="dxa"/>
            <w:shd w:val="clear" w:color="auto" w:fill="FFFFFF" w:themeFill="background1"/>
            <w:vAlign w:val="center"/>
          </w:tcPr>
          <w:p w14:paraId="16F42271">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按摩池/泡池布水口、池底防虹吸回水器</w:t>
            </w:r>
          </w:p>
        </w:tc>
        <w:tc>
          <w:tcPr>
            <w:tcW w:w="1203" w:type="dxa"/>
            <w:shd w:val="clear" w:color="auto" w:fill="FFFFFF" w:themeFill="background1"/>
            <w:vAlign w:val="center"/>
          </w:tcPr>
          <w:p w14:paraId="2EDA17E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c>
          <w:tcPr>
            <w:tcW w:w="2030" w:type="dxa"/>
            <w:shd w:val="clear" w:color="auto" w:fill="FFFFFF" w:themeFill="background1"/>
            <w:vAlign w:val="center"/>
          </w:tcPr>
          <w:p w14:paraId="7FD2C98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6BDA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3" w:type="dxa"/>
            <w:vAlign w:val="center"/>
          </w:tcPr>
          <w:p w14:paraId="38CBFC66">
            <w:pPr>
              <w:keepNext w:val="0"/>
              <w:keepLines w:val="0"/>
              <w:pageBreakBefore w:val="0"/>
              <w:widowControl/>
              <w:numPr>
                <w:ilvl w:val="0"/>
                <w:numId w:val="0"/>
              </w:numPr>
              <w:kinsoku/>
              <w:wordWrap/>
              <w:overflowPunct/>
              <w:topLinePunct w:val="0"/>
              <w:autoSpaceDE/>
              <w:autoSpaceDN/>
              <w:bidi w:val="0"/>
              <w:adjustRightInd w:val="0"/>
              <w:snapToGrid w:val="0"/>
              <w:spacing w:line="360" w:lineRule="exact"/>
              <w:ind w:left="420" w:leftChars="0" w:hanging="42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lang w:val="en-US" w:eastAsia="zh-CN" w:bidi="ar-SA"/>
              </w:rPr>
              <w:t>6</w:t>
            </w:r>
          </w:p>
        </w:tc>
        <w:tc>
          <w:tcPr>
            <w:tcW w:w="5805" w:type="dxa"/>
            <w:shd w:val="clear" w:color="auto" w:fill="FFFFFF" w:themeFill="background1"/>
            <w:vAlign w:val="center"/>
          </w:tcPr>
          <w:p w14:paraId="049E9B57">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LED嵌壁水下灯等附件的安装；</w:t>
            </w:r>
          </w:p>
        </w:tc>
        <w:tc>
          <w:tcPr>
            <w:tcW w:w="1203" w:type="dxa"/>
            <w:shd w:val="clear" w:color="auto" w:fill="FFFFFF" w:themeFill="background1"/>
            <w:vAlign w:val="center"/>
          </w:tcPr>
          <w:p w14:paraId="53BA1A9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c>
          <w:tcPr>
            <w:tcW w:w="2030" w:type="dxa"/>
            <w:shd w:val="clear" w:color="auto" w:fill="FFFFFF" w:themeFill="background1"/>
            <w:vAlign w:val="center"/>
          </w:tcPr>
          <w:p w14:paraId="259BFA3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71E7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3" w:type="dxa"/>
            <w:vAlign w:val="center"/>
          </w:tcPr>
          <w:p w14:paraId="4363A759">
            <w:pPr>
              <w:keepNext w:val="0"/>
              <w:keepLines w:val="0"/>
              <w:pageBreakBefore w:val="0"/>
              <w:widowControl/>
              <w:numPr>
                <w:ilvl w:val="0"/>
                <w:numId w:val="0"/>
              </w:numPr>
              <w:kinsoku/>
              <w:wordWrap/>
              <w:overflowPunct/>
              <w:topLinePunct w:val="0"/>
              <w:autoSpaceDE/>
              <w:autoSpaceDN/>
              <w:bidi w:val="0"/>
              <w:adjustRightInd w:val="0"/>
              <w:snapToGrid w:val="0"/>
              <w:spacing w:line="360" w:lineRule="exact"/>
              <w:ind w:left="420" w:leftChars="0" w:hanging="42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lang w:val="en-US" w:eastAsia="zh-CN" w:bidi="ar-SA"/>
              </w:rPr>
              <w:t>7</w:t>
            </w:r>
          </w:p>
        </w:tc>
        <w:tc>
          <w:tcPr>
            <w:tcW w:w="5805" w:type="dxa"/>
            <w:shd w:val="clear" w:color="auto" w:fill="FFFFFF" w:themeFill="background1"/>
            <w:vAlign w:val="center"/>
          </w:tcPr>
          <w:p w14:paraId="6117D493">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按摩池/泡池各附件连接到按摩池/泡池机房设备的管路安装</w:t>
            </w:r>
          </w:p>
        </w:tc>
        <w:tc>
          <w:tcPr>
            <w:tcW w:w="1203" w:type="dxa"/>
            <w:shd w:val="clear" w:color="auto" w:fill="FFFFFF" w:themeFill="background1"/>
            <w:vAlign w:val="center"/>
          </w:tcPr>
          <w:p w14:paraId="6A43040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c>
          <w:tcPr>
            <w:tcW w:w="2030" w:type="dxa"/>
            <w:shd w:val="clear" w:color="auto" w:fill="FFFFFF" w:themeFill="background1"/>
            <w:vAlign w:val="center"/>
          </w:tcPr>
          <w:p w14:paraId="27FEB80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48A2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3" w:type="dxa"/>
            <w:vAlign w:val="center"/>
          </w:tcPr>
          <w:p w14:paraId="5232E926">
            <w:pPr>
              <w:keepNext w:val="0"/>
              <w:keepLines w:val="0"/>
              <w:pageBreakBefore w:val="0"/>
              <w:widowControl/>
              <w:numPr>
                <w:ilvl w:val="0"/>
                <w:numId w:val="0"/>
              </w:numPr>
              <w:kinsoku/>
              <w:wordWrap/>
              <w:overflowPunct/>
              <w:topLinePunct w:val="0"/>
              <w:autoSpaceDE/>
              <w:autoSpaceDN/>
              <w:bidi w:val="0"/>
              <w:adjustRightInd w:val="0"/>
              <w:snapToGrid w:val="0"/>
              <w:spacing w:line="360" w:lineRule="exact"/>
              <w:ind w:left="420" w:leftChars="0" w:hanging="42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lang w:val="en-US" w:eastAsia="zh-CN" w:bidi="ar-SA"/>
              </w:rPr>
              <w:t>8</w:t>
            </w:r>
          </w:p>
        </w:tc>
        <w:tc>
          <w:tcPr>
            <w:tcW w:w="5805" w:type="dxa"/>
            <w:shd w:val="clear" w:color="auto" w:fill="FFFFFF" w:themeFill="background1"/>
            <w:vAlign w:val="center"/>
          </w:tcPr>
          <w:p w14:paraId="06272D0D">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按摩池/泡池溢水格栅等配套设施的安装；</w:t>
            </w:r>
          </w:p>
        </w:tc>
        <w:tc>
          <w:tcPr>
            <w:tcW w:w="1203" w:type="dxa"/>
            <w:shd w:val="clear" w:color="auto" w:fill="FFFFFF" w:themeFill="background1"/>
            <w:vAlign w:val="center"/>
          </w:tcPr>
          <w:p w14:paraId="27F801D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030" w:type="dxa"/>
            <w:shd w:val="clear" w:color="auto" w:fill="FFFFFF" w:themeFill="background1"/>
            <w:vAlign w:val="center"/>
          </w:tcPr>
          <w:p w14:paraId="706AB4AC">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r>
      <w:tr w14:paraId="30AD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3" w:type="dxa"/>
            <w:vAlign w:val="center"/>
          </w:tcPr>
          <w:p w14:paraId="0BDD06B2">
            <w:pPr>
              <w:keepNext w:val="0"/>
              <w:keepLines w:val="0"/>
              <w:pageBreakBefore w:val="0"/>
              <w:widowControl/>
              <w:numPr>
                <w:ilvl w:val="0"/>
                <w:numId w:val="0"/>
              </w:numPr>
              <w:kinsoku/>
              <w:wordWrap/>
              <w:overflowPunct/>
              <w:topLinePunct w:val="0"/>
              <w:autoSpaceDE/>
              <w:autoSpaceDN/>
              <w:bidi w:val="0"/>
              <w:adjustRightInd w:val="0"/>
              <w:snapToGrid w:val="0"/>
              <w:spacing w:line="360" w:lineRule="exact"/>
              <w:ind w:left="420" w:leftChars="0" w:hanging="42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lang w:val="en-US" w:eastAsia="zh-CN" w:bidi="ar-SA"/>
              </w:rPr>
              <w:t>9</w:t>
            </w:r>
          </w:p>
        </w:tc>
        <w:tc>
          <w:tcPr>
            <w:tcW w:w="5805" w:type="dxa"/>
            <w:vAlign w:val="center"/>
          </w:tcPr>
          <w:p w14:paraId="39569E40">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强淋、浸脚池的施工包含土建部分及给排水部分</w:t>
            </w:r>
          </w:p>
        </w:tc>
        <w:tc>
          <w:tcPr>
            <w:tcW w:w="1203" w:type="dxa"/>
            <w:vAlign w:val="center"/>
          </w:tcPr>
          <w:p w14:paraId="4B01D0F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030" w:type="dxa"/>
            <w:vAlign w:val="center"/>
          </w:tcPr>
          <w:p w14:paraId="1FB9A9A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r>
      <w:tr w14:paraId="41F1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3" w:type="dxa"/>
            <w:vAlign w:val="center"/>
          </w:tcPr>
          <w:p w14:paraId="0AC3B66D">
            <w:pPr>
              <w:keepNext w:val="0"/>
              <w:keepLines w:val="0"/>
              <w:pageBreakBefore w:val="0"/>
              <w:widowControl/>
              <w:numPr>
                <w:ilvl w:val="0"/>
                <w:numId w:val="0"/>
              </w:numPr>
              <w:kinsoku/>
              <w:wordWrap/>
              <w:overflowPunct/>
              <w:topLinePunct w:val="0"/>
              <w:autoSpaceDE/>
              <w:autoSpaceDN/>
              <w:bidi w:val="0"/>
              <w:adjustRightInd w:val="0"/>
              <w:snapToGrid w:val="0"/>
              <w:spacing w:line="360" w:lineRule="exact"/>
              <w:ind w:leftChars="0"/>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w:t>
            </w:r>
          </w:p>
        </w:tc>
        <w:tc>
          <w:tcPr>
            <w:tcW w:w="5805" w:type="dxa"/>
            <w:vAlign w:val="center"/>
          </w:tcPr>
          <w:p w14:paraId="113A2D38">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按摩池/泡池周边废水排水管及相关地漏的安装</w:t>
            </w:r>
          </w:p>
        </w:tc>
        <w:tc>
          <w:tcPr>
            <w:tcW w:w="1203" w:type="dxa"/>
            <w:vAlign w:val="center"/>
          </w:tcPr>
          <w:p w14:paraId="7FE58AF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030" w:type="dxa"/>
            <w:vAlign w:val="center"/>
          </w:tcPr>
          <w:p w14:paraId="24112CD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4"/>
                <w:szCs w:val="24"/>
                <w:highlight w:val="none"/>
              </w:rPr>
            </w:pPr>
          </w:p>
        </w:tc>
      </w:tr>
    </w:tbl>
    <w:p w14:paraId="392E9085">
      <w:pPr>
        <w:rPr>
          <w:rFonts w:hint="eastAsia" w:ascii="宋体" w:hAnsi="宋体" w:eastAsia="宋体" w:cs="宋体"/>
          <w:b/>
          <w:bCs w:val="0"/>
          <w:color w:val="auto"/>
          <w:kern w:val="2"/>
          <w:sz w:val="24"/>
          <w:szCs w:val="24"/>
          <w:highlight w:val="none"/>
          <w:lang w:val="en-US" w:eastAsia="zh-CN" w:bidi="ar-SA"/>
        </w:rPr>
      </w:pPr>
    </w:p>
    <w:p w14:paraId="33809A72">
      <w:pPr>
        <w:pStyle w:val="18"/>
        <w:rPr>
          <w:rFonts w:hint="eastAsia"/>
          <w:color w:val="auto"/>
          <w:highlight w:val="none"/>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6DF7D27">
      <w:pPr>
        <w:pStyle w:val="3"/>
        <w:keepNext/>
        <w:keepLines/>
        <w:pageBreakBefore w:val="0"/>
        <w:widowControl w:val="0"/>
        <w:numPr>
          <w:ilvl w:val="0"/>
          <w:numId w:val="0"/>
        </w:numPr>
        <w:kinsoku/>
        <w:wordWrap/>
        <w:overflowPunct/>
        <w:topLinePunct w:val="0"/>
        <w:autoSpaceDE/>
        <w:autoSpaceDN/>
        <w:bidi w:val="0"/>
        <w:adjustRightInd/>
        <w:snapToGrid/>
        <w:spacing w:after="40" w:line="579" w:lineRule="auto"/>
        <w:jc w:val="center"/>
        <w:textAlignment w:val="auto"/>
        <w:rPr>
          <w:rFonts w:hint="eastAsia" w:ascii="宋体" w:hAnsi="宋体" w:eastAsia="宋体" w:cs="宋体"/>
          <w:color w:val="auto"/>
          <w:sz w:val="36"/>
          <w:highlight w:val="none"/>
        </w:rPr>
      </w:pPr>
      <w:r>
        <w:rPr>
          <w:rFonts w:hint="eastAsia" w:ascii="宋体" w:hAnsi="宋体" w:cs="宋体"/>
          <w:color w:val="auto"/>
          <w:sz w:val="36"/>
          <w:highlight w:val="none"/>
          <w:lang w:val="en-US" w:eastAsia="zh-CN"/>
        </w:rPr>
        <w:t>第五章</w:t>
      </w:r>
      <w:r>
        <w:rPr>
          <w:rFonts w:hint="eastAsia" w:ascii="宋体" w:hAnsi="宋体" w:eastAsia="宋体" w:cs="宋体"/>
          <w:color w:val="auto"/>
          <w:sz w:val="36"/>
          <w:highlight w:val="none"/>
        </w:rPr>
        <w:t xml:space="preserve"> </w:t>
      </w:r>
      <w:r>
        <w:rPr>
          <w:rFonts w:hint="eastAsia" w:ascii="宋体" w:hAnsi="宋体" w:eastAsia="宋体" w:cs="宋体"/>
          <w:color w:val="auto"/>
          <w:sz w:val="36"/>
          <w:highlight w:val="none"/>
          <w:lang w:val="en-US" w:eastAsia="zh-CN"/>
        </w:rPr>
        <w:t>合同条款</w:t>
      </w:r>
    </w:p>
    <w:p w14:paraId="3EE6AAD6">
      <w:pPr>
        <w:numPr>
          <w:ilvl w:val="0"/>
          <w:numId w:val="0"/>
        </w:numPr>
        <w:spacing w:afterAutospacing="0"/>
        <w:jc w:val="center"/>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rPr>
        <w:t>本合同条款仅供参考，甲方可根据实际情况进行补充、调整</w:t>
      </w:r>
      <w:r>
        <w:rPr>
          <w:rFonts w:hint="eastAsia" w:ascii="宋体" w:hAnsi="宋体" w:eastAsia="宋体" w:cs="宋体"/>
          <w:b/>
          <w:bCs/>
          <w:color w:val="auto"/>
          <w:sz w:val="28"/>
          <w:szCs w:val="28"/>
          <w:highlight w:val="none"/>
          <w:lang w:eastAsia="zh-CN"/>
        </w:rPr>
        <w:t>）</w:t>
      </w:r>
    </w:p>
    <w:p w14:paraId="597939B2">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bookmarkStart w:id="194" w:name="第五部分"/>
      <w:bookmarkStart w:id="195" w:name="_Toc86217003"/>
      <w:r>
        <w:rPr>
          <w:rFonts w:hint="eastAsia" w:ascii="宋体" w:hAnsi="宋体" w:eastAsia="宋体" w:cs="宋体"/>
          <w:color w:val="auto"/>
          <w:sz w:val="24"/>
          <w:szCs w:val="24"/>
          <w:highlight w:val="none"/>
        </w:rPr>
        <w:t>项目名称：                                       项目编号：</w:t>
      </w:r>
    </w:p>
    <w:p w14:paraId="1859A0FE">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甲方：浙江国兴投资集团有限公司、</w:t>
      </w:r>
    </w:p>
    <w:p w14:paraId="07561C54">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工程总承包：中国联合工程有限公司、大象建筑设计有限公司、中建三局集团有限公司</w:t>
      </w:r>
    </w:p>
    <w:p w14:paraId="26DDF00C">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乙方：（卖方）</w:t>
      </w:r>
    </w:p>
    <w:p w14:paraId="3FEFBBAD">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甲、乙双方根据招标的结果，签署本合同。</w:t>
      </w:r>
    </w:p>
    <w:p w14:paraId="014AD3A6">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一、货物内容</w:t>
      </w:r>
    </w:p>
    <w:p w14:paraId="0C72FDE0">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1.货物名称：</w:t>
      </w:r>
    </w:p>
    <w:p w14:paraId="20264C7C">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2.型号规格：</w:t>
      </w:r>
    </w:p>
    <w:p w14:paraId="091B63E9">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3.技术参数：</w:t>
      </w:r>
    </w:p>
    <w:p w14:paraId="56E33252">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4.数量（单位）：</w:t>
      </w:r>
    </w:p>
    <w:p w14:paraId="64234089">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二、合同金额</w:t>
      </w:r>
    </w:p>
    <w:p w14:paraId="310B38C7">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本合同金额为（大写）：__________元（￥_________元）人民币。</w:t>
      </w:r>
    </w:p>
    <w:p w14:paraId="21CC1CF0">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三、技术资料</w:t>
      </w:r>
    </w:p>
    <w:p w14:paraId="6D42EBD6">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1.乙方应按招标文件规定的时间向甲方提供使用货物的有关技术资料。</w:t>
      </w:r>
    </w:p>
    <w:p w14:paraId="2E865C60">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3F5686A3">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四、知识产权</w:t>
      </w:r>
    </w:p>
    <w:p w14:paraId="29F9920E">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乙方应保证所提供的货物或其任何一部分均不会侵犯任何第三方的知识产权</w:t>
      </w:r>
      <w:r>
        <w:rPr>
          <w:rFonts w:hint="eastAsia" w:ascii="宋体" w:hAnsi="宋体" w:eastAsia="宋体" w:cs="宋体"/>
          <w:bCs/>
          <w:color w:val="auto"/>
          <w:sz w:val="24"/>
          <w:szCs w:val="24"/>
          <w:highlight w:val="none"/>
        </w:rPr>
        <w:t>。</w:t>
      </w:r>
    </w:p>
    <w:p w14:paraId="7E13D912">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五、产权担保</w:t>
      </w:r>
    </w:p>
    <w:p w14:paraId="10D53307">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乙方保证所交付的货物的所有权完全属于乙方且无任何抵押、查封等产权瑕疵。</w:t>
      </w:r>
    </w:p>
    <w:p w14:paraId="2E995D62">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六、履约保证金</w:t>
      </w:r>
    </w:p>
    <w:p w14:paraId="48718718">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履约保证金：签订合同</w:t>
      </w:r>
      <w:r>
        <w:rPr>
          <w:rFonts w:hint="eastAsia" w:ascii="宋体" w:hAnsi="宋体" w:eastAsia="宋体" w:cs="宋体"/>
          <w:color w:val="auto"/>
          <w:sz w:val="24"/>
          <w:szCs w:val="24"/>
          <w:highlight w:val="none"/>
          <w:lang w:eastAsia="zh-CN"/>
        </w:rPr>
        <w:t>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中标人应向采购人提交合同金额</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%的履约保证金</w:t>
      </w:r>
      <w:r>
        <w:rPr>
          <w:rFonts w:hint="eastAsia" w:ascii="宋体" w:hAnsi="宋体" w:eastAsia="宋体" w:cs="宋体"/>
          <w:color w:val="auto"/>
          <w:sz w:val="24"/>
          <w:szCs w:val="24"/>
          <w:highlight w:val="none"/>
          <w:lang w:val="en-US" w:eastAsia="zh-CN"/>
        </w:rPr>
        <w:t>（采用转账/支票/汇票/银行保函/保险公司保函方式）</w:t>
      </w:r>
      <w:r>
        <w:rPr>
          <w:rFonts w:hint="eastAsia" w:ascii="宋体" w:hAnsi="宋体" w:eastAsia="宋体" w:cs="宋体"/>
          <w:color w:val="auto"/>
          <w:sz w:val="24"/>
          <w:szCs w:val="24"/>
          <w:highlight w:val="none"/>
          <w:lang w:eastAsia="zh-CN"/>
        </w:rPr>
        <w:t>。</w:t>
      </w:r>
    </w:p>
    <w:p w14:paraId="08B36C0A">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七、转包或分包</w:t>
      </w:r>
    </w:p>
    <w:p w14:paraId="2AF8CA61">
      <w:pPr>
        <w:keepNext w:val="0"/>
        <w:keepLines w:val="0"/>
        <w:pageBreakBefore w:val="0"/>
        <w:widowControl w:val="0"/>
        <w:kinsoku/>
        <w:wordWrap/>
        <w:overflowPunct/>
        <w:topLinePunct w:val="0"/>
        <w:autoSpaceDE/>
        <w:autoSpaceDN/>
        <w:bidi w:val="0"/>
        <w:adjustRightInd/>
        <w:snapToGrid w:val="0"/>
        <w:spacing w:before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1.本合同范围的货物，应由乙方直接供应，不得转让他人供应；</w:t>
      </w:r>
    </w:p>
    <w:p w14:paraId="4F8DA6D6">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2.除非得到甲方的书面同意，乙方不得将本合同范围的货物全部或部分分包给他人供应；</w:t>
      </w:r>
    </w:p>
    <w:p w14:paraId="6B2AAB71">
      <w:pPr>
        <w:keepNext w:val="0"/>
        <w:keepLines w:val="0"/>
        <w:pageBreakBefore w:val="0"/>
        <w:widowControl w:val="0"/>
        <w:kinsoku/>
        <w:wordWrap/>
        <w:overflowPunct/>
        <w:topLinePunct w:val="0"/>
        <w:autoSpaceDE/>
        <w:autoSpaceDN/>
        <w:bidi w:val="0"/>
        <w:adjustRightInd/>
        <w:snapToGrid w:val="0"/>
        <w:spacing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3.如有转让和未经甲方同意的分包行为，甲方有权解除合同，没收履约保证金（维修保证金）并追究乙方的违约责任。</w:t>
      </w:r>
    </w:p>
    <w:p w14:paraId="6159FD88">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八、质保期和质保金</w:t>
      </w:r>
    </w:p>
    <w:p w14:paraId="60E564F0">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1.质保期</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年。（自交货验收合格之日起计）</w:t>
      </w:r>
    </w:p>
    <w:p w14:paraId="216AE017">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2.质保金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元。</w:t>
      </w:r>
    </w:p>
    <w:p w14:paraId="609EFB30">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九、交货期、交货方式及交货地点</w:t>
      </w:r>
    </w:p>
    <w:p w14:paraId="2F7AE7DD">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bCs/>
          <w:color w:val="auto"/>
          <w:sz w:val="24"/>
          <w:szCs w:val="24"/>
          <w:highlight w:val="yellow"/>
        </w:rPr>
      </w:pPr>
      <w:r>
        <w:rPr>
          <w:rFonts w:hint="eastAsia" w:ascii="宋体" w:hAnsi="宋体" w:eastAsia="宋体" w:cs="宋体"/>
          <w:bCs/>
          <w:color w:val="auto"/>
          <w:sz w:val="24"/>
          <w:szCs w:val="24"/>
          <w:highlight w:val="none"/>
        </w:rPr>
        <w:t>1.交货期：</w:t>
      </w:r>
      <w:r>
        <w:rPr>
          <w:rFonts w:hint="eastAsia" w:hAnsi="宋体" w:cs="宋体"/>
          <w:color w:val="auto"/>
          <w:sz w:val="24"/>
          <w:highlight w:val="none"/>
          <w:lang w:val="en-US" w:eastAsia="zh-CN"/>
        </w:rPr>
        <w:t>2025年4月30日</w:t>
      </w:r>
      <w:r>
        <w:rPr>
          <w:rFonts w:hint="eastAsia" w:ascii="宋体" w:hAnsi="宋体" w:cs="宋体"/>
          <w:color w:val="auto"/>
          <w:sz w:val="24"/>
          <w:highlight w:val="none"/>
          <w:lang w:val="en-US" w:eastAsia="zh-CN"/>
        </w:rPr>
        <w:t>前安装完成。</w:t>
      </w:r>
    </w:p>
    <w:p w14:paraId="48F8C816">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2.交货方式：</w:t>
      </w:r>
      <w:r>
        <w:rPr>
          <w:rFonts w:hint="eastAsia" w:ascii="宋体" w:hAnsi="宋体" w:cs="宋体"/>
          <w:color w:val="auto"/>
          <w:sz w:val="24"/>
          <w:highlight w:val="none"/>
        </w:rPr>
        <w:t>货送至甲方指定地点。</w:t>
      </w:r>
    </w:p>
    <w:p w14:paraId="56D2146F">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3.交货地点：</w:t>
      </w:r>
      <w:r>
        <w:rPr>
          <w:rFonts w:hint="eastAsia" w:ascii="宋体" w:hAnsi="宋体" w:eastAsia="宋体" w:cs="宋体"/>
          <w:color w:val="auto"/>
          <w:kern w:val="2"/>
          <w:sz w:val="24"/>
          <w:szCs w:val="24"/>
          <w:highlight w:val="none"/>
          <w:lang w:val="en-US" w:eastAsia="zh-CN" w:bidi="ar-SA"/>
        </w:rPr>
        <w:t>杭州市临安区於潜镇绍鲁村天目未来谷生态研学城</w:t>
      </w:r>
      <w:r>
        <w:rPr>
          <w:rFonts w:hint="eastAsia" w:ascii="宋体" w:hAnsi="宋体" w:cs="宋体"/>
          <w:color w:val="auto"/>
          <w:sz w:val="24"/>
          <w:highlight w:val="none"/>
        </w:rPr>
        <w:t>。</w:t>
      </w:r>
    </w:p>
    <w:p w14:paraId="419CEA73">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十、货款支付</w:t>
      </w:r>
    </w:p>
    <w:p w14:paraId="25B4CCCC">
      <w:pPr>
        <w:widowControl w:val="0"/>
        <w:snapToGrid w:val="0"/>
        <w:spacing w:before="0" w:beforeLines="0" w:after="0" w:afterLines="0" w:line="460" w:lineRule="exact"/>
        <w:ind w:firstLine="480" w:firstLineChars="200"/>
        <w:jc w:val="both"/>
        <w:outlineLvl w:val="1"/>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bCs/>
          <w:color w:val="auto"/>
          <w:sz w:val="24"/>
          <w:szCs w:val="24"/>
          <w:highlight w:val="none"/>
        </w:rPr>
        <w:t>1.付款方式：</w:t>
      </w:r>
      <w:r>
        <w:rPr>
          <w:rFonts w:hint="eastAsia" w:ascii="宋体" w:hAnsi="宋体" w:eastAsia="宋体" w:cs="宋体"/>
          <w:color w:val="auto"/>
          <w:kern w:val="2"/>
          <w:sz w:val="24"/>
          <w:szCs w:val="24"/>
          <w:highlight w:val="none"/>
          <w:u w:val="single"/>
          <w:lang w:val="en-US" w:eastAsia="zh-CN" w:bidi="ar-SA"/>
        </w:rPr>
        <w:t>合同签订前，乙方应向甲方提交合同金额1%的履约保证金（采用转账/支票/汇票/银行保函/保险公司保函方式）；</w:t>
      </w:r>
    </w:p>
    <w:p w14:paraId="1BF667CA">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kern w:val="2"/>
          <w:sz w:val="24"/>
          <w:szCs w:val="24"/>
          <w:highlight w:val="yellow"/>
          <w:u w:val="single"/>
          <w:lang w:val="en-US" w:eastAsia="zh-CN" w:bidi="ar-SA"/>
        </w:rPr>
      </w:pPr>
      <w:r>
        <w:rPr>
          <w:rFonts w:hint="eastAsia" w:ascii="宋体" w:hAnsi="宋体" w:eastAsia="宋体" w:cs="宋体"/>
          <w:color w:val="auto"/>
          <w:kern w:val="2"/>
          <w:sz w:val="24"/>
          <w:szCs w:val="24"/>
          <w:highlight w:val="none"/>
          <w:u w:val="single"/>
          <w:lang w:val="en-US" w:eastAsia="zh-CN" w:bidi="ar-SA"/>
        </w:rPr>
        <w:t>合同签订后，甲方付预付款¥     （总金额的30%）；乙方设备进场后,双方按照进场货物清单对照点货无异议后，甲方须付款¥     （总金额的50%）；所有设备进场后乙方安装调试，乙方所有设备安装调试结束且甲方验收合格后，甲方须付款¥     （总金额的15%）并退还履约保证金；剩余尾款（总金额的5%）作为质量保证金，在甲方验收合格后两年内付清。</w:t>
      </w:r>
    </w:p>
    <w:p w14:paraId="48C2498E">
      <w:pPr>
        <w:keepNext w:val="0"/>
        <w:keepLines w:val="0"/>
        <w:pageBreakBefore w:val="0"/>
        <w:widowControl w:val="0"/>
        <w:kinsoku/>
        <w:wordWrap/>
        <w:overflowPunct/>
        <w:topLinePunct w:val="0"/>
        <w:autoSpaceDE/>
        <w:autoSpaceDN/>
        <w:bidi w:val="0"/>
        <w:adjustRightInd/>
        <w:snapToGrid w:val="0"/>
        <w:spacing w:beforeAutospacing="0" w:line="48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十一、税费</w:t>
      </w:r>
    </w:p>
    <w:p w14:paraId="1F615143">
      <w:pPr>
        <w:keepNext w:val="0"/>
        <w:keepLines w:val="0"/>
        <w:pageBreakBefore w:val="0"/>
        <w:widowControl w:val="0"/>
        <w:kinsoku/>
        <w:wordWrap/>
        <w:overflowPunct/>
        <w:topLinePunct w:val="0"/>
        <w:autoSpaceDE/>
        <w:autoSpaceDN/>
        <w:bidi w:val="0"/>
        <w:adjustRightInd/>
        <w:snapToGrid w:val="0"/>
        <w:spacing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本合同执行中相关的一切税费均由乙方负担。</w:t>
      </w:r>
    </w:p>
    <w:p w14:paraId="14A273D8">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十二、质量保证及售后服务</w:t>
      </w:r>
    </w:p>
    <w:p w14:paraId="0CB14B9D">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1.乙方应按招标文件规定的货物性能、技术要求、质量标准向甲方提供未经使用的全新产品。</w:t>
      </w:r>
    </w:p>
    <w:p w14:paraId="1D6703A4">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2.乙方提供的货物在质保期内因货物本身的质量问题发生故障，乙方应负责免费更换。对达不到技术要求者，根据实际情况，经双方协商，可按以下办法处理：</w:t>
      </w:r>
    </w:p>
    <w:p w14:paraId="180A854E">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更换：由乙方承担所发生的全部费用。</w:t>
      </w:r>
    </w:p>
    <w:p w14:paraId="31F18D48">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贬值处理：由甲乙双方合议定价。</w:t>
      </w:r>
    </w:p>
    <w:p w14:paraId="772DE3C4">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退货处理：乙方应退还甲方支付的合同款，同时应承担该货物的直接费用（运输、保险、检验、贷款利息及银行手续费等）。</w:t>
      </w:r>
    </w:p>
    <w:p w14:paraId="4AB08EDB">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3.如在使用过程中发生质量问题，乙方在接到甲方通知后在△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小时内到达甲方现场。</w:t>
      </w:r>
    </w:p>
    <w:p w14:paraId="67DA821C">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4.在质保期内，乙方应对货物出现的质量及安全问题负责处理解决并承担一切费用。</w:t>
      </w:r>
    </w:p>
    <w:p w14:paraId="347936E1">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5.上述的</w:t>
      </w:r>
      <w:r>
        <w:rPr>
          <w:rFonts w:hint="eastAsia" w:ascii="宋体" w:hAnsi="宋体" w:eastAsia="宋体" w:cs="宋体"/>
          <w:bCs/>
          <w:color w:val="auto"/>
          <w:sz w:val="24"/>
          <w:szCs w:val="24"/>
          <w:highlight w:val="none"/>
        </w:rPr>
        <w:t>货物免费保修期为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年，因人为因素出现的故障不在免费保修范围内。超过保修期的机器设备，终身维修，维修时只收部件成本费。</w:t>
      </w:r>
    </w:p>
    <w:p w14:paraId="377EBC3B">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十三、调试和验收</w:t>
      </w:r>
    </w:p>
    <w:p w14:paraId="2DFBB1B9">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对乙方提交的货物依据招标文件上的技术规格要求和国家有关质量标准进行现场初步验收，外观、说明书符合招标文件技术要求的，给予签收，初步验收不合格的不予签收。货到后，甲方需在五个工作日内验收。</w:t>
      </w:r>
    </w:p>
    <w:p w14:paraId="2C3708B9">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2.乙方交货前应对产品作出全面检查和对验收文件进行整理，并列出清单，作为甲方收货验收和使用的技术条件依据，检验的结果应随货物交甲方。</w:t>
      </w:r>
    </w:p>
    <w:p w14:paraId="429F33EF">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3.甲方对乙方提供的货物在使用前进行调试时，乙方需负责安装并培训甲方的使用操作人员，并协助甲方一起调试，直到符合技术要求，甲方才做最终验收。</w:t>
      </w:r>
    </w:p>
    <w:p w14:paraId="28EABBDA">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4.对技术复杂的货物，甲方应请国家认可的专业检测机构参与初步验收及最终验收，并由其出具质量检测报告。</w:t>
      </w:r>
    </w:p>
    <w:p w14:paraId="6318100E">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5.验收时乙方必须在现场，验收完毕后作出验收结果报告；验收费用由乙方负责。</w:t>
      </w:r>
    </w:p>
    <w:p w14:paraId="22A72E17">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十四、货物包装、发运及运输</w:t>
      </w:r>
    </w:p>
    <w:p w14:paraId="2546A8AB">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color w:val="auto"/>
          <w:sz w:val="24"/>
          <w:szCs w:val="24"/>
          <w:highlight w:val="none"/>
        </w:rPr>
        <w:t>乙方应在货物发运前对其进行满足运输距离、防潮、防震、防锈和防破损装卸等要求包装，以保证货物安全运达甲方指定地点。</w:t>
      </w:r>
    </w:p>
    <w:p w14:paraId="38F64FF9">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2.使用说明书、质量检验证明书、随配附件和工具以及清单一并附于货物内。</w:t>
      </w:r>
    </w:p>
    <w:p w14:paraId="47BE2F2E">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3.乙方在货物发运手续办理完毕后24小时内或货到甲方48小时前通知甲方，以准备接货。</w:t>
      </w:r>
    </w:p>
    <w:p w14:paraId="26D5D82A">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4.货物在交付甲方前发生的风险均由乙方负责。</w:t>
      </w:r>
    </w:p>
    <w:p w14:paraId="561774DD">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5.货物在规定的交付期限内由乙方送达甲方指定的地点视为交付，乙方同时需通知甲方货物已送达。</w:t>
      </w:r>
    </w:p>
    <w:p w14:paraId="3E3C3E4D">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十五、违约责任</w:t>
      </w:r>
    </w:p>
    <w:p w14:paraId="2AB831F6">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甲方无正当理由拒收货物的，甲方向乙方偿付拒收货款总值的百分之五违约金。</w:t>
      </w:r>
    </w:p>
    <w:p w14:paraId="0FE6057E">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甲方无故逾期验收和办理货款支付手续的,甲方应按逾期付款总额每日万分之五向乙方支付违约金。</w:t>
      </w:r>
    </w:p>
    <w:p w14:paraId="7BB726D5">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逾期交付货物的，乙方应按逾期交货总额每日千分之六向采购人支付违约金，由甲方从待付货款中扣除。逾期超过约定日期10个工作日不能交货的，甲方可解除本合同。乙方因逾期交货或因其他违约行为导致采购人解除合同的，乙方应向甲方支付合同总值5%的违约金，如造成甲方损失超过违约金的，超出部分由乙方继续承担赔偿责任。</w:t>
      </w:r>
    </w:p>
    <w:p w14:paraId="08DDC99D">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所交的货物品种、型号、规格、技术参数、质量、颜色不符合合同规定及招标文件规定标准的，甲方有权拒收该货物，乙方愿意更换货物但逾期交货的，按乙方逾期交货处理。乙方拒绝更换货物的，甲方可单方面解除合同。</w:t>
      </w:r>
    </w:p>
    <w:p w14:paraId="1922AF8F">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乙方如提供售后服务和维修不到位的，甲方将视情节没收维修保证金，并将情况报告县采购办进行处罚。</w:t>
      </w:r>
    </w:p>
    <w:p w14:paraId="338667A3">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十六、不可抗力事件处理</w:t>
      </w:r>
    </w:p>
    <w:p w14:paraId="68824A5D">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1.在合同有效期内，任何一方因不可抗力事件导致不能履行合同，则合同履行期可延长，其延长期与不可抗力影响期相同。</w:t>
      </w:r>
    </w:p>
    <w:p w14:paraId="2E9756A6">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2.不可抗力事件发生后，应立即通知对方，并寄送有关权威机构出具的证明。</w:t>
      </w:r>
    </w:p>
    <w:p w14:paraId="240A4D04">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3.不可抗力事件延续120天以上，双方应通过友好协商，确定是否继续履行合同。</w:t>
      </w:r>
    </w:p>
    <w:p w14:paraId="2A2EA03E">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十七、诉讼</w:t>
      </w:r>
    </w:p>
    <w:p w14:paraId="74610A08">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双方在执行合同中所发生的一切争议，应通过协商解决。如协商不成，可向甲方所在地法院起诉。</w:t>
      </w:r>
    </w:p>
    <w:p w14:paraId="0DE710F5">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十八、合同生效及其它</w:t>
      </w:r>
    </w:p>
    <w:p w14:paraId="18762E9D">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1.合同经双方法定代表人或授权代表签字并加盖单位公章后生效。</w:t>
      </w:r>
    </w:p>
    <w:p w14:paraId="0333DA88">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2.合同执行中涉及采购资金和采购内容修改或补充的，须经财政部门审批，并签书面补充协议报采购监督管理部门备案，方可作为主合同不可分割的一部分。</w:t>
      </w:r>
    </w:p>
    <w:p w14:paraId="4534C84A">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3.本合同未尽事宜，遵照《民法典》有关条文执行。</w:t>
      </w:r>
    </w:p>
    <w:p w14:paraId="381205ED">
      <w:pPr>
        <w:pStyle w:val="13"/>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4.本合同正本一式</w:t>
      </w:r>
      <w:r>
        <w:rPr>
          <w:rFonts w:hint="eastAsia" w:hAnsi="宋体" w:cs="宋体"/>
          <w:color w:val="auto"/>
          <w:sz w:val="24"/>
          <w:szCs w:val="24"/>
          <w:highlight w:val="none"/>
          <w:lang w:eastAsia="zh-CN"/>
        </w:rPr>
        <w:t>捌</w:t>
      </w:r>
      <w:r>
        <w:rPr>
          <w:rFonts w:hint="eastAsia" w:ascii="宋体" w:hAnsi="宋体" w:eastAsia="宋体" w:cs="宋体"/>
          <w:color w:val="auto"/>
          <w:sz w:val="24"/>
          <w:szCs w:val="24"/>
          <w:highlight w:val="none"/>
        </w:rPr>
        <w:t>份，具有同等法律效力，甲乙双方各执</w:t>
      </w:r>
      <w:r>
        <w:rPr>
          <w:rFonts w:hint="eastAsia" w:hAnsi="宋体" w:cs="宋体"/>
          <w:color w:val="auto"/>
          <w:sz w:val="24"/>
          <w:szCs w:val="24"/>
          <w:highlight w:val="none"/>
          <w:lang w:val="en-US" w:eastAsia="zh-CN"/>
        </w:rPr>
        <w:t>肆</w:t>
      </w:r>
      <w:r>
        <w:rPr>
          <w:rFonts w:hint="eastAsia" w:ascii="宋体" w:hAnsi="宋体" w:eastAsia="宋体" w:cs="宋体"/>
          <w:color w:val="auto"/>
          <w:sz w:val="24"/>
          <w:szCs w:val="24"/>
          <w:highlight w:val="none"/>
        </w:rPr>
        <w:t>份。</w:t>
      </w:r>
    </w:p>
    <w:p w14:paraId="2EE48B3A">
      <w:pPr>
        <w:pStyle w:val="20"/>
        <w:rPr>
          <w:rFonts w:hint="eastAsia" w:ascii="宋体" w:hAnsi="宋体" w:eastAsia="宋体" w:cs="宋体"/>
          <w:color w:val="auto"/>
          <w:sz w:val="24"/>
          <w:szCs w:val="24"/>
          <w:highlight w:val="none"/>
        </w:rPr>
      </w:pPr>
    </w:p>
    <w:p w14:paraId="37620DEB">
      <w:pPr>
        <w:rPr>
          <w:rFonts w:hint="eastAsia"/>
          <w:color w:val="auto"/>
          <w:highlight w:val="none"/>
        </w:rPr>
      </w:pPr>
    </w:p>
    <w:p w14:paraId="5BC54EED">
      <w:pPr>
        <w:pStyle w:val="13"/>
        <w:keepNext w:val="0"/>
        <w:keepLines w:val="0"/>
        <w:pageBreakBefore w:val="0"/>
        <w:widowControl w:val="0"/>
        <w:kinsoku/>
        <w:wordWrap/>
        <w:overflowPunct/>
        <w:topLinePunct w:val="0"/>
        <w:autoSpaceDE/>
        <w:autoSpaceDN/>
        <w:bidi w:val="0"/>
        <w:adjustRightInd/>
        <w:snapToGrid w:val="0"/>
        <w:spacing w:beforeLines="0" w:afterLines="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甲方：                                 乙方： </w:t>
      </w:r>
    </w:p>
    <w:p w14:paraId="44B54A33">
      <w:pPr>
        <w:pStyle w:val="13"/>
        <w:keepNext w:val="0"/>
        <w:keepLines w:val="0"/>
        <w:pageBreakBefore w:val="0"/>
        <w:widowControl w:val="0"/>
        <w:kinsoku/>
        <w:wordWrap/>
        <w:overflowPunct/>
        <w:topLinePunct w:val="0"/>
        <w:autoSpaceDE/>
        <w:autoSpaceDN/>
        <w:bidi w:val="0"/>
        <w:adjustRightInd/>
        <w:snapToGrid w:val="0"/>
        <w:spacing w:beforeLines="0" w:afterLines="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地址： </w:t>
      </w:r>
    </w:p>
    <w:p w14:paraId="3B657FC5">
      <w:pPr>
        <w:pStyle w:val="13"/>
        <w:keepNext w:val="0"/>
        <w:keepLines w:val="0"/>
        <w:pageBreakBefore w:val="0"/>
        <w:widowControl w:val="0"/>
        <w:kinsoku/>
        <w:wordWrap/>
        <w:overflowPunct/>
        <w:topLinePunct w:val="0"/>
        <w:autoSpaceDE/>
        <w:autoSpaceDN/>
        <w:bidi w:val="0"/>
        <w:adjustRightInd/>
        <w:snapToGrid w:val="0"/>
        <w:spacing w:beforeLines="0" w:afterLines="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法定（授权）代表人：                   法定（授权）代表人：</w:t>
      </w:r>
    </w:p>
    <w:p w14:paraId="682B0609">
      <w:pPr>
        <w:pStyle w:val="13"/>
        <w:keepNext w:val="0"/>
        <w:keepLines w:val="0"/>
        <w:pageBreakBefore w:val="0"/>
        <w:widowControl w:val="0"/>
        <w:kinsoku/>
        <w:wordWrap/>
        <w:overflowPunct/>
        <w:topLinePunct w:val="0"/>
        <w:autoSpaceDE/>
        <w:autoSpaceDN/>
        <w:bidi w:val="0"/>
        <w:adjustRightInd/>
        <w:snapToGrid w:val="0"/>
        <w:spacing w:beforeLines="0" w:afterLines="0"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签字日期：      年  月  日  </w:t>
      </w:r>
      <w:r>
        <w:rPr>
          <w:rFonts w:hint="eastAsia" w:ascii="宋体" w:hAnsi="宋体" w:eastAsia="宋体" w:cs="宋体"/>
          <w:color w:val="auto"/>
          <w:sz w:val="24"/>
          <w:szCs w:val="24"/>
          <w:highlight w:val="none"/>
          <w:lang w:val="en-US" w:eastAsia="zh-CN"/>
        </w:rPr>
        <w:t xml:space="preserve">         </w:t>
      </w:r>
      <w:r>
        <w:rPr>
          <w:rFonts w:hint="eastAsia"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签字日期：      年  月  日</w:t>
      </w:r>
    </w:p>
    <w:bookmarkEnd w:id="194"/>
    <w:bookmarkEnd w:id="195"/>
    <w:p w14:paraId="732E5ACC">
      <w:pPr>
        <w:keepNext w:val="0"/>
        <w:keepLines w:val="0"/>
        <w:pageBreakBefore w:val="0"/>
        <w:kinsoku/>
        <w:wordWrap/>
        <w:overflowPunct/>
        <w:topLinePunct w:val="0"/>
        <w:autoSpaceDE/>
        <w:autoSpaceDN/>
        <w:bidi w:val="0"/>
        <w:spacing w:line="480" w:lineRule="exact"/>
        <w:rPr>
          <w:rFonts w:hint="eastAsia" w:ascii="宋体" w:hAnsi="宋体" w:eastAsia="宋体" w:cs="宋体"/>
          <w:snapToGrid w:val="0"/>
          <w:color w:val="auto"/>
          <w:kern w:val="0"/>
          <w:sz w:val="36"/>
          <w:highlight w:val="none"/>
        </w:rPr>
      </w:pPr>
      <w:r>
        <w:rPr>
          <w:rFonts w:hint="eastAsia" w:ascii="宋体" w:hAnsi="宋体" w:eastAsia="宋体" w:cs="宋体"/>
          <w:snapToGrid w:val="0"/>
          <w:color w:val="auto"/>
          <w:kern w:val="0"/>
          <w:sz w:val="36"/>
          <w:highlight w:val="none"/>
        </w:rPr>
        <w:br w:type="page"/>
      </w:r>
    </w:p>
    <w:p w14:paraId="077F16A7">
      <w:pPr>
        <w:pStyle w:val="3"/>
        <w:jc w:val="center"/>
        <w:rPr>
          <w:rFonts w:hint="eastAsia" w:ascii="宋体" w:hAnsi="宋体" w:eastAsia="宋体" w:cs="宋体"/>
          <w:color w:val="auto"/>
          <w:sz w:val="36"/>
          <w:highlight w:val="none"/>
        </w:rPr>
      </w:pPr>
      <w:r>
        <w:rPr>
          <w:rFonts w:hint="eastAsia" w:ascii="宋体" w:hAnsi="宋体" w:eastAsia="宋体" w:cs="宋体"/>
          <w:snapToGrid w:val="0"/>
          <w:color w:val="auto"/>
          <w:kern w:val="0"/>
          <w:sz w:val="36"/>
          <w:highlight w:val="none"/>
        </w:rPr>
        <w:t>第六章</w:t>
      </w:r>
      <w:r>
        <w:rPr>
          <w:rFonts w:hint="eastAsia" w:ascii="宋体" w:hAnsi="宋体" w:eastAsia="宋体" w:cs="宋体"/>
          <w:color w:val="auto"/>
          <w:sz w:val="36"/>
          <w:highlight w:val="none"/>
        </w:rPr>
        <w:t xml:space="preserve"> </w:t>
      </w:r>
      <w:r>
        <w:rPr>
          <w:rFonts w:hint="eastAsia" w:ascii="宋体" w:hAnsi="宋体" w:cs="宋体"/>
          <w:color w:val="auto"/>
          <w:sz w:val="36"/>
          <w:highlight w:val="none"/>
          <w:lang w:val="en-US" w:eastAsia="zh-CN"/>
        </w:rPr>
        <w:t xml:space="preserve"> </w:t>
      </w:r>
      <w:r>
        <w:rPr>
          <w:rFonts w:hint="eastAsia" w:ascii="宋体" w:hAnsi="宋体" w:eastAsia="宋体" w:cs="宋体"/>
          <w:color w:val="auto"/>
          <w:sz w:val="36"/>
          <w:highlight w:val="none"/>
        </w:rPr>
        <w:t>投标文件格式</w:t>
      </w:r>
    </w:p>
    <w:p w14:paraId="6FE946C0">
      <w:pPr>
        <w:snapToGrid w:val="0"/>
        <w:spacing w:before="156" w:beforeLines="50" w:after="50"/>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封面格式</w:t>
      </w:r>
      <w:r>
        <w:rPr>
          <w:rFonts w:hint="eastAsia" w:ascii="宋体" w:hAnsi="宋体" w:eastAsia="宋体" w:cs="宋体"/>
          <w:b/>
          <w:color w:val="auto"/>
          <w:sz w:val="28"/>
          <w:szCs w:val="28"/>
          <w:highlight w:val="none"/>
        </w:rPr>
        <w:t xml:space="preserve">                                       </w:t>
      </w:r>
      <w:r>
        <w:rPr>
          <w:rFonts w:hint="eastAsia" w:ascii="宋体" w:hAnsi="宋体" w:eastAsia="宋体" w:cs="宋体"/>
          <w:bCs/>
          <w:color w:val="auto"/>
          <w:sz w:val="28"/>
          <w:szCs w:val="28"/>
          <w:highlight w:val="none"/>
        </w:rPr>
        <w:t>正本或副本</w:t>
      </w:r>
    </w:p>
    <w:p w14:paraId="4A0A423F">
      <w:pPr>
        <w:snapToGrid w:val="0"/>
        <w:spacing w:before="156" w:beforeLines="50" w:after="50"/>
        <w:jc w:val="right"/>
        <w:rPr>
          <w:rFonts w:hint="eastAsia" w:ascii="宋体" w:hAnsi="宋体" w:eastAsia="宋体" w:cs="宋体"/>
          <w:bCs/>
          <w:color w:val="auto"/>
          <w:sz w:val="24"/>
          <w:highlight w:val="none"/>
        </w:rPr>
      </w:pPr>
      <w:r>
        <w:rPr>
          <w:rFonts w:hint="eastAsia" w:ascii="宋体" w:hAnsi="宋体" w:eastAsia="宋体" w:cs="宋体"/>
          <w:color w:val="auto"/>
          <w:sz w:val="24"/>
          <w:highlight w:val="none"/>
        </w:rPr>
        <w:t xml:space="preserve">                                            </w:t>
      </w:r>
    </w:p>
    <w:p w14:paraId="73225AF2">
      <w:pPr>
        <w:ind w:right="-110"/>
        <w:jc w:val="center"/>
        <w:rPr>
          <w:rFonts w:hint="eastAsia" w:ascii="宋体" w:hAnsi="宋体" w:eastAsia="宋体" w:cs="宋体"/>
          <w:color w:val="auto"/>
          <w:spacing w:val="40"/>
          <w:sz w:val="24"/>
          <w:highlight w:val="none"/>
        </w:rPr>
      </w:pPr>
      <w:r>
        <w:rPr>
          <w:rFonts w:hint="eastAsia" w:ascii="宋体" w:hAnsi="宋体" w:eastAsia="宋体" w:cs="宋体"/>
          <w:color w:val="auto"/>
          <w:spacing w:val="40"/>
          <w:sz w:val="24"/>
          <w:highlight w:val="none"/>
        </w:rPr>
        <w:t>***项目名称</w:t>
      </w:r>
    </w:p>
    <w:p w14:paraId="4F9117AC">
      <w:pPr>
        <w:spacing w:before="312" w:beforeLines="100" w:line="240" w:lineRule="atLeast"/>
        <w:ind w:right="-108"/>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项目编号：************** </w:t>
      </w:r>
    </w:p>
    <w:p w14:paraId="56734D87">
      <w:pPr>
        <w:spacing w:after="100" w:afterAutospacing="1" w:line="400" w:lineRule="exact"/>
        <w:ind w:right="-108"/>
        <w:jc w:val="center"/>
        <w:rPr>
          <w:rFonts w:hint="eastAsia" w:ascii="宋体" w:hAnsi="宋体" w:eastAsia="宋体" w:cs="宋体"/>
          <w:b/>
          <w:color w:val="auto"/>
          <w:spacing w:val="40"/>
          <w:sz w:val="24"/>
          <w:highlight w:val="none"/>
        </w:rPr>
      </w:pPr>
    </w:p>
    <w:p w14:paraId="13A1D3B1">
      <w:pPr>
        <w:spacing w:after="100" w:afterAutospacing="1" w:line="800" w:lineRule="exact"/>
        <w:ind w:right="-108"/>
        <w:jc w:val="center"/>
        <w:rPr>
          <w:rFonts w:hint="eastAsia" w:ascii="宋体" w:hAnsi="宋体" w:eastAsia="宋体" w:cs="宋体"/>
          <w:b/>
          <w:color w:val="auto"/>
          <w:spacing w:val="40"/>
          <w:sz w:val="32"/>
          <w:szCs w:val="32"/>
          <w:highlight w:val="none"/>
        </w:rPr>
      </w:pPr>
      <w:r>
        <w:rPr>
          <w:rFonts w:hint="eastAsia" w:ascii="宋体" w:hAnsi="宋体" w:eastAsia="宋体" w:cs="宋体"/>
          <w:b/>
          <w:color w:val="auto"/>
          <w:spacing w:val="40"/>
          <w:sz w:val="32"/>
          <w:szCs w:val="32"/>
          <w:highlight w:val="none"/>
        </w:rPr>
        <w:t>资</w:t>
      </w:r>
    </w:p>
    <w:p w14:paraId="3FDB8FCE">
      <w:pPr>
        <w:spacing w:after="100" w:afterAutospacing="1" w:line="800" w:lineRule="exact"/>
        <w:ind w:right="-108"/>
        <w:jc w:val="center"/>
        <w:rPr>
          <w:rFonts w:hint="eastAsia" w:ascii="宋体" w:hAnsi="宋体" w:eastAsia="宋体" w:cs="宋体"/>
          <w:b/>
          <w:color w:val="auto"/>
          <w:spacing w:val="40"/>
          <w:sz w:val="32"/>
          <w:szCs w:val="32"/>
          <w:highlight w:val="none"/>
          <w:lang w:eastAsia="zh-CN"/>
        </w:rPr>
      </w:pPr>
      <w:r>
        <w:rPr>
          <w:rFonts w:hint="eastAsia" w:ascii="宋体" w:hAnsi="宋体" w:eastAsia="宋体" w:cs="宋体"/>
          <w:b/>
          <w:color w:val="auto"/>
          <w:spacing w:val="40"/>
          <w:sz w:val="32"/>
          <w:szCs w:val="32"/>
          <w:highlight w:val="none"/>
          <w:lang w:eastAsia="zh-CN"/>
        </w:rPr>
        <w:t>格</w:t>
      </w:r>
    </w:p>
    <w:p w14:paraId="2C17A81F">
      <w:pPr>
        <w:spacing w:after="100" w:afterAutospacing="1" w:line="800" w:lineRule="exact"/>
        <w:ind w:right="-108"/>
        <w:jc w:val="center"/>
        <w:rPr>
          <w:rFonts w:hint="eastAsia" w:ascii="宋体" w:hAnsi="宋体" w:eastAsia="宋体" w:cs="宋体"/>
          <w:b/>
          <w:color w:val="auto"/>
          <w:spacing w:val="40"/>
          <w:sz w:val="32"/>
          <w:szCs w:val="32"/>
          <w:highlight w:val="none"/>
        </w:rPr>
      </w:pPr>
      <w:r>
        <w:rPr>
          <w:rFonts w:hint="eastAsia" w:ascii="宋体" w:hAnsi="宋体" w:eastAsia="宋体" w:cs="宋体"/>
          <w:b/>
          <w:color w:val="auto"/>
          <w:spacing w:val="40"/>
          <w:sz w:val="32"/>
          <w:szCs w:val="32"/>
          <w:highlight w:val="none"/>
        </w:rPr>
        <w:t>文</w:t>
      </w:r>
    </w:p>
    <w:p w14:paraId="0A56C0CA">
      <w:pPr>
        <w:spacing w:after="100" w:afterAutospacing="1" w:line="800" w:lineRule="exact"/>
        <w:ind w:right="-108"/>
        <w:jc w:val="center"/>
        <w:rPr>
          <w:rFonts w:hint="eastAsia" w:ascii="宋体" w:hAnsi="宋体" w:eastAsia="宋体" w:cs="宋体"/>
          <w:b/>
          <w:color w:val="auto"/>
          <w:spacing w:val="40"/>
          <w:sz w:val="32"/>
          <w:szCs w:val="32"/>
          <w:highlight w:val="none"/>
        </w:rPr>
      </w:pPr>
      <w:r>
        <w:rPr>
          <w:rFonts w:hint="eastAsia" w:ascii="宋体" w:hAnsi="宋体" w:eastAsia="宋体" w:cs="宋体"/>
          <w:b/>
          <w:color w:val="auto"/>
          <w:spacing w:val="40"/>
          <w:sz w:val="32"/>
          <w:szCs w:val="32"/>
          <w:highlight w:val="none"/>
        </w:rPr>
        <w:t>件</w:t>
      </w:r>
    </w:p>
    <w:p w14:paraId="4E7FC2E2">
      <w:pPr>
        <w:spacing w:line="500" w:lineRule="exact"/>
        <w:ind w:right="532"/>
        <w:rPr>
          <w:rFonts w:hint="eastAsia" w:ascii="宋体" w:hAnsi="宋体" w:eastAsia="宋体" w:cs="宋体"/>
          <w:color w:val="auto"/>
          <w:sz w:val="24"/>
          <w:highlight w:val="none"/>
        </w:rPr>
      </w:pPr>
    </w:p>
    <w:p w14:paraId="7EB4001F">
      <w:pPr>
        <w:pStyle w:val="11"/>
        <w:rPr>
          <w:rFonts w:hint="eastAsia" w:ascii="宋体" w:hAnsi="宋体" w:eastAsia="宋体" w:cs="宋体"/>
          <w:color w:val="auto"/>
          <w:sz w:val="24"/>
          <w:highlight w:val="none"/>
        </w:rPr>
      </w:pPr>
    </w:p>
    <w:p w14:paraId="7AAAF435">
      <w:pPr>
        <w:pStyle w:val="24"/>
        <w:rPr>
          <w:rFonts w:hint="eastAsia" w:ascii="宋体" w:hAnsi="宋体" w:eastAsia="宋体" w:cs="宋体"/>
          <w:color w:val="auto"/>
          <w:sz w:val="24"/>
          <w:highlight w:val="none"/>
        </w:rPr>
      </w:pPr>
    </w:p>
    <w:p w14:paraId="3AABB6F6">
      <w:pPr>
        <w:pStyle w:val="24"/>
        <w:rPr>
          <w:rFonts w:hint="eastAsia" w:ascii="宋体" w:hAnsi="宋体" w:eastAsia="宋体" w:cs="宋体"/>
          <w:color w:val="auto"/>
          <w:sz w:val="24"/>
          <w:highlight w:val="none"/>
        </w:rPr>
      </w:pPr>
    </w:p>
    <w:p w14:paraId="3B7CCE93">
      <w:pPr>
        <w:pStyle w:val="24"/>
        <w:rPr>
          <w:rFonts w:hint="eastAsia" w:ascii="宋体" w:hAnsi="宋体" w:eastAsia="宋体" w:cs="宋体"/>
          <w:color w:val="auto"/>
          <w:sz w:val="24"/>
          <w:highlight w:val="none"/>
        </w:rPr>
      </w:pPr>
    </w:p>
    <w:p w14:paraId="0CB0AFE0">
      <w:pPr>
        <w:pStyle w:val="24"/>
        <w:rPr>
          <w:rFonts w:hint="eastAsia" w:ascii="宋体" w:hAnsi="宋体" w:eastAsia="宋体" w:cs="宋体"/>
          <w:color w:val="auto"/>
          <w:sz w:val="24"/>
          <w:highlight w:val="none"/>
        </w:rPr>
      </w:pPr>
    </w:p>
    <w:p w14:paraId="788F112F">
      <w:pPr>
        <w:pStyle w:val="24"/>
        <w:rPr>
          <w:rFonts w:hint="eastAsia" w:ascii="宋体" w:hAnsi="宋体" w:eastAsia="宋体" w:cs="宋体"/>
          <w:color w:val="auto"/>
          <w:sz w:val="24"/>
          <w:highlight w:val="none"/>
        </w:rPr>
      </w:pPr>
    </w:p>
    <w:p w14:paraId="2898F608">
      <w:pPr>
        <w:spacing w:line="600" w:lineRule="exact"/>
        <w:ind w:right="532"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单位全称（公章）：</w:t>
      </w:r>
    </w:p>
    <w:p w14:paraId="39750DE1">
      <w:pPr>
        <w:spacing w:line="600" w:lineRule="exact"/>
        <w:ind w:right="532"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p>
    <w:p w14:paraId="7DA0C660">
      <w:pPr>
        <w:spacing w:line="600" w:lineRule="exact"/>
        <w:ind w:right="532"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时    间：</w:t>
      </w:r>
    </w:p>
    <w:p w14:paraId="4CD450F2">
      <w:pPr>
        <w:snapToGrid w:val="0"/>
        <w:spacing w:before="50" w:after="50"/>
        <w:rPr>
          <w:rFonts w:hint="eastAsia" w:ascii="宋体" w:hAnsi="宋体" w:eastAsia="宋体" w:cs="宋体"/>
          <w:b/>
          <w:color w:val="auto"/>
          <w:sz w:val="24"/>
          <w:highlight w:val="none"/>
        </w:rPr>
      </w:pPr>
    </w:p>
    <w:p w14:paraId="546F4B9D">
      <w:pPr>
        <w:snapToGrid w:val="0"/>
        <w:spacing w:line="420" w:lineRule="exact"/>
        <w:ind w:firstLine="472" w:firstLineChars="196"/>
        <w:jc w:val="left"/>
        <w:rPr>
          <w:rFonts w:hint="eastAsia" w:ascii="宋体" w:hAnsi="宋体" w:eastAsia="宋体" w:cs="宋体"/>
          <w:b/>
          <w:color w:val="auto"/>
          <w:sz w:val="24"/>
          <w:highlight w:val="none"/>
        </w:rPr>
      </w:pPr>
    </w:p>
    <w:p w14:paraId="7858F760">
      <w:pPr>
        <w:pStyle w:val="18"/>
        <w:rPr>
          <w:rFonts w:hint="eastAsia" w:ascii="宋体" w:hAnsi="宋体" w:eastAsia="宋体" w:cs="宋体"/>
          <w:color w:val="auto"/>
          <w:highlight w:val="none"/>
        </w:rPr>
      </w:pPr>
    </w:p>
    <w:p w14:paraId="03B351F8">
      <w:pPr>
        <w:keepNext w:val="0"/>
        <w:keepLines w:val="0"/>
        <w:pageBreakBefore w:val="0"/>
        <w:widowControl w:val="0"/>
        <w:kinsoku/>
        <w:wordWrap/>
        <w:overflowPunct/>
        <w:topLinePunct w:val="0"/>
        <w:autoSpaceDE/>
        <w:autoSpaceDN/>
        <w:bidi w:val="0"/>
        <w:snapToGrid w:val="0"/>
        <w:spacing w:line="360" w:lineRule="auto"/>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w:t>
      </w:r>
      <w:r>
        <w:rPr>
          <w:rFonts w:hint="eastAsia" w:ascii="宋体" w:hAnsi="宋体" w:eastAsia="宋体" w:cs="宋体"/>
          <w:b/>
          <w:bCs/>
          <w:color w:val="auto"/>
          <w:sz w:val="24"/>
          <w:highlight w:val="none"/>
          <w:lang w:eastAsia="zh-CN"/>
        </w:rPr>
        <w:t>资格</w:t>
      </w:r>
      <w:r>
        <w:rPr>
          <w:rFonts w:hint="eastAsia" w:ascii="宋体" w:hAnsi="宋体" w:eastAsia="宋体" w:cs="宋体"/>
          <w:b/>
          <w:bCs/>
          <w:color w:val="auto"/>
          <w:sz w:val="24"/>
          <w:highlight w:val="none"/>
        </w:rPr>
        <w:t>文件内容</w:t>
      </w:r>
      <w:r>
        <w:rPr>
          <w:rFonts w:hint="eastAsia" w:ascii="宋体" w:hAnsi="宋体" w:eastAsia="宋体" w:cs="宋体"/>
          <w:b/>
          <w:color w:val="auto"/>
          <w:sz w:val="24"/>
          <w:highlight w:val="none"/>
        </w:rPr>
        <w:t>：</w:t>
      </w:r>
    </w:p>
    <w:p w14:paraId="2ECBDF54">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（1）承诺函</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提供相应证明材料）</w:t>
      </w:r>
    </w:p>
    <w:p w14:paraId="3D7E44AF">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（2）法定代表人资格证明书（附身份证扫描件）</w:t>
      </w:r>
    </w:p>
    <w:p w14:paraId="7516E456">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（3）法定代表人授权委托书（附身份证扫描件）</w:t>
      </w:r>
    </w:p>
    <w:p w14:paraId="5617B64B">
      <w:pPr>
        <w:pStyle w:val="12"/>
        <w:widowControl w:val="0"/>
        <w:numPr>
          <w:ilvl w:val="0"/>
          <w:numId w:val="0"/>
        </w:numPr>
        <w:spacing w:line="360" w:lineRule="auto"/>
        <w:ind w:firstLine="464" w:firstLineChars="200"/>
        <w:jc w:val="both"/>
        <w:rPr>
          <w:rFonts w:hint="eastAsia" w:ascii="宋体" w:hAnsi="宋体" w:eastAsia="宋体" w:cs="宋体"/>
          <w:color w:val="auto"/>
          <w:sz w:val="24"/>
          <w:szCs w:val="21"/>
          <w:highlight w:val="none"/>
        </w:rPr>
      </w:pPr>
      <w:r>
        <w:rPr>
          <w:rFonts w:hint="eastAsia" w:ascii="宋体" w:hAnsi="宋体" w:eastAsia="宋体" w:cs="宋体"/>
          <w:color w:val="auto"/>
          <w:sz w:val="24"/>
          <w:highlight w:val="none"/>
        </w:rPr>
        <w:t>（4）其它特定资格条件要求的证明文件</w:t>
      </w:r>
      <w:r>
        <w:rPr>
          <w:rFonts w:hint="eastAsia" w:ascii="宋体" w:hAnsi="宋体" w:eastAsia="宋体" w:cs="宋体"/>
          <w:color w:val="auto"/>
          <w:sz w:val="24"/>
          <w:highlight w:val="none"/>
          <w:lang w:val="en-US" w:eastAsia="zh-CN"/>
        </w:rPr>
        <w:t>（如营业执照等）</w:t>
      </w:r>
    </w:p>
    <w:p w14:paraId="0198C510">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pacing w:val="0"/>
          <w:kern w:val="2"/>
          <w:sz w:val="24"/>
          <w:szCs w:val="21"/>
          <w:highlight w:val="none"/>
          <w:lang w:val="en-US" w:eastAsia="zh-CN" w:bidi="ar-SA"/>
        </w:rPr>
        <w:t>上述资格条件审查材料有一项不提供的，视为资格审查不通过，做无效标处理</w:t>
      </w:r>
      <w:r>
        <w:rPr>
          <w:rFonts w:hint="eastAsia" w:ascii="宋体" w:hAnsi="宋体" w:eastAsia="宋体" w:cs="宋体"/>
          <w:b/>
          <w:bCs/>
          <w:color w:val="auto"/>
          <w:sz w:val="24"/>
          <w:highlight w:val="none"/>
        </w:rPr>
        <w:t>。</w:t>
      </w:r>
    </w:p>
    <w:p w14:paraId="02C01305">
      <w:pPr>
        <w:snapToGrid w:val="0"/>
        <w:spacing w:before="50" w:after="156" w:afterLines="50" w:line="460" w:lineRule="exact"/>
        <w:jc w:val="left"/>
        <w:rPr>
          <w:rFonts w:hint="eastAsia" w:ascii="宋体" w:hAnsi="宋体" w:eastAsia="宋体" w:cs="宋体"/>
          <w:color w:val="auto"/>
          <w:sz w:val="24"/>
          <w:highlight w:val="none"/>
        </w:rPr>
      </w:pPr>
    </w:p>
    <w:p w14:paraId="7AE1A126">
      <w:pPr>
        <w:pStyle w:val="13"/>
        <w:snapToGrid w:val="0"/>
        <w:spacing w:line="240" w:lineRule="auto"/>
        <w:rPr>
          <w:rFonts w:hint="eastAsia" w:ascii="宋体" w:hAnsi="宋体" w:eastAsia="宋体" w:cs="宋体"/>
          <w:color w:val="auto"/>
          <w:highlight w:val="none"/>
        </w:rPr>
      </w:pPr>
    </w:p>
    <w:p w14:paraId="2188270C">
      <w:pPr>
        <w:adjustRightInd w:val="0"/>
        <w:snapToGrid w:val="0"/>
        <w:spacing w:line="360" w:lineRule="auto"/>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6EB0D326">
      <w:pPr>
        <w:pStyle w:val="18"/>
        <w:rPr>
          <w:rFonts w:hint="eastAsia" w:ascii="宋体" w:hAnsi="宋体" w:eastAsia="宋体" w:cs="宋体"/>
          <w:color w:val="auto"/>
          <w:sz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C2A3248">
      <w:pPr>
        <w:snapToGrid w:val="0"/>
        <w:spacing w:line="460" w:lineRule="exact"/>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一、承诺函</w:t>
      </w:r>
    </w:p>
    <w:p w14:paraId="3196FB7D">
      <w:pPr>
        <w:snapToGrid w:val="0"/>
        <w:spacing w:line="460" w:lineRule="exact"/>
        <w:rPr>
          <w:rFonts w:hint="eastAsia" w:ascii="宋体" w:hAnsi="宋体" w:eastAsia="宋体" w:cs="宋体"/>
          <w:color w:val="auto"/>
          <w:sz w:val="24"/>
          <w:highlight w:val="none"/>
          <w:u w:val="single"/>
        </w:rPr>
      </w:pPr>
    </w:p>
    <w:p w14:paraId="755B8645">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eastAsia="zh-CN"/>
        </w:rPr>
        <w:t>采购人</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p>
    <w:p w14:paraId="3D0FF101">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】采购活动，郑重承诺：</w:t>
      </w:r>
    </w:p>
    <w:p w14:paraId="7D94E7DE">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597AE286">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06608A4A">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14:paraId="15C54494">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67CE2F07">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7E4DA9F8">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63978733">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765FADF1">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（二）未被信用中国（www.creditchina.gov.cn)、中国政府采购网（www.ccgp.gov.cn）列入失信被执行人、重大税收违法案件当事人名单、政府采购严重违法失信行为记录名单。</w:t>
      </w:r>
    </w:p>
    <w:p w14:paraId="073A1E8B">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779D29BC">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参加同一合同项下的政府采购活动的；</w:t>
      </w:r>
    </w:p>
    <w:p w14:paraId="5A2D0E4F">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58BDB840">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（四）其他承诺：</w:t>
      </w:r>
    </w:p>
    <w:p w14:paraId="3A62B052">
      <w:pPr>
        <w:snapToGrid w:val="0"/>
        <w:spacing w:line="46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投标文件中所列举的报价及相关资料和公司基本情况资料是真实的、合法的，无虚假、伪造的内容。若投标文件中存在虚假、伪造的内容，同意作无效投标处理，若中标之后被查实弄虚作假，同意取消中标资格。</w:t>
      </w:r>
    </w:p>
    <w:p w14:paraId="066FD291">
      <w:pPr>
        <w:snapToGrid w:val="0"/>
        <w:spacing w:line="460" w:lineRule="exact"/>
        <w:ind w:firstLine="480" w:firstLineChars="200"/>
        <w:rPr>
          <w:rFonts w:hint="eastAsia" w:ascii="宋体" w:hAnsi="宋体" w:eastAsia="宋体" w:cs="宋体"/>
          <w:color w:val="auto"/>
          <w:sz w:val="24"/>
          <w:highlight w:val="none"/>
        </w:rPr>
      </w:pPr>
    </w:p>
    <w:p w14:paraId="6E78AE0B">
      <w:pPr>
        <w:snapToGrid w:val="0"/>
        <w:spacing w:line="460" w:lineRule="exact"/>
        <w:ind w:firstLine="480" w:firstLineChars="200"/>
        <w:rPr>
          <w:rFonts w:hint="eastAsia" w:ascii="宋体" w:hAnsi="宋体" w:eastAsia="宋体" w:cs="宋体"/>
          <w:color w:val="auto"/>
          <w:sz w:val="24"/>
          <w:highlight w:val="none"/>
        </w:rPr>
      </w:pPr>
    </w:p>
    <w:p w14:paraId="6B93C432">
      <w:pPr>
        <w:snapToGrid w:val="0"/>
        <w:spacing w:line="46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投标人名称(盖章)：</w:t>
      </w:r>
    </w:p>
    <w:p w14:paraId="7D584552">
      <w:pPr>
        <w:snapToGrid w:val="0"/>
        <w:spacing w:line="460" w:lineRule="exac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7D42CBEC">
      <w:pPr>
        <w:widowControl w:val="0"/>
        <w:spacing w:after="0" w:line="460" w:lineRule="exact"/>
        <w:jc w:val="both"/>
        <w:rPr>
          <w:rFonts w:hint="eastAsia" w:ascii="Times New Roman" w:hAnsi="宋体" w:eastAsia="宋体" w:cs="宋体"/>
          <w:color w:val="auto"/>
          <w:kern w:val="0"/>
          <w:sz w:val="28"/>
          <w:szCs w:val="24"/>
          <w:highlight w:val="none"/>
          <w:lang w:val="en-US" w:eastAsia="zh-CN" w:bidi="ar-SA"/>
        </w:rPr>
      </w:pPr>
    </w:p>
    <w:p w14:paraId="5FBC3949">
      <w:pPr>
        <w:rPr>
          <w:rFonts w:hint="eastAsia" w:ascii="Times New Roman" w:hAnsi="宋体" w:eastAsia="宋体" w:cs="宋体"/>
          <w:color w:val="auto"/>
          <w:kern w:val="0"/>
          <w:sz w:val="24"/>
          <w:szCs w:val="24"/>
          <w:highlight w:val="none"/>
        </w:rPr>
      </w:pPr>
    </w:p>
    <w:p w14:paraId="13469E63">
      <w:pPr>
        <w:snapToGrid w:val="0"/>
        <w:spacing w:after="120" w:afterLines="50" w:line="440" w:lineRule="exact"/>
        <w:jc w:val="both"/>
        <w:rPr>
          <w:rFonts w:hint="eastAsia" w:ascii="宋体" w:hAnsi="宋体" w:cs="宋体"/>
          <w:b/>
          <w:bCs/>
          <w:color w:val="auto"/>
          <w:sz w:val="24"/>
          <w:highlight w:val="none"/>
        </w:rPr>
        <w:sectPr>
          <w:pgSz w:w="11906" w:h="16838"/>
          <w:pgMar w:top="1440" w:right="1080" w:bottom="1440" w:left="1080" w:header="680" w:footer="567" w:gutter="0"/>
          <w:pgNumType w:fmt="decimal" w:chapStyle="1"/>
          <w:cols w:space="720" w:num="1"/>
          <w:docGrid w:linePitch="312" w:charSpace="0"/>
        </w:sectPr>
      </w:pPr>
      <w:r>
        <w:rPr>
          <w:rFonts w:hint="eastAsia" w:ascii="Times New Roman" w:hAnsi="宋体" w:eastAsia="宋体" w:cs="宋体"/>
          <w:b/>
          <w:bCs/>
          <w:color w:val="auto"/>
          <w:kern w:val="0"/>
          <w:sz w:val="24"/>
          <w:szCs w:val="24"/>
          <w:highlight w:val="none"/>
          <w:lang w:val="en-US" w:eastAsia="zh-CN" w:bidi="ar-SA"/>
        </w:rPr>
        <w:t>附：相应证明材料</w:t>
      </w:r>
    </w:p>
    <w:p w14:paraId="059240CD">
      <w:pPr>
        <w:snapToGrid w:val="0"/>
        <w:spacing w:line="460" w:lineRule="exact"/>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二、法定代表人资格证明书</w:t>
      </w:r>
    </w:p>
    <w:p w14:paraId="19CD6069">
      <w:pPr>
        <w:spacing w:line="440" w:lineRule="exact"/>
        <w:jc w:val="center"/>
        <w:rPr>
          <w:rFonts w:ascii="宋体" w:hAnsi="宋体" w:eastAsia="宋体" w:cs="宋体"/>
          <w:color w:val="auto"/>
          <w:highlight w:val="none"/>
        </w:rPr>
      </w:pPr>
    </w:p>
    <w:p w14:paraId="12A07C1B">
      <w:pPr>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单位名称：</w:t>
      </w:r>
    </w:p>
    <w:p w14:paraId="50F95B01">
      <w:pPr>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地址：</w:t>
      </w:r>
    </w:p>
    <w:p w14:paraId="10CF1EB0">
      <w:pPr>
        <w:spacing w:line="44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姓名：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职务：</w:t>
      </w:r>
      <w:r>
        <w:rPr>
          <w:rFonts w:hint="eastAsia" w:ascii="宋体" w:hAnsi="宋体" w:eastAsia="宋体" w:cs="宋体"/>
          <w:color w:val="auto"/>
          <w:sz w:val="24"/>
          <w:highlight w:val="none"/>
          <w:u w:val="single"/>
        </w:rPr>
        <w:t xml:space="preserve">                         </w:t>
      </w:r>
    </w:p>
    <w:p w14:paraId="5085A579">
      <w:pPr>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的法定代表人，为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项目，签署上述项目的投标文件，进行合同谈判、签署合同和处理与之有关的一切事务。</w:t>
      </w:r>
    </w:p>
    <w:p w14:paraId="4A5AE64F">
      <w:pPr>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特此证明。</w:t>
      </w:r>
    </w:p>
    <w:p w14:paraId="04A2FAD8">
      <w:pPr>
        <w:spacing w:line="440" w:lineRule="exact"/>
        <w:rPr>
          <w:rFonts w:ascii="宋体" w:hAnsi="宋体" w:eastAsia="宋体" w:cs="宋体"/>
          <w:color w:val="auto"/>
          <w:sz w:val="24"/>
          <w:highlight w:val="none"/>
        </w:rPr>
      </w:pPr>
    </w:p>
    <w:p w14:paraId="3CC0E2FF">
      <w:pPr>
        <w:spacing w:line="44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w:t>
      </w:r>
      <w:r>
        <w:rPr>
          <w:rFonts w:hint="eastAsia" w:ascii="宋体" w:hAnsi="宋体" w:cs="宋体"/>
          <w:color w:val="auto"/>
          <w:sz w:val="24"/>
          <w:highlight w:val="none"/>
          <w:lang w:val="en-US" w:eastAsia="zh-CN"/>
        </w:rPr>
        <w:t>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（盖公章）         </w:t>
      </w:r>
    </w:p>
    <w:p w14:paraId="21C08117">
      <w:pPr>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2243FEC">
      <w:pPr>
        <w:spacing w:line="440" w:lineRule="exact"/>
        <w:rPr>
          <w:rFonts w:ascii="宋体" w:hAnsi="宋体" w:eastAsia="宋体" w:cs="宋体"/>
          <w:color w:val="auto"/>
          <w:sz w:val="24"/>
          <w:highlight w:val="none"/>
        </w:rPr>
      </w:pPr>
    </w:p>
    <w:p w14:paraId="21E58594">
      <w:pPr>
        <w:adjustRightInd w:val="0"/>
        <w:snapToGrid w:val="0"/>
        <w:spacing w:line="360" w:lineRule="auto"/>
        <w:rPr>
          <w:rFonts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附身份证复印件</w:t>
      </w:r>
    </w:p>
    <w:p w14:paraId="3B698298">
      <w:pPr>
        <w:spacing w:line="500" w:lineRule="exact"/>
        <w:jc w:val="center"/>
        <w:rPr>
          <w:rFonts w:ascii="宋体" w:hAnsi="宋体" w:eastAsia="宋体" w:cs="宋体"/>
          <w:b/>
          <w:bCs/>
          <w:color w:val="auto"/>
          <w:sz w:val="24"/>
          <w:highlight w:val="none"/>
        </w:rPr>
      </w:pPr>
    </w:p>
    <w:p w14:paraId="385152E7">
      <w:pPr>
        <w:snapToGrid w:val="0"/>
        <w:spacing w:line="460" w:lineRule="exact"/>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三、授权委托书</w:t>
      </w:r>
    </w:p>
    <w:p w14:paraId="6D1F2F35">
      <w:pPr>
        <w:spacing w:line="500" w:lineRule="exact"/>
        <w:jc w:val="center"/>
        <w:rPr>
          <w:rFonts w:ascii="宋体" w:hAnsi="宋体" w:eastAsia="宋体" w:cs="宋体"/>
          <w:color w:val="auto"/>
          <w:sz w:val="24"/>
          <w:highlight w:val="none"/>
        </w:rPr>
      </w:pPr>
    </w:p>
    <w:p w14:paraId="4D2CD1CE">
      <w:pPr>
        <w:adjustRightInd w:val="0"/>
        <w:snapToGrid w:val="0"/>
        <w:spacing w:line="360" w:lineRule="auto"/>
        <w:rPr>
          <w:rFonts w:ascii="宋体" w:hAnsi="宋体" w:eastAsia="宋体" w:cs="宋体"/>
          <w:color w:val="auto"/>
          <w:kern w:val="0"/>
          <w:sz w:val="24"/>
          <w:highlight w:val="none"/>
        </w:rPr>
      </w:pP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eastAsia="zh-CN"/>
        </w:rPr>
        <w:t>采购人</w:t>
      </w:r>
      <w:r>
        <w:rPr>
          <w:rFonts w:hint="eastAsia" w:ascii="宋体" w:hAnsi="宋体" w:eastAsia="宋体" w:cs="宋体"/>
          <w:color w:val="auto"/>
          <w:sz w:val="24"/>
          <w:highlight w:val="none"/>
          <w:u w:val="single"/>
        </w:rPr>
        <w:t>）</w:t>
      </w:r>
      <w:r>
        <w:rPr>
          <w:rFonts w:hint="eastAsia" w:ascii="宋体" w:hAnsi="宋体" w:eastAsia="宋体" w:cs="宋体"/>
          <w:color w:val="auto"/>
          <w:kern w:val="0"/>
          <w:sz w:val="24"/>
          <w:highlight w:val="none"/>
          <w:lang w:val="zh-CN"/>
        </w:rPr>
        <w:t>：</w:t>
      </w:r>
    </w:p>
    <w:p w14:paraId="19EEC73E">
      <w:pPr>
        <w:adjustRightInd w:val="0"/>
        <w:snapToGrid w:val="0"/>
        <w:spacing w:line="360" w:lineRule="auto"/>
        <w:ind w:firstLine="576"/>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兹委派我公司</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先生/女士(其在本公司的职务是：</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 xml:space="preserve"> ，联系电话：</w:t>
      </w:r>
      <w:r>
        <w:rPr>
          <w:rFonts w:hint="eastAsia" w:ascii="宋体" w:hAnsi="宋体" w:eastAsia="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传真：</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)，代表我公司全权处理</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项目(编号：</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 xml:space="preserve"> )采购</w:t>
      </w:r>
      <w:r>
        <w:rPr>
          <w:rFonts w:hint="eastAsia" w:ascii="宋体" w:hAnsi="宋体" w:eastAsia="宋体" w:cs="宋体"/>
          <w:color w:val="auto"/>
          <w:kern w:val="0"/>
          <w:sz w:val="24"/>
          <w:highlight w:val="none"/>
        </w:rPr>
        <w:t>投标</w:t>
      </w:r>
      <w:r>
        <w:rPr>
          <w:rFonts w:hint="eastAsia" w:ascii="宋体" w:hAnsi="宋体" w:eastAsia="宋体" w:cs="宋体"/>
          <w:color w:val="auto"/>
          <w:kern w:val="0"/>
          <w:sz w:val="24"/>
          <w:highlight w:val="none"/>
          <w:lang w:val="zh-CN"/>
        </w:rPr>
        <w:t>的一切事项，若中标则全权代表本公司签订相关合同，并负责处理合同履行等事宜。</w:t>
      </w:r>
    </w:p>
    <w:p w14:paraId="068EBBD6">
      <w:pPr>
        <w:adjustRightInd w:val="0"/>
        <w:snapToGrid w:val="0"/>
        <w:spacing w:line="360" w:lineRule="auto"/>
        <w:rPr>
          <w:rFonts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本委托书有效期：自    年  月  日起至    年  月  日止。</w:t>
      </w:r>
    </w:p>
    <w:p w14:paraId="50B4B243">
      <w:pPr>
        <w:adjustRightInd w:val="0"/>
        <w:snapToGrid w:val="0"/>
        <w:spacing w:line="360" w:lineRule="auto"/>
        <w:ind w:firstLine="480"/>
        <w:rPr>
          <w:rFonts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特此告知。</w:t>
      </w:r>
    </w:p>
    <w:p w14:paraId="42016733">
      <w:pPr>
        <w:spacing w:line="500" w:lineRule="exact"/>
        <w:rPr>
          <w:rFonts w:ascii="宋体" w:hAnsi="宋体" w:eastAsia="宋体" w:cs="宋体"/>
          <w:color w:val="auto"/>
          <w:sz w:val="24"/>
          <w:highlight w:val="none"/>
        </w:rPr>
      </w:pPr>
    </w:p>
    <w:p w14:paraId="243D30FD">
      <w:pPr>
        <w:adjustRightInd w:val="0"/>
        <w:snapToGrid w:val="0"/>
        <w:spacing w:line="360" w:lineRule="auto"/>
        <w:rPr>
          <w:rFonts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投标</w:t>
      </w:r>
      <w:r>
        <w:rPr>
          <w:rFonts w:hint="eastAsia" w:ascii="宋体" w:hAnsi="宋体" w:cs="宋体"/>
          <w:color w:val="auto"/>
          <w:kern w:val="0"/>
          <w:sz w:val="24"/>
          <w:highlight w:val="none"/>
          <w:lang w:val="en-US" w:eastAsia="zh-CN"/>
        </w:rPr>
        <w:t>人</w:t>
      </w:r>
      <w:r>
        <w:rPr>
          <w:rFonts w:hint="eastAsia" w:ascii="宋体" w:hAnsi="宋体" w:eastAsia="宋体" w:cs="宋体"/>
          <w:color w:val="auto"/>
          <w:kern w:val="0"/>
          <w:sz w:val="24"/>
          <w:highlight w:val="none"/>
          <w:lang w:val="zh-CN"/>
        </w:rPr>
        <w:t>名称(公章)：</w:t>
      </w:r>
    </w:p>
    <w:p w14:paraId="0DCC9E5B">
      <w:pPr>
        <w:adjustRightInd w:val="0"/>
        <w:snapToGrid w:val="0"/>
        <w:spacing w:line="360" w:lineRule="auto"/>
        <w:rPr>
          <w:rFonts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法定代表人(签字或盖章)：</w:t>
      </w:r>
    </w:p>
    <w:p w14:paraId="282AB50B">
      <w:pPr>
        <w:wordWrap w:val="0"/>
        <w:adjustRightInd w:val="0"/>
        <w:snapToGrid w:val="0"/>
        <w:spacing w:line="360" w:lineRule="auto"/>
        <w:jc w:val="right"/>
        <w:rPr>
          <w:rFonts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签发日期：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58CA9EF5">
      <w:pPr>
        <w:adjustRightInd w:val="0"/>
        <w:snapToGrid w:val="0"/>
        <w:spacing w:line="500" w:lineRule="exact"/>
        <w:rPr>
          <w:rFonts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附身份证复印件</w:t>
      </w:r>
    </w:p>
    <w:p w14:paraId="760AAFA7">
      <w:pPr>
        <w:spacing w:line="500" w:lineRule="exact"/>
        <w:jc w:val="center"/>
        <w:rPr>
          <w:rFonts w:hint="eastAsia" w:ascii="宋体" w:hAnsi="宋体" w:eastAsia="宋体" w:cs="宋体"/>
          <w:b/>
          <w:bCs/>
          <w:color w:val="auto"/>
          <w:sz w:val="24"/>
          <w:highlight w:val="none"/>
        </w:rPr>
        <w:sectPr>
          <w:pgSz w:w="11906" w:h="16838"/>
          <w:pgMar w:top="1440" w:right="1080" w:bottom="1440" w:left="1080" w:header="680" w:footer="567" w:gutter="0"/>
          <w:pgNumType w:fmt="decimal" w:chapStyle="1"/>
          <w:cols w:space="720" w:num="1"/>
          <w:docGrid w:linePitch="312" w:charSpace="0"/>
        </w:sectPr>
      </w:pPr>
    </w:p>
    <w:p w14:paraId="30C7AD75">
      <w:pPr>
        <w:adjustRightInd w:val="0"/>
        <w:snapToGrid w:val="0"/>
        <w:spacing w:line="440" w:lineRule="exact"/>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32"/>
          <w:szCs w:val="32"/>
          <w:highlight w:val="none"/>
          <w:lang w:eastAsia="zh-CN"/>
        </w:rPr>
        <w:t>四</w:t>
      </w:r>
      <w:r>
        <w:rPr>
          <w:rFonts w:hint="eastAsia" w:ascii="宋体" w:hAnsi="宋体" w:eastAsia="宋体" w:cs="宋体"/>
          <w:b/>
          <w:color w:val="auto"/>
          <w:kern w:val="0"/>
          <w:sz w:val="32"/>
          <w:szCs w:val="32"/>
          <w:highlight w:val="none"/>
        </w:rPr>
        <w:t>、其它特定资格条件要求的相关证</w:t>
      </w:r>
      <w:r>
        <w:rPr>
          <w:rFonts w:hint="eastAsia" w:ascii="宋体" w:hAnsi="宋体" w:eastAsia="宋体" w:cs="宋体"/>
          <w:b/>
          <w:color w:val="auto"/>
          <w:kern w:val="0"/>
          <w:sz w:val="32"/>
          <w:szCs w:val="32"/>
          <w:highlight w:val="none"/>
          <w:lang w:eastAsia="zh-CN"/>
        </w:rPr>
        <w:t>明文件</w:t>
      </w:r>
    </w:p>
    <w:p w14:paraId="52CD3D73">
      <w:pPr>
        <w:jc w:val="center"/>
        <w:rPr>
          <w:rFonts w:hint="eastAsia" w:ascii="宋体" w:hAnsi="宋体" w:eastAsia="宋体" w:cs="宋体"/>
          <w:b/>
          <w:bCs/>
          <w:color w:val="auto"/>
          <w:sz w:val="24"/>
          <w:highlight w:val="none"/>
        </w:rPr>
      </w:pPr>
    </w:p>
    <w:p w14:paraId="68E62E9C">
      <w:pPr>
        <w:jc w:val="center"/>
        <w:rPr>
          <w:rFonts w:hint="eastAsia"/>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b/>
          <w:bCs/>
          <w:color w:val="auto"/>
          <w:sz w:val="24"/>
          <w:highlight w:val="none"/>
        </w:rPr>
        <w:t>（加盖单位公章）</w:t>
      </w:r>
    </w:p>
    <w:p w14:paraId="47C5B467">
      <w:pPr>
        <w:snapToGrid w:val="0"/>
        <w:spacing w:before="156" w:beforeLines="50" w:after="50"/>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封面格式</w:t>
      </w:r>
      <w:r>
        <w:rPr>
          <w:rFonts w:hint="eastAsia" w:ascii="宋体" w:hAnsi="宋体" w:eastAsia="宋体" w:cs="宋体"/>
          <w:b/>
          <w:color w:val="auto"/>
          <w:sz w:val="28"/>
          <w:szCs w:val="28"/>
          <w:highlight w:val="none"/>
        </w:rPr>
        <w:t xml:space="preserve">                                       </w:t>
      </w:r>
      <w:r>
        <w:rPr>
          <w:rFonts w:hint="eastAsia" w:ascii="宋体" w:hAnsi="宋体" w:eastAsia="宋体" w:cs="宋体"/>
          <w:bCs/>
          <w:color w:val="auto"/>
          <w:sz w:val="28"/>
          <w:szCs w:val="28"/>
          <w:highlight w:val="none"/>
        </w:rPr>
        <w:t>正本或副本</w:t>
      </w:r>
    </w:p>
    <w:p w14:paraId="6BC790F2">
      <w:pPr>
        <w:snapToGrid w:val="0"/>
        <w:spacing w:before="156" w:beforeLines="50" w:after="50"/>
        <w:jc w:val="right"/>
        <w:rPr>
          <w:rFonts w:hint="eastAsia" w:ascii="宋体" w:hAnsi="宋体" w:eastAsia="宋体" w:cs="宋体"/>
          <w:bCs/>
          <w:color w:val="auto"/>
          <w:sz w:val="24"/>
          <w:highlight w:val="none"/>
        </w:rPr>
      </w:pPr>
      <w:r>
        <w:rPr>
          <w:rFonts w:hint="eastAsia" w:ascii="宋体" w:hAnsi="宋体" w:eastAsia="宋体" w:cs="宋体"/>
          <w:color w:val="auto"/>
          <w:sz w:val="24"/>
          <w:highlight w:val="none"/>
        </w:rPr>
        <w:t xml:space="preserve">                                            </w:t>
      </w:r>
    </w:p>
    <w:p w14:paraId="1D49966B">
      <w:pPr>
        <w:ind w:right="-110"/>
        <w:jc w:val="center"/>
        <w:rPr>
          <w:rFonts w:hint="eastAsia" w:ascii="宋体" w:hAnsi="宋体" w:eastAsia="宋体" w:cs="宋体"/>
          <w:color w:val="auto"/>
          <w:spacing w:val="40"/>
          <w:sz w:val="24"/>
          <w:highlight w:val="none"/>
        </w:rPr>
      </w:pPr>
      <w:r>
        <w:rPr>
          <w:rFonts w:hint="eastAsia" w:ascii="宋体" w:hAnsi="宋体" w:eastAsia="宋体" w:cs="宋体"/>
          <w:color w:val="auto"/>
          <w:spacing w:val="40"/>
          <w:sz w:val="24"/>
          <w:highlight w:val="none"/>
        </w:rPr>
        <w:t>***项目名称</w:t>
      </w:r>
    </w:p>
    <w:p w14:paraId="450AC528">
      <w:pPr>
        <w:spacing w:before="312" w:beforeLines="100" w:line="240" w:lineRule="atLeast"/>
        <w:ind w:right="-108"/>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p>
    <w:p w14:paraId="65E133E2">
      <w:pPr>
        <w:spacing w:after="100" w:afterAutospacing="1" w:line="400" w:lineRule="exact"/>
        <w:ind w:right="-108"/>
        <w:jc w:val="center"/>
        <w:rPr>
          <w:rFonts w:hint="eastAsia" w:ascii="宋体" w:hAnsi="宋体" w:eastAsia="宋体" w:cs="宋体"/>
          <w:b/>
          <w:color w:val="auto"/>
          <w:spacing w:val="40"/>
          <w:sz w:val="24"/>
          <w:highlight w:val="none"/>
        </w:rPr>
      </w:pPr>
    </w:p>
    <w:p w14:paraId="7C1EB760">
      <w:pPr>
        <w:spacing w:after="100" w:afterAutospacing="1" w:line="800" w:lineRule="exact"/>
        <w:ind w:right="-108"/>
        <w:jc w:val="center"/>
        <w:rPr>
          <w:rFonts w:hint="eastAsia" w:ascii="宋体" w:hAnsi="宋体" w:eastAsia="宋体" w:cs="宋体"/>
          <w:b/>
          <w:color w:val="auto"/>
          <w:spacing w:val="40"/>
          <w:sz w:val="32"/>
          <w:szCs w:val="32"/>
          <w:highlight w:val="none"/>
          <w:lang w:eastAsia="zh-CN"/>
        </w:rPr>
      </w:pPr>
      <w:r>
        <w:rPr>
          <w:rFonts w:hint="eastAsia" w:ascii="宋体" w:hAnsi="宋体" w:eastAsia="宋体" w:cs="宋体"/>
          <w:b/>
          <w:color w:val="auto"/>
          <w:spacing w:val="40"/>
          <w:sz w:val="32"/>
          <w:szCs w:val="32"/>
          <w:highlight w:val="none"/>
          <w:lang w:eastAsia="zh-CN"/>
        </w:rPr>
        <w:t>商</w:t>
      </w:r>
    </w:p>
    <w:p w14:paraId="6F322720">
      <w:pPr>
        <w:spacing w:after="100" w:afterAutospacing="1" w:line="800" w:lineRule="exact"/>
        <w:ind w:right="-108"/>
        <w:jc w:val="center"/>
        <w:rPr>
          <w:rFonts w:hint="eastAsia" w:ascii="宋体" w:hAnsi="宋体" w:eastAsia="宋体" w:cs="宋体"/>
          <w:b/>
          <w:color w:val="auto"/>
          <w:spacing w:val="40"/>
          <w:sz w:val="32"/>
          <w:szCs w:val="32"/>
          <w:highlight w:val="none"/>
          <w:lang w:eastAsia="zh-CN"/>
        </w:rPr>
      </w:pPr>
      <w:r>
        <w:rPr>
          <w:rFonts w:hint="eastAsia" w:ascii="宋体" w:hAnsi="宋体" w:eastAsia="宋体" w:cs="宋体"/>
          <w:b/>
          <w:color w:val="auto"/>
          <w:spacing w:val="40"/>
          <w:sz w:val="32"/>
          <w:szCs w:val="32"/>
          <w:highlight w:val="none"/>
          <w:lang w:eastAsia="zh-CN"/>
        </w:rPr>
        <w:t>务</w:t>
      </w:r>
    </w:p>
    <w:p w14:paraId="18EEEB10">
      <w:pPr>
        <w:spacing w:after="100" w:afterAutospacing="1" w:line="800" w:lineRule="exact"/>
        <w:ind w:right="-108"/>
        <w:jc w:val="center"/>
        <w:rPr>
          <w:rFonts w:hint="eastAsia" w:ascii="宋体" w:hAnsi="宋体" w:eastAsia="宋体" w:cs="宋体"/>
          <w:b/>
          <w:color w:val="auto"/>
          <w:spacing w:val="40"/>
          <w:sz w:val="32"/>
          <w:szCs w:val="32"/>
          <w:highlight w:val="none"/>
          <w:lang w:eastAsia="zh-CN"/>
        </w:rPr>
      </w:pPr>
      <w:r>
        <w:rPr>
          <w:rFonts w:hint="eastAsia" w:ascii="宋体" w:hAnsi="宋体" w:eastAsia="宋体" w:cs="宋体"/>
          <w:b/>
          <w:color w:val="auto"/>
          <w:spacing w:val="40"/>
          <w:sz w:val="32"/>
          <w:szCs w:val="32"/>
          <w:highlight w:val="none"/>
          <w:lang w:eastAsia="zh-CN"/>
        </w:rPr>
        <w:t>技</w:t>
      </w:r>
    </w:p>
    <w:p w14:paraId="0B7CD619">
      <w:pPr>
        <w:spacing w:after="100" w:afterAutospacing="1" w:line="800" w:lineRule="exact"/>
        <w:ind w:right="-108"/>
        <w:jc w:val="center"/>
        <w:rPr>
          <w:rFonts w:hint="eastAsia" w:ascii="宋体" w:hAnsi="宋体" w:eastAsia="宋体" w:cs="宋体"/>
          <w:b/>
          <w:color w:val="auto"/>
          <w:spacing w:val="40"/>
          <w:sz w:val="32"/>
          <w:szCs w:val="32"/>
          <w:highlight w:val="none"/>
          <w:lang w:eastAsia="zh-CN"/>
        </w:rPr>
      </w:pPr>
      <w:r>
        <w:rPr>
          <w:rFonts w:hint="eastAsia" w:ascii="宋体" w:hAnsi="宋体" w:eastAsia="宋体" w:cs="宋体"/>
          <w:b/>
          <w:color w:val="auto"/>
          <w:spacing w:val="40"/>
          <w:sz w:val="32"/>
          <w:szCs w:val="32"/>
          <w:highlight w:val="none"/>
          <w:lang w:eastAsia="zh-CN"/>
        </w:rPr>
        <w:t>术</w:t>
      </w:r>
    </w:p>
    <w:p w14:paraId="18F036EB">
      <w:pPr>
        <w:spacing w:after="100" w:afterAutospacing="1" w:line="800" w:lineRule="exact"/>
        <w:ind w:right="-108"/>
        <w:jc w:val="center"/>
        <w:rPr>
          <w:rFonts w:hint="eastAsia" w:ascii="宋体" w:hAnsi="宋体" w:eastAsia="宋体" w:cs="宋体"/>
          <w:b/>
          <w:color w:val="auto"/>
          <w:spacing w:val="40"/>
          <w:sz w:val="32"/>
          <w:szCs w:val="32"/>
          <w:highlight w:val="none"/>
        </w:rPr>
      </w:pPr>
      <w:r>
        <w:rPr>
          <w:rFonts w:hint="eastAsia" w:ascii="宋体" w:hAnsi="宋体" w:eastAsia="宋体" w:cs="宋体"/>
          <w:b/>
          <w:color w:val="auto"/>
          <w:spacing w:val="40"/>
          <w:sz w:val="32"/>
          <w:szCs w:val="32"/>
          <w:highlight w:val="none"/>
        </w:rPr>
        <w:t>文</w:t>
      </w:r>
    </w:p>
    <w:p w14:paraId="54E9E253">
      <w:pPr>
        <w:spacing w:after="100" w:afterAutospacing="1" w:line="800" w:lineRule="exact"/>
        <w:ind w:right="-108"/>
        <w:jc w:val="center"/>
        <w:rPr>
          <w:rFonts w:hint="eastAsia" w:ascii="宋体" w:hAnsi="宋体" w:eastAsia="宋体" w:cs="宋体"/>
          <w:b/>
          <w:color w:val="auto"/>
          <w:spacing w:val="40"/>
          <w:sz w:val="32"/>
          <w:szCs w:val="32"/>
          <w:highlight w:val="none"/>
        </w:rPr>
      </w:pPr>
      <w:r>
        <w:rPr>
          <w:rFonts w:hint="eastAsia" w:ascii="宋体" w:hAnsi="宋体" w:eastAsia="宋体" w:cs="宋体"/>
          <w:b/>
          <w:color w:val="auto"/>
          <w:spacing w:val="40"/>
          <w:sz w:val="32"/>
          <w:szCs w:val="32"/>
          <w:highlight w:val="none"/>
        </w:rPr>
        <w:t>件</w:t>
      </w:r>
    </w:p>
    <w:p w14:paraId="583B5320">
      <w:pPr>
        <w:spacing w:line="500" w:lineRule="exact"/>
        <w:ind w:right="532"/>
        <w:rPr>
          <w:rFonts w:hint="eastAsia" w:ascii="宋体" w:hAnsi="宋体" w:eastAsia="宋体" w:cs="宋体"/>
          <w:color w:val="auto"/>
          <w:sz w:val="24"/>
          <w:highlight w:val="none"/>
        </w:rPr>
      </w:pPr>
    </w:p>
    <w:p w14:paraId="43F8714B">
      <w:pPr>
        <w:pStyle w:val="11"/>
        <w:rPr>
          <w:rFonts w:hint="eastAsia" w:ascii="宋体" w:hAnsi="宋体" w:eastAsia="宋体" w:cs="宋体"/>
          <w:color w:val="auto"/>
          <w:sz w:val="24"/>
          <w:highlight w:val="none"/>
        </w:rPr>
      </w:pPr>
    </w:p>
    <w:p w14:paraId="1AC5408E">
      <w:pPr>
        <w:pStyle w:val="24"/>
        <w:rPr>
          <w:rFonts w:hint="eastAsia" w:ascii="宋体" w:hAnsi="宋体" w:eastAsia="宋体" w:cs="宋体"/>
          <w:color w:val="auto"/>
          <w:sz w:val="24"/>
          <w:highlight w:val="none"/>
        </w:rPr>
      </w:pPr>
    </w:p>
    <w:p w14:paraId="12574CE6">
      <w:pPr>
        <w:pStyle w:val="24"/>
        <w:rPr>
          <w:rFonts w:hint="eastAsia" w:ascii="宋体" w:hAnsi="宋体" w:eastAsia="宋体" w:cs="宋体"/>
          <w:color w:val="auto"/>
          <w:sz w:val="24"/>
          <w:highlight w:val="none"/>
        </w:rPr>
      </w:pPr>
    </w:p>
    <w:p w14:paraId="61E5CED4">
      <w:pPr>
        <w:spacing w:line="600" w:lineRule="exact"/>
        <w:ind w:right="532"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单位全称（公章）：</w:t>
      </w:r>
    </w:p>
    <w:p w14:paraId="0E4B7140">
      <w:pPr>
        <w:spacing w:line="600" w:lineRule="exact"/>
        <w:ind w:right="532"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地    址：</w:t>
      </w:r>
    </w:p>
    <w:p w14:paraId="27E02344">
      <w:pPr>
        <w:spacing w:line="600" w:lineRule="exact"/>
        <w:ind w:right="532"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时    间：</w:t>
      </w:r>
    </w:p>
    <w:p w14:paraId="4A9D5C52">
      <w:pPr>
        <w:pStyle w:val="18"/>
        <w:rPr>
          <w:rFonts w:hint="eastAsia" w:ascii="宋体" w:hAnsi="宋体" w:eastAsia="宋体" w:cs="宋体"/>
          <w:color w:val="auto"/>
          <w:sz w:val="24"/>
          <w:highlight w:val="none"/>
        </w:rPr>
      </w:pPr>
    </w:p>
    <w:p w14:paraId="41D722E1">
      <w:pPr>
        <w:rPr>
          <w:rFonts w:hint="eastAsia" w:ascii="宋体" w:hAnsi="宋体" w:eastAsia="宋体" w:cs="宋体"/>
          <w:color w:val="auto"/>
          <w:highlight w:val="none"/>
        </w:rPr>
      </w:pPr>
    </w:p>
    <w:p w14:paraId="4EC129DB">
      <w:pPr>
        <w:pStyle w:val="18"/>
        <w:rPr>
          <w:rFonts w:hint="eastAsia" w:ascii="宋体" w:hAnsi="宋体" w:eastAsia="宋体" w:cs="宋体"/>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2BA372A">
      <w:pPr>
        <w:rPr>
          <w:rFonts w:hint="eastAsia"/>
        </w:rPr>
      </w:pPr>
    </w:p>
    <w:p w14:paraId="291B246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82"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b/>
          <w:color w:val="auto"/>
          <w:sz w:val="24"/>
          <w:highlight w:val="none"/>
        </w:rPr>
        <w:t>▲</w:t>
      </w:r>
      <w:r>
        <w:rPr>
          <w:rFonts w:hint="eastAsia" w:ascii="宋体" w:hAnsi="宋体" w:cs="宋体"/>
          <w:b/>
          <w:bCs/>
          <w:color w:val="auto"/>
          <w:sz w:val="24"/>
          <w:highlight w:val="none"/>
          <w:lang w:eastAsia="zh-CN"/>
        </w:rPr>
        <w:t>商务技术</w:t>
      </w:r>
      <w:r>
        <w:rPr>
          <w:rFonts w:hint="eastAsia" w:ascii="宋体" w:hAnsi="宋体" w:eastAsia="宋体" w:cs="宋体"/>
          <w:b/>
          <w:bCs/>
          <w:color w:val="auto"/>
          <w:sz w:val="24"/>
          <w:highlight w:val="none"/>
        </w:rPr>
        <w:t>文件</w:t>
      </w:r>
      <w:r>
        <w:rPr>
          <w:rFonts w:hint="eastAsia" w:ascii="宋体" w:hAnsi="宋体" w:eastAsia="宋体" w:cs="宋体"/>
          <w:b/>
          <w:bCs/>
          <w:color w:val="auto"/>
          <w:sz w:val="24"/>
          <w:highlight w:val="none"/>
          <w:lang w:eastAsia="zh-CN"/>
        </w:rPr>
        <w:t>内容</w:t>
      </w:r>
      <w:r>
        <w:rPr>
          <w:rFonts w:hint="eastAsia" w:ascii="宋体" w:hAnsi="宋体" w:eastAsia="宋体" w:cs="宋体"/>
          <w:b/>
          <w:color w:val="auto"/>
          <w:sz w:val="24"/>
          <w:highlight w:val="none"/>
        </w:rPr>
        <w:t>：</w:t>
      </w:r>
    </w:p>
    <w:p w14:paraId="3C0B792F">
      <w:pPr>
        <w:pStyle w:val="18"/>
        <w:keepNext w:val="0"/>
        <w:keepLines w:val="0"/>
        <w:pageBreakBefore w:val="0"/>
        <w:widowControl w:val="0"/>
        <w:numPr>
          <w:ilvl w:val="0"/>
          <w:numId w:val="0"/>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（1）评分对应表（格式自拟，主要用于</w:t>
      </w:r>
      <w:r>
        <w:rPr>
          <w:rFonts w:hint="eastAsia" w:ascii="宋体" w:hAnsi="宋体" w:cs="宋体"/>
          <w:color w:val="auto"/>
          <w:sz w:val="24"/>
          <w:szCs w:val="24"/>
          <w:highlight w:val="none"/>
          <w:lang w:val="en-US" w:eastAsia="zh-CN"/>
        </w:rPr>
        <w:t>评标委员会</w:t>
      </w:r>
      <w:r>
        <w:rPr>
          <w:rFonts w:hint="eastAsia" w:ascii="宋体" w:hAnsi="宋体" w:eastAsia="宋体" w:cs="宋体"/>
          <w:color w:val="auto"/>
          <w:sz w:val="24"/>
          <w:szCs w:val="24"/>
          <w:highlight w:val="none"/>
          <w:lang w:val="en-US" w:eastAsia="zh-CN"/>
        </w:rPr>
        <w:t>对应评分内容）</w:t>
      </w:r>
    </w:p>
    <w:p w14:paraId="4398E277">
      <w:pPr>
        <w:pStyle w:val="18"/>
        <w:keepNext w:val="0"/>
        <w:keepLines w:val="0"/>
        <w:pageBreakBefore w:val="0"/>
        <w:widowControl w:val="0"/>
        <w:numPr>
          <w:ilvl w:val="0"/>
          <w:numId w:val="0"/>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（2）声明书； </w:t>
      </w:r>
    </w:p>
    <w:p w14:paraId="45EBD071">
      <w:pPr>
        <w:pStyle w:val="18"/>
        <w:keepNext w:val="0"/>
        <w:keepLines w:val="0"/>
        <w:pageBreakBefore w:val="0"/>
        <w:widowControl w:val="0"/>
        <w:numPr>
          <w:ilvl w:val="0"/>
          <w:numId w:val="0"/>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（3）法人授权委托书；</w:t>
      </w:r>
    </w:p>
    <w:p w14:paraId="255548CF">
      <w:pPr>
        <w:pStyle w:val="18"/>
        <w:keepNext w:val="0"/>
        <w:keepLines w:val="0"/>
        <w:pageBreakBefore w:val="0"/>
        <w:widowControl w:val="0"/>
        <w:numPr>
          <w:ilvl w:val="0"/>
          <w:numId w:val="0"/>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（4）法定代表人及授权委托人的身份证（复印件）；</w:t>
      </w:r>
    </w:p>
    <w:p w14:paraId="74677A68">
      <w:pPr>
        <w:pStyle w:val="18"/>
        <w:keepNext w:val="0"/>
        <w:keepLines w:val="0"/>
        <w:pageBreakBefore w:val="0"/>
        <w:widowControl w:val="0"/>
        <w:numPr>
          <w:ilvl w:val="0"/>
          <w:numId w:val="0"/>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（5）所有资质文件（含节能、环保、创新等凭证复印件）； </w:t>
      </w:r>
    </w:p>
    <w:p w14:paraId="688C96DA">
      <w:pPr>
        <w:pStyle w:val="18"/>
        <w:keepNext w:val="0"/>
        <w:keepLines w:val="0"/>
        <w:pageBreakBefore w:val="0"/>
        <w:widowControl w:val="0"/>
        <w:numPr>
          <w:ilvl w:val="0"/>
          <w:numId w:val="0"/>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（6）投标人企业介绍（含企业概况、技术力量、主要产品、生产规模、市场业绩等）； </w:t>
      </w:r>
    </w:p>
    <w:p w14:paraId="2EF93314">
      <w:pPr>
        <w:pStyle w:val="18"/>
        <w:keepNext w:val="0"/>
        <w:keepLines w:val="0"/>
        <w:pageBreakBefore w:val="0"/>
        <w:widowControl w:val="0"/>
        <w:numPr>
          <w:ilvl w:val="0"/>
          <w:numId w:val="0"/>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（7）主要类似业绩证明； </w:t>
      </w:r>
    </w:p>
    <w:p w14:paraId="4683A6E5">
      <w:pPr>
        <w:pStyle w:val="18"/>
        <w:keepNext w:val="0"/>
        <w:keepLines w:val="0"/>
        <w:pageBreakBefore w:val="0"/>
        <w:widowControl w:val="0"/>
        <w:numPr>
          <w:ilvl w:val="0"/>
          <w:numId w:val="0"/>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（8）商务偏离说明表；</w:t>
      </w:r>
    </w:p>
    <w:p w14:paraId="76DFBACF">
      <w:pPr>
        <w:pStyle w:val="18"/>
        <w:keepNext w:val="0"/>
        <w:keepLines w:val="0"/>
        <w:pageBreakBefore w:val="0"/>
        <w:widowControl w:val="0"/>
        <w:numPr>
          <w:ilvl w:val="0"/>
          <w:numId w:val="0"/>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（9）关于对采购文件中有关条款的拒绝声明；</w:t>
      </w:r>
    </w:p>
    <w:p w14:paraId="40AE2EDF">
      <w:pPr>
        <w:pStyle w:val="18"/>
        <w:keepNext w:val="0"/>
        <w:keepLines w:val="0"/>
        <w:pageBreakBefore w:val="0"/>
        <w:widowControl w:val="0"/>
        <w:numPr>
          <w:ilvl w:val="0"/>
          <w:numId w:val="0"/>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cs="宋体"/>
          <w:color w:val="auto"/>
          <w:sz w:val="24"/>
          <w:szCs w:val="24"/>
          <w:highlight w:val="none"/>
          <w:lang w:val="en-US" w:eastAsia="zh-CN"/>
        </w:rPr>
        <w:t>拟派项目成员配备表</w:t>
      </w:r>
      <w:r>
        <w:rPr>
          <w:rFonts w:hint="eastAsia" w:ascii="宋体" w:hAnsi="宋体" w:eastAsia="宋体" w:cs="宋体"/>
          <w:color w:val="auto"/>
          <w:sz w:val="24"/>
          <w:szCs w:val="24"/>
          <w:highlight w:val="none"/>
          <w:lang w:val="en-US" w:eastAsia="zh-CN"/>
        </w:rPr>
        <w:t>；</w:t>
      </w:r>
    </w:p>
    <w:p w14:paraId="779CAE00">
      <w:pPr>
        <w:pStyle w:val="18"/>
        <w:keepNext w:val="0"/>
        <w:keepLines w:val="0"/>
        <w:pageBreakBefore w:val="0"/>
        <w:widowControl w:val="0"/>
        <w:numPr>
          <w:ilvl w:val="0"/>
          <w:numId w:val="0"/>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（11）技术偏离说明（格式附后）；</w:t>
      </w:r>
    </w:p>
    <w:p w14:paraId="5B008A6B">
      <w:pPr>
        <w:pStyle w:val="18"/>
        <w:keepNext w:val="0"/>
        <w:keepLines w:val="0"/>
        <w:pageBreakBefore w:val="0"/>
        <w:widowControl w:val="0"/>
        <w:numPr>
          <w:ilvl w:val="0"/>
          <w:numId w:val="0"/>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）采购文件要求的或投标人认为需要的其它资料（格式自拟）。</w:t>
      </w:r>
    </w:p>
    <w:p w14:paraId="2255C0FE">
      <w:pPr>
        <w:adjustRightInd w:val="0"/>
        <w:snapToGrid w:val="0"/>
        <w:spacing w:line="360" w:lineRule="auto"/>
        <w:ind w:right="480" w:firstLine="482" w:firstLineChars="200"/>
        <w:jc w:val="left"/>
        <w:rPr>
          <w:rFonts w:hint="eastAsia" w:ascii="宋体" w:hAnsi="宋体" w:eastAsia="宋体" w:cs="宋体"/>
          <w:b/>
          <w:color w:val="auto"/>
          <w:kern w:val="0"/>
          <w:sz w:val="24"/>
          <w:highlight w:val="none"/>
          <w:lang w:val="en-US" w:eastAsia="zh-CN"/>
        </w:rPr>
      </w:pPr>
      <w:r>
        <w:rPr>
          <w:rFonts w:hint="eastAsia" w:ascii="宋体" w:hAnsi="宋体" w:eastAsia="宋体" w:cs="宋体"/>
          <w:b/>
          <w:bCs/>
          <w:color w:val="auto"/>
          <w:sz w:val="24"/>
          <w:highlight w:val="none"/>
        </w:rPr>
        <w:t>注：以上目录是编制技术响应内容的基本格式要求，供参考，</w:t>
      </w:r>
      <w:r>
        <w:rPr>
          <w:rFonts w:hint="eastAsia" w:ascii="宋体" w:hAnsi="宋体" w:eastAsia="宋体" w:cs="宋体"/>
          <w:b/>
          <w:color w:val="auto"/>
          <w:sz w:val="24"/>
          <w:highlight w:val="none"/>
        </w:rPr>
        <w:t>投标人</w:t>
      </w:r>
      <w:r>
        <w:rPr>
          <w:rFonts w:hint="eastAsia" w:ascii="宋体" w:hAnsi="宋体" w:eastAsia="宋体" w:cs="宋体"/>
          <w:b/>
          <w:bCs/>
          <w:color w:val="auto"/>
          <w:sz w:val="24"/>
          <w:highlight w:val="none"/>
        </w:rPr>
        <w:t>可根据自身情况进一步补充、细化、优化</w:t>
      </w:r>
    </w:p>
    <w:p w14:paraId="23351F1E">
      <w:pPr>
        <w:adjustRightInd w:val="0"/>
        <w:snapToGrid w:val="0"/>
        <w:spacing w:line="360" w:lineRule="auto"/>
        <w:ind w:right="480"/>
        <w:jc w:val="center"/>
        <w:rPr>
          <w:rFonts w:hint="eastAsia" w:ascii="宋体" w:hAnsi="宋体" w:eastAsia="宋体" w:cs="宋体"/>
          <w:b/>
          <w:color w:val="auto"/>
          <w:kern w:val="0"/>
          <w:sz w:val="24"/>
          <w:highlight w:val="none"/>
          <w:lang w:val="en-US" w:eastAsia="zh-CN"/>
        </w:rPr>
      </w:pPr>
    </w:p>
    <w:p w14:paraId="772E04D1">
      <w:pPr>
        <w:adjustRightInd w:val="0"/>
        <w:snapToGrid w:val="0"/>
        <w:spacing w:line="360" w:lineRule="auto"/>
        <w:ind w:right="480"/>
        <w:jc w:val="center"/>
        <w:rPr>
          <w:rFonts w:hint="eastAsia" w:ascii="宋体" w:hAnsi="宋体" w:eastAsia="宋体" w:cs="宋体"/>
          <w:b/>
          <w:color w:val="auto"/>
          <w:kern w:val="0"/>
          <w:sz w:val="24"/>
          <w:highlight w:val="none"/>
          <w:lang w:val="en-US" w:eastAsia="zh-CN"/>
        </w:rPr>
      </w:pPr>
    </w:p>
    <w:p w14:paraId="1B0479AB">
      <w:pPr>
        <w:adjustRightInd w:val="0"/>
        <w:snapToGrid w:val="0"/>
        <w:spacing w:line="360" w:lineRule="auto"/>
        <w:ind w:right="480"/>
        <w:jc w:val="center"/>
        <w:rPr>
          <w:rFonts w:hint="eastAsia" w:ascii="宋体" w:hAnsi="宋体" w:eastAsia="宋体" w:cs="宋体"/>
          <w:b/>
          <w:color w:val="auto"/>
          <w:kern w:val="0"/>
          <w:sz w:val="24"/>
          <w:highlight w:val="none"/>
          <w:lang w:val="en-US" w:eastAsia="zh-CN"/>
        </w:rPr>
      </w:pPr>
    </w:p>
    <w:p w14:paraId="6B893EBD">
      <w:pPr>
        <w:pStyle w:val="18"/>
        <w:rPr>
          <w:rFonts w:hint="eastAsia" w:ascii="宋体" w:hAnsi="宋体" w:eastAsia="宋体" w:cs="宋体"/>
          <w:b/>
          <w:color w:val="auto"/>
          <w:kern w:val="0"/>
          <w:sz w:val="24"/>
          <w:highlight w:val="none"/>
          <w:lang w:val="en-US" w:eastAsia="zh-CN"/>
        </w:rPr>
      </w:pPr>
    </w:p>
    <w:p w14:paraId="25D6F605">
      <w:pPr>
        <w:rPr>
          <w:rFonts w:hint="eastAsia" w:ascii="宋体" w:hAnsi="宋体" w:eastAsia="宋体" w:cs="宋体"/>
          <w:b/>
          <w:color w:val="auto"/>
          <w:kern w:val="0"/>
          <w:sz w:val="24"/>
          <w:highlight w:val="none"/>
          <w:lang w:val="en-US" w:eastAsia="zh-CN"/>
        </w:rPr>
      </w:pPr>
    </w:p>
    <w:p w14:paraId="04816CDE">
      <w:pPr>
        <w:pStyle w:val="18"/>
        <w:rPr>
          <w:rFonts w:hint="eastAsia" w:ascii="宋体" w:hAnsi="宋体" w:eastAsia="宋体" w:cs="宋体"/>
          <w:b/>
          <w:color w:val="auto"/>
          <w:kern w:val="0"/>
          <w:sz w:val="24"/>
          <w:highlight w:val="none"/>
          <w:lang w:val="en-US" w:eastAsia="zh-CN"/>
        </w:rPr>
      </w:pPr>
    </w:p>
    <w:p w14:paraId="2268CE96">
      <w:pPr>
        <w:rPr>
          <w:rFonts w:hint="eastAsia" w:ascii="宋体" w:hAnsi="宋体" w:eastAsia="宋体" w:cs="宋体"/>
          <w:b/>
          <w:color w:val="auto"/>
          <w:kern w:val="0"/>
          <w:sz w:val="24"/>
          <w:highlight w:val="none"/>
          <w:lang w:val="en-US" w:eastAsia="zh-CN"/>
        </w:rPr>
      </w:pPr>
    </w:p>
    <w:p w14:paraId="0F24A314">
      <w:pPr>
        <w:pStyle w:val="18"/>
        <w:rPr>
          <w:rFonts w:hint="eastAsia" w:ascii="宋体" w:hAnsi="宋体" w:eastAsia="宋体" w:cs="宋体"/>
          <w:b/>
          <w:color w:val="auto"/>
          <w:kern w:val="0"/>
          <w:sz w:val="24"/>
          <w:highlight w:val="none"/>
          <w:lang w:val="en-US" w:eastAsia="zh-CN"/>
        </w:rPr>
      </w:pPr>
    </w:p>
    <w:p w14:paraId="107A6112">
      <w:pPr>
        <w:rPr>
          <w:rFonts w:hint="eastAsia" w:ascii="宋体" w:hAnsi="宋体" w:eastAsia="宋体" w:cs="宋体"/>
          <w:b/>
          <w:color w:val="auto"/>
          <w:kern w:val="0"/>
          <w:sz w:val="24"/>
          <w:highlight w:val="none"/>
          <w:lang w:val="en-US" w:eastAsia="zh-CN"/>
        </w:rPr>
      </w:pPr>
    </w:p>
    <w:p w14:paraId="5C4C0637">
      <w:pPr>
        <w:pStyle w:val="18"/>
        <w:rPr>
          <w:rFonts w:hint="eastAsia" w:ascii="宋体" w:hAnsi="宋体" w:eastAsia="宋体" w:cs="宋体"/>
          <w:color w:val="auto"/>
          <w:highlight w:val="none"/>
          <w:lang w:val="en-US" w:eastAsia="zh-CN"/>
        </w:rPr>
      </w:pPr>
    </w:p>
    <w:p w14:paraId="3F4BE7D2">
      <w:pPr>
        <w:adjustRightInd w:val="0"/>
        <w:snapToGrid w:val="0"/>
        <w:spacing w:line="360" w:lineRule="auto"/>
        <w:ind w:right="480"/>
        <w:jc w:val="center"/>
        <w:rPr>
          <w:rFonts w:hint="eastAsia" w:ascii="宋体" w:hAnsi="宋体" w:eastAsia="宋体" w:cs="宋体"/>
          <w:b/>
          <w:color w:val="auto"/>
          <w:kern w:val="0"/>
          <w:sz w:val="24"/>
          <w:highlight w:val="none"/>
          <w:lang w:val="en-US" w:eastAsia="zh-CN"/>
        </w:rPr>
      </w:pPr>
    </w:p>
    <w:p w14:paraId="2127565E">
      <w:pPr>
        <w:adjustRightInd w:val="0"/>
        <w:snapToGrid w:val="0"/>
        <w:spacing w:line="360" w:lineRule="auto"/>
        <w:ind w:right="480"/>
        <w:jc w:val="center"/>
        <w:rPr>
          <w:rFonts w:hint="eastAsia" w:ascii="宋体" w:hAnsi="宋体" w:eastAsia="宋体" w:cs="宋体"/>
          <w:b/>
          <w:color w:val="auto"/>
          <w:kern w:val="0"/>
          <w:sz w:val="24"/>
          <w:highlight w:val="none"/>
          <w:lang w:val="en-US" w:eastAsia="zh-CN"/>
        </w:rPr>
      </w:pPr>
    </w:p>
    <w:p w14:paraId="6E30CD62">
      <w:pPr>
        <w:adjustRightInd w:val="0"/>
        <w:snapToGrid w:val="0"/>
        <w:spacing w:line="360" w:lineRule="auto"/>
        <w:ind w:right="480"/>
        <w:jc w:val="center"/>
        <w:rPr>
          <w:rFonts w:hint="eastAsia" w:ascii="宋体" w:hAnsi="宋体" w:eastAsia="宋体" w:cs="宋体"/>
          <w:b/>
          <w:color w:val="auto"/>
          <w:kern w:val="0"/>
          <w:sz w:val="24"/>
          <w:highlight w:val="none"/>
          <w:lang w:val="en-US" w:eastAsia="zh-CN"/>
        </w:rPr>
      </w:pPr>
    </w:p>
    <w:p w14:paraId="322C408A">
      <w:pPr>
        <w:pStyle w:val="18"/>
        <w:rPr>
          <w:rFonts w:hint="eastAsia" w:ascii="宋体" w:hAnsi="宋体" w:eastAsia="宋体" w:cs="宋体"/>
          <w:color w:val="auto"/>
          <w:highlight w:val="none"/>
          <w:lang w:val="en-US" w:eastAsia="zh-CN"/>
        </w:rPr>
      </w:pPr>
    </w:p>
    <w:p w14:paraId="3FE2F061">
      <w:pPr>
        <w:adjustRightInd w:val="0"/>
        <w:snapToGrid w:val="0"/>
        <w:spacing w:line="360" w:lineRule="auto"/>
        <w:ind w:right="480"/>
        <w:jc w:val="center"/>
        <w:rPr>
          <w:rFonts w:hint="eastAsia" w:ascii="宋体" w:hAnsi="宋体" w:eastAsia="宋体" w:cs="宋体"/>
          <w:b/>
          <w:color w:val="auto"/>
          <w:kern w:val="0"/>
          <w:sz w:val="24"/>
          <w:highlight w:val="none"/>
          <w:lang w:val="en-US" w:eastAsia="zh-CN"/>
        </w:rPr>
      </w:pPr>
    </w:p>
    <w:p w14:paraId="2F30C041">
      <w:pPr>
        <w:adjustRightInd w:val="0"/>
        <w:snapToGrid w:val="0"/>
        <w:spacing w:line="360" w:lineRule="auto"/>
        <w:ind w:right="480"/>
        <w:jc w:val="center"/>
        <w:rPr>
          <w:rFonts w:hint="eastAsia" w:ascii="宋体" w:hAnsi="宋体" w:eastAsia="宋体" w:cs="宋体"/>
          <w:b/>
          <w:color w:val="auto"/>
          <w:kern w:val="0"/>
          <w:sz w:val="32"/>
          <w:szCs w:val="32"/>
          <w:highlight w:val="none"/>
          <w:lang w:val="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89EBECB">
      <w:pPr>
        <w:adjustRightInd w:val="0"/>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zh-CN"/>
        </w:rPr>
        <w:t>声明书</w:t>
      </w:r>
    </w:p>
    <w:p w14:paraId="1E159F2A">
      <w:pPr>
        <w:adjustRightInd w:val="0"/>
        <w:snapToGrid w:val="0"/>
        <w:spacing w:line="360" w:lineRule="auto"/>
        <w:jc w:val="left"/>
        <w:rPr>
          <w:rFonts w:hint="eastAsia" w:ascii="宋体" w:hAnsi="宋体" w:eastAsia="宋体" w:cs="宋体"/>
          <w:color w:val="auto"/>
          <w:kern w:val="0"/>
          <w:sz w:val="24"/>
          <w:highlight w:val="none"/>
          <w:u w:val="single"/>
          <w:lang w:val="zh-CN"/>
        </w:rPr>
      </w:pP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eastAsia="zh-CN"/>
        </w:rPr>
        <w:t>采购人</w:t>
      </w:r>
      <w:r>
        <w:rPr>
          <w:rFonts w:hint="eastAsia" w:ascii="宋体" w:hAnsi="宋体" w:eastAsia="宋体" w:cs="宋体"/>
          <w:color w:val="auto"/>
          <w:sz w:val="24"/>
          <w:highlight w:val="none"/>
          <w:u w:val="single"/>
        </w:rPr>
        <w:t>）</w:t>
      </w:r>
      <w:r>
        <w:rPr>
          <w:rFonts w:hint="eastAsia" w:ascii="宋体" w:hAnsi="宋体" w:eastAsia="宋体" w:cs="宋体"/>
          <w:color w:val="auto"/>
          <w:kern w:val="0"/>
          <w:sz w:val="24"/>
          <w:highlight w:val="none"/>
          <w:u w:val="single"/>
          <w:lang w:val="zh-CN"/>
        </w:rPr>
        <w:t>：</w:t>
      </w:r>
    </w:p>
    <w:p w14:paraId="1E4D14A0">
      <w:pPr>
        <w:adjustRightInd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我公司</w:t>
      </w:r>
      <w:r>
        <w:rPr>
          <w:rFonts w:hint="eastAsia" w:ascii="宋体" w:hAnsi="宋体" w:eastAsia="宋体" w:cs="宋体"/>
          <w:color w:val="auto"/>
          <w:sz w:val="24"/>
          <w:highlight w:val="none"/>
        </w:rPr>
        <w:t>声明截止投标时间近三年以来，在浙江省范围内</w:t>
      </w:r>
      <w:r>
        <w:rPr>
          <w:rFonts w:hint="eastAsia" w:ascii="宋体" w:hAnsi="宋体" w:eastAsia="宋体" w:cs="宋体"/>
          <w:color w:val="auto"/>
          <w:kern w:val="0"/>
          <w:sz w:val="24"/>
          <w:highlight w:val="none"/>
        </w:rPr>
        <w:t>政府采购领域中</w:t>
      </w:r>
      <w:r>
        <w:rPr>
          <w:rFonts w:hint="eastAsia" w:ascii="宋体" w:hAnsi="宋体" w:eastAsia="宋体" w:cs="宋体"/>
          <w:color w:val="auto"/>
          <w:sz w:val="24"/>
          <w:highlight w:val="none"/>
        </w:rPr>
        <w:t>，在项目招标、投标和合同履约期间无任何不良行为记录和违法、违规行为</w:t>
      </w:r>
      <w:r>
        <w:rPr>
          <w:rFonts w:hint="eastAsia" w:ascii="宋体" w:hAnsi="宋体" w:eastAsia="宋体" w:cs="宋体"/>
          <w:color w:val="auto"/>
          <w:kern w:val="0"/>
          <w:sz w:val="24"/>
          <w:highlight w:val="none"/>
          <w:lang w:val="zh-CN"/>
        </w:rPr>
        <w:t>。</w:t>
      </w:r>
    </w:p>
    <w:p w14:paraId="213A7C1F">
      <w:pPr>
        <w:adjustRightInd w:val="0"/>
        <w:snapToGrid w:val="0"/>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我公司自愿参加</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项目(</w:t>
      </w:r>
      <w:r>
        <w:rPr>
          <w:rFonts w:hint="eastAsia" w:ascii="宋体" w:hAnsi="宋体" w:cs="宋体"/>
          <w:color w:val="auto"/>
          <w:kern w:val="0"/>
          <w:sz w:val="24"/>
          <w:highlight w:val="none"/>
          <w:lang w:val="zh-CN"/>
        </w:rPr>
        <w:t>项目</w:t>
      </w:r>
      <w:r>
        <w:rPr>
          <w:rFonts w:hint="eastAsia" w:ascii="宋体" w:hAnsi="宋体" w:eastAsia="宋体" w:cs="宋体"/>
          <w:color w:val="auto"/>
          <w:kern w:val="0"/>
          <w:sz w:val="24"/>
          <w:highlight w:val="none"/>
          <w:lang w:val="zh-CN"/>
        </w:rPr>
        <w:t>编号：</w:t>
      </w:r>
      <w:r>
        <w:rPr>
          <w:rFonts w:hint="eastAsia" w:ascii="宋体" w:hAnsi="宋体" w:eastAsia="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w:t>
      </w:r>
      <w:r>
        <w:rPr>
          <w:rFonts w:hint="eastAsia" w:ascii="宋体" w:hAnsi="宋体" w:cs="宋体"/>
          <w:color w:val="auto"/>
          <w:kern w:val="0"/>
          <w:sz w:val="24"/>
          <w:highlight w:val="none"/>
          <w:lang w:val="zh-CN"/>
        </w:rPr>
        <w:t>采购</w:t>
      </w:r>
      <w:r>
        <w:rPr>
          <w:rFonts w:hint="eastAsia" w:ascii="宋体" w:hAnsi="宋体" w:eastAsia="宋体" w:cs="宋体"/>
          <w:color w:val="auto"/>
          <w:kern w:val="0"/>
          <w:sz w:val="24"/>
          <w:highlight w:val="none"/>
          <w:lang w:val="zh-CN"/>
        </w:rPr>
        <w:t>项目的投标，并保证</w:t>
      </w:r>
      <w:r>
        <w:rPr>
          <w:rFonts w:hint="eastAsia" w:ascii="宋体" w:hAnsi="宋体" w:eastAsia="宋体" w:cs="宋体"/>
          <w:color w:val="auto"/>
          <w:kern w:val="0"/>
          <w:sz w:val="24"/>
          <w:highlight w:val="none"/>
        </w:rPr>
        <w:t>投标</w:t>
      </w:r>
      <w:r>
        <w:rPr>
          <w:rFonts w:hint="eastAsia" w:ascii="宋体" w:hAnsi="宋体" w:eastAsia="宋体" w:cs="宋体"/>
          <w:color w:val="auto"/>
          <w:kern w:val="0"/>
          <w:sz w:val="24"/>
          <w:highlight w:val="none"/>
          <w:lang w:val="zh-CN"/>
        </w:rPr>
        <w:t>文件中所列举的报价及相关资料和公司基本情况资料是真实的、合法的。</w:t>
      </w:r>
    </w:p>
    <w:p w14:paraId="2437B3CE">
      <w:pPr>
        <w:adjustRightInd w:val="0"/>
        <w:snapToGrid w:val="0"/>
        <w:spacing w:line="360" w:lineRule="auto"/>
        <w:ind w:firstLine="48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我公司已详细阅读全部“采购文件”，包括修改文件（如果有）以及全部招标资料和相关附件，并已了解我公司在招投标过程中的权利和义务。</w:t>
      </w:r>
    </w:p>
    <w:p w14:paraId="02F46DCE">
      <w:pPr>
        <w:adjustRightInd w:val="0"/>
        <w:snapToGrid w:val="0"/>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我公司理解并接受采购文件的各项规定和要求，同意此次采购文件中的各项内容，</w:t>
      </w:r>
      <w:r>
        <w:rPr>
          <w:rFonts w:hint="eastAsia" w:ascii="宋体" w:hAnsi="宋体" w:eastAsia="宋体" w:cs="宋体"/>
          <w:color w:val="auto"/>
          <w:kern w:val="0"/>
          <w:sz w:val="24"/>
          <w:highlight w:val="none"/>
        </w:rPr>
        <w:t>并</w:t>
      </w:r>
      <w:r>
        <w:rPr>
          <w:rFonts w:hint="eastAsia" w:ascii="宋体" w:hAnsi="宋体" w:eastAsia="宋体" w:cs="宋体"/>
          <w:color w:val="auto"/>
          <w:kern w:val="0"/>
          <w:sz w:val="24"/>
          <w:highlight w:val="none"/>
          <w:lang w:val="zh-CN"/>
        </w:rPr>
        <w:t>同意提供按照贵方可能要求的与投标有关的一切数据或资料等。</w:t>
      </w:r>
    </w:p>
    <w:p w14:paraId="460D3297">
      <w:pPr>
        <w:adjustRightInd w:val="0"/>
        <w:snapToGrid w:val="0"/>
        <w:spacing w:line="360" w:lineRule="auto"/>
        <w:ind w:firstLine="48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本公司如中标，保证按照</w:t>
      </w:r>
      <w:r>
        <w:rPr>
          <w:rFonts w:hint="eastAsia" w:ascii="宋体" w:hAnsi="宋体" w:eastAsia="宋体" w:cs="宋体"/>
          <w:color w:val="auto"/>
          <w:kern w:val="0"/>
          <w:sz w:val="24"/>
          <w:highlight w:val="none"/>
        </w:rPr>
        <w:t>采购</w:t>
      </w:r>
      <w:r>
        <w:rPr>
          <w:rFonts w:hint="eastAsia" w:ascii="宋体" w:hAnsi="宋体" w:eastAsia="宋体" w:cs="宋体"/>
          <w:color w:val="auto"/>
          <w:kern w:val="0"/>
          <w:sz w:val="24"/>
          <w:highlight w:val="none"/>
          <w:lang w:val="zh-CN"/>
        </w:rPr>
        <w:t>文件的承诺与贵方签订合同，保证履行合同条款并缴纳履约保证金。</w:t>
      </w:r>
    </w:p>
    <w:p w14:paraId="1A93BE79">
      <w:pPr>
        <w:adjustRightInd w:val="0"/>
        <w:snapToGrid w:val="0"/>
        <w:spacing w:line="360" w:lineRule="auto"/>
        <w:ind w:firstLine="480"/>
        <w:rPr>
          <w:rFonts w:hint="eastAsia" w:ascii="宋体" w:hAnsi="宋体" w:eastAsia="宋体" w:cs="宋体"/>
          <w:color w:val="auto"/>
          <w:kern w:val="0"/>
          <w:sz w:val="24"/>
          <w:highlight w:val="none"/>
        </w:rPr>
      </w:pPr>
    </w:p>
    <w:p w14:paraId="5D1E1C2C">
      <w:pPr>
        <w:adjustRightInd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sz w:val="24"/>
          <w:highlight w:val="none"/>
        </w:rPr>
        <w:t>投标人</w:t>
      </w:r>
      <w:r>
        <w:rPr>
          <w:rFonts w:hint="eastAsia" w:ascii="宋体" w:hAnsi="宋体" w:eastAsia="宋体" w:cs="宋体"/>
          <w:color w:val="auto"/>
          <w:kern w:val="0"/>
          <w:sz w:val="24"/>
          <w:highlight w:val="none"/>
          <w:lang w:val="zh-CN"/>
        </w:rPr>
        <w:t>名称(公章)：</w:t>
      </w:r>
    </w:p>
    <w:p w14:paraId="6414FDEF">
      <w:pPr>
        <w:adjustRightInd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法定代表人或授权委托人(签字)：</w:t>
      </w:r>
    </w:p>
    <w:p w14:paraId="5E711061">
      <w:pPr>
        <w:adjustRightInd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0A87C11C">
      <w:pPr>
        <w:adjustRightInd w:val="0"/>
        <w:snapToGrid w:val="0"/>
        <w:spacing w:line="360" w:lineRule="auto"/>
        <w:jc w:val="center"/>
        <w:rPr>
          <w:rFonts w:hint="eastAsia" w:ascii="宋体" w:hAnsi="宋体" w:eastAsia="宋体" w:cs="宋体"/>
          <w:b/>
          <w:color w:val="auto"/>
          <w:kern w:val="0"/>
          <w:sz w:val="24"/>
          <w:highlight w:val="none"/>
          <w:lang w:val="zh-CN"/>
        </w:rPr>
      </w:pPr>
    </w:p>
    <w:p w14:paraId="02D76131">
      <w:pPr>
        <w:adjustRightInd w:val="0"/>
        <w:snapToGrid w:val="0"/>
        <w:spacing w:line="360" w:lineRule="auto"/>
        <w:jc w:val="center"/>
        <w:rPr>
          <w:rFonts w:hint="eastAsia" w:ascii="宋体" w:hAnsi="宋体" w:eastAsia="宋体" w:cs="宋体"/>
          <w:b/>
          <w:color w:val="auto"/>
          <w:kern w:val="0"/>
          <w:sz w:val="24"/>
          <w:highlight w:val="none"/>
          <w:lang w:val="zh-CN"/>
        </w:rPr>
      </w:pPr>
    </w:p>
    <w:p w14:paraId="5B6F5229">
      <w:pPr>
        <w:adjustRightInd w:val="0"/>
        <w:snapToGrid w:val="0"/>
        <w:spacing w:line="360" w:lineRule="auto"/>
        <w:jc w:val="center"/>
        <w:rPr>
          <w:rFonts w:hint="eastAsia" w:ascii="宋体" w:hAnsi="宋体" w:eastAsia="宋体" w:cs="宋体"/>
          <w:b/>
          <w:color w:val="auto"/>
          <w:kern w:val="0"/>
          <w:sz w:val="24"/>
          <w:highlight w:val="none"/>
          <w:lang w:val="zh-CN"/>
        </w:rPr>
      </w:pPr>
    </w:p>
    <w:p w14:paraId="7DF0297E">
      <w:pPr>
        <w:adjustRightInd w:val="0"/>
        <w:snapToGrid w:val="0"/>
        <w:spacing w:line="360" w:lineRule="auto"/>
        <w:jc w:val="center"/>
        <w:rPr>
          <w:rFonts w:hint="eastAsia" w:ascii="宋体" w:hAnsi="宋体" w:eastAsia="宋体" w:cs="宋体"/>
          <w:b/>
          <w:color w:val="auto"/>
          <w:kern w:val="0"/>
          <w:sz w:val="24"/>
          <w:highlight w:val="none"/>
          <w:lang w:val="zh-CN"/>
        </w:rPr>
      </w:pPr>
    </w:p>
    <w:p w14:paraId="0A95F8EE">
      <w:pPr>
        <w:adjustRightInd w:val="0"/>
        <w:snapToGrid w:val="0"/>
        <w:spacing w:line="360" w:lineRule="auto"/>
        <w:jc w:val="center"/>
        <w:rPr>
          <w:rFonts w:hint="eastAsia" w:ascii="宋体" w:hAnsi="宋体" w:eastAsia="宋体" w:cs="宋体"/>
          <w:b/>
          <w:color w:val="auto"/>
          <w:kern w:val="0"/>
          <w:sz w:val="24"/>
          <w:highlight w:val="none"/>
          <w:lang w:val="zh-CN"/>
        </w:rPr>
      </w:pPr>
    </w:p>
    <w:p w14:paraId="4351F003">
      <w:pPr>
        <w:adjustRightInd w:val="0"/>
        <w:snapToGrid w:val="0"/>
        <w:spacing w:line="360" w:lineRule="auto"/>
        <w:jc w:val="center"/>
        <w:rPr>
          <w:rFonts w:hint="eastAsia" w:ascii="宋体" w:hAnsi="宋体" w:eastAsia="宋体" w:cs="宋体"/>
          <w:b/>
          <w:color w:val="auto"/>
          <w:kern w:val="0"/>
          <w:sz w:val="24"/>
          <w:highlight w:val="none"/>
          <w:lang w:val="zh-CN"/>
        </w:rPr>
      </w:pPr>
    </w:p>
    <w:p w14:paraId="539C4CDF">
      <w:pPr>
        <w:adjustRightInd w:val="0"/>
        <w:snapToGrid w:val="0"/>
        <w:spacing w:line="360" w:lineRule="auto"/>
        <w:jc w:val="center"/>
        <w:rPr>
          <w:rFonts w:hint="eastAsia" w:ascii="宋体" w:hAnsi="宋体" w:eastAsia="宋体" w:cs="宋体"/>
          <w:b/>
          <w:color w:val="auto"/>
          <w:kern w:val="0"/>
          <w:sz w:val="24"/>
          <w:highlight w:val="none"/>
          <w:lang w:val="zh-CN"/>
        </w:rPr>
      </w:pPr>
    </w:p>
    <w:p w14:paraId="313DADE0">
      <w:pPr>
        <w:adjustRightInd w:val="0"/>
        <w:snapToGrid w:val="0"/>
        <w:spacing w:line="360" w:lineRule="auto"/>
        <w:jc w:val="center"/>
        <w:rPr>
          <w:rFonts w:hint="eastAsia" w:ascii="宋体" w:hAnsi="宋体" w:eastAsia="宋体" w:cs="宋体"/>
          <w:b/>
          <w:color w:val="auto"/>
          <w:kern w:val="0"/>
          <w:sz w:val="24"/>
          <w:highlight w:val="none"/>
          <w:lang w:val="zh-CN"/>
        </w:rPr>
      </w:pPr>
    </w:p>
    <w:p w14:paraId="53C08DFD">
      <w:pPr>
        <w:adjustRightInd w:val="0"/>
        <w:snapToGrid w:val="0"/>
        <w:spacing w:line="360" w:lineRule="auto"/>
        <w:jc w:val="center"/>
        <w:rPr>
          <w:rFonts w:hint="eastAsia" w:ascii="宋体" w:hAnsi="宋体" w:eastAsia="宋体" w:cs="宋体"/>
          <w:b/>
          <w:color w:val="auto"/>
          <w:kern w:val="0"/>
          <w:sz w:val="24"/>
          <w:highlight w:val="none"/>
          <w:lang w:val="zh-CN"/>
        </w:rPr>
      </w:pPr>
    </w:p>
    <w:p w14:paraId="1EF1ED33">
      <w:pPr>
        <w:adjustRightInd w:val="0"/>
        <w:snapToGrid w:val="0"/>
        <w:spacing w:line="360" w:lineRule="auto"/>
        <w:jc w:val="center"/>
        <w:rPr>
          <w:rFonts w:hint="eastAsia" w:ascii="宋体" w:hAnsi="宋体" w:eastAsia="宋体" w:cs="宋体"/>
          <w:b/>
          <w:color w:val="auto"/>
          <w:kern w:val="0"/>
          <w:sz w:val="24"/>
          <w:highlight w:val="none"/>
          <w:lang w:val="zh-CN"/>
        </w:rPr>
      </w:pPr>
    </w:p>
    <w:p w14:paraId="6CDD54A5">
      <w:pPr>
        <w:adjustRightInd w:val="0"/>
        <w:snapToGrid w:val="0"/>
        <w:spacing w:line="360" w:lineRule="auto"/>
        <w:jc w:val="center"/>
        <w:rPr>
          <w:rFonts w:hint="eastAsia" w:ascii="宋体" w:hAnsi="宋体" w:eastAsia="宋体" w:cs="宋体"/>
          <w:b/>
          <w:color w:val="auto"/>
          <w:kern w:val="0"/>
          <w:sz w:val="24"/>
          <w:highlight w:val="none"/>
          <w:lang w:val="zh-CN"/>
        </w:rPr>
      </w:pPr>
    </w:p>
    <w:p w14:paraId="137D5F65">
      <w:pPr>
        <w:adjustRightInd w:val="0"/>
        <w:snapToGrid w:val="0"/>
        <w:spacing w:line="360" w:lineRule="auto"/>
        <w:jc w:val="center"/>
        <w:rPr>
          <w:rFonts w:hint="eastAsia" w:ascii="宋体" w:hAnsi="宋体" w:eastAsia="宋体" w:cs="宋体"/>
          <w:b/>
          <w:color w:val="auto"/>
          <w:kern w:val="0"/>
          <w:sz w:val="24"/>
          <w:highlight w:val="none"/>
          <w:lang w:val="zh-CN"/>
        </w:rPr>
      </w:pPr>
    </w:p>
    <w:p w14:paraId="43D14973">
      <w:pPr>
        <w:adjustRightInd w:val="0"/>
        <w:snapToGrid w:val="0"/>
        <w:spacing w:line="360" w:lineRule="auto"/>
        <w:jc w:val="center"/>
        <w:rPr>
          <w:rFonts w:hint="eastAsia" w:ascii="宋体" w:hAnsi="宋体" w:eastAsia="宋体" w:cs="宋体"/>
          <w:b/>
          <w:color w:val="auto"/>
          <w:kern w:val="0"/>
          <w:sz w:val="32"/>
          <w:szCs w:val="32"/>
          <w:highlight w:val="none"/>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b/>
          <w:color w:val="auto"/>
          <w:kern w:val="0"/>
          <w:sz w:val="32"/>
          <w:szCs w:val="32"/>
          <w:highlight w:val="none"/>
          <w:lang w:val="en-US" w:eastAsia="zh-CN"/>
        </w:rPr>
        <w:t xml:space="preserve"> </w:t>
      </w:r>
    </w:p>
    <w:p w14:paraId="000FB12F">
      <w:pPr>
        <w:adjustRightInd w:val="0"/>
        <w:snapToGrid w:val="0"/>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授权委托书</w:t>
      </w:r>
    </w:p>
    <w:p w14:paraId="52A760B8">
      <w:pPr>
        <w:adjustRightInd w:val="0"/>
        <w:snapToGrid w:val="0"/>
        <w:spacing w:line="360" w:lineRule="auto"/>
        <w:rPr>
          <w:rFonts w:hint="eastAsia" w:ascii="宋体" w:hAnsi="宋体" w:eastAsia="宋体" w:cs="宋体"/>
          <w:color w:val="auto"/>
          <w:kern w:val="0"/>
          <w:sz w:val="24"/>
          <w:highlight w:val="none"/>
          <w:u w:val="single"/>
        </w:rPr>
      </w:pPr>
      <w:r>
        <w:rPr>
          <w:rFonts w:hint="eastAsia" w:ascii="宋体" w:hAnsi="宋体" w:eastAsia="宋体" w:cs="宋体"/>
          <w:color w:val="auto"/>
          <w:sz w:val="24"/>
          <w:highlight w:val="none"/>
          <w:u w:val="single"/>
        </w:rPr>
        <w:t>（采购机构）</w:t>
      </w:r>
      <w:r>
        <w:rPr>
          <w:rFonts w:hint="eastAsia" w:ascii="宋体" w:hAnsi="宋体" w:eastAsia="宋体" w:cs="宋体"/>
          <w:color w:val="auto"/>
          <w:kern w:val="0"/>
          <w:sz w:val="24"/>
          <w:highlight w:val="none"/>
          <w:u w:val="single"/>
          <w:lang w:val="zh-CN"/>
        </w:rPr>
        <w:t>：</w:t>
      </w:r>
    </w:p>
    <w:p w14:paraId="788FD392">
      <w:pPr>
        <w:adjustRightInd w:val="0"/>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兹委派我公司</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先生/女士(其在本公司的职务是：</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 xml:space="preserve"> ，联系电话：</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传真：</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)，代表我公司全权处理</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项目(编号：</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 xml:space="preserve"> )</w:t>
      </w:r>
      <w:r>
        <w:rPr>
          <w:rFonts w:hint="eastAsia" w:ascii="宋体" w:hAnsi="宋体" w:cs="宋体"/>
          <w:color w:val="auto"/>
          <w:kern w:val="0"/>
          <w:sz w:val="24"/>
          <w:highlight w:val="none"/>
          <w:lang w:val="zh-CN"/>
        </w:rPr>
        <w:t>采购</w:t>
      </w:r>
      <w:r>
        <w:rPr>
          <w:rFonts w:hint="eastAsia" w:ascii="宋体" w:hAnsi="宋体" w:eastAsia="宋体" w:cs="宋体"/>
          <w:color w:val="auto"/>
          <w:kern w:val="0"/>
          <w:sz w:val="24"/>
          <w:highlight w:val="none"/>
        </w:rPr>
        <w:t>投标</w:t>
      </w:r>
      <w:r>
        <w:rPr>
          <w:rFonts w:hint="eastAsia" w:ascii="宋体" w:hAnsi="宋体" w:eastAsia="宋体" w:cs="宋体"/>
          <w:color w:val="auto"/>
          <w:kern w:val="0"/>
          <w:sz w:val="24"/>
          <w:highlight w:val="none"/>
          <w:lang w:val="zh-CN"/>
        </w:rPr>
        <w:t>的一切事项，若中标则全权代表本公司签订相关合同，并负责处理合同履行等事宜。</w:t>
      </w:r>
    </w:p>
    <w:p w14:paraId="545C9510">
      <w:pPr>
        <w:adjustRightInd w:val="0"/>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本委托书有效期：自   年 月  日起至    年  月  日止。</w:t>
      </w:r>
    </w:p>
    <w:p w14:paraId="05AF8DF3">
      <w:pPr>
        <w:adjustRightInd w:val="0"/>
        <w:snapToGrid w:val="0"/>
        <w:spacing w:line="360" w:lineRule="auto"/>
        <w:ind w:firstLine="48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特此告知。</w:t>
      </w:r>
    </w:p>
    <w:p w14:paraId="29227C24">
      <w:pPr>
        <w:adjustRightInd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sz w:val="24"/>
          <w:highlight w:val="none"/>
        </w:rPr>
        <w:t>投标人</w:t>
      </w:r>
      <w:r>
        <w:rPr>
          <w:rFonts w:hint="eastAsia" w:ascii="宋体" w:hAnsi="宋体" w:eastAsia="宋体" w:cs="宋体"/>
          <w:color w:val="auto"/>
          <w:kern w:val="0"/>
          <w:sz w:val="24"/>
          <w:highlight w:val="none"/>
          <w:lang w:val="zh-CN"/>
        </w:rPr>
        <w:t>名称(公章)：</w:t>
      </w:r>
    </w:p>
    <w:p w14:paraId="17A2212D">
      <w:pPr>
        <w:adjustRightInd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法定代表人(签章)：</w:t>
      </w:r>
    </w:p>
    <w:p w14:paraId="52B4DCE2">
      <w:pPr>
        <w:wordWrap w:val="0"/>
        <w:adjustRightInd w:val="0"/>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签发日期</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5FEA4222">
      <w:pPr>
        <w:adjustRightInd w:val="0"/>
        <w:snapToGrid w:val="0"/>
        <w:spacing w:line="360" w:lineRule="auto"/>
        <w:jc w:val="right"/>
        <w:rPr>
          <w:rFonts w:hint="eastAsia" w:ascii="宋体" w:hAnsi="宋体" w:eastAsia="宋体" w:cs="宋体"/>
          <w:color w:val="auto"/>
          <w:kern w:val="0"/>
          <w:sz w:val="24"/>
          <w:highlight w:val="none"/>
          <w:lang w:val="zh-CN"/>
        </w:rPr>
      </w:pPr>
    </w:p>
    <w:p w14:paraId="58E7A4BB">
      <w:pPr>
        <w:adjustRightInd w:val="0"/>
        <w:snapToGrid w:val="0"/>
        <w:spacing w:line="360" w:lineRule="auto"/>
        <w:jc w:val="right"/>
        <w:rPr>
          <w:rFonts w:hint="eastAsia" w:ascii="宋体" w:hAnsi="宋体" w:eastAsia="宋体" w:cs="宋体"/>
          <w:color w:val="auto"/>
          <w:kern w:val="0"/>
          <w:sz w:val="24"/>
          <w:highlight w:val="none"/>
          <w:lang w:val="zh-CN"/>
        </w:rPr>
      </w:pPr>
    </w:p>
    <w:p w14:paraId="0DA4B148">
      <w:pPr>
        <w:adjustRightInd w:val="0"/>
        <w:snapToGrid w:val="0"/>
        <w:spacing w:line="360" w:lineRule="auto"/>
        <w:ind w:right="480"/>
        <w:jc w:val="center"/>
        <w:rPr>
          <w:rFonts w:hint="eastAsia" w:ascii="宋体" w:hAnsi="宋体" w:eastAsia="宋体" w:cs="宋体"/>
          <w:color w:val="auto"/>
          <w:kern w:val="0"/>
          <w:sz w:val="32"/>
          <w:szCs w:val="32"/>
          <w:highlight w:val="none"/>
          <w:lang w:val="zh-CN"/>
        </w:rPr>
      </w:pP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color w:val="auto"/>
          <w:sz w:val="32"/>
          <w:szCs w:val="32"/>
          <w:highlight w:val="none"/>
        </w:rPr>
        <w:t>法定代表人及授权委托人的身份证（复印件）</w:t>
      </w:r>
    </w:p>
    <w:p w14:paraId="627F715F">
      <w:pPr>
        <w:adjustRightInd w:val="0"/>
        <w:snapToGrid w:val="0"/>
        <w:spacing w:line="360" w:lineRule="auto"/>
        <w:ind w:right="480"/>
        <w:rPr>
          <w:rFonts w:hint="eastAsia" w:ascii="宋体" w:hAnsi="宋体" w:eastAsia="宋体" w:cs="宋体"/>
          <w:b/>
          <w:color w:val="auto"/>
          <w:kern w:val="0"/>
          <w:sz w:val="24"/>
          <w:highlight w:val="none"/>
          <w:lang w:val="zh-CN"/>
        </w:rPr>
      </w:pPr>
    </w:p>
    <w:p w14:paraId="117D4A9A">
      <w:pPr>
        <w:adjustRightInd w:val="0"/>
        <w:snapToGrid w:val="0"/>
        <w:spacing w:line="360" w:lineRule="auto"/>
        <w:ind w:right="480"/>
        <w:rPr>
          <w:rFonts w:hint="eastAsia" w:ascii="宋体" w:hAnsi="宋体" w:eastAsia="宋体" w:cs="宋体"/>
          <w:b/>
          <w:color w:val="auto"/>
          <w:kern w:val="0"/>
          <w:sz w:val="24"/>
          <w:highlight w:val="none"/>
          <w:lang w:val="zh-CN"/>
        </w:rPr>
      </w:pPr>
    </w:p>
    <w:p w14:paraId="561E7383">
      <w:pPr>
        <w:adjustRightInd w:val="0"/>
        <w:snapToGrid w:val="0"/>
        <w:spacing w:line="360" w:lineRule="auto"/>
        <w:ind w:right="480"/>
        <w:rPr>
          <w:rFonts w:hint="eastAsia" w:ascii="宋体" w:hAnsi="宋体" w:eastAsia="宋体" w:cs="宋体"/>
          <w:b/>
          <w:color w:val="auto"/>
          <w:kern w:val="0"/>
          <w:sz w:val="24"/>
          <w:highlight w:val="none"/>
          <w:lang w:val="zh-CN"/>
        </w:rPr>
      </w:pPr>
    </w:p>
    <w:p w14:paraId="787EE8B3">
      <w:pPr>
        <w:adjustRightInd w:val="0"/>
        <w:snapToGrid w:val="0"/>
        <w:spacing w:line="360" w:lineRule="auto"/>
        <w:ind w:right="480"/>
        <w:rPr>
          <w:rFonts w:hint="eastAsia" w:ascii="宋体" w:hAnsi="宋体" w:eastAsia="宋体" w:cs="宋体"/>
          <w:b/>
          <w:color w:val="auto"/>
          <w:kern w:val="0"/>
          <w:sz w:val="24"/>
          <w:highlight w:val="none"/>
          <w:lang w:val="zh-CN"/>
        </w:rPr>
      </w:pPr>
    </w:p>
    <w:p w14:paraId="170500BB">
      <w:pPr>
        <w:adjustRightInd w:val="0"/>
        <w:snapToGrid w:val="0"/>
        <w:spacing w:line="360" w:lineRule="auto"/>
        <w:ind w:right="480"/>
        <w:rPr>
          <w:rFonts w:hint="eastAsia" w:ascii="宋体" w:hAnsi="宋体" w:eastAsia="宋体" w:cs="宋体"/>
          <w:b/>
          <w:color w:val="auto"/>
          <w:kern w:val="0"/>
          <w:sz w:val="24"/>
          <w:highlight w:val="none"/>
          <w:lang w:val="zh-CN"/>
        </w:rPr>
      </w:pPr>
    </w:p>
    <w:p w14:paraId="3DAF1798">
      <w:pPr>
        <w:adjustRightInd w:val="0"/>
        <w:snapToGrid w:val="0"/>
        <w:spacing w:line="360" w:lineRule="auto"/>
        <w:ind w:right="480"/>
        <w:rPr>
          <w:rFonts w:hint="eastAsia" w:ascii="宋体" w:hAnsi="宋体" w:eastAsia="宋体" w:cs="宋体"/>
          <w:b/>
          <w:color w:val="auto"/>
          <w:kern w:val="0"/>
          <w:sz w:val="24"/>
          <w:highlight w:val="none"/>
          <w:lang w:val="zh-CN"/>
        </w:rPr>
      </w:pPr>
    </w:p>
    <w:p w14:paraId="6E4D7943">
      <w:pPr>
        <w:adjustRightInd w:val="0"/>
        <w:snapToGrid w:val="0"/>
        <w:spacing w:line="360" w:lineRule="auto"/>
        <w:ind w:right="480"/>
        <w:rPr>
          <w:rFonts w:hint="eastAsia" w:ascii="宋体" w:hAnsi="宋体" w:eastAsia="宋体" w:cs="宋体"/>
          <w:b/>
          <w:color w:val="auto"/>
          <w:kern w:val="0"/>
          <w:sz w:val="24"/>
          <w:highlight w:val="none"/>
          <w:lang w:val="zh-CN"/>
        </w:rPr>
      </w:pPr>
    </w:p>
    <w:p w14:paraId="1C68F182">
      <w:pPr>
        <w:adjustRightInd w:val="0"/>
        <w:snapToGrid w:val="0"/>
        <w:spacing w:line="360" w:lineRule="auto"/>
        <w:ind w:right="480"/>
        <w:rPr>
          <w:rFonts w:hint="eastAsia" w:ascii="宋体" w:hAnsi="宋体" w:eastAsia="宋体" w:cs="宋体"/>
          <w:b/>
          <w:color w:val="auto"/>
          <w:kern w:val="0"/>
          <w:sz w:val="24"/>
          <w:highlight w:val="none"/>
          <w:lang w:val="zh-CN"/>
        </w:rPr>
      </w:pPr>
    </w:p>
    <w:p w14:paraId="70DDA122">
      <w:pPr>
        <w:adjustRightInd w:val="0"/>
        <w:snapToGrid w:val="0"/>
        <w:spacing w:line="360" w:lineRule="auto"/>
        <w:ind w:right="480"/>
        <w:rPr>
          <w:rFonts w:hint="eastAsia" w:ascii="宋体" w:hAnsi="宋体" w:eastAsia="宋体" w:cs="宋体"/>
          <w:b/>
          <w:color w:val="auto"/>
          <w:kern w:val="0"/>
          <w:sz w:val="24"/>
          <w:highlight w:val="none"/>
          <w:lang w:val="zh-CN"/>
        </w:rPr>
      </w:pPr>
    </w:p>
    <w:p w14:paraId="6E7A9C88">
      <w:pPr>
        <w:adjustRightInd w:val="0"/>
        <w:snapToGrid w:val="0"/>
        <w:spacing w:line="360" w:lineRule="auto"/>
        <w:ind w:right="480"/>
        <w:rPr>
          <w:rFonts w:hint="eastAsia" w:ascii="宋体" w:hAnsi="宋体" w:eastAsia="宋体" w:cs="宋体"/>
          <w:b/>
          <w:color w:val="auto"/>
          <w:kern w:val="0"/>
          <w:sz w:val="24"/>
          <w:highlight w:val="none"/>
          <w:lang w:val="zh-CN"/>
        </w:rPr>
      </w:pPr>
    </w:p>
    <w:p w14:paraId="7CDB1C01">
      <w:pPr>
        <w:adjustRightInd w:val="0"/>
        <w:snapToGrid w:val="0"/>
        <w:spacing w:line="360" w:lineRule="auto"/>
        <w:ind w:right="480"/>
        <w:rPr>
          <w:rFonts w:hint="eastAsia" w:ascii="宋体" w:hAnsi="宋体" w:eastAsia="宋体" w:cs="宋体"/>
          <w:b/>
          <w:color w:val="auto"/>
          <w:kern w:val="0"/>
          <w:sz w:val="24"/>
          <w:highlight w:val="none"/>
          <w:lang w:val="zh-CN"/>
        </w:rPr>
      </w:pPr>
    </w:p>
    <w:p w14:paraId="324A3435">
      <w:pPr>
        <w:adjustRightInd w:val="0"/>
        <w:snapToGrid w:val="0"/>
        <w:spacing w:line="360" w:lineRule="auto"/>
        <w:ind w:right="480"/>
        <w:rPr>
          <w:rFonts w:hint="eastAsia" w:ascii="宋体" w:hAnsi="宋体" w:eastAsia="宋体" w:cs="宋体"/>
          <w:b/>
          <w:color w:val="auto"/>
          <w:kern w:val="0"/>
          <w:sz w:val="24"/>
          <w:highlight w:val="none"/>
          <w:lang w:val="zh-CN"/>
        </w:rPr>
      </w:pPr>
    </w:p>
    <w:p w14:paraId="20A6E0F7">
      <w:pPr>
        <w:adjustRightInd w:val="0"/>
        <w:snapToGrid w:val="0"/>
        <w:spacing w:line="360" w:lineRule="auto"/>
        <w:ind w:right="480"/>
        <w:rPr>
          <w:rFonts w:hint="eastAsia" w:ascii="宋体" w:hAnsi="宋体" w:eastAsia="宋体" w:cs="宋体"/>
          <w:b/>
          <w:color w:val="auto"/>
          <w:kern w:val="0"/>
          <w:sz w:val="24"/>
          <w:highlight w:val="none"/>
          <w:lang w:val="zh-CN"/>
        </w:rPr>
      </w:pPr>
    </w:p>
    <w:p w14:paraId="2D7FBCE9">
      <w:pPr>
        <w:adjustRightInd w:val="0"/>
        <w:snapToGrid w:val="0"/>
        <w:spacing w:line="360" w:lineRule="auto"/>
        <w:ind w:right="480"/>
        <w:rPr>
          <w:rFonts w:hint="eastAsia" w:ascii="宋体" w:hAnsi="宋体" w:eastAsia="宋体" w:cs="宋体"/>
          <w:b/>
          <w:color w:val="auto"/>
          <w:kern w:val="0"/>
          <w:sz w:val="24"/>
          <w:highlight w:val="none"/>
          <w:lang w:val="zh-CN"/>
        </w:rPr>
      </w:pPr>
    </w:p>
    <w:p w14:paraId="6F2A98F8">
      <w:pPr>
        <w:spacing w:line="480" w:lineRule="exact"/>
        <w:jc w:val="center"/>
        <w:rPr>
          <w:rFonts w:hint="eastAsia" w:ascii="宋体" w:hAnsi="宋体" w:eastAsia="宋体" w:cs="宋体"/>
          <w:b/>
          <w:color w:val="auto"/>
          <w:sz w:val="32"/>
          <w:szCs w:val="32"/>
          <w:highlight w:val="none"/>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b/>
          <w:color w:val="auto"/>
          <w:sz w:val="32"/>
          <w:szCs w:val="32"/>
          <w:highlight w:val="none"/>
          <w:lang w:val="en-US" w:eastAsia="zh-CN"/>
        </w:rPr>
        <w:t xml:space="preserve"> </w:t>
      </w:r>
    </w:p>
    <w:p w14:paraId="0A2C67A2">
      <w:pPr>
        <w:spacing w:line="48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所有资质文件（复印件）</w:t>
      </w:r>
    </w:p>
    <w:p w14:paraId="5ABEF88E">
      <w:pPr>
        <w:spacing w:line="48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（由投标人根据采购需求及采购文件自行编制）</w:t>
      </w:r>
    </w:p>
    <w:tbl>
      <w:tblPr>
        <w:tblStyle w:val="25"/>
        <w:tblW w:w="10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1620"/>
        <w:gridCol w:w="1200"/>
        <w:gridCol w:w="1004"/>
        <w:gridCol w:w="1004"/>
        <w:gridCol w:w="1414"/>
        <w:gridCol w:w="980"/>
        <w:gridCol w:w="806"/>
      </w:tblGrid>
      <w:tr w14:paraId="0A00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7" w:type="dxa"/>
            <w:gridSpan w:val="2"/>
            <w:tcBorders>
              <w:bottom w:val="single" w:color="auto" w:sz="4" w:space="0"/>
            </w:tcBorders>
            <w:noWrap w:val="0"/>
            <w:vAlign w:val="center"/>
          </w:tcPr>
          <w:p w14:paraId="77DD5D5C">
            <w:pPr>
              <w:spacing w:line="480" w:lineRule="exact"/>
              <w:ind w:firstLine="482"/>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资质要求</w:t>
            </w:r>
          </w:p>
        </w:tc>
        <w:tc>
          <w:tcPr>
            <w:tcW w:w="6408" w:type="dxa"/>
            <w:gridSpan w:val="6"/>
            <w:noWrap w:val="0"/>
            <w:vAlign w:val="center"/>
          </w:tcPr>
          <w:p w14:paraId="5E9167D1">
            <w:pPr>
              <w:spacing w:line="480" w:lineRule="exact"/>
              <w:ind w:firstLine="482"/>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应标单位具备资质</w:t>
            </w:r>
          </w:p>
        </w:tc>
      </w:tr>
      <w:tr w14:paraId="6B15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right w:val="single" w:color="auto" w:sz="4" w:space="0"/>
            </w:tcBorders>
            <w:noWrap w:val="0"/>
            <w:vAlign w:val="center"/>
          </w:tcPr>
          <w:p w14:paraId="28891AD5">
            <w:pPr>
              <w:spacing w:line="480" w:lineRule="exact"/>
              <w:ind w:firstLine="482"/>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必备资质</w:t>
            </w:r>
          </w:p>
        </w:tc>
        <w:tc>
          <w:tcPr>
            <w:tcW w:w="1620" w:type="dxa"/>
            <w:tcBorders>
              <w:left w:val="single" w:color="auto" w:sz="4" w:space="0"/>
            </w:tcBorders>
            <w:noWrap w:val="0"/>
            <w:vAlign w:val="center"/>
          </w:tcPr>
          <w:p w14:paraId="4B90C766">
            <w:pPr>
              <w:spacing w:line="48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资质级别</w:t>
            </w:r>
          </w:p>
        </w:tc>
        <w:tc>
          <w:tcPr>
            <w:tcW w:w="1200" w:type="dxa"/>
            <w:noWrap w:val="0"/>
            <w:vAlign w:val="center"/>
          </w:tcPr>
          <w:p w14:paraId="501E87DA">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资质</w:t>
            </w:r>
          </w:p>
          <w:p w14:paraId="789DFF9B">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004" w:type="dxa"/>
            <w:noWrap w:val="0"/>
            <w:vAlign w:val="center"/>
          </w:tcPr>
          <w:p w14:paraId="205973CA">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资质</w:t>
            </w:r>
          </w:p>
          <w:p w14:paraId="29D06C03">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级别</w:t>
            </w:r>
          </w:p>
        </w:tc>
        <w:tc>
          <w:tcPr>
            <w:tcW w:w="1004" w:type="dxa"/>
            <w:noWrap w:val="0"/>
            <w:vAlign w:val="center"/>
          </w:tcPr>
          <w:p w14:paraId="3CB2DFAF">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颁证</w:t>
            </w:r>
          </w:p>
          <w:p w14:paraId="25CB6DFA">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w:t>
            </w:r>
          </w:p>
        </w:tc>
        <w:tc>
          <w:tcPr>
            <w:tcW w:w="1414" w:type="dxa"/>
            <w:noWrap w:val="0"/>
            <w:vAlign w:val="center"/>
          </w:tcPr>
          <w:p w14:paraId="403AD7AC">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证书有效期（起止年月）</w:t>
            </w:r>
          </w:p>
        </w:tc>
        <w:tc>
          <w:tcPr>
            <w:tcW w:w="980" w:type="dxa"/>
            <w:noWrap w:val="0"/>
            <w:vAlign w:val="center"/>
          </w:tcPr>
          <w:p w14:paraId="69628BDB">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证书复印件所在页码</w:t>
            </w:r>
          </w:p>
        </w:tc>
        <w:tc>
          <w:tcPr>
            <w:tcW w:w="806" w:type="dxa"/>
            <w:noWrap w:val="0"/>
            <w:vAlign w:val="center"/>
          </w:tcPr>
          <w:p w14:paraId="375A3CFB">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1FE9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right w:val="single" w:color="auto" w:sz="4" w:space="0"/>
            </w:tcBorders>
            <w:noWrap w:val="0"/>
            <w:vAlign w:val="center"/>
          </w:tcPr>
          <w:p w14:paraId="7CAE05AD">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tc>
        <w:tc>
          <w:tcPr>
            <w:tcW w:w="1620" w:type="dxa"/>
            <w:tcBorders>
              <w:left w:val="single" w:color="auto" w:sz="4" w:space="0"/>
            </w:tcBorders>
            <w:noWrap w:val="0"/>
            <w:vAlign w:val="center"/>
          </w:tcPr>
          <w:p w14:paraId="62D02EAB">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tc>
        <w:tc>
          <w:tcPr>
            <w:tcW w:w="1200" w:type="dxa"/>
            <w:noWrap w:val="0"/>
            <w:vAlign w:val="center"/>
          </w:tcPr>
          <w:p w14:paraId="7F6FE14A">
            <w:pPr>
              <w:spacing w:line="480" w:lineRule="exact"/>
              <w:ind w:firstLine="480"/>
              <w:jc w:val="center"/>
              <w:rPr>
                <w:rFonts w:hint="eastAsia" w:ascii="宋体" w:hAnsi="宋体" w:eastAsia="宋体" w:cs="宋体"/>
                <w:color w:val="auto"/>
                <w:sz w:val="24"/>
                <w:highlight w:val="none"/>
              </w:rPr>
            </w:pPr>
          </w:p>
        </w:tc>
        <w:tc>
          <w:tcPr>
            <w:tcW w:w="1004" w:type="dxa"/>
            <w:noWrap w:val="0"/>
            <w:vAlign w:val="center"/>
          </w:tcPr>
          <w:p w14:paraId="1D57D416">
            <w:pPr>
              <w:spacing w:line="480" w:lineRule="exact"/>
              <w:ind w:firstLine="480"/>
              <w:jc w:val="center"/>
              <w:rPr>
                <w:rFonts w:hint="eastAsia" w:ascii="宋体" w:hAnsi="宋体" w:eastAsia="宋体" w:cs="宋体"/>
                <w:color w:val="auto"/>
                <w:sz w:val="24"/>
                <w:highlight w:val="none"/>
              </w:rPr>
            </w:pPr>
          </w:p>
        </w:tc>
        <w:tc>
          <w:tcPr>
            <w:tcW w:w="1004" w:type="dxa"/>
            <w:noWrap w:val="0"/>
            <w:vAlign w:val="center"/>
          </w:tcPr>
          <w:p w14:paraId="4949BEA2">
            <w:pPr>
              <w:spacing w:line="480" w:lineRule="exact"/>
              <w:ind w:firstLine="480"/>
              <w:jc w:val="center"/>
              <w:rPr>
                <w:rFonts w:hint="eastAsia" w:ascii="宋体" w:hAnsi="宋体" w:eastAsia="宋体" w:cs="宋体"/>
                <w:color w:val="auto"/>
                <w:sz w:val="24"/>
                <w:highlight w:val="none"/>
              </w:rPr>
            </w:pPr>
          </w:p>
        </w:tc>
        <w:tc>
          <w:tcPr>
            <w:tcW w:w="1414" w:type="dxa"/>
            <w:noWrap w:val="0"/>
            <w:vAlign w:val="center"/>
          </w:tcPr>
          <w:p w14:paraId="7D7668FA">
            <w:pPr>
              <w:spacing w:line="480" w:lineRule="exact"/>
              <w:ind w:firstLine="480"/>
              <w:jc w:val="center"/>
              <w:rPr>
                <w:rFonts w:hint="eastAsia" w:ascii="宋体" w:hAnsi="宋体" w:eastAsia="宋体" w:cs="宋体"/>
                <w:color w:val="auto"/>
                <w:sz w:val="24"/>
                <w:highlight w:val="none"/>
              </w:rPr>
            </w:pPr>
          </w:p>
        </w:tc>
        <w:tc>
          <w:tcPr>
            <w:tcW w:w="980" w:type="dxa"/>
            <w:noWrap w:val="0"/>
            <w:vAlign w:val="center"/>
          </w:tcPr>
          <w:p w14:paraId="600A3A43">
            <w:pPr>
              <w:spacing w:line="480" w:lineRule="exact"/>
              <w:ind w:firstLine="480"/>
              <w:jc w:val="center"/>
              <w:rPr>
                <w:rFonts w:hint="eastAsia" w:ascii="宋体" w:hAnsi="宋体" w:eastAsia="宋体" w:cs="宋体"/>
                <w:color w:val="auto"/>
                <w:sz w:val="24"/>
                <w:highlight w:val="none"/>
              </w:rPr>
            </w:pPr>
          </w:p>
        </w:tc>
        <w:tc>
          <w:tcPr>
            <w:tcW w:w="806" w:type="dxa"/>
            <w:noWrap w:val="0"/>
            <w:vAlign w:val="center"/>
          </w:tcPr>
          <w:p w14:paraId="4DFB5B1B">
            <w:pPr>
              <w:jc w:val="center"/>
              <w:rPr>
                <w:rFonts w:hint="eastAsia" w:ascii="宋体" w:hAnsi="宋体" w:eastAsia="宋体" w:cs="宋体"/>
                <w:color w:val="auto"/>
                <w:sz w:val="24"/>
                <w:highlight w:val="none"/>
              </w:rPr>
            </w:pPr>
          </w:p>
        </w:tc>
      </w:tr>
      <w:tr w14:paraId="1B0B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7" w:type="dxa"/>
            <w:tcBorders>
              <w:right w:val="single" w:color="auto" w:sz="4" w:space="0"/>
            </w:tcBorders>
            <w:noWrap w:val="0"/>
            <w:vAlign w:val="center"/>
          </w:tcPr>
          <w:p w14:paraId="3623FAF9">
            <w:pPr>
              <w:ind w:firstLine="482"/>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其他资质</w:t>
            </w:r>
          </w:p>
        </w:tc>
        <w:tc>
          <w:tcPr>
            <w:tcW w:w="1620" w:type="dxa"/>
            <w:tcBorders>
              <w:left w:val="single" w:color="auto" w:sz="4" w:space="0"/>
            </w:tcBorders>
            <w:noWrap w:val="0"/>
            <w:vAlign w:val="center"/>
          </w:tcPr>
          <w:p w14:paraId="1BE4CAB9">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资质级别</w:t>
            </w:r>
          </w:p>
        </w:tc>
        <w:tc>
          <w:tcPr>
            <w:tcW w:w="1200" w:type="dxa"/>
            <w:noWrap w:val="0"/>
            <w:vAlign w:val="center"/>
          </w:tcPr>
          <w:p w14:paraId="35DB02A7">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资质</w:t>
            </w:r>
          </w:p>
          <w:p w14:paraId="3E46D493">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004" w:type="dxa"/>
            <w:noWrap w:val="0"/>
            <w:vAlign w:val="center"/>
          </w:tcPr>
          <w:p w14:paraId="6927044E">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资质</w:t>
            </w:r>
          </w:p>
          <w:p w14:paraId="30F65018">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级别</w:t>
            </w:r>
          </w:p>
        </w:tc>
        <w:tc>
          <w:tcPr>
            <w:tcW w:w="1004" w:type="dxa"/>
            <w:noWrap w:val="0"/>
            <w:vAlign w:val="center"/>
          </w:tcPr>
          <w:p w14:paraId="12554F74">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颁证</w:t>
            </w:r>
          </w:p>
          <w:p w14:paraId="101AA828">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w:t>
            </w:r>
          </w:p>
        </w:tc>
        <w:tc>
          <w:tcPr>
            <w:tcW w:w="1414" w:type="dxa"/>
            <w:noWrap w:val="0"/>
            <w:vAlign w:val="center"/>
          </w:tcPr>
          <w:p w14:paraId="6F5D9A41">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证书有效期（起止年月）</w:t>
            </w:r>
          </w:p>
        </w:tc>
        <w:tc>
          <w:tcPr>
            <w:tcW w:w="980" w:type="dxa"/>
            <w:noWrap w:val="0"/>
            <w:vAlign w:val="center"/>
          </w:tcPr>
          <w:p w14:paraId="298B3B00">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证书复印件所在页码</w:t>
            </w:r>
          </w:p>
        </w:tc>
        <w:tc>
          <w:tcPr>
            <w:tcW w:w="806" w:type="dxa"/>
            <w:noWrap w:val="0"/>
            <w:vAlign w:val="center"/>
          </w:tcPr>
          <w:p w14:paraId="54406C33">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2EE6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077" w:type="dxa"/>
            <w:tcBorders>
              <w:right w:val="single" w:color="auto" w:sz="4" w:space="0"/>
            </w:tcBorders>
            <w:noWrap w:val="0"/>
            <w:vAlign w:val="center"/>
          </w:tcPr>
          <w:p w14:paraId="699E4C6B">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tc>
        <w:tc>
          <w:tcPr>
            <w:tcW w:w="1620" w:type="dxa"/>
            <w:tcBorders>
              <w:left w:val="single" w:color="auto" w:sz="4" w:space="0"/>
            </w:tcBorders>
            <w:noWrap w:val="0"/>
            <w:vAlign w:val="center"/>
          </w:tcPr>
          <w:p w14:paraId="63ACB335">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tc>
        <w:tc>
          <w:tcPr>
            <w:tcW w:w="1200" w:type="dxa"/>
            <w:noWrap w:val="0"/>
            <w:vAlign w:val="center"/>
          </w:tcPr>
          <w:p w14:paraId="3723415B">
            <w:pPr>
              <w:rPr>
                <w:rFonts w:hint="eastAsia" w:ascii="宋体" w:hAnsi="宋体" w:eastAsia="宋体" w:cs="宋体"/>
                <w:color w:val="auto"/>
                <w:sz w:val="24"/>
                <w:highlight w:val="none"/>
              </w:rPr>
            </w:pPr>
          </w:p>
        </w:tc>
        <w:tc>
          <w:tcPr>
            <w:tcW w:w="1004" w:type="dxa"/>
            <w:noWrap w:val="0"/>
            <w:vAlign w:val="center"/>
          </w:tcPr>
          <w:p w14:paraId="26E5FEA7">
            <w:pPr>
              <w:rPr>
                <w:rFonts w:hint="eastAsia" w:ascii="宋体" w:hAnsi="宋体" w:eastAsia="宋体" w:cs="宋体"/>
                <w:color w:val="auto"/>
                <w:sz w:val="24"/>
                <w:highlight w:val="none"/>
              </w:rPr>
            </w:pPr>
          </w:p>
        </w:tc>
        <w:tc>
          <w:tcPr>
            <w:tcW w:w="1004" w:type="dxa"/>
            <w:noWrap w:val="0"/>
            <w:vAlign w:val="center"/>
          </w:tcPr>
          <w:p w14:paraId="1F5A701A">
            <w:pPr>
              <w:rPr>
                <w:rFonts w:hint="eastAsia" w:ascii="宋体" w:hAnsi="宋体" w:eastAsia="宋体" w:cs="宋体"/>
                <w:color w:val="auto"/>
                <w:sz w:val="24"/>
                <w:highlight w:val="none"/>
              </w:rPr>
            </w:pPr>
          </w:p>
        </w:tc>
        <w:tc>
          <w:tcPr>
            <w:tcW w:w="1414" w:type="dxa"/>
            <w:noWrap w:val="0"/>
            <w:vAlign w:val="center"/>
          </w:tcPr>
          <w:p w14:paraId="51F62292">
            <w:pPr>
              <w:rPr>
                <w:rFonts w:hint="eastAsia" w:ascii="宋体" w:hAnsi="宋体" w:eastAsia="宋体" w:cs="宋体"/>
                <w:color w:val="auto"/>
                <w:sz w:val="24"/>
                <w:highlight w:val="none"/>
              </w:rPr>
            </w:pPr>
          </w:p>
        </w:tc>
        <w:tc>
          <w:tcPr>
            <w:tcW w:w="980" w:type="dxa"/>
            <w:noWrap w:val="0"/>
            <w:vAlign w:val="center"/>
          </w:tcPr>
          <w:p w14:paraId="365542EF">
            <w:pPr>
              <w:rPr>
                <w:rFonts w:hint="eastAsia" w:ascii="宋体" w:hAnsi="宋体" w:eastAsia="宋体" w:cs="宋体"/>
                <w:color w:val="auto"/>
                <w:sz w:val="24"/>
                <w:highlight w:val="none"/>
              </w:rPr>
            </w:pPr>
          </w:p>
        </w:tc>
        <w:tc>
          <w:tcPr>
            <w:tcW w:w="806" w:type="dxa"/>
            <w:noWrap w:val="0"/>
            <w:vAlign w:val="center"/>
          </w:tcPr>
          <w:p w14:paraId="190355CA">
            <w:pPr>
              <w:rPr>
                <w:rFonts w:hint="eastAsia" w:ascii="宋体" w:hAnsi="宋体" w:eastAsia="宋体" w:cs="宋体"/>
                <w:color w:val="auto"/>
                <w:sz w:val="24"/>
                <w:highlight w:val="none"/>
              </w:rPr>
            </w:pPr>
          </w:p>
        </w:tc>
      </w:tr>
      <w:tr w14:paraId="0093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077" w:type="dxa"/>
            <w:tcBorders>
              <w:right w:val="single" w:color="auto" w:sz="4" w:space="0"/>
            </w:tcBorders>
            <w:noWrap w:val="0"/>
            <w:vAlign w:val="center"/>
          </w:tcPr>
          <w:p w14:paraId="679BE424">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tc>
        <w:tc>
          <w:tcPr>
            <w:tcW w:w="1620" w:type="dxa"/>
            <w:tcBorders>
              <w:left w:val="single" w:color="auto" w:sz="4" w:space="0"/>
            </w:tcBorders>
            <w:noWrap w:val="0"/>
            <w:vAlign w:val="center"/>
          </w:tcPr>
          <w:p w14:paraId="468702CC">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tc>
        <w:tc>
          <w:tcPr>
            <w:tcW w:w="1200" w:type="dxa"/>
            <w:noWrap w:val="0"/>
            <w:vAlign w:val="center"/>
          </w:tcPr>
          <w:p w14:paraId="0694A24A">
            <w:pPr>
              <w:rPr>
                <w:rFonts w:hint="eastAsia" w:ascii="宋体" w:hAnsi="宋体" w:eastAsia="宋体" w:cs="宋体"/>
                <w:color w:val="auto"/>
                <w:sz w:val="24"/>
                <w:highlight w:val="none"/>
              </w:rPr>
            </w:pPr>
          </w:p>
        </w:tc>
        <w:tc>
          <w:tcPr>
            <w:tcW w:w="1004" w:type="dxa"/>
            <w:noWrap w:val="0"/>
            <w:vAlign w:val="center"/>
          </w:tcPr>
          <w:p w14:paraId="0C5EFFEA">
            <w:pPr>
              <w:rPr>
                <w:rFonts w:hint="eastAsia" w:ascii="宋体" w:hAnsi="宋体" w:eastAsia="宋体" w:cs="宋体"/>
                <w:color w:val="auto"/>
                <w:sz w:val="24"/>
                <w:highlight w:val="none"/>
              </w:rPr>
            </w:pPr>
          </w:p>
        </w:tc>
        <w:tc>
          <w:tcPr>
            <w:tcW w:w="1004" w:type="dxa"/>
            <w:noWrap w:val="0"/>
            <w:vAlign w:val="center"/>
          </w:tcPr>
          <w:p w14:paraId="4128D66A">
            <w:pPr>
              <w:rPr>
                <w:rFonts w:hint="eastAsia" w:ascii="宋体" w:hAnsi="宋体" w:eastAsia="宋体" w:cs="宋体"/>
                <w:color w:val="auto"/>
                <w:sz w:val="24"/>
                <w:highlight w:val="none"/>
              </w:rPr>
            </w:pPr>
          </w:p>
        </w:tc>
        <w:tc>
          <w:tcPr>
            <w:tcW w:w="1414" w:type="dxa"/>
            <w:noWrap w:val="0"/>
            <w:vAlign w:val="center"/>
          </w:tcPr>
          <w:p w14:paraId="1FCBFE3A">
            <w:pPr>
              <w:rPr>
                <w:rFonts w:hint="eastAsia" w:ascii="宋体" w:hAnsi="宋体" w:eastAsia="宋体" w:cs="宋体"/>
                <w:color w:val="auto"/>
                <w:sz w:val="24"/>
                <w:highlight w:val="none"/>
              </w:rPr>
            </w:pPr>
          </w:p>
        </w:tc>
        <w:tc>
          <w:tcPr>
            <w:tcW w:w="980" w:type="dxa"/>
            <w:noWrap w:val="0"/>
            <w:vAlign w:val="center"/>
          </w:tcPr>
          <w:p w14:paraId="0363CD97">
            <w:pPr>
              <w:rPr>
                <w:rFonts w:hint="eastAsia" w:ascii="宋体" w:hAnsi="宋体" w:eastAsia="宋体" w:cs="宋体"/>
                <w:color w:val="auto"/>
                <w:sz w:val="24"/>
                <w:highlight w:val="none"/>
              </w:rPr>
            </w:pPr>
          </w:p>
        </w:tc>
        <w:tc>
          <w:tcPr>
            <w:tcW w:w="806" w:type="dxa"/>
            <w:noWrap w:val="0"/>
            <w:vAlign w:val="center"/>
          </w:tcPr>
          <w:p w14:paraId="7C633C5D">
            <w:pPr>
              <w:rPr>
                <w:rFonts w:hint="eastAsia" w:ascii="宋体" w:hAnsi="宋体" w:eastAsia="宋体" w:cs="宋体"/>
                <w:color w:val="auto"/>
                <w:sz w:val="24"/>
                <w:highlight w:val="none"/>
              </w:rPr>
            </w:pPr>
          </w:p>
        </w:tc>
      </w:tr>
      <w:tr w14:paraId="59C4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077" w:type="dxa"/>
            <w:tcBorders>
              <w:right w:val="single" w:color="auto" w:sz="4" w:space="0"/>
            </w:tcBorders>
            <w:noWrap w:val="0"/>
            <w:vAlign w:val="center"/>
          </w:tcPr>
          <w:p w14:paraId="5E6A59D3">
            <w:pPr>
              <w:rPr>
                <w:rFonts w:hint="eastAsia" w:ascii="宋体" w:hAnsi="宋体" w:eastAsia="宋体" w:cs="宋体"/>
                <w:color w:val="auto"/>
                <w:sz w:val="24"/>
                <w:highlight w:val="none"/>
              </w:rPr>
            </w:pPr>
          </w:p>
        </w:tc>
        <w:tc>
          <w:tcPr>
            <w:tcW w:w="1620" w:type="dxa"/>
            <w:tcBorders>
              <w:left w:val="single" w:color="auto" w:sz="4" w:space="0"/>
            </w:tcBorders>
            <w:noWrap w:val="0"/>
            <w:vAlign w:val="center"/>
          </w:tcPr>
          <w:p w14:paraId="7AD6C2E0">
            <w:pPr>
              <w:rPr>
                <w:rFonts w:hint="eastAsia" w:ascii="宋体" w:hAnsi="宋体" w:eastAsia="宋体" w:cs="宋体"/>
                <w:color w:val="auto"/>
                <w:sz w:val="24"/>
                <w:highlight w:val="none"/>
              </w:rPr>
            </w:pPr>
          </w:p>
        </w:tc>
        <w:tc>
          <w:tcPr>
            <w:tcW w:w="1200" w:type="dxa"/>
            <w:noWrap w:val="0"/>
            <w:vAlign w:val="center"/>
          </w:tcPr>
          <w:p w14:paraId="0B90C513">
            <w:pPr>
              <w:rPr>
                <w:rFonts w:hint="eastAsia" w:ascii="宋体" w:hAnsi="宋体" w:eastAsia="宋体" w:cs="宋体"/>
                <w:color w:val="auto"/>
                <w:sz w:val="24"/>
                <w:highlight w:val="none"/>
              </w:rPr>
            </w:pPr>
          </w:p>
        </w:tc>
        <w:tc>
          <w:tcPr>
            <w:tcW w:w="1004" w:type="dxa"/>
            <w:noWrap w:val="0"/>
            <w:vAlign w:val="center"/>
          </w:tcPr>
          <w:p w14:paraId="5C7EDAD1">
            <w:pPr>
              <w:rPr>
                <w:rFonts w:hint="eastAsia" w:ascii="宋体" w:hAnsi="宋体" w:eastAsia="宋体" w:cs="宋体"/>
                <w:color w:val="auto"/>
                <w:sz w:val="24"/>
                <w:highlight w:val="none"/>
              </w:rPr>
            </w:pPr>
          </w:p>
        </w:tc>
        <w:tc>
          <w:tcPr>
            <w:tcW w:w="1004" w:type="dxa"/>
            <w:noWrap w:val="0"/>
            <w:vAlign w:val="center"/>
          </w:tcPr>
          <w:p w14:paraId="7D667CD4">
            <w:pPr>
              <w:rPr>
                <w:rFonts w:hint="eastAsia" w:ascii="宋体" w:hAnsi="宋体" w:eastAsia="宋体" w:cs="宋体"/>
                <w:color w:val="auto"/>
                <w:sz w:val="24"/>
                <w:highlight w:val="none"/>
              </w:rPr>
            </w:pPr>
          </w:p>
        </w:tc>
        <w:tc>
          <w:tcPr>
            <w:tcW w:w="1414" w:type="dxa"/>
            <w:noWrap w:val="0"/>
            <w:vAlign w:val="center"/>
          </w:tcPr>
          <w:p w14:paraId="2F9B70E3">
            <w:pPr>
              <w:rPr>
                <w:rFonts w:hint="eastAsia" w:ascii="宋体" w:hAnsi="宋体" w:eastAsia="宋体" w:cs="宋体"/>
                <w:color w:val="auto"/>
                <w:sz w:val="24"/>
                <w:highlight w:val="none"/>
              </w:rPr>
            </w:pPr>
          </w:p>
        </w:tc>
        <w:tc>
          <w:tcPr>
            <w:tcW w:w="980" w:type="dxa"/>
            <w:noWrap w:val="0"/>
            <w:vAlign w:val="center"/>
          </w:tcPr>
          <w:p w14:paraId="694B284B">
            <w:pPr>
              <w:rPr>
                <w:rFonts w:hint="eastAsia" w:ascii="宋体" w:hAnsi="宋体" w:eastAsia="宋体" w:cs="宋体"/>
                <w:color w:val="auto"/>
                <w:sz w:val="24"/>
                <w:highlight w:val="none"/>
              </w:rPr>
            </w:pPr>
          </w:p>
        </w:tc>
        <w:tc>
          <w:tcPr>
            <w:tcW w:w="806" w:type="dxa"/>
            <w:noWrap w:val="0"/>
            <w:vAlign w:val="center"/>
          </w:tcPr>
          <w:p w14:paraId="60E021B2">
            <w:pPr>
              <w:rPr>
                <w:rFonts w:hint="eastAsia" w:ascii="宋体" w:hAnsi="宋体" w:eastAsia="宋体" w:cs="宋体"/>
                <w:color w:val="auto"/>
                <w:sz w:val="24"/>
                <w:highlight w:val="none"/>
              </w:rPr>
            </w:pPr>
          </w:p>
        </w:tc>
      </w:tr>
      <w:tr w14:paraId="29AB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077" w:type="dxa"/>
            <w:tcBorders>
              <w:right w:val="single" w:color="auto" w:sz="4" w:space="0"/>
            </w:tcBorders>
            <w:noWrap w:val="0"/>
            <w:vAlign w:val="center"/>
          </w:tcPr>
          <w:p w14:paraId="592CD3FA">
            <w:pPr>
              <w:rPr>
                <w:rFonts w:hint="eastAsia" w:ascii="宋体" w:hAnsi="宋体" w:eastAsia="宋体" w:cs="宋体"/>
                <w:color w:val="auto"/>
                <w:sz w:val="24"/>
                <w:highlight w:val="none"/>
              </w:rPr>
            </w:pPr>
          </w:p>
        </w:tc>
        <w:tc>
          <w:tcPr>
            <w:tcW w:w="1620" w:type="dxa"/>
            <w:tcBorders>
              <w:left w:val="single" w:color="auto" w:sz="4" w:space="0"/>
            </w:tcBorders>
            <w:noWrap w:val="0"/>
            <w:vAlign w:val="center"/>
          </w:tcPr>
          <w:p w14:paraId="37EC761C">
            <w:pPr>
              <w:rPr>
                <w:rFonts w:hint="eastAsia" w:ascii="宋体" w:hAnsi="宋体" w:eastAsia="宋体" w:cs="宋体"/>
                <w:color w:val="auto"/>
                <w:sz w:val="24"/>
                <w:highlight w:val="none"/>
              </w:rPr>
            </w:pPr>
          </w:p>
        </w:tc>
        <w:tc>
          <w:tcPr>
            <w:tcW w:w="1200" w:type="dxa"/>
            <w:noWrap w:val="0"/>
            <w:vAlign w:val="center"/>
          </w:tcPr>
          <w:p w14:paraId="7E773062">
            <w:pPr>
              <w:rPr>
                <w:rFonts w:hint="eastAsia" w:ascii="宋体" w:hAnsi="宋体" w:eastAsia="宋体" w:cs="宋体"/>
                <w:color w:val="auto"/>
                <w:sz w:val="24"/>
                <w:highlight w:val="none"/>
              </w:rPr>
            </w:pPr>
          </w:p>
        </w:tc>
        <w:tc>
          <w:tcPr>
            <w:tcW w:w="1004" w:type="dxa"/>
            <w:noWrap w:val="0"/>
            <w:vAlign w:val="center"/>
          </w:tcPr>
          <w:p w14:paraId="4AF86254">
            <w:pPr>
              <w:rPr>
                <w:rFonts w:hint="eastAsia" w:ascii="宋体" w:hAnsi="宋体" w:eastAsia="宋体" w:cs="宋体"/>
                <w:color w:val="auto"/>
                <w:sz w:val="24"/>
                <w:highlight w:val="none"/>
              </w:rPr>
            </w:pPr>
          </w:p>
        </w:tc>
        <w:tc>
          <w:tcPr>
            <w:tcW w:w="1004" w:type="dxa"/>
            <w:noWrap w:val="0"/>
            <w:vAlign w:val="center"/>
          </w:tcPr>
          <w:p w14:paraId="230836B8">
            <w:pPr>
              <w:rPr>
                <w:rFonts w:hint="eastAsia" w:ascii="宋体" w:hAnsi="宋体" w:eastAsia="宋体" w:cs="宋体"/>
                <w:color w:val="auto"/>
                <w:sz w:val="24"/>
                <w:highlight w:val="none"/>
              </w:rPr>
            </w:pPr>
          </w:p>
        </w:tc>
        <w:tc>
          <w:tcPr>
            <w:tcW w:w="1414" w:type="dxa"/>
            <w:noWrap w:val="0"/>
            <w:vAlign w:val="center"/>
          </w:tcPr>
          <w:p w14:paraId="1A8F18F0">
            <w:pPr>
              <w:rPr>
                <w:rFonts w:hint="eastAsia" w:ascii="宋体" w:hAnsi="宋体" w:eastAsia="宋体" w:cs="宋体"/>
                <w:color w:val="auto"/>
                <w:sz w:val="24"/>
                <w:highlight w:val="none"/>
              </w:rPr>
            </w:pPr>
          </w:p>
        </w:tc>
        <w:tc>
          <w:tcPr>
            <w:tcW w:w="980" w:type="dxa"/>
            <w:noWrap w:val="0"/>
            <w:vAlign w:val="center"/>
          </w:tcPr>
          <w:p w14:paraId="0C50BDEF">
            <w:pPr>
              <w:rPr>
                <w:rFonts w:hint="eastAsia" w:ascii="宋体" w:hAnsi="宋体" w:eastAsia="宋体" w:cs="宋体"/>
                <w:color w:val="auto"/>
                <w:sz w:val="24"/>
                <w:highlight w:val="none"/>
              </w:rPr>
            </w:pPr>
          </w:p>
        </w:tc>
        <w:tc>
          <w:tcPr>
            <w:tcW w:w="806" w:type="dxa"/>
            <w:noWrap w:val="0"/>
            <w:vAlign w:val="center"/>
          </w:tcPr>
          <w:p w14:paraId="4D927086">
            <w:pPr>
              <w:rPr>
                <w:rFonts w:hint="eastAsia" w:ascii="宋体" w:hAnsi="宋体" w:eastAsia="宋体" w:cs="宋体"/>
                <w:color w:val="auto"/>
                <w:sz w:val="24"/>
                <w:highlight w:val="none"/>
              </w:rPr>
            </w:pPr>
          </w:p>
        </w:tc>
      </w:tr>
      <w:tr w14:paraId="730B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077" w:type="dxa"/>
            <w:tcBorders>
              <w:right w:val="single" w:color="auto" w:sz="4" w:space="0"/>
            </w:tcBorders>
            <w:noWrap w:val="0"/>
            <w:vAlign w:val="center"/>
          </w:tcPr>
          <w:p w14:paraId="648CFC6A">
            <w:pPr>
              <w:rPr>
                <w:rFonts w:hint="eastAsia" w:ascii="宋体" w:hAnsi="宋体" w:eastAsia="宋体" w:cs="宋体"/>
                <w:color w:val="auto"/>
                <w:sz w:val="24"/>
                <w:highlight w:val="none"/>
              </w:rPr>
            </w:pPr>
          </w:p>
        </w:tc>
        <w:tc>
          <w:tcPr>
            <w:tcW w:w="1620" w:type="dxa"/>
            <w:tcBorders>
              <w:left w:val="single" w:color="auto" w:sz="4" w:space="0"/>
            </w:tcBorders>
            <w:noWrap w:val="0"/>
            <w:vAlign w:val="center"/>
          </w:tcPr>
          <w:p w14:paraId="1CA237AB">
            <w:pPr>
              <w:rPr>
                <w:rFonts w:hint="eastAsia" w:ascii="宋体" w:hAnsi="宋体" w:eastAsia="宋体" w:cs="宋体"/>
                <w:color w:val="auto"/>
                <w:sz w:val="24"/>
                <w:highlight w:val="none"/>
              </w:rPr>
            </w:pPr>
          </w:p>
        </w:tc>
        <w:tc>
          <w:tcPr>
            <w:tcW w:w="1200" w:type="dxa"/>
            <w:noWrap w:val="0"/>
            <w:vAlign w:val="center"/>
          </w:tcPr>
          <w:p w14:paraId="6B526362">
            <w:pPr>
              <w:rPr>
                <w:rFonts w:hint="eastAsia" w:ascii="宋体" w:hAnsi="宋体" w:eastAsia="宋体" w:cs="宋体"/>
                <w:color w:val="auto"/>
                <w:sz w:val="24"/>
                <w:highlight w:val="none"/>
              </w:rPr>
            </w:pPr>
          </w:p>
        </w:tc>
        <w:tc>
          <w:tcPr>
            <w:tcW w:w="1004" w:type="dxa"/>
            <w:noWrap w:val="0"/>
            <w:vAlign w:val="center"/>
          </w:tcPr>
          <w:p w14:paraId="271B5622">
            <w:pPr>
              <w:rPr>
                <w:rFonts w:hint="eastAsia" w:ascii="宋体" w:hAnsi="宋体" w:eastAsia="宋体" w:cs="宋体"/>
                <w:color w:val="auto"/>
                <w:sz w:val="24"/>
                <w:highlight w:val="none"/>
              </w:rPr>
            </w:pPr>
          </w:p>
        </w:tc>
        <w:tc>
          <w:tcPr>
            <w:tcW w:w="1004" w:type="dxa"/>
            <w:noWrap w:val="0"/>
            <w:vAlign w:val="center"/>
          </w:tcPr>
          <w:p w14:paraId="02D36A5E">
            <w:pPr>
              <w:rPr>
                <w:rFonts w:hint="eastAsia" w:ascii="宋体" w:hAnsi="宋体" w:eastAsia="宋体" w:cs="宋体"/>
                <w:color w:val="auto"/>
                <w:sz w:val="24"/>
                <w:highlight w:val="none"/>
              </w:rPr>
            </w:pPr>
          </w:p>
        </w:tc>
        <w:tc>
          <w:tcPr>
            <w:tcW w:w="1414" w:type="dxa"/>
            <w:noWrap w:val="0"/>
            <w:vAlign w:val="center"/>
          </w:tcPr>
          <w:p w14:paraId="2ED60797">
            <w:pPr>
              <w:rPr>
                <w:rFonts w:hint="eastAsia" w:ascii="宋体" w:hAnsi="宋体" w:eastAsia="宋体" w:cs="宋体"/>
                <w:color w:val="auto"/>
                <w:sz w:val="24"/>
                <w:highlight w:val="none"/>
              </w:rPr>
            </w:pPr>
          </w:p>
        </w:tc>
        <w:tc>
          <w:tcPr>
            <w:tcW w:w="980" w:type="dxa"/>
            <w:noWrap w:val="0"/>
            <w:vAlign w:val="center"/>
          </w:tcPr>
          <w:p w14:paraId="3260B014">
            <w:pPr>
              <w:rPr>
                <w:rFonts w:hint="eastAsia" w:ascii="宋体" w:hAnsi="宋体" w:eastAsia="宋体" w:cs="宋体"/>
                <w:color w:val="auto"/>
                <w:sz w:val="24"/>
                <w:highlight w:val="none"/>
              </w:rPr>
            </w:pPr>
          </w:p>
        </w:tc>
        <w:tc>
          <w:tcPr>
            <w:tcW w:w="806" w:type="dxa"/>
            <w:noWrap w:val="0"/>
            <w:vAlign w:val="center"/>
          </w:tcPr>
          <w:p w14:paraId="2BB07B00">
            <w:pPr>
              <w:rPr>
                <w:rFonts w:hint="eastAsia" w:ascii="宋体" w:hAnsi="宋体" w:eastAsia="宋体" w:cs="宋体"/>
                <w:color w:val="auto"/>
                <w:sz w:val="24"/>
                <w:highlight w:val="none"/>
              </w:rPr>
            </w:pPr>
          </w:p>
        </w:tc>
      </w:tr>
      <w:tr w14:paraId="2F82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077" w:type="dxa"/>
            <w:tcBorders>
              <w:right w:val="single" w:color="auto" w:sz="4" w:space="0"/>
            </w:tcBorders>
            <w:noWrap w:val="0"/>
            <w:vAlign w:val="center"/>
          </w:tcPr>
          <w:p w14:paraId="04622908">
            <w:pPr>
              <w:rPr>
                <w:rFonts w:hint="eastAsia" w:ascii="宋体" w:hAnsi="宋体" w:eastAsia="宋体" w:cs="宋体"/>
                <w:color w:val="auto"/>
                <w:sz w:val="24"/>
                <w:highlight w:val="none"/>
              </w:rPr>
            </w:pPr>
          </w:p>
        </w:tc>
        <w:tc>
          <w:tcPr>
            <w:tcW w:w="1620" w:type="dxa"/>
            <w:tcBorders>
              <w:left w:val="single" w:color="auto" w:sz="4" w:space="0"/>
            </w:tcBorders>
            <w:noWrap w:val="0"/>
            <w:vAlign w:val="center"/>
          </w:tcPr>
          <w:p w14:paraId="314A020C">
            <w:pPr>
              <w:rPr>
                <w:rFonts w:hint="eastAsia" w:ascii="宋体" w:hAnsi="宋体" w:eastAsia="宋体" w:cs="宋体"/>
                <w:color w:val="auto"/>
                <w:sz w:val="24"/>
                <w:highlight w:val="none"/>
              </w:rPr>
            </w:pPr>
          </w:p>
        </w:tc>
        <w:tc>
          <w:tcPr>
            <w:tcW w:w="1200" w:type="dxa"/>
            <w:noWrap w:val="0"/>
            <w:vAlign w:val="center"/>
          </w:tcPr>
          <w:p w14:paraId="6A0E36D9">
            <w:pPr>
              <w:rPr>
                <w:rFonts w:hint="eastAsia" w:ascii="宋体" w:hAnsi="宋体" w:eastAsia="宋体" w:cs="宋体"/>
                <w:color w:val="auto"/>
                <w:sz w:val="24"/>
                <w:highlight w:val="none"/>
              </w:rPr>
            </w:pPr>
          </w:p>
        </w:tc>
        <w:tc>
          <w:tcPr>
            <w:tcW w:w="1004" w:type="dxa"/>
            <w:noWrap w:val="0"/>
            <w:vAlign w:val="center"/>
          </w:tcPr>
          <w:p w14:paraId="59C48EB2">
            <w:pPr>
              <w:rPr>
                <w:rFonts w:hint="eastAsia" w:ascii="宋体" w:hAnsi="宋体" w:eastAsia="宋体" w:cs="宋体"/>
                <w:color w:val="auto"/>
                <w:sz w:val="24"/>
                <w:highlight w:val="none"/>
              </w:rPr>
            </w:pPr>
          </w:p>
        </w:tc>
        <w:tc>
          <w:tcPr>
            <w:tcW w:w="1004" w:type="dxa"/>
            <w:noWrap w:val="0"/>
            <w:vAlign w:val="center"/>
          </w:tcPr>
          <w:p w14:paraId="6BFE07BD">
            <w:pPr>
              <w:rPr>
                <w:rFonts w:hint="eastAsia" w:ascii="宋体" w:hAnsi="宋体" w:eastAsia="宋体" w:cs="宋体"/>
                <w:color w:val="auto"/>
                <w:sz w:val="24"/>
                <w:highlight w:val="none"/>
              </w:rPr>
            </w:pPr>
          </w:p>
        </w:tc>
        <w:tc>
          <w:tcPr>
            <w:tcW w:w="1414" w:type="dxa"/>
            <w:noWrap w:val="0"/>
            <w:vAlign w:val="center"/>
          </w:tcPr>
          <w:p w14:paraId="2369712A">
            <w:pPr>
              <w:rPr>
                <w:rFonts w:hint="eastAsia" w:ascii="宋体" w:hAnsi="宋体" w:eastAsia="宋体" w:cs="宋体"/>
                <w:color w:val="auto"/>
                <w:sz w:val="24"/>
                <w:highlight w:val="none"/>
              </w:rPr>
            </w:pPr>
          </w:p>
        </w:tc>
        <w:tc>
          <w:tcPr>
            <w:tcW w:w="980" w:type="dxa"/>
            <w:noWrap w:val="0"/>
            <w:vAlign w:val="center"/>
          </w:tcPr>
          <w:p w14:paraId="601D6533">
            <w:pPr>
              <w:rPr>
                <w:rFonts w:hint="eastAsia" w:ascii="宋体" w:hAnsi="宋体" w:eastAsia="宋体" w:cs="宋体"/>
                <w:color w:val="auto"/>
                <w:sz w:val="24"/>
                <w:highlight w:val="none"/>
              </w:rPr>
            </w:pPr>
          </w:p>
        </w:tc>
        <w:tc>
          <w:tcPr>
            <w:tcW w:w="806" w:type="dxa"/>
            <w:noWrap w:val="0"/>
            <w:vAlign w:val="center"/>
          </w:tcPr>
          <w:p w14:paraId="00E32DEA">
            <w:pPr>
              <w:rPr>
                <w:rFonts w:hint="eastAsia" w:ascii="宋体" w:hAnsi="宋体" w:eastAsia="宋体" w:cs="宋体"/>
                <w:color w:val="auto"/>
                <w:sz w:val="24"/>
                <w:highlight w:val="none"/>
              </w:rPr>
            </w:pPr>
          </w:p>
        </w:tc>
      </w:tr>
    </w:tbl>
    <w:p w14:paraId="731D82C9">
      <w:pPr>
        <w:autoSpaceDE w:val="0"/>
        <w:autoSpaceDN w:val="0"/>
        <w:adjustRightInd w:val="0"/>
        <w:rPr>
          <w:rFonts w:hint="eastAsia" w:ascii="宋体" w:hAnsi="宋体" w:eastAsia="宋体" w:cs="宋体"/>
          <w:b/>
          <w:color w:val="auto"/>
          <w:sz w:val="24"/>
          <w:highlight w:val="none"/>
        </w:rPr>
      </w:pPr>
    </w:p>
    <w:p w14:paraId="530B9754">
      <w:pPr>
        <w:autoSpaceDE w:val="0"/>
        <w:autoSpaceDN w:val="0"/>
        <w:adjustRightInd w:val="0"/>
        <w:rPr>
          <w:rFonts w:hint="eastAsia" w:ascii="宋体" w:hAnsi="宋体" w:eastAsia="宋体" w:cs="宋体"/>
          <w:b/>
          <w:color w:val="auto"/>
          <w:sz w:val="24"/>
          <w:highlight w:val="none"/>
        </w:rPr>
      </w:pPr>
    </w:p>
    <w:p w14:paraId="6334B956">
      <w:pPr>
        <w:autoSpaceDE w:val="0"/>
        <w:autoSpaceDN w:val="0"/>
        <w:adjustRightInd w:val="0"/>
        <w:rPr>
          <w:rFonts w:hint="eastAsia" w:ascii="宋体" w:hAnsi="宋体" w:eastAsia="宋体" w:cs="宋体"/>
          <w:b/>
          <w:color w:val="auto"/>
          <w:sz w:val="24"/>
          <w:highlight w:val="none"/>
        </w:rPr>
      </w:pPr>
    </w:p>
    <w:p w14:paraId="7F3692EB">
      <w:pPr>
        <w:autoSpaceDE w:val="0"/>
        <w:autoSpaceDN w:val="0"/>
        <w:adjustRightInd w:val="0"/>
        <w:rPr>
          <w:rFonts w:hint="eastAsia" w:ascii="宋体" w:hAnsi="宋体" w:eastAsia="宋体" w:cs="宋体"/>
          <w:b/>
          <w:color w:val="auto"/>
          <w:sz w:val="24"/>
          <w:highlight w:val="none"/>
        </w:rPr>
      </w:pPr>
    </w:p>
    <w:p w14:paraId="7BB7609B">
      <w:pPr>
        <w:autoSpaceDE w:val="0"/>
        <w:autoSpaceDN w:val="0"/>
        <w:adjustRightInd w:val="0"/>
        <w:rPr>
          <w:rFonts w:hint="eastAsia" w:ascii="宋体" w:hAnsi="宋体" w:eastAsia="宋体" w:cs="宋体"/>
          <w:b/>
          <w:color w:val="auto"/>
          <w:sz w:val="24"/>
          <w:highlight w:val="none"/>
        </w:rPr>
      </w:pPr>
    </w:p>
    <w:p w14:paraId="533C60A4">
      <w:pPr>
        <w:autoSpaceDE w:val="0"/>
        <w:autoSpaceDN w:val="0"/>
        <w:adjustRightInd w:val="0"/>
        <w:rPr>
          <w:rFonts w:hint="eastAsia" w:ascii="宋体" w:hAnsi="宋体" w:eastAsia="宋体" w:cs="宋体"/>
          <w:b/>
          <w:color w:val="auto"/>
          <w:sz w:val="24"/>
          <w:highlight w:val="none"/>
        </w:rPr>
      </w:pPr>
    </w:p>
    <w:p w14:paraId="7A9563FF">
      <w:pPr>
        <w:autoSpaceDE w:val="0"/>
        <w:autoSpaceDN w:val="0"/>
        <w:adjustRightInd w:val="0"/>
        <w:rPr>
          <w:rFonts w:hint="eastAsia" w:ascii="宋体" w:hAnsi="宋体" w:eastAsia="宋体" w:cs="宋体"/>
          <w:b/>
          <w:color w:val="auto"/>
          <w:sz w:val="24"/>
          <w:highlight w:val="none"/>
        </w:rPr>
      </w:pPr>
    </w:p>
    <w:p w14:paraId="1051FA5C">
      <w:pPr>
        <w:pStyle w:val="18"/>
        <w:rPr>
          <w:rFonts w:hint="eastAsia" w:ascii="宋体" w:hAnsi="宋体" w:eastAsia="宋体" w:cs="宋体"/>
          <w:b/>
          <w:color w:val="auto"/>
          <w:sz w:val="24"/>
          <w:highlight w:val="none"/>
        </w:rPr>
      </w:pPr>
    </w:p>
    <w:p w14:paraId="435F386E">
      <w:pPr>
        <w:rPr>
          <w:rFonts w:hint="eastAsia" w:ascii="宋体" w:hAnsi="宋体" w:eastAsia="宋体" w:cs="宋体"/>
          <w:b/>
          <w:color w:val="auto"/>
          <w:sz w:val="24"/>
          <w:highlight w:val="none"/>
        </w:rPr>
      </w:pPr>
    </w:p>
    <w:p w14:paraId="413BB533">
      <w:pPr>
        <w:pStyle w:val="18"/>
        <w:rPr>
          <w:rFonts w:hint="eastAsia" w:ascii="宋体" w:hAnsi="宋体" w:eastAsia="宋体" w:cs="宋体"/>
          <w:b/>
          <w:color w:val="auto"/>
          <w:sz w:val="24"/>
          <w:highlight w:val="none"/>
        </w:rPr>
      </w:pPr>
    </w:p>
    <w:p w14:paraId="5FDE5ACB">
      <w:pPr>
        <w:rPr>
          <w:rFonts w:hint="eastAsia" w:ascii="宋体" w:hAnsi="宋体" w:eastAsia="宋体" w:cs="宋体"/>
          <w:b/>
          <w:color w:val="auto"/>
          <w:sz w:val="24"/>
          <w:highlight w:val="none"/>
        </w:rPr>
      </w:pPr>
    </w:p>
    <w:p w14:paraId="3A031998">
      <w:pPr>
        <w:pStyle w:val="18"/>
        <w:rPr>
          <w:rFonts w:hint="eastAsia" w:ascii="宋体" w:hAnsi="宋体" w:eastAsia="宋体" w:cs="宋体"/>
          <w:b/>
          <w:color w:val="auto"/>
          <w:sz w:val="24"/>
          <w:highlight w:val="none"/>
        </w:rPr>
      </w:pPr>
    </w:p>
    <w:p w14:paraId="7F4F5242">
      <w:pPr>
        <w:rPr>
          <w:rFonts w:hint="eastAsia" w:ascii="宋体" w:hAnsi="宋体" w:eastAsia="宋体" w:cs="宋体"/>
          <w:b/>
          <w:color w:val="auto"/>
          <w:sz w:val="24"/>
          <w:highlight w:val="none"/>
        </w:rPr>
      </w:pPr>
    </w:p>
    <w:p w14:paraId="012C5DF9">
      <w:pPr>
        <w:pStyle w:val="18"/>
        <w:rPr>
          <w:rFonts w:hint="eastAsia" w:ascii="宋体" w:hAnsi="宋体" w:eastAsia="宋体" w:cs="宋体"/>
          <w:b/>
          <w:color w:val="auto"/>
          <w:sz w:val="24"/>
          <w:highlight w:val="none"/>
        </w:rPr>
      </w:pPr>
    </w:p>
    <w:p w14:paraId="04318C0B">
      <w:pPr>
        <w:rPr>
          <w:rFonts w:hint="eastAsia" w:ascii="宋体" w:hAnsi="宋体" w:eastAsia="宋体" w:cs="宋体"/>
          <w:b/>
          <w:color w:val="auto"/>
          <w:sz w:val="24"/>
          <w:highlight w:val="none"/>
        </w:rPr>
      </w:pPr>
    </w:p>
    <w:p w14:paraId="249E0C27">
      <w:pPr>
        <w:pStyle w:val="18"/>
        <w:rPr>
          <w:rFonts w:hint="eastAsia" w:ascii="宋体" w:hAnsi="宋体" w:eastAsia="宋体" w:cs="宋体"/>
          <w:b/>
          <w:color w:val="auto"/>
          <w:sz w:val="24"/>
          <w:highlight w:val="none"/>
        </w:rPr>
      </w:pPr>
    </w:p>
    <w:p w14:paraId="005796BF">
      <w:pPr>
        <w:rPr>
          <w:rFonts w:hint="eastAsia" w:ascii="宋体" w:hAnsi="宋体" w:eastAsia="宋体" w:cs="宋体"/>
          <w:b/>
          <w:color w:val="auto"/>
          <w:sz w:val="24"/>
          <w:highlight w:val="none"/>
        </w:rPr>
      </w:pPr>
    </w:p>
    <w:p w14:paraId="33617757">
      <w:pPr>
        <w:pStyle w:val="18"/>
        <w:rPr>
          <w:rFonts w:hint="eastAsia" w:ascii="宋体" w:hAnsi="宋体" w:eastAsia="宋体" w:cs="宋体"/>
          <w:b/>
          <w:color w:val="auto"/>
          <w:sz w:val="24"/>
          <w:highlight w:val="none"/>
        </w:rPr>
      </w:pPr>
    </w:p>
    <w:p w14:paraId="1AEC58F8">
      <w:pPr>
        <w:rPr>
          <w:rFonts w:hint="eastAsia" w:ascii="宋体" w:hAnsi="宋体" w:eastAsia="宋体" w:cs="宋体"/>
          <w:b/>
          <w:color w:val="auto"/>
          <w:sz w:val="24"/>
          <w:highlight w:val="none"/>
        </w:rPr>
      </w:pPr>
    </w:p>
    <w:p w14:paraId="76FEC92D">
      <w:pPr>
        <w:pStyle w:val="18"/>
        <w:rPr>
          <w:rFonts w:hint="eastAsia" w:ascii="宋体" w:hAnsi="宋体" w:eastAsia="宋体" w:cs="宋体"/>
          <w:b/>
          <w:color w:val="auto"/>
          <w:sz w:val="24"/>
          <w:highlight w:val="none"/>
        </w:rPr>
      </w:pPr>
    </w:p>
    <w:p w14:paraId="4EF9C57D">
      <w:pPr>
        <w:rPr>
          <w:rFonts w:hint="eastAsia" w:ascii="宋体" w:hAnsi="宋体" w:eastAsia="宋体" w:cs="宋体"/>
          <w:color w:val="auto"/>
          <w:highlight w:val="none"/>
        </w:rPr>
      </w:pPr>
    </w:p>
    <w:p w14:paraId="490B9A36">
      <w:pPr>
        <w:rPr>
          <w:rFonts w:hint="eastAsia" w:ascii="宋体" w:hAnsi="宋体" w:eastAsia="宋体" w:cs="宋体"/>
          <w:b/>
          <w:color w:val="auto"/>
          <w:sz w:val="24"/>
          <w:highlight w:val="none"/>
        </w:rPr>
      </w:pPr>
    </w:p>
    <w:p w14:paraId="3279EA6D">
      <w:pPr>
        <w:pStyle w:val="18"/>
        <w:rPr>
          <w:rFonts w:hint="eastAsia" w:ascii="宋体" w:hAnsi="宋体" w:eastAsia="宋体" w:cs="宋体"/>
          <w:b/>
          <w:color w:val="auto"/>
          <w:sz w:val="24"/>
          <w:highlight w:val="none"/>
        </w:rPr>
      </w:pPr>
    </w:p>
    <w:p w14:paraId="7D55479F">
      <w:pPr>
        <w:spacing w:line="480" w:lineRule="exact"/>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sz w:val="32"/>
          <w:szCs w:val="32"/>
          <w:highlight w:val="none"/>
        </w:rPr>
        <w:t>投标人</w:t>
      </w:r>
      <w:r>
        <w:rPr>
          <w:rFonts w:hint="eastAsia" w:ascii="宋体" w:hAnsi="宋体" w:eastAsia="宋体" w:cs="宋体"/>
          <w:b/>
          <w:color w:val="auto"/>
          <w:sz w:val="32"/>
          <w:szCs w:val="32"/>
          <w:highlight w:val="none"/>
          <w:lang w:eastAsia="zh-CN"/>
        </w:rPr>
        <w:t>企业</w:t>
      </w:r>
      <w:r>
        <w:rPr>
          <w:rFonts w:hint="eastAsia" w:ascii="宋体" w:hAnsi="宋体" w:eastAsia="宋体" w:cs="宋体"/>
          <w:b/>
          <w:color w:val="auto"/>
          <w:kern w:val="0"/>
          <w:sz w:val="32"/>
          <w:szCs w:val="32"/>
          <w:highlight w:val="none"/>
          <w:lang w:val="zh-CN"/>
        </w:rPr>
        <w:t>介绍</w:t>
      </w:r>
    </w:p>
    <w:p w14:paraId="01179CB5">
      <w:pPr>
        <w:spacing w:line="48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（由投标人自行编制）</w:t>
      </w:r>
    </w:p>
    <w:p w14:paraId="6DA7E8E1">
      <w:pPr>
        <w:autoSpaceDE w:val="0"/>
        <w:autoSpaceDN w:val="0"/>
        <w:adjustRightInd w:val="0"/>
        <w:spacing w:after="143" w:line="44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附表: 投标人信息 </w:t>
      </w:r>
    </w:p>
    <w:tbl>
      <w:tblPr>
        <w:tblStyle w:val="25"/>
        <w:tblW w:w="0" w:type="auto"/>
        <w:tblInd w:w="274" w:type="dxa"/>
        <w:tblLayout w:type="fixed"/>
        <w:tblCellMar>
          <w:top w:w="0" w:type="dxa"/>
          <w:left w:w="168" w:type="dxa"/>
          <w:bottom w:w="0" w:type="dxa"/>
          <w:right w:w="168" w:type="dxa"/>
        </w:tblCellMar>
      </w:tblPr>
      <w:tblGrid>
        <w:gridCol w:w="5340"/>
        <w:gridCol w:w="4230"/>
      </w:tblGrid>
      <w:tr w14:paraId="50C05C5C">
        <w:tblPrEx>
          <w:tblCellMar>
            <w:top w:w="0" w:type="dxa"/>
            <w:left w:w="168" w:type="dxa"/>
            <w:bottom w:w="0" w:type="dxa"/>
            <w:right w:w="168" w:type="dxa"/>
          </w:tblCellMar>
        </w:tblPrEx>
        <w:tc>
          <w:tcPr>
            <w:tcW w:w="5340" w:type="dxa"/>
            <w:tcBorders>
              <w:top w:val="single" w:color="auto" w:sz="4" w:space="0"/>
              <w:left w:val="single" w:color="auto" w:sz="4" w:space="0"/>
              <w:bottom w:val="single" w:color="auto" w:sz="4" w:space="0"/>
              <w:right w:val="single" w:color="auto" w:sz="4" w:space="0"/>
            </w:tcBorders>
            <w:shd w:val="pct10" w:color="auto" w:fill="auto"/>
            <w:noWrap w:val="0"/>
            <w:vAlign w:val="top"/>
          </w:tcPr>
          <w:p w14:paraId="478126DF">
            <w:pPr>
              <w:tabs>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p>
        </w:tc>
        <w:tc>
          <w:tcPr>
            <w:tcW w:w="4230" w:type="dxa"/>
            <w:tcBorders>
              <w:top w:val="single" w:color="auto" w:sz="4" w:space="0"/>
              <w:left w:val="single" w:color="auto" w:sz="4" w:space="0"/>
              <w:bottom w:val="single" w:color="auto" w:sz="4" w:space="0"/>
              <w:right w:val="single" w:color="auto" w:sz="4" w:space="0"/>
            </w:tcBorders>
            <w:shd w:val="pct10" w:color="auto" w:fill="auto"/>
            <w:noWrap w:val="0"/>
            <w:vAlign w:val="top"/>
          </w:tcPr>
          <w:p w14:paraId="1EE3F103">
            <w:pPr>
              <w:tabs>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叙述/提供</w:t>
            </w:r>
          </w:p>
        </w:tc>
      </w:tr>
      <w:tr w14:paraId="1D50E5E9">
        <w:tblPrEx>
          <w:tblCellMar>
            <w:top w:w="0" w:type="dxa"/>
            <w:left w:w="168" w:type="dxa"/>
            <w:bottom w:w="0" w:type="dxa"/>
            <w:right w:w="168" w:type="dxa"/>
          </w:tblCellMar>
        </w:tblPrEx>
        <w:tc>
          <w:tcPr>
            <w:tcW w:w="5340" w:type="dxa"/>
            <w:tcBorders>
              <w:top w:val="single" w:color="auto" w:sz="4" w:space="0"/>
              <w:left w:val="single" w:color="auto" w:sz="4" w:space="0"/>
              <w:bottom w:val="single" w:color="auto" w:sz="4" w:space="0"/>
              <w:right w:val="single" w:color="auto" w:sz="4" w:space="0"/>
            </w:tcBorders>
            <w:noWrap w:val="0"/>
            <w:vAlign w:val="top"/>
          </w:tcPr>
          <w:p w14:paraId="5EC5BDBD">
            <w:pPr>
              <w:tabs>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rPr>
              <w:tab/>
            </w:r>
            <w:r>
              <w:rPr>
                <w:rFonts w:hint="eastAsia" w:ascii="宋体" w:hAnsi="宋体" w:eastAsia="宋体" w:cs="宋体"/>
                <w:b/>
                <w:bCs/>
                <w:color w:val="auto"/>
                <w:sz w:val="24"/>
                <w:highlight w:val="none"/>
              </w:rPr>
              <w:t>一般情况</w:t>
            </w:r>
          </w:p>
          <w:p w14:paraId="0E0E0065">
            <w:pPr>
              <w:tabs>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公司名称（包括：母公司/附属公司/办事处）</w:t>
            </w:r>
          </w:p>
          <w:p w14:paraId="27466437">
            <w:pPr>
              <w:tabs>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公司地址</w:t>
            </w:r>
          </w:p>
          <w:p w14:paraId="57E33234">
            <w:pPr>
              <w:tabs>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公司成立时间</w:t>
            </w:r>
          </w:p>
          <w:p w14:paraId="5E7E069E">
            <w:pPr>
              <w:tabs>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1.4</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公司主业</w:t>
            </w:r>
          </w:p>
          <w:p w14:paraId="7DE72DDF">
            <w:pPr>
              <w:tabs>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1.5</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业务范围</w:t>
            </w:r>
          </w:p>
          <w:p w14:paraId="15F251F3">
            <w:pPr>
              <w:tabs>
                <w:tab w:val="left" w:pos="480"/>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1.6</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从事类似项目实施的情况，</w:t>
            </w:r>
          </w:p>
          <w:p w14:paraId="4D1FD6B8">
            <w:pPr>
              <w:tabs>
                <w:tab w:val="left" w:pos="480"/>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1.7</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也可列举出在其它行业从事的相应工作。</w:t>
            </w:r>
          </w:p>
          <w:p w14:paraId="1BC066E1">
            <w:pPr>
              <w:tabs>
                <w:tab w:val="left" w:pos="480"/>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1.8</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典型工程实例: 需提供合同</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复印件。</w:t>
            </w:r>
          </w:p>
          <w:p w14:paraId="30E39D16">
            <w:pPr>
              <w:tabs>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rPr>
              <w:tab/>
            </w:r>
            <w:r>
              <w:rPr>
                <w:rFonts w:hint="eastAsia" w:ascii="宋体" w:hAnsi="宋体" w:eastAsia="宋体" w:cs="宋体"/>
                <w:b/>
                <w:bCs/>
                <w:color w:val="auto"/>
                <w:sz w:val="24"/>
                <w:highlight w:val="none"/>
              </w:rPr>
              <w:t>支持与经验</w:t>
            </w:r>
          </w:p>
          <w:p w14:paraId="31018DA4">
            <w:pPr>
              <w:tabs>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2.1</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支持服务能力</w:t>
            </w:r>
          </w:p>
          <w:p w14:paraId="3F66F2C7">
            <w:pPr>
              <w:tabs>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3．公司的组织结构简图</w:t>
            </w:r>
            <w:r>
              <w:rPr>
                <w:rFonts w:hint="eastAsia" w:ascii="宋体" w:hAnsi="宋体" w:eastAsia="宋体" w:cs="宋体"/>
                <w:color w:val="auto"/>
                <w:sz w:val="24"/>
                <w:highlight w:val="none"/>
              </w:rPr>
              <w:t>（以下可另附）</w:t>
            </w:r>
          </w:p>
          <w:p w14:paraId="777D347E">
            <w:pPr>
              <w:tabs>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4．法定代表人身份证明</w:t>
            </w:r>
          </w:p>
          <w:p w14:paraId="123BCECB">
            <w:pPr>
              <w:tabs>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5．其它</w:t>
            </w:r>
          </w:p>
        </w:tc>
        <w:tc>
          <w:tcPr>
            <w:tcW w:w="4230" w:type="dxa"/>
            <w:tcBorders>
              <w:top w:val="single" w:color="auto" w:sz="4" w:space="0"/>
              <w:left w:val="single" w:color="auto" w:sz="4" w:space="0"/>
              <w:bottom w:val="single" w:color="auto" w:sz="4" w:space="0"/>
              <w:right w:val="single" w:color="auto" w:sz="4" w:space="0"/>
            </w:tcBorders>
            <w:noWrap w:val="0"/>
            <w:vAlign w:val="top"/>
          </w:tcPr>
          <w:p w14:paraId="513300CD">
            <w:pPr>
              <w:tabs>
                <w:tab w:val="left" w:pos="541"/>
                <w:tab w:val="left" w:pos="1255"/>
                <w:tab w:val="left" w:pos="1969"/>
                <w:tab w:val="left" w:pos="2683"/>
                <w:tab w:val="left" w:pos="3397"/>
                <w:tab w:val="left" w:pos="4111"/>
                <w:tab w:val="left" w:pos="4825"/>
                <w:tab w:val="left" w:pos="5539"/>
                <w:tab w:val="left" w:pos="6253"/>
              </w:tabs>
              <w:suppressAutoHyphens/>
              <w:autoSpaceDE w:val="0"/>
              <w:autoSpaceDN w:val="0"/>
              <w:adjustRightInd w:val="0"/>
              <w:spacing w:line="440" w:lineRule="exact"/>
              <w:rPr>
                <w:rFonts w:hint="eastAsia" w:ascii="宋体" w:hAnsi="宋体" w:eastAsia="宋体" w:cs="宋体"/>
                <w:color w:val="auto"/>
                <w:sz w:val="24"/>
                <w:highlight w:val="none"/>
              </w:rPr>
            </w:pPr>
          </w:p>
        </w:tc>
      </w:tr>
    </w:tbl>
    <w:p w14:paraId="2ACC25B9">
      <w:pPr>
        <w:autoSpaceDE w:val="0"/>
        <w:autoSpaceDN w:val="0"/>
        <w:adjustRightInd w:val="0"/>
        <w:spacing w:line="420" w:lineRule="exact"/>
        <w:rPr>
          <w:rFonts w:hint="eastAsia" w:ascii="宋体" w:hAnsi="宋体" w:eastAsia="宋体" w:cs="宋体"/>
          <w:color w:val="auto"/>
          <w:kern w:val="0"/>
          <w:sz w:val="24"/>
          <w:highlight w:val="none"/>
        </w:rPr>
      </w:pPr>
    </w:p>
    <w:p w14:paraId="409EEE78">
      <w:pPr>
        <w:autoSpaceDE w:val="0"/>
        <w:autoSpaceDN w:val="0"/>
        <w:adjustRightInd w:val="0"/>
        <w:spacing w:line="420" w:lineRule="exact"/>
        <w:rPr>
          <w:rFonts w:hint="eastAsia" w:ascii="宋体" w:hAnsi="宋体" w:eastAsia="宋体" w:cs="宋体"/>
          <w:color w:val="auto"/>
          <w:kern w:val="0"/>
          <w:sz w:val="24"/>
          <w:highlight w:val="none"/>
        </w:rPr>
      </w:pPr>
    </w:p>
    <w:p w14:paraId="0AAE9CBA">
      <w:pPr>
        <w:autoSpaceDE w:val="0"/>
        <w:autoSpaceDN w:val="0"/>
        <w:adjustRightInd w:val="0"/>
        <w:spacing w:line="360" w:lineRule="auto"/>
        <w:ind w:firstLine="4800" w:firstLineChars="20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投标人</w:t>
      </w:r>
      <w:r>
        <w:rPr>
          <w:rFonts w:hint="eastAsia" w:ascii="宋体" w:hAnsi="宋体" w:eastAsia="宋体" w:cs="宋体"/>
          <w:color w:val="auto"/>
          <w:kern w:val="0"/>
          <w:sz w:val="24"/>
          <w:highlight w:val="none"/>
        </w:rPr>
        <w:t>名称（公章）：</w:t>
      </w:r>
    </w:p>
    <w:p w14:paraId="6C3DF32C">
      <w:pPr>
        <w:autoSpaceDE w:val="0"/>
        <w:autoSpaceDN w:val="0"/>
        <w:adjustRightInd w:val="0"/>
        <w:spacing w:line="360" w:lineRule="auto"/>
        <w:ind w:firstLine="4800" w:firstLineChars="20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法定代表人或授权委托人（签字）：</w:t>
      </w:r>
    </w:p>
    <w:p w14:paraId="07896C6E">
      <w:pPr>
        <w:spacing w:line="360" w:lineRule="auto"/>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rPr>
        <w:t xml:space="preserve">                                        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4678BEF9">
      <w:pPr>
        <w:pStyle w:val="18"/>
        <w:rPr>
          <w:rFonts w:hint="eastAsia" w:ascii="宋体" w:hAnsi="宋体" w:eastAsia="宋体" w:cs="宋体"/>
          <w:b/>
          <w:color w:val="auto"/>
          <w:sz w:val="24"/>
          <w:highlight w:val="none"/>
        </w:rPr>
      </w:pPr>
    </w:p>
    <w:p w14:paraId="627D5874">
      <w:pPr>
        <w:rPr>
          <w:rFonts w:hint="eastAsia" w:ascii="宋体" w:hAnsi="宋体" w:eastAsia="宋体" w:cs="宋体"/>
          <w:color w:val="auto"/>
          <w:highlight w:val="none"/>
        </w:rPr>
      </w:pPr>
    </w:p>
    <w:p w14:paraId="35ECCA71">
      <w:pPr>
        <w:autoSpaceDE w:val="0"/>
        <w:autoSpaceDN w:val="0"/>
        <w:adjustRightInd w:val="0"/>
        <w:rPr>
          <w:rFonts w:hint="eastAsia" w:ascii="宋体" w:hAnsi="宋体" w:eastAsia="宋体" w:cs="宋体"/>
          <w:b/>
          <w:color w:val="auto"/>
          <w:sz w:val="24"/>
          <w:highlight w:val="none"/>
        </w:rPr>
      </w:pPr>
    </w:p>
    <w:p w14:paraId="1EC0CA83">
      <w:pPr>
        <w:pStyle w:val="18"/>
        <w:rPr>
          <w:rFonts w:hint="eastAsia" w:ascii="宋体" w:hAnsi="宋体" w:eastAsia="宋体" w:cs="宋体"/>
          <w:b/>
          <w:color w:val="auto"/>
          <w:sz w:val="24"/>
          <w:highlight w:val="none"/>
        </w:rPr>
      </w:pPr>
    </w:p>
    <w:p w14:paraId="3CB78D7F">
      <w:pPr>
        <w:rPr>
          <w:rFonts w:hint="eastAsia" w:ascii="宋体" w:hAnsi="宋体" w:eastAsia="宋体" w:cs="宋体"/>
          <w:b/>
          <w:color w:val="auto"/>
          <w:sz w:val="24"/>
          <w:highlight w:val="none"/>
        </w:rPr>
      </w:pPr>
    </w:p>
    <w:p w14:paraId="35A16F54">
      <w:pPr>
        <w:pStyle w:val="18"/>
        <w:rPr>
          <w:rFonts w:hint="eastAsia" w:ascii="宋体" w:hAnsi="宋体" w:eastAsia="宋体" w:cs="宋体"/>
          <w:b/>
          <w:color w:val="auto"/>
          <w:sz w:val="24"/>
          <w:highlight w:val="none"/>
        </w:rPr>
      </w:pPr>
    </w:p>
    <w:p w14:paraId="7C3120B1">
      <w:pPr>
        <w:rPr>
          <w:rFonts w:hint="eastAsia" w:ascii="宋体" w:hAnsi="宋体" w:eastAsia="宋体" w:cs="宋体"/>
          <w:b/>
          <w:color w:val="auto"/>
          <w:sz w:val="24"/>
          <w:highlight w:val="none"/>
        </w:rPr>
      </w:pPr>
    </w:p>
    <w:p w14:paraId="6B4371C1">
      <w:pPr>
        <w:pStyle w:val="11"/>
        <w:rPr>
          <w:rFonts w:hint="eastAsia"/>
          <w:color w:val="auto"/>
          <w:highlight w:val="none"/>
        </w:rPr>
      </w:pPr>
    </w:p>
    <w:p w14:paraId="1AFF99A8">
      <w:pPr>
        <w:pStyle w:val="18"/>
        <w:rPr>
          <w:rFonts w:hint="eastAsia" w:ascii="宋体" w:hAnsi="宋体" w:eastAsia="宋体" w:cs="宋体"/>
          <w:b/>
          <w:color w:val="auto"/>
          <w:sz w:val="24"/>
          <w:highlight w:val="none"/>
        </w:rPr>
      </w:pPr>
    </w:p>
    <w:p w14:paraId="168C3C38">
      <w:pPr>
        <w:rPr>
          <w:rFonts w:hint="eastAsia" w:ascii="宋体" w:hAnsi="宋体" w:eastAsia="宋体" w:cs="宋体"/>
          <w:b/>
          <w:color w:val="auto"/>
          <w:sz w:val="24"/>
          <w:highlight w:val="none"/>
        </w:rPr>
      </w:pPr>
    </w:p>
    <w:p w14:paraId="5301932B">
      <w:pPr>
        <w:spacing w:line="480" w:lineRule="exact"/>
        <w:jc w:val="cente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val="zh-CN" w:eastAsia="zh-CN"/>
        </w:rPr>
        <w:t>主要业绩证明</w:t>
      </w:r>
    </w:p>
    <w:p w14:paraId="3D2613D4">
      <w:pPr>
        <w:autoSpaceDE w:val="0"/>
        <w:autoSpaceDN w:val="0"/>
        <w:adjustRightInd w:val="0"/>
        <w:spacing w:line="440" w:lineRule="exact"/>
        <w:ind w:firstLine="12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 :相关项目业绩一览表</w:t>
      </w:r>
    </w:p>
    <w:tbl>
      <w:tblPr>
        <w:tblStyle w:val="25"/>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0DD59AD">
        <w:tblPrEx>
          <w:tblCellMar>
            <w:top w:w="0" w:type="dxa"/>
            <w:left w:w="108" w:type="dxa"/>
            <w:bottom w:w="0" w:type="dxa"/>
            <w:right w:w="108" w:type="dxa"/>
          </w:tblCellMar>
        </w:tblPrEx>
        <w:trPr>
          <w:trHeight w:val="1177"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14:paraId="73DDDF69">
            <w:pPr>
              <w:autoSpaceDE w:val="0"/>
              <w:autoSpaceDN w:val="0"/>
              <w:adjustRightInd w:val="0"/>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1735C2C9">
            <w:pPr>
              <w:autoSpaceDE w:val="0"/>
              <w:autoSpaceDN w:val="0"/>
              <w:adjustRightInd w:val="0"/>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p>
          <w:p w14:paraId="3A33DBA1">
            <w:pPr>
              <w:autoSpaceDE w:val="0"/>
              <w:autoSpaceDN w:val="0"/>
              <w:adjustRightInd w:val="0"/>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类型</w:t>
            </w:r>
          </w:p>
        </w:tc>
        <w:tc>
          <w:tcPr>
            <w:tcW w:w="1356" w:type="dxa"/>
            <w:tcBorders>
              <w:top w:val="single" w:color="auto" w:sz="4" w:space="0"/>
              <w:left w:val="single" w:color="auto" w:sz="4" w:space="0"/>
              <w:bottom w:val="single" w:color="auto" w:sz="4" w:space="0"/>
              <w:right w:val="single" w:color="auto" w:sz="4" w:space="0"/>
            </w:tcBorders>
            <w:noWrap w:val="0"/>
            <w:vAlign w:val="center"/>
          </w:tcPr>
          <w:p w14:paraId="11F12197">
            <w:pPr>
              <w:autoSpaceDE w:val="0"/>
              <w:autoSpaceDN w:val="0"/>
              <w:adjustRightInd w:val="0"/>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简要描述</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66FBD9B9">
            <w:pPr>
              <w:autoSpaceDE w:val="0"/>
              <w:autoSpaceDN w:val="0"/>
              <w:adjustRightInd w:val="0"/>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p>
          <w:p w14:paraId="272D4580">
            <w:pPr>
              <w:autoSpaceDE w:val="0"/>
              <w:autoSpaceDN w:val="0"/>
              <w:adjustRightInd w:val="0"/>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投资</w:t>
            </w:r>
          </w:p>
          <w:p w14:paraId="323CB29F">
            <w:pPr>
              <w:autoSpaceDE w:val="0"/>
              <w:autoSpaceDN w:val="0"/>
              <w:adjustRightInd w:val="0"/>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c>
          <w:tcPr>
            <w:tcW w:w="1155" w:type="dxa"/>
            <w:tcBorders>
              <w:top w:val="single" w:color="auto" w:sz="4" w:space="0"/>
              <w:left w:val="single" w:color="auto" w:sz="4" w:space="0"/>
              <w:bottom w:val="single" w:color="auto" w:sz="4" w:space="0"/>
              <w:right w:val="single" w:color="auto" w:sz="4" w:space="0"/>
            </w:tcBorders>
            <w:noWrap w:val="0"/>
            <w:vAlign w:val="center"/>
          </w:tcPr>
          <w:p w14:paraId="43C4667A">
            <w:pPr>
              <w:autoSpaceDE w:val="0"/>
              <w:autoSpaceDN w:val="0"/>
              <w:adjustRightInd w:val="0"/>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开竣工日期</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45C8C3AE">
            <w:pPr>
              <w:autoSpaceDE w:val="0"/>
              <w:autoSpaceDN w:val="0"/>
              <w:adjustRightInd w:val="0"/>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项目地址与建设单位联系电话</w:t>
            </w:r>
          </w:p>
        </w:tc>
        <w:tc>
          <w:tcPr>
            <w:tcW w:w="1215" w:type="dxa"/>
            <w:tcBorders>
              <w:top w:val="single" w:color="auto" w:sz="4" w:space="0"/>
              <w:left w:val="single" w:color="auto" w:sz="4" w:space="0"/>
              <w:bottom w:val="single" w:color="auto" w:sz="4" w:space="0"/>
              <w:right w:val="single" w:color="auto" w:sz="4" w:space="0"/>
            </w:tcBorders>
            <w:noWrap w:val="0"/>
            <w:vAlign w:val="center"/>
          </w:tcPr>
          <w:p w14:paraId="240C106F">
            <w:pPr>
              <w:autoSpaceDE w:val="0"/>
              <w:autoSpaceDN w:val="0"/>
              <w:adjustRightInd w:val="0"/>
              <w:spacing w:line="4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所在页码</w:t>
            </w:r>
          </w:p>
        </w:tc>
      </w:tr>
      <w:tr w14:paraId="11D4F87A">
        <w:tblPrEx>
          <w:tblCellMar>
            <w:top w:w="0" w:type="dxa"/>
            <w:left w:w="108" w:type="dxa"/>
            <w:bottom w:w="0" w:type="dxa"/>
            <w:right w:w="108" w:type="dxa"/>
          </w:tblCellMar>
        </w:tblPrEx>
        <w:trPr>
          <w:trHeight w:val="894" w:hRule="atLeast"/>
        </w:trPr>
        <w:tc>
          <w:tcPr>
            <w:tcW w:w="1800" w:type="dxa"/>
            <w:tcBorders>
              <w:top w:val="single" w:color="auto" w:sz="4" w:space="0"/>
              <w:left w:val="single" w:color="auto" w:sz="4" w:space="0"/>
              <w:bottom w:val="single" w:color="auto" w:sz="4" w:space="0"/>
              <w:right w:val="single" w:color="auto" w:sz="4" w:space="0"/>
            </w:tcBorders>
            <w:noWrap w:val="0"/>
            <w:vAlign w:val="top"/>
          </w:tcPr>
          <w:p w14:paraId="57644057">
            <w:pPr>
              <w:autoSpaceDE w:val="0"/>
              <w:autoSpaceDN w:val="0"/>
              <w:adjustRightInd w:val="0"/>
              <w:spacing w:line="440" w:lineRule="exact"/>
              <w:rPr>
                <w:rFonts w:hint="eastAsia" w:ascii="宋体" w:hAnsi="宋体" w:eastAsia="宋体" w:cs="宋体"/>
                <w:color w:val="auto"/>
                <w:sz w:val="24"/>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top"/>
          </w:tcPr>
          <w:p w14:paraId="70095F86">
            <w:pPr>
              <w:autoSpaceDE w:val="0"/>
              <w:autoSpaceDN w:val="0"/>
              <w:adjustRightInd w:val="0"/>
              <w:spacing w:line="440" w:lineRule="exact"/>
              <w:rPr>
                <w:rFonts w:hint="eastAsia" w:ascii="宋体" w:hAnsi="宋体" w:eastAsia="宋体" w:cs="宋体"/>
                <w:color w:val="auto"/>
                <w:sz w:val="24"/>
                <w:highlight w:val="none"/>
              </w:rPr>
            </w:pPr>
          </w:p>
        </w:tc>
        <w:tc>
          <w:tcPr>
            <w:tcW w:w="1356" w:type="dxa"/>
            <w:tcBorders>
              <w:top w:val="single" w:color="auto" w:sz="4" w:space="0"/>
              <w:left w:val="single" w:color="auto" w:sz="4" w:space="0"/>
              <w:bottom w:val="single" w:color="auto" w:sz="4" w:space="0"/>
              <w:right w:val="single" w:color="auto" w:sz="4" w:space="0"/>
            </w:tcBorders>
            <w:noWrap w:val="0"/>
            <w:vAlign w:val="top"/>
          </w:tcPr>
          <w:p w14:paraId="6FACB4A5">
            <w:pPr>
              <w:autoSpaceDE w:val="0"/>
              <w:autoSpaceDN w:val="0"/>
              <w:adjustRightInd w:val="0"/>
              <w:spacing w:line="440" w:lineRule="exact"/>
              <w:rPr>
                <w:rFonts w:hint="eastAsia" w:ascii="宋体" w:hAnsi="宋体" w:eastAsia="宋体" w:cs="宋体"/>
                <w:color w:val="auto"/>
                <w:sz w:val="24"/>
                <w:highlight w:val="none"/>
              </w:rPr>
            </w:pPr>
          </w:p>
        </w:tc>
        <w:tc>
          <w:tcPr>
            <w:tcW w:w="1143" w:type="dxa"/>
            <w:tcBorders>
              <w:top w:val="single" w:color="auto" w:sz="4" w:space="0"/>
              <w:left w:val="single" w:color="auto" w:sz="4" w:space="0"/>
              <w:bottom w:val="single" w:color="auto" w:sz="4" w:space="0"/>
              <w:right w:val="single" w:color="auto" w:sz="4" w:space="0"/>
            </w:tcBorders>
            <w:noWrap w:val="0"/>
            <w:vAlign w:val="top"/>
          </w:tcPr>
          <w:p w14:paraId="2D442B11">
            <w:pPr>
              <w:autoSpaceDE w:val="0"/>
              <w:autoSpaceDN w:val="0"/>
              <w:adjustRightInd w:val="0"/>
              <w:spacing w:line="440" w:lineRule="exact"/>
              <w:rPr>
                <w:rFonts w:hint="eastAsia" w:ascii="宋体" w:hAnsi="宋体" w:eastAsia="宋体" w:cs="宋体"/>
                <w:color w:val="auto"/>
                <w:sz w:val="24"/>
                <w:highlight w:val="none"/>
              </w:rPr>
            </w:pPr>
          </w:p>
        </w:tc>
        <w:tc>
          <w:tcPr>
            <w:tcW w:w="1155" w:type="dxa"/>
            <w:tcBorders>
              <w:top w:val="single" w:color="auto" w:sz="4" w:space="0"/>
              <w:left w:val="single" w:color="auto" w:sz="4" w:space="0"/>
              <w:bottom w:val="single" w:color="auto" w:sz="4" w:space="0"/>
              <w:right w:val="single" w:color="auto" w:sz="4" w:space="0"/>
            </w:tcBorders>
            <w:noWrap w:val="0"/>
            <w:vAlign w:val="top"/>
          </w:tcPr>
          <w:p w14:paraId="56CBBD73">
            <w:pPr>
              <w:autoSpaceDE w:val="0"/>
              <w:autoSpaceDN w:val="0"/>
              <w:adjustRightInd w:val="0"/>
              <w:spacing w:line="440" w:lineRule="exact"/>
              <w:rPr>
                <w:rFonts w:hint="eastAsia" w:ascii="宋体" w:hAnsi="宋体" w:eastAsia="宋体" w:cs="宋体"/>
                <w:color w:val="auto"/>
                <w:sz w:val="24"/>
                <w:highlight w:val="none"/>
              </w:rPr>
            </w:pPr>
          </w:p>
        </w:tc>
        <w:tc>
          <w:tcPr>
            <w:tcW w:w="1515" w:type="dxa"/>
            <w:tcBorders>
              <w:top w:val="single" w:color="auto" w:sz="4" w:space="0"/>
              <w:left w:val="single" w:color="auto" w:sz="4" w:space="0"/>
              <w:bottom w:val="single" w:color="auto" w:sz="4" w:space="0"/>
              <w:right w:val="single" w:color="auto" w:sz="4" w:space="0"/>
            </w:tcBorders>
            <w:noWrap w:val="0"/>
            <w:vAlign w:val="top"/>
          </w:tcPr>
          <w:p w14:paraId="4EE694A7">
            <w:pPr>
              <w:autoSpaceDE w:val="0"/>
              <w:autoSpaceDN w:val="0"/>
              <w:adjustRightInd w:val="0"/>
              <w:spacing w:line="440" w:lineRule="exact"/>
              <w:rPr>
                <w:rFonts w:hint="eastAsia" w:ascii="宋体" w:hAnsi="宋体" w:eastAsia="宋体" w:cs="宋体"/>
                <w:color w:val="auto"/>
                <w:sz w:val="24"/>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2BE31190">
            <w:pPr>
              <w:autoSpaceDE w:val="0"/>
              <w:autoSpaceDN w:val="0"/>
              <w:adjustRightInd w:val="0"/>
              <w:spacing w:line="440" w:lineRule="exact"/>
              <w:rPr>
                <w:rFonts w:hint="eastAsia" w:ascii="宋体" w:hAnsi="宋体" w:eastAsia="宋体" w:cs="宋体"/>
                <w:color w:val="auto"/>
                <w:sz w:val="24"/>
                <w:highlight w:val="none"/>
              </w:rPr>
            </w:pPr>
          </w:p>
        </w:tc>
      </w:tr>
      <w:tr w14:paraId="27238F63">
        <w:tblPrEx>
          <w:tblCellMar>
            <w:top w:w="0" w:type="dxa"/>
            <w:left w:w="108" w:type="dxa"/>
            <w:bottom w:w="0" w:type="dxa"/>
            <w:right w:w="108" w:type="dxa"/>
          </w:tblCellMar>
        </w:tblPrEx>
        <w:trPr>
          <w:trHeight w:val="920" w:hRule="atLeast"/>
        </w:trPr>
        <w:tc>
          <w:tcPr>
            <w:tcW w:w="1800" w:type="dxa"/>
            <w:tcBorders>
              <w:top w:val="single" w:color="auto" w:sz="4" w:space="0"/>
              <w:left w:val="single" w:color="auto" w:sz="4" w:space="0"/>
              <w:bottom w:val="single" w:color="auto" w:sz="4" w:space="0"/>
              <w:right w:val="single" w:color="auto" w:sz="4" w:space="0"/>
            </w:tcBorders>
            <w:noWrap w:val="0"/>
            <w:vAlign w:val="top"/>
          </w:tcPr>
          <w:p w14:paraId="781E7AD3">
            <w:pPr>
              <w:autoSpaceDE w:val="0"/>
              <w:autoSpaceDN w:val="0"/>
              <w:adjustRightInd w:val="0"/>
              <w:spacing w:line="440" w:lineRule="exact"/>
              <w:rPr>
                <w:rFonts w:hint="eastAsia" w:ascii="宋体" w:hAnsi="宋体" w:eastAsia="宋体" w:cs="宋体"/>
                <w:color w:val="auto"/>
                <w:sz w:val="24"/>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top"/>
          </w:tcPr>
          <w:p w14:paraId="59BBD439">
            <w:pPr>
              <w:autoSpaceDE w:val="0"/>
              <w:autoSpaceDN w:val="0"/>
              <w:adjustRightInd w:val="0"/>
              <w:spacing w:line="440" w:lineRule="exact"/>
              <w:rPr>
                <w:rFonts w:hint="eastAsia" w:ascii="宋体" w:hAnsi="宋体" w:eastAsia="宋体" w:cs="宋体"/>
                <w:color w:val="auto"/>
                <w:sz w:val="24"/>
                <w:highlight w:val="none"/>
              </w:rPr>
            </w:pPr>
          </w:p>
        </w:tc>
        <w:tc>
          <w:tcPr>
            <w:tcW w:w="1356" w:type="dxa"/>
            <w:tcBorders>
              <w:top w:val="single" w:color="auto" w:sz="4" w:space="0"/>
              <w:left w:val="single" w:color="auto" w:sz="4" w:space="0"/>
              <w:bottom w:val="single" w:color="auto" w:sz="4" w:space="0"/>
              <w:right w:val="single" w:color="auto" w:sz="4" w:space="0"/>
            </w:tcBorders>
            <w:noWrap w:val="0"/>
            <w:vAlign w:val="top"/>
          </w:tcPr>
          <w:p w14:paraId="5EFA22A3">
            <w:pPr>
              <w:autoSpaceDE w:val="0"/>
              <w:autoSpaceDN w:val="0"/>
              <w:adjustRightInd w:val="0"/>
              <w:spacing w:line="440" w:lineRule="exact"/>
              <w:rPr>
                <w:rFonts w:hint="eastAsia" w:ascii="宋体" w:hAnsi="宋体" w:eastAsia="宋体" w:cs="宋体"/>
                <w:color w:val="auto"/>
                <w:sz w:val="24"/>
                <w:highlight w:val="none"/>
              </w:rPr>
            </w:pPr>
          </w:p>
        </w:tc>
        <w:tc>
          <w:tcPr>
            <w:tcW w:w="1143" w:type="dxa"/>
            <w:tcBorders>
              <w:top w:val="single" w:color="auto" w:sz="4" w:space="0"/>
              <w:left w:val="single" w:color="auto" w:sz="4" w:space="0"/>
              <w:bottom w:val="single" w:color="auto" w:sz="4" w:space="0"/>
              <w:right w:val="single" w:color="auto" w:sz="4" w:space="0"/>
            </w:tcBorders>
            <w:noWrap w:val="0"/>
            <w:vAlign w:val="top"/>
          </w:tcPr>
          <w:p w14:paraId="07087120">
            <w:pPr>
              <w:autoSpaceDE w:val="0"/>
              <w:autoSpaceDN w:val="0"/>
              <w:adjustRightInd w:val="0"/>
              <w:spacing w:line="440" w:lineRule="exact"/>
              <w:rPr>
                <w:rFonts w:hint="eastAsia" w:ascii="宋体" w:hAnsi="宋体" w:eastAsia="宋体" w:cs="宋体"/>
                <w:color w:val="auto"/>
                <w:sz w:val="24"/>
                <w:highlight w:val="none"/>
              </w:rPr>
            </w:pPr>
          </w:p>
        </w:tc>
        <w:tc>
          <w:tcPr>
            <w:tcW w:w="1155" w:type="dxa"/>
            <w:tcBorders>
              <w:top w:val="single" w:color="auto" w:sz="4" w:space="0"/>
              <w:left w:val="single" w:color="auto" w:sz="4" w:space="0"/>
              <w:bottom w:val="single" w:color="auto" w:sz="4" w:space="0"/>
              <w:right w:val="single" w:color="auto" w:sz="4" w:space="0"/>
            </w:tcBorders>
            <w:noWrap w:val="0"/>
            <w:vAlign w:val="top"/>
          </w:tcPr>
          <w:p w14:paraId="530F567A">
            <w:pPr>
              <w:autoSpaceDE w:val="0"/>
              <w:autoSpaceDN w:val="0"/>
              <w:adjustRightInd w:val="0"/>
              <w:spacing w:line="440" w:lineRule="exact"/>
              <w:rPr>
                <w:rFonts w:hint="eastAsia" w:ascii="宋体" w:hAnsi="宋体" w:eastAsia="宋体" w:cs="宋体"/>
                <w:color w:val="auto"/>
                <w:sz w:val="24"/>
                <w:highlight w:val="none"/>
              </w:rPr>
            </w:pPr>
          </w:p>
        </w:tc>
        <w:tc>
          <w:tcPr>
            <w:tcW w:w="1515" w:type="dxa"/>
            <w:tcBorders>
              <w:top w:val="single" w:color="auto" w:sz="4" w:space="0"/>
              <w:left w:val="single" w:color="auto" w:sz="4" w:space="0"/>
              <w:bottom w:val="single" w:color="auto" w:sz="4" w:space="0"/>
              <w:right w:val="single" w:color="auto" w:sz="4" w:space="0"/>
            </w:tcBorders>
            <w:noWrap w:val="0"/>
            <w:vAlign w:val="top"/>
          </w:tcPr>
          <w:p w14:paraId="52E58483">
            <w:pPr>
              <w:autoSpaceDE w:val="0"/>
              <w:autoSpaceDN w:val="0"/>
              <w:adjustRightInd w:val="0"/>
              <w:spacing w:line="440" w:lineRule="exact"/>
              <w:rPr>
                <w:rFonts w:hint="eastAsia" w:ascii="宋体" w:hAnsi="宋体" w:eastAsia="宋体" w:cs="宋体"/>
                <w:color w:val="auto"/>
                <w:sz w:val="24"/>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695F4FD6">
            <w:pPr>
              <w:autoSpaceDE w:val="0"/>
              <w:autoSpaceDN w:val="0"/>
              <w:adjustRightInd w:val="0"/>
              <w:spacing w:line="440" w:lineRule="exact"/>
              <w:rPr>
                <w:rFonts w:hint="eastAsia" w:ascii="宋体" w:hAnsi="宋体" w:eastAsia="宋体" w:cs="宋体"/>
                <w:color w:val="auto"/>
                <w:sz w:val="24"/>
                <w:highlight w:val="none"/>
              </w:rPr>
            </w:pPr>
          </w:p>
        </w:tc>
      </w:tr>
      <w:tr w14:paraId="345A09D2">
        <w:tblPrEx>
          <w:tblCellMar>
            <w:top w:w="0" w:type="dxa"/>
            <w:left w:w="108" w:type="dxa"/>
            <w:bottom w:w="0" w:type="dxa"/>
            <w:right w:w="108" w:type="dxa"/>
          </w:tblCellMar>
        </w:tblPrEx>
        <w:trPr>
          <w:trHeight w:val="933" w:hRule="atLeast"/>
        </w:trPr>
        <w:tc>
          <w:tcPr>
            <w:tcW w:w="1800" w:type="dxa"/>
            <w:tcBorders>
              <w:top w:val="single" w:color="auto" w:sz="4" w:space="0"/>
              <w:left w:val="single" w:color="auto" w:sz="4" w:space="0"/>
              <w:bottom w:val="single" w:color="auto" w:sz="4" w:space="0"/>
              <w:right w:val="single" w:color="auto" w:sz="4" w:space="0"/>
            </w:tcBorders>
            <w:noWrap w:val="0"/>
            <w:vAlign w:val="top"/>
          </w:tcPr>
          <w:p w14:paraId="64901811">
            <w:pPr>
              <w:autoSpaceDE w:val="0"/>
              <w:autoSpaceDN w:val="0"/>
              <w:adjustRightInd w:val="0"/>
              <w:spacing w:line="440" w:lineRule="exact"/>
              <w:rPr>
                <w:rFonts w:hint="eastAsia" w:ascii="宋体" w:hAnsi="宋体" w:eastAsia="宋体" w:cs="宋体"/>
                <w:color w:val="auto"/>
                <w:sz w:val="24"/>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top"/>
          </w:tcPr>
          <w:p w14:paraId="3492608C">
            <w:pPr>
              <w:autoSpaceDE w:val="0"/>
              <w:autoSpaceDN w:val="0"/>
              <w:adjustRightInd w:val="0"/>
              <w:spacing w:line="440" w:lineRule="exact"/>
              <w:rPr>
                <w:rFonts w:hint="eastAsia" w:ascii="宋体" w:hAnsi="宋体" w:eastAsia="宋体" w:cs="宋体"/>
                <w:color w:val="auto"/>
                <w:sz w:val="24"/>
                <w:highlight w:val="none"/>
              </w:rPr>
            </w:pPr>
          </w:p>
        </w:tc>
        <w:tc>
          <w:tcPr>
            <w:tcW w:w="1356" w:type="dxa"/>
            <w:tcBorders>
              <w:top w:val="single" w:color="auto" w:sz="4" w:space="0"/>
              <w:left w:val="single" w:color="auto" w:sz="4" w:space="0"/>
              <w:bottom w:val="single" w:color="auto" w:sz="4" w:space="0"/>
              <w:right w:val="single" w:color="auto" w:sz="4" w:space="0"/>
            </w:tcBorders>
            <w:noWrap w:val="0"/>
            <w:vAlign w:val="top"/>
          </w:tcPr>
          <w:p w14:paraId="5F2D6C5B">
            <w:pPr>
              <w:autoSpaceDE w:val="0"/>
              <w:autoSpaceDN w:val="0"/>
              <w:adjustRightInd w:val="0"/>
              <w:spacing w:line="440" w:lineRule="exact"/>
              <w:rPr>
                <w:rFonts w:hint="eastAsia" w:ascii="宋体" w:hAnsi="宋体" w:eastAsia="宋体" w:cs="宋体"/>
                <w:color w:val="auto"/>
                <w:sz w:val="24"/>
                <w:highlight w:val="none"/>
              </w:rPr>
            </w:pPr>
          </w:p>
        </w:tc>
        <w:tc>
          <w:tcPr>
            <w:tcW w:w="1143" w:type="dxa"/>
            <w:tcBorders>
              <w:top w:val="single" w:color="auto" w:sz="4" w:space="0"/>
              <w:left w:val="single" w:color="auto" w:sz="4" w:space="0"/>
              <w:bottom w:val="single" w:color="auto" w:sz="4" w:space="0"/>
              <w:right w:val="single" w:color="auto" w:sz="4" w:space="0"/>
            </w:tcBorders>
            <w:noWrap w:val="0"/>
            <w:vAlign w:val="top"/>
          </w:tcPr>
          <w:p w14:paraId="04C5A8DD">
            <w:pPr>
              <w:autoSpaceDE w:val="0"/>
              <w:autoSpaceDN w:val="0"/>
              <w:adjustRightInd w:val="0"/>
              <w:spacing w:line="440" w:lineRule="exact"/>
              <w:rPr>
                <w:rFonts w:hint="eastAsia" w:ascii="宋体" w:hAnsi="宋体" w:eastAsia="宋体" w:cs="宋体"/>
                <w:color w:val="auto"/>
                <w:sz w:val="24"/>
                <w:highlight w:val="none"/>
              </w:rPr>
            </w:pPr>
          </w:p>
        </w:tc>
        <w:tc>
          <w:tcPr>
            <w:tcW w:w="1155" w:type="dxa"/>
            <w:tcBorders>
              <w:top w:val="single" w:color="auto" w:sz="4" w:space="0"/>
              <w:left w:val="single" w:color="auto" w:sz="4" w:space="0"/>
              <w:bottom w:val="single" w:color="auto" w:sz="4" w:space="0"/>
              <w:right w:val="single" w:color="auto" w:sz="4" w:space="0"/>
            </w:tcBorders>
            <w:noWrap w:val="0"/>
            <w:vAlign w:val="top"/>
          </w:tcPr>
          <w:p w14:paraId="5F802E22">
            <w:pPr>
              <w:autoSpaceDE w:val="0"/>
              <w:autoSpaceDN w:val="0"/>
              <w:adjustRightInd w:val="0"/>
              <w:spacing w:line="440" w:lineRule="exact"/>
              <w:rPr>
                <w:rFonts w:hint="eastAsia" w:ascii="宋体" w:hAnsi="宋体" w:eastAsia="宋体" w:cs="宋体"/>
                <w:color w:val="auto"/>
                <w:sz w:val="24"/>
                <w:highlight w:val="none"/>
              </w:rPr>
            </w:pPr>
          </w:p>
        </w:tc>
        <w:tc>
          <w:tcPr>
            <w:tcW w:w="1515" w:type="dxa"/>
            <w:tcBorders>
              <w:top w:val="single" w:color="auto" w:sz="4" w:space="0"/>
              <w:left w:val="single" w:color="auto" w:sz="4" w:space="0"/>
              <w:bottom w:val="single" w:color="auto" w:sz="4" w:space="0"/>
              <w:right w:val="single" w:color="auto" w:sz="4" w:space="0"/>
            </w:tcBorders>
            <w:noWrap w:val="0"/>
            <w:vAlign w:val="top"/>
          </w:tcPr>
          <w:p w14:paraId="34756E0D">
            <w:pPr>
              <w:autoSpaceDE w:val="0"/>
              <w:autoSpaceDN w:val="0"/>
              <w:adjustRightInd w:val="0"/>
              <w:spacing w:line="440" w:lineRule="exact"/>
              <w:rPr>
                <w:rFonts w:hint="eastAsia" w:ascii="宋体" w:hAnsi="宋体" w:eastAsia="宋体" w:cs="宋体"/>
                <w:color w:val="auto"/>
                <w:sz w:val="24"/>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29185EB7">
            <w:pPr>
              <w:autoSpaceDE w:val="0"/>
              <w:autoSpaceDN w:val="0"/>
              <w:adjustRightInd w:val="0"/>
              <w:spacing w:line="440" w:lineRule="exact"/>
              <w:rPr>
                <w:rFonts w:hint="eastAsia" w:ascii="宋体" w:hAnsi="宋体" w:eastAsia="宋体" w:cs="宋体"/>
                <w:color w:val="auto"/>
                <w:sz w:val="24"/>
                <w:highlight w:val="none"/>
              </w:rPr>
            </w:pPr>
          </w:p>
        </w:tc>
      </w:tr>
      <w:tr w14:paraId="1076BF95">
        <w:tblPrEx>
          <w:tblCellMar>
            <w:top w:w="0" w:type="dxa"/>
            <w:left w:w="108" w:type="dxa"/>
            <w:bottom w:w="0" w:type="dxa"/>
            <w:right w:w="108" w:type="dxa"/>
          </w:tblCellMar>
        </w:tblPrEx>
        <w:trPr>
          <w:trHeight w:val="933" w:hRule="atLeast"/>
        </w:trPr>
        <w:tc>
          <w:tcPr>
            <w:tcW w:w="1800" w:type="dxa"/>
            <w:tcBorders>
              <w:top w:val="single" w:color="auto" w:sz="4" w:space="0"/>
              <w:left w:val="single" w:color="auto" w:sz="4" w:space="0"/>
              <w:bottom w:val="single" w:color="auto" w:sz="4" w:space="0"/>
              <w:right w:val="single" w:color="auto" w:sz="4" w:space="0"/>
            </w:tcBorders>
            <w:noWrap w:val="0"/>
            <w:vAlign w:val="top"/>
          </w:tcPr>
          <w:p w14:paraId="1CC2FDC7">
            <w:pPr>
              <w:autoSpaceDE w:val="0"/>
              <w:autoSpaceDN w:val="0"/>
              <w:adjustRightInd w:val="0"/>
              <w:spacing w:line="440" w:lineRule="exact"/>
              <w:rPr>
                <w:rFonts w:hint="eastAsia" w:ascii="宋体" w:hAnsi="宋体" w:eastAsia="宋体" w:cs="宋体"/>
                <w:color w:val="auto"/>
                <w:sz w:val="24"/>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top"/>
          </w:tcPr>
          <w:p w14:paraId="51DFEADB">
            <w:pPr>
              <w:autoSpaceDE w:val="0"/>
              <w:autoSpaceDN w:val="0"/>
              <w:adjustRightInd w:val="0"/>
              <w:spacing w:line="440" w:lineRule="exact"/>
              <w:rPr>
                <w:rFonts w:hint="eastAsia" w:ascii="宋体" w:hAnsi="宋体" w:eastAsia="宋体" w:cs="宋体"/>
                <w:color w:val="auto"/>
                <w:sz w:val="24"/>
                <w:highlight w:val="none"/>
              </w:rPr>
            </w:pPr>
          </w:p>
        </w:tc>
        <w:tc>
          <w:tcPr>
            <w:tcW w:w="1356" w:type="dxa"/>
            <w:tcBorders>
              <w:top w:val="single" w:color="auto" w:sz="4" w:space="0"/>
              <w:left w:val="single" w:color="auto" w:sz="4" w:space="0"/>
              <w:bottom w:val="single" w:color="auto" w:sz="4" w:space="0"/>
              <w:right w:val="single" w:color="auto" w:sz="4" w:space="0"/>
            </w:tcBorders>
            <w:noWrap w:val="0"/>
            <w:vAlign w:val="top"/>
          </w:tcPr>
          <w:p w14:paraId="639E9046">
            <w:pPr>
              <w:autoSpaceDE w:val="0"/>
              <w:autoSpaceDN w:val="0"/>
              <w:adjustRightInd w:val="0"/>
              <w:spacing w:line="440" w:lineRule="exact"/>
              <w:rPr>
                <w:rFonts w:hint="eastAsia" w:ascii="宋体" w:hAnsi="宋体" w:eastAsia="宋体" w:cs="宋体"/>
                <w:color w:val="auto"/>
                <w:sz w:val="24"/>
                <w:highlight w:val="none"/>
              </w:rPr>
            </w:pPr>
          </w:p>
        </w:tc>
        <w:tc>
          <w:tcPr>
            <w:tcW w:w="1143" w:type="dxa"/>
            <w:tcBorders>
              <w:top w:val="single" w:color="auto" w:sz="4" w:space="0"/>
              <w:left w:val="single" w:color="auto" w:sz="4" w:space="0"/>
              <w:bottom w:val="single" w:color="auto" w:sz="4" w:space="0"/>
              <w:right w:val="single" w:color="auto" w:sz="4" w:space="0"/>
            </w:tcBorders>
            <w:noWrap w:val="0"/>
            <w:vAlign w:val="top"/>
          </w:tcPr>
          <w:p w14:paraId="4E2F1F83">
            <w:pPr>
              <w:autoSpaceDE w:val="0"/>
              <w:autoSpaceDN w:val="0"/>
              <w:adjustRightInd w:val="0"/>
              <w:spacing w:line="440" w:lineRule="exact"/>
              <w:rPr>
                <w:rFonts w:hint="eastAsia" w:ascii="宋体" w:hAnsi="宋体" w:eastAsia="宋体" w:cs="宋体"/>
                <w:color w:val="auto"/>
                <w:sz w:val="24"/>
                <w:highlight w:val="none"/>
              </w:rPr>
            </w:pPr>
          </w:p>
        </w:tc>
        <w:tc>
          <w:tcPr>
            <w:tcW w:w="1155" w:type="dxa"/>
            <w:tcBorders>
              <w:top w:val="single" w:color="auto" w:sz="4" w:space="0"/>
              <w:left w:val="single" w:color="auto" w:sz="4" w:space="0"/>
              <w:bottom w:val="single" w:color="auto" w:sz="4" w:space="0"/>
              <w:right w:val="single" w:color="auto" w:sz="4" w:space="0"/>
            </w:tcBorders>
            <w:noWrap w:val="0"/>
            <w:vAlign w:val="top"/>
          </w:tcPr>
          <w:p w14:paraId="0FEF5CED">
            <w:pPr>
              <w:autoSpaceDE w:val="0"/>
              <w:autoSpaceDN w:val="0"/>
              <w:adjustRightInd w:val="0"/>
              <w:spacing w:line="440" w:lineRule="exact"/>
              <w:rPr>
                <w:rFonts w:hint="eastAsia" w:ascii="宋体" w:hAnsi="宋体" w:eastAsia="宋体" w:cs="宋体"/>
                <w:color w:val="auto"/>
                <w:sz w:val="24"/>
                <w:highlight w:val="none"/>
              </w:rPr>
            </w:pPr>
          </w:p>
        </w:tc>
        <w:tc>
          <w:tcPr>
            <w:tcW w:w="1515" w:type="dxa"/>
            <w:tcBorders>
              <w:top w:val="single" w:color="auto" w:sz="4" w:space="0"/>
              <w:left w:val="single" w:color="auto" w:sz="4" w:space="0"/>
              <w:bottom w:val="single" w:color="auto" w:sz="4" w:space="0"/>
              <w:right w:val="single" w:color="auto" w:sz="4" w:space="0"/>
            </w:tcBorders>
            <w:noWrap w:val="0"/>
            <w:vAlign w:val="top"/>
          </w:tcPr>
          <w:p w14:paraId="7A1C9178">
            <w:pPr>
              <w:autoSpaceDE w:val="0"/>
              <w:autoSpaceDN w:val="0"/>
              <w:adjustRightInd w:val="0"/>
              <w:spacing w:line="440" w:lineRule="exact"/>
              <w:rPr>
                <w:rFonts w:hint="eastAsia" w:ascii="宋体" w:hAnsi="宋体" w:eastAsia="宋体" w:cs="宋体"/>
                <w:color w:val="auto"/>
                <w:sz w:val="24"/>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5EE14A36">
            <w:pPr>
              <w:autoSpaceDE w:val="0"/>
              <w:autoSpaceDN w:val="0"/>
              <w:adjustRightInd w:val="0"/>
              <w:spacing w:line="440" w:lineRule="exact"/>
              <w:rPr>
                <w:rFonts w:hint="eastAsia" w:ascii="宋体" w:hAnsi="宋体" w:eastAsia="宋体" w:cs="宋体"/>
                <w:color w:val="auto"/>
                <w:sz w:val="24"/>
                <w:highlight w:val="none"/>
              </w:rPr>
            </w:pPr>
          </w:p>
        </w:tc>
      </w:tr>
      <w:tr w14:paraId="5E335FFF">
        <w:tblPrEx>
          <w:tblCellMar>
            <w:top w:w="0" w:type="dxa"/>
            <w:left w:w="108" w:type="dxa"/>
            <w:bottom w:w="0" w:type="dxa"/>
            <w:right w:w="108" w:type="dxa"/>
          </w:tblCellMar>
        </w:tblPrEx>
        <w:trPr>
          <w:trHeight w:val="927" w:hRule="atLeast"/>
        </w:trPr>
        <w:tc>
          <w:tcPr>
            <w:tcW w:w="1800" w:type="dxa"/>
            <w:tcBorders>
              <w:top w:val="single" w:color="auto" w:sz="4" w:space="0"/>
              <w:left w:val="single" w:color="auto" w:sz="4" w:space="0"/>
              <w:bottom w:val="single" w:color="auto" w:sz="4" w:space="0"/>
              <w:right w:val="single" w:color="auto" w:sz="4" w:space="0"/>
            </w:tcBorders>
            <w:noWrap w:val="0"/>
            <w:vAlign w:val="top"/>
          </w:tcPr>
          <w:p w14:paraId="7686A42B">
            <w:pPr>
              <w:autoSpaceDE w:val="0"/>
              <w:autoSpaceDN w:val="0"/>
              <w:adjustRightInd w:val="0"/>
              <w:spacing w:line="440" w:lineRule="exact"/>
              <w:rPr>
                <w:rFonts w:hint="eastAsia" w:ascii="宋体" w:hAnsi="宋体" w:eastAsia="宋体" w:cs="宋体"/>
                <w:color w:val="auto"/>
                <w:sz w:val="24"/>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top"/>
          </w:tcPr>
          <w:p w14:paraId="5E5D4146">
            <w:pPr>
              <w:autoSpaceDE w:val="0"/>
              <w:autoSpaceDN w:val="0"/>
              <w:adjustRightInd w:val="0"/>
              <w:spacing w:line="440" w:lineRule="exact"/>
              <w:rPr>
                <w:rFonts w:hint="eastAsia" w:ascii="宋体" w:hAnsi="宋体" w:eastAsia="宋体" w:cs="宋体"/>
                <w:color w:val="auto"/>
                <w:sz w:val="24"/>
                <w:highlight w:val="none"/>
              </w:rPr>
            </w:pPr>
          </w:p>
        </w:tc>
        <w:tc>
          <w:tcPr>
            <w:tcW w:w="1356" w:type="dxa"/>
            <w:tcBorders>
              <w:top w:val="single" w:color="auto" w:sz="4" w:space="0"/>
              <w:left w:val="single" w:color="auto" w:sz="4" w:space="0"/>
              <w:bottom w:val="single" w:color="auto" w:sz="4" w:space="0"/>
              <w:right w:val="single" w:color="auto" w:sz="4" w:space="0"/>
            </w:tcBorders>
            <w:noWrap w:val="0"/>
            <w:vAlign w:val="top"/>
          </w:tcPr>
          <w:p w14:paraId="458FCB4E">
            <w:pPr>
              <w:autoSpaceDE w:val="0"/>
              <w:autoSpaceDN w:val="0"/>
              <w:adjustRightInd w:val="0"/>
              <w:spacing w:line="440" w:lineRule="exact"/>
              <w:rPr>
                <w:rFonts w:hint="eastAsia" w:ascii="宋体" w:hAnsi="宋体" w:eastAsia="宋体" w:cs="宋体"/>
                <w:color w:val="auto"/>
                <w:sz w:val="24"/>
                <w:highlight w:val="none"/>
              </w:rPr>
            </w:pPr>
          </w:p>
        </w:tc>
        <w:tc>
          <w:tcPr>
            <w:tcW w:w="1143" w:type="dxa"/>
            <w:tcBorders>
              <w:top w:val="single" w:color="auto" w:sz="4" w:space="0"/>
              <w:left w:val="single" w:color="auto" w:sz="4" w:space="0"/>
              <w:bottom w:val="single" w:color="auto" w:sz="4" w:space="0"/>
              <w:right w:val="single" w:color="auto" w:sz="4" w:space="0"/>
            </w:tcBorders>
            <w:noWrap w:val="0"/>
            <w:vAlign w:val="top"/>
          </w:tcPr>
          <w:p w14:paraId="39E25C78">
            <w:pPr>
              <w:autoSpaceDE w:val="0"/>
              <w:autoSpaceDN w:val="0"/>
              <w:adjustRightInd w:val="0"/>
              <w:spacing w:line="440" w:lineRule="exact"/>
              <w:rPr>
                <w:rFonts w:hint="eastAsia" w:ascii="宋体" w:hAnsi="宋体" w:eastAsia="宋体" w:cs="宋体"/>
                <w:color w:val="auto"/>
                <w:sz w:val="24"/>
                <w:highlight w:val="none"/>
              </w:rPr>
            </w:pPr>
          </w:p>
        </w:tc>
        <w:tc>
          <w:tcPr>
            <w:tcW w:w="1155" w:type="dxa"/>
            <w:tcBorders>
              <w:top w:val="single" w:color="auto" w:sz="4" w:space="0"/>
              <w:left w:val="single" w:color="auto" w:sz="4" w:space="0"/>
              <w:bottom w:val="single" w:color="auto" w:sz="4" w:space="0"/>
              <w:right w:val="single" w:color="auto" w:sz="4" w:space="0"/>
            </w:tcBorders>
            <w:noWrap w:val="0"/>
            <w:vAlign w:val="top"/>
          </w:tcPr>
          <w:p w14:paraId="6162D0AE">
            <w:pPr>
              <w:autoSpaceDE w:val="0"/>
              <w:autoSpaceDN w:val="0"/>
              <w:adjustRightInd w:val="0"/>
              <w:spacing w:line="440" w:lineRule="exact"/>
              <w:rPr>
                <w:rFonts w:hint="eastAsia" w:ascii="宋体" w:hAnsi="宋体" w:eastAsia="宋体" w:cs="宋体"/>
                <w:color w:val="auto"/>
                <w:sz w:val="24"/>
                <w:highlight w:val="none"/>
              </w:rPr>
            </w:pPr>
          </w:p>
        </w:tc>
        <w:tc>
          <w:tcPr>
            <w:tcW w:w="1515" w:type="dxa"/>
            <w:tcBorders>
              <w:top w:val="single" w:color="auto" w:sz="4" w:space="0"/>
              <w:left w:val="single" w:color="auto" w:sz="4" w:space="0"/>
              <w:bottom w:val="single" w:color="auto" w:sz="4" w:space="0"/>
              <w:right w:val="single" w:color="auto" w:sz="4" w:space="0"/>
            </w:tcBorders>
            <w:noWrap w:val="0"/>
            <w:vAlign w:val="top"/>
          </w:tcPr>
          <w:p w14:paraId="3C1560BF">
            <w:pPr>
              <w:autoSpaceDE w:val="0"/>
              <w:autoSpaceDN w:val="0"/>
              <w:adjustRightInd w:val="0"/>
              <w:spacing w:line="440" w:lineRule="exact"/>
              <w:rPr>
                <w:rFonts w:hint="eastAsia" w:ascii="宋体" w:hAnsi="宋体" w:eastAsia="宋体" w:cs="宋体"/>
                <w:color w:val="auto"/>
                <w:sz w:val="24"/>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4E9BA56A">
            <w:pPr>
              <w:autoSpaceDE w:val="0"/>
              <w:autoSpaceDN w:val="0"/>
              <w:adjustRightInd w:val="0"/>
              <w:spacing w:line="440" w:lineRule="exact"/>
              <w:rPr>
                <w:rFonts w:hint="eastAsia" w:ascii="宋体" w:hAnsi="宋体" w:eastAsia="宋体" w:cs="宋体"/>
                <w:color w:val="auto"/>
                <w:sz w:val="24"/>
                <w:highlight w:val="none"/>
              </w:rPr>
            </w:pPr>
          </w:p>
        </w:tc>
      </w:tr>
    </w:tbl>
    <w:p w14:paraId="74B307F5">
      <w:pPr>
        <w:autoSpaceDE w:val="0"/>
        <w:autoSpaceDN w:val="0"/>
        <w:adjustRightInd w:val="0"/>
        <w:spacing w:line="440" w:lineRule="exact"/>
        <w:rPr>
          <w:rFonts w:hint="eastAsia" w:ascii="宋体" w:hAnsi="宋体" w:eastAsia="宋体" w:cs="宋体"/>
          <w:color w:val="auto"/>
          <w:sz w:val="24"/>
          <w:highlight w:val="none"/>
        </w:rPr>
      </w:pPr>
      <w:r>
        <w:rPr>
          <w:rFonts w:hint="eastAsia" w:ascii="宋体" w:hAnsi="宋体" w:eastAsia="宋体" w:cs="宋体"/>
          <w:b/>
          <w:color w:val="auto"/>
          <w:sz w:val="24"/>
          <w:highlight w:val="none"/>
        </w:rPr>
        <w:t>注：投标人可按上述的格式自行编制，须随表提交相应的</w:t>
      </w:r>
      <w:r>
        <w:rPr>
          <w:rFonts w:hint="eastAsia" w:ascii="宋体" w:hAnsi="宋体" w:eastAsia="宋体" w:cs="宋体"/>
          <w:b/>
          <w:color w:val="auto"/>
          <w:sz w:val="24"/>
          <w:highlight w:val="none"/>
          <w:lang w:eastAsia="zh-CN"/>
        </w:rPr>
        <w:t>证明文件</w:t>
      </w:r>
      <w:r>
        <w:rPr>
          <w:rFonts w:hint="eastAsia" w:ascii="宋体" w:hAnsi="宋体" w:eastAsia="宋体" w:cs="宋体"/>
          <w:b/>
          <w:color w:val="auto"/>
          <w:sz w:val="24"/>
          <w:highlight w:val="none"/>
        </w:rPr>
        <w:t>。</w:t>
      </w:r>
    </w:p>
    <w:p w14:paraId="4DA70EEC">
      <w:pPr>
        <w:autoSpaceDE w:val="0"/>
        <w:autoSpaceDN w:val="0"/>
        <w:adjustRightInd w:val="0"/>
        <w:spacing w:line="440" w:lineRule="exact"/>
        <w:rPr>
          <w:rFonts w:hint="eastAsia" w:ascii="宋体" w:hAnsi="宋体" w:eastAsia="宋体" w:cs="宋体"/>
          <w:color w:val="auto"/>
          <w:sz w:val="24"/>
          <w:highlight w:val="none"/>
        </w:rPr>
      </w:pPr>
    </w:p>
    <w:p w14:paraId="1621F055">
      <w:pPr>
        <w:autoSpaceDE w:val="0"/>
        <w:autoSpaceDN w:val="0"/>
        <w:adjustRightInd w:val="0"/>
        <w:spacing w:line="420" w:lineRule="exact"/>
        <w:ind w:firstLine="5280" w:firstLineChars="2200"/>
        <w:rPr>
          <w:rFonts w:hint="eastAsia" w:ascii="宋体" w:hAnsi="宋体" w:eastAsia="宋体" w:cs="宋体"/>
          <w:color w:val="auto"/>
          <w:kern w:val="0"/>
          <w:sz w:val="24"/>
          <w:highlight w:val="none"/>
        </w:rPr>
      </w:pPr>
    </w:p>
    <w:p w14:paraId="6851F4C5">
      <w:pPr>
        <w:autoSpaceDE w:val="0"/>
        <w:autoSpaceDN w:val="0"/>
        <w:adjustRightInd w:val="0"/>
        <w:spacing w:line="420" w:lineRule="exact"/>
        <w:ind w:firstLine="5280" w:firstLineChars="2200"/>
        <w:rPr>
          <w:rFonts w:hint="eastAsia" w:ascii="宋体" w:hAnsi="宋体" w:eastAsia="宋体" w:cs="宋体"/>
          <w:color w:val="auto"/>
          <w:kern w:val="0"/>
          <w:sz w:val="24"/>
          <w:highlight w:val="none"/>
        </w:rPr>
      </w:pPr>
    </w:p>
    <w:p w14:paraId="20A07EC4">
      <w:pPr>
        <w:autoSpaceDE w:val="0"/>
        <w:autoSpaceDN w:val="0"/>
        <w:adjustRightInd w:val="0"/>
        <w:spacing w:line="420" w:lineRule="exact"/>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投标人</w:t>
      </w:r>
      <w:r>
        <w:rPr>
          <w:rFonts w:hint="eastAsia" w:ascii="宋体" w:hAnsi="宋体" w:eastAsia="宋体" w:cs="宋体"/>
          <w:color w:val="auto"/>
          <w:kern w:val="0"/>
          <w:sz w:val="24"/>
          <w:highlight w:val="none"/>
        </w:rPr>
        <w:t xml:space="preserve">名称（公章）：                       </w:t>
      </w:r>
    </w:p>
    <w:p w14:paraId="6B2732B0">
      <w:pPr>
        <w:autoSpaceDE w:val="0"/>
        <w:autoSpaceDN w:val="0"/>
        <w:adjustRightInd w:val="0"/>
        <w:spacing w:line="4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法定代表人或授权委托人（签字）：                   </w:t>
      </w:r>
    </w:p>
    <w:p w14:paraId="0A92286D">
      <w:pPr>
        <w:spacing w:line="480" w:lineRule="exact"/>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6C62176">
      <w:pPr>
        <w:spacing w:line="480" w:lineRule="exact"/>
        <w:rPr>
          <w:rFonts w:hint="eastAsia" w:ascii="宋体" w:hAnsi="宋体" w:eastAsia="宋体" w:cs="宋体"/>
          <w:b/>
          <w:bCs/>
          <w:color w:val="auto"/>
          <w:sz w:val="24"/>
          <w:highlight w:val="none"/>
        </w:rPr>
      </w:pPr>
    </w:p>
    <w:p w14:paraId="3B1FE52C">
      <w:pPr>
        <w:spacing w:line="480" w:lineRule="exact"/>
        <w:rPr>
          <w:rFonts w:hint="eastAsia" w:ascii="宋体" w:hAnsi="宋体" w:eastAsia="宋体" w:cs="宋体"/>
          <w:b/>
          <w:bCs/>
          <w:color w:val="auto"/>
          <w:sz w:val="24"/>
          <w:highlight w:val="none"/>
        </w:rPr>
      </w:pPr>
    </w:p>
    <w:p w14:paraId="0810A2D4">
      <w:pPr>
        <w:spacing w:line="480" w:lineRule="exact"/>
        <w:rPr>
          <w:rFonts w:hint="eastAsia" w:ascii="宋体" w:hAnsi="宋体" w:eastAsia="宋体" w:cs="宋体"/>
          <w:b/>
          <w:bCs/>
          <w:color w:val="auto"/>
          <w:sz w:val="24"/>
          <w:highlight w:val="none"/>
        </w:rPr>
      </w:pPr>
    </w:p>
    <w:p w14:paraId="4F960F99">
      <w:pPr>
        <w:spacing w:line="480" w:lineRule="exact"/>
        <w:rPr>
          <w:rFonts w:hint="eastAsia" w:ascii="宋体" w:hAnsi="宋体" w:eastAsia="宋体" w:cs="宋体"/>
          <w:b/>
          <w:bCs/>
          <w:color w:val="auto"/>
          <w:sz w:val="24"/>
          <w:highlight w:val="none"/>
        </w:rPr>
      </w:pPr>
    </w:p>
    <w:p w14:paraId="11541ACE">
      <w:pPr>
        <w:spacing w:line="480" w:lineRule="exact"/>
        <w:jc w:val="center"/>
        <w:rPr>
          <w:rFonts w:hint="eastAsia" w:ascii="宋体" w:hAnsi="宋体" w:eastAsia="宋体" w:cs="宋体"/>
          <w:b/>
          <w:bCs/>
          <w:color w:val="auto"/>
          <w:sz w:val="24"/>
          <w:highlight w:val="none"/>
        </w:rPr>
      </w:pPr>
    </w:p>
    <w:p w14:paraId="492073FE">
      <w:pPr>
        <w:pStyle w:val="18"/>
        <w:rPr>
          <w:rFonts w:hint="eastAsia" w:ascii="宋体" w:hAnsi="宋体" w:eastAsia="宋体" w:cs="宋体"/>
          <w:b/>
          <w:bCs/>
          <w:color w:val="auto"/>
          <w:sz w:val="24"/>
          <w:highlight w:val="none"/>
        </w:rPr>
      </w:pPr>
    </w:p>
    <w:p w14:paraId="3249E64D">
      <w:pPr>
        <w:rPr>
          <w:rFonts w:hint="eastAsia" w:ascii="宋体" w:hAnsi="宋体" w:eastAsia="宋体" w:cs="宋体"/>
          <w:b/>
          <w:bCs/>
          <w:color w:val="auto"/>
          <w:sz w:val="24"/>
          <w:highlight w:val="none"/>
        </w:rPr>
      </w:pPr>
    </w:p>
    <w:p w14:paraId="379F9595">
      <w:pPr>
        <w:pStyle w:val="18"/>
        <w:rPr>
          <w:rFonts w:hint="eastAsia" w:ascii="宋体" w:hAnsi="宋体" w:eastAsia="宋体" w:cs="宋体"/>
          <w:b/>
          <w:bCs/>
          <w:color w:val="auto"/>
          <w:sz w:val="24"/>
          <w:highlight w:val="none"/>
        </w:rPr>
      </w:pPr>
    </w:p>
    <w:p w14:paraId="5EB4BC69">
      <w:pPr>
        <w:rPr>
          <w:rFonts w:hint="eastAsia" w:ascii="宋体" w:hAnsi="宋体" w:eastAsia="宋体" w:cs="宋体"/>
          <w:b/>
          <w:bCs/>
          <w:color w:val="auto"/>
          <w:sz w:val="24"/>
          <w:highlight w:val="none"/>
        </w:rPr>
      </w:pPr>
    </w:p>
    <w:p w14:paraId="3A4FBCE0">
      <w:pPr>
        <w:spacing w:line="480" w:lineRule="exact"/>
        <w:jc w:val="center"/>
        <w:rPr>
          <w:rFonts w:hint="eastAsia" w:ascii="宋体" w:hAnsi="宋体" w:eastAsia="宋体" w:cs="宋体"/>
          <w:b/>
          <w:bCs/>
          <w:color w:val="auto"/>
          <w:sz w:val="32"/>
          <w:szCs w:val="32"/>
          <w:highlight w:val="none"/>
        </w:rPr>
      </w:pPr>
      <w:r>
        <w:rPr>
          <w:rFonts w:hint="eastAsia" w:ascii="宋体" w:hAnsi="宋体" w:eastAsia="宋体" w:cs="宋体"/>
          <w:b/>
          <w:color w:val="auto"/>
          <w:sz w:val="32"/>
          <w:szCs w:val="32"/>
          <w:highlight w:val="none"/>
        </w:rPr>
        <w:t>商务偏离说明表</w:t>
      </w:r>
    </w:p>
    <w:p w14:paraId="1792FE1D">
      <w:pPr>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316"/>
        <w:gridCol w:w="2316"/>
        <w:gridCol w:w="2220"/>
      </w:tblGrid>
      <w:tr w14:paraId="7658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2076" w:type="dxa"/>
            <w:noWrap w:val="0"/>
            <w:vAlign w:val="center"/>
          </w:tcPr>
          <w:p w14:paraId="6FDE9EF0">
            <w:pPr>
              <w:spacing w:line="48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采购文件条目号</w:t>
            </w:r>
          </w:p>
        </w:tc>
        <w:tc>
          <w:tcPr>
            <w:tcW w:w="2316" w:type="dxa"/>
            <w:noWrap w:val="0"/>
            <w:vAlign w:val="center"/>
          </w:tcPr>
          <w:p w14:paraId="3971C237">
            <w:pPr>
              <w:spacing w:line="48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采购文件商务条款</w:t>
            </w:r>
          </w:p>
        </w:tc>
        <w:tc>
          <w:tcPr>
            <w:tcW w:w="2316" w:type="dxa"/>
            <w:noWrap w:val="0"/>
            <w:vAlign w:val="center"/>
          </w:tcPr>
          <w:p w14:paraId="2C24AAB4">
            <w:pPr>
              <w:spacing w:line="48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应标文件商务条款</w:t>
            </w:r>
          </w:p>
        </w:tc>
        <w:tc>
          <w:tcPr>
            <w:tcW w:w="2220" w:type="dxa"/>
            <w:noWrap w:val="0"/>
            <w:vAlign w:val="center"/>
          </w:tcPr>
          <w:p w14:paraId="65CDDB30">
            <w:pPr>
              <w:spacing w:line="48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说明</w:t>
            </w:r>
          </w:p>
        </w:tc>
      </w:tr>
      <w:tr w14:paraId="37FE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076" w:type="dxa"/>
            <w:noWrap w:val="0"/>
            <w:vAlign w:val="top"/>
          </w:tcPr>
          <w:p w14:paraId="448BD547">
            <w:pPr>
              <w:spacing w:line="480" w:lineRule="exact"/>
              <w:jc w:val="center"/>
              <w:rPr>
                <w:rFonts w:hint="eastAsia" w:ascii="宋体" w:hAnsi="宋体" w:eastAsia="宋体" w:cs="宋体"/>
                <w:color w:val="auto"/>
                <w:sz w:val="24"/>
                <w:highlight w:val="none"/>
              </w:rPr>
            </w:pPr>
          </w:p>
        </w:tc>
        <w:tc>
          <w:tcPr>
            <w:tcW w:w="2316" w:type="dxa"/>
            <w:noWrap w:val="0"/>
            <w:vAlign w:val="top"/>
          </w:tcPr>
          <w:p w14:paraId="282A19CC">
            <w:pPr>
              <w:spacing w:line="480" w:lineRule="exact"/>
              <w:jc w:val="center"/>
              <w:rPr>
                <w:rFonts w:hint="eastAsia" w:ascii="宋体" w:hAnsi="宋体" w:eastAsia="宋体" w:cs="宋体"/>
                <w:color w:val="auto"/>
                <w:sz w:val="24"/>
                <w:highlight w:val="none"/>
              </w:rPr>
            </w:pPr>
          </w:p>
        </w:tc>
        <w:tc>
          <w:tcPr>
            <w:tcW w:w="2316" w:type="dxa"/>
            <w:noWrap w:val="0"/>
            <w:vAlign w:val="top"/>
          </w:tcPr>
          <w:p w14:paraId="1FDA94B0">
            <w:pPr>
              <w:spacing w:line="480" w:lineRule="exact"/>
              <w:jc w:val="center"/>
              <w:rPr>
                <w:rFonts w:hint="eastAsia" w:ascii="宋体" w:hAnsi="宋体" w:eastAsia="宋体" w:cs="宋体"/>
                <w:color w:val="auto"/>
                <w:sz w:val="24"/>
                <w:highlight w:val="none"/>
              </w:rPr>
            </w:pPr>
          </w:p>
        </w:tc>
        <w:tc>
          <w:tcPr>
            <w:tcW w:w="2220" w:type="dxa"/>
            <w:noWrap w:val="0"/>
            <w:vAlign w:val="top"/>
          </w:tcPr>
          <w:p w14:paraId="0D7EA7B4">
            <w:pPr>
              <w:spacing w:line="480" w:lineRule="exact"/>
              <w:jc w:val="center"/>
              <w:rPr>
                <w:rFonts w:hint="eastAsia" w:ascii="宋体" w:hAnsi="宋体" w:eastAsia="宋体" w:cs="宋体"/>
                <w:color w:val="auto"/>
                <w:sz w:val="24"/>
                <w:highlight w:val="none"/>
              </w:rPr>
            </w:pPr>
          </w:p>
        </w:tc>
      </w:tr>
      <w:tr w14:paraId="7A1F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076" w:type="dxa"/>
            <w:noWrap w:val="0"/>
            <w:vAlign w:val="top"/>
          </w:tcPr>
          <w:p w14:paraId="5762743F">
            <w:pPr>
              <w:spacing w:line="480" w:lineRule="exact"/>
              <w:jc w:val="center"/>
              <w:rPr>
                <w:rFonts w:hint="eastAsia" w:ascii="宋体" w:hAnsi="宋体" w:eastAsia="宋体" w:cs="宋体"/>
                <w:color w:val="auto"/>
                <w:sz w:val="24"/>
                <w:highlight w:val="none"/>
              </w:rPr>
            </w:pPr>
          </w:p>
        </w:tc>
        <w:tc>
          <w:tcPr>
            <w:tcW w:w="2316" w:type="dxa"/>
            <w:noWrap w:val="0"/>
            <w:vAlign w:val="top"/>
          </w:tcPr>
          <w:p w14:paraId="3C4A16A3">
            <w:pPr>
              <w:spacing w:line="480" w:lineRule="exact"/>
              <w:jc w:val="center"/>
              <w:rPr>
                <w:rFonts w:hint="eastAsia" w:ascii="宋体" w:hAnsi="宋体" w:eastAsia="宋体" w:cs="宋体"/>
                <w:color w:val="auto"/>
                <w:sz w:val="24"/>
                <w:highlight w:val="none"/>
              </w:rPr>
            </w:pPr>
          </w:p>
        </w:tc>
        <w:tc>
          <w:tcPr>
            <w:tcW w:w="2316" w:type="dxa"/>
            <w:noWrap w:val="0"/>
            <w:vAlign w:val="top"/>
          </w:tcPr>
          <w:p w14:paraId="0F57842B">
            <w:pPr>
              <w:spacing w:line="480" w:lineRule="exact"/>
              <w:jc w:val="center"/>
              <w:rPr>
                <w:rFonts w:hint="eastAsia" w:ascii="宋体" w:hAnsi="宋体" w:eastAsia="宋体" w:cs="宋体"/>
                <w:color w:val="auto"/>
                <w:sz w:val="24"/>
                <w:highlight w:val="none"/>
              </w:rPr>
            </w:pPr>
          </w:p>
        </w:tc>
        <w:tc>
          <w:tcPr>
            <w:tcW w:w="2220" w:type="dxa"/>
            <w:noWrap w:val="0"/>
            <w:vAlign w:val="top"/>
          </w:tcPr>
          <w:p w14:paraId="06F981D1">
            <w:pPr>
              <w:spacing w:line="480" w:lineRule="exact"/>
              <w:jc w:val="center"/>
              <w:rPr>
                <w:rFonts w:hint="eastAsia" w:ascii="宋体" w:hAnsi="宋体" w:eastAsia="宋体" w:cs="宋体"/>
                <w:color w:val="auto"/>
                <w:sz w:val="24"/>
                <w:highlight w:val="none"/>
              </w:rPr>
            </w:pPr>
          </w:p>
        </w:tc>
      </w:tr>
      <w:tr w14:paraId="0034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076" w:type="dxa"/>
            <w:noWrap w:val="0"/>
            <w:vAlign w:val="top"/>
          </w:tcPr>
          <w:p w14:paraId="39F9583C">
            <w:pPr>
              <w:spacing w:line="360" w:lineRule="auto"/>
              <w:rPr>
                <w:rFonts w:hint="eastAsia" w:ascii="宋体" w:hAnsi="宋体" w:eastAsia="宋体" w:cs="宋体"/>
                <w:color w:val="auto"/>
                <w:sz w:val="24"/>
                <w:highlight w:val="none"/>
              </w:rPr>
            </w:pPr>
          </w:p>
        </w:tc>
        <w:tc>
          <w:tcPr>
            <w:tcW w:w="2316" w:type="dxa"/>
            <w:noWrap w:val="0"/>
            <w:vAlign w:val="top"/>
          </w:tcPr>
          <w:p w14:paraId="5F19FB2C">
            <w:pPr>
              <w:spacing w:line="360" w:lineRule="auto"/>
              <w:rPr>
                <w:rFonts w:hint="eastAsia" w:ascii="宋体" w:hAnsi="宋体" w:eastAsia="宋体" w:cs="宋体"/>
                <w:color w:val="auto"/>
                <w:sz w:val="24"/>
                <w:highlight w:val="none"/>
              </w:rPr>
            </w:pPr>
          </w:p>
        </w:tc>
        <w:tc>
          <w:tcPr>
            <w:tcW w:w="2316" w:type="dxa"/>
            <w:noWrap w:val="0"/>
            <w:vAlign w:val="top"/>
          </w:tcPr>
          <w:p w14:paraId="09F2AB3E">
            <w:pPr>
              <w:spacing w:line="360" w:lineRule="auto"/>
              <w:rPr>
                <w:rFonts w:hint="eastAsia" w:ascii="宋体" w:hAnsi="宋体" w:eastAsia="宋体" w:cs="宋体"/>
                <w:color w:val="auto"/>
                <w:sz w:val="24"/>
                <w:highlight w:val="none"/>
              </w:rPr>
            </w:pPr>
          </w:p>
        </w:tc>
        <w:tc>
          <w:tcPr>
            <w:tcW w:w="2220" w:type="dxa"/>
            <w:noWrap w:val="0"/>
            <w:vAlign w:val="top"/>
          </w:tcPr>
          <w:p w14:paraId="346ED117">
            <w:pPr>
              <w:spacing w:line="360" w:lineRule="auto"/>
              <w:rPr>
                <w:rFonts w:hint="eastAsia" w:ascii="宋体" w:hAnsi="宋体" w:eastAsia="宋体" w:cs="宋体"/>
                <w:color w:val="auto"/>
                <w:sz w:val="24"/>
                <w:highlight w:val="none"/>
              </w:rPr>
            </w:pPr>
          </w:p>
        </w:tc>
      </w:tr>
      <w:tr w14:paraId="36B8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076" w:type="dxa"/>
            <w:noWrap w:val="0"/>
            <w:vAlign w:val="top"/>
          </w:tcPr>
          <w:p w14:paraId="652253F6">
            <w:pPr>
              <w:spacing w:line="360" w:lineRule="auto"/>
              <w:rPr>
                <w:rFonts w:hint="eastAsia" w:ascii="宋体" w:hAnsi="宋体" w:eastAsia="宋体" w:cs="宋体"/>
                <w:color w:val="auto"/>
                <w:sz w:val="24"/>
                <w:highlight w:val="none"/>
              </w:rPr>
            </w:pPr>
          </w:p>
        </w:tc>
        <w:tc>
          <w:tcPr>
            <w:tcW w:w="2316" w:type="dxa"/>
            <w:noWrap w:val="0"/>
            <w:vAlign w:val="top"/>
          </w:tcPr>
          <w:p w14:paraId="67A70EE7">
            <w:pPr>
              <w:spacing w:line="360" w:lineRule="auto"/>
              <w:rPr>
                <w:rFonts w:hint="eastAsia" w:ascii="宋体" w:hAnsi="宋体" w:eastAsia="宋体" w:cs="宋体"/>
                <w:color w:val="auto"/>
                <w:sz w:val="24"/>
                <w:highlight w:val="none"/>
              </w:rPr>
            </w:pPr>
          </w:p>
        </w:tc>
        <w:tc>
          <w:tcPr>
            <w:tcW w:w="2316" w:type="dxa"/>
            <w:noWrap w:val="0"/>
            <w:vAlign w:val="top"/>
          </w:tcPr>
          <w:p w14:paraId="6FA9BDE0">
            <w:pPr>
              <w:spacing w:line="360" w:lineRule="auto"/>
              <w:rPr>
                <w:rFonts w:hint="eastAsia" w:ascii="宋体" w:hAnsi="宋体" w:eastAsia="宋体" w:cs="宋体"/>
                <w:color w:val="auto"/>
                <w:sz w:val="24"/>
                <w:highlight w:val="none"/>
              </w:rPr>
            </w:pPr>
          </w:p>
        </w:tc>
        <w:tc>
          <w:tcPr>
            <w:tcW w:w="2220" w:type="dxa"/>
            <w:noWrap w:val="0"/>
            <w:vAlign w:val="top"/>
          </w:tcPr>
          <w:p w14:paraId="163DA029">
            <w:pPr>
              <w:spacing w:line="360" w:lineRule="auto"/>
              <w:rPr>
                <w:rFonts w:hint="eastAsia" w:ascii="宋体" w:hAnsi="宋体" w:eastAsia="宋体" w:cs="宋体"/>
                <w:color w:val="auto"/>
                <w:sz w:val="24"/>
                <w:highlight w:val="none"/>
              </w:rPr>
            </w:pPr>
          </w:p>
        </w:tc>
      </w:tr>
      <w:tr w14:paraId="77AC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076" w:type="dxa"/>
            <w:noWrap w:val="0"/>
            <w:vAlign w:val="top"/>
          </w:tcPr>
          <w:p w14:paraId="6B7D1495">
            <w:pPr>
              <w:spacing w:line="360" w:lineRule="auto"/>
              <w:rPr>
                <w:rFonts w:hint="eastAsia" w:ascii="宋体" w:hAnsi="宋体" w:eastAsia="宋体" w:cs="宋体"/>
                <w:color w:val="auto"/>
                <w:sz w:val="24"/>
                <w:highlight w:val="none"/>
              </w:rPr>
            </w:pPr>
          </w:p>
        </w:tc>
        <w:tc>
          <w:tcPr>
            <w:tcW w:w="2316" w:type="dxa"/>
            <w:noWrap w:val="0"/>
            <w:vAlign w:val="top"/>
          </w:tcPr>
          <w:p w14:paraId="3B784155">
            <w:pPr>
              <w:spacing w:line="360" w:lineRule="auto"/>
              <w:rPr>
                <w:rFonts w:hint="eastAsia" w:ascii="宋体" w:hAnsi="宋体" w:eastAsia="宋体" w:cs="宋体"/>
                <w:color w:val="auto"/>
                <w:sz w:val="24"/>
                <w:highlight w:val="none"/>
              </w:rPr>
            </w:pPr>
          </w:p>
        </w:tc>
        <w:tc>
          <w:tcPr>
            <w:tcW w:w="2316" w:type="dxa"/>
            <w:noWrap w:val="0"/>
            <w:vAlign w:val="top"/>
          </w:tcPr>
          <w:p w14:paraId="5CBEC828">
            <w:pPr>
              <w:spacing w:line="360" w:lineRule="auto"/>
              <w:rPr>
                <w:rFonts w:hint="eastAsia" w:ascii="宋体" w:hAnsi="宋体" w:eastAsia="宋体" w:cs="宋体"/>
                <w:color w:val="auto"/>
                <w:sz w:val="24"/>
                <w:highlight w:val="none"/>
              </w:rPr>
            </w:pPr>
          </w:p>
        </w:tc>
        <w:tc>
          <w:tcPr>
            <w:tcW w:w="2220" w:type="dxa"/>
            <w:noWrap w:val="0"/>
            <w:vAlign w:val="top"/>
          </w:tcPr>
          <w:p w14:paraId="6311F146">
            <w:pPr>
              <w:spacing w:line="360" w:lineRule="auto"/>
              <w:rPr>
                <w:rFonts w:hint="eastAsia" w:ascii="宋体" w:hAnsi="宋体" w:eastAsia="宋体" w:cs="宋体"/>
                <w:color w:val="auto"/>
                <w:sz w:val="24"/>
                <w:highlight w:val="none"/>
              </w:rPr>
            </w:pPr>
          </w:p>
        </w:tc>
      </w:tr>
      <w:tr w14:paraId="28A0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076" w:type="dxa"/>
            <w:noWrap w:val="0"/>
            <w:vAlign w:val="top"/>
          </w:tcPr>
          <w:p w14:paraId="4239C65F">
            <w:pPr>
              <w:spacing w:line="360" w:lineRule="auto"/>
              <w:rPr>
                <w:rFonts w:hint="eastAsia" w:ascii="宋体" w:hAnsi="宋体" w:eastAsia="宋体" w:cs="宋体"/>
                <w:color w:val="auto"/>
                <w:sz w:val="24"/>
                <w:highlight w:val="none"/>
              </w:rPr>
            </w:pPr>
          </w:p>
        </w:tc>
        <w:tc>
          <w:tcPr>
            <w:tcW w:w="2316" w:type="dxa"/>
            <w:noWrap w:val="0"/>
            <w:vAlign w:val="top"/>
          </w:tcPr>
          <w:p w14:paraId="3E60CD7A">
            <w:pPr>
              <w:spacing w:line="360" w:lineRule="auto"/>
              <w:rPr>
                <w:rFonts w:hint="eastAsia" w:ascii="宋体" w:hAnsi="宋体" w:eastAsia="宋体" w:cs="宋体"/>
                <w:color w:val="auto"/>
                <w:sz w:val="24"/>
                <w:highlight w:val="none"/>
              </w:rPr>
            </w:pPr>
          </w:p>
        </w:tc>
        <w:tc>
          <w:tcPr>
            <w:tcW w:w="2316" w:type="dxa"/>
            <w:noWrap w:val="0"/>
            <w:vAlign w:val="top"/>
          </w:tcPr>
          <w:p w14:paraId="7BA47965">
            <w:pPr>
              <w:spacing w:line="360" w:lineRule="auto"/>
              <w:rPr>
                <w:rFonts w:hint="eastAsia" w:ascii="宋体" w:hAnsi="宋体" w:eastAsia="宋体" w:cs="宋体"/>
                <w:color w:val="auto"/>
                <w:sz w:val="24"/>
                <w:highlight w:val="none"/>
              </w:rPr>
            </w:pPr>
          </w:p>
        </w:tc>
        <w:tc>
          <w:tcPr>
            <w:tcW w:w="2220" w:type="dxa"/>
            <w:noWrap w:val="0"/>
            <w:vAlign w:val="top"/>
          </w:tcPr>
          <w:p w14:paraId="53657508">
            <w:pPr>
              <w:spacing w:line="360" w:lineRule="auto"/>
              <w:rPr>
                <w:rFonts w:hint="eastAsia" w:ascii="宋体" w:hAnsi="宋体" w:eastAsia="宋体" w:cs="宋体"/>
                <w:color w:val="auto"/>
                <w:sz w:val="24"/>
                <w:highlight w:val="none"/>
              </w:rPr>
            </w:pPr>
          </w:p>
        </w:tc>
      </w:tr>
    </w:tbl>
    <w:p w14:paraId="20DB5848">
      <w:pPr>
        <w:autoSpaceDE w:val="0"/>
        <w:autoSpaceDN w:val="0"/>
        <w:adjustRightInd w:val="0"/>
        <w:spacing w:line="360" w:lineRule="auto"/>
        <w:ind w:firstLine="4800" w:firstLineChars="2000"/>
        <w:rPr>
          <w:rFonts w:hint="eastAsia" w:ascii="宋体" w:hAnsi="宋体" w:eastAsia="宋体" w:cs="宋体"/>
          <w:color w:val="auto"/>
          <w:sz w:val="24"/>
          <w:highlight w:val="none"/>
        </w:rPr>
      </w:pPr>
    </w:p>
    <w:p w14:paraId="525A8141">
      <w:pPr>
        <w:autoSpaceDE w:val="0"/>
        <w:autoSpaceDN w:val="0"/>
        <w:adjustRightInd w:val="0"/>
        <w:spacing w:line="360" w:lineRule="auto"/>
        <w:ind w:firstLine="4800" w:firstLineChars="2000"/>
        <w:rPr>
          <w:rFonts w:hint="eastAsia" w:ascii="宋体" w:hAnsi="宋体" w:eastAsia="宋体" w:cs="宋体"/>
          <w:color w:val="auto"/>
          <w:sz w:val="24"/>
          <w:highlight w:val="none"/>
        </w:rPr>
      </w:pPr>
    </w:p>
    <w:p w14:paraId="1A0C2DE1">
      <w:pPr>
        <w:autoSpaceDE w:val="0"/>
        <w:autoSpaceDN w:val="0"/>
        <w:adjustRightInd w:val="0"/>
        <w:spacing w:line="360" w:lineRule="auto"/>
        <w:ind w:firstLine="4800" w:firstLineChars="20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投标人</w:t>
      </w:r>
      <w:r>
        <w:rPr>
          <w:rFonts w:hint="eastAsia" w:ascii="宋体" w:hAnsi="宋体" w:eastAsia="宋体" w:cs="宋体"/>
          <w:color w:val="auto"/>
          <w:kern w:val="0"/>
          <w:sz w:val="24"/>
          <w:highlight w:val="none"/>
          <w:lang w:val="zh-CN"/>
        </w:rPr>
        <w:t xml:space="preserve">名称（公章）：      </w:t>
      </w:r>
    </w:p>
    <w:p w14:paraId="5498C96C">
      <w:pPr>
        <w:autoSpaceDE w:val="0"/>
        <w:autoSpaceDN w:val="0"/>
        <w:adjustRightIn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法定代表人或授权委托人（签字）： </w:t>
      </w:r>
    </w:p>
    <w:p w14:paraId="7E32CC70">
      <w:pPr>
        <w:pStyle w:val="18"/>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64D1E393">
      <w:pPr>
        <w:rPr>
          <w:rFonts w:hint="eastAsia" w:ascii="宋体" w:hAnsi="宋体" w:eastAsia="宋体" w:cs="宋体"/>
          <w:b/>
          <w:bCs/>
          <w:color w:val="auto"/>
          <w:sz w:val="24"/>
          <w:highlight w:val="none"/>
        </w:rPr>
      </w:pPr>
    </w:p>
    <w:p w14:paraId="2F409D79">
      <w:pPr>
        <w:pStyle w:val="18"/>
        <w:rPr>
          <w:rFonts w:hint="eastAsia" w:ascii="宋体" w:hAnsi="宋体" w:eastAsia="宋体" w:cs="宋体"/>
          <w:b/>
          <w:bCs/>
          <w:color w:val="auto"/>
          <w:sz w:val="24"/>
          <w:highlight w:val="none"/>
        </w:rPr>
      </w:pPr>
    </w:p>
    <w:p w14:paraId="6FB734ED">
      <w:pPr>
        <w:rPr>
          <w:rFonts w:hint="eastAsia" w:ascii="宋体" w:hAnsi="宋体" w:eastAsia="宋体" w:cs="宋体"/>
          <w:b/>
          <w:bCs/>
          <w:color w:val="auto"/>
          <w:sz w:val="24"/>
          <w:highlight w:val="none"/>
        </w:rPr>
      </w:pPr>
    </w:p>
    <w:p w14:paraId="2A16A3C6">
      <w:pPr>
        <w:pStyle w:val="18"/>
        <w:rPr>
          <w:rFonts w:hint="eastAsia" w:ascii="宋体" w:hAnsi="宋体" w:eastAsia="宋体" w:cs="宋体"/>
          <w:b/>
          <w:bCs/>
          <w:color w:val="auto"/>
          <w:sz w:val="24"/>
          <w:highlight w:val="none"/>
        </w:rPr>
      </w:pPr>
    </w:p>
    <w:p w14:paraId="1363CA62">
      <w:pPr>
        <w:rPr>
          <w:rFonts w:hint="eastAsia" w:ascii="宋体" w:hAnsi="宋体" w:eastAsia="宋体" w:cs="宋体"/>
          <w:b/>
          <w:bCs/>
          <w:color w:val="auto"/>
          <w:sz w:val="24"/>
          <w:highlight w:val="none"/>
        </w:rPr>
      </w:pPr>
    </w:p>
    <w:p w14:paraId="63893808">
      <w:pPr>
        <w:pStyle w:val="18"/>
        <w:rPr>
          <w:rFonts w:hint="eastAsia" w:ascii="宋体" w:hAnsi="宋体" w:eastAsia="宋体" w:cs="宋体"/>
          <w:b/>
          <w:bCs/>
          <w:color w:val="auto"/>
          <w:sz w:val="24"/>
          <w:highlight w:val="none"/>
        </w:rPr>
      </w:pPr>
    </w:p>
    <w:p w14:paraId="764EBDDC">
      <w:pPr>
        <w:rPr>
          <w:rFonts w:hint="eastAsia" w:ascii="宋体" w:hAnsi="宋体" w:eastAsia="宋体" w:cs="宋体"/>
          <w:b/>
          <w:bCs/>
          <w:color w:val="auto"/>
          <w:sz w:val="24"/>
          <w:highlight w:val="none"/>
        </w:rPr>
      </w:pPr>
    </w:p>
    <w:p w14:paraId="43F04529">
      <w:pPr>
        <w:pStyle w:val="18"/>
        <w:rPr>
          <w:rFonts w:hint="eastAsia" w:ascii="宋体" w:hAnsi="宋体" w:eastAsia="宋体" w:cs="宋体"/>
          <w:b/>
          <w:bCs/>
          <w:color w:val="auto"/>
          <w:sz w:val="24"/>
          <w:highlight w:val="none"/>
        </w:rPr>
      </w:pPr>
    </w:p>
    <w:p w14:paraId="351B9FCB">
      <w:pPr>
        <w:rPr>
          <w:rFonts w:hint="eastAsia" w:ascii="宋体" w:hAnsi="宋体" w:eastAsia="宋体" w:cs="宋体"/>
          <w:b/>
          <w:bCs/>
          <w:color w:val="auto"/>
          <w:sz w:val="24"/>
          <w:highlight w:val="none"/>
        </w:rPr>
      </w:pPr>
    </w:p>
    <w:p w14:paraId="08EFDDEE">
      <w:pPr>
        <w:pStyle w:val="18"/>
        <w:rPr>
          <w:rFonts w:hint="eastAsia" w:ascii="宋体" w:hAnsi="宋体" w:eastAsia="宋体" w:cs="宋体"/>
          <w:b/>
          <w:bCs/>
          <w:color w:val="auto"/>
          <w:sz w:val="24"/>
          <w:highlight w:val="none"/>
        </w:rPr>
      </w:pPr>
    </w:p>
    <w:p w14:paraId="440F8E86">
      <w:pPr>
        <w:rPr>
          <w:rFonts w:hint="eastAsia" w:ascii="宋体" w:hAnsi="宋体" w:eastAsia="宋体" w:cs="宋体"/>
          <w:b/>
          <w:bCs/>
          <w:color w:val="auto"/>
          <w:sz w:val="24"/>
          <w:highlight w:val="none"/>
        </w:rPr>
      </w:pPr>
    </w:p>
    <w:p w14:paraId="2E4F67DB">
      <w:pPr>
        <w:pStyle w:val="18"/>
        <w:rPr>
          <w:rFonts w:hint="eastAsia" w:ascii="宋体" w:hAnsi="宋体" w:eastAsia="宋体" w:cs="宋体"/>
          <w:b/>
          <w:bCs/>
          <w:color w:val="auto"/>
          <w:sz w:val="24"/>
          <w:highlight w:val="none"/>
        </w:rPr>
      </w:pPr>
    </w:p>
    <w:p w14:paraId="77B17F49">
      <w:pPr>
        <w:rPr>
          <w:rFonts w:hint="eastAsia" w:ascii="宋体" w:hAnsi="宋体" w:eastAsia="宋体" w:cs="宋体"/>
          <w:b/>
          <w:bCs/>
          <w:color w:val="auto"/>
          <w:sz w:val="24"/>
          <w:highlight w:val="none"/>
        </w:rPr>
      </w:pPr>
    </w:p>
    <w:p w14:paraId="540C944A">
      <w:pPr>
        <w:pStyle w:val="18"/>
        <w:rPr>
          <w:rFonts w:hint="eastAsia" w:ascii="宋体" w:hAnsi="宋体" w:eastAsia="宋体" w:cs="宋体"/>
          <w:b/>
          <w:bCs/>
          <w:color w:val="auto"/>
          <w:sz w:val="24"/>
          <w:highlight w:val="none"/>
        </w:rPr>
      </w:pPr>
    </w:p>
    <w:p w14:paraId="064ECE81">
      <w:pPr>
        <w:rPr>
          <w:rFonts w:hint="eastAsia" w:ascii="宋体" w:hAnsi="宋体" w:eastAsia="宋体" w:cs="宋体"/>
          <w:b/>
          <w:bCs/>
          <w:color w:val="auto"/>
          <w:sz w:val="24"/>
          <w:highlight w:val="none"/>
        </w:rPr>
      </w:pPr>
    </w:p>
    <w:p w14:paraId="0D270B73">
      <w:pPr>
        <w:pStyle w:val="18"/>
        <w:rPr>
          <w:rFonts w:hint="eastAsia" w:ascii="宋体" w:hAnsi="宋体" w:eastAsia="宋体" w:cs="宋体"/>
          <w:b/>
          <w:bCs/>
          <w:color w:val="auto"/>
          <w:sz w:val="24"/>
          <w:highlight w:val="none"/>
        </w:rPr>
      </w:pPr>
    </w:p>
    <w:p w14:paraId="38901FBA">
      <w:pPr>
        <w:rPr>
          <w:rFonts w:hint="eastAsia" w:ascii="宋体" w:hAnsi="宋体" w:eastAsia="宋体" w:cs="宋体"/>
          <w:b/>
          <w:bCs/>
          <w:color w:val="auto"/>
          <w:sz w:val="24"/>
          <w:highlight w:val="none"/>
        </w:rPr>
      </w:pPr>
    </w:p>
    <w:p w14:paraId="6C5CBBDE">
      <w:pPr>
        <w:rPr>
          <w:rFonts w:hint="eastAsia" w:ascii="宋体" w:hAnsi="宋体" w:eastAsia="宋体" w:cs="宋体"/>
          <w:b/>
          <w:bCs/>
          <w:color w:val="auto"/>
          <w:sz w:val="24"/>
          <w:highlight w:val="none"/>
        </w:rPr>
      </w:pPr>
    </w:p>
    <w:p w14:paraId="19E59421">
      <w:pPr>
        <w:rPr>
          <w:rFonts w:hint="eastAsia" w:ascii="宋体" w:hAnsi="宋体" w:eastAsia="宋体" w:cs="宋体"/>
          <w:b/>
          <w:bCs/>
          <w:color w:val="auto"/>
          <w:sz w:val="24"/>
          <w:highlight w:val="none"/>
        </w:rPr>
      </w:pPr>
    </w:p>
    <w:p w14:paraId="2B0F1037">
      <w:pPr>
        <w:spacing w:line="480" w:lineRule="exact"/>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对采购文件中有关条款的拒绝声明</w:t>
      </w:r>
    </w:p>
    <w:p w14:paraId="2A5A78AB">
      <w:pPr>
        <w:spacing w:line="48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（由投标人根据采购需求自行编制）</w:t>
      </w:r>
    </w:p>
    <w:p w14:paraId="5A6AA875">
      <w:pPr>
        <w:spacing w:line="480" w:lineRule="exact"/>
        <w:rPr>
          <w:rFonts w:hint="eastAsia" w:ascii="宋体" w:hAnsi="宋体" w:eastAsia="宋体" w:cs="宋体"/>
          <w:color w:val="auto"/>
          <w:sz w:val="24"/>
          <w:highlight w:val="none"/>
        </w:rPr>
      </w:pPr>
    </w:p>
    <w:p w14:paraId="2FC9B862">
      <w:pPr>
        <w:spacing w:line="480" w:lineRule="exact"/>
        <w:rPr>
          <w:rFonts w:hint="eastAsia" w:ascii="宋体" w:hAnsi="宋体" w:eastAsia="宋体" w:cs="宋体"/>
          <w:color w:val="auto"/>
          <w:sz w:val="24"/>
          <w:highlight w:val="none"/>
        </w:rPr>
      </w:pPr>
    </w:p>
    <w:p w14:paraId="2A475475">
      <w:pPr>
        <w:spacing w:line="480" w:lineRule="exact"/>
        <w:rPr>
          <w:rFonts w:hint="eastAsia" w:ascii="宋体" w:hAnsi="宋体" w:eastAsia="宋体" w:cs="宋体"/>
          <w:color w:val="auto"/>
          <w:sz w:val="24"/>
          <w:highlight w:val="none"/>
        </w:rPr>
      </w:pPr>
    </w:p>
    <w:p w14:paraId="2968A45A">
      <w:pPr>
        <w:pStyle w:val="18"/>
        <w:rPr>
          <w:rFonts w:hint="eastAsia" w:ascii="宋体" w:hAnsi="宋体" w:eastAsia="宋体" w:cs="宋体"/>
          <w:color w:val="auto"/>
          <w:sz w:val="24"/>
          <w:highlight w:val="none"/>
        </w:rPr>
      </w:pPr>
    </w:p>
    <w:p w14:paraId="5A0727A6">
      <w:pPr>
        <w:rPr>
          <w:rFonts w:hint="eastAsia" w:ascii="宋体" w:hAnsi="宋体" w:eastAsia="宋体" w:cs="宋体"/>
          <w:color w:val="auto"/>
          <w:sz w:val="24"/>
          <w:highlight w:val="none"/>
        </w:rPr>
      </w:pPr>
    </w:p>
    <w:p w14:paraId="077C4E8E">
      <w:pPr>
        <w:pStyle w:val="18"/>
        <w:rPr>
          <w:rFonts w:hint="eastAsia" w:ascii="宋体" w:hAnsi="宋体" w:eastAsia="宋体" w:cs="宋体"/>
          <w:color w:val="auto"/>
          <w:highlight w:val="none"/>
        </w:rPr>
      </w:pPr>
    </w:p>
    <w:p w14:paraId="7FBD8B41">
      <w:pPr>
        <w:spacing w:line="480" w:lineRule="exact"/>
        <w:rPr>
          <w:rFonts w:hint="eastAsia" w:ascii="宋体" w:hAnsi="宋体" w:eastAsia="宋体" w:cs="宋体"/>
          <w:color w:val="auto"/>
          <w:sz w:val="24"/>
          <w:highlight w:val="none"/>
        </w:rPr>
      </w:pPr>
    </w:p>
    <w:p w14:paraId="4B78B341">
      <w:pPr>
        <w:autoSpaceDE w:val="0"/>
        <w:autoSpaceDN w:val="0"/>
        <w:adjustRightIn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投标人</w:t>
      </w:r>
      <w:r>
        <w:rPr>
          <w:rFonts w:hint="eastAsia" w:ascii="宋体" w:hAnsi="宋体" w:eastAsia="宋体" w:cs="宋体"/>
          <w:color w:val="auto"/>
          <w:kern w:val="0"/>
          <w:sz w:val="24"/>
          <w:highlight w:val="none"/>
          <w:lang w:val="zh-CN"/>
        </w:rPr>
        <w:t xml:space="preserve">名称（公章）：      </w:t>
      </w:r>
    </w:p>
    <w:p w14:paraId="5BC5166A">
      <w:pPr>
        <w:autoSpaceDE w:val="0"/>
        <w:autoSpaceDN w:val="0"/>
        <w:adjustRightIn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法定代表人或授权委托人（签字）： </w:t>
      </w:r>
    </w:p>
    <w:p w14:paraId="4E827FEC">
      <w:pPr>
        <w:pStyle w:val="18"/>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5286F89C">
      <w:pPr>
        <w:rPr>
          <w:rFonts w:hint="eastAsia" w:ascii="宋体" w:hAnsi="宋体" w:eastAsia="宋体" w:cs="宋体"/>
          <w:b/>
          <w:bCs/>
          <w:color w:val="auto"/>
          <w:sz w:val="24"/>
          <w:highlight w:val="none"/>
        </w:rPr>
      </w:pPr>
    </w:p>
    <w:p w14:paraId="20E78FDB">
      <w:pPr>
        <w:pStyle w:val="18"/>
        <w:rPr>
          <w:rFonts w:hint="eastAsia" w:ascii="宋体" w:hAnsi="宋体" w:eastAsia="宋体" w:cs="宋体"/>
          <w:b/>
          <w:bCs/>
          <w:color w:val="auto"/>
          <w:sz w:val="24"/>
          <w:highlight w:val="none"/>
        </w:rPr>
      </w:pPr>
    </w:p>
    <w:p w14:paraId="25DE8946">
      <w:pPr>
        <w:rPr>
          <w:rFonts w:hint="eastAsia" w:ascii="宋体" w:hAnsi="宋体" w:eastAsia="宋体" w:cs="宋体"/>
          <w:b/>
          <w:bCs/>
          <w:color w:val="auto"/>
          <w:sz w:val="24"/>
          <w:highlight w:val="none"/>
        </w:rPr>
      </w:pPr>
    </w:p>
    <w:p w14:paraId="1842C12E">
      <w:pPr>
        <w:pStyle w:val="18"/>
        <w:rPr>
          <w:rFonts w:hint="eastAsia" w:ascii="宋体" w:hAnsi="宋体" w:eastAsia="宋体" w:cs="宋体"/>
          <w:b/>
          <w:bCs/>
          <w:color w:val="auto"/>
          <w:sz w:val="24"/>
          <w:highlight w:val="none"/>
        </w:rPr>
      </w:pPr>
    </w:p>
    <w:p w14:paraId="05B82F9C">
      <w:pPr>
        <w:rPr>
          <w:rFonts w:hint="eastAsia" w:ascii="宋体" w:hAnsi="宋体" w:eastAsia="宋体" w:cs="宋体"/>
          <w:b/>
          <w:bCs/>
          <w:color w:val="auto"/>
          <w:sz w:val="24"/>
          <w:highlight w:val="none"/>
        </w:rPr>
      </w:pPr>
    </w:p>
    <w:p w14:paraId="037DB342">
      <w:pPr>
        <w:pStyle w:val="18"/>
        <w:rPr>
          <w:rFonts w:hint="eastAsia" w:ascii="宋体" w:hAnsi="宋体" w:eastAsia="宋体" w:cs="宋体"/>
          <w:b/>
          <w:bCs/>
          <w:color w:val="auto"/>
          <w:sz w:val="24"/>
          <w:highlight w:val="none"/>
        </w:rPr>
      </w:pPr>
    </w:p>
    <w:p w14:paraId="664BCAA1">
      <w:pPr>
        <w:rPr>
          <w:rFonts w:hint="eastAsia" w:ascii="宋体" w:hAnsi="宋体" w:eastAsia="宋体" w:cs="宋体"/>
          <w:b/>
          <w:bCs/>
          <w:color w:val="auto"/>
          <w:sz w:val="24"/>
          <w:highlight w:val="none"/>
        </w:rPr>
      </w:pPr>
    </w:p>
    <w:p w14:paraId="19C301B1">
      <w:pPr>
        <w:pStyle w:val="18"/>
        <w:rPr>
          <w:rFonts w:hint="eastAsia" w:ascii="宋体" w:hAnsi="宋体" w:eastAsia="宋体" w:cs="宋体"/>
          <w:b/>
          <w:bCs/>
          <w:color w:val="auto"/>
          <w:sz w:val="24"/>
          <w:highlight w:val="none"/>
        </w:rPr>
      </w:pPr>
    </w:p>
    <w:p w14:paraId="521009A4">
      <w:pPr>
        <w:rPr>
          <w:rFonts w:hint="eastAsia" w:ascii="宋体" w:hAnsi="宋体" w:eastAsia="宋体" w:cs="宋体"/>
          <w:b/>
          <w:bCs/>
          <w:color w:val="auto"/>
          <w:sz w:val="24"/>
          <w:highlight w:val="none"/>
        </w:rPr>
      </w:pPr>
    </w:p>
    <w:p w14:paraId="340BA80D">
      <w:pPr>
        <w:pStyle w:val="18"/>
        <w:rPr>
          <w:rFonts w:hint="eastAsia" w:ascii="宋体" w:hAnsi="宋体" w:eastAsia="宋体" w:cs="宋体"/>
          <w:b/>
          <w:bCs/>
          <w:color w:val="auto"/>
          <w:sz w:val="24"/>
          <w:highlight w:val="none"/>
        </w:rPr>
      </w:pPr>
    </w:p>
    <w:p w14:paraId="0EC781CD">
      <w:pPr>
        <w:rPr>
          <w:rFonts w:hint="eastAsia" w:ascii="宋体" w:hAnsi="宋体" w:eastAsia="宋体" w:cs="宋体"/>
          <w:b/>
          <w:bCs/>
          <w:color w:val="auto"/>
          <w:sz w:val="24"/>
          <w:highlight w:val="none"/>
        </w:rPr>
      </w:pPr>
    </w:p>
    <w:p w14:paraId="6B649DBA">
      <w:pPr>
        <w:pStyle w:val="18"/>
        <w:rPr>
          <w:rFonts w:hint="eastAsia" w:ascii="宋体" w:hAnsi="宋体" w:eastAsia="宋体" w:cs="宋体"/>
          <w:b/>
          <w:bCs/>
          <w:color w:val="auto"/>
          <w:sz w:val="24"/>
          <w:highlight w:val="none"/>
        </w:rPr>
      </w:pPr>
    </w:p>
    <w:p w14:paraId="007BFB4B">
      <w:pPr>
        <w:rPr>
          <w:rFonts w:hint="eastAsia" w:ascii="宋体" w:hAnsi="宋体" w:eastAsia="宋体" w:cs="宋体"/>
          <w:b/>
          <w:bCs/>
          <w:color w:val="auto"/>
          <w:sz w:val="24"/>
          <w:highlight w:val="none"/>
        </w:rPr>
      </w:pPr>
    </w:p>
    <w:p w14:paraId="364811D2">
      <w:pPr>
        <w:pStyle w:val="18"/>
        <w:rPr>
          <w:rFonts w:hint="eastAsia" w:ascii="宋体" w:hAnsi="宋体" w:eastAsia="宋体" w:cs="宋体"/>
          <w:b/>
          <w:bCs/>
          <w:color w:val="auto"/>
          <w:sz w:val="24"/>
          <w:highlight w:val="none"/>
        </w:rPr>
      </w:pPr>
    </w:p>
    <w:p w14:paraId="09C47AA3">
      <w:pPr>
        <w:rPr>
          <w:rFonts w:hint="eastAsia" w:ascii="宋体" w:hAnsi="宋体" w:eastAsia="宋体" w:cs="宋体"/>
          <w:b/>
          <w:bCs/>
          <w:color w:val="auto"/>
          <w:sz w:val="24"/>
          <w:highlight w:val="none"/>
        </w:rPr>
      </w:pPr>
    </w:p>
    <w:p w14:paraId="5708B5CF">
      <w:pPr>
        <w:pStyle w:val="18"/>
        <w:rPr>
          <w:rFonts w:hint="eastAsia" w:ascii="宋体" w:hAnsi="宋体" w:eastAsia="宋体" w:cs="宋体"/>
          <w:b/>
          <w:bCs/>
          <w:color w:val="auto"/>
          <w:sz w:val="24"/>
          <w:highlight w:val="none"/>
        </w:rPr>
      </w:pPr>
    </w:p>
    <w:p w14:paraId="1553C438">
      <w:pPr>
        <w:rPr>
          <w:rFonts w:hint="eastAsia" w:ascii="宋体" w:hAnsi="宋体" w:eastAsia="宋体" w:cs="宋体"/>
          <w:b/>
          <w:bCs/>
          <w:color w:val="auto"/>
          <w:sz w:val="24"/>
          <w:highlight w:val="none"/>
        </w:rPr>
      </w:pPr>
    </w:p>
    <w:p w14:paraId="3A3D6B8A">
      <w:pPr>
        <w:pStyle w:val="18"/>
        <w:rPr>
          <w:rFonts w:hint="eastAsia" w:ascii="宋体" w:hAnsi="宋体" w:eastAsia="宋体" w:cs="宋体"/>
          <w:b/>
          <w:bCs/>
          <w:color w:val="auto"/>
          <w:sz w:val="24"/>
          <w:highlight w:val="none"/>
        </w:rPr>
      </w:pPr>
    </w:p>
    <w:p w14:paraId="4CD19569">
      <w:pPr>
        <w:rPr>
          <w:rFonts w:hint="eastAsia" w:ascii="宋体" w:hAnsi="宋体" w:eastAsia="宋体" w:cs="宋体"/>
          <w:b/>
          <w:bCs/>
          <w:color w:val="auto"/>
          <w:sz w:val="24"/>
          <w:highlight w:val="none"/>
        </w:rPr>
      </w:pPr>
    </w:p>
    <w:p w14:paraId="5B09C168">
      <w:pPr>
        <w:pStyle w:val="18"/>
        <w:rPr>
          <w:rFonts w:hint="eastAsia" w:ascii="宋体" w:hAnsi="宋体" w:eastAsia="宋体" w:cs="宋体"/>
          <w:b/>
          <w:bCs/>
          <w:color w:val="auto"/>
          <w:sz w:val="24"/>
          <w:highlight w:val="none"/>
        </w:rPr>
      </w:pPr>
    </w:p>
    <w:p w14:paraId="36673FFD">
      <w:pPr>
        <w:rPr>
          <w:rFonts w:hint="eastAsia" w:ascii="宋体" w:hAnsi="宋体" w:eastAsia="宋体" w:cs="宋体"/>
          <w:b/>
          <w:bCs/>
          <w:color w:val="auto"/>
          <w:sz w:val="24"/>
          <w:highlight w:val="none"/>
        </w:rPr>
      </w:pPr>
    </w:p>
    <w:p w14:paraId="3E2A4B31">
      <w:pPr>
        <w:pStyle w:val="18"/>
        <w:rPr>
          <w:rFonts w:hint="eastAsia" w:ascii="宋体" w:hAnsi="宋体" w:eastAsia="宋体" w:cs="宋体"/>
          <w:b/>
          <w:bCs/>
          <w:color w:val="auto"/>
          <w:sz w:val="24"/>
          <w:highlight w:val="none"/>
        </w:rPr>
      </w:pPr>
    </w:p>
    <w:p w14:paraId="71D0DE7F">
      <w:pPr>
        <w:rPr>
          <w:rFonts w:hint="eastAsia" w:ascii="宋体" w:hAnsi="宋体" w:eastAsia="宋体" w:cs="宋体"/>
          <w:b/>
          <w:bCs/>
          <w:color w:val="auto"/>
          <w:sz w:val="24"/>
          <w:highlight w:val="none"/>
        </w:rPr>
      </w:pPr>
    </w:p>
    <w:p w14:paraId="34B8B788">
      <w:pPr>
        <w:pStyle w:val="18"/>
        <w:rPr>
          <w:rFonts w:hint="eastAsia" w:ascii="宋体" w:hAnsi="宋体" w:eastAsia="宋体" w:cs="宋体"/>
          <w:b/>
          <w:bCs/>
          <w:color w:val="auto"/>
          <w:sz w:val="24"/>
          <w:highlight w:val="none"/>
        </w:rPr>
      </w:pPr>
    </w:p>
    <w:p w14:paraId="0756A357">
      <w:pPr>
        <w:rPr>
          <w:rFonts w:hint="eastAsia" w:ascii="宋体" w:hAnsi="宋体" w:eastAsia="宋体" w:cs="宋体"/>
          <w:b/>
          <w:bCs/>
          <w:color w:val="auto"/>
          <w:sz w:val="24"/>
          <w:highlight w:val="none"/>
        </w:rPr>
      </w:pPr>
    </w:p>
    <w:p w14:paraId="6E674C49">
      <w:pPr>
        <w:pStyle w:val="18"/>
        <w:rPr>
          <w:rFonts w:hint="eastAsia" w:ascii="宋体" w:hAnsi="宋体" w:eastAsia="宋体" w:cs="宋体"/>
          <w:b/>
          <w:bCs/>
          <w:color w:val="auto"/>
          <w:sz w:val="24"/>
          <w:highlight w:val="none"/>
        </w:rPr>
      </w:pPr>
    </w:p>
    <w:p w14:paraId="17BBBA39">
      <w:pPr>
        <w:rPr>
          <w:rFonts w:hint="eastAsia" w:ascii="宋体" w:hAnsi="宋体" w:eastAsia="宋体" w:cs="宋体"/>
          <w:b/>
          <w:bCs/>
          <w:color w:val="auto"/>
          <w:sz w:val="24"/>
          <w:highlight w:val="none"/>
        </w:rPr>
      </w:pPr>
    </w:p>
    <w:p w14:paraId="79F45E94">
      <w:pPr>
        <w:pStyle w:val="18"/>
        <w:jc w:val="center"/>
        <w:rPr>
          <w:rFonts w:hint="eastAsia" w:ascii="宋体" w:hAnsi="宋体" w:eastAsia="宋体" w:cs="宋体"/>
          <w:b/>
          <w:color w:val="auto"/>
          <w:kern w:val="0"/>
          <w:sz w:val="32"/>
          <w:szCs w:val="32"/>
          <w:highlight w:val="none"/>
          <w:lang w:val="zh-CN" w:eastAsia="zh-CN" w:bidi="ar-SA"/>
        </w:rPr>
      </w:pPr>
      <w:r>
        <w:rPr>
          <w:rFonts w:hint="eastAsia" w:ascii="宋体" w:hAnsi="宋体" w:eastAsia="宋体" w:cs="宋体"/>
          <w:b/>
          <w:color w:val="auto"/>
          <w:kern w:val="0"/>
          <w:sz w:val="32"/>
          <w:szCs w:val="32"/>
          <w:highlight w:val="none"/>
          <w:lang w:val="zh-CN" w:eastAsia="zh-CN" w:bidi="ar-SA"/>
        </w:rPr>
        <w:t>拟派项目成员配备表</w:t>
      </w:r>
    </w:p>
    <w:p w14:paraId="39295C1E">
      <w:pPr>
        <w:rPr>
          <w:rFonts w:hint="eastAsia"/>
          <w:color w:val="auto"/>
          <w:highlight w:val="none"/>
          <w:lang w:val="zh-CN" w:eastAsia="zh-CN"/>
        </w:rPr>
      </w:pPr>
    </w:p>
    <w:tbl>
      <w:tblPr>
        <w:tblStyle w:val="25"/>
        <w:tblW w:w="9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876"/>
        <w:gridCol w:w="847"/>
        <w:gridCol w:w="1233"/>
        <w:gridCol w:w="956"/>
        <w:gridCol w:w="1107"/>
        <w:gridCol w:w="922"/>
        <w:gridCol w:w="2170"/>
        <w:gridCol w:w="1015"/>
      </w:tblGrid>
      <w:tr w14:paraId="45F0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7" w:type="dxa"/>
            <w:vMerge w:val="restart"/>
            <w:noWrap w:val="0"/>
            <w:vAlign w:val="center"/>
          </w:tcPr>
          <w:p w14:paraId="6E778E2F">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p>
        </w:tc>
        <w:tc>
          <w:tcPr>
            <w:tcW w:w="876" w:type="dxa"/>
            <w:vMerge w:val="restart"/>
            <w:noWrap w:val="0"/>
            <w:vAlign w:val="center"/>
          </w:tcPr>
          <w:p w14:paraId="4F060F47">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847" w:type="dxa"/>
            <w:vMerge w:val="restart"/>
            <w:noWrap w:val="0"/>
            <w:vAlign w:val="center"/>
          </w:tcPr>
          <w:p w14:paraId="3DF8CC62">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职称</w:t>
            </w:r>
          </w:p>
        </w:tc>
        <w:tc>
          <w:tcPr>
            <w:tcW w:w="6388" w:type="dxa"/>
            <w:gridSpan w:val="5"/>
            <w:noWrap w:val="0"/>
            <w:vAlign w:val="center"/>
          </w:tcPr>
          <w:p w14:paraId="33B5DBD6">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执业或职业资格证明</w:t>
            </w:r>
          </w:p>
        </w:tc>
        <w:tc>
          <w:tcPr>
            <w:tcW w:w="1015" w:type="dxa"/>
            <w:noWrap w:val="0"/>
            <w:vAlign w:val="center"/>
          </w:tcPr>
          <w:p w14:paraId="3EC27A61">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4F43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7" w:type="dxa"/>
            <w:vMerge w:val="continue"/>
            <w:noWrap w:val="0"/>
            <w:vAlign w:val="center"/>
          </w:tcPr>
          <w:p w14:paraId="11A11DEC">
            <w:pPr>
              <w:spacing w:line="440" w:lineRule="exact"/>
              <w:jc w:val="center"/>
              <w:rPr>
                <w:rFonts w:hint="eastAsia" w:ascii="宋体" w:hAnsi="宋体" w:eastAsia="宋体" w:cs="宋体"/>
                <w:color w:val="auto"/>
                <w:szCs w:val="21"/>
                <w:highlight w:val="none"/>
              </w:rPr>
            </w:pPr>
          </w:p>
        </w:tc>
        <w:tc>
          <w:tcPr>
            <w:tcW w:w="876" w:type="dxa"/>
            <w:vMerge w:val="continue"/>
            <w:noWrap w:val="0"/>
            <w:vAlign w:val="center"/>
          </w:tcPr>
          <w:p w14:paraId="74CDF846">
            <w:pPr>
              <w:spacing w:line="440" w:lineRule="exact"/>
              <w:jc w:val="center"/>
              <w:rPr>
                <w:rFonts w:hint="eastAsia" w:ascii="宋体" w:hAnsi="宋体" w:eastAsia="宋体" w:cs="宋体"/>
                <w:color w:val="auto"/>
                <w:szCs w:val="21"/>
                <w:highlight w:val="none"/>
              </w:rPr>
            </w:pPr>
          </w:p>
        </w:tc>
        <w:tc>
          <w:tcPr>
            <w:tcW w:w="847" w:type="dxa"/>
            <w:vMerge w:val="continue"/>
            <w:noWrap w:val="0"/>
            <w:vAlign w:val="center"/>
          </w:tcPr>
          <w:p w14:paraId="575E3379">
            <w:pPr>
              <w:spacing w:line="440" w:lineRule="exact"/>
              <w:jc w:val="center"/>
              <w:rPr>
                <w:rFonts w:hint="eastAsia" w:ascii="宋体" w:hAnsi="宋体" w:eastAsia="宋体" w:cs="宋体"/>
                <w:color w:val="auto"/>
                <w:szCs w:val="21"/>
                <w:highlight w:val="none"/>
              </w:rPr>
            </w:pPr>
          </w:p>
        </w:tc>
        <w:tc>
          <w:tcPr>
            <w:tcW w:w="1233" w:type="dxa"/>
            <w:noWrap w:val="0"/>
            <w:vAlign w:val="center"/>
          </w:tcPr>
          <w:p w14:paraId="4A813569">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证书名称</w:t>
            </w:r>
          </w:p>
        </w:tc>
        <w:tc>
          <w:tcPr>
            <w:tcW w:w="956" w:type="dxa"/>
            <w:noWrap w:val="0"/>
            <w:vAlign w:val="center"/>
          </w:tcPr>
          <w:p w14:paraId="020A9A49">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级别</w:t>
            </w:r>
          </w:p>
        </w:tc>
        <w:tc>
          <w:tcPr>
            <w:tcW w:w="1107" w:type="dxa"/>
            <w:noWrap w:val="0"/>
            <w:vAlign w:val="center"/>
          </w:tcPr>
          <w:p w14:paraId="6D398C1C">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证号</w:t>
            </w:r>
          </w:p>
        </w:tc>
        <w:tc>
          <w:tcPr>
            <w:tcW w:w="922" w:type="dxa"/>
            <w:noWrap w:val="0"/>
            <w:vAlign w:val="center"/>
          </w:tcPr>
          <w:p w14:paraId="21F91AB9">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w:t>
            </w:r>
          </w:p>
        </w:tc>
        <w:tc>
          <w:tcPr>
            <w:tcW w:w="2170" w:type="dxa"/>
            <w:noWrap w:val="0"/>
            <w:vAlign w:val="center"/>
          </w:tcPr>
          <w:p w14:paraId="34D4AAF3">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养老保险</w:t>
            </w:r>
          </w:p>
        </w:tc>
        <w:tc>
          <w:tcPr>
            <w:tcW w:w="1015" w:type="dxa"/>
            <w:noWrap w:val="0"/>
            <w:vAlign w:val="center"/>
          </w:tcPr>
          <w:p w14:paraId="77FD2CDF">
            <w:pPr>
              <w:spacing w:line="440" w:lineRule="exact"/>
              <w:jc w:val="center"/>
              <w:rPr>
                <w:rFonts w:hint="eastAsia" w:ascii="宋体" w:hAnsi="宋体" w:eastAsia="宋体" w:cs="宋体"/>
                <w:color w:val="auto"/>
                <w:szCs w:val="21"/>
                <w:highlight w:val="none"/>
              </w:rPr>
            </w:pPr>
          </w:p>
        </w:tc>
      </w:tr>
      <w:tr w14:paraId="3C32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noWrap w:val="0"/>
            <w:vAlign w:val="center"/>
          </w:tcPr>
          <w:p w14:paraId="21C2CE31">
            <w:pPr>
              <w:spacing w:line="440" w:lineRule="exact"/>
              <w:jc w:val="center"/>
              <w:rPr>
                <w:rFonts w:hint="eastAsia" w:ascii="宋体" w:hAnsi="宋体" w:eastAsia="宋体" w:cs="宋体"/>
                <w:color w:val="auto"/>
                <w:szCs w:val="21"/>
                <w:highlight w:val="none"/>
              </w:rPr>
            </w:pPr>
          </w:p>
        </w:tc>
        <w:tc>
          <w:tcPr>
            <w:tcW w:w="876" w:type="dxa"/>
            <w:noWrap w:val="0"/>
            <w:vAlign w:val="center"/>
          </w:tcPr>
          <w:p w14:paraId="199887C2">
            <w:pPr>
              <w:spacing w:line="440" w:lineRule="exact"/>
              <w:jc w:val="center"/>
              <w:rPr>
                <w:rFonts w:hint="eastAsia" w:ascii="宋体" w:hAnsi="宋体" w:eastAsia="宋体" w:cs="宋体"/>
                <w:color w:val="auto"/>
                <w:szCs w:val="21"/>
                <w:highlight w:val="none"/>
              </w:rPr>
            </w:pPr>
          </w:p>
        </w:tc>
        <w:tc>
          <w:tcPr>
            <w:tcW w:w="847" w:type="dxa"/>
            <w:noWrap w:val="0"/>
            <w:vAlign w:val="center"/>
          </w:tcPr>
          <w:p w14:paraId="7E8CAD3F">
            <w:pPr>
              <w:spacing w:line="440" w:lineRule="exact"/>
              <w:jc w:val="center"/>
              <w:rPr>
                <w:rFonts w:hint="eastAsia" w:ascii="宋体" w:hAnsi="宋体" w:eastAsia="宋体" w:cs="宋体"/>
                <w:color w:val="auto"/>
                <w:szCs w:val="21"/>
                <w:highlight w:val="none"/>
              </w:rPr>
            </w:pPr>
          </w:p>
        </w:tc>
        <w:tc>
          <w:tcPr>
            <w:tcW w:w="1233" w:type="dxa"/>
            <w:noWrap w:val="0"/>
            <w:vAlign w:val="center"/>
          </w:tcPr>
          <w:p w14:paraId="608778E5">
            <w:pPr>
              <w:spacing w:line="440" w:lineRule="exact"/>
              <w:jc w:val="center"/>
              <w:rPr>
                <w:rFonts w:hint="eastAsia" w:ascii="宋体" w:hAnsi="宋体" w:eastAsia="宋体" w:cs="宋体"/>
                <w:color w:val="auto"/>
                <w:szCs w:val="21"/>
                <w:highlight w:val="none"/>
              </w:rPr>
            </w:pPr>
          </w:p>
        </w:tc>
        <w:tc>
          <w:tcPr>
            <w:tcW w:w="956" w:type="dxa"/>
            <w:noWrap w:val="0"/>
            <w:vAlign w:val="center"/>
          </w:tcPr>
          <w:p w14:paraId="5CEA5FE9">
            <w:pPr>
              <w:spacing w:line="440" w:lineRule="exact"/>
              <w:jc w:val="center"/>
              <w:rPr>
                <w:rFonts w:hint="eastAsia" w:ascii="宋体" w:hAnsi="宋体" w:eastAsia="宋体" w:cs="宋体"/>
                <w:color w:val="auto"/>
                <w:szCs w:val="21"/>
                <w:highlight w:val="none"/>
              </w:rPr>
            </w:pPr>
          </w:p>
        </w:tc>
        <w:tc>
          <w:tcPr>
            <w:tcW w:w="1107" w:type="dxa"/>
            <w:noWrap w:val="0"/>
            <w:vAlign w:val="center"/>
          </w:tcPr>
          <w:p w14:paraId="052D2C56">
            <w:pPr>
              <w:spacing w:line="440" w:lineRule="exact"/>
              <w:jc w:val="center"/>
              <w:rPr>
                <w:rFonts w:hint="eastAsia" w:ascii="宋体" w:hAnsi="宋体" w:eastAsia="宋体" w:cs="宋体"/>
                <w:color w:val="auto"/>
                <w:szCs w:val="21"/>
                <w:highlight w:val="none"/>
              </w:rPr>
            </w:pPr>
          </w:p>
        </w:tc>
        <w:tc>
          <w:tcPr>
            <w:tcW w:w="922" w:type="dxa"/>
            <w:noWrap w:val="0"/>
            <w:vAlign w:val="center"/>
          </w:tcPr>
          <w:p w14:paraId="226AC273">
            <w:pPr>
              <w:spacing w:line="440" w:lineRule="exact"/>
              <w:jc w:val="center"/>
              <w:rPr>
                <w:rFonts w:hint="eastAsia" w:ascii="宋体" w:hAnsi="宋体" w:eastAsia="宋体" w:cs="宋体"/>
                <w:color w:val="auto"/>
                <w:szCs w:val="21"/>
                <w:highlight w:val="none"/>
              </w:rPr>
            </w:pPr>
          </w:p>
        </w:tc>
        <w:tc>
          <w:tcPr>
            <w:tcW w:w="2170" w:type="dxa"/>
            <w:noWrap w:val="0"/>
            <w:vAlign w:val="center"/>
          </w:tcPr>
          <w:p w14:paraId="260FE30E">
            <w:pPr>
              <w:spacing w:line="440" w:lineRule="exact"/>
              <w:jc w:val="center"/>
              <w:rPr>
                <w:rFonts w:hint="eastAsia" w:ascii="宋体" w:hAnsi="宋体" w:eastAsia="宋体" w:cs="宋体"/>
                <w:color w:val="auto"/>
                <w:szCs w:val="21"/>
                <w:highlight w:val="none"/>
              </w:rPr>
            </w:pPr>
          </w:p>
        </w:tc>
        <w:tc>
          <w:tcPr>
            <w:tcW w:w="1015" w:type="dxa"/>
            <w:noWrap w:val="0"/>
            <w:vAlign w:val="center"/>
          </w:tcPr>
          <w:p w14:paraId="4860B8F9">
            <w:pPr>
              <w:spacing w:line="440" w:lineRule="exact"/>
              <w:jc w:val="center"/>
              <w:rPr>
                <w:rFonts w:hint="eastAsia" w:ascii="宋体" w:hAnsi="宋体" w:eastAsia="宋体" w:cs="宋体"/>
                <w:color w:val="auto"/>
                <w:szCs w:val="21"/>
                <w:highlight w:val="none"/>
              </w:rPr>
            </w:pPr>
          </w:p>
        </w:tc>
      </w:tr>
      <w:tr w14:paraId="71806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noWrap w:val="0"/>
            <w:vAlign w:val="top"/>
          </w:tcPr>
          <w:p w14:paraId="510E3D0C">
            <w:pPr>
              <w:spacing w:line="440" w:lineRule="exact"/>
              <w:jc w:val="center"/>
              <w:rPr>
                <w:rFonts w:hint="eastAsia" w:ascii="宋体" w:hAnsi="宋体" w:eastAsia="宋体" w:cs="宋体"/>
                <w:color w:val="auto"/>
                <w:szCs w:val="21"/>
                <w:highlight w:val="none"/>
              </w:rPr>
            </w:pPr>
          </w:p>
        </w:tc>
        <w:tc>
          <w:tcPr>
            <w:tcW w:w="876" w:type="dxa"/>
            <w:noWrap w:val="0"/>
            <w:vAlign w:val="top"/>
          </w:tcPr>
          <w:p w14:paraId="3DDE30BC">
            <w:pPr>
              <w:spacing w:line="440" w:lineRule="exact"/>
              <w:jc w:val="center"/>
              <w:rPr>
                <w:rFonts w:hint="eastAsia" w:ascii="宋体" w:hAnsi="宋体" w:eastAsia="宋体" w:cs="宋体"/>
                <w:color w:val="auto"/>
                <w:szCs w:val="21"/>
                <w:highlight w:val="none"/>
              </w:rPr>
            </w:pPr>
          </w:p>
        </w:tc>
        <w:tc>
          <w:tcPr>
            <w:tcW w:w="847" w:type="dxa"/>
            <w:noWrap w:val="0"/>
            <w:vAlign w:val="top"/>
          </w:tcPr>
          <w:p w14:paraId="4992CA24">
            <w:pPr>
              <w:spacing w:line="440" w:lineRule="exact"/>
              <w:jc w:val="center"/>
              <w:rPr>
                <w:rFonts w:hint="eastAsia" w:ascii="宋体" w:hAnsi="宋体" w:eastAsia="宋体" w:cs="宋体"/>
                <w:color w:val="auto"/>
                <w:szCs w:val="21"/>
                <w:highlight w:val="none"/>
              </w:rPr>
            </w:pPr>
          </w:p>
        </w:tc>
        <w:tc>
          <w:tcPr>
            <w:tcW w:w="1233" w:type="dxa"/>
            <w:noWrap w:val="0"/>
            <w:vAlign w:val="top"/>
          </w:tcPr>
          <w:p w14:paraId="164B857B">
            <w:pPr>
              <w:spacing w:line="440" w:lineRule="exact"/>
              <w:jc w:val="center"/>
              <w:rPr>
                <w:rFonts w:hint="eastAsia" w:ascii="宋体" w:hAnsi="宋体" w:eastAsia="宋体" w:cs="宋体"/>
                <w:color w:val="auto"/>
                <w:szCs w:val="21"/>
                <w:highlight w:val="none"/>
              </w:rPr>
            </w:pPr>
          </w:p>
        </w:tc>
        <w:tc>
          <w:tcPr>
            <w:tcW w:w="956" w:type="dxa"/>
            <w:noWrap w:val="0"/>
            <w:vAlign w:val="top"/>
          </w:tcPr>
          <w:p w14:paraId="75C9D638">
            <w:pPr>
              <w:spacing w:line="440" w:lineRule="exact"/>
              <w:jc w:val="center"/>
              <w:rPr>
                <w:rFonts w:hint="eastAsia" w:ascii="宋体" w:hAnsi="宋体" w:eastAsia="宋体" w:cs="宋体"/>
                <w:color w:val="auto"/>
                <w:szCs w:val="21"/>
                <w:highlight w:val="none"/>
              </w:rPr>
            </w:pPr>
          </w:p>
        </w:tc>
        <w:tc>
          <w:tcPr>
            <w:tcW w:w="1107" w:type="dxa"/>
            <w:noWrap w:val="0"/>
            <w:vAlign w:val="top"/>
          </w:tcPr>
          <w:p w14:paraId="6F31E369">
            <w:pPr>
              <w:spacing w:line="440" w:lineRule="exact"/>
              <w:jc w:val="center"/>
              <w:rPr>
                <w:rFonts w:hint="eastAsia" w:ascii="宋体" w:hAnsi="宋体" w:eastAsia="宋体" w:cs="宋体"/>
                <w:color w:val="auto"/>
                <w:szCs w:val="21"/>
                <w:highlight w:val="none"/>
              </w:rPr>
            </w:pPr>
          </w:p>
        </w:tc>
        <w:tc>
          <w:tcPr>
            <w:tcW w:w="922" w:type="dxa"/>
            <w:noWrap w:val="0"/>
            <w:vAlign w:val="top"/>
          </w:tcPr>
          <w:p w14:paraId="17E8FF12">
            <w:pPr>
              <w:spacing w:line="440" w:lineRule="exact"/>
              <w:jc w:val="center"/>
              <w:rPr>
                <w:rFonts w:hint="eastAsia" w:ascii="宋体" w:hAnsi="宋体" w:eastAsia="宋体" w:cs="宋体"/>
                <w:color w:val="auto"/>
                <w:szCs w:val="21"/>
                <w:highlight w:val="none"/>
              </w:rPr>
            </w:pPr>
          </w:p>
        </w:tc>
        <w:tc>
          <w:tcPr>
            <w:tcW w:w="2170" w:type="dxa"/>
            <w:noWrap w:val="0"/>
            <w:vAlign w:val="top"/>
          </w:tcPr>
          <w:p w14:paraId="5ECFF2F9">
            <w:pPr>
              <w:spacing w:line="440" w:lineRule="exact"/>
              <w:jc w:val="center"/>
              <w:rPr>
                <w:rFonts w:hint="eastAsia" w:ascii="宋体" w:hAnsi="宋体" w:eastAsia="宋体" w:cs="宋体"/>
                <w:color w:val="auto"/>
                <w:szCs w:val="21"/>
                <w:highlight w:val="none"/>
              </w:rPr>
            </w:pPr>
          </w:p>
        </w:tc>
        <w:tc>
          <w:tcPr>
            <w:tcW w:w="1015" w:type="dxa"/>
            <w:noWrap w:val="0"/>
            <w:vAlign w:val="top"/>
          </w:tcPr>
          <w:p w14:paraId="7D833470">
            <w:pPr>
              <w:spacing w:line="440" w:lineRule="exact"/>
              <w:jc w:val="center"/>
              <w:rPr>
                <w:rFonts w:hint="eastAsia" w:ascii="宋体" w:hAnsi="宋体" w:eastAsia="宋体" w:cs="宋体"/>
                <w:color w:val="auto"/>
                <w:szCs w:val="21"/>
                <w:highlight w:val="none"/>
              </w:rPr>
            </w:pPr>
          </w:p>
        </w:tc>
      </w:tr>
      <w:tr w14:paraId="3468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noWrap w:val="0"/>
            <w:vAlign w:val="top"/>
          </w:tcPr>
          <w:p w14:paraId="24E99F23">
            <w:pPr>
              <w:spacing w:line="440" w:lineRule="exact"/>
              <w:jc w:val="center"/>
              <w:rPr>
                <w:rFonts w:hint="eastAsia" w:ascii="宋体" w:hAnsi="宋体" w:eastAsia="宋体" w:cs="宋体"/>
                <w:color w:val="auto"/>
                <w:szCs w:val="21"/>
                <w:highlight w:val="none"/>
              </w:rPr>
            </w:pPr>
          </w:p>
        </w:tc>
        <w:tc>
          <w:tcPr>
            <w:tcW w:w="876" w:type="dxa"/>
            <w:noWrap w:val="0"/>
            <w:vAlign w:val="top"/>
          </w:tcPr>
          <w:p w14:paraId="5E9FA3E8">
            <w:pPr>
              <w:spacing w:line="440" w:lineRule="exact"/>
              <w:jc w:val="center"/>
              <w:rPr>
                <w:rFonts w:hint="eastAsia" w:ascii="宋体" w:hAnsi="宋体" w:eastAsia="宋体" w:cs="宋体"/>
                <w:color w:val="auto"/>
                <w:szCs w:val="21"/>
                <w:highlight w:val="none"/>
              </w:rPr>
            </w:pPr>
          </w:p>
        </w:tc>
        <w:tc>
          <w:tcPr>
            <w:tcW w:w="847" w:type="dxa"/>
            <w:noWrap w:val="0"/>
            <w:vAlign w:val="top"/>
          </w:tcPr>
          <w:p w14:paraId="38A130B3">
            <w:pPr>
              <w:spacing w:line="440" w:lineRule="exact"/>
              <w:jc w:val="center"/>
              <w:rPr>
                <w:rFonts w:hint="eastAsia" w:ascii="宋体" w:hAnsi="宋体" w:eastAsia="宋体" w:cs="宋体"/>
                <w:color w:val="auto"/>
                <w:szCs w:val="21"/>
                <w:highlight w:val="none"/>
              </w:rPr>
            </w:pPr>
          </w:p>
        </w:tc>
        <w:tc>
          <w:tcPr>
            <w:tcW w:w="1233" w:type="dxa"/>
            <w:noWrap w:val="0"/>
            <w:vAlign w:val="top"/>
          </w:tcPr>
          <w:p w14:paraId="7C21B3B6">
            <w:pPr>
              <w:spacing w:line="440" w:lineRule="exact"/>
              <w:jc w:val="center"/>
              <w:rPr>
                <w:rFonts w:hint="eastAsia" w:ascii="宋体" w:hAnsi="宋体" w:eastAsia="宋体" w:cs="宋体"/>
                <w:color w:val="auto"/>
                <w:szCs w:val="21"/>
                <w:highlight w:val="none"/>
              </w:rPr>
            </w:pPr>
          </w:p>
        </w:tc>
        <w:tc>
          <w:tcPr>
            <w:tcW w:w="956" w:type="dxa"/>
            <w:noWrap w:val="0"/>
            <w:vAlign w:val="top"/>
          </w:tcPr>
          <w:p w14:paraId="1C8F7AFC">
            <w:pPr>
              <w:spacing w:line="440" w:lineRule="exact"/>
              <w:jc w:val="center"/>
              <w:rPr>
                <w:rFonts w:hint="eastAsia" w:ascii="宋体" w:hAnsi="宋体" w:eastAsia="宋体" w:cs="宋体"/>
                <w:color w:val="auto"/>
                <w:szCs w:val="21"/>
                <w:highlight w:val="none"/>
              </w:rPr>
            </w:pPr>
          </w:p>
        </w:tc>
        <w:tc>
          <w:tcPr>
            <w:tcW w:w="1107" w:type="dxa"/>
            <w:noWrap w:val="0"/>
            <w:vAlign w:val="top"/>
          </w:tcPr>
          <w:p w14:paraId="7DCE3E10">
            <w:pPr>
              <w:spacing w:line="440" w:lineRule="exact"/>
              <w:jc w:val="center"/>
              <w:rPr>
                <w:rFonts w:hint="eastAsia" w:ascii="宋体" w:hAnsi="宋体" w:eastAsia="宋体" w:cs="宋体"/>
                <w:color w:val="auto"/>
                <w:szCs w:val="21"/>
                <w:highlight w:val="none"/>
              </w:rPr>
            </w:pPr>
          </w:p>
        </w:tc>
        <w:tc>
          <w:tcPr>
            <w:tcW w:w="922" w:type="dxa"/>
            <w:noWrap w:val="0"/>
            <w:vAlign w:val="top"/>
          </w:tcPr>
          <w:p w14:paraId="4FE29B44">
            <w:pPr>
              <w:spacing w:line="440" w:lineRule="exact"/>
              <w:jc w:val="center"/>
              <w:rPr>
                <w:rFonts w:hint="eastAsia" w:ascii="宋体" w:hAnsi="宋体" w:eastAsia="宋体" w:cs="宋体"/>
                <w:color w:val="auto"/>
                <w:szCs w:val="21"/>
                <w:highlight w:val="none"/>
              </w:rPr>
            </w:pPr>
          </w:p>
        </w:tc>
        <w:tc>
          <w:tcPr>
            <w:tcW w:w="2170" w:type="dxa"/>
            <w:noWrap w:val="0"/>
            <w:vAlign w:val="top"/>
          </w:tcPr>
          <w:p w14:paraId="61EE026F">
            <w:pPr>
              <w:spacing w:line="440" w:lineRule="exact"/>
              <w:jc w:val="center"/>
              <w:rPr>
                <w:rFonts w:hint="eastAsia" w:ascii="宋体" w:hAnsi="宋体" w:eastAsia="宋体" w:cs="宋体"/>
                <w:color w:val="auto"/>
                <w:szCs w:val="21"/>
                <w:highlight w:val="none"/>
              </w:rPr>
            </w:pPr>
          </w:p>
        </w:tc>
        <w:tc>
          <w:tcPr>
            <w:tcW w:w="1015" w:type="dxa"/>
            <w:noWrap w:val="0"/>
            <w:vAlign w:val="top"/>
          </w:tcPr>
          <w:p w14:paraId="1650E8B6">
            <w:pPr>
              <w:spacing w:line="440" w:lineRule="exact"/>
              <w:jc w:val="center"/>
              <w:rPr>
                <w:rFonts w:hint="eastAsia" w:ascii="宋体" w:hAnsi="宋体" w:eastAsia="宋体" w:cs="宋体"/>
                <w:color w:val="auto"/>
                <w:szCs w:val="21"/>
                <w:highlight w:val="none"/>
              </w:rPr>
            </w:pPr>
          </w:p>
        </w:tc>
      </w:tr>
      <w:tr w14:paraId="083F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noWrap w:val="0"/>
            <w:vAlign w:val="top"/>
          </w:tcPr>
          <w:p w14:paraId="42227BC0">
            <w:pPr>
              <w:spacing w:line="440" w:lineRule="exact"/>
              <w:jc w:val="center"/>
              <w:rPr>
                <w:rFonts w:hint="eastAsia" w:ascii="宋体" w:hAnsi="宋体" w:eastAsia="宋体" w:cs="宋体"/>
                <w:color w:val="auto"/>
                <w:szCs w:val="21"/>
                <w:highlight w:val="none"/>
              </w:rPr>
            </w:pPr>
          </w:p>
        </w:tc>
        <w:tc>
          <w:tcPr>
            <w:tcW w:w="876" w:type="dxa"/>
            <w:noWrap w:val="0"/>
            <w:vAlign w:val="top"/>
          </w:tcPr>
          <w:p w14:paraId="4203CAF5">
            <w:pPr>
              <w:spacing w:line="440" w:lineRule="exact"/>
              <w:jc w:val="center"/>
              <w:rPr>
                <w:rFonts w:hint="eastAsia" w:ascii="宋体" w:hAnsi="宋体" w:eastAsia="宋体" w:cs="宋体"/>
                <w:color w:val="auto"/>
                <w:szCs w:val="21"/>
                <w:highlight w:val="none"/>
              </w:rPr>
            </w:pPr>
          </w:p>
        </w:tc>
        <w:tc>
          <w:tcPr>
            <w:tcW w:w="847" w:type="dxa"/>
            <w:noWrap w:val="0"/>
            <w:vAlign w:val="top"/>
          </w:tcPr>
          <w:p w14:paraId="2D098962">
            <w:pPr>
              <w:spacing w:line="440" w:lineRule="exact"/>
              <w:jc w:val="center"/>
              <w:rPr>
                <w:rFonts w:hint="eastAsia" w:ascii="宋体" w:hAnsi="宋体" w:eastAsia="宋体" w:cs="宋体"/>
                <w:color w:val="auto"/>
                <w:szCs w:val="21"/>
                <w:highlight w:val="none"/>
              </w:rPr>
            </w:pPr>
          </w:p>
        </w:tc>
        <w:tc>
          <w:tcPr>
            <w:tcW w:w="1233" w:type="dxa"/>
            <w:noWrap w:val="0"/>
            <w:vAlign w:val="top"/>
          </w:tcPr>
          <w:p w14:paraId="5351F244">
            <w:pPr>
              <w:spacing w:line="440" w:lineRule="exact"/>
              <w:jc w:val="center"/>
              <w:rPr>
                <w:rFonts w:hint="eastAsia" w:ascii="宋体" w:hAnsi="宋体" w:eastAsia="宋体" w:cs="宋体"/>
                <w:color w:val="auto"/>
                <w:szCs w:val="21"/>
                <w:highlight w:val="none"/>
              </w:rPr>
            </w:pPr>
          </w:p>
        </w:tc>
        <w:tc>
          <w:tcPr>
            <w:tcW w:w="956" w:type="dxa"/>
            <w:noWrap w:val="0"/>
            <w:vAlign w:val="top"/>
          </w:tcPr>
          <w:p w14:paraId="7973B534">
            <w:pPr>
              <w:spacing w:line="440" w:lineRule="exact"/>
              <w:jc w:val="center"/>
              <w:rPr>
                <w:rFonts w:hint="eastAsia" w:ascii="宋体" w:hAnsi="宋体" w:eastAsia="宋体" w:cs="宋体"/>
                <w:color w:val="auto"/>
                <w:szCs w:val="21"/>
                <w:highlight w:val="none"/>
              </w:rPr>
            </w:pPr>
          </w:p>
        </w:tc>
        <w:tc>
          <w:tcPr>
            <w:tcW w:w="1107" w:type="dxa"/>
            <w:noWrap w:val="0"/>
            <w:vAlign w:val="top"/>
          </w:tcPr>
          <w:p w14:paraId="796E2BCA">
            <w:pPr>
              <w:spacing w:line="440" w:lineRule="exact"/>
              <w:jc w:val="center"/>
              <w:rPr>
                <w:rFonts w:hint="eastAsia" w:ascii="宋体" w:hAnsi="宋体" w:eastAsia="宋体" w:cs="宋体"/>
                <w:color w:val="auto"/>
                <w:szCs w:val="21"/>
                <w:highlight w:val="none"/>
              </w:rPr>
            </w:pPr>
          </w:p>
        </w:tc>
        <w:tc>
          <w:tcPr>
            <w:tcW w:w="922" w:type="dxa"/>
            <w:noWrap w:val="0"/>
            <w:vAlign w:val="top"/>
          </w:tcPr>
          <w:p w14:paraId="1921C9A4">
            <w:pPr>
              <w:spacing w:line="440" w:lineRule="exact"/>
              <w:jc w:val="center"/>
              <w:rPr>
                <w:rFonts w:hint="eastAsia" w:ascii="宋体" w:hAnsi="宋体" w:eastAsia="宋体" w:cs="宋体"/>
                <w:color w:val="auto"/>
                <w:szCs w:val="21"/>
                <w:highlight w:val="none"/>
              </w:rPr>
            </w:pPr>
          </w:p>
        </w:tc>
        <w:tc>
          <w:tcPr>
            <w:tcW w:w="2170" w:type="dxa"/>
            <w:noWrap w:val="0"/>
            <w:vAlign w:val="top"/>
          </w:tcPr>
          <w:p w14:paraId="410B33A4">
            <w:pPr>
              <w:spacing w:line="440" w:lineRule="exact"/>
              <w:jc w:val="center"/>
              <w:rPr>
                <w:rFonts w:hint="eastAsia" w:ascii="宋体" w:hAnsi="宋体" w:eastAsia="宋体" w:cs="宋体"/>
                <w:color w:val="auto"/>
                <w:szCs w:val="21"/>
                <w:highlight w:val="none"/>
              </w:rPr>
            </w:pPr>
          </w:p>
        </w:tc>
        <w:tc>
          <w:tcPr>
            <w:tcW w:w="1015" w:type="dxa"/>
            <w:noWrap w:val="0"/>
            <w:vAlign w:val="top"/>
          </w:tcPr>
          <w:p w14:paraId="0E975ECB">
            <w:pPr>
              <w:spacing w:line="440" w:lineRule="exact"/>
              <w:jc w:val="center"/>
              <w:rPr>
                <w:rFonts w:hint="eastAsia" w:ascii="宋体" w:hAnsi="宋体" w:eastAsia="宋体" w:cs="宋体"/>
                <w:color w:val="auto"/>
                <w:szCs w:val="21"/>
                <w:highlight w:val="none"/>
              </w:rPr>
            </w:pPr>
          </w:p>
        </w:tc>
      </w:tr>
      <w:tr w14:paraId="31CD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noWrap w:val="0"/>
            <w:vAlign w:val="top"/>
          </w:tcPr>
          <w:p w14:paraId="5C1EB4A7">
            <w:pPr>
              <w:spacing w:line="440" w:lineRule="exact"/>
              <w:jc w:val="center"/>
              <w:rPr>
                <w:rFonts w:hint="eastAsia" w:ascii="宋体" w:hAnsi="宋体" w:eastAsia="宋体" w:cs="宋体"/>
                <w:color w:val="auto"/>
                <w:szCs w:val="21"/>
                <w:highlight w:val="none"/>
              </w:rPr>
            </w:pPr>
          </w:p>
        </w:tc>
        <w:tc>
          <w:tcPr>
            <w:tcW w:w="876" w:type="dxa"/>
            <w:noWrap w:val="0"/>
            <w:vAlign w:val="top"/>
          </w:tcPr>
          <w:p w14:paraId="2DC35E07">
            <w:pPr>
              <w:spacing w:line="440" w:lineRule="exact"/>
              <w:jc w:val="center"/>
              <w:rPr>
                <w:rFonts w:hint="eastAsia" w:ascii="宋体" w:hAnsi="宋体" w:eastAsia="宋体" w:cs="宋体"/>
                <w:color w:val="auto"/>
                <w:szCs w:val="21"/>
                <w:highlight w:val="none"/>
              </w:rPr>
            </w:pPr>
          </w:p>
        </w:tc>
        <w:tc>
          <w:tcPr>
            <w:tcW w:w="847" w:type="dxa"/>
            <w:noWrap w:val="0"/>
            <w:vAlign w:val="top"/>
          </w:tcPr>
          <w:p w14:paraId="3E18F7BC">
            <w:pPr>
              <w:spacing w:line="440" w:lineRule="exact"/>
              <w:jc w:val="center"/>
              <w:rPr>
                <w:rFonts w:hint="eastAsia" w:ascii="宋体" w:hAnsi="宋体" w:eastAsia="宋体" w:cs="宋体"/>
                <w:color w:val="auto"/>
                <w:szCs w:val="21"/>
                <w:highlight w:val="none"/>
              </w:rPr>
            </w:pPr>
          </w:p>
        </w:tc>
        <w:tc>
          <w:tcPr>
            <w:tcW w:w="1233" w:type="dxa"/>
            <w:noWrap w:val="0"/>
            <w:vAlign w:val="top"/>
          </w:tcPr>
          <w:p w14:paraId="58D25791">
            <w:pPr>
              <w:spacing w:line="440" w:lineRule="exact"/>
              <w:jc w:val="center"/>
              <w:rPr>
                <w:rFonts w:hint="eastAsia" w:ascii="宋体" w:hAnsi="宋体" w:eastAsia="宋体" w:cs="宋体"/>
                <w:color w:val="auto"/>
                <w:szCs w:val="21"/>
                <w:highlight w:val="none"/>
              </w:rPr>
            </w:pPr>
          </w:p>
        </w:tc>
        <w:tc>
          <w:tcPr>
            <w:tcW w:w="956" w:type="dxa"/>
            <w:noWrap w:val="0"/>
            <w:vAlign w:val="top"/>
          </w:tcPr>
          <w:p w14:paraId="37B14D14">
            <w:pPr>
              <w:spacing w:line="440" w:lineRule="exact"/>
              <w:jc w:val="center"/>
              <w:rPr>
                <w:rFonts w:hint="eastAsia" w:ascii="宋体" w:hAnsi="宋体" w:eastAsia="宋体" w:cs="宋体"/>
                <w:color w:val="auto"/>
                <w:szCs w:val="21"/>
                <w:highlight w:val="none"/>
              </w:rPr>
            </w:pPr>
          </w:p>
        </w:tc>
        <w:tc>
          <w:tcPr>
            <w:tcW w:w="1107" w:type="dxa"/>
            <w:noWrap w:val="0"/>
            <w:vAlign w:val="top"/>
          </w:tcPr>
          <w:p w14:paraId="161015AA">
            <w:pPr>
              <w:spacing w:line="440" w:lineRule="exact"/>
              <w:jc w:val="center"/>
              <w:rPr>
                <w:rFonts w:hint="eastAsia" w:ascii="宋体" w:hAnsi="宋体" w:eastAsia="宋体" w:cs="宋体"/>
                <w:color w:val="auto"/>
                <w:szCs w:val="21"/>
                <w:highlight w:val="none"/>
              </w:rPr>
            </w:pPr>
          </w:p>
        </w:tc>
        <w:tc>
          <w:tcPr>
            <w:tcW w:w="922" w:type="dxa"/>
            <w:noWrap w:val="0"/>
            <w:vAlign w:val="top"/>
          </w:tcPr>
          <w:p w14:paraId="1ADD8285">
            <w:pPr>
              <w:spacing w:line="440" w:lineRule="exact"/>
              <w:jc w:val="center"/>
              <w:rPr>
                <w:rFonts w:hint="eastAsia" w:ascii="宋体" w:hAnsi="宋体" w:eastAsia="宋体" w:cs="宋体"/>
                <w:color w:val="auto"/>
                <w:szCs w:val="21"/>
                <w:highlight w:val="none"/>
              </w:rPr>
            </w:pPr>
          </w:p>
        </w:tc>
        <w:tc>
          <w:tcPr>
            <w:tcW w:w="2170" w:type="dxa"/>
            <w:noWrap w:val="0"/>
            <w:vAlign w:val="top"/>
          </w:tcPr>
          <w:p w14:paraId="0813EB1E">
            <w:pPr>
              <w:spacing w:line="440" w:lineRule="exact"/>
              <w:jc w:val="center"/>
              <w:rPr>
                <w:rFonts w:hint="eastAsia" w:ascii="宋体" w:hAnsi="宋体" w:eastAsia="宋体" w:cs="宋体"/>
                <w:color w:val="auto"/>
                <w:szCs w:val="21"/>
                <w:highlight w:val="none"/>
              </w:rPr>
            </w:pPr>
          </w:p>
        </w:tc>
        <w:tc>
          <w:tcPr>
            <w:tcW w:w="1015" w:type="dxa"/>
            <w:noWrap w:val="0"/>
            <w:vAlign w:val="top"/>
          </w:tcPr>
          <w:p w14:paraId="4612132C">
            <w:pPr>
              <w:spacing w:line="440" w:lineRule="exact"/>
              <w:jc w:val="center"/>
              <w:rPr>
                <w:rFonts w:hint="eastAsia" w:ascii="宋体" w:hAnsi="宋体" w:eastAsia="宋体" w:cs="宋体"/>
                <w:color w:val="auto"/>
                <w:szCs w:val="21"/>
                <w:highlight w:val="none"/>
              </w:rPr>
            </w:pPr>
          </w:p>
        </w:tc>
      </w:tr>
      <w:tr w14:paraId="2210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noWrap w:val="0"/>
            <w:vAlign w:val="top"/>
          </w:tcPr>
          <w:p w14:paraId="4FCF342F">
            <w:pPr>
              <w:spacing w:line="440" w:lineRule="exact"/>
              <w:jc w:val="center"/>
              <w:rPr>
                <w:rFonts w:hint="eastAsia" w:ascii="宋体" w:hAnsi="宋体" w:eastAsia="宋体" w:cs="宋体"/>
                <w:color w:val="auto"/>
                <w:szCs w:val="21"/>
                <w:highlight w:val="none"/>
              </w:rPr>
            </w:pPr>
          </w:p>
        </w:tc>
        <w:tc>
          <w:tcPr>
            <w:tcW w:w="876" w:type="dxa"/>
            <w:noWrap w:val="0"/>
            <w:vAlign w:val="top"/>
          </w:tcPr>
          <w:p w14:paraId="04E1144F">
            <w:pPr>
              <w:spacing w:line="440" w:lineRule="exact"/>
              <w:jc w:val="center"/>
              <w:rPr>
                <w:rFonts w:hint="eastAsia" w:ascii="宋体" w:hAnsi="宋体" w:eastAsia="宋体" w:cs="宋体"/>
                <w:color w:val="auto"/>
                <w:szCs w:val="21"/>
                <w:highlight w:val="none"/>
              </w:rPr>
            </w:pPr>
          </w:p>
        </w:tc>
        <w:tc>
          <w:tcPr>
            <w:tcW w:w="847" w:type="dxa"/>
            <w:noWrap w:val="0"/>
            <w:vAlign w:val="top"/>
          </w:tcPr>
          <w:p w14:paraId="1FBB63FC">
            <w:pPr>
              <w:spacing w:line="440" w:lineRule="exact"/>
              <w:jc w:val="center"/>
              <w:rPr>
                <w:rFonts w:hint="eastAsia" w:ascii="宋体" w:hAnsi="宋体" w:eastAsia="宋体" w:cs="宋体"/>
                <w:color w:val="auto"/>
                <w:szCs w:val="21"/>
                <w:highlight w:val="none"/>
              </w:rPr>
            </w:pPr>
          </w:p>
        </w:tc>
        <w:tc>
          <w:tcPr>
            <w:tcW w:w="1233" w:type="dxa"/>
            <w:noWrap w:val="0"/>
            <w:vAlign w:val="top"/>
          </w:tcPr>
          <w:p w14:paraId="767250B1">
            <w:pPr>
              <w:spacing w:line="440" w:lineRule="exact"/>
              <w:jc w:val="center"/>
              <w:rPr>
                <w:rFonts w:hint="eastAsia" w:ascii="宋体" w:hAnsi="宋体" w:eastAsia="宋体" w:cs="宋体"/>
                <w:color w:val="auto"/>
                <w:szCs w:val="21"/>
                <w:highlight w:val="none"/>
              </w:rPr>
            </w:pPr>
          </w:p>
        </w:tc>
        <w:tc>
          <w:tcPr>
            <w:tcW w:w="956" w:type="dxa"/>
            <w:noWrap w:val="0"/>
            <w:vAlign w:val="top"/>
          </w:tcPr>
          <w:p w14:paraId="37B08E87">
            <w:pPr>
              <w:spacing w:line="440" w:lineRule="exact"/>
              <w:jc w:val="center"/>
              <w:rPr>
                <w:rFonts w:hint="eastAsia" w:ascii="宋体" w:hAnsi="宋体" w:eastAsia="宋体" w:cs="宋体"/>
                <w:color w:val="auto"/>
                <w:szCs w:val="21"/>
                <w:highlight w:val="none"/>
              </w:rPr>
            </w:pPr>
          </w:p>
        </w:tc>
        <w:tc>
          <w:tcPr>
            <w:tcW w:w="1107" w:type="dxa"/>
            <w:noWrap w:val="0"/>
            <w:vAlign w:val="top"/>
          </w:tcPr>
          <w:p w14:paraId="0D0DB349">
            <w:pPr>
              <w:spacing w:line="440" w:lineRule="exact"/>
              <w:jc w:val="center"/>
              <w:rPr>
                <w:rFonts w:hint="eastAsia" w:ascii="宋体" w:hAnsi="宋体" w:eastAsia="宋体" w:cs="宋体"/>
                <w:color w:val="auto"/>
                <w:szCs w:val="21"/>
                <w:highlight w:val="none"/>
              </w:rPr>
            </w:pPr>
          </w:p>
        </w:tc>
        <w:tc>
          <w:tcPr>
            <w:tcW w:w="922" w:type="dxa"/>
            <w:noWrap w:val="0"/>
            <w:vAlign w:val="top"/>
          </w:tcPr>
          <w:p w14:paraId="460BA931">
            <w:pPr>
              <w:spacing w:line="440" w:lineRule="exact"/>
              <w:jc w:val="center"/>
              <w:rPr>
                <w:rFonts w:hint="eastAsia" w:ascii="宋体" w:hAnsi="宋体" w:eastAsia="宋体" w:cs="宋体"/>
                <w:color w:val="auto"/>
                <w:szCs w:val="21"/>
                <w:highlight w:val="none"/>
              </w:rPr>
            </w:pPr>
          </w:p>
        </w:tc>
        <w:tc>
          <w:tcPr>
            <w:tcW w:w="2170" w:type="dxa"/>
            <w:noWrap w:val="0"/>
            <w:vAlign w:val="top"/>
          </w:tcPr>
          <w:p w14:paraId="7B9A6A39">
            <w:pPr>
              <w:spacing w:line="440" w:lineRule="exact"/>
              <w:jc w:val="center"/>
              <w:rPr>
                <w:rFonts w:hint="eastAsia" w:ascii="宋体" w:hAnsi="宋体" w:eastAsia="宋体" w:cs="宋体"/>
                <w:color w:val="auto"/>
                <w:szCs w:val="21"/>
                <w:highlight w:val="none"/>
              </w:rPr>
            </w:pPr>
          </w:p>
        </w:tc>
        <w:tc>
          <w:tcPr>
            <w:tcW w:w="1015" w:type="dxa"/>
            <w:noWrap w:val="0"/>
            <w:vAlign w:val="top"/>
          </w:tcPr>
          <w:p w14:paraId="42B4679E">
            <w:pPr>
              <w:spacing w:line="440" w:lineRule="exact"/>
              <w:jc w:val="center"/>
              <w:rPr>
                <w:rFonts w:hint="eastAsia" w:ascii="宋体" w:hAnsi="宋体" w:eastAsia="宋体" w:cs="宋体"/>
                <w:color w:val="auto"/>
                <w:szCs w:val="21"/>
                <w:highlight w:val="none"/>
              </w:rPr>
            </w:pPr>
          </w:p>
        </w:tc>
      </w:tr>
      <w:tr w14:paraId="40F2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noWrap w:val="0"/>
            <w:vAlign w:val="top"/>
          </w:tcPr>
          <w:p w14:paraId="5A96D2CF">
            <w:pPr>
              <w:spacing w:line="440" w:lineRule="exact"/>
              <w:jc w:val="center"/>
              <w:rPr>
                <w:rFonts w:hint="eastAsia" w:ascii="宋体" w:hAnsi="宋体" w:eastAsia="宋体" w:cs="宋体"/>
                <w:color w:val="auto"/>
                <w:szCs w:val="21"/>
                <w:highlight w:val="none"/>
              </w:rPr>
            </w:pPr>
          </w:p>
        </w:tc>
        <w:tc>
          <w:tcPr>
            <w:tcW w:w="876" w:type="dxa"/>
            <w:noWrap w:val="0"/>
            <w:vAlign w:val="top"/>
          </w:tcPr>
          <w:p w14:paraId="767ED137">
            <w:pPr>
              <w:spacing w:line="440" w:lineRule="exact"/>
              <w:jc w:val="center"/>
              <w:rPr>
                <w:rFonts w:hint="eastAsia" w:ascii="宋体" w:hAnsi="宋体" w:eastAsia="宋体" w:cs="宋体"/>
                <w:color w:val="auto"/>
                <w:szCs w:val="21"/>
                <w:highlight w:val="none"/>
              </w:rPr>
            </w:pPr>
          </w:p>
        </w:tc>
        <w:tc>
          <w:tcPr>
            <w:tcW w:w="847" w:type="dxa"/>
            <w:noWrap w:val="0"/>
            <w:vAlign w:val="top"/>
          </w:tcPr>
          <w:p w14:paraId="6F60A42F">
            <w:pPr>
              <w:spacing w:line="440" w:lineRule="exact"/>
              <w:jc w:val="center"/>
              <w:rPr>
                <w:rFonts w:hint="eastAsia" w:ascii="宋体" w:hAnsi="宋体" w:eastAsia="宋体" w:cs="宋体"/>
                <w:color w:val="auto"/>
                <w:szCs w:val="21"/>
                <w:highlight w:val="none"/>
              </w:rPr>
            </w:pPr>
          </w:p>
        </w:tc>
        <w:tc>
          <w:tcPr>
            <w:tcW w:w="1233" w:type="dxa"/>
            <w:noWrap w:val="0"/>
            <w:vAlign w:val="top"/>
          </w:tcPr>
          <w:p w14:paraId="70AD810C">
            <w:pPr>
              <w:spacing w:line="440" w:lineRule="exact"/>
              <w:jc w:val="center"/>
              <w:rPr>
                <w:rFonts w:hint="eastAsia" w:ascii="宋体" w:hAnsi="宋体" w:eastAsia="宋体" w:cs="宋体"/>
                <w:color w:val="auto"/>
                <w:szCs w:val="21"/>
                <w:highlight w:val="none"/>
              </w:rPr>
            </w:pPr>
          </w:p>
        </w:tc>
        <w:tc>
          <w:tcPr>
            <w:tcW w:w="956" w:type="dxa"/>
            <w:noWrap w:val="0"/>
            <w:vAlign w:val="top"/>
          </w:tcPr>
          <w:p w14:paraId="3D3AFC64">
            <w:pPr>
              <w:spacing w:line="440" w:lineRule="exact"/>
              <w:jc w:val="center"/>
              <w:rPr>
                <w:rFonts w:hint="eastAsia" w:ascii="宋体" w:hAnsi="宋体" w:eastAsia="宋体" w:cs="宋体"/>
                <w:color w:val="auto"/>
                <w:szCs w:val="21"/>
                <w:highlight w:val="none"/>
              </w:rPr>
            </w:pPr>
          </w:p>
        </w:tc>
        <w:tc>
          <w:tcPr>
            <w:tcW w:w="1107" w:type="dxa"/>
            <w:noWrap w:val="0"/>
            <w:vAlign w:val="top"/>
          </w:tcPr>
          <w:p w14:paraId="0C970803">
            <w:pPr>
              <w:spacing w:line="440" w:lineRule="exact"/>
              <w:jc w:val="center"/>
              <w:rPr>
                <w:rFonts w:hint="eastAsia" w:ascii="宋体" w:hAnsi="宋体" w:eastAsia="宋体" w:cs="宋体"/>
                <w:color w:val="auto"/>
                <w:szCs w:val="21"/>
                <w:highlight w:val="none"/>
              </w:rPr>
            </w:pPr>
          </w:p>
        </w:tc>
        <w:tc>
          <w:tcPr>
            <w:tcW w:w="922" w:type="dxa"/>
            <w:noWrap w:val="0"/>
            <w:vAlign w:val="top"/>
          </w:tcPr>
          <w:p w14:paraId="0E8F2D1D">
            <w:pPr>
              <w:spacing w:line="440" w:lineRule="exact"/>
              <w:jc w:val="center"/>
              <w:rPr>
                <w:rFonts w:hint="eastAsia" w:ascii="宋体" w:hAnsi="宋体" w:eastAsia="宋体" w:cs="宋体"/>
                <w:color w:val="auto"/>
                <w:szCs w:val="21"/>
                <w:highlight w:val="none"/>
              </w:rPr>
            </w:pPr>
          </w:p>
        </w:tc>
        <w:tc>
          <w:tcPr>
            <w:tcW w:w="2170" w:type="dxa"/>
            <w:noWrap w:val="0"/>
            <w:vAlign w:val="top"/>
          </w:tcPr>
          <w:p w14:paraId="25E70A9D">
            <w:pPr>
              <w:spacing w:line="440" w:lineRule="exact"/>
              <w:jc w:val="center"/>
              <w:rPr>
                <w:rFonts w:hint="eastAsia" w:ascii="宋体" w:hAnsi="宋体" w:eastAsia="宋体" w:cs="宋体"/>
                <w:color w:val="auto"/>
                <w:szCs w:val="21"/>
                <w:highlight w:val="none"/>
              </w:rPr>
            </w:pPr>
          </w:p>
        </w:tc>
        <w:tc>
          <w:tcPr>
            <w:tcW w:w="1015" w:type="dxa"/>
            <w:noWrap w:val="0"/>
            <w:vAlign w:val="top"/>
          </w:tcPr>
          <w:p w14:paraId="7DEC884A">
            <w:pPr>
              <w:spacing w:line="440" w:lineRule="exact"/>
              <w:jc w:val="center"/>
              <w:rPr>
                <w:rFonts w:hint="eastAsia" w:ascii="宋体" w:hAnsi="宋体" w:eastAsia="宋体" w:cs="宋体"/>
                <w:color w:val="auto"/>
                <w:szCs w:val="21"/>
                <w:highlight w:val="none"/>
              </w:rPr>
            </w:pPr>
          </w:p>
        </w:tc>
      </w:tr>
      <w:tr w14:paraId="0B13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noWrap w:val="0"/>
            <w:vAlign w:val="top"/>
          </w:tcPr>
          <w:p w14:paraId="7364CE40">
            <w:pPr>
              <w:spacing w:line="440" w:lineRule="exact"/>
              <w:jc w:val="center"/>
              <w:rPr>
                <w:rFonts w:hint="eastAsia" w:ascii="宋体" w:hAnsi="宋体" w:eastAsia="宋体" w:cs="宋体"/>
                <w:color w:val="auto"/>
                <w:szCs w:val="21"/>
                <w:highlight w:val="none"/>
              </w:rPr>
            </w:pPr>
          </w:p>
        </w:tc>
        <w:tc>
          <w:tcPr>
            <w:tcW w:w="876" w:type="dxa"/>
            <w:noWrap w:val="0"/>
            <w:vAlign w:val="top"/>
          </w:tcPr>
          <w:p w14:paraId="4BB61C1D">
            <w:pPr>
              <w:spacing w:line="440" w:lineRule="exact"/>
              <w:jc w:val="center"/>
              <w:rPr>
                <w:rFonts w:hint="eastAsia" w:ascii="宋体" w:hAnsi="宋体" w:eastAsia="宋体" w:cs="宋体"/>
                <w:color w:val="auto"/>
                <w:szCs w:val="21"/>
                <w:highlight w:val="none"/>
              </w:rPr>
            </w:pPr>
          </w:p>
        </w:tc>
        <w:tc>
          <w:tcPr>
            <w:tcW w:w="847" w:type="dxa"/>
            <w:noWrap w:val="0"/>
            <w:vAlign w:val="top"/>
          </w:tcPr>
          <w:p w14:paraId="5A95EB6B">
            <w:pPr>
              <w:spacing w:line="440" w:lineRule="exact"/>
              <w:jc w:val="center"/>
              <w:rPr>
                <w:rFonts w:hint="eastAsia" w:ascii="宋体" w:hAnsi="宋体" w:eastAsia="宋体" w:cs="宋体"/>
                <w:color w:val="auto"/>
                <w:szCs w:val="21"/>
                <w:highlight w:val="none"/>
              </w:rPr>
            </w:pPr>
          </w:p>
        </w:tc>
        <w:tc>
          <w:tcPr>
            <w:tcW w:w="1233" w:type="dxa"/>
            <w:noWrap w:val="0"/>
            <w:vAlign w:val="top"/>
          </w:tcPr>
          <w:p w14:paraId="3EFA1D2D">
            <w:pPr>
              <w:spacing w:line="440" w:lineRule="exact"/>
              <w:jc w:val="center"/>
              <w:rPr>
                <w:rFonts w:hint="eastAsia" w:ascii="宋体" w:hAnsi="宋体" w:eastAsia="宋体" w:cs="宋体"/>
                <w:color w:val="auto"/>
                <w:szCs w:val="21"/>
                <w:highlight w:val="none"/>
              </w:rPr>
            </w:pPr>
          </w:p>
        </w:tc>
        <w:tc>
          <w:tcPr>
            <w:tcW w:w="956" w:type="dxa"/>
            <w:noWrap w:val="0"/>
            <w:vAlign w:val="top"/>
          </w:tcPr>
          <w:p w14:paraId="5CFBB2A6">
            <w:pPr>
              <w:spacing w:line="440" w:lineRule="exact"/>
              <w:jc w:val="center"/>
              <w:rPr>
                <w:rFonts w:hint="eastAsia" w:ascii="宋体" w:hAnsi="宋体" w:eastAsia="宋体" w:cs="宋体"/>
                <w:color w:val="auto"/>
                <w:szCs w:val="21"/>
                <w:highlight w:val="none"/>
              </w:rPr>
            </w:pPr>
          </w:p>
        </w:tc>
        <w:tc>
          <w:tcPr>
            <w:tcW w:w="1107" w:type="dxa"/>
            <w:noWrap w:val="0"/>
            <w:vAlign w:val="top"/>
          </w:tcPr>
          <w:p w14:paraId="5CCB786A">
            <w:pPr>
              <w:spacing w:line="440" w:lineRule="exact"/>
              <w:jc w:val="center"/>
              <w:rPr>
                <w:rFonts w:hint="eastAsia" w:ascii="宋体" w:hAnsi="宋体" w:eastAsia="宋体" w:cs="宋体"/>
                <w:color w:val="auto"/>
                <w:szCs w:val="21"/>
                <w:highlight w:val="none"/>
              </w:rPr>
            </w:pPr>
          </w:p>
        </w:tc>
        <w:tc>
          <w:tcPr>
            <w:tcW w:w="922" w:type="dxa"/>
            <w:noWrap w:val="0"/>
            <w:vAlign w:val="top"/>
          </w:tcPr>
          <w:p w14:paraId="6BEE34B5">
            <w:pPr>
              <w:spacing w:line="440" w:lineRule="exact"/>
              <w:jc w:val="center"/>
              <w:rPr>
                <w:rFonts w:hint="eastAsia" w:ascii="宋体" w:hAnsi="宋体" w:eastAsia="宋体" w:cs="宋体"/>
                <w:color w:val="auto"/>
                <w:szCs w:val="21"/>
                <w:highlight w:val="none"/>
              </w:rPr>
            </w:pPr>
          </w:p>
        </w:tc>
        <w:tc>
          <w:tcPr>
            <w:tcW w:w="2170" w:type="dxa"/>
            <w:noWrap w:val="0"/>
            <w:vAlign w:val="top"/>
          </w:tcPr>
          <w:p w14:paraId="73E45EFD">
            <w:pPr>
              <w:spacing w:line="440" w:lineRule="exact"/>
              <w:jc w:val="center"/>
              <w:rPr>
                <w:rFonts w:hint="eastAsia" w:ascii="宋体" w:hAnsi="宋体" w:eastAsia="宋体" w:cs="宋体"/>
                <w:color w:val="auto"/>
                <w:szCs w:val="21"/>
                <w:highlight w:val="none"/>
              </w:rPr>
            </w:pPr>
          </w:p>
        </w:tc>
        <w:tc>
          <w:tcPr>
            <w:tcW w:w="1015" w:type="dxa"/>
            <w:noWrap w:val="0"/>
            <w:vAlign w:val="top"/>
          </w:tcPr>
          <w:p w14:paraId="5E1544FA">
            <w:pPr>
              <w:spacing w:line="440" w:lineRule="exact"/>
              <w:jc w:val="center"/>
              <w:rPr>
                <w:rFonts w:hint="eastAsia" w:ascii="宋体" w:hAnsi="宋体" w:eastAsia="宋体" w:cs="宋体"/>
                <w:color w:val="auto"/>
                <w:szCs w:val="21"/>
                <w:highlight w:val="none"/>
              </w:rPr>
            </w:pPr>
          </w:p>
        </w:tc>
      </w:tr>
      <w:tr w14:paraId="7ACC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noWrap w:val="0"/>
            <w:vAlign w:val="top"/>
          </w:tcPr>
          <w:p w14:paraId="5EA460AB">
            <w:pPr>
              <w:spacing w:line="440" w:lineRule="exact"/>
              <w:jc w:val="center"/>
              <w:rPr>
                <w:rFonts w:hint="eastAsia" w:ascii="宋体" w:hAnsi="宋体" w:eastAsia="宋体" w:cs="宋体"/>
                <w:color w:val="auto"/>
                <w:szCs w:val="21"/>
                <w:highlight w:val="none"/>
              </w:rPr>
            </w:pPr>
          </w:p>
        </w:tc>
        <w:tc>
          <w:tcPr>
            <w:tcW w:w="876" w:type="dxa"/>
            <w:noWrap w:val="0"/>
            <w:vAlign w:val="top"/>
          </w:tcPr>
          <w:p w14:paraId="0C14274C">
            <w:pPr>
              <w:spacing w:line="440" w:lineRule="exact"/>
              <w:jc w:val="center"/>
              <w:rPr>
                <w:rFonts w:hint="eastAsia" w:ascii="宋体" w:hAnsi="宋体" w:eastAsia="宋体" w:cs="宋体"/>
                <w:color w:val="auto"/>
                <w:szCs w:val="21"/>
                <w:highlight w:val="none"/>
              </w:rPr>
            </w:pPr>
          </w:p>
        </w:tc>
        <w:tc>
          <w:tcPr>
            <w:tcW w:w="847" w:type="dxa"/>
            <w:noWrap w:val="0"/>
            <w:vAlign w:val="top"/>
          </w:tcPr>
          <w:p w14:paraId="5FD1B6EA">
            <w:pPr>
              <w:spacing w:line="440" w:lineRule="exact"/>
              <w:jc w:val="center"/>
              <w:rPr>
                <w:rFonts w:hint="eastAsia" w:ascii="宋体" w:hAnsi="宋体" w:eastAsia="宋体" w:cs="宋体"/>
                <w:color w:val="auto"/>
                <w:szCs w:val="21"/>
                <w:highlight w:val="none"/>
              </w:rPr>
            </w:pPr>
          </w:p>
        </w:tc>
        <w:tc>
          <w:tcPr>
            <w:tcW w:w="1233" w:type="dxa"/>
            <w:noWrap w:val="0"/>
            <w:vAlign w:val="top"/>
          </w:tcPr>
          <w:p w14:paraId="4F51B48C">
            <w:pPr>
              <w:spacing w:line="440" w:lineRule="exact"/>
              <w:jc w:val="center"/>
              <w:rPr>
                <w:rFonts w:hint="eastAsia" w:ascii="宋体" w:hAnsi="宋体" w:eastAsia="宋体" w:cs="宋体"/>
                <w:color w:val="auto"/>
                <w:szCs w:val="21"/>
                <w:highlight w:val="none"/>
              </w:rPr>
            </w:pPr>
          </w:p>
        </w:tc>
        <w:tc>
          <w:tcPr>
            <w:tcW w:w="956" w:type="dxa"/>
            <w:noWrap w:val="0"/>
            <w:vAlign w:val="top"/>
          </w:tcPr>
          <w:p w14:paraId="4F9DF374">
            <w:pPr>
              <w:spacing w:line="440" w:lineRule="exact"/>
              <w:jc w:val="center"/>
              <w:rPr>
                <w:rFonts w:hint="eastAsia" w:ascii="宋体" w:hAnsi="宋体" w:eastAsia="宋体" w:cs="宋体"/>
                <w:color w:val="auto"/>
                <w:szCs w:val="21"/>
                <w:highlight w:val="none"/>
              </w:rPr>
            </w:pPr>
          </w:p>
        </w:tc>
        <w:tc>
          <w:tcPr>
            <w:tcW w:w="1107" w:type="dxa"/>
            <w:noWrap w:val="0"/>
            <w:vAlign w:val="top"/>
          </w:tcPr>
          <w:p w14:paraId="3D9DBE9B">
            <w:pPr>
              <w:spacing w:line="440" w:lineRule="exact"/>
              <w:jc w:val="center"/>
              <w:rPr>
                <w:rFonts w:hint="eastAsia" w:ascii="宋体" w:hAnsi="宋体" w:eastAsia="宋体" w:cs="宋体"/>
                <w:color w:val="auto"/>
                <w:szCs w:val="21"/>
                <w:highlight w:val="none"/>
              </w:rPr>
            </w:pPr>
          </w:p>
        </w:tc>
        <w:tc>
          <w:tcPr>
            <w:tcW w:w="922" w:type="dxa"/>
            <w:noWrap w:val="0"/>
            <w:vAlign w:val="top"/>
          </w:tcPr>
          <w:p w14:paraId="31A94744">
            <w:pPr>
              <w:spacing w:line="440" w:lineRule="exact"/>
              <w:jc w:val="center"/>
              <w:rPr>
                <w:rFonts w:hint="eastAsia" w:ascii="宋体" w:hAnsi="宋体" w:eastAsia="宋体" w:cs="宋体"/>
                <w:color w:val="auto"/>
                <w:szCs w:val="21"/>
                <w:highlight w:val="none"/>
              </w:rPr>
            </w:pPr>
          </w:p>
        </w:tc>
        <w:tc>
          <w:tcPr>
            <w:tcW w:w="2170" w:type="dxa"/>
            <w:noWrap w:val="0"/>
            <w:vAlign w:val="top"/>
          </w:tcPr>
          <w:p w14:paraId="2206663F">
            <w:pPr>
              <w:spacing w:line="440" w:lineRule="exact"/>
              <w:jc w:val="center"/>
              <w:rPr>
                <w:rFonts w:hint="eastAsia" w:ascii="宋体" w:hAnsi="宋体" w:eastAsia="宋体" w:cs="宋体"/>
                <w:color w:val="auto"/>
                <w:szCs w:val="21"/>
                <w:highlight w:val="none"/>
              </w:rPr>
            </w:pPr>
          </w:p>
        </w:tc>
        <w:tc>
          <w:tcPr>
            <w:tcW w:w="1015" w:type="dxa"/>
            <w:noWrap w:val="0"/>
            <w:vAlign w:val="top"/>
          </w:tcPr>
          <w:p w14:paraId="2C54FE86">
            <w:pPr>
              <w:spacing w:line="440" w:lineRule="exact"/>
              <w:jc w:val="center"/>
              <w:rPr>
                <w:rFonts w:hint="eastAsia" w:ascii="宋体" w:hAnsi="宋体" w:eastAsia="宋体" w:cs="宋体"/>
                <w:color w:val="auto"/>
                <w:szCs w:val="21"/>
                <w:highlight w:val="none"/>
              </w:rPr>
            </w:pPr>
          </w:p>
        </w:tc>
      </w:tr>
      <w:tr w14:paraId="53DE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tcBorders>
              <w:top w:val="single" w:color="auto" w:sz="4" w:space="0"/>
              <w:left w:val="single" w:color="auto" w:sz="4" w:space="0"/>
              <w:bottom w:val="single" w:color="auto" w:sz="4" w:space="0"/>
              <w:right w:val="single" w:color="auto" w:sz="4" w:space="0"/>
            </w:tcBorders>
            <w:noWrap w:val="0"/>
            <w:vAlign w:val="top"/>
          </w:tcPr>
          <w:p w14:paraId="4930AA9F">
            <w:pPr>
              <w:spacing w:line="440" w:lineRule="exact"/>
              <w:jc w:val="center"/>
              <w:rPr>
                <w:rFonts w:hint="eastAsia" w:ascii="宋体" w:hAnsi="宋体" w:eastAsia="宋体" w:cs="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noWrap w:val="0"/>
            <w:vAlign w:val="top"/>
          </w:tcPr>
          <w:p w14:paraId="47294D02">
            <w:pPr>
              <w:spacing w:line="440" w:lineRule="exact"/>
              <w:jc w:val="center"/>
              <w:rPr>
                <w:rFonts w:hint="eastAsia" w:ascii="宋体" w:hAnsi="宋体" w:eastAsia="宋体" w:cs="宋体"/>
                <w:color w:val="auto"/>
                <w:szCs w:val="21"/>
                <w:highlight w:val="none"/>
              </w:rPr>
            </w:pPr>
          </w:p>
        </w:tc>
        <w:tc>
          <w:tcPr>
            <w:tcW w:w="847" w:type="dxa"/>
            <w:tcBorders>
              <w:top w:val="single" w:color="auto" w:sz="4" w:space="0"/>
              <w:left w:val="single" w:color="auto" w:sz="4" w:space="0"/>
              <w:bottom w:val="single" w:color="auto" w:sz="4" w:space="0"/>
              <w:right w:val="single" w:color="auto" w:sz="4" w:space="0"/>
            </w:tcBorders>
            <w:noWrap w:val="0"/>
            <w:vAlign w:val="top"/>
          </w:tcPr>
          <w:p w14:paraId="2F88ECAA">
            <w:pPr>
              <w:spacing w:line="440" w:lineRule="exact"/>
              <w:jc w:val="center"/>
              <w:rPr>
                <w:rFonts w:hint="eastAsia" w:ascii="宋体" w:hAnsi="宋体" w:eastAsia="宋体" w:cs="宋体"/>
                <w:color w:val="auto"/>
                <w:szCs w:val="21"/>
                <w:highlight w:val="none"/>
              </w:rPr>
            </w:pPr>
          </w:p>
        </w:tc>
        <w:tc>
          <w:tcPr>
            <w:tcW w:w="1233" w:type="dxa"/>
            <w:tcBorders>
              <w:top w:val="single" w:color="auto" w:sz="4" w:space="0"/>
              <w:left w:val="single" w:color="auto" w:sz="4" w:space="0"/>
              <w:bottom w:val="single" w:color="auto" w:sz="4" w:space="0"/>
              <w:right w:val="single" w:color="auto" w:sz="4" w:space="0"/>
            </w:tcBorders>
            <w:noWrap w:val="0"/>
            <w:vAlign w:val="top"/>
          </w:tcPr>
          <w:p w14:paraId="78819E85">
            <w:pPr>
              <w:spacing w:line="440" w:lineRule="exact"/>
              <w:jc w:val="center"/>
              <w:rPr>
                <w:rFonts w:hint="eastAsia" w:ascii="宋体" w:hAnsi="宋体" w:eastAsia="宋体" w:cs="宋体"/>
                <w:color w:val="auto"/>
                <w:szCs w:val="21"/>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14:paraId="43C40A5B">
            <w:pPr>
              <w:spacing w:line="440" w:lineRule="exact"/>
              <w:jc w:val="center"/>
              <w:rPr>
                <w:rFonts w:hint="eastAsia" w:ascii="宋体" w:hAnsi="宋体" w:eastAsia="宋体" w:cs="宋体"/>
                <w:color w:val="auto"/>
                <w:szCs w:val="21"/>
                <w:highlight w:val="none"/>
              </w:rPr>
            </w:pPr>
          </w:p>
        </w:tc>
        <w:tc>
          <w:tcPr>
            <w:tcW w:w="1107" w:type="dxa"/>
            <w:tcBorders>
              <w:top w:val="single" w:color="auto" w:sz="4" w:space="0"/>
              <w:left w:val="single" w:color="auto" w:sz="4" w:space="0"/>
              <w:bottom w:val="single" w:color="auto" w:sz="4" w:space="0"/>
              <w:right w:val="single" w:color="auto" w:sz="4" w:space="0"/>
            </w:tcBorders>
            <w:noWrap w:val="0"/>
            <w:vAlign w:val="top"/>
          </w:tcPr>
          <w:p w14:paraId="1F4822AB">
            <w:pPr>
              <w:spacing w:line="440" w:lineRule="exact"/>
              <w:jc w:val="center"/>
              <w:rPr>
                <w:rFonts w:hint="eastAsia" w:ascii="宋体" w:hAnsi="宋体" w:eastAsia="宋体" w:cs="宋体"/>
                <w:color w:val="auto"/>
                <w:szCs w:val="21"/>
                <w:highlight w:val="none"/>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5C3D3B3B">
            <w:pPr>
              <w:spacing w:line="440" w:lineRule="exact"/>
              <w:jc w:val="center"/>
              <w:rPr>
                <w:rFonts w:hint="eastAsia" w:ascii="宋体" w:hAnsi="宋体" w:eastAsia="宋体" w:cs="宋体"/>
                <w:color w:val="auto"/>
                <w:szCs w:val="21"/>
                <w:highlight w:val="none"/>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455B55E0">
            <w:pPr>
              <w:spacing w:line="440" w:lineRule="exact"/>
              <w:jc w:val="center"/>
              <w:rPr>
                <w:rFonts w:hint="eastAsia" w:ascii="宋体" w:hAnsi="宋体" w:eastAsia="宋体" w:cs="宋体"/>
                <w:color w:val="auto"/>
                <w:szCs w:val="21"/>
                <w:highlight w:val="none"/>
              </w:rPr>
            </w:pPr>
          </w:p>
        </w:tc>
        <w:tc>
          <w:tcPr>
            <w:tcW w:w="1015" w:type="dxa"/>
            <w:tcBorders>
              <w:top w:val="single" w:color="auto" w:sz="4" w:space="0"/>
              <w:left w:val="single" w:color="auto" w:sz="4" w:space="0"/>
              <w:bottom w:val="single" w:color="auto" w:sz="4" w:space="0"/>
              <w:right w:val="single" w:color="auto" w:sz="4" w:space="0"/>
            </w:tcBorders>
            <w:noWrap w:val="0"/>
            <w:vAlign w:val="top"/>
          </w:tcPr>
          <w:p w14:paraId="6DE265EF">
            <w:pPr>
              <w:spacing w:line="440" w:lineRule="exact"/>
              <w:jc w:val="center"/>
              <w:rPr>
                <w:rFonts w:hint="eastAsia" w:ascii="宋体" w:hAnsi="宋体" w:eastAsia="宋体" w:cs="宋体"/>
                <w:color w:val="auto"/>
                <w:szCs w:val="21"/>
                <w:highlight w:val="none"/>
              </w:rPr>
            </w:pPr>
          </w:p>
        </w:tc>
      </w:tr>
      <w:tr w14:paraId="36CC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tcBorders>
              <w:top w:val="single" w:color="auto" w:sz="4" w:space="0"/>
              <w:left w:val="single" w:color="auto" w:sz="4" w:space="0"/>
              <w:bottom w:val="single" w:color="auto" w:sz="4" w:space="0"/>
              <w:right w:val="single" w:color="auto" w:sz="4" w:space="0"/>
            </w:tcBorders>
            <w:noWrap w:val="0"/>
            <w:vAlign w:val="top"/>
          </w:tcPr>
          <w:p w14:paraId="76E973BD">
            <w:pPr>
              <w:spacing w:line="440" w:lineRule="exact"/>
              <w:jc w:val="center"/>
              <w:rPr>
                <w:rFonts w:hint="eastAsia" w:ascii="宋体" w:hAnsi="宋体" w:eastAsia="宋体" w:cs="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noWrap w:val="0"/>
            <w:vAlign w:val="top"/>
          </w:tcPr>
          <w:p w14:paraId="644F90C7">
            <w:pPr>
              <w:spacing w:line="440" w:lineRule="exact"/>
              <w:jc w:val="center"/>
              <w:rPr>
                <w:rFonts w:hint="eastAsia" w:ascii="宋体" w:hAnsi="宋体" w:eastAsia="宋体" w:cs="宋体"/>
                <w:color w:val="auto"/>
                <w:szCs w:val="21"/>
                <w:highlight w:val="none"/>
              </w:rPr>
            </w:pPr>
          </w:p>
        </w:tc>
        <w:tc>
          <w:tcPr>
            <w:tcW w:w="847" w:type="dxa"/>
            <w:tcBorders>
              <w:top w:val="single" w:color="auto" w:sz="4" w:space="0"/>
              <w:left w:val="single" w:color="auto" w:sz="4" w:space="0"/>
              <w:bottom w:val="single" w:color="auto" w:sz="4" w:space="0"/>
              <w:right w:val="single" w:color="auto" w:sz="4" w:space="0"/>
            </w:tcBorders>
            <w:noWrap w:val="0"/>
            <w:vAlign w:val="top"/>
          </w:tcPr>
          <w:p w14:paraId="496ACC7D">
            <w:pPr>
              <w:spacing w:line="440" w:lineRule="exact"/>
              <w:jc w:val="center"/>
              <w:rPr>
                <w:rFonts w:hint="eastAsia" w:ascii="宋体" w:hAnsi="宋体" w:eastAsia="宋体" w:cs="宋体"/>
                <w:color w:val="auto"/>
                <w:szCs w:val="21"/>
                <w:highlight w:val="none"/>
              </w:rPr>
            </w:pPr>
          </w:p>
        </w:tc>
        <w:tc>
          <w:tcPr>
            <w:tcW w:w="1233" w:type="dxa"/>
            <w:tcBorders>
              <w:top w:val="single" w:color="auto" w:sz="4" w:space="0"/>
              <w:left w:val="single" w:color="auto" w:sz="4" w:space="0"/>
              <w:bottom w:val="single" w:color="auto" w:sz="4" w:space="0"/>
              <w:right w:val="single" w:color="auto" w:sz="4" w:space="0"/>
            </w:tcBorders>
            <w:noWrap w:val="0"/>
            <w:vAlign w:val="top"/>
          </w:tcPr>
          <w:p w14:paraId="65F0BEBF">
            <w:pPr>
              <w:spacing w:line="440" w:lineRule="exact"/>
              <w:jc w:val="center"/>
              <w:rPr>
                <w:rFonts w:hint="eastAsia" w:ascii="宋体" w:hAnsi="宋体" w:eastAsia="宋体" w:cs="宋体"/>
                <w:color w:val="auto"/>
                <w:szCs w:val="21"/>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14:paraId="1F7C3115">
            <w:pPr>
              <w:spacing w:line="440" w:lineRule="exact"/>
              <w:jc w:val="center"/>
              <w:rPr>
                <w:rFonts w:hint="eastAsia" w:ascii="宋体" w:hAnsi="宋体" w:eastAsia="宋体" w:cs="宋体"/>
                <w:color w:val="auto"/>
                <w:szCs w:val="21"/>
                <w:highlight w:val="none"/>
              </w:rPr>
            </w:pPr>
          </w:p>
        </w:tc>
        <w:tc>
          <w:tcPr>
            <w:tcW w:w="1107" w:type="dxa"/>
            <w:tcBorders>
              <w:top w:val="single" w:color="auto" w:sz="4" w:space="0"/>
              <w:left w:val="single" w:color="auto" w:sz="4" w:space="0"/>
              <w:bottom w:val="single" w:color="auto" w:sz="4" w:space="0"/>
              <w:right w:val="single" w:color="auto" w:sz="4" w:space="0"/>
            </w:tcBorders>
            <w:noWrap w:val="0"/>
            <w:vAlign w:val="top"/>
          </w:tcPr>
          <w:p w14:paraId="09C77A79">
            <w:pPr>
              <w:spacing w:line="440" w:lineRule="exact"/>
              <w:jc w:val="center"/>
              <w:rPr>
                <w:rFonts w:hint="eastAsia" w:ascii="宋体" w:hAnsi="宋体" w:eastAsia="宋体" w:cs="宋体"/>
                <w:color w:val="auto"/>
                <w:szCs w:val="21"/>
                <w:highlight w:val="none"/>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323DCC8E">
            <w:pPr>
              <w:spacing w:line="440" w:lineRule="exact"/>
              <w:jc w:val="center"/>
              <w:rPr>
                <w:rFonts w:hint="eastAsia" w:ascii="宋体" w:hAnsi="宋体" w:eastAsia="宋体" w:cs="宋体"/>
                <w:color w:val="auto"/>
                <w:szCs w:val="21"/>
                <w:highlight w:val="none"/>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2BEDAE99">
            <w:pPr>
              <w:spacing w:line="440" w:lineRule="exact"/>
              <w:jc w:val="center"/>
              <w:rPr>
                <w:rFonts w:hint="eastAsia" w:ascii="宋体" w:hAnsi="宋体" w:eastAsia="宋体" w:cs="宋体"/>
                <w:color w:val="auto"/>
                <w:szCs w:val="21"/>
                <w:highlight w:val="none"/>
              </w:rPr>
            </w:pPr>
          </w:p>
        </w:tc>
        <w:tc>
          <w:tcPr>
            <w:tcW w:w="1015" w:type="dxa"/>
            <w:tcBorders>
              <w:top w:val="single" w:color="auto" w:sz="4" w:space="0"/>
              <w:left w:val="single" w:color="auto" w:sz="4" w:space="0"/>
              <w:bottom w:val="single" w:color="auto" w:sz="4" w:space="0"/>
              <w:right w:val="single" w:color="auto" w:sz="4" w:space="0"/>
            </w:tcBorders>
            <w:noWrap w:val="0"/>
            <w:vAlign w:val="top"/>
          </w:tcPr>
          <w:p w14:paraId="76624CEB">
            <w:pPr>
              <w:spacing w:line="440" w:lineRule="exact"/>
              <w:jc w:val="center"/>
              <w:rPr>
                <w:rFonts w:hint="eastAsia" w:ascii="宋体" w:hAnsi="宋体" w:eastAsia="宋体" w:cs="宋体"/>
                <w:color w:val="auto"/>
                <w:szCs w:val="21"/>
                <w:highlight w:val="none"/>
              </w:rPr>
            </w:pPr>
          </w:p>
        </w:tc>
      </w:tr>
      <w:tr w14:paraId="2382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tcBorders>
              <w:top w:val="single" w:color="auto" w:sz="4" w:space="0"/>
              <w:left w:val="single" w:color="auto" w:sz="4" w:space="0"/>
              <w:bottom w:val="single" w:color="auto" w:sz="4" w:space="0"/>
              <w:right w:val="single" w:color="auto" w:sz="4" w:space="0"/>
            </w:tcBorders>
            <w:noWrap w:val="0"/>
            <w:vAlign w:val="top"/>
          </w:tcPr>
          <w:p w14:paraId="4C1D5D9D">
            <w:pPr>
              <w:spacing w:line="440" w:lineRule="exact"/>
              <w:jc w:val="center"/>
              <w:rPr>
                <w:rFonts w:hint="eastAsia" w:ascii="宋体" w:hAnsi="宋体" w:eastAsia="宋体" w:cs="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noWrap w:val="0"/>
            <w:vAlign w:val="top"/>
          </w:tcPr>
          <w:p w14:paraId="2B4355AC">
            <w:pPr>
              <w:spacing w:line="440" w:lineRule="exact"/>
              <w:jc w:val="center"/>
              <w:rPr>
                <w:rFonts w:hint="eastAsia" w:ascii="宋体" w:hAnsi="宋体" w:eastAsia="宋体" w:cs="宋体"/>
                <w:color w:val="auto"/>
                <w:szCs w:val="21"/>
                <w:highlight w:val="none"/>
              </w:rPr>
            </w:pPr>
          </w:p>
        </w:tc>
        <w:tc>
          <w:tcPr>
            <w:tcW w:w="847" w:type="dxa"/>
            <w:tcBorders>
              <w:top w:val="single" w:color="auto" w:sz="4" w:space="0"/>
              <w:left w:val="single" w:color="auto" w:sz="4" w:space="0"/>
              <w:bottom w:val="single" w:color="auto" w:sz="4" w:space="0"/>
              <w:right w:val="single" w:color="auto" w:sz="4" w:space="0"/>
            </w:tcBorders>
            <w:noWrap w:val="0"/>
            <w:vAlign w:val="top"/>
          </w:tcPr>
          <w:p w14:paraId="3ED5E81A">
            <w:pPr>
              <w:spacing w:line="440" w:lineRule="exact"/>
              <w:jc w:val="center"/>
              <w:rPr>
                <w:rFonts w:hint="eastAsia" w:ascii="宋体" w:hAnsi="宋体" w:eastAsia="宋体" w:cs="宋体"/>
                <w:color w:val="auto"/>
                <w:szCs w:val="21"/>
                <w:highlight w:val="none"/>
              </w:rPr>
            </w:pPr>
          </w:p>
        </w:tc>
        <w:tc>
          <w:tcPr>
            <w:tcW w:w="1233" w:type="dxa"/>
            <w:tcBorders>
              <w:top w:val="single" w:color="auto" w:sz="4" w:space="0"/>
              <w:left w:val="single" w:color="auto" w:sz="4" w:space="0"/>
              <w:bottom w:val="single" w:color="auto" w:sz="4" w:space="0"/>
              <w:right w:val="single" w:color="auto" w:sz="4" w:space="0"/>
            </w:tcBorders>
            <w:noWrap w:val="0"/>
            <w:vAlign w:val="top"/>
          </w:tcPr>
          <w:p w14:paraId="7E672977">
            <w:pPr>
              <w:spacing w:line="440" w:lineRule="exact"/>
              <w:jc w:val="center"/>
              <w:rPr>
                <w:rFonts w:hint="eastAsia" w:ascii="宋体" w:hAnsi="宋体" w:eastAsia="宋体" w:cs="宋体"/>
                <w:color w:val="auto"/>
                <w:szCs w:val="21"/>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14:paraId="0234B56D">
            <w:pPr>
              <w:spacing w:line="440" w:lineRule="exact"/>
              <w:jc w:val="center"/>
              <w:rPr>
                <w:rFonts w:hint="eastAsia" w:ascii="宋体" w:hAnsi="宋体" w:eastAsia="宋体" w:cs="宋体"/>
                <w:color w:val="auto"/>
                <w:szCs w:val="21"/>
                <w:highlight w:val="none"/>
              </w:rPr>
            </w:pPr>
          </w:p>
        </w:tc>
        <w:tc>
          <w:tcPr>
            <w:tcW w:w="1107" w:type="dxa"/>
            <w:tcBorders>
              <w:top w:val="single" w:color="auto" w:sz="4" w:space="0"/>
              <w:left w:val="single" w:color="auto" w:sz="4" w:space="0"/>
              <w:bottom w:val="single" w:color="auto" w:sz="4" w:space="0"/>
              <w:right w:val="single" w:color="auto" w:sz="4" w:space="0"/>
            </w:tcBorders>
            <w:noWrap w:val="0"/>
            <w:vAlign w:val="top"/>
          </w:tcPr>
          <w:p w14:paraId="197D5E46">
            <w:pPr>
              <w:spacing w:line="440" w:lineRule="exact"/>
              <w:jc w:val="center"/>
              <w:rPr>
                <w:rFonts w:hint="eastAsia" w:ascii="宋体" w:hAnsi="宋体" w:eastAsia="宋体" w:cs="宋体"/>
                <w:color w:val="auto"/>
                <w:szCs w:val="21"/>
                <w:highlight w:val="none"/>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222EB41C">
            <w:pPr>
              <w:spacing w:line="440" w:lineRule="exact"/>
              <w:jc w:val="center"/>
              <w:rPr>
                <w:rFonts w:hint="eastAsia" w:ascii="宋体" w:hAnsi="宋体" w:eastAsia="宋体" w:cs="宋体"/>
                <w:color w:val="auto"/>
                <w:szCs w:val="21"/>
                <w:highlight w:val="none"/>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1E94F978">
            <w:pPr>
              <w:spacing w:line="440" w:lineRule="exact"/>
              <w:jc w:val="center"/>
              <w:rPr>
                <w:rFonts w:hint="eastAsia" w:ascii="宋体" w:hAnsi="宋体" w:eastAsia="宋体" w:cs="宋体"/>
                <w:color w:val="auto"/>
                <w:szCs w:val="21"/>
                <w:highlight w:val="none"/>
              </w:rPr>
            </w:pPr>
          </w:p>
        </w:tc>
        <w:tc>
          <w:tcPr>
            <w:tcW w:w="1015" w:type="dxa"/>
            <w:tcBorders>
              <w:top w:val="single" w:color="auto" w:sz="4" w:space="0"/>
              <w:left w:val="single" w:color="auto" w:sz="4" w:space="0"/>
              <w:bottom w:val="single" w:color="auto" w:sz="4" w:space="0"/>
              <w:right w:val="single" w:color="auto" w:sz="4" w:space="0"/>
            </w:tcBorders>
            <w:noWrap w:val="0"/>
            <w:vAlign w:val="top"/>
          </w:tcPr>
          <w:p w14:paraId="61CF3A15">
            <w:pPr>
              <w:spacing w:line="440" w:lineRule="exact"/>
              <w:jc w:val="center"/>
              <w:rPr>
                <w:rFonts w:hint="eastAsia" w:ascii="宋体" w:hAnsi="宋体" w:eastAsia="宋体" w:cs="宋体"/>
                <w:color w:val="auto"/>
                <w:szCs w:val="21"/>
                <w:highlight w:val="none"/>
              </w:rPr>
            </w:pPr>
          </w:p>
        </w:tc>
      </w:tr>
      <w:tr w14:paraId="18FC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tcBorders>
              <w:top w:val="single" w:color="auto" w:sz="4" w:space="0"/>
              <w:left w:val="single" w:color="auto" w:sz="4" w:space="0"/>
              <w:bottom w:val="single" w:color="auto" w:sz="4" w:space="0"/>
              <w:right w:val="single" w:color="auto" w:sz="4" w:space="0"/>
            </w:tcBorders>
            <w:noWrap w:val="0"/>
            <w:vAlign w:val="top"/>
          </w:tcPr>
          <w:p w14:paraId="62D38CD5">
            <w:pPr>
              <w:spacing w:line="440" w:lineRule="exact"/>
              <w:jc w:val="center"/>
              <w:rPr>
                <w:rFonts w:hint="eastAsia" w:ascii="宋体" w:hAnsi="宋体" w:eastAsia="宋体" w:cs="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noWrap w:val="0"/>
            <w:vAlign w:val="top"/>
          </w:tcPr>
          <w:p w14:paraId="357F4548">
            <w:pPr>
              <w:spacing w:line="440" w:lineRule="exact"/>
              <w:jc w:val="center"/>
              <w:rPr>
                <w:rFonts w:hint="eastAsia" w:ascii="宋体" w:hAnsi="宋体" w:eastAsia="宋体" w:cs="宋体"/>
                <w:color w:val="auto"/>
                <w:szCs w:val="21"/>
                <w:highlight w:val="none"/>
              </w:rPr>
            </w:pPr>
          </w:p>
        </w:tc>
        <w:tc>
          <w:tcPr>
            <w:tcW w:w="847" w:type="dxa"/>
            <w:tcBorders>
              <w:top w:val="single" w:color="auto" w:sz="4" w:space="0"/>
              <w:left w:val="single" w:color="auto" w:sz="4" w:space="0"/>
              <w:bottom w:val="single" w:color="auto" w:sz="4" w:space="0"/>
              <w:right w:val="single" w:color="auto" w:sz="4" w:space="0"/>
            </w:tcBorders>
            <w:noWrap w:val="0"/>
            <w:vAlign w:val="top"/>
          </w:tcPr>
          <w:p w14:paraId="117D1229">
            <w:pPr>
              <w:spacing w:line="440" w:lineRule="exact"/>
              <w:jc w:val="center"/>
              <w:rPr>
                <w:rFonts w:hint="eastAsia" w:ascii="宋体" w:hAnsi="宋体" w:eastAsia="宋体" w:cs="宋体"/>
                <w:color w:val="auto"/>
                <w:szCs w:val="21"/>
                <w:highlight w:val="none"/>
              </w:rPr>
            </w:pPr>
          </w:p>
        </w:tc>
        <w:tc>
          <w:tcPr>
            <w:tcW w:w="1233" w:type="dxa"/>
            <w:tcBorders>
              <w:top w:val="single" w:color="auto" w:sz="4" w:space="0"/>
              <w:left w:val="single" w:color="auto" w:sz="4" w:space="0"/>
              <w:bottom w:val="single" w:color="auto" w:sz="4" w:space="0"/>
              <w:right w:val="single" w:color="auto" w:sz="4" w:space="0"/>
            </w:tcBorders>
            <w:noWrap w:val="0"/>
            <w:vAlign w:val="top"/>
          </w:tcPr>
          <w:p w14:paraId="62F06BD3">
            <w:pPr>
              <w:spacing w:line="440" w:lineRule="exact"/>
              <w:jc w:val="center"/>
              <w:rPr>
                <w:rFonts w:hint="eastAsia" w:ascii="宋体" w:hAnsi="宋体" w:eastAsia="宋体" w:cs="宋体"/>
                <w:color w:val="auto"/>
                <w:szCs w:val="21"/>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14:paraId="2E5ADA93">
            <w:pPr>
              <w:spacing w:line="440" w:lineRule="exact"/>
              <w:jc w:val="center"/>
              <w:rPr>
                <w:rFonts w:hint="eastAsia" w:ascii="宋体" w:hAnsi="宋体" w:eastAsia="宋体" w:cs="宋体"/>
                <w:color w:val="auto"/>
                <w:szCs w:val="21"/>
                <w:highlight w:val="none"/>
              </w:rPr>
            </w:pPr>
          </w:p>
        </w:tc>
        <w:tc>
          <w:tcPr>
            <w:tcW w:w="1107" w:type="dxa"/>
            <w:tcBorders>
              <w:top w:val="single" w:color="auto" w:sz="4" w:space="0"/>
              <w:left w:val="single" w:color="auto" w:sz="4" w:space="0"/>
              <w:bottom w:val="single" w:color="auto" w:sz="4" w:space="0"/>
              <w:right w:val="single" w:color="auto" w:sz="4" w:space="0"/>
            </w:tcBorders>
            <w:noWrap w:val="0"/>
            <w:vAlign w:val="top"/>
          </w:tcPr>
          <w:p w14:paraId="43BB743D">
            <w:pPr>
              <w:spacing w:line="440" w:lineRule="exact"/>
              <w:jc w:val="center"/>
              <w:rPr>
                <w:rFonts w:hint="eastAsia" w:ascii="宋体" w:hAnsi="宋体" w:eastAsia="宋体" w:cs="宋体"/>
                <w:color w:val="auto"/>
                <w:szCs w:val="21"/>
                <w:highlight w:val="none"/>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2425509D">
            <w:pPr>
              <w:spacing w:line="440" w:lineRule="exact"/>
              <w:jc w:val="center"/>
              <w:rPr>
                <w:rFonts w:hint="eastAsia" w:ascii="宋体" w:hAnsi="宋体" w:eastAsia="宋体" w:cs="宋体"/>
                <w:color w:val="auto"/>
                <w:szCs w:val="21"/>
                <w:highlight w:val="none"/>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54FEE3AE">
            <w:pPr>
              <w:spacing w:line="440" w:lineRule="exact"/>
              <w:jc w:val="center"/>
              <w:rPr>
                <w:rFonts w:hint="eastAsia" w:ascii="宋体" w:hAnsi="宋体" w:eastAsia="宋体" w:cs="宋体"/>
                <w:color w:val="auto"/>
                <w:szCs w:val="21"/>
                <w:highlight w:val="none"/>
              </w:rPr>
            </w:pPr>
          </w:p>
        </w:tc>
        <w:tc>
          <w:tcPr>
            <w:tcW w:w="1015" w:type="dxa"/>
            <w:tcBorders>
              <w:top w:val="single" w:color="auto" w:sz="4" w:space="0"/>
              <w:left w:val="single" w:color="auto" w:sz="4" w:space="0"/>
              <w:bottom w:val="single" w:color="auto" w:sz="4" w:space="0"/>
              <w:right w:val="single" w:color="auto" w:sz="4" w:space="0"/>
            </w:tcBorders>
            <w:noWrap w:val="0"/>
            <w:vAlign w:val="top"/>
          </w:tcPr>
          <w:p w14:paraId="5D3987C4">
            <w:pPr>
              <w:spacing w:line="440" w:lineRule="exact"/>
              <w:jc w:val="center"/>
              <w:rPr>
                <w:rFonts w:hint="eastAsia" w:ascii="宋体" w:hAnsi="宋体" w:eastAsia="宋体" w:cs="宋体"/>
                <w:color w:val="auto"/>
                <w:szCs w:val="21"/>
                <w:highlight w:val="none"/>
              </w:rPr>
            </w:pPr>
          </w:p>
        </w:tc>
      </w:tr>
      <w:tr w14:paraId="65F7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tcBorders>
              <w:top w:val="single" w:color="auto" w:sz="4" w:space="0"/>
              <w:left w:val="single" w:color="auto" w:sz="4" w:space="0"/>
              <w:bottom w:val="single" w:color="auto" w:sz="4" w:space="0"/>
              <w:right w:val="single" w:color="auto" w:sz="4" w:space="0"/>
            </w:tcBorders>
            <w:noWrap w:val="0"/>
            <w:vAlign w:val="top"/>
          </w:tcPr>
          <w:p w14:paraId="1B8D5FE3">
            <w:pPr>
              <w:spacing w:line="440" w:lineRule="exact"/>
              <w:jc w:val="center"/>
              <w:rPr>
                <w:rFonts w:hint="eastAsia" w:ascii="宋体" w:hAnsi="宋体" w:eastAsia="宋体" w:cs="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noWrap w:val="0"/>
            <w:vAlign w:val="top"/>
          </w:tcPr>
          <w:p w14:paraId="6173D533">
            <w:pPr>
              <w:spacing w:line="440" w:lineRule="exact"/>
              <w:jc w:val="center"/>
              <w:rPr>
                <w:rFonts w:hint="eastAsia" w:ascii="宋体" w:hAnsi="宋体" w:eastAsia="宋体" w:cs="宋体"/>
                <w:color w:val="auto"/>
                <w:szCs w:val="21"/>
                <w:highlight w:val="none"/>
              </w:rPr>
            </w:pPr>
          </w:p>
        </w:tc>
        <w:tc>
          <w:tcPr>
            <w:tcW w:w="847" w:type="dxa"/>
            <w:tcBorders>
              <w:top w:val="single" w:color="auto" w:sz="4" w:space="0"/>
              <w:left w:val="single" w:color="auto" w:sz="4" w:space="0"/>
              <w:bottom w:val="single" w:color="auto" w:sz="4" w:space="0"/>
              <w:right w:val="single" w:color="auto" w:sz="4" w:space="0"/>
            </w:tcBorders>
            <w:noWrap w:val="0"/>
            <w:vAlign w:val="top"/>
          </w:tcPr>
          <w:p w14:paraId="3DC7508A">
            <w:pPr>
              <w:spacing w:line="440" w:lineRule="exact"/>
              <w:jc w:val="center"/>
              <w:rPr>
                <w:rFonts w:hint="eastAsia" w:ascii="宋体" w:hAnsi="宋体" w:eastAsia="宋体" w:cs="宋体"/>
                <w:color w:val="auto"/>
                <w:szCs w:val="21"/>
                <w:highlight w:val="none"/>
              </w:rPr>
            </w:pPr>
          </w:p>
        </w:tc>
        <w:tc>
          <w:tcPr>
            <w:tcW w:w="1233" w:type="dxa"/>
            <w:tcBorders>
              <w:top w:val="single" w:color="auto" w:sz="4" w:space="0"/>
              <w:left w:val="single" w:color="auto" w:sz="4" w:space="0"/>
              <w:bottom w:val="single" w:color="auto" w:sz="4" w:space="0"/>
              <w:right w:val="single" w:color="auto" w:sz="4" w:space="0"/>
            </w:tcBorders>
            <w:noWrap w:val="0"/>
            <w:vAlign w:val="top"/>
          </w:tcPr>
          <w:p w14:paraId="415B105E">
            <w:pPr>
              <w:spacing w:line="440" w:lineRule="exact"/>
              <w:jc w:val="center"/>
              <w:rPr>
                <w:rFonts w:hint="eastAsia" w:ascii="宋体" w:hAnsi="宋体" w:eastAsia="宋体" w:cs="宋体"/>
                <w:color w:val="auto"/>
                <w:szCs w:val="21"/>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14:paraId="2A687A30">
            <w:pPr>
              <w:spacing w:line="440" w:lineRule="exact"/>
              <w:jc w:val="center"/>
              <w:rPr>
                <w:rFonts w:hint="eastAsia" w:ascii="宋体" w:hAnsi="宋体" w:eastAsia="宋体" w:cs="宋体"/>
                <w:color w:val="auto"/>
                <w:szCs w:val="21"/>
                <w:highlight w:val="none"/>
              </w:rPr>
            </w:pPr>
          </w:p>
        </w:tc>
        <w:tc>
          <w:tcPr>
            <w:tcW w:w="1107" w:type="dxa"/>
            <w:tcBorders>
              <w:top w:val="single" w:color="auto" w:sz="4" w:space="0"/>
              <w:left w:val="single" w:color="auto" w:sz="4" w:space="0"/>
              <w:bottom w:val="single" w:color="auto" w:sz="4" w:space="0"/>
              <w:right w:val="single" w:color="auto" w:sz="4" w:space="0"/>
            </w:tcBorders>
            <w:noWrap w:val="0"/>
            <w:vAlign w:val="top"/>
          </w:tcPr>
          <w:p w14:paraId="2CD0250E">
            <w:pPr>
              <w:spacing w:line="440" w:lineRule="exact"/>
              <w:jc w:val="center"/>
              <w:rPr>
                <w:rFonts w:hint="eastAsia" w:ascii="宋体" w:hAnsi="宋体" w:eastAsia="宋体" w:cs="宋体"/>
                <w:color w:val="auto"/>
                <w:szCs w:val="21"/>
                <w:highlight w:val="none"/>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742C140A">
            <w:pPr>
              <w:spacing w:line="440" w:lineRule="exact"/>
              <w:jc w:val="center"/>
              <w:rPr>
                <w:rFonts w:hint="eastAsia" w:ascii="宋体" w:hAnsi="宋体" w:eastAsia="宋体" w:cs="宋体"/>
                <w:color w:val="auto"/>
                <w:szCs w:val="21"/>
                <w:highlight w:val="none"/>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3C98EF8B">
            <w:pPr>
              <w:spacing w:line="440" w:lineRule="exact"/>
              <w:jc w:val="center"/>
              <w:rPr>
                <w:rFonts w:hint="eastAsia" w:ascii="宋体" w:hAnsi="宋体" w:eastAsia="宋体" w:cs="宋体"/>
                <w:color w:val="auto"/>
                <w:szCs w:val="21"/>
                <w:highlight w:val="none"/>
              </w:rPr>
            </w:pPr>
          </w:p>
        </w:tc>
        <w:tc>
          <w:tcPr>
            <w:tcW w:w="1015" w:type="dxa"/>
            <w:tcBorders>
              <w:top w:val="single" w:color="auto" w:sz="4" w:space="0"/>
              <w:left w:val="single" w:color="auto" w:sz="4" w:space="0"/>
              <w:bottom w:val="single" w:color="auto" w:sz="4" w:space="0"/>
              <w:right w:val="single" w:color="auto" w:sz="4" w:space="0"/>
            </w:tcBorders>
            <w:noWrap w:val="0"/>
            <w:vAlign w:val="top"/>
          </w:tcPr>
          <w:p w14:paraId="29B1926B">
            <w:pPr>
              <w:spacing w:line="440" w:lineRule="exact"/>
              <w:jc w:val="center"/>
              <w:rPr>
                <w:rFonts w:hint="eastAsia" w:ascii="宋体" w:hAnsi="宋体" w:eastAsia="宋体" w:cs="宋体"/>
                <w:color w:val="auto"/>
                <w:szCs w:val="21"/>
                <w:highlight w:val="none"/>
              </w:rPr>
            </w:pPr>
          </w:p>
        </w:tc>
      </w:tr>
      <w:tr w14:paraId="66B3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tcBorders>
              <w:top w:val="single" w:color="auto" w:sz="4" w:space="0"/>
              <w:left w:val="single" w:color="auto" w:sz="4" w:space="0"/>
              <w:bottom w:val="single" w:color="auto" w:sz="4" w:space="0"/>
              <w:right w:val="single" w:color="auto" w:sz="4" w:space="0"/>
            </w:tcBorders>
            <w:noWrap w:val="0"/>
            <w:vAlign w:val="top"/>
          </w:tcPr>
          <w:p w14:paraId="42944542">
            <w:pPr>
              <w:spacing w:line="440" w:lineRule="exact"/>
              <w:jc w:val="center"/>
              <w:rPr>
                <w:rFonts w:hint="eastAsia" w:ascii="宋体" w:hAnsi="宋体" w:eastAsia="宋体" w:cs="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noWrap w:val="0"/>
            <w:vAlign w:val="top"/>
          </w:tcPr>
          <w:p w14:paraId="08477926">
            <w:pPr>
              <w:spacing w:line="440" w:lineRule="exact"/>
              <w:jc w:val="center"/>
              <w:rPr>
                <w:rFonts w:hint="eastAsia" w:ascii="宋体" w:hAnsi="宋体" w:eastAsia="宋体" w:cs="宋体"/>
                <w:color w:val="auto"/>
                <w:szCs w:val="21"/>
                <w:highlight w:val="none"/>
              </w:rPr>
            </w:pPr>
          </w:p>
        </w:tc>
        <w:tc>
          <w:tcPr>
            <w:tcW w:w="847" w:type="dxa"/>
            <w:tcBorders>
              <w:top w:val="single" w:color="auto" w:sz="4" w:space="0"/>
              <w:left w:val="single" w:color="auto" w:sz="4" w:space="0"/>
              <w:bottom w:val="single" w:color="auto" w:sz="4" w:space="0"/>
              <w:right w:val="single" w:color="auto" w:sz="4" w:space="0"/>
            </w:tcBorders>
            <w:noWrap w:val="0"/>
            <w:vAlign w:val="top"/>
          </w:tcPr>
          <w:p w14:paraId="31B7B0F0">
            <w:pPr>
              <w:spacing w:line="440" w:lineRule="exact"/>
              <w:jc w:val="center"/>
              <w:rPr>
                <w:rFonts w:hint="eastAsia" w:ascii="宋体" w:hAnsi="宋体" w:eastAsia="宋体" w:cs="宋体"/>
                <w:color w:val="auto"/>
                <w:szCs w:val="21"/>
                <w:highlight w:val="none"/>
              </w:rPr>
            </w:pPr>
          </w:p>
        </w:tc>
        <w:tc>
          <w:tcPr>
            <w:tcW w:w="1233" w:type="dxa"/>
            <w:tcBorders>
              <w:top w:val="single" w:color="auto" w:sz="4" w:space="0"/>
              <w:left w:val="single" w:color="auto" w:sz="4" w:space="0"/>
              <w:bottom w:val="single" w:color="auto" w:sz="4" w:space="0"/>
              <w:right w:val="single" w:color="auto" w:sz="4" w:space="0"/>
            </w:tcBorders>
            <w:noWrap w:val="0"/>
            <w:vAlign w:val="top"/>
          </w:tcPr>
          <w:p w14:paraId="04773DC5">
            <w:pPr>
              <w:spacing w:line="440" w:lineRule="exact"/>
              <w:jc w:val="center"/>
              <w:rPr>
                <w:rFonts w:hint="eastAsia" w:ascii="宋体" w:hAnsi="宋体" w:eastAsia="宋体" w:cs="宋体"/>
                <w:color w:val="auto"/>
                <w:szCs w:val="21"/>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14:paraId="44131242">
            <w:pPr>
              <w:spacing w:line="440" w:lineRule="exact"/>
              <w:jc w:val="center"/>
              <w:rPr>
                <w:rFonts w:hint="eastAsia" w:ascii="宋体" w:hAnsi="宋体" w:eastAsia="宋体" w:cs="宋体"/>
                <w:color w:val="auto"/>
                <w:szCs w:val="21"/>
                <w:highlight w:val="none"/>
              </w:rPr>
            </w:pPr>
          </w:p>
        </w:tc>
        <w:tc>
          <w:tcPr>
            <w:tcW w:w="1107" w:type="dxa"/>
            <w:tcBorders>
              <w:top w:val="single" w:color="auto" w:sz="4" w:space="0"/>
              <w:left w:val="single" w:color="auto" w:sz="4" w:space="0"/>
              <w:bottom w:val="single" w:color="auto" w:sz="4" w:space="0"/>
              <w:right w:val="single" w:color="auto" w:sz="4" w:space="0"/>
            </w:tcBorders>
            <w:noWrap w:val="0"/>
            <w:vAlign w:val="top"/>
          </w:tcPr>
          <w:p w14:paraId="3CF0F320">
            <w:pPr>
              <w:spacing w:line="440" w:lineRule="exact"/>
              <w:jc w:val="center"/>
              <w:rPr>
                <w:rFonts w:hint="eastAsia" w:ascii="宋体" w:hAnsi="宋体" w:eastAsia="宋体" w:cs="宋体"/>
                <w:color w:val="auto"/>
                <w:szCs w:val="21"/>
                <w:highlight w:val="none"/>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5A21E4D7">
            <w:pPr>
              <w:spacing w:line="440" w:lineRule="exact"/>
              <w:jc w:val="center"/>
              <w:rPr>
                <w:rFonts w:hint="eastAsia" w:ascii="宋体" w:hAnsi="宋体" w:eastAsia="宋体" w:cs="宋体"/>
                <w:color w:val="auto"/>
                <w:szCs w:val="21"/>
                <w:highlight w:val="none"/>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75F8C03D">
            <w:pPr>
              <w:spacing w:line="440" w:lineRule="exact"/>
              <w:jc w:val="center"/>
              <w:rPr>
                <w:rFonts w:hint="eastAsia" w:ascii="宋体" w:hAnsi="宋体" w:eastAsia="宋体" w:cs="宋体"/>
                <w:color w:val="auto"/>
                <w:szCs w:val="21"/>
                <w:highlight w:val="none"/>
              </w:rPr>
            </w:pPr>
          </w:p>
        </w:tc>
        <w:tc>
          <w:tcPr>
            <w:tcW w:w="1015" w:type="dxa"/>
            <w:tcBorders>
              <w:top w:val="single" w:color="auto" w:sz="4" w:space="0"/>
              <w:left w:val="single" w:color="auto" w:sz="4" w:space="0"/>
              <w:bottom w:val="single" w:color="auto" w:sz="4" w:space="0"/>
              <w:right w:val="single" w:color="auto" w:sz="4" w:space="0"/>
            </w:tcBorders>
            <w:noWrap w:val="0"/>
            <w:vAlign w:val="top"/>
          </w:tcPr>
          <w:p w14:paraId="11BC22BB">
            <w:pPr>
              <w:spacing w:line="440" w:lineRule="exact"/>
              <w:jc w:val="center"/>
              <w:rPr>
                <w:rFonts w:hint="eastAsia" w:ascii="宋体" w:hAnsi="宋体" w:eastAsia="宋体" w:cs="宋体"/>
                <w:color w:val="auto"/>
                <w:szCs w:val="21"/>
                <w:highlight w:val="none"/>
              </w:rPr>
            </w:pPr>
          </w:p>
        </w:tc>
      </w:tr>
      <w:tr w14:paraId="1DB0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tcBorders>
              <w:top w:val="single" w:color="auto" w:sz="4" w:space="0"/>
              <w:left w:val="single" w:color="auto" w:sz="4" w:space="0"/>
              <w:bottom w:val="single" w:color="auto" w:sz="4" w:space="0"/>
              <w:right w:val="single" w:color="auto" w:sz="4" w:space="0"/>
            </w:tcBorders>
            <w:noWrap w:val="0"/>
            <w:vAlign w:val="top"/>
          </w:tcPr>
          <w:p w14:paraId="6798DBB3">
            <w:pPr>
              <w:spacing w:line="440" w:lineRule="exact"/>
              <w:jc w:val="center"/>
              <w:rPr>
                <w:rFonts w:hint="eastAsia" w:ascii="宋体" w:hAnsi="宋体" w:eastAsia="宋体" w:cs="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noWrap w:val="0"/>
            <w:vAlign w:val="top"/>
          </w:tcPr>
          <w:p w14:paraId="386FCEDC">
            <w:pPr>
              <w:spacing w:line="440" w:lineRule="exact"/>
              <w:jc w:val="center"/>
              <w:rPr>
                <w:rFonts w:hint="eastAsia" w:ascii="宋体" w:hAnsi="宋体" w:eastAsia="宋体" w:cs="宋体"/>
                <w:color w:val="auto"/>
                <w:szCs w:val="21"/>
                <w:highlight w:val="none"/>
              </w:rPr>
            </w:pPr>
          </w:p>
        </w:tc>
        <w:tc>
          <w:tcPr>
            <w:tcW w:w="847" w:type="dxa"/>
            <w:tcBorders>
              <w:top w:val="single" w:color="auto" w:sz="4" w:space="0"/>
              <w:left w:val="single" w:color="auto" w:sz="4" w:space="0"/>
              <w:bottom w:val="single" w:color="auto" w:sz="4" w:space="0"/>
              <w:right w:val="single" w:color="auto" w:sz="4" w:space="0"/>
            </w:tcBorders>
            <w:noWrap w:val="0"/>
            <w:vAlign w:val="top"/>
          </w:tcPr>
          <w:p w14:paraId="496D936E">
            <w:pPr>
              <w:spacing w:line="440" w:lineRule="exact"/>
              <w:jc w:val="center"/>
              <w:rPr>
                <w:rFonts w:hint="eastAsia" w:ascii="宋体" w:hAnsi="宋体" w:eastAsia="宋体" w:cs="宋体"/>
                <w:color w:val="auto"/>
                <w:szCs w:val="21"/>
                <w:highlight w:val="none"/>
              </w:rPr>
            </w:pPr>
          </w:p>
        </w:tc>
        <w:tc>
          <w:tcPr>
            <w:tcW w:w="1233" w:type="dxa"/>
            <w:tcBorders>
              <w:top w:val="single" w:color="auto" w:sz="4" w:space="0"/>
              <w:left w:val="single" w:color="auto" w:sz="4" w:space="0"/>
              <w:bottom w:val="single" w:color="auto" w:sz="4" w:space="0"/>
              <w:right w:val="single" w:color="auto" w:sz="4" w:space="0"/>
            </w:tcBorders>
            <w:noWrap w:val="0"/>
            <w:vAlign w:val="top"/>
          </w:tcPr>
          <w:p w14:paraId="0C45C665">
            <w:pPr>
              <w:spacing w:line="440" w:lineRule="exact"/>
              <w:jc w:val="center"/>
              <w:rPr>
                <w:rFonts w:hint="eastAsia" w:ascii="宋体" w:hAnsi="宋体" w:eastAsia="宋体" w:cs="宋体"/>
                <w:color w:val="auto"/>
                <w:szCs w:val="21"/>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14:paraId="17DD1820">
            <w:pPr>
              <w:spacing w:line="440" w:lineRule="exact"/>
              <w:jc w:val="center"/>
              <w:rPr>
                <w:rFonts w:hint="eastAsia" w:ascii="宋体" w:hAnsi="宋体" w:eastAsia="宋体" w:cs="宋体"/>
                <w:color w:val="auto"/>
                <w:szCs w:val="21"/>
                <w:highlight w:val="none"/>
              </w:rPr>
            </w:pPr>
          </w:p>
        </w:tc>
        <w:tc>
          <w:tcPr>
            <w:tcW w:w="1107" w:type="dxa"/>
            <w:tcBorders>
              <w:top w:val="single" w:color="auto" w:sz="4" w:space="0"/>
              <w:left w:val="single" w:color="auto" w:sz="4" w:space="0"/>
              <w:bottom w:val="single" w:color="auto" w:sz="4" w:space="0"/>
              <w:right w:val="single" w:color="auto" w:sz="4" w:space="0"/>
            </w:tcBorders>
            <w:noWrap w:val="0"/>
            <w:vAlign w:val="top"/>
          </w:tcPr>
          <w:p w14:paraId="121ADBA4">
            <w:pPr>
              <w:spacing w:line="440" w:lineRule="exact"/>
              <w:jc w:val="center"/>
              <w:rPr>
                <w:rFonts w:hint="eastAsia" w:ascii="宋体" w:hAnsi="宋体" w:eastAsia="宋体" w:cs="宋体"/>
                <w:color w:val="auto"/>
                <w:szCs w:val="21"/>
                <w:highlight w:val="none"/>
              </w:rPr>
            </w:pPr>
          </w:p>
        </w:tc>
        <w:tc>
          <w:tcPr>
            <w:tcW w:w="922" w:type="dxa"/>
            <w:tcBorders>
              <w:top w:val="single" w:color="auto" w:sz="4" w:space="0"/>
              <w:left w:val="single" w:color="auto" w:sz="4" w:space="0"/>
              <w:bottom w:val="single" w:color="auto" w:sz="4" w:space="0"/>
              <w:right w:val="single" w:color="auto" w:sz="4" w:space="0"/>
            </w:tcBorders>
            <w:noWrap w:val="0"/>
            <w:vAlign w:val="top"/>
          </w:tcPr>
          <w:p w14:paraId="671D0092">
            <w:pPr>
              <w:spacing w:line="440" w:lineRule="exact"/>
              <w:jc w:val="center"/>
              <w:rPr>
                <w:rFonts w:hint="eastAsia" w:ascii="宋体" w:hAnsi="宋体" w:eastAsia="宋体" w:cs="宋体"/>
                <w:color w:val="auto"/>
                <w:szCs w:val="21"/>
                <w:highlight w:val="none"/>
              </w:rPr>
            </w:pPr>
          </w:p>
        </w:tc>
        <w:tc>
          <w:tcPr>
            <w:tcW w:w="2170" w:type="dxa"/>
            <w:tcBorders>
              <w:top w:val="single" w:color="auto" w:sz="4" w:space="0"/>
              <w:left w:val="single" w:color="auto" w:sz="4" w:space="0"/>
              <w:bottom w:val="single" w:color="auto" w:sz="4" w:space="0"/>
              <w:right w:val="single" w:color="auto" w:sz="4" w:space="0"/>
            </w:tcBorders>
            <w:noWrap w:val="0"/>
            <w:vAlign w:val="top"/>
          </w:tcPr>
          <w:p w14:paraId="79511DF4">
            <w:pPr>
              <w:spacing w:line="440" w:lineRule="exact"/>
              <w:jc w:val="center"/>
              <w:rPr>
                <w:rFonts w:hint="eastAsia" w:ascii="宋体" w:hAnsi="宋体" w:eastAsia="宋体" w:cs="宋体"/>
                <w:color w:val="auto"/>
                <w:szCs w:val="21"/>
                <w:highlight w:val="none"/>
              </w:rPr>
            </w:pPr>
          </w:p>
        </w:tc>
        <w:tc>
          <w:tcPr>
            <w:tcW w:w="1015" w:type="dxa"/>
            <w:tcBorders>
              <w:top w:val="single" w:color="auto" w:sz="4" w:space="0"/>
              <w:left w:val="single" w:color="auto" w:sz="4" w:space="0"/>
              <w:bottom w:val="single" w:color="auto" w:sz="4" w:space="0"/>
              <w:right w:val="single" w:color="auto" w:sz="4" w:space="0"/>
            </w:tcBorders>
            <w:noWrap w:val="0"/>
            <w:vAlign w:val="top"/>
          </w:tcPr>
          <w:p w14:paraId="37DA3F88">
            <w:pPr>
              <w:spacing w:line="440" w:lineRule="exact"/>
              <w:jc w:val="center"/>
              <w:rPr>
                <w:rFonts w:hint="eastAsia" w:ascii="宋体" w:hAnsi="宋体" w:eastAsia="宋体" w:cs="宋体"/>
                <w:color w:val="auto"/>
                <w:szCs w:val="21"/>
                <w:highlight w:val="none"/>
              </w:rPr>
            </w:pPr>
          </w:p>
        </w:tc>
      </w:tr>
    </w:tbl>
    <w:p w14:paraId="212B35D1">
      <w:pPr>
        <w:pStyle w:val="18"/>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注：本项目人员配备，</w:t>
      </w:r>
      <w:r>
        <w:rPr>
          <w:rFonts w:hint="eastAsia" w:ascii="宋体" w:hAnsi="宋体" w:cs="宋体"/>
          <w:b/>
          <w:bCs/>
          <w:color w:val="auto"/>
          <w:sz w:val="24"/>
          <w:highlight w:val="none"/>
          <w:lang w:val="en-US" w:eastAsia="zh-CN"/>
        </w:rPr>
        <w:t>投标人</w:t>
      </w:r>
      <w:r>
        <w:rPr>
          <w:rFonts w:hint="eastAsia" w:ascii="宋体" w:hAnsi="宋体" w:eastAsia="宋体" w:cs="宋体"/>
          <w:b/>
          <w:bCs/>
          <w:color w:val="auto"/>
          <w:sz w:val="24"/>
          <w:highlight w:val="none"/>
          <w:lang w:val="en-US" w:eastAsia="zh-CN"/>
        </w:rPr>
        <w:t>需根据项目情况配备且须满足实际需求，提供人员相关证书复印件</w:t>
      </w:r>
      <w:r>
        <w:rPr>
          <w:rFonts w:hint="eastAsia" w:ascii="宋体" w:hAnsi="宋体" w:cs="宋体"/>
          <w:b/>
          <w:bCs/>
          <w:color w:val="auto"/>
          <w:sz w:val="24"/>
          <w:highlight w:val="none"/>
          <w:lang w:val="en-US" w:eastAsia="zh-CN"/>
        </w:rPr>
        <w:t>。</w:t>
      </w:r>
    </w:p>
    <w:p w14:paraId="6B51243D">
      <w:pPr>
        <w:rPr>
          <w:rFonts w:hint="eastAsia" w:ascii="宋体" w:hAnsi="宋体" w:eastAsia="宋体" w:cs="宋体"/>
          <w:b/>
          <w:bCs/>
          <w:color w:val="auto"/>
          <w:sz w:val="24"/>
          <w:highlight w:val="none"/>
        </w:rPr>
      </w:pPr>
    </w:p>
    <w:p w14:paraId="79D95B7A">
      <w:pPr>
        <w:pStyle w:val="18"/>
        <w:rPr>
          <w:rFonts w:hint="eastAsia" w:ascii="宋体" w:hAnsi="宋体" w:eastAsia="宋体" w:cs="宋体"/>
          <w:b/>
          <w:bCs/>
          <w:color w:val="auto"/>
          <w:sz w:val="24"/>
          <w:highlight w:val="none"/>
        </w:rPr>
      </w:pPr>
    </w:p>
    <w:p w14:paraId="0835E98D">
      <w:pPr>
        <w:rPr>
          <w:rFonts w:hint="eastAsia" w:ascii="宋体" w:hAnsi="宋体" w:eastAsia="宋体" w:cs="宋体"/>
          <w:b/>
          <w:bCs/>
          <w:color w:val="auto"/>
          <w:sz w:val="24"/>
          <w:highlight w:val="none"/>
        </w:rPr>
      </w:pPr>
    </w:p>
    <w:p w14:paraId="220A6C11">
      <w:pPr>
        <w:pStyle w:val="18"/>
        <w:rPr>
          <w:rFonts w:hint="eastAsia" w:ascii="宋体" w:hAnsi="宋体" w:eastAsia="宋体" w:cs="宋体"/>
          <w:b/>
          <w:bCs/>
          <w:color w:val="auto"/>
          <w:sz w:val="24"/>
          <w:highlight w:val="none"/>
        </w:rPr>
      </w:pPr>
    </w:p>
    <w:p w14:paraId="1BA860B4">
      <w:pPr>
        <w:rPr>
          <w:rFonts w:hint="eastAsia" w:ascii="宋体" w:hAnsi="宋体" w:eastAsia="宋体" w:cs="宋体"/>
          <w:b/>
          <w:bCs/>
          <w:color w:val="auto"/>
          <w:sz w:val="24"/>
          <w:highlight w:val="none"/>
        </w:rPr>
      </w:pPr>
    </w:p>
    <w:p w14:paraId="6CD8CC3A">
      <w:pPr>
        <w:pStyle w:val="18"/>
        <w:rPr>
          <w:rFonts w:hint="eastAsia" w:ascii="宋体" w:hAnsi="宋体" w:eastAsia="宋体" w:cs="宋体"/>
          <w:b/>
          <w:bCs/>
          <w:color w:val="auto"/>
          <w:sz w:val="24"/>
          <w:highlight w:val="none"/>
        </w:rPr>
      </w:pPr>
    </w:p>
    <w:p w14:paraId="559E7F8C">
      <w:pPr>
        <w:rPr>
          <w:rFonts w:hint="eastAsia" w:ascii="宋体" w:hAnsi="宋体" w:eastAsia="宋体" w:cs="宋体"/>
          <w:b/>
          <w:bCs/>
          <w:color w:val="auto"/>
          <w:sz w:val="24"/>
          <w:highlight w:val="none"/>
        </w:rPr>
      </w:pPr>
    </w:p>
    <w:p w14:paraId="449B1361">
      <w:pPr>
        <w:pStyle w:val="18"/>
        <w:rPr>
          <w:rFonts w:hint="eastAsia" w:ascii="宋体" w:hAnsi="宋体" w:eastAsia="宋体" w:cs="宋体"/>
          <w:b/>
          <w:bCs/>
          <w:color w:val="auto"/>
          <w:sz w:val="24"/>
          <w:highlight w:val="none"/>
        </w:rPr>
      </w:pPr>
    </w:p>
    <w:p w14:paraId="43966FDD">
      <w:pPr>
        <w:rPr>
          <w:rFonts w:hint="eastAsia" w:ascii="宋体" w:hAnsi="宋体" w:eastAsia="宋体" w:cs="宋体"/>
          <w:b/>
          <w:bCs/>
          <w:color w:val="auto"/>
          <w:sz w:val="24"/>
          <w:highlight w:val="none"/>
        </w:rPr>
      </w:pPr>
    </w:p>
    <w:p w14:paraId="5836F3CE">
      <w:pPr>
        <w:pStyle w:val="18"/>
        <w:rPr>
          <w:rFonts w:hint="eastAsia" w:ascii="宋体" w:hAnsi="宋体" w:eastAsia="宋体" w:cs="宋体"/>
          <w:b/>
          <w:bCs/>
          <w:color w:val="auto"/>
          <w:sz w:val="24"/>
          <w:highlight w:val="none"/>
        </w:rPr>
      </w:pPr>
    </w:p>
    <w:p w14:paraId="49606560">
      <w:pPr>
        <w:rPr>
          <w:rFonts w:hint="eastAsia" w:ascii="宋体" w:hAnsi="宋体" w:eastAsia="宋体" w:cs="宋体"/>
          <w:color w:val="auto"/>
          <w:highlight w:val="none"/>
        </w:rPr>
      </w:pPr>
    </w:p>
    <w:p w14:paraId="540290C1">
      <w:pPr>
        <w:rPr>
          <w:rFonts w:hint="eastAsia" w:ascii="宋体" w:hAnsi="宋体" w:eastAsia="宋体" w:cs="宋体"/>
          <w:b/>
          <w:bCs/>
          <w:color w:val="auto"/>
          <w:sz w:val="24"/>
          <w:highlight w:val="none"/>
        </w:rPr>
      </w:pPr>
    </w:p>
    <w:p w14:paraId="61C2AF5B">
      <w:pPr>
        <w:pStyle w:val="18"/>
        <w:rPr>
          <w:rFonts w:hint="eastAsia" w:ascii="宋体" w:hAnsi="宋体" w:eastAsia="宋体" w:cs="宋体"/>
          <w:b/>
          <w:bCs/>
          <w:color w:val="auto"/>
          <w:sz w:val="24"/>
          <w:highlight w:val="none"/>
        </w:rPr>
      </w:pPr>
    </w:p>
    <w:p w14:paraId="1FBB4C11">
      <w:pPr>
        <w:pStyle w:val="18"/>
        <w:jc w:val="center"/>
        <w:rPr>
          <w:rFonts w:hint="eastAsia" w:ascii="宋体" w:hAnsi="宋体" w:eastAsia="宋体" w:cs="宋体"/>
          <w:b/>
          <w:color w:val="auto"/>
          <w:kern w:val="0"/>
          <w:sz w:val="32"/>
          <w:szCs w:val="32"/>
          <w:highlight w:val="none"/>
          <w:lang w:val="zh-CN" w:eastAsia="zh-CN" w:bidi="ar-SA"/>
        </w:rPr>
      </w:pPr>
      <w:r>
        <w:rPr>
          <w:rFonts w:hint="eastAsia" w:ascii="宋体" w:hAnsi="宋体" w:eastAsia="宋体" w:cs="宋体"/>
          <w:b/>
          <w:color w:val="auto"/>
          <w:kern w:val="0"/>
          <w:sz w:val="32"/>
          <w:szCs w:val="32"/>
          <w:highlight w:val="none"/>
          <w:lang w:val="zh-CN" w:eastAsia="zh-CN" w:bidi="ar-SA"/>
        </w:rPr>
        <w:t>技术偏离说明</w:t>
      </w:r>
    </w:p>
    <w:p w14:paraId="496ABD21">
      <w:pPr>
        <w:pStyle w:val="18"/>
        <w:rPr>
          <w:rFonts w:hint="eastAsia" w:ascii="宋体" w:hAnsi="宋体" w:eastAsia="宋体" w:cs="宋体"/>
          <w:color w:val="auto"/>
          <w:highlight w:val="none"/>
        </w:rPr>
      </w:pPr>
    </w:p>
    <w:p w14:paraId="2C226A23">
      <w:pPr>
        <w:rPr>
          <w:rFonts w:hint="eastAsia" w:ascii="宋体" w:hAnsi="宋体" w:eastAsia="宋体" w:cs="宋体"/>
          <w:color w:val="auto"/>
          <w:highlight w:val="none"/>
        </w:rPr>
      </w:pPr>
    </w:p>
    <w:p w14:paraId="33CEB1D0">
      <w:pPr>
        <w:pStyle w:val="11"/>
        <w:tabs>
          <w:tab w:val="left" w:pos="4218"/>
        </w:tabs>
        <w:spacing w:before="20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项</w:t>
      </w:r>
      <w:r>
        <w:rPr>
          <w:rFonts w:hint="eastAsia" w:ascii="宋体" w:hAnsi="宋体" w:eastAsia="宋体" w:cs="宋体"/>
          <w:color w:val="auto"/>
          <w:sz w:val="24"/>
          <w:szCs w:val="24"/>
          <w:highlight w:val="none"/>
        </w:rPr>
        <w:t>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4"/>
        <w:gridCol w:w="2941"/>
        <w:gridCol w:w="2539"/>
      </w:tblGrid>
      <w:tr w14:paraId="222CE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254" w:type="dxa"/>
            <w:noWrap w:val="0"/>
            <w:vAlign w:val="top"/>
          </w:tcPr>
          <w:p w14:paraId="37269F49">
            <w:pPr>
              <w:pStyle w:val="39"/>
              <w:spacing w:before="155"/>
              <w:ind w:left="1237"/>
              <w:rPr>
                <w:rFonts w:hint="eastAsia" w:ascii="宋体" w:hAnsi="宋体" w:eastAsia="宋体" w:cs="宋体"/>
                <w:color w:val="auto"/>
                <w:sz w:val="24"/>
                <w:highlight w:val="none"/>
              </w:rPr>
            </w:pPr>
            <w:bookmarkStart w:id="196" w:name="采购文件要求"/>
            <w:bookmarkEnd w:id="196"/>
            <w:r>
              <w:rPr>
                <w:rFonts w:hint="eastAsia" w:ascii="宋体" w:hAnsi="宋体" w:eastAsia="宋体" w:cs="宋体"/>
                <w:color w:val="auto"/>
                <w:sz w:val="24"/>
                <w:highlight w:val="none"/>
              </w:rPr>
              <w:t>采购文件要求</w:t>
            </w:r>
          </w:p>
        </w:tc>
        <w:tc>
          <w:tcPr>
            <w:tcW w:w="2941" w:type="dxa"/>
            <w:noWrap w:val="0"/>
            <w:vAlign w:val="top"/>
          </w:tcPr>
          <w:p w14:paraId="1FCB375A">
            <w:pPr>
              <w:pStyle w:val="39"/>
              <w:spacing w:before="155"/>
              <w:ind w:left="720"/>
              <w:rPr>
                <w:rFonts w:hint="eastAsia" w:ascii="宋体" w:hAnsi="宋体" w:eastAsia="宋体" w:cs="宋体"/>
                <w:color w:val="auto"/>
                <w:sz w:val="24"/>
                <w:highlight w:val="none"/>
              </w:rPr>
            </w:pPr>
            <w:bookmarkStart w:id="197" w:name="投标文件响应"/>
            <w:bookmarkEnd w:id="197"/>
            <w:r>
              <w:rPr>
                <w:rFonts w:hint="eastAsia" w:ascii="宋体" w:hAnsi="宋体" w:eastAsia="宋体" w:cs="宋体"/>
                <w:color w:val="auto"/>
                <w:sz w:val="24"/>
                <w:highlight w:val="none"/>
              </w:rPr>
              <w:t>投标文件响应</w:t>
            </w:r>
          </w:p>
        </w:tc>
        <w:tc>
          <w:tcPr>
            <w:tcW w:w="2539" w:type="dxa"/>
            <w:noWrap w:val="0"/>
            <w:vAlign w:val="top"/>
          </w:tcPr>
          <w:p w14:paraId="18F14518">
            <w:pPr>
              <w:pStyle w:val="39"/>
              <w:spacing w:before="155"/>
              <w:ind w:left="818"/>
              <w:rPr>
                <w:rFonts w:hint="eastAsia" w:ascii="宋体" w:hAnsi="宋体" w:eastAsia="宋体" w:cs="宋体"/>
                <w:color w:val="auto"/>
                <w:sz w:val="24"/>
                <w:highlight w:val="none"/>
              </w:rPr>
            </w:pPr>
            <w:bookmarkStart w:id="198" w:name="偏离情况"/>
            <w:bookmarkEnd w:id="198"/>
            <w:r>
              <w:rPr>
                <w:rFonts w:hint="eastAsia" w:ascii="宋体" w:hAnsi="宋体" w:eastAsia="宋体" w:cs="宋体"/>
                <w:color w:val="auto"/>
                <w:sz w:val="24"/>
                <w:highlight w:val="none"/>
              </w:rPr>
              <w:t>偏离情况</w:t>
            </w:r>
          </w:p>
        </w:tc>
      </w:tr>
      <w:tr w14:paraId="28333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4254" w:type="dxa"/>
            <w:noWrap w:val="0"/>
            <w:vAlign w:val="top"/>
          </w:tcPr>
          <w:p w14:paraId="51DFFC84">
            <w:pPr>
              <w:pStyle w:val="39"/>
              <w:rPr>
                <w:rFonts w:hint="eastAsia" w:ascii="宋体" w:hAnsi="宋体" w:eastAsia="宋体" w:cs="宋体"/>
                <w:color w:val="auto"/>
                <w:sz w:val="22"/>
                <w:highlight w:val="none"/>
              </w:rPr>
            </w:pPr>
          </w:p>
        </w:tc>
        <w:tc>
          <w:tcPr>
            <w:tcW w:w="2941" w:type="dxa"/>
            <w:noWrap w:val="0"/>
            <w:vAlign w:val="top"/>
          </w:tcPr>
          <w:p w14:paraId="62B74D78">
            <w:pPr>
              <w:pStyle w:val="39"/>
              <w:rPr>
                <w:rFonts w:hint="eastAsia" w:ascii="宋体" w:hAnsi="宋体" w:eastAsia="宋体" w:cs="宋体"/>
                <w:color w:val="auto"/>
                <w:sz w:val="22"/>
                <w:highlight w:val="none"/>
              </w:rPr>
            </w:pPr>
          </w:p>
        </w:tc>
        <w:tc>
          <w:tcPr>
            <w:tcW w:w="2539" w:type="dxa"/>
            <w:noWrap w:val="0"/>
            <w:vAlign w:val="top"/>
          </w:tcPr>
          <w:p w14:paraId="30F7D085">
            <w:pPr>
              <w:pStyle w:val="39"/>
              <w:rPr>
                <w:rFonts w:hint="eastAsia" w:ascii="宋体" w:hAnsi="宋体" w:eastAsia="宋体" w:cs="宋体"/>
                <w:color w:val="auto"/>
                <w:sz w:val="22"/>
                <w:highlight w:val="none"/>
              </w:rPr>
            </w:pPr>
          </w:p>
        </w:tc>
      </w:tr>
      <w:tr w14:paraId="0777F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254" w:type="dxa"/>
            <w:noWrap w:val="0"/>
            <w:vAlign w:val="top"/>
          </w:tcPr>
          <w:p w14:paraId="5B9B5D5D">
            <w:pPr>
              <w:pStyle w:val="39"/>
              <w:rPr>
                <w:rFonts w:hint="eastAsia" w:ascii="宋体" w:hAnsi="宋体" w:eastAsia="宋体" w:cs="宋体"/>
                <w:color w:val="auto"/>
                <w:sz w:val="22"/>
                <w:highlight w:val="none"/>
              </w:rPr>
            </w:pPr>
          </w:p>
        </w:tc>
        <w:tc>
          <w:tcPr>
            <w:tcW w:w="2941" w:type="dxa"/>
            <w:noWrap w:val="0"/>
            <w:vAlign w:val="top"/>
          </w:tcPr>
          <w:p w14:paraId="272293D0">
            <w:pPr>
              <w:pStyle w:val="39"/>
              <w:rPr>
                <w:rFonts w:hint="eastAsia" w:ascii="宋体" w:hAnsi="宋体" w:eastAsia="宋体" w:cs="宋体"/>
                <w:color w:val="auto"/>
                <w:sz w:val="22"/>
                <w:highlight w:val="none"/>
              </w:rPr>
            </w:pPr>
          </w:p>
        </w:tc>
        <w:tc>
          <w:tcPr>
            <w:tcW w:w="2539" w:type="dxa"/>
            <w:noWrap w:val="0"/>
            <w:vAlign w:val="top"/>
          </w:tcPr>
          <w:p w14:paraId="377F5683">
            <w:pPr>
              <w:pStyle w:val="39"/>
              <w:rPr>
                <w:rFonts w:hint="eastAsia" w:ascii="宋体" w:hAnsi="宋体" w:eastAsia="宋体" w:cs="宋体"/>
                <w:color w:val="auto"/>
                <w:sz w:val="22"/>
                <w:highlight w:val="none"/>
              </w:rPr>
            </w:pPr>
          </w:p>
        </w:tc>
      </w:tr>
      <w:tr w14:paraId="1353C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4254" w:type="dxa"/>
            <w:noWrap w:val="0"/>
            <w:vAlign w:val="top"/>
          </w:tcPr>
          <w:p w14:paraId="39A0F1E1">
            <w:pPr>
              <w:pStyle w:val="39"/>
              <w:rPr>
                <w:rFonts w:hint="eastAsia" w:ascii="宋体" w:hAnsi="宋体" w:eastAsia="宋体" w:cs="宋体"/>
                <w:color w:val="auto"/>
                <w:sz w:val="22"/>
                <w:highlight w:val="none"/>
              </w:rPr>
            </w:pPr>
          </w:p>
        </w:tc>
        <w:tc>
          <w:tcPr>
            <w:tcW w:w="2941" w:type="dxa"/>
            <w:noWrap w:val="0"/>
            <w:vAlign w:val="top"/>
          </w:tcPr>
          <w:p w14:paraId="68D8CA44">
            <w:pPr>
              <w:pStyle w:val="39"/>
              <w:rPr>
                <w:rFonts w:hint="eastAsia" w:ascii="宋体" w:hAnsi="宋体" w:eastAsia="宋体" w:cs="宋体"/>
                <w:color w:val="auto"/>
                <w:sz w:val="22"/>
                <w:highlight w:val="none"/>
              </w:rPr>
            </w:pPr>
          </w:p>
        </w:tc>
        <w:tc>
          <w:tcPr>
            <w:tcW w:w="2539" w:type="dxa"/>
            <w:noWrap w:val="0"/>
            <w:vAlign w:val="top"/>
          </w:tcPr>
          <w:p w14:paraId="46BC771C">
            <w:pPr>
              <w:pStyle w:val="39"/>
              <w:rPr>
                <w:rFonts w:hint="eastAsia" w:ascii="宋体" w:hAnsi="宋体" w:eastAsia="宋体" w:cs="宋体"/>
                <w:color w:val="auto"/>
                <w:sz w:val="22"/>
                <w:highlight w:val="none"/>
              </w:rPr>
            </w:pPr>
          </w:p>
        </w:tc>
      </w:tr>
      <w:tr w14:paraId="732D1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254" w:type="dxa"/>
            <w:noWrap w:val="0"/>
            <w:vAlign w:val="top"/>
          </w:tcPr>
          <w:p w14:paraId="07979FEF">
            <w:pPr>
              <w:pStyle w:val="39"/>
              <w:rPr>
                <w:rFonts w:hint="eastAsia" w:ascii="宋体" w:hAnsi="宋体" w:eastAsia="宋体" w:cs="宋体"/>
                <w:color w:val="auto"/>
                <w:sz w:val="22"/>
                <w:highlight w:val="none"/>
              </w:rPr>
            </w:pPr>
          </w:p>
        </w:tc>
        <w:tc>
          <w:tcPr>
            <w:tcW w:w="2941" w:type="dxa"/>
            <w:noWrap w:val="0"/>
            <w:vAlign w:val="top"/>
          </w:tcPr>
          <w:p w14:paraId="2F285A63">
            <w:pPr>
              <w:pStyle w:val="39"/>
              <w:rPr>
                <w:rFonts w:hint="eastAsia" w:ascii="宋体" w:hAnsi="宋体" w:eastAsia="宋体" w:cs="宋体"/>
                <w:color w:val="auto"/>
                <w:sz w:val="22"/>
                <w:highlight w:val="none"/>
              </w:rPr>
            </w:pPr>
          </w:p>
        </w:tc>
        <w:tc>
          <w:tcPr>
            <w:tcW w:w="2539" w:type="dxa"/>
            <w:noWrap w:val="0"/>
            <w:vAlign w:val="top"/>
          </w:tcPr>
          <w:p w14:paraId="17377FA4">
            <w:pPr>
              <w:pStyle w:val="39"/>
              <w:rPr>
                <w:rFonts w:hint="eastAsia" w:ascii="宋体" w:hAnsi="宋体" w:eastAsia="宋体" w:cs="宋体"/>
                <w:color w:val="auto"/>
                <w:sz w:val="22"/>
                <w:highlight w:val="none"/>
              </w:rPr>
            </w:pPr>
          </w:p>
        </w:tc>
      </w:tr>
    </w:tbl>
    <w:p w14:paraId="49B175ED">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注：投标人应根据所投产品的性能指标、对照采购文件要求在“偏离情况”栏注明“正偏离”、“负   偏离”或“无偏离”。</w:t>
      </w:r>
    </w:p>
    <w:p w14:paraId="1A9F16F0">
      <w:pPr>
        <w:pStyle w:val="11"/>
        <w:ind w:left="0"/>
        <w:rPr>
          <w:rFonts w:hint="eastAsia" w:ascii="宋体" w:hAnsi="宋体" w:eastAsia="宋体" w:cs="宋体"/>
          <w:color w:val="auto"/>
          <w:sz w:val="20"/>
          <w:highlight w:val="none"/>
        </w:rPr>
      </w:pPr>
    </w:p>
    <w:p w14:paraId="6BAC8C56">
      <w:pPr>
        <w:keepNext w:val="0"/>
        <w:keepLines w:val="0"/>
        <w:pageBreakBefore w:val="0"/>
        <w:widowControl w:val="0"/>
        <w:kinsoku/>
        <w:wordWrap/>
        <w:overflowPunct/>
        <w:topLinePunct w:val="0"/>
        <w:autoSpaceDE w:val="0"/>
        <w:autoSpaceDN w:val="0"/>
        <w:bidi w:val="0"/>
        <w:adjustRightInd w:val="0"/>
        <w:snapToGrid/>
        <w:spacing w:line="360" w:lineRule="auto"/>
        <w:ind w:firstLine="4800" w:firstLineChars="2000"/>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投标人</w:t>
      </w:r>
      <w:r>
        <w:rPr>
          <w:rFonts w:hint="eastAsia" w:ascii="宋体" w:hAnsi="宋体" w:eastAsia="宋体" w:cs="宋体"/>
          <w:color w:val="auto"/>
          <w:kern w:val="0"/>
          <w:sz w:val="24"/>
          <w:highlight w:val="none"/>
          <w:lang w:val="zh-CN"/>
        </w:rPr>
        <w:t xml:space="preserve">名称（公章）：      </w:t>
      </w:r>
    </w:p>
    <w:p w14:paraId="31033202">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法定代表人或授权委托人（签字）： </w:t>
      </w:r>
    </w:p>
    <w:p w14:paraId="5BB5AA3E">
      <w:pPr>
        <w:pStyle w:val="18"/>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057EEC58">
      <w:pPr>
        <w:rPr>
          <w:rFonts w:hint="eastAsia" w:ascii="宋体" w:hAnsi="宋体" w:eastAsia="宋体" w:cs="宋体"/>
          <w:b/>
          <w:bCs/>
          <w:color w:val="auto"/>
          <w:sz w:val="24"/>
          <w:highlight w:val="none"/>
        </w:rPr>
      </w:pPr>
    </w:p>
    <w:p w14:paraId="25B3C7E8">
      <w:pPr>
        <w:pStyle w:val="18"/>
        <w:rPr>
          <w:rFonts w:hint="eastAsia" w:ascii="宋体" w:hAnsi="宋体" w:eastAsia="宋体" w:cs="宋体"/>
          <w:b/>
          <w:bCs/>
          <w:color w:val="auto"/>
          <w:sz w:val="24"/>
          <w:highlight w:val="none"/>
        </w:rPr>
      </w:pPr>
    </w:p>
    <w:p w14:paraId="40B08525">
      <w:pPr>
        <w:rPr>
          <w:rFonts w:hint="eastAsia" w:ascii="宋体" w:hAnsi="宋体" w:eastAsia="宋体" w:cs="宋体"/>
          <w:b/>
          <w:bCs/>
          <w:color w:val="auto"/>
          <w:sz w:val="24"/>
          <w:highlight w:val="none"/>
        </w:rPr>
      </w:pPr>
    </w:p>
    <w:p w14:paraId="48ED0CEC">
      <w:pPr>
        <w:pStyle w:val="18"/>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采购文件要求的或投标人认为需要的其它资料</w:t>
      </w:r>
    </w:p>
    <w:p w14:paraId="476D9E0D">
      <w:pPr>
        <w:rPr>
          <w:rFonts w:hint="eastAsia" w:ascii="宋体" w:hAnsi="宋体" w:eastAsia="宋体" w:cs="宋体"/>
          <w:b/>
          <w:bCs/>
          <w:color w:val="auto"/>
          <w:sz w:val="24"/>
          <w:highlight w:val="none"/>
        </w:rPr>
      </w:pPr>
    </w:p>
    <w:p w14:paraId="054F0343">
      <w:pPr>
        <w:pStyle w:val="18"/>
        <w:rPr>
          <w:rFonts w:hint="eastAsia" w:ascii="宋体" w:hAnsi="宋体" w:eastAsia="宋体" w:cs="宋体"/>
          <w:b/>
          <w:bCs/>
          <w:color w:val="auto"/>
          <w:sz w:val="24"/>
          <w:highlight w:val="none"/>
        </w:rPr>
      </w:pPr>
    </w:p>
    <w:p w14:paraId="57589208">
      <w:pPr>
        <w:rPr>
          <w:rFonts w:hint="eastAsia" w:ascii="宋体" w:hAnsi="宋体" w:eastAsia="宋体" w:cs="宋体"/>
          <w:b/>
          <w:bCs/>
          <w:color w:val="auto"/>
          <w:sz w:val="24"/>
          <w:highlight w:val="none"/>
        </w:rPr>
      </w:pPr>
    </w:p>
    <w:p w14:paraId="06930E13">
      <w:pPr>
        <w:pStyle w:val="18"/>
        <w:rPr>
          <w:rFonts w:hint="eastAsia" w:ascii="宋体" w:hAnsi="宋体" w:eastAsia="宋体" w:cs="宋体"/>
          <w:color w:val="auto"/>
          <w:highlight w:val="none"/>
        </w:rPr>
      </w:pPr>
    </w:p>
    <w:p w14:paraId="15DC38BF">
      <w:pPr>
        <w:rPr>
          <w:rFonts w:hint="eastAsia" w:ascii="宋体" w:hAnsi="宋体" w:eastAsia="宋体" w:cs="宋体"/>
          <w:color w:val="auto"/>
          <w:highlight w:val="none"/>
        </w:rPr>
      </w:pPr>
    </w:p>
    <w:p w14:paraId="54BA8BC1">
      <w:pPr>
        <w:pStyle w:val="18"/>
        <w:rPr>
          <w:rFonts w:hint="eastAsia" w:ascii="宋体" w:hAnsi="宋体" w:eastAsia="宋体" w:cs="宋体"/>
          <w:b/>
          <w:bCs/>
          <w:color w:val="auto"/>
          <w:sz w:val="24"/>
          <w:highlight w:val="none"/>
        </w:rPr>
      </w:pPr>
    </w:p>
    <w:p w14:paraId="21E9AE8A">
      <w:pPr>
        <w:rPr>
          <w:rFonts w:hint="eastAsia" w:ascii="宋体" w:hAnsi="宋体" w:eastAsia="宋体" w:cs="宋体"/>
          <w:color w:val="auto"/>
          <w:highlight w:val="none"/>
        </w:rPr>
      </w:pPr>
    </w:p>
    <w:p w14:paraId="6F486FD1">
      <w:pPr>
        <w:pStyle w:val="18"/>
        <w:rPr>
          <w:rFonts w:hint="eastAsia" w:ascii="宋体" w:hAnsi="宋体" w:eastAsia="宋体" w:cs="宋体"/>
          <w:color w:val="auto"/>
          <w:highlight w:val="none"/>
        </w:rPr>
      </w:pPr>
    </w:p>
    <w:p w14:paraId="33A1FED7">
      <w:pPr>
        <w:keepNext w:val="0"/>
        <w:keepLines w:val="0"/>
        <w:pageBreakBefore w:val="0"/>
        <w:widowControl w:val="0"/>
        <w:kinsoku/>
        <w:wordWrap/>
        <w:overflowPunct/>
        <w:topLinePunct w:val="0"/>
        <w:autoSpaceDE w:val="0"/>
        <w:autoSpaceDN w:val="0"/>
        <w:bidi w:val="0"/>
        <w:adjustRightInd w:val="0"/>
        <w:snapToGrid/>
        <w:spacing w:line="360" w:lineRule="auto"/>
        <w:ind w:firstLine="4800" w:firstLineChars="2000"/>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投标人</w:t>
      </w:r>
      <w:r>
        <w:rPr>
          <w:rFonts w:hint="eastAsia" w:ascii="宋体" w:hAnsi="宋体" w:eastAsia="宋体" w:cs="宋体"/>
          <w:color w:val="auto"/>
          <w:kern w:val="0"/>
          <w:sz w:val="24"/>
          <w:highlight w:val="none"/>
          <w:lang w:val="zh-CN"/>
        </w:rPr>
        <w:t xml:space="preserve">名称（公章）：      </w:t>
      </w:r>
    </w:p>
    <w:p w14:paraId="0FB23FF1">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法定代表人或授权委托人（签字）： </w:t>
      </w:r>
    </w:p>
    <w:p w14:paraId="653AA270">
      <w:pPr>
        <w:spacing w:line="48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5D3416FE">
      <w:pPr>
        <w:tabs>
          <w:tab w:val="left" w:pos="1418"/>
        </w:tabs>
        <w:snapToGrid w:val="0"/>
        <w:spacing w:before="50" w:after="50"/>
        <w:ind w:left="1418" w:hanging="567"/>
        <w:jc w:val="center"/>
        <w:rPr>
          <w:rFonts w:hint="eastAsia" w:ascii="宋体" w:hAnsi="宋体" w:eastAsia="宋体" w:cs="宋体"/>
          <w:color w:val="auto"/>
          <w:spacing w:val="20"/>
          <w:sz w:val="24"/>
          <w:highlight w:val="none"/>
          <w:u w:val="single"/>
        </w:rPr>
      </w:pPr>
      <w:r>
        <w:rPr>
          <w:rFonts w:hint="eastAsia" w:ascii="宋体" w:hAnsi="宋体" w:eastAsia="宋体" w:cs="宋体"/>
          <w:color w:val="auto"/>
          <w:sz w:val="24"/>
          <w:highlight w:val="none"/>
        </w:rPr>
        <w:br w:type="page"/>
      </w:r>
    </w:p>
    <w:p w14:paraId="1675B9D9">
      <w:pPr>
        <w:snapToGrid w:val="0"/>
        <w:spacing w:before="156" w:beforeLines="50" w:after="50"/>
        <w:rPr>
          <w:rFonts w:hint="eastAsia" w:ascii="宋体" w:hAnsi="宋体" w:eastAsia="宋体" w:cs="宋体"/>
          <w:b/>
          <w:color w:val="auto"/>
          <w:sz w:val="24"/>
          <w:highlight w:val="none"/>
        </w:rPr>
      </w:pPr>
      <w:r>
        <w:rPr>
          <w:rFonts w:hint="eastAsia" w:ascii="宋体" w:hAnsi="宋体" w:eastAsia="宋体" w:cs="宋体"/>
          <w:color w:val="auto"/>
          <w:sz w:val="24"/>
          <w:highlight w:val="none"/>
        </w:rPr>
        <w:t>封面格式</w:t>
      </w:r>
      <w:r>
        <w:rPr>
          <w:rFonts w:hint="eastAsia" w:ascii="宋体" w:hAnsi="宋体" w:eastAsia="宋体" w:cs="宋体"/>
          <w:b/>
          <w:color w:val="auto"/>
          <w:sz w:val="24"/>
          <w:highlight w:val="none"/>
        </w:rPr>
        <w:t xml:space="preserve">                                                   </w:t>
      </w:r>
      <w:r>
        <w:rPr>
          <w:rFonts w:hint="eastAsia" w:ascii="宋体" w:hAnsi="宋体" w:eastAsia="宋体" w:cs="宋体"/>
          <w:bCs/>
          <w:color w:val="auto"/>
          <w:sz w:val="24"/>
          <w:highlight w:val="none"/>
        </w:rPr>
        <w:t>正本或副本</w:t>
      </w:r>
    </w:p>
    <w:p w14:paraId="3AA6ABB4">
      <w:pPr>
        <w:snapToGrid w:val="0"/>
        <w:spacing w:before="156" w:beforeLines="50" w:after="50"/>
        <w:jc w:val="right"/>
        <w:rPr>
          <w:rFonts w:hint="eastAsia" w:ascii="宋体" w:hAnsi="宋体" w:eastAsia="宋体" w:cs="宋体"/>
          <w:bCs/>
          <w:color w:val="auto"/>
          <w:sz w:val="24"/>
          <w:highlight w:val="none"/>
        </w:rPr>
      </w:pPr>
      <w:r>
        <w:rPr>
          <w:rFonts w:hint="eastAsia" w:ascii="宋体" w:hAnsi="宋体" w:eastAsia="宋体" w:cs="宋体"/>
          <w:color w:val="auto"/>
          <w:sz w:val="24"/>
          <w:highlight w:val="none"/>
        </w:rPr>
        <w:t xml:space="preserve">                                            </w:t>
      </w:r>
    </w:p>
    <w:p w14:paraId="76484EC0">
      <w:pPr>
        <w:ind w:right="-110"/>
        <w:jc w:val="center"/>
        <w:rPr>
          <w:rFonts w:hint="eastAsia" w:ascii="宋体" w:hAnsi="宋体" w:eastAsia="宋体" w:cs="宋体"/>
          <w:color w:val="auto"/>
          <w:spacing w:val="40"/>
          <w:sz w:val="32"/>
          <w:szCs w:val="32"/>
          <w:highlight w:val="none"/>
        </w:rPr>
      </w:pPr>
      <w:r>
        <w:rPr>
          <w:rFonts w:hint="eastAsia" w:ascii="宋体" w:hAnsi="宋体" w:eastAsia="宋体" w:cs="宋体"/>
          <w:color w:val="auto"/>
          <w:spacing w:val="40"/>
          <w:sz w:val="32"/>
          <w:szCs w:val="32"/>
          <w:highlight w:val="none"/>
        </w:rPr>
        <w:t>***项目名称</w:t>
      </w:r>
    </w:p>
    <w:p w14:paraId="3F376909">
      <w:pPr>
        <w:spacing w:before="312" w:beforeLines="100" w:line="240" w:lineRule="atLeast"/>
        <w:ind w:right="-108"/>
        <w:jc w:val="center"/>
        <w:rPr>
          <w:rFonts w:hint="eastAsia" w:ascii="宋体" w:hAnsi="宋体" w:eastAsia="宋体" w:cs="宋体"/>
          <w:color w:val="auto"/>
          <w:sz w:val="24"/>
          <w:highlight w:val="none"/>
        </w:rPr>
      </w:pPr>
    </w:p>
    <w:p w14:paraId="6EA0D681">
      <w:pPr>
        <w:spacing w:before="312" w:beforeLines="100" w:line="240" w:lineRule="atLeast"/>
        <w:ind w:right="-108"/>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项目编号：************** </w:t>
      </w:r>
    </w:p>
    <w:p w14:paraId="280C1F4B">
      <w:pPr>
        <w:spacing w:after="100" w:afterAutospacing="1" w:line="400" w:lineRule="exact"/>
        <w:ind w:right="-108"/>
        <w:jc w:val="center"/>
        <w:rPr>
          <w:rFonts w:hint="eastAsia" w:ascii="宋体" w:hAnsi="宋体" w:eastAsia="宋体" w:cs="宋体"/>
          <w:b/>
          <w:color w:val="auto"/>
          <w:spacing w:val="40"/>
          <w:sz w:val="24"/>
          <w:highlight w:val="none"/>
        </w:rPr>
      </w:pPr>
    </w:p>
    <w:p w14:paraId="3CC3971E">
      <w:pPr>
        <w:spacing w:after="100" w:afterAutospacing="1" w:line="800" w:lineRule="exact"/>
        <w:ind w:right="-108"/>
        <w:jc w:val="center"/>
        <w:rPr>
          <w:rFonts w:hint="eastAsia" w:ascii="宋体" w:hAnsi="宋体" w:eastAsia="宋体" w:cs="宋体"/>
          <w:b/>
          <w:color w:val="auto"/>
          <w:spacing w:val="40"/>
          <w:sz w:val="24"/>
          <w:highlight w:val="none"/>
        </w:rPr>
      </w:pPr>
    </w:p>
    <w:p w14:paraId="521E8055">
      <w:pPr>
        <w:spacing w:after="100" w:afterAutospacing="1" w:line="800" w:lineRule="exact"/>
        <w:ind w:right="-108"/>
        <w:jc w:val="center"/>
        <w:rPr>
          <w:rFonts w:hint="eastAsia" w:ascii="宋体" w:hAnsi="宋体" w:eastAsia="宋体" w:cs="宋体"/>
          <w:b/>
          <w:color w:val="auto"/>
          <w:spacing w:val="40"/>
          <w:sz w:val="32"/>
          <w:szCs w:val="32"/>
          <w:highlight w:val="none"/>
        </w:rPr>
      </w:pPr>
      <w:r>
        <w:rPr>
          <w:rFonts w:hint="eastAsia" w:ascii="宋体" w:hAnsi="宋体" w:eastAsia="宋体" w:cs="宋体"/>
          <w:b/>
          <w:color w:val="auto"/>
          <w:spacing w:val="40"/>
          <w:sz w:val="32"/>
          <w:szCs w:val="32"/>
          <w:highlight w:val="none"/>
        </w:rPr>
        <w:t>报</w:t>
      </w:r>
    </w:p>
    <w:p w14:paraId="233386C8">
      <w:pPr>
        <w:spacing w:after="100" w:afterAutospacing="1" w:line="800" w:lineRule="exact"/>
        <w:ind w:right="-108"/>
        <w:jc w:val="center"/>
        <w:rPr>
          <w:rFonts w:hint="eastAsia" w:ascii="宋体" w:hAnsi="宋体" w:eastAsia="宋体" w:cs="宋体"/>
          <w:b/>
          <w:color w:val="auto"/>
          <w:spacing w:val="40"/>
          <w:sz w:val="32"/>
          <w:szCs w:val="32"/>
          <w:highlight w:val="none"/>
        </w:rPr>
      </w:pPr>
      <w:r>
        <w:rPr>
          <w:rFonts w:hint="eastAsia" w:ascii="宋体" w:hAnsi="宋体" w:eastAsia="宋体" w:cs="宋体"/>
          <w:b/>
          <w:color w:val="auto"/>
          <w:spacing w:val="40"/>
          <w:sz w:val="32"/>
          <w:szCs w:val="32"/>
          <w:highlight w:val="none"/>
        </w:rPr>
        <w:t>价</w:t>
      </w:r>
    </w:p>
    <w:p w14:paraId="0B90054B">
      <w:pPr>
        <w:spacing w:after="100" w:afterAutospacing="1" w:line="800" w:lineRule="exact"/>
        <w:ind w:right="-108"/>
        <w:jc w:val="center"/>
        <w:rPr>
          <w:rFonts w:hint="eastAsia" w:ascii="宋体" w:hAnsi="宋体" w:eastAsia="宋体" w:cs="宋体"/>
          <w:b/>
          <w:color w:val="auto"/>
          <w:spacing w:val="40"/>
          <w:sz w:val="32"/>
          <w:szCs w:val="32"/>
          <w:highlight w:val="none"/>
        </w:rPr>
      </w:pPr>
      <w:r>
        <w:rPr>
          <w:rFonts w:hint="eastAsia" w:ascii="宋体" w:hAnsi="宋体" w:eastAsia="宋体" w:cs="宋体"/>
          <w:b/>
          <w:color w:val="auto"/>
          <w:spacing w:val="40"/>
          <w:sz w:val="32"/>
          <w:szCs w:val="32"/>
          <w:highlight w:val="none"/>
        </w:rPr>
        <w:t>文</w:t>
      </w:r>
    </w:p>
    <w:p w14:paraId="2AACC095">
      <w:pPr>
        <w:spacing w:after="100" w:afterAutospacing="1" w:line="800" w:lineRule="exact"/>
        <w:ind w:right="-108"/>
        <w:jc w:val="center"/>
        <w:rPr>
          <w:rFonts w:hint="eastAsia" w:ascii="宋体" w:hAnsi="宋体" w:eastAsia="宋体" w:cs="宋体"/>
          <w:b/>
          <w:color w:val="auto"/>
          <w:spacing w:val="40"/>
          <w:sz w:val="32"/>
          <w:szCs w:val="32"/>
          <w:highlight w:val="none"/>
        </w:rPr>
      </w:pPr>
      <w:r>
        <w:rPr>
          <w:rFonts w:hint="eastAsia" w:ascii="宋体" w:hAnsi="宋体" w:eastAsia="宋体" w:cs="宋体"/>
          <w:b/>
          <w:color w:val="auto"/>
          <w:spacing w:val="40"/>
          <w:sz w:val="32"/>
          <w:szCs w:val="32"/>
          <w:highlight w:val="none"/>
        </w:rPr>
        <w:t>件</w:t>
      </w:r>
    </w:p>
    <w:p w14:paraId="10E35873">
      <w:pPr>
        <w:spacing w:line="500" w:lineRule="exact"/>
        <w:ind w:right="532"/>
        <w:rPr>
          <w:rFonts w:hint="eastAsia" w:ascii="宋体" w:hAnsi="宋体" w:eastAsia="宋体" w:cs="宋体"/>
          <w:color w:val="auto"/>
          <w:sz w:val="24"/>
          <w:highlight w:val="none"/>
        </w:rPr>
      </w:pPr>
    </w:p>
    <w:p w14:paraId="580781E4">
      <w:pPr>
        <w:spacing w:line="500" w:lineRule="exact"/>
        <w:ind w:right="532"/>
        <w:rPr>
          <w:rFonts w:hint="eastAsia" w:ascii="宋体" w:hAnsi="宋体" w:eastAsia="宋体" w:cs="宋体"/>
          <w:color w:val="auto"/>
          <w:sz w:val="24"/>
          <w:highlight w:val="none"/>
        </w:rPr>
      </w:pPr>
    </w:p>
    <w:p w14:paraId="3D964242">
      <w:pPr>
        <w:spacing w:line="500" w:lineRule="exact"/>
        <w:ind w:right="532"/>
        <w:rPr>
          <w:rFonts w:hint="eastAsia" w:ascii="宋体" w:hAnsi="宋体" w:eastAsia="宋体" w:cs="宋体"/>
          <w:color w:val="auto"/>
          <w:sz w:val="24"/>
          <w:highlight w:val="none"/>
        </w:rPr>
      </w:pPr>
    </w:p>
    <w:p w14:paraId="407E9C04">
      <w:pPr>
        <w:spacing w:line="500" w:lineRule="exact"/>
        <w:ind w:right="532"/>
        <w:rPr>
          <w:rFonts w:hint="eastAsia" w:ascii="宋体" w:hAnsi="宋体" w:eastAsia="宋体" w:cs="宋体"/>
          <w:color w:val="auto"/>
          <w:sz w:val="24"/>
          <w:highlight w:val="none"/>
        </w:rPr>
      </w:pPr>
    </w:p>
    <w:p w14:paraId="11DA9BA4">
      <w:pPr>
        <w:spacing w:line="600" w:lineRule="exact"/>
        <w:ind w:right="532"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单位全称（公章）：</w:t>
      </w:r>
    </w:p>
    <w:p w14:paraId="35D129AA">
      <w:pPr>
        <w:spacing w:line="600" w:lineRule="exact"/>
        <w:ind w:right="532"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p>
    <w:p w14:paraId="4E8C01AB">
      <w:pPr>
        <w:spacing w:line="600" w:lineRule="exact"/>
        <w:ind w:right="532"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时    间：</w:t>
      </w:r>
    </w:p>
    <w:p w14:paraId="19DD4DB5">
      <w:pPr>
        <w:pStyle w:val="14"/>
        <w:snapToGrid w:val="0"/>
        <w:ind w:leftChars="0"/>
        <w:rPr>
          <w:rFonts w:hint="eastAsia" w:ascii="宋体" w:hAnsi="宋体" w:eastAsia="宋体" w:cs="宋体"/>
          <w:color w:val="auto"/>
          <w:sz w:val="24"/>
          <w:szCs w:val="24"/>
          <w:highlight w:val="none"/>
        </w:rPr>
      </w:pPr>
    </w:p>
    <w:p w14:paraId="033EE7F3">
      <w:pPr>
        <w:snapToGrid w:val="0"/>
        <w:spacing w:line="420" w:lineRule="exact"/>
        <w:jc w:val="left"/>
        <w:rPr>
          <w:rFonts w:hint="eastAsia" w:ascii="宋体" w:hAnsi="宋体" w:eastAsia="宋体" w:cs="宋体"/>
          <w:b/>
          <w:bCs/>
          <w:color w:val="auto"/>
          <w:kern w:val="0"/>
          <w:sz w:val="24"/>
          <w:highlight w:val="none"/>
        </w:rPr>
      </w:pPr>
      <w:r>
        <w:rPr>
          <w:rFonts w:hint="eastAsia" w:ascii="宋体" w:hAnsi="宋体" w:eastAsia="宋体" w:cs="宋体"/>
          <w:color w:val="auto"/>
          <w:sz w:val="24"/>
          <w:highlight w:val="none"/>
        </w:rPr>
        <w:br w:type="page"/>
      </w:r>
      <w:r>
        <w:rPr>
          <w:rFonts w:hint="eastAsia" w:ascii="宋体" w:hAnsi="宋体" w:eastAsia="宋体" w:cs="宋体"/>
          <w:color w:val="auto"/>
          <w:sz w:val="24"/>
          <w:highlight w:val="none"/>
        </w:rPr>
        <w:t xml:space="preserve">     ▲</w:t>
      </w:r>
      <w:r>
        <w:rPr>
          <w:rFonts w:hint="eastAsia" w:ascii="宋体" w:hAnsi="宋体" w:eastAsia="宋体" w:cs="宋体"/>
          <w:b/>
          <w:bCs/>
          <w:color w:val="auto"/>
          <w:kern w:val="0"/>
          <w:sz w:val="24"/>
          <w:highlight w:val="none"/>
        </w:rPr>
        <w:t>报价文件</w:t>
      </w:r>
    </w:p>
    <w:p w14:paraId="7F6F0B81">
      <w:pPr>
        <w:spacing w:line="420" w:lineRule="exact"/>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（1）报价一览表</w:t>
      </w:r>
      <w:r>
        <w:rPr>
          <w:rFonts w:hint="eastAsia" w:ascii="宋体" w:hAnsi="宋体" w:eastAsia="宋体" w:cs="宋体"/>
          <w:color w:val="auto"/>
          <w:kern w:val="0"/>
          <w:sz w:val="24"/>
          <w:highlight w:val="none"/>
          <w:lang w:eastAsia="zh-CN"/>
        </w:rPr>
        <w:t>；</w:t>
      </w:r>
    </w:p>
    <w:p w14:paraId="1B560398">
      <w:pPr>
        <w:spacing w:line="420" w:lineRule="exact"/>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（2）报价明细</w:t>
      </w:r>
      <w:r>
        <w:rPr>
          <w:rFonts w:hint="eastAsia" w:ascii="宋体" w:hAnsi="宋体" w:cs="宋体"/>
          <w:color w:val="auto"/>
          <w:kern w:val="0"/>
          <w:sz w:val="24"/>
          <w:highlight w:val="none"/>
          <w:lang w:val="en-US" w:eastAsia="zh-CN"/>
        </w:rPr>
        <w:t>表</w:t>
      </w:r>
      <w:r>
        <w:rPr>
          <w:rFonts w:hint="eastAsia" w:ascii="宋体" w:hAnsi="宋体" w:cs="宋体"/>
          <w:b/>
          <w:bCs/>
          <w:color w:val="auto"/>
          <w:kern w:val="0"/>
          <w:sz w:val="24"/>
          <w:highlight w:val="none"/>
          <w:lang w:eastAsia="zh-CN"/>
        </w:rPr>
        <w:t>（</w:t>
      </w:r>
      <w:r>
        <w:rPr>
          <w:rFonts w:hint="eastAsia" w:ascii="宋体" w:hAnsi="宋体" w:cs="宋体"/>
          <w:b/>
          <w:bCs/>
          <w:color w:val="auto"/>
          <w:kern w:val="0"/>
          <w:sz w:val="24"/>
          <w:highlight w:val="none"/>
          <w:lang w:val="en-US" w:eastAsia="zh-CN"/>
        </w:rPr>
        <w:t>格式参考</w:t>
      </w:r>
      <w:r>
        <w:rPr>
          <w:rFonts w:hint="eastAsia" w:ascii="宋体" w:hAnsi="宋体" w:eastAsia="宋体" w:cs="宋体"/>
          <w:b/>
          <w:bCs w:val="0"/>
          <w:color w:val="auto"/>
          <w:kern w:val="2"/>
          <w:sz w:val="24"/>
          <w:szCs w:val="24"/>
          <w:highlight w:val="none"/>
          <w:lang w:val="en-US" w:eastAsia="zh-CN" w:bidi="ar-SA"/>
        </w:rPr>
        <w:t>设备清单表</w:t>
      </w:r>
      <w:r>
        <w:rPr>
          <w:rFonts w:hint="eastAsia" w:ascii="宋体" w:hAnsi="宋体" w:cs="宋体"/>
          <w:b/>
          <w:bCs/>
          <w:color w:val="auto"/>
          <w:kern w:val="0"/>
          <w:sz w:val="24"/>
          <w:highlight w:val="none"/>
          <w:lang w:eastAsia="zh-CN"/>
        </w:rPr>
        <w:t>）</w:t>
      </w:r>
      <w:r>
        <w:rPr>
          <w:rFonts w:hint="eastAsia" w:ascii="宋体" w:hAnsi="宋体" w:eastAsia="宋体" w:cs="宋体"/>
          <w:color w:val="auto"/>
          <w:kern w:val="0"/>
          <w:sz w:val="24"/>
          <w:highlight w:val="none"/>
          <w:lang w:eastAsia="zh-CN"/>
        </w:rPr>
        <w:t>；</w:t>
      </w:r>
    </w:p>
    <w:p w14:paraId="30B4DE8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（3）主要材料品牌表</w:t>
      </w:r>
    </w:p>
    <w:p w14:paraId="04DEA57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采购文件要求的或投标人认为需要的其它资料</w:t>
      </w:r>
      <w:r>
        <w:rPr>
          <w:rFonts w:hint="eastAsia" w:ascii="宋体" w:hAnsi="宋体" w:eastAsia="宋体" w:cs="宋体"/>
          <w:color w:val="auto"/>
          <w:sz w:val="24"/>
          <w:highlight w:val="none"/>
        </w:rPr>
        <w:t>。</w:t>
      </w:r>
    </w:p>
    <w:p w14:paraId="40A50769">
      <w:pPr>
        <w:snapToGrid w:val="0"/>
        <w:spacing w:before="50" w:after="24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报价一览表</w:t>
      </w:r>
    </w:p>
    <w:p w14:paraId="797AC1FA">
      <w:pPr>
        <w:snapToGrid w:val="0"/>
        <w:spacing w:before="50" w:after="50" w:line="400" w:lineRule="exact"/>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none"/>
          <w:lang w:val="en-US" w:eastAsia="zh-CN"/>
        </w:rPr>
        <w:t xml:space="preserve">          </w:t>
      </w: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tbl>
      <w:tblPr>
        <w:tblStyle w:val="25"/>
        <w:tblW w:w="90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43"/>
        <w:gridCol w:w="6215"/>
      </w:tblGrid>
      <w:tr w14:paraId="4C2547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77" w:hRule="atLeast"/>
          <w:jc w:val="center"/>
        </w:trPr>
        <w:tc>
          <w:tcPr>
            <w:tcW w:w="2843" w:type="dxa"/>
            <w:tcBorders>
              <w:top w:val="single" w:color="auto" w:sz="4" w:space="0"/>
              <w:left w:val="single" w:color="auto" w:sz="4" w:space="0"/>
              <w:bottom w:val="single" w:color="auto" w:sz="4" w:space="0"/>
              <w:right w:val="single" w:color="auto" w:sz="4" w:space="0"/>
            </w:tcBorders>
            <w:noWrap w:val="0"/>
            <w:vAlign w:val="center"/>
          </w:tcPr>
          <w:p w14:paraId="18C268C0">
            <w:pPr>
              <w:jc w:val="center"/>
              <w:rPr>
                <w:rFonts w:hint="eastAsia" w:ascii="宋体" w:hAnsi="宋体" w:cs="宋体"/>
                <w:b/>
                <w:color w:val="auto"/>
                <w:sz w:val="24"/>
                <w:highlight w:val="none"/>
              </w:rPr>
            </w:pPr>
            <w:r>
              <w:rPr>
                <w:rFonts w:hint="eastAsia" w:ascii="宋体" w:hAnsi="宋体" w:cs="宋体"/>
                <w:b/>
                <w:color w:val="auto"/>
                <w:sz w:val="24"/>
                <w:highlight w:val="none"/>
              </w:rPr>
              <w:t>投标总报价</w:t>
            </w:r>
          </w:p>
        </w:tc>
        <w:tc>
          <w:tcPr>
            <w:tcW w:w="6215" w:type="dxa"/>
            <w:tcBorders>
              <w:top w:val="single" w:color="auto" w:sz="4" w:space="0"/>
              <w:left w:val="single" w:color="auto" w:sz="4" w:space="0"/>
              <w:bottom w:val="single" w:color="auto" w:sz="4" w:space="0"/>
              <w:right w:val="single" w:color="auto" w:sz="4" w:space="0"/>
            </w:tcBorders>
            <w:noWrap w:val="0"/>
            <w:vAlign w:val="center"/>
          </w:tcPr>
          <w:p w14:paraId="6D8CCADE">
            <w:pPr>
              <w:jc w:val="left"/>
              <w:rPr>
                <w:rFonts w:hint="eastAsia" w:ascii="宋体" w:hAnsi="宋体" w:cs="宋体"/>
                <w:color w:val="auto"/>
                <w:sz w:val="24"/>
                <w:highlight w:val="none"/>
                <w:u w:val="single"/>
              </w:rPr>
            </w:pPr>
          </w:p>
          <w:p w14:paraId="0A4FCEB2">
            <w:pPr>
              <w:jc w:val="left"/>
              <w:rPr>
                <w:rFonts w:hint="eastAsia" w:ascii="宋体" w:hAnsi="宋体" w:cs="宋体"/>
                <w:color w:val="auto"/>
                <w:sz w:val="24"/>
                <w:highlight w:val="none"/>
                <w:u w:val="singl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（大写，</w:t>
            </w:r>
            <w:r>
              <w:rPr>
                <w:rFonts w:hint="eastAsia" w:ascii="宋体" w:hAnsi="宋体" w:cs="宋体"/>
                <w:b/>
                <w:color w:val="auto"/>
                <w:sz w:val="24"/>
                <w:highlight w:val="none"/>
              </w:rPr>
              <w:t>开标时按此唱标</w:t>
            </w:r>
            <w:r>
              <w:rPr>
                <w:rFonts w:hint="eastAsia" w:ascii="宋体" w:hAnsi="宋体" w:cs="宋体"/>
                <w:color w:val="auto"/>
                <w:sz w:val="24"/>
                <w:highlight w:val="none"/>
              </w:rPr>
              <w:t>）</w:t>
            </w:r>
          </w:p>
          <w:p w14:paraId="63866FE0">
            <w:pPr>
              <w:jc w:val="left"/>
              <w:rPr>
                <w:rFonts w:hint="eastAsia" w:ascii="宋体" w:hAnsi="宋体" w:cs="宋体"/>
                <w:color w:val="auto"/>
                <w:sz w:val="24"/>
                <w:highlight w:val="none"/>
                <w:u w:val="single"/>
              </w:rPr>
            </w:pPr>
          </w:p>
          <w:p w14:paraId="47CD5C0B">
            <w:pPr>
              <w:jc w:val="left"/>
              <w:rPr>
                <w:rFonts w:hint="eastAsia" w:ascii="宋体" w:hAnsi="宋体" w:cs="宋体"/>
                <w:color w:val="auto"/>
                <w:sz w:val="24"/>
                <w:highlight w:val="none"/>
                <w:u w:val="single"/>
              </w:rPr>
            </w:pP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（小写）</w:t>
            </w:r>
          </w:p>
        </w:tc>
      </w:tr>
      <w:tr w14:paraId="7369F1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6" w:hRule="atLeast"/>
          <w:jc w:val="center"/>
        </w:trPr>
        <w:tc>
          <w:tcPr>
            <w:tcW w:w="2843" w:type="dxa"/>
            <w:tcBorders>
              <w:top w:val="single" w:color="auto" w:sz="4" w:space="0"/>
              <w:left w:val="single" w:color="auto" w:sz="4" w:space="0"/>
              <w:bottom w:val="single" w:color="auto" w:sz="4" w:space="0"/>
              <w:right w:val="single" w:color="auto" w:sz="4" w:space="0"/>
            </w:tcBorders>
            <w:noWrap w:val="0"/>
            <w:vAlign w:val="center"/>
          </w:tcPr>
          <w:p w14:paraId="3533EB0F">
            <w:pPr>
              <w:jc w:val="center"/>
              <w:rPr>
                <w:rFonts w:ascii="宋体" w:hAnsi="宋体" w:cs="宋体"/>
                <w:b/>
                <w:color w:val="auto"/>
                <w:sz w:val="24"/>
                <w:highlight w:val="none"/>
              </w:rPr>
            </w:pPr>
            <w:r>
              <w:rPr>
                <w:rFonts w:hint="eastAsia" w:ascii="宋体" w:hAnsi="宋体" w:cs="宋体"/>
                <w:b/>
                <w:color w:val="auto"/>
                <w:sz w:val="24"/>
                <w:highlight w:val="none"/>
              </w:rPr>
              <w:t>项目负责人</w:t>
            </w:r>
          </w:p>
        </w:tc>
        <w:tc>
          <w:tcPr>
            <w:tcW w:w="6215" w:type="dxa"/>
            <w:tcBorders>
              <w:top w:val="single" w:color="auto" w:sz="4" w:space="0"/>
              <w:left w:val="single" w:color="auto" w:sz="4" w:space="0"/>
              <w:bottom w:val="single" w:color="auto" w:sz="4" w:space="0"/>
              <w:right w:val="single" w:color="auto" w:sz="4" w:space="0"/>
            </w:tcBorders>
            <w:noWrap w:val="0"/>
            <w:vAlign w:val="center"/>
          </w:tcPr>
          <w:p w14:paraId="4E814B5B">
            <w:pPr>
              <w:jc w:val="left"/>
              <w:rPr>
                <w:rFonts w:hint="eastAsia" w:ascii="宋体" w:hAnsi="宋体" w:cs="宋体"/>
                <w:color w:val="auto"/>
                <w:sz w:val="24"/>
                <w:highlight w:val="none"/>
              </w:rPr>
            </w:pPr>
          </w:p>
        </w:tc>
      </w:tr>
      <w:tr w14:paraId="1818C3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8" w:hRule="atLeast"/>
          <w:jc w:val="center"/>
        </w:trPr>
        <w:tc>
          <w:tcPr>
            <w:tcW w:w="2843" w:type="dxa"/>
            <w:tcBorders>
              <w:top w:val="single" w:color="auto" w:sz="4" w:space="0"/>
              <w:left w:val="single" w:color="auto" w:sz="4" w:space="0"/>
              <w:bottom w:val="single" w:color="auto" w:sz="4" w:space="0"/>
              <w:right w:val="single" w:color="auto" w:sz="4" w:space="0"/>
            </w:tcBorders>
            <w:noWrap w:val="0"/>
            <w:vAlign w:val="center"/>
          </w:tcPr>
          <w:p w14:paraId="6680C797">
            <w:pPr>
              <w:jc w:val="center"/>
              <w:rPr>
                <w:rFonts w:hint="eastAsia" w:ascii="宋体" w:hAnsi="宋体" w:cs="宋体"/>
                <w:b/>
                <w:color w:val="auto"/>
                <w:sz w:val="24"/>
                <w:highlight w:val="none"/>
              </w:rPr>
            </w:pPr>
            <w:r>
              <w:rPr>
                <w:rFonts w:hint="eastAsia" w:ascii="宋体" w:hAnsi="宋体" w:cs="宋体"/>
                <w:b/>
                <w:color w:val="auto"/>
                <w:sz w:val="24"/>
                <w:highlight w:val="none"/>
              </w:rPr>
              <w:t>服务地点</w:t>
            </w:r>
          </w:p>
        </w:tc>
        <w:tc>
          <w:tcPr>
            <w:tcW w:w="6215" w:type="dxa"/>
            <w:tcBorders>
              <w:top w:val="single" w:color="auto" w:sz="4" w:space="0"/>
              <w:left w:val="single" w:color="auto" w:sz="4" w:space="0"/>
              <w:bottom w:val="single" w:color="auto" w:sz="4" w:space="0"/>
              <w:right w:val="single" w:color="auto" w:sz="4" w:space="0"/>
            </w:tcBorders>
            <w:noWrap w:val="0"/>
            <w:vAlign w:val="center"/>
          </w:tcPr>
          <w:p w14:paraId="06BF3A1B">
            <w:pPr>
              <w:jc w:val="left"/>
              <w:rPr>
                <w:rFonts w:hint="eastAsia" w:ascii="宋体" w:hAnsi="宋体" w:cs="宋体"/>
                <w:color w:val="auto"/>
                <w:sz w:val="24"/>
                <w:highlight w:val="none"/>
              </w:rPr>
            </w:pPr>
            <w:r>
              <w:rPr>
                <w:rFonts w:hint="eastAsia" w:ascii="宋体" w:hAnsi="宋体" w:cs="宋体"/>
                <w:color w:val="auto"/>
                <w:sz w:val="24"/>
                <w:highlight w:val="none"/>
                <w:lang w:eastAsia="zh-CN"/>
              </w:rPr>
              <w:t>杭州市临安区於潜镇绍鲁村天目未来谷生态研学城。</w:t>
            </w:r>
          </w:p>
        </w:tc>
      </w:tr>
      <w:tr w14:paraId="30B9C9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5" w:hRule="atLeast"/>
          <w:jc w:val="center"/>
        </w:trPr>
        <w:tc>
          <w:tcPr>
            <w:tcW w:w="2843" w:type="dxa"/>
            <w:tcBorders>
              <w:top w:val="single" w:color="auto" w:sz="4" w:space="0"/>
              <w:left w:val="single" w:color="auto" w:sz="4" w:space="0"/>
              <w:bottom w:val="single" w:color="auto" w:sz="4" w:space="0"/>
              <w:right w:val="single" w:color="auto" w:sz="4" w:space="0"/>
            </w:tcBorders>
            <w:noWrap w:val="0"/>
            <w:vAlign w:val="center"/>
          </w:tcPr>
          <w:p w14:paraId="13AF87F4">
            <w:pPr>
              <w:jc w:val="center"/>
              <w:rPr>
                <w:rFonts w:hint="default" w:ascii="宋体" w:hAnsi="宋体" w:eastAsia="宋体" w:cs="宋体"/>
                <w:b/>
                <w:color w:val="auto"/>
                <w:sz w:val="24"/>
                <w:highlight w:val="none"/>
                <w:lang w:val="en-US" w:eastAsia="zh-CN"/>
              </w:rPr>
            </w:pPr>
            <w:r>
              <w:rPr>
                <w:rFonts w:hint="eastAsia" w:ascii="宋体" w:hAnsi="宋体" w:cs="宋体"/>
                <w:b/>
                <w:bCs/>
                <w:color w:val="auto"/>
                <w:kern w:val="0"/>
                <w:sz w:val="24"/>
                <w:highlight w:val="none"/>
                <w:lang w:val="en-US" w:eastAsia="zh-CN" w:bidi="ar"/>
              </w:rPr>
              <w:t>供货及安装期</w:t>
            </w:r>
          </w:p>
        </w:tc>
        <w:tc>
          <w:tcPr>
            <w:tcW w:w="6215" w:type="dxa"/>
            <w:tcBorders>
              <w:top w:val="single" w:color="auto" w:sz="4" w:space="0"/>
              <w:left w:val="single" w:color="auto" w:sz="4" w:space="0"/>
              <w:bottom w:val="single" w:color="auto" w:sz="4" w:space="0"/>
              <w:right w:val="single" w:color="auto" w:sz="4" w:space="0"/>
            </w:tcBorders>
            <w:noWrap w:val="0"/>
            <w:vAlign w:val="center"/>
          </w:tcPr>
          <w:p w14:paraId="2372CCB6">
            <w:pPr>
              <w:keepNext w:val="0"/>
              <w:keepLines w:val="0"/>
              <w:pageBreakBefore w:val="0"/>
              <w:widowControl w:val="0"/>
              <w:kinsoku/>
              <w:wordWrap/>
              <w:overflowPunct/>
              <w:topLinePunct w:val="0"/>
              <w:autoSpaceDE/>
              <w:autoSpaceDN/>
              <w:bidi w:val="0"/>
              <w:adjustRightInd/>
              <w:spacing w:line="460" w:lineRule="exact"/>
              <w:textAlignment w:val="auto"/>
              <w:rPr>
                <w:rFonts w:hint="eastAsia" w:ascii="宋体" w:hAnsi="宋体" w:cs="宋体"/>
                <w:color w:val="auto"/>
                <w:sz w:val="24"/>
                <w:highlight w:val="none"/>
                <w:u w:val="single"/>
              </w:rPr>
            </w:pPr>
            <w:r>
              <w:rPr>
                <w:rFonts w:hint="eastAsia" w:ascii="宋体" w:hAnsi="宋体" w:cs="宋体"/>
                <w:color w:val="auto"/>
                <w:sz w:val="24"/>
                <w:highlight w:val="none"/>
                <w:lang w:val="en-US" w:eastAsia="zh-CN"/>
              </w:rPr>
              <w:t>2025年4月30日前安装完成。</w:t>
            </w:r>
          </w:p>
        </w:tc>
      </w:tr>
      <w:tr w14:paraId="129FB2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3" w:hRule="atLeast"/>
          <w:jc w:val="center"/>
        </w:trPr>
        <w:tc>
          <w:tcPr>
            <w:tcW w:w="2843" w:type="dxa"/>
            <w:tcBorders>
              <w:top w:val="single" w:color="auto" w:sz="4" w:space="0"/>
              <w:left w:val="single" w:color="auto" w:sz="4" w:space="0"/>
              <w:bottom w:val="single" w:color="auto" w:sz="4" w:space="0"/>
              <w:right w:val="single" w:color="auto" w:sz="4" w:space="0"/>
            </w:tcBorders>
            <w:noWrap w:val="0"/>
            <w:vAlign w:val="center"/>
          </w:tcPr>
          <w:p w14:paraId="3D2C20F8">
            <w:pPr>
              <w:jc w:val="center"/>
              <w:rPr>
                <w:rFonts w:hint="eastAsia" w:ascii="宋体" w:hAnsi="宋体" w:eastAsia="宋体" w:cs="宋体"/>
                <w:b/>
                <w:color w:val="auto"/>
                <w:sz w:val="24"/>
                <w:highlight w:val="none"/>
                <w:lang w:val="en-US" w:eastAsia="zh-CN"/>
              </w:rPr>
            </w:pPr>
            <w:r>
              <w:rPr>
                <w:rFonts w:hint="eastAsia" w:ascii="宋体" w:hAnsi="宋体" w:cs="宋体"/>
                <w:b/>
                <w:color w:val="auto"/>
                <w:sz w:val="24"/>
                <w:highlight w:val="none"/>
              </w:rPr>
              <w:t>质量</w:t>
            </w:r>
            <w:r>
              <w:rPr>
                <w:rFonts w:hint="eastAsia" w:ascii="宋体" w:hAnsi="宋体" w:cs="宋体"/>
                <w:b/>
                <w:color w:val="auto"/>
                <w:sz w:val="24"/>
                <w:highlight w:val="none"/>
                <w:lang w:val="en-US" w:eastAsia="zh-CN"/>
              </w:rPr>
              <w:t>要求</w:t>
            </w:r>
          </w:p>
        </w:tc>
        <w:tc>
          <w:tcPr>
            <w:tcW w:w="6215" w:type="dxa"/>
            <w:tcBorders>
              <w:top w:val="single" w:color="auto" w:sz="4" w:space="0"/>
              <w:left w:val="single" w:color="auto" w:sz="4" w:space="0"/>
              <w:bottom w:val="single" w:color="auto" w:sz="4" w:space="0"/>
              <w:right w:val="single" w:color="auto" w:sz="4" w:space="0"/>
            </w:tcBorders>
            <w:noWrap w:val="0"/>
            <w:vAlign w:val="center"/>
          </w:tcPr>
          <w:p w14:paraId="3BA3A020">
            <w:pPr>
              <w:jc w:val="left"/>
              <w:rPr>
                <w:rFonts w:hint="eastAsia" w:ascii="宋体" w:hAnsi="宋体" w:cs="宋体"/>
                <w:color w:val="auto"/>
                <w:sz w:val="24"/>
                <w:highlight w:val="none"/>
                <w:u w:val="single"/>
              </w:rPr>
            </w:pPr>
          </w:p>
        </w:tc>
      </w:tr>
      <w:tr w14:paraId="37012E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3" w:hRule="atLeast"/>
          <w:jc w:val="center"/>
        </w:trPr>
        <w:tc>
          <w:tcPr>
            <w:tcW w:w="2843" w:type="dxa"/>
            <w:tcBorders>
              <w:top w:val="single" w:color="auto" w:sz="4" w:space="0"/>
              <w:left w:val="single" w:color="auto" w:sz="4" w:space="0"/>
              <w:bottom w:val="single" w:color="auto" w:sz="4" w:space="0"/>
              <w:right w:val="single" w:color="auto" w:sz="4" w:space="0"/>
            </w:tcBorders>
            <w:noWrap w:val="0"/>
            <w:vAlign w:val="center"/>
          </w:tcPr>
          <w:p w14:paraId="6BEB9A46">
            <w:pPr>
              <w:jc w:val="center"/>
              <w:rPr>
                <w:rFonts w:hint="eastAsia" w:ascii="宋体" w:hAnsi="宋体" w:cs="宋体"/>
                <w:b/>
                <w:color w:val="auto"/>
                <w:sz w:val="24"/>
                <w:highlight w:val="none"/>
              </w:rPr>
            </w:pPr>
            <w:r>
              <w:rPr>
                <w:rFonts w:hint="eastAsia" w:ascii="宋体" w:hAnsi="宋体" w:cs="宋体"/>
                <w:b/>
                <w:color w:val="auto"/>
                <w:sz w:val="24"/>
                <w:highlight w:val="none"/>
              </w:rPr>
              <w:t>付款方式</w:t>
            </w:r>
          </w:p>
        </w:tc>
        <w:tc>
          <w:tcPr>
            <w:tcW w:w="6215" w:type="dxa"/>
            <w:tcBorders>
              <w:top w:val="single" w:color="auto" w:sz="4" w:space="0"/>
              <w:left w:val="single" w:color="auto" w:sz="4" w:space="0"/>
              <w:bottom w:val="single" w:color="auto" w:sz="4" w:space="0"/>
              <w:right w:val="single" w:color="auto" w:sz="4" w:space="0"/>
            </w:tcBorders>
            <w:noWrap w:val="0"/>
            <w:vAlign w:val="center"/>
          </w:tcPr>
          <w:p w14:paraId="67A314F4">
            <w:pPr>
              <w:jc w:val="left"/>
              <w:rPr>
                <w:rFonts w:hint="eastAsia" w:ascii="宋体" w:hAnsi="宋体" w:cs="宋体"/>
                <w:color w:val="auto"/>
                <w:sz w:val="24"/>
                <w:highlight w:val="none"/>
                <w:u w:val="single"/>
              </w:rPr>
            </w:pPr>
            <w:r>
              <w:rPr>
                <w:rFonts w:hint="eastAsia" w:ascii="宋体" w:hAnsi="宋体" w:cs="宋体"/>
                <w:color w:val="auto"/>
                <w:sz w:val="24"/>
                <w:highlight w:val="none"/>
              </w:rPr>
              <w:t>（是否响应采购文件）</w:t>
            </w:r>
          </w:p>
        </w:tc>
      </w:tr>
    </w:tbl>
    <w:p w14:paraId="5CFE9723">
      <w:pPr>
        <w:snapToGrid w:val="0"/>
        <w:spacing w:before="50" w:after="50" w:line="400" w:lineRule="exact"/>
        <w:ind w:firstLine="720" w:firstLineChars="300"/>
        <w:rPr>
          <w:rFonts w:hint="eastAsia" w:ascii="宋体" w:hAnsi="宋体" w:eastAsia="宋体" w:cs="宋体"/>
          <w:color w:val="auto"/>
          <w:sz w:val="24"/>
          <w:highlight w:val="none"/>
          <w:u w:val="single"/>
        </w:rPr>
      </w:pPr>
    </w:p>
    <w:p w14:paraId="1EF50A17">
      <w:pPr>
        <w:snapToGrid w:val="0"/>
        <w:spacing w:before="50" w:after="50" w:line="400" w:lineRule="exact"/>
        <w:ind w:firstLine="600" w:firstLineChars="250"/>
        <w:jc w:val="left"/>
        <w:rPr>
          <w:rFonts w:hint="eastAsia" w:ascii="宋体" w:hAnsi="宋体" w:eastAsia="宋体" w:cs="宋体"/>
          <w:color w:val="000000"/>
          <w:sz w:val="24"/>
        </w:rPr>
      </w:pPr>
      <w:r>
        <w:rPr>
          <w:rFonts w:hint="eastAsia" w:ascii="宋体" w:hAnsi="宋体" w:eastAsia="宋体" w:cs="宋体"/>
          <w:color w:val="000000"/>
          <w:sz w:val="24"/>
        </w:rPr>
        <w:t>注: 1、此表报价单不得涂改，请按规定要求填报。</w:t>
      </w:r>
    </w:p>
    <w:p w14:paraId="6FD91233">
      <w:pPr>
        <w:numPr>
          <w:ilvl w:val="0"/>
          <w:numId w:val="37"/>
        </w:numPr>
        <w:snapToGrid w:val="0"/>
        <w:spacing w:before="50" w:after="50" w:line="400" w:lineRule="exact"/>
        <w:ind w:firstLine="1080" w:firstLineChars="450"/>
        <w:jc w:val="left"/>
        <w:rPr>
          <w:rFonts w:hint="eastAsia" w:ascii="宋体" w:hAnsi="宋体" w:eastAsia="宋体" w:cs="宋体"/>
          <w:color w:val="000000"/>
          <w:sz w:val="24"/>
        </w:rPr>
      </w:pPr>
      <w:r>
        <w:rPr>
          <w:rFonts w:hint="eastAsia" w:ascii="宋体" w:hAnsi="宋体" w:eastAsia="宋体" w:cs="宋体"/>
          <w:color w:val="000000"/>
          <w:sz w:val="24"/>
        </w:rPr>
        <w:t>以上报价应与“报价明细</w:t>
      </w:r>
      <w:r>
        <w:rPr>
          <w:rFonts w:hint="eastAsia" w:ascii="宋体" w:hAnsi="宋体" w:eastAsia="宋体" w:cs="宋体"/>
          <w:color w:val="000000"/>
          <w:sz w:val="24"/>
          <w:lang w:eastAsia="zh-CN"/>
        </w:rPr>
        <w:t>清单</w:t>
      </w:r>
      <w:r>
        <w:rPr>
          <w:rFonts w:hint="eastAsia" w:ascii="宋体" w:hAnsi="宋体" w:eastAsia="宋体" w:cs="宋体"/>
          <w:color w:val="000000"/>
          <w:sz w:val="24"/>
        </w:rPr>
        <w:t>”中的“合计”数相一致。</w:t>
      </w:r>
    </w:p>
    <w:p w14:paraId="0E9E75FE">
      <w:pPr>
        <w:pStyle w:val="18"/>
        <w:numPr>
          <w:ilvl w:val="0"/>
          <w:numId w:val="0"/>
        </w:numPr>
        <w:rPr>
          <w:rFonts w:hint="eastAsia" w:ascii="宋体" w:hAnsi="宋体" w:eastAsia="宋体" w:cs="宋体"/>
        </w:rPr>
      </w:pPr>
    </w:p>
    <w:p w14:paraId="7C1D6634">
      <w:pPr>
        <w:keepNext w:val="0"/>
        <w:keepLines w:val="0"/>
        <w:pageBreakBefore w:val="0"/>
        <w:widowControl w:val="0"/>
        <w:kinsoku/>
        <w:wordWrap/>
        <w:overflowPunct/>
        <w:topLinePunct w:val="0"/>
        <w:autoSpaceDE w:val="0"/>
        <w:autoSpaceDN w:val="0"/>
        <w:bidi w:val="0"/>
        <w:adjustRightInd w:val="0"/>
        <w:snapToGrid/>
        <w:spacing w:line="360" w:lineRule="auto"/>
        <w:ind w:firstLine="4800" w:firstLineChars="20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w:t>
      </w:r>
      <w:r>
        <w:rPr>
          <w:rFonts w:hint="eastAsia" w:ascii="宋体" w:hAnsi="宋体" w:eastAsia="宋体" w:cs="宋体"/>
          <w:color w:val="auto"/>
          <w:sz w:val="24"/>
          <w:highlight w:val="none"/>
          <w:lang w:val="zh-CN"/>
        </w:rPr>
        <w:t xml:space="preserve">名称（公章）：      </w:t>
      </w:r>
    </w:p>
    <w:p w14:paraId="7563D8AD">
      <w:pPr>
        <w:keepNext w:val="0"/>
        <w:keepLines w:val="0"/>
        <w:pageBreakBefore w:val="0"/>
        <w:widowControl w:val="0"/>
        <w:kinsoku/>
        <w:wordWrap/>
        <w:overflowPunct/>
        <w:topLinePunct w:val="0"/>
        <w:autoSpaceDE w:val="0"/>
        <w:autoSpaceDN w:val="0"/>
        <w:bidi w:val="0"/>
        <w:adjustRightInd w:val="0"/>
        <w:snapToGrid/>
        <w:spacing w:line="360" w:lineRule="auto"/>
        <w:ind w:firstLine="4800" w:firstLineChars="20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法定代表人或授权委托人（签字）：</w:t>
      </w:r>
      <w:r>
        <w:rPr>
          <w:rFonts w:hint="eastAsia" w:ascii="宋体" w:hAnsi="宋体" w:eastAsia="宋体" w:cs="宋体"/>
          <w:color w:val="auto"/>
          <w:sz w:val="24"/>
          <w:highlight w:val="none"/>
        </w:rPr>
        <w:t xml:space="preserve">： </w:t>
      </w:r>
    </w:p>
    <w:p w14:paraId="66B2BCD9">
      <w:pPr>
        <w:keepNext w:val="0"/>
        <w:keepLines w:val="0"/>
        <w:pageBreakBefore w:val="0"/>
        <w:widowControl w:val="0"/>
        <w:kinsoku/>
        <w:wordWrap/>
        <w:overflowPunct/>
        <w:topLinePunct w:val="0"/>
        <w:autoSpaceDE w:val="0"/>
        <w:autoSpaceDN w:val="0"/>
        <w:bidi w:val="0"/>
        <w:adjustRightInd w:val="0"/>
        <w:snapToGrid/>
        <w:spacing w:line="360" w:lineRule="auto"/>
        <w:ind w:firstLine="4800" w:firstLineChars="20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14:paraId="696727E9">
      <w:pPr>
        <w:keepNext w:val="0"/>
        <w:keepLines w:val="0"/>
        <w:pageBreakBefore w:val="0"/>
        <w:widowControl w:val="0"/>
        <w:kinsoku/>
        <w:wordWrap/>
        <w:overflowPunct/>
        <w:topLinePunct w:val="0"/>
        <w:autoSpaceDE w:val="0"/>
        <w:autoSpaceDN w:val="0"/>
        <w:bidi w:val="0"/>
        <w:adjustRightInd w:val="0"/>
        <w:snapToGrid/>
        <w:spacing w:line="360" w:lineRule="auto"/>
        <w:ind w:firstLine="4800" w:firstLineChars="2000"/>
        <w:textAlignment w:val="auto"/>
        <w:rPr>
          <w:rFonts w:hint="eastAsia" w:ascii="宋体" w:hAnsi="宋体" w:eastAsia="宋体" w:cs="宋体"/>
          <w:color w:val="auto"/>
          <w:sz w:val="24"/>
          <w:highlight w:val="none"/>
        </w:rPr>
      </w:pPr>
    </w:p>
    <w:p w14:paraId="0A9EE151">
      <w:pPr>
        <w:snapToGrid w:val="0"/>
        <w:spacing w:before="240" w:after="50" w:line="400" w:lineRule="exact"/>
        <w:ind w:firstLine="1080" w:firstLineChars="450"/>
        <w:jc w:val="left"/>
        <w:rPr>
          <w:rFonts w:hint="eastAsia" w:ascii="宋体" w:hAnsi="宋体" w:eastAsia="宋体" w:cs="宋体"/>
          <w:color w:val="000000"/>
          <w:sz w:val="24"/>
        </w:rPr>
      </w:pPr>
    </w:p>
    <w:p w14:paraId="549192A4">
      <w:pPr>
        <w:pStyle w:val="18"/>
        <w:rPr>
          <w:rFonts w:hint="eastAsia" w:ascii="宋体" w:hAnsi="宋体" w:eastAsia="宋体" w:cs="宋体"/>
          <w:lang w:val="en-US"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oto Sans Mono CJK JP Regular">
    <w:altName w:val="微软雅黑"/>
    <w:panose1 w:val="00000000000000000000"/>
    <w:charset w:val="00"/>
    <w:family w:val="swiss"/>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全真中明體">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F1066">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0BB84">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9A0BB84">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043B0">
    <w:pPr>
      <w:pStyle w:val="16"/>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6DB514">
                          <w:pPr>
                            <w:pStyle w:val="16"/>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06DB514">
                    <w:pPr>
                      <w:pStyle w:val="16"/>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0B966">
    <w:pPr>
      <w:pStyle w:val="11"/>
      <w:spacing w:line="14" w:lineRule="auto"/>
      <w:ind w:left="0"/>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EED456">
                          <w:pPr>
                            <w:pStyle w:val="16"/>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AEED456">
                    <w:pPr>
                      <w:pStyle w:val="16"/>
                    </w:pPr>
                    <w:r>
                      <w:fldChar w:fldCharType="begin"/>
                    </w:r>
                    <w:r>
                      <w:instrText xml:space="preserve"> PAGE  \* MERGEFORMAT </w:instrText>
                    </w:r>
                    <w:r>
                      <w:fldChar w:fldCharType="separate"/>
                    </w:r>
                    <w:r>
                      <w:t>74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A88FE">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457AD0"/>
    <w:multiLevelType w:val="singleLevel"/>
    <w:tmpl w:val="88457AD0"/>
    <w:lvl w:ilvl="0" w:tentative="0">
      <w:start w:val="2"/>
      <w:numFmt w:val="decimal"/>
      <w:suff w:val="nothing"/>
      <w:lvlText w:val="%1、"/>
      <w:lvlJc w:val="left"/>
    </w:lvl>
  </w:abstractNum>
  <w:abstractNum w:abstractNumId="1">
    <w:nsid w:val="AFB60DEA"/>
    <w:multiLevelType w:val="multilevel"/>
    <w:tmpl w:val="AFB60DEA"/>
    <w:lvl w:ilvl="0" w:tentative="0">
      <w:start w:val="1"/>
      <w:numFmt w:val="upperLetter"/>
      <w:lvlText w:val="%1."/>
      <w:lvlJc w:val="left"/>
      <w:pPr>
        <w:ind w:left="1740" w:hanging="420"/>
      </w:pPr>
    </w:lvl>
    <w:lvl w:ilvl="1" w:tentative="0">
      <w:start w:val="1"/>
      <w:numFmt w:val="lowerLetter"/>
      <w:lvlText w:val="%2)"/>
      <w:lvlJc w:val="left"/>
      <w:pPr>
        <w:ind w:left="2160" w:hanging="420"/>
      </w:pPr>
    </w:lvl>
    <w:lvl w:ilvl="2" w:tentative="0">
      <w:start w:val="1"/>
      <w:numFmt w:val="lowerRoman"/>
      <w:lvlText w:val="%3."/>
      <w:lvlJc w:val="right"/>
      <w:pPr>
        <w:ind w:left="2580" w:hanging="420"/>
      </w:pPr>
    </w:lvl>
    <w:lvl w:ilvl="3" w:tentative="0">
      <w:start w:val="1"/>
      <w:numFmt w:val="decimal"/>
      <w:lvlText w:val="%4."/>
      <w:lvlJc w:val="left"/>
      <w:pPr>
        <w:ind w:left="3000" w:hanging="420"/>
      </w:pPr>
    </w:lvl>
    <w:lvl w:ilvl="4" w:tentative="0">
      <w:start w:val="1"/>
      <w:numFmt w:val="lowerLetter"/>
      <w:lvlText w:val="%5)"/>
      <w:lvlJc w:val="left"/>
      <w:pPr>
        <w:ind w:left="3420" w:hanging="420"/>
      </w:pPr>
    </w:lvl>
    <w:lvl w:ilvl="5" w:tentative="0">
      <w:start w:val="1"/>
      <w:numFmt w:val="lowerRoman"/>
      <w:lvlText w:val="%6."/>
      <w:lvlJc w:val="right"/>
      <w:pPr>
        <w:ind w:left="3840" w:hanging="420"/>
      </w:pPr>
    </w:lvl>
    <w:lvl w:ilvl="6" w:tentative="0">
      <w:start w:val="1"/>
      <w:numFmt w:val="decimal"/>
      <w:lvlText w:val="%7."/>
      <w:lvlJc w:val="left"/>
      <w:pPr>
        <w:ind w:left="4260" w:hanging="420"/>
      </w:pPr>
    </w:lvl>
    <w:lvl w:ilvl="7" w:tentative="0">
      <w:start w:val="1"/>
      <w:numFmt w:val="lowerLetter"/>
      <w:lvlText w:val="%8)"/>
      <w:lvlJc w:val="left"/>
      <w:pPr>
        <w:ind w:left="4680" w:hanging="420"/>
      </w:pPr>
    </w:lvl>
    <w:lvl w:ilvl="8" w:tentative="0">
      <w:start w:val="1"/>
      <w:numFmt w:val="lowerRoman"/>
      <w:lvlText w:val="%9."/>
      <w:lvlJc w:val="right"/>
      <w:pPr>
        <w:ind w:left="5100" w:hanging="420"/>
      </w:pPr>
    </w:lvl>
  </w:abstractNum>
  <w:abstractNum w:abstractNumId="2">
    <w:nsid w:val="DE4099EA"/>
    <w:multiLevelType w:val="multilevel"/>
    <w:tmpl w:val="DE4099EA"/>
    <w:lvl w:ilvl="0" w:tentative="0">
      <w:start w:val="1"/>
      <w:numFmt w:val="decimal"/>
      <w:lvlText w:val="%1、"/>
      <w:lvlJc w:val="left"/>
      <w:pPr>
        <w:tabs>
          <w:tab w:val="left" w:pos="360"/>
        </w:tabs>
        <w:ind w:left="360" w:hanging="360"/>
      </w:pPr>
      <w:rPr>
        <w:rFonts w:hint="default"/>
      </w:rPr>
    </w:lvl>
    <w:lvl w:ilvl="1" w:tentative="0">
      <w:start w:val="1"/>
      <w:numFmt w:val="decimal"/>
      <w:lvlText w:val="%2、"/>
      <w:lvlJc w:val="left"/>
      <w:pPr>
        <w:ind w:left="1200" w:hanging="780"/>
      </w:pPr>
      <w:rPr>
        <w:rFonts w:hint="default"/>
      </w:rPr>
    </w:lvl>
    <w:lvl w:ilvl="2" w:tentative="0">
      <w:start w:val="1"/>
      <w:numFmt w:val="upperLetter"/>
      <w:lvlText w:val="%3."/>
      <w:lvlJc w:val="left"/>
      <w:pPr>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8037EA0"/>
    <w:multiLevelType w:val="multilevel"/>
    <w:tmpl w:val="08037EA0"/>
    <w:lvl w:ilvl="0" w:tentative="0">
      <w:start w:val="1"/>
      <w:numFmt w:val="upperLetter"/>
      <w:lvlText w:val="%1."/>
      <w:lvlJc w:val="left"/>
      <w:pPr>
        <w:ind w:left="17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8677897"/>
    <w:multiLevelType w:val="multilevel"/>
    <w:tmpl w:val="08677897"/>
    <w:lvl w:ilvl="0" w:tentative="0">
      <w:start w:val="1"/>
      <w:numFmt w:val="upperLetter"/>
      <w:lvlText w:val="%1."/>
      <w:lvlJc w:val="left"/>
      <w:pPr>
        <w:ind w:left="17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8A73076"/>
    <w:multiLevelType w:val="multilevel"/>
    <w:tmpl w:val="08A73076"/>
    <w:lvl w:ilvl="0" w:tentative="0">
      <w:start w:val="1"/>
      <w:numFmt w:val="upperLetter"/>
      <w:lvlText w:val="%1."/>
      <w:lvlJc w:val="left"/>
      <w:pPr>
        <w:tabs>
          <w:tab w:val="left" w:pos="780"/>
        </w:tabs>
        <w:ind w:left="78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95062BC"/>
    <w:multiLevelType w:val="multilevel"/>
    <w:tmpl w:val="095062BC"/>
    <w:lvl w:ilvl="0" w:tentative="0">
      <w:start w:val="1"/>
      <w:numFmt w:val="upperLetter"/>
      <w:lvlText w:val="%1."/>
      <w:lvlJc w:val="left"/>
      <w:pPr>
        <w:tabs>
          <w:tab w:val="left" w:pos="780"/>
        </w:tabs>
        <w:ind w:left="78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A6616DB"/>
    <w:multiLevelType w:val="multilevel"/>
    <w:tmpl w:val="0A6616DB"/>
    <w:lvl w:ilvl="0" w:tentative="0">
      <w:start w:val="1"/>
      <w:numFmt w:val="upperLetter"/>
      <w:lvlText w:val="%1."/>
      <w:lvlJc w:val="left"/>
      <w:pPr>
        <w:tabs>
          <w:tab w:val="left" w:pos="0"/>
        </w:tabs>
        <w:ind w:left="1740" w:hanging="420"/>
      </w:pPr>
      <w:rPr>
        <w:rFonts w:hint="eastAsia"/>
      </w:rPr>
    </w:lvl>
    <w:lvl w:ilvl="1" w:tentative="0">
      <w:start w:val="1"/>
      <w:numFmt w:val="upperLetter"/>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E30DCE9"/>
    <w:multiLevelType w:val="multilevel"/>
    <w:tmpl w:val="0E30DCE9"/>
    <w:lvl w:ilvl="0" w:tentative="0">
      <w:start w:val="1"/>
      <w:numFmt w:val="upperLetter"/>
      <w:lvlText w:val="%1."/>
      <w:lvlJc w:val="left"/>
      <w:pPr>
        <w:ind w:left="17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EE63C03"/>
    <w:multiLevelType w:val="multilevel"/>
    <w:tmpl w:val="0EE63C03"/>
    <w:lvl w:ilvl="0" w:tentative="0">
      <w:start w:val="1"/>
      <w:numFmt w:val="upperLetter"/>
      <w:lvlText w:val="%1."/>
      <w:lvlJc w:val="left"/>
      <w:pPr>
        <w:ind w:left="17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0925126"/>
    <w:multiLevelType w:val="multilevel"/>
    <w:tmpl w:val="10925126"/>
    <w:lvl w:ilvl="0" w:tentative="0">
      <w:start w:val="1"/>
      <w:numFmt w:val="upperLetter"/>
      <w:lvlText w:val="%1."/>
      <w:lvlJc w:val="left"/>
      <w:pPr>
        <w:tabs>
          <w:tab w:val="left" w:pos="780"/>
        </w:tabs>
        <w:ind w:left="78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5C716BC"/>
    <w:multiLevelType w:val="multilevel"/>
    <w:tmpl w:val="15C716BC"/>
    <w:lvl w:ilvl="0" w:tentative="0">
      <w:start w:val="1"/>
      <w:numFmt w:val="decimal"/>
      <w:pStyle w:val="61"/>
      <w:isLgl/>
      <w:lvlText w:val="%1"/>
      <w:lvlJc w:val="left"/>
      <w:pPr>
        <w:tabs>
          <w:tab w:val="left" w:pos="0"/>
        </w:tabs>
        <w:ind w:hanging="425"/>
      </w:pPr>
      <w:rPr>
        <w:rFonts w:hint="eastAsia" w:cs="Times New Roman"/>
      </w:rPr>
    </w:lvl>
    <w:lvl w:ilvl="1" w:tentative="0">
      <w:start w:val="1"/>
      <w:numFmt w:val="decimal"/>
      <w:lvlText w:val="%1.%2"/>
      <w:lvlJc w:val="left"/>
      <w:pPr>
        <w:tabs>
          <w:tab w:val="left" w:pos="567"/>
        </w:tabs>
        <w:ind w:left="567" w:hanging="567"/>
      </w:pPr>
      <w:rPr>
        <w:rFonts w:hint="eastAsia" w:cs="Times New Roman"/>
      </w:rPr>
    </w:lvl>
    <w:lvl w:ilvl="2" w:tentative="0">
      <w:start w:val="1"/>
      <w:numFmt w:val="decimal"/>
      <w:lvlText w:val="%1.%2.%3"/>
      <w:lvlJc w:val="left"/>
      <w:pPr>
        <w:tabs>
          <w:tab w:val="left" w:pos="993"/>
        </w:tabs>
        <w:ind w:left="993" w:hanging="567"/>
      </w:pPr>
      <w:rPr>
        <w:rFonts w:hint="eastAsia" w:cs="Times New Roman"/>
      </w:rPr>
    </w:lvl>
    <w:lvl w:ilvl="3" w:tentative="0">
      <w:start w:val="1"/>
      <w:numFmt w:val="decimal"/>
      <w:lvlText w:val="%1.%2.%3.%4"/>
      <w:lvlJc w:val="left"/>
      <w:pPr>
        <w:tabs>
          <w:tab w:val="left" w:pos="1559"/>
        </w:tabs>
        <w:ind w:left="1559" w:hanging="708"/>
      </w:pPr>
      <w:rPr>
        <w:rFonts w:hint="eastAsia" w:cs="Times New Roman"/>
      </w:rPr>
    </w:lvl>
    <w:lvl w:ilvl="4" w:tentative="0">
      <w:start w:val="1"/>
      <w:numFmt w:val="decimal"/>
      <w:lvlText w:val="%1.%2.%3.%4.%5"/>
      <w:lvlJc w:val="left"/>
      <w:pPr>
        <w:tabs>
          <w:tab w:val="left" w:pos="2126"/>
        </w:tabs>
        <w:ind w:left="2126" w:hanging="850"/>
      </w:pPr>
      <w:rPr>
        <w:rFonts w:hint="eastAsia" w:cs="Times New Roman"/>
      </w:rPr>
    </w:lvl>
    <w:lvl w:ilvl="5" w:tentative="0">
      <w:start w:val="1"/>
      <w:numFmt w:val="decimal"/>
      <w:lvlText w:val="%1.%2.%3.%4.%5.%6"/>
      <w:lvlJc w:val="left"/>
      <w:pPr>
        <w:tabs>
          <w:tab w:val="left" w:pos="2835"/>
        </w:tabs>
        <w:ind w:left="2835" w:hanging="1134"/>
      </w:pPr>
      <w:rPr>
        <w:rFonts w:hint="eastAsia" w:cs="Times New Roman"/>
      </w:rPr>
    </w:lvl>
    <w:lvl w:ilvl="6" w:tentative="0">
      <w:start w:val="1"/>
      <w:numFmt w:val="decimal"/>
      <w:lvlText w:val="%1.%2.%3.%4.%5.%6.%7"/>
      <w:lvlJc w:val="left"/>
      <w:pPr>
        <w:tabs>
          <w:tab w:val="left" w:pos="3402"/>
        </w:tabs>
        <w:ind w:left="3402" w:hanging="1276"/>
      </w:pPr>
      <w:rPr>
        <w:rFonts w:hint="eastAsia" w:cs="Times New Roman"/>
      </w:rPr>
    </w:lvl>
    <w:lvl w:ilvl="7" w:tentative="0">
      <w:start w:val="1"/>
      <w:numFmt w:val="decimal"/>
      <w:lvlText w:val="%1.%2.%3.%4.%5.%6.%7.%8"/>
      <w:lvlJc w:val="left"/>
      <w:pPr>
        <w:tabs>
          <w:tab w:val="left" w:pos="3969"/>
        </w:tabs>
        <w:ind w:left="3969" w:hanging="1418"/>
      </w:pPr>
      <w:rPr>
        <w:rFonts w:hint="eastAsia" w:cs="Times New Roman"/>
      </w:rPr>
    </w:lvl>
    <w:lvl w:ilvl="8" w:tentative="0">
      <w:start w:val="1"/>
      <w:numFmt w:val="decimal"/>
      <w:lvlText w:val="%1.%2.%3.%4.%5.%6.%7.%8.%9"/>
      <w:lvlJc w:val="left"/>
      <w:pPr>
        <w:tabs>
          <w:tab w:val="left" w:pos="4677"/>
        </w:tabs>
        <w:ind w:left="4677" w:hanging="1700"/>
      </w:pPr>
      <w:rPr>
        <w:rFonts w:hint="eastAsia" w:cs="Times New Roman"/>
      </w:rPr>
    </w:lvl>
  </w:abstractNum>
  <w:abstractNum w:abstractNumId="12">
    <w:nsid w:val="1CF17607"/>
    <w:multiLevelType w:val="multilevel"/>
    <w:tmpl w:val="1CF17607"/>
    <w:lvl w:ilvl="0" w:tentative="0">
      <w:start w:val="1"/>
      <w:numFmt w:val="upperLetter"/>
      <w:lvlText w:val="%1."/>
      <w:lvlJc w:val="left"/>
      <w:pPr>
        <w:tabs>
          <w:tab w:val="left" w:pos="780"/>
        </w:tabs>
        <w:ind w:left="78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1F460B34"/>
    <w:multiLevelType w:val="multilevel"/>
    <w:tmpl w:val="1F460B34"/>
    <w:lvl w:ilvl="0" w:tentative="0">
      <w:start w:val="1"/>
      <w:numFmt w:val="upperLetter"/>
      <w:lvlText w:val="%1."/>
      <w:lvlJc w:val="left"/>
      <w:pPr>
        <w:tabs>
          <w:tab w:val="left" w:pos="780"/>
        </w:tabs>
        <w:ind w:left="78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29461F54"/>
    <w:multiLevelType w:val="multilevel"/>
    <w:tmpl w:val="29461F54"/>
    <w:lvl w:ilvl="0" w:tentative="0">
      <w:start w:val="1"/>
      <w:numFmt w:val="upperLetter"/>
      <w:lvlText w:val="%1."/>
      <w:lvlJc w:val="left"/>
      <w:pPr>
        <w:tabs>
          <w:tab w:val="left" w:pos="780"/>
        </w:tabs>
        <w:ind w:left="78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2C613C5D"/>
    <w:multiLevelType w:val="multilevel"/>
    <w:tmpl w:val="2C613C5D"/>
    <w:lvl w:ilvl="0" w:tentative="0">
      <w:start w:val="1"/>
      <w:numFmt w:val="upperLetter"/>
      <w:lvlText w:val="%1."/>
      <w:lvlJc w:val="left"/>
      <w:pPr>
        <w:ind w:left="17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34805B8C"/>
    <w:multiLevelType w:val="multilevel"/>
    <w:tmpl w:val="34805B8C"/>
    <w:lvl w:ilvl="0" w:tentative="0">
      <w:start w:val="1"/>
      <w:numFmt w:val="upperLetter"/>
      <w:lvlText w:val="%1."/>
      <w:lvlJc w:val="left"/>
      <w:pPr>
        <w:ind w:left="17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3531575E"/>
    <w:multiLevelType w:val="singleLevel"/>
    <w:tmpl w:val="3531575E"/>
    <w:lvl w:ilvl="0" w:tentative="0">
      <w:start w:val="1"/>
      <w:numFmt w:val="decimal"/>
      <w:pStyle w:val="7"/>
      <w:lvlText w:val="%1."/>
      <w:lvlJc w:val="left"/>
      <w:pPr>
        <w:tabs>
          <w:tab w:val="left" w:pos="360"/>
        </w:tabs>
        <w:ind w:left="360" w:hanging="360"/>
      </w:pPr>
    </w:lvl>
  </w:abstractNum>
  <w:abstractNum w:abstractNumId="18">
    <w:nsid w:val="3A789E8F"/>
    <w:multiLevelType w:val="multilevel"/>
    <w:tmpl w:val="3A789E8F"/>
    <w:lvl w:ilvl="0" w:tentative="0">
      <w:start w:val="1"/>
      <w:numFmt w:val="decimal"/>
      <w:lvlText w:val="%1、"/>
      <w:lvlJc w:val="left"/>
      <w:pPr>
        <w:tabs>
          <w:tab w:val="left" w:pos="360"/>
        </w:tabs>
        <w:ind w:left="360" w:hanging="360"/>
      </w:pPr>
      <w:rPr>
        <w:rFonts w:hint="default"/>
      </w:rPr>
    </w:lvl>
    <w:lvl w:ilvl="1" w:tentative="0">
      <w:start w:val="1"/>
      <w:numFmt w:val="decimal"/>
      <w:lvlText w:val="%2、"/>
      <w:lvlJc w:val="left"/>
      <w:pPr>
        <w:ind w:left="1200" w:hanging="780"/>
      </w:pPr>
      <w:rPr>
        <w:rFonts w:hint="default"/>
      </w:rPr>
    </w:lvl>
    <w:lvl w:ilvl="2" w:tentative="0">
      <w:start w:val="1"/>
      <w:numFmt w:val="upperLetter"/>
      <w:lvlText w:val="%3."/>
      <w:lvlJc w:val="left"/>
      <w:pPr>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3C722960"/>
    <w:multiLevelType w:val="multilevel"/>
    <w:tmpl w:val="3C722960"/>
    <w:lvl w:ilvl="0" w:tentative="0">
      <w:start w:val="1"/>
      <w:numFmt w:val="upperLetter"/>
      <w:lvlText w:val="%1."/>
      <w:lvlJc w:val="left"/>
      <w:pPr>
        <w:ind w:left="17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419F3FB0"/>
    <w:multiLevelType w:val="multilevel"/>
    <w:tmpl w:val="419F3FB0"/>
    <w:lvl w:ilvl="0" w:tentative="0">
      <w:start w:val="1"/>
      <w:numFmt w:val="upperLetter"/>
      <w:lvlText w:val="%1."/>
      <w:lvlJc w:val="left"/>
      <w:pPr>
        <w:ind w:left="17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41F81177"/>
    <w:multiLevelType w:val="multilevel"/>
    <w:tmpl w:val="41F81177"/>
    <w:lvl w:ilvl="0" w:tentative="0">
      <w:start w:val="1"/>
      <w:numFmt w:val="upperLetter"/>
      <w:lvlText w:val="%1."/>
      <w:lvlJc w:val="left"/>
      <w:pPr>
        <w:tabs>
          <w:tab w:val="left" w:pos="780"/>
        </w:tabs>
        <w:ind w:left="78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42D356AD"/>
    <w:multiLevelType w:val="multilevel"/>
    <w:tmpl w:val="42D356AD"/>
    <w:lvl w:ilvl="0" w:tentative="0">
      <w:start w:val="1"/>
      <w:numFmt w:val="upperLetter"/>
      <w:lvlText w:val="%1."/>
      <w:lvlJc w:val="left"/>
      <w:pPr>
        <w:tabs>
          <w:tab w:val="left" w:pos="780"/>
        </w:tabs>
        <w:ind w:left="78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435E2D74"/>
    <w:multiLevelType w:val="multilevel"/>
    <w:tmpl w:val="435E2D74"/>
    <w:lvl w:ilvl="0" w:tentative="0">
      <w:start w:val="1"/>
      <w:numFmt w:val="upperLetter"/>
      <w:lvlText w:val="%1."/>
      <w:lvlJc w:val="left"/>
      <w:pPr>
        <w:tabs>
          <w:tab w:val="left" w:pos="780"/>
        </w:tabs>
        <w:ind w:left="78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44DC94A0"/>
    <w:multiLevelType w:val="singleLevel"/>
    <w:tmpl w:val="44DC94A0"/>
    <w:lvl w:ilvl="0" w:tentative="0">
      <w:start w:val="1"/>
      <w:numFmt w:val="chineseCounting"/>
      <w:suff w:val="nothing"/>
      <w:lvlText w:val="%1、"/>
      <w:lvlJc w:val="left"/>
      <w:rPr>
        <w:rFonts w:hint="eastAsia"/>
      </w:rPr>
    </w:lvl>
  </w:abstractNum>
  <w:abstractNum w:abstractNumId="25">
    <w:nsid w:val="45201604"/>
    <w:multiLevelType w:val="multilevel"/>
    <w:tmpl w:val="45201604"/>
    <w:lvl w:ilvl="0" w:tentative="0">
      <w:start w:val="1"/>
      <w:numFmt w:val="upperLetter"/>
      <w:lvlText w:val="%1."/>
      <w:lvlJc w:val="left"/>
      <w:pPr>
        <w:ind w:left="1211" w:hanging="360"/>
      </w:pPr>
      <w:rPr>
        <w:rFonts w:hint="default"/>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26">
    <w:nsid w:val="46346AB3"/>
    <w:multiLevelType w:val="multilevel"/>
    <w:tmpl w:val="46346AB3"/>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4E6663D7"/>
    <w:multiLevelType w:val="multilevel"/>
    <w:tmpl w:val="4E6663D7"/>
    <w:lvl w:ilvl="0" w:tentative="0">
      <w:start w:val="1"/>
      <w:numFmt w:val="upperLetter"/>
      <w:lvlText w:val="%1."/>
      <w:lvlJc w:val="left"/>
      <w:pPr>
        <w:ind w:left="17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54A6B88B"/>
    <w:multiLevelType w:val="singleLevel"/>
    <w:tmpl w:val="54A6B88B"/>
    <w:lvl w:ilvl="0" w:tentative="0">
      <w:start w:val="1"/>
      <w:numFmt w:val="decimal"/>
      <w:suff w:val="nothing"/>
      <w:lvlText w:val="（%1）"/>
      <w:lvlJc w:val="left"/>
    </w:lvl>
  </w:abstractNum>
  <w:abstractNum w:abstractNumId="29">
    <w:nsid w:val="55D7613D"/>
    <w:multiLevelType w:val="multilevel"/>
    <w:tmpl w:val="55D7613D"/>
    <w:lvl w:ilvl="0" w:tentative="0">
      <w:start w:val="1"/>
      <w:numFmt w:val="upperLetter"/>
      <w:lvlText w:val="%1."/>
      <w:lvlJc w:val="left"/>
      <w:pPr>
        <w:ind w:left="17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5CE808D9"/>
    <w:multiLevelType w:val="multilevel"/>
    <w:tmpl w:val="5CE808D9"/>
    <w:lvl w:ilvl="0" w:tentative="0">
      <w:start w:val="1"/>
      <w:numFmt w:val="upperLetter"/>
      <w:lvlText w:val="%1."/>
      <w:lvlJc w:val="left"/>
      <w:pPr>
        <w:tabs>
          <w:tab w:val="left" w:pos="780"/>
        </w:tabs>
        <w:ind w:left="78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5FB4C00C"/>
    <w:multiLevelType w:val="singleLevel"/>
    <w:tmpl w:val="5FB4C00C"/>
    <w:lvl w:ilvl="0" w:tentative="0">
      <w:start w:val="1"/>
      <w:numFmt w:val="decimal"/>
      <w:suff w:val="nothing"/>
      <w:lvlText w:val="（%1）"/>
      <w:lvlJc w:val="left"/>
    </w:lvl>
  </w:abstractNum>
  <w:abstractNum w:abstractNumId="32">
    <w:nsid w:val="63C11D37"/>
    <w:multiLevelType w:val="multilevel"/>
    <w:tmpl w:val="63C11D37"/>
    <w:lvl w:ilvl="0" w:tentative="0">
      <w:start w:val="1"/>
      <w:numFmt w:val="upperLetter"/>
      <w:lvlText w:val="%1."/>
      <w:lvlJc w:val="left"/>
      <w:pPr>
        <w:ind w:left="17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6473530A"/>
    <w:multiLevelType w:val="multilevel"/>
    <w:tmpl w:val="6473530A"/>
    <w:lvl w:ilvl="0" w:tentative="0">
      <w:start w:val="1"/>
      <w:numFmt w:val="upperLetter"/>
      <w:lvlText w:val="%1."/>
      <w:lvlJc w:val="left"/>
      <w:pPr>
        <w:ind w:left="1243" w:hanging="360"/>
      </w:pPr>
      <w:rPr>
        <w:rFonts w:hint="default"/>
      </w:rPr>
    </w:lvl>
    <w:lvl w:ilvl="1" w:tentative="0">
      <w:start w:val="1"/>
      <w:numFmt w:val="lowerLetter"/>
      <w:lvlText w:val="%2)"/>
      <w:lvlJc w:val="left"/>
      <w:pPr>
        <w:ind w:left="1723" w:hanging="420"/>
      </w:pPr>
    </w:lvl>
    <w:lvl w:ilvl="2" w:tentative="0">
      <w:start w:val="1"/>
      <w:numFmt w:val="lowerRoman"/>
      <w:lvlText w:val="%3."/>
      <w:lvlJc w:val="right"/>
      <w:pPr>
        <w:ind w:left="2143" w:hanging="420"/>
      </w:pPr>
    </w:lvl>
    <w:lvl w:ilvl="3" w:tentative="0">
      <w:start w:val="1"/>
      <w:numFmt w:val="decimal"/>
      <w:lvlText w:val="%4."/>
      <w:lvlJc w:val="left"/>
      <w:pPr>
        <w:ind w:left="2563" w:hanging="420"/>
      </w:pPr>
    </w:lvl>
    <w:lvl w:ilvl="4" w:tentative="0">
      <w:start w:val="1"/>
      <w:numFmt w:val="lowerLetter"/>
      <w:lvlText w:val="%5)"/>
      <w:lvlJc w:val="left"/>
      <w:pPr>
        <w:ind w:left="2983" w:hanging="420"/>
      </w:pPr>
    </w:lvl>
    <w:lvl w:ilvl="5" w:tentative="0">
      <w:start w:val="1"/>
      <w:numFmt w:val="lowerRoman"/>
      <w:lvlText w:val="%6."/>
      <w:lvlJc w:val="right"/>
      <w:pPr>
        <w:ind w:left="3403" w:hanging="420"/>
      </w:pPr>
    </w:lvl>
    <w:lvl w:ilvl="6" w:tentative="0">
      <w:start w:val="1"/>
      <w:numFmt w:val="decimal"/>
      <w:lvlText w:val="%7."/>
      <w:lvlJc w:val="left"/>
      <w:pPr>
        <w:ind w:left="3823" w:hanging="420"/>
      </w:pPr>
    </w:lvl>
    <w:lvl w:ilvl="7" w:tentative="0">
      <w:start w:val="1"/>
      <w:numFmt w:val="lowerLetter"/>
      <w:lvlText w:val="%8)"/>
      <w:lvlJc w:val="left"/>
      <w:pPr>
        <w:ind w:left="4243" w:hanging="420"/>
      </w:pPr>
    </w:lvl>
    <w:lvl w:ilvl="8" w:tentative="0">
      <w:start w:val="1"/>
      <w:numFmt w:val="lowerRoman"/>
      <w:lvlText w:val="%9."/>
      <w:lvlJc w:val="right"/>
      <w:pPr>
        <w:ind w:left="4663" w:hanging="420"/>
      </w:pPr>
    </w:lvl>
  </w:abstractNum>
  <w:abstractNum w:abstractNumId="34">
    <w:nsid w:val="6820A3DC"/>
    <w:multiLevelType w:val="multilevel"/>
    <w:tmpl w:val="6820A3DC"/>
    <w:lvl w:ilvl="0" w:tentative="0">
      <w:start w:val="1"/>
      <w:numFmt w:val="upperLetter"/>
      <w:lvlText w:val="%1."/>
      <w:lvlJc w:val="left"/>
      <w:pPr>
        <w:ind w:left="17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6FBC540E"/>
    <w:multiLevelType w:val="multilevel"/>
    <w:tmpl w:val="6FBC540E"/>
    <w:lvl w:ilvl="0" w:tentative="0">
      <w:start w:val="1"/>
      <w:numFmt w:val="upperLetter"/>
      <w:lvlText w:val="%1."/>
      <w:lvlJc w:val="left"/>
      <w:pPr>
        <w:tabs>
          <w:tab w:val="left" w:pos="780"/>
        </w:tabs>
        <w:ind w:left="78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70D02128"/>
    <w:multiLevelType w:val="multilevel"/>
    <w:tmpl w:val="70D02128"/>
    <w:lvl w:ilvl="0" w:tentative="0">
      <w:start w:val="1"/>
      <w:numFmt w:val="upperLetter"/>
      <w:lvlText w:val="%1."/>
      <w:lvlJc w:val="left"/>
      <w:pPr>
        <w:ind w:left="1740" w:hanging="420"/>
      </w:pPr>
    </w:lvl>
    <w:lvl w:ilvl="1" w:tentative="0">
      <w:start w:val="1"/>
      <w:numFmt w:val="lowerLetter"/>
      <w:lvlText w:val="%2)"/>
      <w:lvlJc w:val="left"/>
      <w:pPr>
        <w:ind w:left="2160" w:hanging="420"/>
      </w:pPr>
    </w:lvl>
    <w:lvl w:ilvl="2" w:tentative="0">
      <w:start w:val="1"/>
      <w:numFmt w:val="lowerRoman"/>
      <w:lvlText w:val="%3."/>
      <w:lvlJc w:val="right"/>
      <w:pPr>
        <w:ind w:left="2580" w:hanging="420"/>
      </w:pPr>
    </w:lvl>
    <w:lvl w:ilvl="3" w:tentative="0">
      <w:start w:val="1"/>
      <w:numFmt w:val="decimal"/>
      <w:lvlText w:val="%4."/>
      <w:lvlJc w:val="left"/>
      <w:pPr>
        <w:ind w:left="3000" w:hanging="420"/>
      </w:pPr>
    </w:lvl>
    <w:lvl w:ilvl="4" w:tentative="0">
      <w:start w:val="1"/>
      <w:numFmt w:val="lowerLetter"/>
      <w:lvlText w:val="%5)"/>
      <w:lvlJc w:val="left"/>
      <w:pPr>
        <w:ind w:left="3420" w:hanging="420"/>
      </w:pPr>
    </w:lvl>
    <w:lvl w:ilvl="5" w:tentative="0">
      <w:start w:val="1"/>
      <w:numFmt w:val="lowerRoman"/>
      <w:lvlText w:val="%6."/>
      <w:lvlJc w:val="right"/>
      <w:pPr>
        <w:ind w:left="3840" w:hanging="420"/>
      </w:pPr>
    </w:lvl>
    <w:lvl w:ilvl="6" w:tentative="0">
      <w:start w:val="1"/>
      <w:numFmt w:val="decimal"/>
      <w:lvlText w:val="%7."/>
      <w:lvlJc w:val="left"/>
      <w:pPr>
        <w:ind w:left="4260" w:hanging="420"/>
      </w:pPr>
    </w:lvl>
    <w:lvl w:ilvl="7" w:tentative="0">
      <w:start w:val="1"/>
      <w:numFmt w:val="lowerLetter"/>
      <w:lvlText w:val="%8)"/>
      <w:lvlJc w:val="left"/>
      <w:pPr>
        <w:ind w:left="4680" w:hanging="420"/>
      </w:pPr>
    </w:lvl>
    <w:lvl w:ilvl="8" w:tentative="0">
      <w:start w:val="1"/>
      <w:numFmt w:val="lowerRoman"/>
      <w:lvlText w:val="%9."/>
      <w:lvlJc w:val="right"/>
      <w:pPr>
        <w:ind w:left="5100" w:hanging="420"/>
      </w:pPr>
    </w:lvl>
  </w:abstractNum>
  <w:num w:numId="1">
    <w:abstractNumId w:val="17"/>
  </w:num>
  <w:num w:numId="2">
    <w:abstractNumId w:val="11"/>
  </w:num>
  <w:num w:numId="3">
    <w:abstractNumId w:val="24"/>
  </w:num>
  <w:num w:numId="4">
    <w:abstractNumId w:val="25"/>
  </w:num>
  <w:num w:numId="5">
    <w:abstractNumId w:val="36"/>
  </w:num>
  <w:num w:numId="6">
    <w:abstractNumId w:val="1"/>
  </w:num>
  <w:num w:numId="7">
    <w:abstractNumId w:val="33"/>
  </w:num>
  <w:num w:numId="8">
    <w:abstractNumId w:val="27"/>
  </w:num>
  <w:num w:numId="9">
    <w:abstractNumId w:val="18"/>
  </w:num>
  <w:num w:numId="10">
    <w:abstractNumId w:val="2"/>
  </w:num>
  <w:num w:numId="11">
    <w:abstractNumId w:val="9"/>
  </w:num>
  <w:num w:numId="12">
    <w:abstractNumId w:val="31"/>
  </w:num>
  <w:num w:numId="13">
    <w:abstractNumId w:val="28"/>
  </w:num>
  <w:num w:numId="14">
    <w:abstractNumId w:val="34"/>
  </w:num>
  <w:num w:numId="15">
    <w:abstractNumId w:val="32"/>
  </w:num>
  <w:num w:numId="16">
    <w:abstractNumId w:val="8"/>
  </w:num>
  <w:num w:numId="17">
    <w:abstractNumId w:val="16"/>
  </w:num>
  <w:num w:numId="18">
    <w:abstractNumId w:val="19"/>
  </w:num>
  <w:num w:numId="19">
    <w:abstractNumId w:val="7"/>
  </w:num>
  <w:num w:numId="20">
    <w:abstractNumId w:val="23"/>
  </w:num>
  <w:num w:numId="21">
    <w:abstractNumId w:val="12"/>
  </w:num>
  <w:num w:numId="22">
    <w:abstractNumId w:val="30"/>
  </w:num>
  <w:num w:numId="23">
    <w:abstractNumId w:val="5"/>
  </w:num>
  <w:num w:numId="24">
    <w:abstractNumId w:val="10"/>
  </w:num>
  <w:num w:numId="25">
    <w:abstractNumId w:val="35"/>
  </w:num>
  <w:num w:numId="26">
    <w:abstractNumId w:val="6"/>
  </w:num>
  <w:num w:numId="27">
    <w:abstractNumId w:val="21"/>
  </w:num>
  <w:num w:numId="28">
    <w:abstractNumId w:val="13"/>
  </w:num>
  <w:num w:numId="29">
    <w:abstractNumId w:val="14"/>
  </w:num>
  <w:num w:numId="30">
    <w:abstractNumId w:val="22"/>
  </w:num>
  <w:num w:numId="31">
    <w:abstractNumId w:val="20"/>
  </w:num>
  <w:num w:numId="32">
    <w:abstractNumId w:val="4"/>
  </w:num>
  <w:num w:numId="33">
    <w:abstractNumId w:val="29"/>
  </w:num>
  <w:num w:numId="34">
    <w:abstractNumId w:val="3"/>
  </w:num>
  <w:num w:numId="35">
    <w:abstractNumId w:val="15"/>
  </w:num>
  <w:num w:numId="36">
    <w:abstractNumId w:val="26"/>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FjODUzZDg0MjBkY2ViYTM4YzlhN2E0NDcyNjA5NzUifQ=="/>
  </w:docVars>
  <w:rsids>
    <w:rsidRoot w:val="00000000"/>
    <w:rsid w:val="00215AA4"/>
    <w:rsid w:val="005A0EFC"/>
    <w:rsid w:val="006B19F6"/>
    <w:rsid w:val="00B9125D"/>
    <w:rsid w:val="00C37224"/>
    <w:rsid w:val="00D074CA"/>
    <w:rsid w:val="00FE0DFD"/>
    <w:rsid w:val="011C7083"/>
    <w:rsid w:val="01235140"/>
    <w:rsid w:val="01293817"/>
    <w:rsid w:val="014632E9"/>
    <w:rsid w:val="018364A8"/>
    <w:rsid w:val="01A6691A"/>
    <w:rsid w:val="01AE3368"/>
    <w:rsid w:val="01CA374F"/>
    <w:rsid w:val="02A45B37"/>
    <w:rsid w:val="02CC6155"/>
    <w:rsid w:val="04072B3F"/>
    <w:rsid w:val="042649E1"/>
    <w:rsid w:val="0438160E"/>
    <w:rsid w:val="04493EA6"/>
    <w:rsid w:val="046C6FA4"/>
    <w:rsid w:val="04B609CB"/>
    <w:rsid w:val="04CE07EB"/>
    <w:rsid w:val="04EF7E96"/>
    <w:rsid w:val="053F1685"/>
    <w:rsid w:val="05C43DC2"/>
    <w:rsid w:val="06066039"/>
    <w:rsid w:val="061B2F96"/>
    <w:rsid w:val="06894EC5"/>
    <w:rsid w:val="068C3E93"/>
    <w:rsid w:val="06B82227"/>
    <w:rsid w:val="06F21F49"/>
    <w:rsid w:val="072B27CF"/>
    <w:rsid w:val="07AA4409"/>
    <w:rsid w:val="07B51231"/>
    <w:rsid w:val="07BA0734"/>
    <w:rsid w:val="07CF6494"/>
    <w:rsid w:val="07E24DAB"/>
    <w:rsid w:val="07EC1061"/>
    <w:rsid w:val="087145C4"/>
    <w:rsid w:val="088B058C"/>
    <w:rsid w:val="08B6442F"/>
    <w:rsid w:val="08C76756"/>
    <w:rsid w:val="09155A36"/>
    <w:rsid w:val="094605CE"/>
    <w:rsid w:val="096447C0"/>
    <w:rsid w:val="09803B7A"/>
    <w:rsid w:val="09B83739"/>
    <w:rsid w:val="09B96D4E"/>
    <w:rsid w:val="09FA6D1F"/>
    <w:rsid w:val="0A0314D3"/>
    <w:rsid w:val="0A1F2B27"/>
    <w:rsid w:val="0A233B87"/>
    <w:rsid w:val="0A3D1B97"/>
    <w:rsid w:val="0A5471D3"/>
    <w:rsid w:val="0A763619"/>
    <w:rsid w:val="0A764BAC"/>
    <w:rsid w:val="0AB530D1"/>
    <w:rsid w:val="0ABF0156"/>
    <w:rsid w:val="0AF31095"/>
    <w:rsid w:val="0B175DAC"/>
    <w:rsid w:val="0B34024F"/>
    <w:rsid w:val="0BAF03EC"/>
    <w:rsid w:val="0BDA206B"/>
    <w:rsid w:val="0BDD0C0B"/>
    <w:rsid w:val="0CB75E9F"/>
    <w:rsid w:val="0D811703"/>
    <w:rsid w:val="0DE138C5"/>
    <w:rsid w:val="0DF94B75"/>
    <w:rsid w:val="0DFA4681"/>
    <w:rsid w:val="0DFE612A"/>
    <w:rsid w:val="0E1A1B07"/>
    <w:rsid w:val="0E1C5551"/>
    <w:rsid w:val="0E2F4777"/>
    <w:rsid w:val="0E302203"/>
    <w:rsid w:val="0E3B458F"/>
    <w:rsid w:val="0E422319"/>
    <w:rsid w:val="0E905956"/>
    <w:rsid w:val="0EA8376E"/>
    <w:rsid w:val="0EB9334C"/>
    <w:rsid w:val="0EBB046B"/>
    <w:rsid w:val="0EC62ABD"/>
    <w:rsid w:val="0EE1607E"/>
    <w:rsid w:val="0F32295E"/>
    <w:rsid w:val="0F3C1DA7"/>
    <w:rsid w:val="0F5866D4"/>
    <w:rsid w:val="0F6E50E8"/>
    <w:rsid w:val="0F724804"/>
    <w:rsid w:val="0FBC7B84"/>
    <w:rsid w:val="0FD735CC"/>
    <w:rsid w:val="0FD76CB5"/>
    <w:rsid w:val="0FF52989"/>
    <w:rsid w:val="0FFC0FD7"/>
    <w:rsid w:val="104E1EB8"/>
    <w:rsid w:val="10601025"/>
    <w:rsid w:val="10A30183"/>
    <w:rsid w:val="10D174FB"/>
    <w:rsid w:val="10DB0235"/>
    <w:rsid w:val="11096857"/>
    <w:rsid w:val="113711A6"/>
    <w:rsid w:val="113F5533"/>
    <w:rsid w:val="12064274"/>
    <w:rsid w:val="12112892"/>
    <w:rsid w:val="12421FED"/>
    <w:rsid w:val="12705C37"/>
    <w:rsid w:val="128D520A"/>
    <w:rsid w:val="12BA3998"/>
    <w:rsid w:val="12BC78AF"/>
    <w:rsid w:val="12E67F31"/>
    <w:rsid w:val="12EF7EE2"/>
    <w:rsid w:val="13050069"/>
    <w:rsid w:val="133261FA"/>
    <w:rsid w:val="135A7915"/>
    <w:rsid w:val="13B83A56"/>
    <w:rsid w:val="13C46148"/>
    <w:rsid w:val="14182549"/>
    <w:rsid w:val="14414B12"/>
    <w:rsid w:val="1444391F"/>
    <w:rsid w:val="148F4AF9"/>
    <w:rsid w:val="1497412F"/>
    <w:rsid w:val="14B45BA9"/>
    <w:rsid w:val="14BE6011"/>
    <w:rsid w:val="14D64C58"/>
    <w:rsid w:val="14E60C13"/>
    <w:rsid w:val="15612794"/>
    <w:rsid w:val="15887783"/>
    <w:rsid w:val="15AD27BE"/>
    <w:rsid w:val="15BF2372"/>
    <w:rsid w:val="16C4410C"/>
    <w:rsid w:val="16C92E83"/>
    <w:rsid w:val="16DF07C9"/>
    <w:rsid w:val="171D4436"/>
    <w:rsid w:val="17457179"/>
    <w:rsid w:val="1769335D"/>
    <w:rsid w:val="17714D1E"/>
    <w:rsid w:val="177179F5"/>
    <w:rsid w:val="179761F4"/>
    <w:rsid w:val="17E65011"/>
    <w:rsid w:val="17FD699F"/>
    <w:rsid w:val="181E6AA7"/>
    <w:rsid w:val="182903EB"/>
    <w:rsid w:val="18463AA2"/>
    <w:rsid w:val="1851296B"/>
    <w:rsid w:val="18C77F9F"/>
    <w:rsid w:val="18F80999"/>
    <w:rsid w:val="190855FC"/>
    <w:rsid w:val="19115776"/>
    <w:rsid w:val="19210531"/>
    <w:rsid w:val="19771720"/>
    <w:rsid w:val="19895D7C"/>
    <w:rsid w:val="1990114D"/>
    <w:rsid w:val="19B412DF"/>
    <w:rsid w:val="19BB2B43"/>
    <w:rsid w:val="19C72B28"/>
    <w:rsid w:val="1A8218BC"/>
    <w:rsid w:val="1A840C95"/>
    <w:rsid w:val="1AA431E0"/>
    <w:rsid w:val="1AB26C90"/>
    <w:rsid w:val="1AF00665"/>
    <w:rsid w:val="1AFD22ED"/>
    <w:rsid w:val="1B6446E0"/>
    <w:rsid w:val="1B8C2C7D"/>
    <w:rsid w:val="1BB60AB7"/>
    <w:rsid w:val="1C283B4B"/>
    <w:rsid w:val="1C320266"/>
    <w:rsid w:val="1D61352C"/>
    <w:rsid w:val="1D807E56"/>
    <w:rsid w:val="1D981EC0"/>
    <w:rsid w:val="1DAF5DA0"/>
    <w:rsid w:val="1DCD6199"/>
    <w:rsid w:val="1E053232"/>
    <w:rsid w:val="1E1F2FE8"/>
    <w:rsid w:val="1E350EA2"/>
    <w:rsid w:val="1E451486"/>
    <w:rsid w:val="1E573550"/>
    <w:rsid w:val="1E6C0D46"/>
    <w:rsid w:val="1E7D3AC9"/>
    <w:rsid w:val="1EA729BE"/>
    <w:rsid w:val="1EA87E86"/>
    <w:rsid w:val="1EB06206"/>
    <w:rsid w:val="1F0F5BDE"/>
    <w:rsid w:val="1F166D17"/>
    <w:rsid w:val="1F1B0839"/>
    <w:rsid w:val="1F213740"/>
    <w:rsid w:val="1F2C755A"/>
    <w:rsid w:val="1F325180"/>
    <w:rsid w:val="1FD92BE1"/>
    <w:rsid w:val="1FE605E1"/>
    <w:rsid w:val="1FEA3B70"/>
    <w:rsid w:val="1FFA5441"/>
    <w:rsid w:val="201E00EB"/>
    <w:rsid w:val="20602E78"/>
    <w:rsid w:val="20AC29C1"/>
    <w:rsid w:val="20C5155F"/>
    <w:rsid w:val="20E105E6"/>
    <w:rsid w:val="20E6718F"/>
    <w:rsid w:val="20EE6304"/>
    <w:rsid w:val="20FF5536"/>
    <w:rsid w:val="21260DE0"/>
    <w:rsid w:val="213102EF"/>
    <w:rsid w:val="217F3FD2"/>
    <w:rsid w:val="219C1BB2"/>
    <w:rsid w:val="21A6632B"/>
    <w:rsid w:val="21C1505B"/>
    <w:rsid w:val="21C37C83"/>
    <w:rsid w:val="21D253B3"/>
    <w:rsid w:val="21E7503C"/>
    <w:rsid w:val="224C5A04"/>
    <w:rsid w:val="2261079A"/>
    <w:rsid w:val="22617011"/>
    <w:rsid w:val="22775698"/>
    <w:rsid w:val="228D10C9"/>
    <w:rsid w:val="22D15DDE"/>
    <w:rsid w:val="22E625B4"/>
    <w:rsid w:val="22FD3C85"/>
    <w:rsid w:val="23076924"/>
    <w:rsid w:val="236164E9"/>
    <w:rsid w:val="2365081B"/>
    <w:rsid w:val="237A70F6"/>
    <w:rsid w:val="237F0046"/>
    <w:rsid w:val="238764D6"/>
    <w:rsid w:val="23AF7A3E"/>
    <w:rsid w:val="23F141BC"/>
    <w:rsid w:val="23F47942"/>
    <w:rsid w:val="24545B99"/>
    <w:rsid w:val="24AB6AB7"/>
    <w:rsid w:val="24B83969"/>
    <w:rsid w:val="24E57DC6"/>
    <w:rsid w:val="25033490"/>
    <w:rsid w:val="25227A45"/>
    <w:rsid w:val="25426D2B"/>
    <w:rsid w:val="254C5D13"/>
    <w:rsid w:val="2582014C"/>
    <w:rsid w:val="25A87515"/>
    <w:rsid w:val="25C3045F"/>
    <w:rsid w:val="260C4F1A"/>
    <w:rsid w:val="261B0181"/>
    <w:rsid w:val="264E63D0"/>
    <w:rsid w:val="265F25D3"/>
    <w:rsid w:val="26D57BF3"/>
    <w:rsid w:val="26E86A3D"/>
    <w:rsid w:val="26F965C3"/>
    <w:rsid w:val="270E6988"/>
    <w:rsid w:val="272761A5"/>
    <w:rsid w:val="273264DD"/>
    <w:rsid w:val="27387BEE"/>
    <w:rsid w:val="273F2909"/>
    <w:rsid w:val="27404AD2"/>
    <w:rsid w:val="27552D88"/>
    <w:rsid w:val="27657248"/>
    <w:rsid w:val="27BA5EB6"/>
    <w:rsid w:val="27BA6A9E"/>
    <w:rsid w:val="27C74D73"/>
    <w:rsid w:val="27C94143"/>
    <w:rsid w:val="28746CBE"/>
    <w:rsid w:val="2899241C"/>
    <w:rsid w:val="28F64EC4"/>
    <w:rsid w:val="290A0F1C"/>
    <w:rsid w:val="29205697"/>
    <w:rsid w:val="294462AA"/>
    <w:rsid w:val="295108F9"/>
    <w:rsid w:val="29A47FFA"/>
    <w:rsid w:val="29C46192"/>
    <w:rsid w:val="29E817D6"/>
    <w:rsid w:val="29F565E6"/>
    <w:rsid w:val="2A1B6BD4"/>
    <w:rsid w:val="2A3E6243"/>
    <w:rsid w:val="2A592E73"/>
    <w:rsid w:val="2A662A2C"/>
    <w:rsid w:val="2A89133E"/>
    <w:rsid w:val="2A907DA5"/>
    <w:rsid w:val="2AE47EA1"/>
    <w:rsid w:val="2B6D7ACB"/>
    <w:rsid w:val="2B8F395A"/>
    <w:rsid w:val="2B9F11DB"/>
    <w:rsid w:val="2BAE4720"/>
    <w:rsid w:val="2BEE58D4"/>
    <w:rsid w:val="2C0C6BC3"/>
    <w:rsid w:val="2C15707F"/>
    <w:rsid w:val="2C311F12"/>
    <w:rsid w:val="2C5D30DE"/>
    <w:rsid w:val="2C8F3EAA"/>
    <w:rsid w:val="2CB91FF7"/>
    <w:rsid w:val="2CBF701D"/>
    <w:rsid w:val="2D0A5C7E"/>
    <w:rsid w:val="2D4A2E72"/>
    <w:rsid w:val="2D6E6CD1"/>
    <w:rsid w:val="2D896A9F"/>
    <w:rsid w:val="2D980293"/>
    <w:rsid w:val="2DBE3E50"/>
    <w:rsid w:val="2DD94995"/>
    <w:rsid w:val="2E29206F"/>
    <w:rsid w:val="2E310AB2"/>
    <w:rsid w:val="2E334E7B"/>
    <w:rsid w:val="2E3A195C"/>
    <w:rsid w:val="2E656F25"/>
    <w:rsid w:val="2E6F1153"/>
    <w:rsid w:val="2E8621DF"/>
    <w:rsid w:val="2ECB6BA6"/>
    <w:rsid w:val="2EEA6FEC"/>
    <w:rsid w:val="2EF44481"/>
    <w:rsid w:val="2EFF0F49"/>
    <w:rsid w:val="2F280F6B"/>
    <w:rsid w:val="2F2A18A7"/>
    <w:rsid w:val="2F396960"/>
    <w:rsid w:val="2F5514F9"/>
    <w:rsid w:val="2F7B1FEF"/>
    <w:rsid w:val="2F9A6FD5"/>
    <w:rsid w:val="2FC022C4"/>
    <w:rsid w:val="2FD674F9"/>
    <w:rsid w:val="2FEA3F94"/>
    <w:rsid w:val="304B6B56"/>
    <w:rsid w:val="30700BB7"/>
    <w:rsid w:val="308A0393"/>
    <w:rsid w:val="308D64B2"/>
    <w:rsid w:val="30DE3AE6"/>
    <w:rsid w:val="30EE7A1F"/>
    <w:rsid w:val="30FB1AE8"/>
    <w:rsid w:val="312E502D"/>
    <w:rsid w:val="3161439C"/>
    <w:rsid w:val="319F721C"/>
    <w:rsid w:val="31D34707"/>
    <w:rsid w:val="31EA18EB"/>
    <w:rsid w:val="31EF15D8"/>
    <w:rsid w:val="31F734BD"/>
    <w:rsid w:val="32060FE7"/>
    <w:rsid w:val="321D5ECE"/>
    <w:rsid w:val="32255E72"/>
    <w:rsid w:val="324158B3"/>
    <w:rsid w:val="32C20B95"/>
    <w:rsid w:val="32EE372F"/>
    <w:rsid w:val="339C09C3"/>
    <w:rsid w:val="33A552B0"/>
    <w:rsid w:val="33DA234E"/>
    <w:rsid w:val="341E7FEB"/>
    <w:rsid w:val="342B62E0"/>
    <w:rsid w:val="346F0BB4"/>
    <w:rsid w:val="34712EBD"/>
    <w:rsid w:val="34AB7C1E"/>
    <w:rsid w:val="34D70E94"/>
    <w:rsid w:val="35042E1B"/>
    <w:rsid w:val="3507201C"/>
    <w:rsid w:val="356A3C2C"/>
    <w:rsid w:val="356C2A2E"/>
    <w:rsid w:val="35C06BD2"/>
    <w:rsid w:val="361241DF"/>
    <w:rsid w:val="361A2073"/>
    <w:rsid w:val="36330485"/>
    <w:rsid w:val="36746C6B"/>
    <w:rsid w:val="36935783"/>
    <w:rsid w:val="369D39B2"/>
    <w:rsid w:val="36A84F7B"/>
    <w:rsid w:val="36E52680"/>
    <w:rsid w:val="36E70B12"/>
    <w:rsid w:val="3701395E"/>
    <w:rsid w:val="370403AD"/>
    <w:rsid w:val="377E5D96"/>
    <w:rsid w:val="3782290B"/>
    <w:rsid w:val="37992BD0"/>
    <w:rsid w:val="37A50CC1"/>
    <w:rsid w:val="37A66E52"/>
    <w:rsid w:val="37AB035E"/>
    <w:rsid w:val="37B26D16"/>
    <w:rsid w:val="37CD20C5"/>
    <w:rsid w:val="37F34506"/>
    <w:rsid w:val="37FC0800"/>
    <w:rsid w:val="381A631B"/>
    <w:rsid w:val="386020F4"/>
    <w:rsid w:val="3890216C"/>
    <w:rsid w:val="38AD60B7"/>
    <w:rsid w:val="38BC3646"/>
    <w:rsid w:val="38DD5D05"/>
    <w:rsid w:val="39474F89"/>
    <w:rsid w:val="39490DB5"/>
    <w:rsid w:val="396E1587"/>
    <w:rsid w:val="397C3770"/>
    <w:rsid w:val="3996494F"/>
    <w:rsid w:val="39A47347"/>
    <w:rsid w:val="39CA1F5F"/>
    <w:rsid w:val="39CB6ECD"/>
    <w:rsid w:val="39CE564E"/>
    <w:rsid w:val="39E32775"/>
    <w:rsid w:val="39ED30E6"/>
    <w:rsid w:val="39F56527"/>
    <w:rsid w:val="3A0137B3"/>
    <w:rsid w:val="3A1F59D0"/>
    <w:rsid w:val="3A5C3019"/>
    <w:rsid w:val="3AD941E4"/>
    <w:rsid w:val="3AFD379F"/>
    <w:rsid w:val="3B0A0908"/>
    <w:rsid w:val="3B4B13C6"/>
    <w:rsid w:val="3B6D4F6B"/>
    <w:rsid w:val="3B6F7E72"/>
    <w:rsid w:val="3B8A10F3"/>
    <w:rsid w:val="3BB66330"/>
    <w:rsid w:val="3BC136BC"/>
    <w:rsid w:val="3BC875A5"/>
    <w:rsid w:val="3BE2013A"/>
    <w:rsid w:val="3C1F68F1"/>
    <w:rsid w:val="3C25152B"/>
    <w:rsid w:val="3C4B170C"/>
    <w:rsid w:val="3C795D45"/>
    <w:rsid w:val="3C7B5640"/>
    <w:rsid w:val="3C9A4B8C"/>
    <w:rsid w:val="3CA9356B"/>
    <w:rsid w:val="3CAA64B4"/>
    <w:rsid w:val="3CB46193"/>
    <w:rsid w:val="3D313E69"/>
    <w:rsid w:val="3D453844"/>
    <w:rsid w:val="3D903214"/>
    <w:rsid w:val="3DA11518"/>
    <w:rsid w:val="3DAC317B"/>
    <w:rsid w:val="3DBA2768"/>
    <w:rsid w:val="3DD0408A"/>
    <w:rsid w:val="3E291237"/>
    <w:rsid w:val="3E6B1C13"/>
    <w:rsid w:val="3E6F4735"/>
    <w:rsid w:val="3E7418FC"/>
    <w:rsid w:val="3E7513AC"/>
    <w:rsid w:val="3EB913D3"/>
    <w:rsid w:val="3F7F7340"/>
    <w:rsid w:val="3FA565E5"/>
    <w:rsid w:val="3FB75903"/>
    <w:rsid w:val="3FC036D3"/>
    <w:rsid w:val="3FC21BBD"/>
    <w:rsid w:val="3FCC2185"/>
    <w:rsid w:val="3FD11278"/>
    <w:rsid w:val="3FD32083"/>
    <w:rsid w:val="40287A36"/>
    <w:rsid w:val="40685024"/>
    <w:rsid w:val="407917ED"/>
    <w:rsid w:val="40AB5E76"/>
    <w:rsid w:val="40DF2A96"/>
    <w:rsid w:val="41175324"/>
    <w:rsid w:val="41574B40"/>
    <w:rsid w:val="41596145"/>
    <w:rsid w:val="41652466"/>
    <w:rsid w:val="41957807"/>
    <w:rsid w:val="41FD2F74"/>
    <w:rsid w:val="425936BE"/>
    <w:rsid w:val="427F6DD6"/>
    <w:rsid w:val="429177B3"/>
    <w:rsid w:val="42B32F6C"/>
    <w:rsid w:val="42C161E4"/>
    <w:rsid w:val="42D56175"/>
    <w:rsid w:val="42E44A3C"/>
    <w:rsid w:val="434B5F60"/>
    <w:rsid w:val="435C2A1D"/>
    <w:rsid w:val="44095B2B"/>
    <w:rsid w:val="44260CBE"/>
    <w:rsid w:val="44534966"/>
    <w:rsid w:val="449B50B0"/>
    <w:rsid w:val="449E3DFD"/>
    <w:rsid w:val="44A37255"/>
    <w:rsid w:val="45266073"/>
    <w:rsid w:val="45695600"/>
    <w:rsid w:val="4576485F"/>
    <w:rsid w:val="45AA62F1"/>
    <w:rsid w:val="45B57699"/>
    <w:rsid w:val="45DA4562"/>
    <w:rsid w:val="45DB3099"/>
    <w:rsid w:val="46110670"/>
    <w:rsid w:val="46521B97"/>
    <w:rsid w:val="46967706"/>
    <w:rsid w:val="46DC7D00"/>
    <w:rsid w:val="47165460"/>
    <w:rsid w:val="474F366B"/>
    <w:rsid w:val="47AE5A2A"/>
    <w:rsid w:val="47CF1050"/>
    <w:rsid w:val="482E067C"/>
    <w:rsid w:val="4856255C"/>
    <w:rsid w:val="487D2EFE"/>
    <w:rsid w:val="494E2729"/>
    <w:rsid w:val="49722A96"/>
    <w:rsid w:val="49973BDF"/>
    <w:rsid w:val="49991833"/>
    <w:rsid w:val="4A143FD0"/>
    <w:rsid w:val="4A1A7442"/>
    <w:rsid w:val="4A5253DE"/>
    <w:rsid w:val="4AD54A5D"/>
    <w:rsid w:val="4AD566EA"/>
    <w:rsid w:val="4AE13511"/>
    <w:rsid w:val="4AE42387"/>
    <w:rsid w:val="4AE8651C"/>
    <w:rsid w:val="4AF93BE4"/>
    <w:rsid w:val="4B244679"/>
    <w:rsid w:val="4B244C2A"/>
    <w:rsid w:val="4B7534A6"/>
    <w:rsid w:val="4B76280A"/>
    <w:rsid w:val="4B860CD4"/>
    <w:rsid w:val="4B870A7A"/>
    <w:rsid w:val="4BA60CA5"/>
    <w:rsid w:val="4BAF4869"/>
    <w:rsid w:val="4BB83532"/>
    <w:rsid w:val="4BCD4356"/>
    <w:rsid w:val="4C061B3E"/>
    <w:rsid w:val="4C614CEA"/>
    <w:rsid w:val="4C673F09"/>
    <w:rsid w:val="4C710DD3"/>
    <w:rsid w:val="4C777E59"/>
    <w:rsid w:val="4C8648BC"/>
    <w:rsid w:val="4CD07C03"/>
    <w:rsid w:val="4D1325A3"/>
    <w:rsid w:val="4D4C4003"/>
    <w:rsid w:val="4D5945BC"/>
    <w:rsid w:val="4D8F45EB"/>
    <w:rsid w:val="4D8F4A23"/>
    <w:rsid w:val="4DC703DA"/>
    <w:rsid w:val="4DC86B2C"/>
    <w:rsid w:val="4DD2151F"/>
    <w:rsid w:val="4E35193A"/>
    <w:rsid w:val="4E3F6B03"/>
    <w:rsid w:val="4E5A30D3"/>
    <w:rsid w:val="4E6A32E0"/>
    <w:rsid w:val="4E9F09AD"/>
    <w:rsid w:val="4ECE137E"/>
    <w:rsid w:val="4EE20109"/>
    <w:rsid w:val="4EEF00E8"/>
    <w:rsid w:val="4F195B56"/>
    <w:rsid w:val="4F3E109D"/>
    <w:rsid w:val="4F597E85"/>
    <w:rsid w:val="4F6B3C13"/>
    <w:rsid w:val="4F6F22A0"/>
    <w:rsid w:val="4FA40ED3"/>
    <w:rsid w:val="4FE26AF2"/>
    <w:rsid w:val="50071E30"/>
    <w:rsid w:val="501B7551"/>
    <w:rsid w:val="501F0559"/>
    <w:rsid w:val="504951BF"/>
    <w:rsid w:val="506D1196"/>
    <w:rsid w:val="50AA4C91"/>
    <w:rsid w:val="51055BA4"/>
    <w:rsid w:val="513C4D8B"/>
    <w:rsid w:val="51817E9B"/>
    <w:rsid w:val="51856E3F"/>
    <w:rsid w:val="518D20ED"/>
    <w:rsid w:val="518F4C9B"/>
    <w:rsid w:val="51BB2B86"/>
    <w:rsid w:val="526526FF"/>
    <w:rsid w:val="52971A0A"/>
    <w:rsid w:val="52D727A0"/>
    <w:rsid w:val="5300647E"/>
    <w:rsid w:val="531E0F9C"/>
    <w:rsid w:val="532A1A3A"/>
    <w:rsid w:val="53407B22"/>
    <w:rsid w:val="53436D9E"/>
    <w:rsid w:val="536E5A80"/>
    <w:rsid w:val="537F26AC"/>
    <w:rsid w:val="539423FC"/>
    <w:rsid w:val="53A719D0"/>
    <w:rsid w:val="53AB2716"/>
    <w:rsid w:val="53BE4F00"/>
    <w:rsid w:val="53CB7EBC"/>
    <w:rsid w:val="54056411"/>
    <w:rsid w:val="5412040A"/>
    <w:rsid w:val="54547399"/>
    <w:rsid w:val="54576514"/>
    <w:rsid w:val="54AF6350"/>
    <w:rsid w:val="555148AC"/>
    <w:rsid w:val="55BD7A31"/>
    <w:rsid w:val="55F14E71"/>
    <w:rsid w:val="55FF7440"/>
    <w:rsid w:val="56810C3E"/>
    <w:rsid w:val="569C18FB"/>
    <w:rsid w:val="56A377E1"/>
    <w:rsid w:val="57064E32"/>
    <w:rsid w:val="570F7E93"/>
    <w:rsid w:val="57280944"/>
    <w:rsid w:val="574B32B3"/>
    <w:rsid w:val="57665BF6"/>
    <w:rsid w:val="578712C8"/>
    <w:rsid w:val="57877E99"/>
    <w:rsid w:val="579D043C"/>
    <w:rsid w:val="57B425C2"/>
    <w:rsid w:val="57C341F2"/>
    <w:rsid w:val="57EC5031"/>
    <w:rsid w:val="5803098E"/>
    <w:rsid w:val="583077A8"/>
    <w:rsid w:val="584A2E1C"/>
    <w:rsid w:val="589A7317"/>
    <w:rsid w:val="593D6678"/>
    <w:rsid w:val="59862914"/>
    <w:rsid w:val="59CD1728"/>
    <w:rsid w:val="59F23A74"/>
    <w:rsid w:val="5A190688"/>
    <w:rsid w:val="5A2F5DB5"/>
    <w:rsid w:val="5A5162A6"/>
    <w:rsid w:val="5ADC3FCA"/>
    <w:rsid w:val="5B224537"/>
    <w:rsid w:val="5B33267D"/>
    <w:rsid w:val="5B7122E1"/>
    <w:rsid w:val="5B7420A1"/>
    <w:rsid w:val="5C164F06"/>
    <w:rsid w:val="5C20463C"/>
    <w:rsid w:val="5C835190"/>
    <w:rsid w:val="5C873187"/>
    <w:rsid w:val="5CA05E73"/>
    <w:rsid w:val="5CA16EC6"/>
    <w:rsid w:val="5D7611DF"/>
    <w:rsid w:val="5D7B6F85"/>
    <w:rsid w:val="5DAF2D4F"/>
    <w:rsid w:val="5DD00C12"/>
    <w:rsid w:val="5DDF2806"/>
    <w:rsid w:val="5DF21F7F"/>
    <w:rsid w:val="5E1A0753"/>
    <w:rsid w:val="5E712A21"/>
    <w:rsid w:val="5ED026AA"/>
    <w:rsid w:val="5EE02474"/>
    <w:rsid w:val="5F4966A2"/>
    <w:rsid w:val="5F934458"/>
    <w:rsid w:val="5FA0290C"/>
    <w:rsid w:val="5FD702C4"/>
    <w:rsid w:val="5FFF6D07"/>
    <w:rsid w:val="603E30B6"/>
    <w:rsid w:val="60410721"/>
    <w:rsid w:val="605B738C"/>
    <w:rsid w:val="607857C7"/>
    <w:rsid w:val="60872EA8"/>
    <w:rsid w:val="60B80043"/>
    <w:rsid w:val="60CF3E56"/>
    <w:rsid w:val="60F36C84"/>
    <w:rsid w:val="60FC794A"/>
    <w:rsid w:val="61110F17"/>
    <w:rsid w:val="61370707"/>
    <w:rsid w:val="614D1FB2"/>
    <w:rsid w:val="61587D6F"/>
    <w:rsid w:val="616A2ACA"/>
    <w:rsid w:val="61BA16C4"/>
    <w:rsid w:val="61BE2A1E"/>
    <w:rsid w:val="61CA6972"/>
    <w:rsid w:val="61DC3BE1"/>
    <w:rsid w:val="61DC587A"/>
    <w:rsid w:val="621B4700"/>
    <w:rsid w:val="625A2F33"/>
    <w:rsid w:val="62685B6D"/>
    <w:rsid w:val="62B912F1"/>
    <w:rsid w:val="62C12323"/>
    <w:rsid w:val="62CB23AB"/>
    <w:rsid w:val="6325361D"/>
    <w:rsid w:val="63AF198D"/>
    <w:rsid w:val="63E22CDB"/>
    <w:rsid w:val="63FD497C"/>
    <w:rsid w:val="64012874"/>
    <w:rsid w:val="640857AB"/>
    <w:rsid w:val="64152672"/>
    <w:rsid w:val="64A53D1A"/>
    <w:rsid w:val="64AE5BD1"/>
    <w:rsid w:val="64BB56FE"/>
    <w:rsid w:val="64E2335F"/>
    <w:rsid w:val="64EC0EFA"/>
    <w:rsid w:val="64EE4F5A"/>
    <w:rsid w:val="65122A4F"/>
    <w:rsid w:val="6529721C"/>
    <w:rsid w:val="657F151F"/>
    <w:rsid w:val="65940CB8"/>
    <w:rsid w:val="65C111B7"/>
    <w:rsid w:val="65CC183E"/>
    <w:rsid w:val="65EB4424"/>
    <w:rsid w:val="660D6A8F"/>
    <w:rsid w:val="6635788E"/>
    <w:rsid w:val="668206BD"/>
    <w:rsid w:val="66884C53"/>
    <w:rsid w:val="66B113C3"/>
    <w:rsid w:val="66D53628"/>
    <w:rsid w:val="67925436"/>
    <w:rsid w:val="67E14FE7"/>
    <w:rsid w:val="68054507"/>
    <w:rsid w:val="680C071A"/>
    <w:rsid w:val="680D23BD"/>
    <w:rsid w:val="681C4E04"/>
    <w:rsid w:val="685E210F"/>
    <w:rsid w:val="68706594"/>
    <w:rsid w:val="68E24603"/>
    <w:rsid w:val="6926203E"/>
    <w:rsid w:val="692B10DD"/>
    <w:rsid w:val="693474A3"/>
    <w:rsid w:val="69560A41"/>
    <w:rsid w:val="69A178E5"/>
    <w:rsid w:val="69B00DC6"/>
    <w:rsid w:val="6A4E1D0F"/>
    <w:rsid w:val="6AAA5BF1"/>
    <w:rsid w:val="6AB06B3D"/>
    <w:rsid w:val="6ACA3A8C"/>
    <w:rsid w:val="6AD40E60"/>
    <w:rsid w:val="6AFD1B42"/>
    <w:rsid w:val="6AFF75EF"/>
    <w:rsid w:val="6B07150F"/>
    <w:rsid w:val="6B225676"/>
    <w:rsid w:val="6B24056B"/>
    <w:rsid w:val="6B4D7CE3"/>
    <w:rsid w:val="6B644E72"/>
    <w:rsid w:val="6B901C87"/>
    <w:rsid w:val="6BCC406B"/>
    <w:rsid w:val="6BD70AE3"/>
    <w:rsid w:val="6BEF189F"/>
    <w:rsid w:val="6C204CFB"/>
    <w:rsid w:val="6C47110C"/>
    <w:rsid w:val="6CAE3C94"/>
    <w:rsid w:val="6CD0662D"/>
    <w:rsid w:val="6CD40772"/>
    <w:rsid w:val="6D0B3340"/>
    <w:rsid w:val="6D0E762E"/>
    <w:rsid w:val="6D260142"/>
    <w:rsid w:val="6D6F091A"/>
    <w:rsid w:val="6D7777CF"/>
    <w:rsid w:val="6D834E1F"/>
    <w:rsid w:val="6D993184"/>
    <w:rsid w:val="6DA85BDA"/>
    <w:rsid w:val="6DB8616B"/>
    <w:rsid w:val="6DD0102F"/>
    <w:rsid w:val="6DE209C7"/>
    <w:rsid w:val="6DF775AA"/>
    <w:rsid w:val="6E014270"/>
    <w:rsid w:val="6E437E9B"/>
    <w:rsid w:val="6E5D564A"/>
    <w:rsid w:val="6E967290"/>
    <w:rsid w:val="6E9C1967"/>
    <w:rsid w:val="6F07065A"/>
    <w:rsid w:val="6F391B59"/>
    <w:rsid w:val="6F3C0DA6"/>
    <w:rsid w:val="6F4B2E62"/>
    <w:rsid w:val="6F4D0C2A"/>
    <w:rsid w:val="6F605D45"/>
    <w:rsid w:val="6F785DEF"/>
    <w:rsid w:val="6F966D67"/>
    <w:rsid w:val="6FDF52AA"/>
    <w:rsid w:val="6FF70753"/>
    <w:rsid w:val="702E686B"/>
    <w:rsid w:val="70730722"/>
    <w:rsid w:val="708D0E9E"/>
    <w:rsid w:val="70BB1CA4"/>
    <w:rsid w:val="70C616F7"/>
    <w:rsid w:val="70D36A96"/>
    <w:rsid w:val="70D45A02"/>
    <w:rsid w:val="70EC1ADA"/>
    <w:rsid w:val="711407EE"/>
    <w:rsid w:val="713B0FAD"/>
    <w:rsid w:val="7140679B"/>
    <w:rsid w:val="71464ADC"/>
    <w:rsid w:val="71DB1B20"/>
    <w:rsid w:val="71F1617B"/>
    <w:rsid w:val="72440AA3"/>
    <w:rsid w:val="72584BDC"/>
    <w:rsid w:val="729F20C4"/>
    <w:rsid w:val="72A377E9"/>
    <w:rsid w:val="72BB3C74"/>
    <w:rsid w:val="72F672A1"/>
    <w:rsid w:val="732007EA"/>
    <w:rsid w:val="73476461"/>
    <w:rsid w:val="736D3AA6"/>
    <w:rsid w:val="737D19F4"/>
    <w:rsid w:val="738C6A2E"/>
    <w:rsid w:val="73D711AD"/>
    <w:rsid w:val="74600FBD"/>
    <w:rsid w:val="74CD2915"/>
    <w:rsid w:val="75285813"/>
    <w:rsid w:val="75507C16"/>
    <w:rsid w:val="755F3EC8"/>
    <w:rsid w:val="75BA1B3C"/>
    <w:rsid w:val="76125502"/>
    <w:rsid w:val="761D53B8"/>
    <w:rsid w:val="76264DA7"/>
    <w:rsid w:val="76391AC6"/>
    <w:rsid w:val="766D10D2"/>
    <w:rsid w:val="768C0BA1"/>
    <w:rsid w:val="76AE73F3"/>
    <w:rsid w:val="7724566E"/>
    <w:rsid w:val="7755646F"/>
    <w:rsid w:val="775779A4"/>
    <w:rsid w:val="775D7A36"/>
    <w:rsid w:val="77AD62C7"/>
    <w:rsid w:val="77D054DF"/>
    <w:rsid w:val="781670F8"/>
    <w:rsid w:val="781A384A"/>
    <w:rsid w:val="78681036"/>
    <w:rsid w:val="78937160"/>
    <w:rsid w:val="78BC07F4"/>
    <w:rsid w:val="796F143D"/>
    <w:rsid w:val="79905EA0"/>
    <w:rsid w:val="79C63670"/>
    <w:rsid w:val="7A0F0E8F"/>
    <w:rsid w:val="7A1A5257"/>
    <w:rsid w:val="7A4A34F7"/>
    <w:rsid w:val="7A734C0B"/>
    <w:rsid w:val="7A8516C7"/>
    <w:rsid w:val="7AC158C1"/>
    <w:rsid w:val="7AEA7ED1"/>
    <w:rsid w:val="7B1E401A"/>
    <w:rsid w:val="7B274780"/>
    <w:rsid w:val="7B6A266D"/>
    <w:rsid w:val="7B8D72E4"/>
    <w:rsid w:val="7BB8575F"/>
    <w:rsid w:val="7BBA3565"/>
    <w:rsid w:val="7BC40083"/>
    <w:rsid w:val="7BCE3F60"/>
    <w:rsid w:val="7BF90935"/>
    <w:rsid w:val="7C1D4A7B"/>
    <w:rsid w:val="7C4B40D1"/>
    <w:rsid w:val="7C9E003E"/>
    <w:rsid w:val="7CC06122"/>
    <w:rsid w:val="7CC36CEE"/>
    <w:rsid w:val="7D260F6B"/>
    <w:rsid w:val="7D4F494D"/>
    <w:rsid w:val="7D9817C8"/>
    <w:rsid w:val="7D982CDB"/>
    <w:rsid w:val="7E48253A"/>
    <w:rsid w:val="7E5508E9"/>
    <w:rsid w:val="7E644245"/>
    <w:rsid w:val="7E64490B"/>
    <w:rsid w:val="7EBA555D"/>
    <w:rsid w:val="7EC07123"/>
    <w:rsid w:val="7F8A33C4"/>
    <w:rsid w:val="7FBA1D76"/>
    <w:rsid w:val="7FDC278A"/>
    <w:rsid w:val="7FFD1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1"/>
    <w:pPr>
      <w:keepNext/>
      <w:keepLines/>
      <w:spacing w:before="260" w:after="260" w:line="416" w:lineRule="auto"/>
      <w:outlineLvl w:val="1"/>
    </w:pPr>
    <w:rPr>
      <w:rFonts w:ascii="Noto Sans Mono CJK JP Regular" w:hAnsi="Noto Sans Mono CJK JP Regular" w:eastAsia="Tahoma"/>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Normal]"/>
    <w:qFormat/>
    <w:uiPriority w:val="99"/>
    <w:rPr>
      <w:rFonts w:ascii="宋体" w:hAnsi="宋体" w:eastAsia="宋体" w:cs="Times New Roman"/>
      <w:kern w:val="0"/>
      <w:sz w:val="24"/>
      <w:szCs w:val="20"/>
      <w:lang w:val="zh-CN" w:eastAsia="zh-CN" w:bidi="ar-SA"/>
    </w:rPr>
  </w:style>
  <w:style w:type="paragraph" w:styleId="7">
    <w:name w:val="List Number"/>
    <w:basedOn w:val="1"/>
    <w:qFormat/>
    <w:uiPriority w:val="0"/>
    <w:pPr>
      <w:numPr>
        <w:ilvl w:val="0"/>
        <w:numId w:val="1"/>
      </w:numPr>
    </w:pPr>
  </w:style>
  <w:style w:type="paragraph" w:styleId="8">
    <w:name w:val="caption"/>
    <w:basedOn w:val="1"/>
    <w:next w:val="1"/>
    <w:qFormat/>
    <w:uiPriority w:val="0"/>
    <w:pPr>
      <w:spacing w:before="152" w:after="160"/>
    </w:pPr>
    <w:rPr>
      <w:rFonts w:ascii="Arial" w:hAnsi="Arial" w:eastAsia="黑体"/>
      <w:sz w:val="20"/>
      <w:szCs w:val="20"/>
    </w:rPr>
  </w:style>
  <w:style w:type="paragraph" w:styleId="9">
    <w:name w:val="annotation text"/>
    <w:basedOn w:val="1"/>
    <w:qFormat/>
    <w:uiPriority w:val="0"/>
    <w:pPr>
      <w:jc w:val="left"/>
    </w:pPr>
  </w:style>
  <w:style w:type="paragraph" w:styleId="10">
    <w:name w:val="Body Text 3"/>
    <w:basedOn w:val="1"/>
    <w:qFormat/>
    <w:uiPriority w:val="0"/>
    <w:pPr>
      <w:snapToGrid w:val="0"/>
      <w:spacing w:before="50" w:after="50"/>
    </w:pPr>
  </w:style>
  <w:style w:type="paragraph" w:styleId="11">
    <w:name w:val="Body Text"/>
    <w:basedOn w:val="1"/>
    <w:qFormat/>
    <w:uiPriority w:val="0"/>
    <w:pPr>
      <w:spacing w:after="120"/>
    </w:pPr>
    <w:rPr>
      <w:sz w:val="28"/>
    </w:rPr>
  </w:style>
  <w:style w:type="paragraph" w:styleId="12">
    <w:name w:val="Body Text Indent"/>
    <w:basedOn w:val="1"/>
    <w:next w:val="1"/>
    <w:qFormat/>
    <w:uiPriority w:val="0"/>
    <w:pPr>
      <w:spacing w:line="200" w:lineRule="exact"/>
      <w:ind w:firstLine="301"/>
    </w:pPr>
    <w:rPr>
      <w:rFonts w:ascii="宋体" w:hAnsi="Courier New"/>
      <w:spacing w:val="-4"/>
      <w:sz w:val="18"/>
      <w:szCs w:val="20"/>
    </w:rPr>
  </w:style>
  <w:style w:type="paragraph" w:styleId="13">
    <w:name w:val="Plain Text"/>
    <w:basedOn w:val="1"/>
    <w:next w:val="6"/>
    <w:qFormat/>
    <w:uiPriority w:val="0"/>
    <w:pPr>
      <w:spacing w:before="156" w:beforeLines="50" w:after="156" w:afterLines="50" w:line="400" w:lineRule="exact"/>
    </w:pPr>
    <w:rPr>
      <w:rFonts w:ascii="宋体" w:hAnsi="Courier New"/>
      <w:sz w:val="24"/>
    </w:rPr>
  </w:style>
  <w:style w:type="paragraph" w:styleId="14">
    <w:name w:val="Date"/>
    <w:basedOn w:val="1"/>
    <w:next w:val="1"/>
    <w:qFormat/>
    <w:uiPriority w:val="0"/>
    <w:pPr>
      <w:ind w:leftChars="2500"/>
    </w:pPr>
    <w:rPr>
      <w:rFonts w:eastAsia="楷体_GB2312"/>
      <w:sz w:val="32"/>
      <w:szCs w:val="20"/>
    </w:rPr>
  </w:style>
  <w:style w:type="paragraph" w:styleId="15">
    <w:name w:val="Body Text Indent 2"/>
    <w:basedOn w:val="1"/>
    <w:qFormat/>
    <w:uiPriority w:val="0"/>
    <w:pPr>
      <w:spacing w:after="120" w:line="480" w:lineRule="auto"/>
      <w:ind w:left="420" w:leftChars="200"/>
    </w:pPr>
  </w:style>
  <w:style w:type="paragraph" w:styleId="16">
    <w:name w:val="footer"/>
    <w:basedOn w:val="1"/>
    <w:qFormat/>
    <w:uiPriority w:val="99"/>
    <w:pPr>
      <w:tabs>
        <w:tab w:val="center" w:pos="4153"/>
        <w:tab w:val="right" w:pos="8306"/>
      </w:tabs>
      <w:snapToGrid w:val="0"/>
      <w:jc w:val="left"/>
    </w:pPr>
    <w:rPr>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39"/>
    <w:pPr>
      <w:tabs>
        <w:tab w:val="right" w:leader="dot" w:pos="10204"/>
      </w:tabs>
      <w:jc w:val="left"/>
    </w:pPr>
  </w:style>
  <w:style w:type="paragraph" w:styleId="19">
    <w:name w:val="toc 6"/>
    <w:basedOn w:val="1"/>
    <w:next w:val="1"/>
    <w:qFormat/>
    <w:uiPriority w:val="0"/>
    <w:pPr>
      <w:ind w:left="2100" w:leftChars="1000"/>
    </w:pPr>
  </w:style>
  <w:style w:type="paragraph" w:styleId="20">
    <w:name w:val="toc 2"/>
    <w:basedOn w:val="1"/>
    <w:next w:val="1"/>
    <w:unhideWhenUsed/>
    <w:qFormat/>
    <w:uiPriority w:val="39"/>
    <w:pPr>
      <w:widowControl/>
      <w:spacing w:after="100" w:line="276" w:lineRule="auto"/>
      <w:ind w:left="220"/>
      <w:jc w:val="left"/>
    </w:pPr>
    <w:rPr>
      <w:rFonts w:ascii="Calibri" w:hAnsi="Calibri"/>
      <w:kern w:val="0"/>
      <w:sz w:val="22"/>
      <w:szCs w:val="22"/>
    </w:rPr>
  </w:style>
  <w:style w:type="paragraph" w:styleId="21">
    <w:name w:val="Body Text 2"/>
    <w:basedOn w:val="1"/>
    <w:qFormat/>
    <w:uiPriority w:val="0"/>
    <w:pPr>
      <w:widowControl/>
      <w:snapToGrid w:val="0"/>
      <w:spacing w:before="50" w:after="156" w:afterLines="50" w:line="400" w:lineRule="exact"/>
      <w:jc w:val="left"/>
    </w:pPr>
    <w:rPr>
      <w:rFonts w:ascii="宋体" w:hAnsi="宋体"/>
      <w:color w:val="000000"/>
      <w:sz w:val="24"/>
    </w:rPr>
  </w:style>
  <w:style w:type="paragraph" w:styleId="22">
    <w:name w:val="Normal (Web)"/>
    <w:basedOn w:val="1"/>
    <w:qFormat/>
    <w:uiPriority w:val="0"/>
    <w:pPr>
      <w:widowControl/>
      <w:spacing w:before="100" w:beforeAutospacing="1" w:after="100" w:afterAutospacing="1"/>
      <w:jc w:val="left"/>
    </w:pPr>
    <w:rPr>
      <w:rFonts w:ascii="宋体" w:hAnsi="宋体"/>
      <w:kern w:val="0"/>
      <w:sz w:val="24"/>
    </w:rPr>
  </w:style>
  <w:style w:type="paragraph" w:styleId="23">
    <w:name w:val="Title"/>
    <w:basedOn w:val="1"/>
    <w:next w:val="1"/>
    <w:qFormat/>
    <w:uiPriority w:val="0"/>
    <w:pPr>
      <w:spacing w:before="240" w:after="60"/>
      <w:jc w:val="center"/>
      <w:outlineLvl w:val="0"/>
    </w:pPr>
    <w:rPr>
      <w:sz w:val="18"/>
      <w:szCs w:val="18"/>
    </w:rPr>
  </w:style>
  <w:style w:type="paragraph" w:styleId="24">
    <w:name w:val="Body Text First Indent"/>
    <w:basedOn w:val="1"/>
    <w:next w:val="1"/>
    <w:qFormat/>
    <w:uiPriority w:val="0"/>
    <w:pPr>
      <w:ind w:firstLine="420" w:firstLineChars="100"/>
    </w:pPr>
    <w:rPr>
      <w:rFonts w:ascii="Calibri" w:hAnsi="Calibri"/>
      <w:sz w:val="21"/>
      <w:szCs w:val="22"/>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Hyperlink"/>
    <w:basedOn w:val="27"/>
    <w:qFormat/>
    <w:uiPriority w:val="99"/>
    <w:rPr>
      <w:color w:val="0000FF"/>
      <w:u w:val="single"/>
    </w:rPr>
  </w:style>
  <w:style w:type="paragraph" w:customStyle="1" w:styleId="30">
    <w:name w:val="正文1"/>
    <w:next w:val="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31">
    <w:name w:val="一级条标题"/>
    <w:basedOn w:val="32"/>
    <w:next w:val="33"/>
    <w:qFormat/>
    <w:uiPriority w:val="0"/>
    <w:pPr>
      <w:tabs>
        <w:tab w:val="left" w:pos="1260"/>
        <w:tab w:val="left" w:pos="1680"/>
      </w:tabs>
      <w:spacing w:before="0" w:beforeLines="0" w:after="0" w:afterLines="0"/>
      <w:ind w:left="1680"/>
      <w:outlineLvl w:val="2"/>
    </w:pPr>
  </w:style>
  <w:style w:type="paragraph" w:customStyle="1" w:styleId="32">
    <w:name w:val="章标题"/>
    <w:next w:val="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3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34">
    <w:name w:val="List Paragraph"/>
    <w:basedOn w:val="1"/>
    <w:qFormat/>
    <w:uiPriority w:val="34"/>
    <w:pPr>
      <w:ind w:firstLine="420" w:firstLineChars="200"/>
    </w:pPr>
  </w:style>
  <w:style w:type="paragraph" w:customStyle="1" w:styleId="35">
    <w:name w:val="Default"/>
    <w:next w:val="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6">
    <w:name w:val=" Char Char Char"/>
    <w:basedOn w:val="1"/>
    <w:qFormat/>
    <w:uiPriority w:val="0"/>
  </w:style>
  <w:style w:type="paragraph" w:customStyle="1" w:styleId="37">
    <w:name w:val="Normal (Web)1"/>
    <w:basedOn w:val="1"/>
    <w:qFormat/>
    <w:uiPriority w:val="0"/>
    <w:pPr>
      <w:widowControl/>
      <w:spacing w:before="100" w:beforeAutospacing="1" w:after="100" w:afterAutospacing="1"/>
      <w:jc w:val="left"/>
    </w:pPr>
    <w:rPr>
      <w:rFonts w:ascii="宋体" w:hAnsi="宋体" w:cs="宋体"/>
      <w:kern w:val="0"/>
      <w:sz w:val="24"/>
    </w:rPr>
  </w:style>
  <w:style w:type="paragraph" w:customStyle="1" w:styleId="38">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9">
    <w:name w:val="Table Paragraph"/>
    <w:basedOn w:val="1"/>
    <w:qFormat/>
    <w:uiPriority w:val="1"/>
    <w:rPr>
      <w:rFonts w:ascii="宋体" w:hAnsi="宋体" w:eastAsia="宋体" w:cs="宋体"/>
      <w:lang w:val="zh-CN" w:eastAsia="zh-CN" w:bidi="zh-CN"/>
    </w:rPr>
  </w:style>
  <w:style w:type="paragraph" w:customStyle="1" w:styleId="40">
    <w:name w:val="首行缩进"/>
    <w:basedOn w:val="1"/>
    <w:qFormat/>
    <w:uiPriority w:val="0"/>
    <w:pPr>
      <w:spacing w:line="360" w:lineRule="auto"/>
      <w:ind w:firstLine="420" w:firstLineChars="200"/>
    </w:pPr>
    <w:rPr>
      <w:rFonts w:ascii="宋体" w:hAnsi="宋体"/>
    </w:rPr>
  </w:style>
  <w:style w:type="character" w:customStyle="1" w:styleId="41">
    <w:name w:val="font51"/>
    <w:basedOn w:val="27"/>
    <w:qFormat/>
    <w:uiPriority w:val="0"/>
    <w:rPr>
      <w:rFonts w:hint="eastAsia" w:ascii="宋体" w:hAnsi="宋体" w:eastAsia="宋体" w:cs="宋体"/>
      <w:b/>
      <w:bCs/>
      <w:color w:val="000000"/>
      <w:sz w:val="20"/>
      <w:szCs w:val="20"/>
      <w:u w:val="none"/>
    </w:rPr>
  </w:style>
  <w:style w:type="character" w:customStyle="1" w:styleId="42">
    <w:name w:val="font61"/>
    <w:basedOn w:val="27"/>
    <w:qFormat/>
    <w:uiPriority w:val="0"/>
    <w:rPr>
      <w:rFonts w:hint="eastAsia" w:ascii="宋体" w:hAnsi="宋体" w:eastAsia="宋体" w:cs="宋体"/>
      <w:color w:val="000000"/>
      <w:sz w:val="20"/>
      <w:szCs w:val="20"/>
      <w:u w:val="none"/>
    </w:rPr>
  </w:style>
  <w:style w:type="character" w:customStyle="1" w:styleId="43">
    <w:name w:val="font41"/>
    <w:basedOn w:val="27"/>
    <w:qFormat/>
    <w:uiPriority w:val="0"/>
    <w:rPr>
      <w:rFonts w:hint="default" w:ascii="Times New Roman" w:hAnsi="Times New Roman" w:cs="Times New Roman"/>
      <w:color w:val="000000"/>
      <w:sz w:val="20"/>
      <w:szCs w:val="20"/>
      <w:u w:val="none"/>
    </w:rPr>
  </w:style>
  <w:style w:type="character" w:customStyle="1" w:styleId="44">
    <w:name w:val="font31"/>
    <w:basedOn w:val="27"/>
    <w:qFormat/>
    <w:uiPriority w:val="0"/>
    <w:rPr>
      <w:rFonts w:hint="default" w:ascii="Times New Roman" w:hAnsi="Times New Roman" w:cs="Times New Roman"/>
      <w:color w:val="000000"/>
      <w:sz w:val="20"/>
      <w:szCs w:val="20"/>
      <w:u w:val="none"/>
    </w:rPr>
  </w:style>
  <w:style w:type="character" w:customStyle="1" w:styleId="45">
    <w:name w:val="font71"/>
    <w:basedOn w:val="27"/>
    <w:qFormat/>
    <w:uiPriority w:val="0"/>
    <w:rPr>
      <w:rFonts w:hint="eastAsia" w:ascii="宋体" w:hAnsi="宋体" w:eastAsia="宋体" w:cs="宋体"/>
      <w:color w:val="000000"/>
      <w:sz w:val="20"/>
      <w:szCs w:val="20"/>
      <w:u w:val="none"/>
    </w:rPr>
  </w:style>
  <w:style w:type="character" w:customStyle="1" w:styleId="46">
    <w:name w:val="font21"/>
    <w:basedOn w:val="27"/>
    <w:qFormat/>
    <w:uiPriority w:val="0"/>
    <w:rPr>
      <w:rFonts w:hint="default" w:ascii="Times New Roman" w:hAnsi="Times New Roman" w:cs="Times New Roman"/>
      <w:b/>
      <w:bCs/>
      <w:color w:val="000000"/>
      <w:sz w:val="20"/>
      <w:szCs w:val="20"/>
      <w:u w:val="none"/>
    </w:rPr>
  </w:style>
  <w:style w:type="character" w:customStyle="1" w:styleId="47">
    <w:name w:val="font11"/>
    <w:basedOn w:val="27"/>
    <w:qFormat/>
    <w:uiPriority w:val="0"/>
    <w:rPr>
      <w:rFonts w:hint="default" w:ascii="Times New Roman" w:hAnsi="Times New Roman" w:cs="Times New Roman"/>
      <w:color w:val="000000"/>
      <w:sz w:val="20"/>
      <w:szCs w:val="20"/>
      <w:u w:val="none"/>
    </w:rPr>
  </w:style>
  <w:style w:type="character" w:customStyle="1" w:styleId="48">
    <w:name w:val="font101"/>
    <w:basedOn w:val="27"/>
    <w:qFormat/>
    <w:uiPriority w:val="0"/>
    <w:rPr>
      <w:rFonts w:hint="eastAsia" w:ascii="宋体" w:hAnsi="宋体" w:eastAsia="宋体" w:cs="宋体"/>
      <w:color w:val="000000"/>
      <w:sz w:val="20"/>
      <w:szCs w:val="20"/>
      <w:u w:val="none"/>
    </w:rPr>
  </w:style>
  <w:style w:type="character" w:customStyle="1" w:styleId="49">
    <w:name w:val="font81"/>
    <w:basedOn w:val="27"/>
    <w:qFormat/>
    <w:uiPriority w:val="0"/>
    <w:rPr>
      <w:rFonts w:hint="eastAsia" w:ascii="宋体" w:hAnsi="宋体" w:eastAsia="宋体" w:cs="宋体"/>
      <w:color w:val="000000"/>
      <w:sz w:val="20"/>
      <w:szCs w:val="20"/>
      <w:u w:val="none"/>
    </w:rPr>
  </w:style>
  <w:style w:type="character" w:customStyle="1" w:styleId="50">
    <w:name w:val="font112"/>
    <w:qFormat/>
    <w:uiPriority w:val="0"/>
    <w:rPr>
      <w:rFonts w:hint="eastAsia" w:ascii="宋体" w:hAnsi="宋体" w:eastAsia="宋体" w:cs="宋体"/>
      <w:color w:val="000000"/>
      <w:sz w:val="20"/>
      <w:szCs w:val="20"/>
      <w:u w:val="none"/>
    </w:rPr>
  </w:style>
  <w:style w:type="character" w:customStyle="1" w:styleId="51">
    <w:name w:val="font91"/>
    <w:qFormat/>
    <w:uiPriority w:val="0"/>
    <w:rPr>
      <w:rFonts w:hint="eastAsia" w:ascii="宋体" w:hAnsi="宋体" w:eastAsia="宋体" w:cs="宋体"/>
      <w:color w:val="000000"/>
      <w:sz w:val="20"/>
      <w:szCs w:val="20"/>
      <w:u w:val="none"/>
    </w:rPr>
  </w:style>
  <w:style w:type="character" w:customStyle="1" w:styleId="52">
    <w:name w:val="font121"/>
    <w:qFormat/>
    <w:uiPriority w:val="0"/>
    <w:rPr>
      <w:rFonts w:hint="eastAsia" w:ascii="宋体" w:hAnsi="宋体" w:eastAsia="宋体" w:cs="宋体"/>
      <w:color w:val="000000"/>
      <w:sz w:val="20"/>
      <w:szCs w:val="20"/>
      <w:u w:val="none"/>
    </w:rPr>
  </w:style>
  <w:style w:type="character" w:customStyle="1" w:styleId="53">
    <w:name w:val="font111"/>
    <w:qFormat/>
    <w:uiPriority w:val="0"/>
    <w:rPr>
      <w:rFonts w:hint="eastAsia" w:ascii="宋体" w:hAnsi="宋体" w:eastAsia="宋体" w:cs="宋体"/>
      <w:color w:val="000000"/>
      <w:sz w:val="20"/>
      <w:szCs w:val="20"/>
      <w:u w:val="none"/>
    </w:rPr>
  </w:style>
  <w:style w:type="paragraph" w:customStyle="1" w:styleId="54">
    <w:name w:val="列表段落1"/>
    <w:basedOn w:val="1"/>
    <w:qFormat/>
    <w:uiPriority w:val="34"/>
    <w:pPr>
      <w:ind w:firstLine="420" w:firstLineChars="200"/>
    </w:pPr>
    <w:rPr>
      <w:rFonts w:ascii="Calibri" w:hAnsi="Calibri"/>
      <w:szCs w:val="22"/>
    </w:rPr>
  </w:style>
  <w:style w:type="paragraph" w:customStyle="1" w:styleId="55">
    <w:name w:val="正文2"/>
    <w:basedOn w:val="1"/>
    <w:qFormat/>
    <w:uiPriority w:val="0"/>
    <w:pPr>
      <w:spacing w:before="156" w:line="360" w:lineRule="auto"/>
      <w:ind w:firstLine="510" w:firstLineChars="200"/>
    </w:pPr>
    <w:rPr>
      <w:sz w:val="24"/>
      <w:szCs w:val="20"/>
    </w:rPr>
  </w:style>
  <w:style w:type="character" w:customStyle="1" w:styleId="56">
    <w:name w:val="标题 1 Char Char"/>
    <w:qFormat/>
    <w:uiPriority w:val="0"/>
    <w:rPr>
      <w:rFonts w:eastAsia="宋体"/>
      <w:b/>
      <w:spacing w:val="-2"/>
      <w:sz w:val="24"/>
      <w:lang w:val="en-US" w:eastAsia="zh-CN" w:bidi="ar-SA"/>
    </w:rPr>
  </w:style>
  <w:style w:type="paragraph" w:customStyle="1" w:styleId="57">
    <w:name w:val="正文缩进1"/>
    <w:basedOn w:val="1"/>
    <w:next w:val="1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58">
    <w:name w:val="索引 11"/>
    <w:basedOn w:val="1"/>
    <w:next w:val="1"/>
    <w:qFormat/>
    <w:uiPriority w:val="99"/>
    <w:pPr>
      <w:adjustRightInd/>
      <w:spacing w:line="360" w:lineRule="auto"/>
    </w:pPr>
    <w:rPr>
      <w:rFonts w:ascii="仿宋_GB2312" w:eastAsia="仿宋_GB2312"/>
      <w:sz w:val="24"/>
      <w:szCs w:val="20"/>
    </w:rPr>
  </w:style>
  <w:style w:type="paragraph" w:customStyle="1" w:styleId="5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0">
    <w:name w:val="NormalCharacter"/>
    <w:qFormat/>
    <w:uiPriority w:val="0"/>
  </w:style>
  <w:style w:type="paragraph" w:customStyle="1" w:styleId="61">
    <w:name w:val="样式 首行缩进:  2 字符"/>
    <w:basedOn w:val="1"/>
    <w:qFormat/>
    <w:uiPriority w:val="0"/>
    <w:pPr>
      <w:numPr>
        <w:ilvl w:val="0"/>
        <w:numId w:val="2"/>
      </w:numPr>
      <w:tabs>
        <w:tab w:val="clear" w:pos="0"/>
      </w:tabs>
      <w:spacing w:line="360" w:lineRule="auto"/>
      <w:ind w:firstLine="200" w:firstLineChars="200"/>
    </w:pPr>
    <w:rPr>
      <w:rFonts w:ascii="宋体" w:hAnsi="宋体" w:cs="宋体"/>
      <w:sz w:val="24"/>
      <w:szCs w:val="20"/>
      <w:lang w:bidi="he-IL"/>
    </w:rPr>
  </w:style>
  <w:style w:type="paragraph" w:styleId="62">
    <w:name w:val="No Spacing"/>
    <w:qFormat/>
    <w:uiPriority w:val="1"/>
    <w:pPr>
      <w:widowControl w:val="0"/>
      <w:spacing w:line="360" w:lineRule="auto"/>
      <w:ind w:firstLine="200" w:firstLineChars="200"/>
    </w:pPr>
    <w:rPr>
      <w:rFonts w:ascii="Times New Roman" w:hAnsi="Times New Roman" w:eastAsia="宋体" w:cs="Times New Roman"/>
      <w:kern w:val="2"/>
      <w:sz w:val="21"/>
      <w:szCs w:val="24"/>
      <w:lang w:val="en-US" w:eastAsia="zh-CN" w:bidi="ar-SA"/>
    </w:rPr>
  </w:style>
  <w:style w:type="paragraph" w:customStyle="1" w:styleId="63">
    <w:name w:val="P2"/>
    <w:qFormat/>
    <w:uiPriority w:val="0"/>
    <w:pPr>
      <w:widowControl w:val="0"/>
      <w:adjustRightInd w:val="0"/>
      <w:spacing w:after="240" w:line="0" w:lineRule="atLeast"/>
      <w:ind w:left="1728"/>
      <w:jc w:val="both"/>
      <w:textAlignment w:val="baseline"/>
    </w:pPr>
    <w:rPr>
      <w:rFonts w:ascii="Times New Roman" w:hAnsi="Times New Roman" w:eastAsia="全真中明體" w:cs="Times New Roman"/>
      <w:spacing w:val="30"/>
      <w:sz w:val="24"/>
      <w:lang w:val="en-GB" w:eastAsia="zh-TW" w:bidi="ar-SA"/>
    </w:rPr>
  </w:style>
  <w:style w:type="paragraph" w:customStyle="1" w:styleId="64">
    <w:name w:val="P5"/>
    <w:qFormat/>
    <w:uiPriority w:val="0"/>
    <w:pPr>
      <w:widowControl w:val="0"/>
      <w:adjustRightInd w:val="0"/>
      <w:spacing w:after="240" w:line="0" w:lineRule="atLeast"/>
      <w:ind w:left="2304"/>
      <w:jc w:val="both"/>
      <w:textAlignment w:val="baseline"/>
    </w:pPr>
    <w:rPr>
      <w:rFonts w:ascii="Times New Roman" w:hAnsi="Times New Roman" w:eastAsia="全真中明體" w:cs="Times New Roman"/>
      <w:spacing w:val="30"/>
      <w:sz w:val="24"/>
      <w:lang w:val="en-GB" w:eastAsia="zh-TW"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121</Words>
  <Characters>135</Characters>
  <Lines>0</Lines>
  <Paragraphs>0</Paragraphs>
  <TotalTime>2</TotalTime>
  <ScaleCrop>false</ScaleCrop>
  <LinksUpToDate>false</LinksUpToDate>
  <CharactersWithSpaces>143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2020-03-12T07:31:00Z</dcterms:created>
  <dc:creator>Administrator</dc:creator>
  <cp:lastModifiedBy>戴戴戴</cp:lastModifiedBy>
  <cp:lastPrinted>2020-03-17T09:05:00Z</cp:lastPrinted>
  <dcterms:modified xsi:type="dcterms:W3CDTF">2025-01-22T06:17:27Z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90DF4CA9830C451AB78FB5811A6980D6_13</vt:lpwstr>
  </property>
  <property fmtid="{D5CDD505-2E9C-101B-9397-08002B2CF9AE}" pid="4" name="KSOTemplateDocerSaveRecord">
    <vt:lpwstr>eyJoZGlkIjoiNjgxNWU4NGNhNDc3NjYwYjcyYjVhNjc2YzAwMzFjYjMiLCJ1c2VySWQiOiIzODAwNzIxNzIifQ==</vt:lpwstr>
  </property>
</Properties>
</file>