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060C97">
      <w:pPr>
        <w:pStyle w:val="19"/>
        <w:spacing w:line="360" w:lineRule="auto"/>
        <w:jc w:val="center"/>
        <w:rPr>
          <w:rFonts w:hint="eastAsia" w:cs="Courier New" w:asciiTheme="minorEastAsia" w:hAnsiTheme="minorEastAsia" w:eastAsiaTheme="minorEastAsia"/>
          <w:b/>
          <w:color w:val="FF0000"/>
          <w:sz w:val="52"/>
          <w:szCs w:val="52"/>
          <w:highlight w:val="yellow"/>
          <w:lang w:eastAsia="zh-CN"/>
        </w:rPr>
      </w:pPr>
      <w:r>
        <w:rPr>
          <w:rFonts w:hint="eastAsia" w:cs="Courier New" w:asciiTheme="minorEastAsia" w:hAnsiTheme="minorEastAsia" w:eastAsiaTheme="minorEastAsia"/>
          <w:b/>
          <w:sz w:val="52"/>
          <w:szCs w:val="52"/>
          <w:lang w:eastAsia="zh-CN"/>
        </w:rPr>
        <w:t>梅蓉逸宿提升改造工程厨房设备采购项目</w:t>
      </w:r>
    </w:p>
    <w:p w14:paraId="69174B94">
      <w:pPr>
        <w:pStyle w:val="19"/>
        <w:spacing w:line="960" w:lineRule="auto"/>
        <w:jc w:val="center"/>
        <w:rPr>
          <w:rFonts w:hint="eastAsia" w:cs="Courier New" w:asciiTheme="minorEastAsia" w:hAnsiTheme="minorEastAsia" w:eastAsiaTheme="minorEastAsia"/>
          <w:b/>
          <w:sz w:val="36"/>
          <w:szCs w:val="36"/>
        </w:rPr>
      </w:pPr>
      <w:r>
        <w:rPr>
          <w:rFonts w:hint="eastAsia" w:cs="Courier New" w:asciiTheme="minorEastAsia" w:hAnsiTheme="minorEastAsia" w:eastAsiaTheme="minorEastAsia"/>
          <w:b/>
          <w:sz w:val="36"/>
          <w:szCs w:val="36"/>
        </w:rPr>
        <w:t>招标文件</w:t>
      </w:r>
    </w:p>
    <w:p w14:paraId="4BB0DAA5">
      <w:pPr>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YHJS-TLZFCG-2024-054</w:t>
      </w:r>
      <w:r>
        <w:rPr>
          <w:rFonts w:hint="eastAsia" w:asciiTheme="minorEastAsia" w:hAnsiTheme="minorEastAsia" w:eastAsiaTheme="minorEastAsia"/>
          <w:sz w:val="30"/>
          <w:szCs w:val="30"/>
        </w:rPr>
        <w:t>）</w:t>
      </w:r>
    </w:p>
    <w:p w14:paraId="3CECEAAC">
      <w:pPr>
        <w:jc w:val="center"/>
        <w:rPr>
          <w:rFonts w:hint="eastAsia" w:asciiTheme="minorEastAsia" w:hAnsiTheme="minorEastAsia" w:eastAsiaTheme="minorEastAsia"/>
          <w:sz w:val="30"/>
          <w:szCs w:val="30"/>
        </w:rPr>
      </w:pPr>
    </w:p>
    <w:p w14:paraId="2D4EB2D6">
      <w:pPr>
        <w:tabs>
          <w:tab w:val="left" w:pos="1980"/>
          <w:tab w:val="left" w:pos="3240"/>
          <w:tab w:val="left" w:pos="3420"/>
          <w:tab w:val="left" w:pos="3600"/>
          <w:tab w:val="left" w:pos="3780"/>
        </w:tabs>
        <w:ind w:left="-180" w:leftChars="-86" w:firstLine="3"/>
        <w:rPr>
          <w:rFonts w:asciiTheme="minorEastAsia" w:hAnsiTheme="minorEastAsia" w:eastAsiaTheme="minorEastAsia"/>
          <w:b/>
          <w:sz w:val="48"/>
          <w:szCs w:val="48"/>
        </w:rPr>
      </w:pPr>
    </w:p>
    <w:p w14:paraId="26DC6408">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7873E16E">
      <w:pPr>
        <w:pStyle w:val="24"/>
        <w:rPr>
          <w:rFonts w:hint="eastAsia" w:asciiTheme="minorEastAsia" w:hAnsiTheme="minorEastAsia" w:eastAsiaTheme="minorEastAsia"/>
          <w:sz w:val="32"/>
        </w:rPr>
      </w:pPr>
    </w:p>
    <w:p w14:paraId="16FE5665">
      <w:pPr>
        <w:rPr>
          <w:rFonts w:hint="eastAsia"/>
        </w:rPr>
      </w:pPr>
    </w:p>
    <w:p w14:paraId="7A680A43">
      <w:pPr>
        <w:tabs>
          <w:tab w:val="left" w:pos="1980"/>
          <w:tab w:val="left" w:pos="3240"/>
          <w:tab w:val="left" w:pos="3420"/>
          <w:tab w:val="left" w:pos="3600"/>
          <w:tab w:val="left" w:pos="3780"/>
        </w:tabs>
        <w:ind w:left="-180" w:leftChars="-86" w:firstLine="640" w:firstLineChars="200"/>
        <w:rPr>
          <w:rFonts w:cs="Courier New" w:asciiTheme="minorEastAsia" w:hAnsiTheme="minorEastAsia" w:eastAsiaTheme="minorEastAsia"/>
          <w:sz w:val="32"/>
          <w:szCs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lang w:eastAsia="zh-CN"/>
        </w:rPr>
        <w:t>杭州三江富春乡村振兴发展有限公司</w:t>
      </w:r>
      <w:r>
        <w:rPr>
          <w:rFonts w:hint="eastAsia" w:asciiTheme="minorEastAsia" w:hAnsiTheme="minorEastAsia" w:eastAsiaTheme="minorEastAsia"/>
          <w:sz w:val="32"/>
          <w:u w:val="single"/>
        </w:rPr>
        <w:t xml:space="preserve">   </w:t>
      </w:r>
    </w:p>
    <w:p w14:paraId="5D2D5FA5">
      <w:pPr>
        <w:tabs>
          <w:tab w:val="left" w:pos="1980"/>
          <w:tab w:val="left" w:pos="3240"/>
          <w:tab w:val="left" w:pos="3420"/>
          <w:tab w:val="left" w:pos="3600"/>
          <w:tab w:val="left" w:pos="3780"/>
        </w:tabs>
        <w:rPr>
          <w:rFonts w:asciiTheme="minorEastAsia" w:hAnsiTheme="minorEastAsia" w:eastAsiaTheme="minorEastAsia"/>
          <w:sz w:val="32"/>
        </w:rPr>
      </w:pPr>
    </w:p>
    <w:p w14:paraId="230EAFAB">
      <w:pPr>
        <w:tabs>
          <w:tab w:val="left" w:pos="1620"/>
          <w:tab w:val="left" w:pos="1800"/>
          <w:tab w:val="left" w:pos="1980"/>
        </w:tabs>
        <w:rPr>
          <w:rFonts w:asciiTheme="minorEastAsia" w:hAnsiTheme="minorEastAsia" w:eastAsiaTheme="minorEastAsia"/>
          <w:sz w:val="32"/>
          <w:u w:val="single"/>
        </w:rPr>
      </w:pPr>
      <w:r>
        <w:rPr>
          <w:rFonts w:hint="eastAsia" w:asciiTheme="minorEastAsia" w:hAnsiTheme="minorEastAsia" w:eastAsiaTheme="minorEastAsia"/>
          <w:sz w:val="32"/>
        </w:rPr>
        <w:t xml:space="preserve">  </w:t>
      </w:r>
      <w:r>
        <w:rPr>
          <w:rFonts w:hint="eastAsia" w:asciiTheme="minorEastAsia" w:hAnsiTheme="minorEastAsia" w:eastAsiaTheme="minorEastAsia"/>
          <w:sz w:val="33"/>
          <w:szCs w:val="33"/>
        </w:rPr>
        <w:t>采购机构 ：</w:t>
      </w:r>
      <w:r>
        <w:rPr>
          <w:rFonts w:hint="eastAsia" w:asciiTheme="minorEastAsia" w:hAnsiTheme="minorEastAsia" w:eastAsiaTheme="minorEastAsia"/>
          <w:sz w:val="32"/>
          <w:u w:val="single"/>
        </w:rPr>
        <w:t xml:space="preserve">          耀华建设管理有限公司         </w:t>
      </w:r>
    </w:p>
    <w:p w14:paraId="6485575C">
      <w:pPr>
        <w:tabs>
          <w:tab w:val="left" w:pos="1620"/>
          <w:tab w:val="left" w:pos="1800"/>
          <w:tab w:val="left" w:pos="1980"/>
        </w:tabs>
        <w:rPr>
          <w:rFonts w:asciiTheme="minorEastAsia" w:hAnsiTheme="minorEastAsia" w:eastAsiaTheme="minorEastAsia"/>
          <w:sz w:val="33"/>
          <w:szCs w:val="33"/>
          <w:u w:val="single"/>
        </w:rPr>
      </w:pPr>
    </w:p>
    <w:p w14:paraId="78902B66">
      <w:pPr>
        <w:tabs>
          <w:tab w:val="left" w:pos="1620"/>
          <w:tab w:val="left" w:pos="1800"/>
          <w:tab w:val="left" w:pos="1980"/>
        </w:tabs>
        <w:rPr>
          <w:rFonts w:asciiTheme="minorEastAsia" w:hAnsiTheme="minorEastAsia" w:eastAsiaTheme="minorEastAsia"/>
          <w:spacing w:val="20"/>
          <w:sz w:val="33"/>
          <w:szCs w:val="33"/>
        </w:rPr>
      </w:pPr>
    </w:p>
    <w:p w14:paraId="308288CF">
      <w:pPr>
        <w:tabs>
          <w:tab w:val="left" w:pos="1620"/>
          <w:tab w:val="left" w:pos="1800"/>
          <w:tab w:val="left" w:pos="1980"/>
        </w:tabs>
        <w:rPr>
          <w:rFonts w:asciiTheme="minorEastAsia" w:hAnsiTheme="minorEastAsia" w:eastAsiaTheme="minorEastAsia"/>
          <w:spacing w:val="20"/>
          <w:sz w:val="33"/>
          <w:szCs w:val="33"/>
        </w:rPr>
      </w:pPr>
    </w:p>
    <w:p w14:paraId="0FBDCDAF">
      <w:pPr>
        <w:tabs>
          <w:tab w:val="left" w:pos="1620"/>
          <w:tab w:val="left" w:pos="1800"/>
          <w:tab w:val="left" w:pos="1980"/>
        </w:tabs>
        <w:rPr>
          <w:rFonts w:asciiTheme="minorEastAsia" w:hAnsiTheme="minorEastAsia" w:eastAsiaTheme="minorEastAsia"/>
          <w:spacing w:val="20"/>
          <w:sz w:val="33"/>
          <w:szCs w:val="33"/>
        </w:rPr>
      </w:pPr>
    </w:p>
    <w:p w14:paraId="41F98FDF">
      <w:pPr>
        <w:pStyle w:val="20"/>
        <w:ind w:left="98" w:leftChars="47"/>
        <w:jc w:val="center"/>
        <w:rPr>
          <w:rFonts w:asciiTheme="minorEastAsia" w:hAnsiTheme="minorEastAsia" w:eastAsiaTheme="minorEastAsia"/>
          <w:sz w:val="33"/>
          <w:szCs w:val="33"/>
          <w:shd w:val="clear" w:color="FFFFFF" w:fill="D9D9D9"/>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8" w:bottom="1417" w:left="1418" w:header="851" w:footer="992" w:gutter="0"/>
          <w:pgNumType w:start="1"/>
          <w:cols w:space="720" w:num="1"/>
          <w:titlePg/>
          <w:docGrid w:type="linesAndChars" w:linePitch="312" w:charSpace="0"/>
        </w:sectPr>
      </w:pPr>
      <w:r>
        <w:rPr>
          <w:rFonts w:hint="eastAsia" w:asciiTheme="minorEastAsia" w:hAnsiTheme="minorEastAsia" w:eastAsiaTheme="minorEastAsia"/>
          <w:sz w:val="33"/>
          <w:szCs w:val="33"/>
        </w:rPr>
        <w:t>202</w:t>
      </w:r>
      <w:r>
        <w:rPr>
          <w:rFonts w:hint="eastAsia" w:asciiTheme="minorEastAsia" w:hAnsiTheme="minorEastAsia" w:eastAsiaTheme="minorEastAsia"/>
          <w:sz w:val="33"/>
          <w:szCs w:val="33"/>
          <w:lang w:val="en-US" w:eastAsia="zh-CN"/>
        </w:rPr>
        <w:t>4</w:t>
      </w:r>
      <w:r>
        <w:rPr>
          <w:rFonts w:hint="eastAsia" w:asciiTheme="minorEastAsia" w:hAnsiTheme="minorEastAsia" w:eastAsiaTheme="minorEastAsia"/>
          <w:sz w:val="33"/>
          <w:szCs w:val="33"/>
        </w:rPr>
        <w:t>年1</w:t>
      </w:r>
      <w:r>
        <w:rPr>
          <w:rFonts w:hint="eastAsia" w:asciiTheme="minorEastAsia" w:hAnsiTheme="minorEastAsia" w:eastAsiaTheme="minorEastAsia"/>
          <w:sz w:val="33"/>
          <w:szCs w:val="33"/>
          <w:lang w:val="en-US" w:eastAsia="zh-CN"/>
        </w:rPr>
        <w:t>2</w:t>
      </w:r>
      <w:r>
        <w:rPr>
          <w:rFonts w:hint="eastAsia" w:asciiTheme="minorEastAsia" w:hAnsiTheme="minorEastAsia" w:eastAsiaTheme="minorEastAsia"/>
          <w:sz w:val="33"/>
          <w:szCs w:val="33"/>
        </w:rPr>
        <w:t>月</w:t>
      </w:r>
    </w:p>
    <w:p w14:paraId="3E978548">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14:paraId="0D0A0054">
      <w:pPr>
        <w:rPr>
          <w:rFonts w:asciiTheme="minorEastAsia" w:hAnsiTheme="minorEastAsia" w:eastAsiaTheme="minorEastAsia"/>
        </w:rPr>
      </w:pPr>
    </w:p>
    <w:p w14:paraId="341ACDA2">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招标公告</w:t>
      </w:r>
    </w:p>
    <w:p w14:paraId="30B4D224">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招标需求</w:t>
      </w:r>
    </w:p>
    <w:p w14:paraId="3ADF3045">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投标人须知</w:t>
      </w:r>
    </w:p>
    <w:p w14:paraId="3635781E">
      <w:pPr>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前附表</w:t>
      </w:r>
    </w:p>
    <w:p w14:paraId="606FAA9A">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总 则</w:t>
      </w:r>
    </w:p>
    <w:p w14:paraId="7ED65465">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招标文件</w:t>
      </w:r>
    </w:p>
    <w:p w14:paraId="04D0281A">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投标文件的编制</w:t>
      </w:r>
    </w:p>
    <w:p w14:paraId="473E1C23">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开标 </w:t>
      </w:r>
    </w:p>
    <w:p w14:paraId="2C8E96A4">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评标</w:t>
      </w:r>
    </w:p>
    <w:p w14:paraId="509E29A3">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定标</w:t>
      </w:r>
    </w:p>
    <w:p w14:paraId="26D8650D">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合同授予</w:t>
      </w:r>
    </w:p>
    <w:p w14:paraId="00F07C18">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评标办法及评分标准</w:t>
      </w:r>
    </w:p>
    <w:p w14:paraId="17F76B05">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采购合同</w:t>
      </w:r>
    </w:p>
    <w:p w14:paraId="4C97D763">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投标文件格式</w:t>
      </w:r>
    </w:p>
    <w:p w14:paraId="3EE4E825">
      <w:pPr>
        <w:spacing w:line="360" w:lineRule="auto"/>
        <w:ind w:firstLine="643" w:firstLineChars="200"/>
        <w:jc w:val="center"/>
        <w:rPr>
          <w:rFonts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14:paraId="5280CF75">
      <w:pPr>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经相关部门批准，现就</w:t>
      </w:r>
      <w:r>
        <w:rPr>
          <w:rFonts w:hint="eastAsia" w:asciiTheme="minorEastAsia" w:hAnsiTheme="minorEastAsia" w:eastAsiaTheme="minorEastAsia"/>
          <w:b/>
          <w:color w:val="000000"/>
          <w:sz w:val="24"/>
          <w:u w:val="single"/>
          <w:lang w:eastAsia="zh-CN"/>
        </w:rPr>
        <w:t>梅蓉逸宿提升改造工程厨房设备采购项目</w:t>
      </w:r>
      <w:r>
        <w:rPr>
          <w:rFonts w:hint="eastAsia" w:asciiTheme="minorEastAsia" w:hAnsiTheme="minorEastAsia" w:eastAsiaTheme="minorEastAsia"/>
          <w:color w:val="000000"/>
          <w:sz w:val="24"/>
        </w:rPr>
        <w:t>进行公开采购，欢迎符合资格条件的供应商前来投标：</w:t>
      </w:r>
    </w:p>
    <w:p w14:paraId="37C8FC8A">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bCs/>
          <w:sz w:val="24"/>
        </w:rPr>
        <w:t>项目编号：</w:t>
      </w:r>
      <w:r>
        <w:rPr>
          <w:rFonts w:hint="eastAsia" w:asciiTheme="minorEastAsia" w:hAnsiTheme="minorEastAsia" w:eastAsiaTheme="minorEastAsia"/>
          <w:sz w:val="24"/>
          <w:lang w:eastAsia="zh-CN"/>
        </w:rPr>
        <w:t>YHJS-TLZFCG-2024-054</w:t>
      </w:r>
    </w:p>
    <w:p w14:paraId="1371C4BE">
      <w:pPr>
        <w:pStyle w:val="62"/>
        <w:numPr>
          <w:ilvl w:val="0"/>
          <w:numId w:val="6"/>
        </w:numPr>
        <w:spacing w:line="360" w:lineRule="auto"/>
        <w:ind w:firstLineChars="0"/>
        <w:rPr>
          <w:rFonts w:asciiTheme="minorEastAsia" w:hAnsiTheme="minorEastAsia" w:eastAsiaTheme="minorEastAsia"/>
          <w:sz w:val="24"/>
        </w:rPr>
      </w:pPr>
      <w:r>
        <w:rPr>
          <w:rFonts w:hint="eastAsia" w:cs="Arial" w:asciiTheme="minorEastAsia" w:hAnsiTheme="minorEastAsia" w:eastAsiaTheme="minorEastAsia"/>
          <w:b/>
          <w:sz w:val="24"/>
        </w:rPr>
        <w:t>采购组织类型：</w:t>
      </w:r>
      <w:r>
        <w:rPr>
          <w:rFonts w:hint="eastAsia" w:cs="Arial" w:asciiTheme="minorEastAsia" w:hAnsiTheme="minorEastAsia" w:eastAsiaTheme="minorEastAsia"/>
          <w:kern w:val="2"/>
          <w:sz w:val="24"/>
          <w:szCs w:val="24"/>
          <w:lang w:val="en-US" w:eastAsia="zh-CN" w:bidi="ar-SA"/>
        </w:rPr>
        <w:t>国企采购</w:t>
      </w:r>
    </w:p>
    <w:p w14:paraId="52A8C746">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sz w:val="24"/>
        </w:rPr>
        <w:t>采购方式：</w:t>
      </w:r>
      <w:r>
        <w:rPr>
          <w:rFonts w:hint="eastAsia" w:cs="Arial" w:asciiTheme="minorEastAsia" w:hAnsiTheme="minorEastAsia" w:eastAsiaTheme="minorEastAsia"/>
          <w:sz w:val="24"/>
        </w:rPr>
        <w:t>公开招标</w:t>
      </w:r>
    </w:p>
    <w:p w14:paraId="63431FB5">
      <w:pPr>
        <w:spacing w:line="360" w:lineRule="auto"/>
        <w:ind w:firstLine="482" w:firstLineChars="200"/>
        <w:rPr>
          <w:rFonts w:cs="Arial" w:asciiTheme="minorEastAsia" w:hAnsiTheme="minorEastAsia" w:eastAsiaTheme="minorEastAsia"/>
          <w:sz w:val="24"/>
        </w:rPr>
      </w:pPr>
      <w:r>
        <w:rPr>
          <w:rFonts w:hint="eastAsia" w:asciiTheme="minorEastAsia" w:hAnsiTheme="minorEastAsia" w:eastAsiaTheme="minorEastAsia"/>
          <w:b/>
          <w:kern w:val="0"/>
          <w:sz w:val="24"/>
        </w:rPr>
        <w:t>四、采购内容及数量：具体详见招标需求</w:t>
      </w:r>
    </w:p>
    <w:tbl>
      <w:tblPr>
        <w:tblStyle w:val="33"/>
        <w:tblW w:w="88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4975"/>
        <w:gridCol w:w="1137"/>
        <w:gridCol w:w="1890"/>
      </w:tblGrid>
      <w:tr w14:paraId="71A06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830" w:type="dxa"/>
            <w:tcBorders>
              <w:top w:val="single" w:color="auto" w:sz="4" w:space="0"/>
              <w:left w:val="single" w:color="auto" w:sz="4" w:space="0"/>
              <w:right w:val="single" w:color="auto" w:sz="4" w:space="0"/>
            </w:tcBorders>
            <w:vAlign w:val="center"/>
          </w:tcPr>
          <w:p w14:paraId="76F82522">
            <w:pPr>
              <w:widowControl/>
              <w:spacing w:line="360" w:lineRule="auto"/>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序号</w:t>
            </w:r>
          </w:p>
        </w:tc>
        <w:tc>
          <w:tcPr>
            <w:tcW w:w="4975" w:type="dxa"/>
            <w:tcBorders>
              <w:top w:val="single" w:color="auto" w:sz="4" w:space="0"/>
              <w:left w:val="single" w:color="auto" w:sz="4" w:space="0"/>
              <w:right w:val="single" w:color="auto" w:sz="4" w:space="0"/>
            </w:tcBorders>
            <w:vAlign w:val="center"/>
          </w:tcPr>
          <w:p w14:paraId="3B05AD68">
            <w:pPr>
              <w:widowControl/>
              <w:spacing w:line="360" w:lineRule="auto"/>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采购内容</w:t>
            </w:r>
          </w:p>
        </w:tc>
        <w:tc>
          <w:tcPr>
            <w:tcW w:w="1137" w:type="dxa"/>
            <w:tcBorders>
              <w:top w:val="single" w:color="auto" w:sz="4" w:space="0"/>
              <w:left w:val="single" w:color="auto" w:sz="4" w:space="0"/>
              <w:right w:val="single" w:color="auto" w:sz="4" w:space="0"/>
            </w:tcBorders>
            <w:vAlign w:val="center"/>
          </w:tcPr>
          <w:p w14:paraId="644482CD">
            <w:pPr>
              <w:widowControl/>
              <w:spacing w:line="360" w:lineRule="auto"/>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数量</w:t>
            </w:r>
          </w:p>
        </w:tc>
        <w:tc>
          <w:tcPr>
            <w:tcW w:w="1890" w:type="dxa"/>
            <w:tcBorders>
              <w:top w:val="single" w:color="auto" w:sz="4" w:space="0"/>
              <w:left w:val="single" w:color="auto" w:sz="4" w:space="0"/>
              <w:right w:val="single" w:color="auto" w:sz="4" w:space="0"/>
            </w:tcBorders>
            <w:vAlign w:val="center"/>
          </w:tcPr>
          <w:p w14:paraId="21B69C47">
            <w:pPr>
              <w:widowControl/>
              <w:spacing w:line="360" w:lineRule="auto"/>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最高限价</w:t>
            </w:r>
          </w:p>
        </w:tc>
      </w:tr>
      <w:tr w14:paraId="74097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39E8E2D6">
            <w:pPr>
              <w:widowControl/>
              <w:spacing w:line="360" w:lineRule="auto"/>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1</w:t>
            </w:r>
          </w:p>
        </w:tc>
        <w:tc>
          <w:tcPr>
            <w:tcW w:w="4975" w:type="dxa"/>
            <w:tcBorders>
              <w:top w:val="single" w:color="auto" w:sz="4" w:space="0"/>
              <w:left w:val="single" w:color="auto" w:sz="4" w:space="0"/>
              <w:bottom w:val="single" w:color="auto" w:sz="4" w:space="0"/>
              <w:right w:val="single" w:color="auto" w:sz="4" w:space="0"/>
            </w:tcBorders>
            <w:vAlign w:val="center"/>
          </w:tcPr>
          <w:p w14:paraId="322FF9E1">
            <w:pPr>
              <w:widowControl/>
              <w:spacing w:line="360" w:lineRule="auto"/>
              <w:jc w:val="center"/>
              <w:rPr>
                <w:rFonts w:hint="eastAsia" w:cs="仿宋" w:asciiTheme="minorEastAsia" w:hAnsiTheme="minorEastAsia" w:eastAsiaTheme="minorEastAsia"/>
                <w:bCs/>
                <w:kern w:val="0"/>
                <w:sz w:val="24"/>
                <w:lang w:eastAsia="zh-CN"/>
              </w:rPr>
            </w:pPr>
            <w:r>
              <w:rPr>
                <w:rFonts w:hint="eastAsia" w:cs="仿宋" w:asciiTheme="minorEastAsia" w:hAnsiTheme="minorEastAsia" w:eastAsiaTheme="minorEastAsia"/>
                <w:bCs/>
                <w:kern w:val="0"/>
                <w:sz w:val="24"/>
                <w:lang w:eastAsia="zh-CN"/>
              </w:rPr>
              <w:t>梅蓉</w:t>
            </w:r>
            <w:r>
              <w:rPr>
                <w:rFonts w:hint="eastAsia" w:cs="仿宋" w:asciiTheme="minorEastAsia" w:hAnsiTheme="minorEastAsia" w:eastAsiaTheme="minorEastAsia"/>
                <w:bCs/>
                <w:kern w:val="0"/>
                <w:sz w:val="24"/>
                <w:lang w:val="en-US" w:eastAsia="zh-CN"/>
              </w:rPr>
              <w:t>逸</w:t>
            </w:r>
            <w:r>
              <w:rPr>
                <w:rFonts w:hint="eastAsia" w:cs="仿宋" w:asciiTheme="minorEastAsia" w:hAnsiTheme="minorEastAsia" w:eastAsiaTheme="minorEastAsia"/>
                <w:bCs/>
                <w:kern w:val="0"/>
                <w:sz w:val="24"/>
                <w:lang w:eastAsia="zh-CN"/>
              </w:rPr>
              <w:t>宿提升改造工程厨房设备采购</w:t>
            </w:r>
          </w:p>
        </w:tc>
        <w:tc>
          <w:tcPr>
            <w:tcW w:w="1137" w:type="dxa"/>
            <w:tcBorders>
              <w:top w:val="single" w:color="auto" w:sz="4" w:space="0"/>
              <w:left w:val="single" w:color="auto" w:sz="4" w:space="0"/>
              <w:bottom w:val="single" w:color="auto" w:sz="4" w:space="0"/>
              <w:right w:val="single" w:color="auto" w:sz="4" w:space="0"/>
            </w:tcBorders>
            <w:vAlign w:val="center"/>
          </w:tcPr>
          <w:p w14:paraId="69702587">
            <w:pPr>
              <w:widowControl/>
              <w:spacing w:line="360" w:lineRule="auto"/>
              <w:jc w:val="center"/>
              <w:rPr>
                <w:rFonts w:hint="eastAsia" w:cs="仿宋" w:asciiTheme="minorEastAsia" w:hAnsiTheme="minorEastAsia" w:eastAsiaTheme="minorEastAsia"/>
                <w:bCs/>
                <w:kern w:val="0"/>
                <w:sz w:val="24"/>
                <w:lang w:val="en-US" w:eastAsia="zh-CN"/>
              </w:rPr>
            </w:pPr>
            <w:r>
              <w:rPr>
                <w:rFonts w:hint="eastAsia" w:cs="仿宋" w:asciiTheme="minorEastAsia" w:hAnsiTheme="minorEastAsia" w:eastAsiaTheme="minorEastAsia"/>
                <w:bCs/>
                <w:kern w:val="0"/>
                <w:sz w:val="24"/>
              </w:rPr>
              <w:t>1</w:t>
            </w:r>
            <w:r>
              <w:rPr>
                <w:rFonts w:hint="eastAsia" w:cs="仿宋" w:asciiTheme="minorEastAsia" w:hAnsiTheme="minorEastAsia" w:eastAsiaTheme="minorEastAsia"/>
                <w:bCs/>
                <w:kern w:val="0"/>
                <w:sz w:val="24"/>
                <w:lang w:val="en-US" w:eastAsia="zh-CN"/>
              </w:rPr>
              <w:t>批</w:t>
            </w:r>
          </w:p>
        </w:tc>
        <w:tc>
          <w:tcPr>
            <w:tcW w:w="1890" w:type="dxa"/>
            <w:tcBorders>
              <w:top w:val="single" w:color="auto" w:sz="4" w:space="0"/>
              <w:left w:val="single" w:color="auto" w:sz="4" w:space="0"/>
              <w:bottom w:val="single" w:color="auto" w:sz="4" w:space="0"/>
              <w:right w:val="single" w:color="auto" w:sz="4" w:space="0"/>
            </w:tcBorders>
            <w:vAlign w:val="center"/>
          </w:tcPr>
          <w:p w14:paraId="2B7461C3">
            <w:pPr>
              <w:widowControl/>
              <w:spacing w:line="360" w:lineRule="auto"/>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 xml:space="preserve"> </w:t>
            </w:r>
            <w:r>
              <w:rPr>
                <w:rFonts w:hint="eastAsia" w:cs="宋体" w:asciiTheme="minorEastAsia" w:hAnsiTheme="minorEastAsia" w:eastAsiaTheme="minorEastAsia"/>
                <w:sz w:val="24"/>
                <w:szCs w:val="20"/>
                <w:lang w:eastAsia="zh-CN"/>
              </w:rPr>
              <w:t>18.3584万元</w:t>
            </w:r>
          </w:p>
        </w:tc>
      </w:tr>
    </w:tbl>
    <w:p w14:paraId="17BE39A7">
      <w:pPr>
        <w:spacing w:beforeLines="50" w:line="360" w:lineRule="auto"/>
        <w:ind w:firstLine="472" w:firstLineChars="196"/>
        <w:rPr>
          <w:rFonts w:cs="Arial" w:asciiTheme="minorEastAsia" w:hAnsiTheme="minorEastAsia" w:eastAsiaTheme="minorEastAsia"/>
          <w:b/>
          <w:bCs/>
          <w:sz w:val="24"/>
        </w:rPr>
      </w:pPr>
      <w:r>
        <w:rPr>
          <w:rFonts w:hint="eastAsia" w:cs="Arial" w:asciiTheme="minorEastAsia" w:hAnsiTheme="minorEastAsia" w:eastAsiaTheme="minorEastAsia"/>
          <w:b/>
          <w:sz w:val="24"/>
        </w:rPr>
        <w:t>五</w:t>
      </w:r>
      <w:r>
        <w:rPr>
          <w:rFonts w:hint="eastAsia" w:cs="Arial" w:asciiTheme="minorEastAsia" w:hAnsiTheme="minorEastAsia" w:eastAsiaTheme="minorEastAsia"/>
          <w:sz w:val="24"/>
        </w:rPr>
        <w:t>、</w:t>
      </w:r>
      <w:r>
        <w:rPr>
          <w:rFonts w:hint="eastAsia" w:cs="Arial" w:asciiTheme="minorEastAsia" w:hAnsiTheme="minorEastAsia" w:eastAsiaTheme="minorEastAsia"/>
          <w:b/>
          <w:bCs/>
          <w:sz w:val="24"/>
        </w:rPr>
        <w:t>合格投标人的资格要求</w:t>
      </w:r>
    </w:p>
    <w:p w14:paraId="2CFD1A52">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（一）具有独立承担民事责任的能力；</w:t>
      </w:r>
    </w:p>
    <w:p w14:paraId="43469367">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（二）具有良好的商业信誉和健全的</w:t>
      </w:r>
      <w:r>
        <w:fldChar w:fldCharType="begin"/>
      </w:r>
      <w:r>
        <w:instrText xml:space="preserve"> HYPERLINK "https://www.baidu.com/s?wd=%E8%B4%A2%E5%8A%A1%E4%BC%9A%E8%AE%A1%E5%88%B6%E5%BA%A6&amp;tn=SE_PcZhidaonwhc_ngpagmjz&amp;rsv_dl=gh_pc_zhidao" \t "_blank" </w:instrText>
      </w:r>
      <w:r>
        <w:fldChar w:fldCharType="separate"/>
      </w:r>
      <w:r>
        <w:rPr>
          <w:rFonts w:cs="宋体" w:asciiTheme="minorEastAsia" w:hAnsiTheme="minorEastAsia" w:eastAsiaTheme="minorEastAsia"/>
          <w:sz w:val="24"/>
        </w:rPr>
        <w:t>财务会计制度</w:t>
      </w:r>
      <w:r>
        <w:rPr>
          <w:rFonts w:cs="宋体" w:asciiTheme="minorEastAsia" w:hAnsiTheme="minorEastAsia" w:eastAsiaTheme="minorEastAsia"/>
          <w:sz w:val="24"/>
        </w:rPr>
        <w:fldChar w:fldCharType="end"/>
      </w:r>
      <w:r>
        <w:rPr>
          <w:rFonts w:cs="宋体" w:asciiTheme="minorEastAsia" w:hAnsiTheme="minorEastAsia" w:eastAsiaTheme="minorEastAsia"/>
          <w:sz w:val="24"/>
        </w:rPr>
        <w:t>；</w:t>
      </w:r>
    </w:p>
    <w:p w14:paraId="6F572E2F">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（三）具有履行合同所必需的设备和专业技术能力；</w:t>
      </w:r>
    </w:p>
    <w:p w14:paraId="5CC7DDB9">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（四）有依法缴纳税收和</w:t>
      </w:r>
      <w:r>
        <w:fldChar w:fldCharType="begin"/>
      </w:r>
      <w:r>
        <w:instrText xml:space="preserve"> HYPERLINK "https://www.baidu.com/s?wd=%E7%A4%BE%E4%BC%9A%E4%BF%9D%E9%9A%9C%E8%B5%84%E9%87%91&amp;tn=SE_PcZhidaonwhc_ngpagmjz&amp;rsv_dl=gh_pc_zhidao" \t "_blank" </w:instrText>
      </w:r>
      <w:r>
        <w:fldChar w:fldCharType="separate"/>
      </w:r>
      <w:r>
        <w:rPr>
          <w:rFonts w:cs="宋体" w:asciiTheme="minorEastAsia" w:hAnsiTheme="minorEastAsia" w:eastAsiaTheme="minorEastAsia"/>
          <w:sz w:val="24"/>
        </w:rPr>
        <w:t>社会保障资金</w:t>
      </w:r>
      <w:r>
        <w:rPr>
          <w:rFonts w:cs="宋体" w:asciiTheme="minorEastAsia" w:hAnsiTheme="minorEastAsia" w:eastAsiaTheme="minorEastAsia"/>
          <w:sz w:val="24"/>
        </w:rPr>
        <w:fldChar w:fldCharType="end"/>
      </w:r>
      <w:r>
        <w:rPr>
          <w:rFonts w:cs="宋体" w:asciiTheme="minorEastAsia" w:hAnsiTheme="minorEastAsia" w:eastAsiaTheme="minorEastAsia"/>
          <w:sz w:val="24"/>
        </w:rPr>
        <w:t>的良好记录；</w:t>
      </w:r>
    </w:p>
    <w:p w14:paraId="33B49A9F">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（五）参加采购活动前三年内，在经营活动中没有重大违法记录；</w:t>
      </w:r>
    </w:p>
    <w:p w14:paraId="61883FF0">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（六）</w:t>
      </w:r>
      <w:r>
        <w:rPr>
          <w:rFonts w:cs="宋体" w:asciiTheme="minorEastAsia" w:hAnsiTheme="minorEastAsia" w:eastAsiaTheme="minorEastAsia"/>
          <w:sz w:val="24"/>
        </w:rPr>
        <w:t>本项目</w:t>
      </w:r>
      <w:r>
        <w:rPr>
          <w:rFonts w:hint="eastAsia" w:cs="宋体" w:asciiTheme="minorEastAsia" w:hAnsiTheme="minorEastAsia" w:eastAsiaTheme="minorEastAsia"/>
          <w:b/>
          <w:bCs/>
          <w:sz w:val="24"/>
          <w:u w:val="single"/>
          <w:lang w:val="en-US" w:eastAsia="zh-CN"/>
        </w:rPr>
        <w:t>接受</w:t>
      </w:r>
      <w:r>
        <w:rPr>
          <w:rFonts w:cs="宋体" w:asciiTheme="minorEastAsia" w:hAnsiTheme="minorEastAsia" w:eastAsiaTheme="minorEastAsia"/>
          <w:sz w:val="24"/>
        </w:rPr>
        <w:t>联合体投标，禁止转包。</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联合体牵头人及成员不超过两家</w:t>
      </w:r>
      <w:r>
        <w:rPr>
          <w:rFonts w:hint="eastAsia" w:cs="宋体" w:asciiTheme="minorEastAsia" w:hAnsiTheme="minorEastAsia" w:eastAsiaTheme="minorEastAsia"/>
          <w:sz w:val="24"/>
          <w:lang w:val="en-US" w:eastAsia="zh-CN"/>
        </w:rPr>
        <w:t>）</w:t>
      </w:r>
    </w:p>
    <w:p w14:paraId="4FC105F9">
      <w:pPr>
        <w:spacing w:line="360" w:lineRule="auto"/>
        <w:ind w:firstLine="482" w:firstLineChars="200"/>
        <w:rPr>
          <w:rFonts w:cs="Arial" w:asciiTheme="minorEastAsia" w:hAnsiTheme="minorEastAsia" w:eastAsiaTheme="minorEastAsia"/>
          <w:sz w:val="24"/>
          <w:lang w:eastAsia="zh-TW"/>
        </w:rPr>
      </w:pPr>
      <w:r>
        <w:rPr>
          <w:rFonts w:hint="eastAsia" w:cs="Arial" w:asciiTheme="minorEastAsia" w:hAnsiTheme="minorEastAsia" w:eastAsiaTheme="minorEastAsia"/>
          <w:b/>
          <w:bCs/>
          <w:sz w:val="24"/>
        </w:rPr>
        <w:t>六</w:t>
      </w:r>
      <w:r>
        <w:rPr>
          <w:rFonts w:hint="eastAsia" w:cs="Arial" w:asciiTheme="minorEastAsia" w:hAnsiTheme="minorEastAsia" w:eastAsiaTheme="minorEastAsia"/>
          <w:b/>
          <w:bCs/>
          <w:sz w:val="24"/>
          <w:lang w:eastAsia="zh-TW"/>
        </w:rPr>
        <w:t>、采购文件的获取</w:t>
      </w:r>
      <w:r>
        <w:rPr>
          <w:rFonts w:hint="eastAsia" w:cs="Arial" w:asciiTheme="minorEastAsia" w:hAnsiTheme="minorEastAsia" w:eastAsiaTheme="minorEastAsia"/>
          <w:sz w:val="24"/>
          <w:lang w:eastAsia="zh-TW"/>
        </w:rPr>
        <w:t>：</w:t>
      </w:r>
    </w:p>
    <w:p w14:paraId="7762B0E9">
      <w:pPr>
        <w:snapToGrid w:val="0"/>
        <w:spacing w:line="360" w:lineRule="auto"/>
        <w:ind w:firstLine="240" w:firstLineChars="1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供应商可到浙江省政府采购网（http://zfcg.czt.zj.gov.cn/）</w:t>
      </w:r>
      <w:r>
        <w:rPr>
          <w:rFonts w:hint="eastAsia" w:ascii="宋体" w:hAnsi="宋体" w:cs="宋体"/>
          <w:sz w:val="24"/>
          <w:highlight w:val="none"/>
          <w:lang w:val="en-US" w:eastAsia="zh-CN"/>
        </w:rPr>
        <w:t>的非政府采购模块</w:t>
      </w:r>
      <w:r>
        <w:rPr>
          <w:rFonts w:hint="eastAsia" w:ascii="宋体" w:hAnsi="宋体" w:cs="宋体"/>
          <w:sz w:val="24"/>
          <w:highlight w:val="none"/>
        </w:rPr>
        <w:t>自行查看和下载电子文件。</w:t>
      </w:r>
    </w:p>
    <w:p w14:paraId="379C3D94">
      <w:pPr>
        <w:pStyle w:val="16"/>
        <w:spacing w:after="0" w:line="360" w:lineRule="auto"/>
        <w:ind w:left="0" w:leftChars="0" w:firstLine="240" w:firstLineChars="1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使用账号登录或者使用CA登录</w:t>
      </w:r>
      <w:r>
        <w:rPr>
          <w:rFonts w:hint="eastAsia" w:ascii="宋体" w:hAnsi="宋体" w:cs="宋体"/>
          <w:sz w:val="24"/>
          <w:highlight w:val="none"/>
          <w:lang w:eastAsia="zh-CN"/>
        </w:rPr>
        <w:t>乐采云平台（www.lecaiyun.com）</w:t>
      </w:r>
      <w:r>
        <w:rPr>
          <w:rFonts w:hint="eastAsia" w:ascii="宋体" w:hAnsi="宋体" w:cs="宋体"/>
          <w:sz w:val="24"/>
          <w:highlight w:val="none"/>
        </w:rPr>
        <w:t>；进入“项目采购”应用，在获取采购文件菜单中选择项目，获取采购文件。</w:t>
      </w:r>
    </w:p>
    <w:p w14:paraId="1C6EE7BA">
      <w:pPr>
        <w:snapToGrid w:val="0"/>
        <w:spacing w:line="360" w:lineRule="auto"/>
        <w:ind w:firstLine="482" w:firstLineChars="200"/>
        <w:rPr>
          <w:rFonts w:ascii="宋体" w:hAnsi="宋体" w:cs="宋体"/>
          <w:sz w:val="24"/>
          <w:highlight w:val="none"/>
        </w:rPr>
      </w:pPr>
      <w:r>
        <w:rPr>
          <w:rFonts w:hint="eastAsia" w:ascii="宋体" w:hAnsi="宋体" w:cs="宋体"/>
          <w:b/>
          <w:kern w:val="0"/>
          <w:sz w:val="24"/>
          <w:highlight w:val="none"/>
        </w:rPr>
        <w:t>本项目实行网上报名，不接受现场报名。投标截止时间前，供应商自行登录</w:t>
      </w:r>
      <w:r>
        <w:rPr>
          <w:rFonts w:hint="eastAsia" w:ascii="宋体" w:hAnsi="宋体" w:cs="宋体"/>
          <w:b/>
          <w:kern w:val="0"/>
          <w:sz w:val="24"/>
          <w:highlight w:val="none"/>
          <w:lang w:eastAsia="zh-CN"/>
        </w:rPr>
        <w:t>乐采云平台（www.lecaiyun.com）</w:t>
      </w:r>
      <w:r>
        <w:rPr>
          <w:rFonts w:hint="eastAsia" w:ascii="宋体" w:hAnsi="宋体" w:cs="宋体"/>
          <w:b/>
          <w:kern w:val="0"/>
          <w:sz w:val="24"/>
          <w:highlight w:val="none"/>
        </w:rPr>
        <w:t>进行报名。</w:t>
      </w:r>
    </w:p>
    <w:p w14:paraId="0E59EE2C">
      <w:pPr>
        <w:snapToGrid w:val="0"/>
        <w:spacing w:line="360" w:lineRule="auto"/>
        <w:ind w:firstLine="482"/>
        <w:rPr>
          <w:rFonts w:ascii="宋体" w:hAnsi="宋体" w:cs="宋体"/>
          <w:b/>
          <w:kern w:val="0"/>
          <w:sz w:val="24"/>
          <w:highlight w:val="none"/>
        </w:rPr>
      </w:pPr>
      <w:r>
        <w:rPr>
          <w:rFonts w:hint="eastAsia" w:ascii="宋体" w:hAnsi="宋体" w:cs="宋体"/>
          <w:b/>
          <w:sz w:val="24"/>
          <w:highlight w:val="none"/>
        </w:rPr>
        <w:t>（注：采购公告上附件里的采购文件仅供阅览使用，报名成功后才视作供应商依法获取采购文件。对未按上述方式获取招标文件的供应商对该文件提出的质疑，采购人或采购代理机构将不予处理）</w:t>
      </w:r>
    </w:p>
    <w:p w14:paraId="21AF4E9A">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、投标保证金</w:t>
      </w:r>
      <w:r>
        <w:rPr>
          <w:rFonts w:hint="eastAsia" w:ascii="宋体" w:hAnsi="宋体" w:cs="宋体"/>
          <w:sz w:val="24"/>
          <w:highlight w:val="none"/>
        </w:rPr>
        <w:t>：本项目无需交纳投标保证金。</w:t>
      </w:r>
    </w:p>
    <w:p w14:paraId="085399D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、电子招投标说明</w:t>
      </w:r>
    </w:p>
    <w:p w14:paraId="319C43B9">
      <w:pPr>
        <w:pStyle w:val="19"/>
        <w:adjustRightInd w:val="0"/>
        <w:snapToGrid w:val="0"/>
        <w:spacing w:line="360" w:lineRule="auto"/>
        <w:ind w:firstLine="482" w:firstLineChars="201"/>
        <w:rPr>
          <w:rFonts w:hAnsi="宋体" w:cs="宋体"/>
          <w:sz w:val="24"/>
          <w:szCs w:val="24"/>
          <w:highlight w:val="none"/>
        </w:rPr>
      </w:pPr>
      <w:r>
        <w:rPr>
          <w:rFonts w:hint="eastAsia" w:hAnsi="宋体" w:cs="宋体"/>
          <w:sz w:val="24"/>
          <w:szCs w:val="24"/>
          <w:highlight w:val="none"/>
        </w:rPr>
        <w:t>1.本项目依托“</w:t>
      </w:r>
      <w:r>
        <w:rPr>
          <w:rFonts w:hint="eastAsia" w:hAnsi="宋体" w:cs="宋体"/>
          <w:sz w:val="24"/>
          <w:szCs w:val="24"/>
          <w:highlight w:val="none"/>
          <w:lang w:eastAsia="zh-CN"/>
        </w:rPr>
        <w:t>乐采云平台（www.lecaiyun.com）</w:t>
      </w:r>
      <w:r>
        <w:rPr>
          <w:rFonts w:hint="eastAsia" w:hAnsi="宋体" w:cs="宋体"/>
          <w:sz w:val="24"/>
          <w:szCs w:val="24"/>
          <w:highlight w:val="none"/>
        </w:rPr>
        <w:t>”以数据电文形式进行实行电子招投标活动，不提供招标文件纸质版，不接受纸质投标文件，供应商应按照本项目招标文件和</w:t>
      </w:r>
      <w:r>
        <w:rPr>
          <w:rFonts w:hint="eastAsia" w:hAnsi="宋体" w:cs="宋体"/>
          <w:sz w:val="24"/>
          <w:szCs w:val="24"/>
          <w:highlight w:val="none"/>
          <w:lang w:eastAsia="zh-CN"/>
        </w:rPr>
        <w:t>乐采云平台</w:t>
      </w:r>
      <w:r>
        <w:rPr>
          <w:rFonts w:hint="eastAsia" w:hAnsi="宋体" w:cs="宋体"/>
          <w:sz w:val="24"/>
          <w:szCs w:val="24"/>
          <w:highlight w:val="none"/>
        </w:rPr>
        <w:t>的要求编制、加密并递交投标文件。供应商在使用系统进行投标的过程中遇到涉及平台使用的任何问题，可致电</w:t>
      </w:r>
      <w:r>
        <w:rPr>
          <w:rFonts w:hint="eastAsia" w:hAnsi="宋体" w:cs="宋体"/>
          <w:sz w:val="24"/>
          <w:szCs w:val="24"/>
          <w:highlight w:val="none"/>
          <w:lang w:eastAsia="zh-CN"/>
        </w:rPr>
        <w:t>乐采云平台</w:t>
      </w:r>
      <w:r>
        <w:rPr>
          <w:rFonts w:hint="eastAsia" w:hAnsi="宋体" w:cs="宋体"/>
          <w:sz w:val="24"/>
          <w:szCs w:val="24"/>
          <w:highlight w:val="none"/>
        </w:rPr>
        <w:t>技术支持热线咨询，联系方式：400-881-7190。</w:t>
      </w:r>
    </w:p>
    <w:p w14:paraId="02C6DACC">
      <w:pPr>
        <w:spacing w:line="360" w:lineRule="auto"/>
        <w:ind w:firstLine="480" w:firstLineChars="200"/>
        <w:rPr>
          <w:rFonts w:ascii="宋体" w:hAnsi="宋体" w:cs="宋体"/>
          <w:sz w:val="24"/>
          <w:highlight w:val="none"/>
        </w:rPr>
      </w:pPr>
      <w:r>
        <w:rPr>
          <w:rFonts w:hint="eastAsia" w:ascii="宋体" w:hAnsi="宋体" w:cs="宋体"/>
          <w:sz w:val="24"/>
          <w:highlight w:val="none"/>
        </w:rPr>
        <w:t>2.对未按上述方式获取招标文件的供应商对该文件提出的质疑，采购人或采购代理机构将不予处理；</w:t>
      </w:r>
    </w:p>
    <w:p w14:paraId="046FB485">
      <w:pPr>
        <w:spacing w:line="360" w:lineRule="auto"/>
        <w:ind w:firstLine="480" w:firstLineChars="200"/>
        <w:rPr>
          <w:rFonts w:ascii="宋体" w:hAnsi="宋体" w:cs="宋体"/>
          <w:sz w:val="24"/>
          <w:highlight w:val="none"/>
        </w:rPr>
      </w:pPr>
      <w:r>
        <w:rPr>
          <w:rFonts w:hint="eastAsia" w:ascii="宋体" w:hAnsi="宋体" w:cs="宋体"/>
          <w:sz w:val="24"/>
          <w:highlight w:val="none"/>
        </w:rPr>
        <w:t>3.投标准备：</w:t>
      </w:r>
    </w:p>
    <w:p w14:paraId="6F70B605">
      <w:pPr>
        <w:spacing w:line="360" w:lineRule="auto"/>
        <w:ind w:firstLine="480" w:firstLineChars="200"/>
        <w:rPr>
          <w:rFonts w:ascii="宋体" w:hAnsi="宋体" w:cs="宋体"/>
          <w:sz w:val="24"/>
          <w:highlight w:val="none"/>
        </w:rPr>
      </w:pPr>
      <w:r>
        <w:rPr>
          <w:rFonts w:hint="eastAsia" w:ascii="宋体" w:hAnsi="宋体" w:cs="宋体"/>
          <w:sz w:val="24"/>
          <w:highlight w:val="none"/>
        </w:rPr>
        <w:t>3.1注册</w:t>
      </w:r>
      <w:r>
        <w:rPr>
          <w:rFonts w:hint="eastAsia" w:ascii="宋体" w:hAnsi="宋体" w:cs="宋体"/>
          <w:sz w:val="24"/>
          <w:highlight w:val="none"/>
          <w:lang w:eastAsia="zh-CN"/>
        </w:rPr>
        <w:t>乐采云</w:t>
      </w:r>
      <w:r>
        <w:rPr>
          <w:rFonts w:hint="eastAsia" w:ascii="宋体" w:hAnsi="宋体" w:cs="宋体"/>
          <w:sz w:val="24"/>
          <w:highlight w:val="none"/>
        </w:rPr>
        <w:t>账号。登录</w:t>
      </w:r>
      <w:r>
        <w:rPr>
          <w:rFonts w:hint="eastAsia" w:ascii="宋体" w:hAnsi="宋体" w:cs="宋体"/>
          <w:sz w:val="24"/>
          <w:highlight w:val="none"/>
          <w:lang w:eastAsia="zh-CN"/>
        </w:rPr>
        <w:t>乐采云平台（www.lecaiyun.com）</w:t>
      </w:r>
      <w:r>
        <w:rPr>
          <w:rFonts w:hint="eastAsia" w:ascii="宋体" w:hAnsi="宋体" w:cs="宋体"/>
          <w:sz w:val="24"/>
          <w:highlight w:val="none"/>
        </w:rPr>
        <w:t>--点击“商家入驻”，进行账号获取，采购供应商资料填写及提交审核；</w:t>
      </w:r>
    </w:p>
    <w:p w14:paraId="4086192D">
      <w:pPr>
        <w:pStyle w:val="19"/>
        <w:adjustRightInd w:val="0"/>
        <w:snapToGrid w:val="0"/>
        <w:spacing w:line="360" w:lineRule="auto"/>
        <w:ind w:firstLine="482" w:firstLineChars="201"/>
        <w:rPr>
          <w:rFonts w:hint="eastAsia" w:hAnsi="宋体" w:cs="宋体"/>
          <w:b/>
          <w:bCs/>
          <w:sz w:val="24"/>
          <w:szCs w:val="24"/>
          <w:highlight w:val="none"/>
        </w:rPr>
      </w:pPr>
      <w:r>
        <w:rPr>
          <w:rFonts w:hint="eastAsia" w:hAnsi="宋体" w:cs="宋体"/>
          <w:sz w:val="24"/>
          <w:szCs w:val="24"/>
          <w:highlight w:val="none"/>
        </w:rPr>
        <w:t>3.2申领CA数字证书.投标人应在开标前完成CA数字证书办理。（办理流程详见“浙江政府采购网-下载专区-电子交易客户端-CA驱动和申领流程”</w:t>
      </w:r>
      <w:r>
        <w:rPr>
          <w:highlight w:val="none"/>
        </w:rPr>
        <w:fldChar w:fldCharType="begin"/>
      </w:r>
      <w:r>
        <w:rPr>
          <w:highlight w:val="none"/>
        </w:rPr>
        <w:instrText xml:space="preserve"> HYPERLINK "http://www.zjzfcg.gov.cn/bidClientTemplate/2019-05-27/12945.html" </w:instrText>
      </w:r>
      <w:r>
        <w:rPr>
          <w:highlight w:val="none"/>
        </w:rPr>
        <w:fldChar w:fldCharType="separate"/>
      </w:r>
      <w:r>
        <w:rPr>
          <w:rFonts w:hint="eastAsia" w:hAnsi="宋体" w:cs="宋体"/>
          <w:sz w:val="24"/>
          <w:szCs w:val="24"/>
          <w:highlight w:val="none"/>
        </w:rPr>
        <w:t>https://zfcg.czt.zj.gov.cn//bidClientTemplate/2019-05-27/12945.html</w:t>
      </w:r>
      <w:r>
        <w:rPr>
          <w:rFonts w:hint="eastAsia" w:hAnsi="宋体" w:cs="宋体"/>
          <w:sz w:val="24"/>
          <w:szCs w:val="24"/>
          <w:highlight w:val="none"/>
        </w:rPr>
        <w:fldChar w:fldCharType="end"/>
      </w:r>
      <w:r>
        <w:rPr>
          <w:rFonts w:hint="eastAsia" w:hAnsi="宋体" w:cs="宋体"/>
          <w:sz w:val="24"/>
          <w:szCs w:val="24"/>
          <w:highlight w:val="none"/>
        </w:rPr>
        <w:t>）。</w:t>
      </w:r>
      <w:r>
        <w:rPr>
          <w:rFonts w:hint="eastAsia" w:hAnsi="宋体" w:cs="宋体"/>
          <w:b/>
          <w:bCs/>
          <w:sz w:val="24"/>
          <w:szCs w:val="24"/>
          <w:highlight w:val="none"/>
        </w:rPr>
        <w:t>完成CA数字证书办理预计一周左右，建议各投标人抓紧时间办理。</w:t>
      </w:r>
    </w:p>
    <w:p w14:paraId="491FB7F0">
      <w:pPr>
        <w:pStyle w:val="19"/>
        <w:adjustRightInd w:val="0"/>
        <w:snapToGrid w:val="0"/>
        <w:spacing w:line="360" w:lineRule="auto"/>
        <w:ind w:firstLine="482" w:firstLineChars="201"/>
        <w:rPr>
          <w:rFonts w:ascii="宋体" w:hAnsi="宋体" w:cs="宋体"/>
          <w:sz w:val="24"/>
          <w:szCs w:val="24"/>
          <w:highlight w:val="none"/>
        </w:rPr>
      </w:pPr>
      <w:r>
        <w:rPr>
          <w:rFonts w:hint="eastAsia" w:ascii="宋体" w:hAnsi="宋体" w:cs="宋体"/>
          <w:b w:val="0"/>
          <w:bCs w:val="0"/>
          <w:sz w:val="24"/>
          <w:szCs w:val="24"/>
          <w:highlight w:val="none"/>
        </w:rPr>
        <w:t>3.3</w:t>
      </w:r>
      <w:r>
        <w:rPr>
          <w:rFonts w:hint="eastAsia" w:ascii="宋体" w:hAnsi="宋体" w:cs="宋体"/>
          <w:b w:val="0"/>
          <w:bCs w:val="0"/>
          <w:sz w:val="24"/>
          <w:szCs w:val="24"/>
          <w:highlight w:val="none"/>
          <w:lang w:val="en-US" w:eastAsia="zh-CN"/>
        </w:rPr>
        <w:t>前往</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乐</w:t>
      </w:r>
      <w:r>
        <w:rPr>
          <w:rFonts w:hint="eastAsia" w:ascii="宋体" w:hAnsi="宋体" w:cs="宋体"/>
          <w:b w:val="0"/>
          <w:bCs w:val="0"/>
          <w:sz w:val="24"/>
          <w:szCs w:val="24"/>
          <w:highlight w:val="none"/>
        </w:rPr>
        <w:t>采云电子交易客户端”进行下载并安装；（下载网址：https://b.zhengcaiyun.cn/luban/category?parentId=550045&amp;childrenCode=qicaiCategory17&amp;utm=luban.luban-PC-39026.959-pc-websitegroup-navBar-front.8.c8789bc0520b11efb86dbfa49a87be0d）</w:t>
      </w:r>
    </w:p>
    <w:p w14:paraId="56056487">
      <w:pPr>
        <w:numPr>
          <w:ilvl w:val="0"/>
          <w:numId w:val="0"/>
        </w:num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4.采购</w:t>
      </w:r>
      <w:r>
        <w:rPr>
          <w:rFonts w:hint="eastAsia" w:ascii="宋体" w:hAnsi="宋体" w:cs="宋体"/>
          <w:sz w:val="24"/>
          <w:highlight w:val="none"/>
        </w:rPr>
        <w:t>文件的获取：使用账号登录或者使用CA登录</w:t>
      </w:r>
      <w:r>
        <w:rPr>
          <w:rFonts w:hint="eastAsia" w:ascii="宋体" w:hAnsi="宋体" w:cs="宋体"/>
          <w:sz w:val="24"/>
          <w:highlight w:val="none"/>
          <w:lang w:eastAsia="zh-CN"/>
        </w:rPr>
        <w:t>乐采云平台</w:t>
      </w:r>
      <w:r>
        <w:rPr>
          <w:rFonts w:hint="eastAsia" w:ascii="宋体" w:hAnsi="宋体" w:cs="宋体"/>
          <w:sz w:val="24"/>
          <w:highlight w:val="none"/>
        </w:rPr>
        <w:t>；进入“项目采购”应用，在获取采购文件菜单中选择项目，获取</w:t>
      </w:r>
      <w:r>
        <w:rPr>
          <w:rFonts w:hint="eastAsia" w:ascii="宋体" w:hAnsi="宋体" w:cs="宋体"/>
          <w:sz w:val="24"/>
          <w:highlight w:val="none"/>
          <w:lang w:val="en-US" w:eastAsia="zh-CN"/>
        </w:rPr>
        <w:t>采购</w:t>
      </w:r>
      <w:r>
        <w:rPr>
          <w:rFonts w:hint="eastAsia" w:ascii="宋体" w:hAnsi="宋体" w:cs="宋体"/>
          <w:sz w:val="24"/>
          <w:highlight w:val="none"/>
        </w:rPr>
        <w:t>文件；</w:t>
      </w:r>
    </w:p>
    <w:p w14:paraId="7BB5DD33">
      <w:pPr>
        <w:numPr>
          <w:ilvl w:val="0"/>
          <w:numId w:val="0"/>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投标文件的制作：在“</w:t>
      </w:r>
      <w:r>
        <w:rPr>
          <w:rFonts w:hint="eastAsia" w:ascii="宋体" w:hAnsi="宋体" w:cs="宋体"/>
          <w:sz w:val="24"/>
          <w:highlight w:val="none"/>
          <w:lang w:val="en-US" w:eastAsia="zh-CN"/>
        </w:rPr>
        <w:t>乐</w:t>
      </w:r>
      <w:r>
        <w:rPr>
          <w:rFonts w:hint="eastAsia" w:ascii="宋体" w:hAnsi="宋体" w:cs="宋体"/>
          <w:sz w:val="24"/>
          <w:highlight w:val="none"/>
        </w:rPr>
        <w:t>采云电子交易客户端”中完成“填写基本信息”、“导入投标文件”、“标书关联”、“标书检查”、“电子签名”、“生成电子标书”等操作；电子投标具体流程详见“</w:t>
      </w:r>
      <w:r>
        <w:rPr>
          <w:highlight w:val="none"/>
        </w:rPr>
        <w:fldChar w:fldCharType="begin"/>
      </w:r>
      <w:r>
        <w:rPr>
          <w:highlight w:val="none"/>
        </w:rPr>
        <w:instrText xml:space="preserve">HYPERLINK "../../Gao/Documents/WeChat Files/hawer122/FileStorage/File/2019-06/电子化投标操作指南.pdf"</w:instrText>
      </w:r>
      <w:r>
        <w:rPr>
          <w:highlight w:val="none"/>
        </w:rPr>
        <w:fldChar w:fldCharType="separate"/>
      </w:r>
      <w:r>
        <w:rPr>
          <w:rFonts w:hint="eastAsia" w:ascii="宋体" w:hAnsi="宋体" w:cs="宋体"/>
          <w:sz w:val="24"/>
          <w:highlight w:val="none"/>
          <w:lang w:val="en-US" w:eastAsia="zh-CN"/>
        </w:rPr>
        <w:t>乐采云</w:t>
      </w:r>
      <w:r>
        <w:rPr>
          <w:rFonts w:hint="eastAsia" w:ascii="宋体" w:hAnsi="宋体" w:cs="宋体"/>
          <w:sz w:val="24"/>
          <w:highlight w:val="none"/>
        </w:rPr>
        <w:t>供应商项目采购-电子招投标操指南.pdf</w:t>
      </w:r>
      <w:r>
        <w:rPr>
          <w:rFonts w:hint="eastAsia" w:ascii="宋体" w:hAnsi="宋体" w:cs="宋体"/>
          <w:sz w:val="24"/>
          <w:highlight w:val="none"/>
        </w:rPr>
        <w:fldChar w:fldCharType="end"/>
      </w:r>
      <w:r>
        <w:rPr>
          <w:rFonts w:hint="eastAsia" w:ascii="宋体" w:hAnsi="宋体" w:cs="宋体"/>
          <w:sz w:val="24"/>
          <w:highlight w:val="none"/>
        </w:rPr>
        <w:t>”, 网址：</w:t>
      </w:r>
    </w:p>
    <w:p w14:paraId="0D904EC0">
      <w:pPr>
        <w:numPr>
          <w:ilvl w:val="0"/>
          <w:numId w:val="0"/>
        </w:numPr>
        <w:spacing w:line="360" w:lineRule="auto"/>
        <w:ind w:firstLine="420" w:firstLineChars="200"/>
        <w:rPr>
          <w:highlight w:val="none"/>
        </w:rPr>
      </w:pPr>
      <w:r>
        <w:rPr>
          <w:highlight w:val="none"/>
        </w:rPr>
        <w:fldChar w:fldCharType="begin"/>
      </w:r>
      <w:r>
        <w:rPr>
          <w:highlight w:val="none"/>
        </w:rPr>
        <w:instrText xml:space="preserve"> HYPERLINK "https://service.zcygov.cn/" \l "/knowledges/CW1EtGwBFdiHxlNd6I3m/6IMVAG0BFdiHxlNdQ8Na" </w:instrText>
      </w:r>
      <w:r>
        <w:rPr>
          <w:highlight w:val="none"/>
        </w:rPr>
        <w:fldChar w:fldCharType="separate"/>
      </w:r>
      <w:r>
        <w:rPr>
          <w:rFonts w:hint="eastAsia" w:ascii="宋体" w:hAnsi="宋体" w:cs="宋体"/>
          <w:sz w:val="24"/>
          <w:highlight w:val="none"/>
        </w:rPr>
        <w:t>https://service.zcygov.cn/#/knowledges/CW1EtGwBFdiHxlNd6I3m/6IMVAG0BFdiHxlNdQ8Na</w:t>
      </w:r>
      <w:r>
        <w:rPr>
          <w:rFonts w:hint="eastAsia" w:ascii="宋体" w:hAnsi="宋体" w:cs="宋体"/>
          <w:sz w:val="24"/>
          <w:highlight w:val="none"/>
        </w:rPr>
        <w:fldChar w:fldCharType="end"/>
      </w:r>
      <w:r>
        <w:rPr>
          <w:rFonts w:hint="eastAsia" w:ascii="宋体" w:hAnsi="宋体" w:cs="宋体"/>
          <w:sz w:val="24"/>
          <w:highlight w:val="none"/>
        </w:rPr>
        <w:t>。</w:t>
      </w:r>
    </w:p>
    <w:p w14:paraId="2471D7FB">
      <w:pPr>
        <w:spacing w:line="360" w:lineRule="auto"/>
        <w:ind w:firstLine="480" w:firstLineChars="200"/>
        <w:rPr>
          <w:highlight w:val="none"/>
        </w:rPr>
      </w:pPr>
      <w:r>
        <w:rPr>
          <w:rFonts w:hint="eastAsia" w:ascii="宋体" w:hAnsi="宋体" w:cs="宋体"/>
          <w:sz w:val="24"/>
          <w:highlight w:val="none"/>
        </w:rPr>
        <w:t>6.投标文件的传输递交：投标人在投标截止时间前将加密的投标文件上传至</w:t>
      </w:r>
      <w:r>
        <w:rPr>
          <w:rFonts w:hint="eastAsia" w:ascii="宋体" w:hAnsi="宋体" w:cs="宋体"/>
          <w:sz w:val="24"/>
          <w:highlight w:val="none"/>
          <w:lang w:val="en-US" w:eastAsia="zh-CN"/>
        </w:rPr>
        <w:t>乐采</w:t>
      </w:r>
      <w:r>
        <w:rPr>
          <w:rFonts w:hint="eastAsia" w:ascii="宋体" w:hAnsi="宋体" w:cs="宋体"/>
          <w:sz w:val="24"/>
          <w:highlight w:val="none"/>
        </w:rPr>
        <w:t>云平台，还可以在投标截止时间前直接提交或者以邮政快递方式递交备份投标文件1份，</w:t>
      </w:r>
      <w:r>
        <w:rPr>
          <w:rFonts w:hint="eastAsia" w:ascii="宋体" w:hAnsi="宋体" w:cs="宋体"/>
          <w:b/>
          <w:sz w:val="24"/>
          <w:highlight w:val="none"/>
        </w:rPr>
        <w:t>（但采购人、采购代理机构不强制或变相强制投标人提交备份投标文件</w:t>
      </w:r>
      <w:r>
        <w:rPr>
          <w:rFonts w:hint="eastAsia" w:ascii="宋体" w:hAnsi="宋体" w:cs="宋体"/>
          <w:sz w:val="24"/>
          <w:highlight w:val="none"/>
        </w:rPr>
        <w:t>）；备份投标文的制作、存储、密封详见招标文件第三章 投标人须知二投标文件的编制第2点—“备份投标文件”；备份文件邮寄地址：</w:t>
      </w:r>
      <w:r>
        <w:rPr>
          <w:rFonts w:hint="eastAsia" w:ascii="宋体" w:hAnsi="宋体" w:cs="宋体"/>
          <w:b w:val="0"/>
          <w:bCs w:val="0"/>
          <w:sz w:val="24"/>
          <w:highlight w:val="none"/>
          <w:lang w:val="en-US" w:eastAsia="zh-CN"/>
        </w:rPr>
        <w:t>详见前附表</w:t>
      </w:r>
      <w:r>
        <w:rPr>
          <w:rFonts w:hint="eastAsia" w:ascii="宋体" w:hAnsi="宋体" w:cs="宋体"/>
          <w:b/>
          <w:bCs/>
          <w:sz w:val="24"/>
          <w:highlight w:val="none"/>
        </w:rPr>
        <w:t>。</w:t>
      </w:r>
    </w:p>
    <w:p w14:paraId="76399EF3">
      <w:pPr>
        <w:spacing w:line="360" w:lineRule="auto"/>
        <w:ind w:firstLine="480" w:firstLineChars="200"/>
        <w:rPr>
          <w:highlight w:val="none"/>
        </w:rPr>
      </w:pPr>
      <w:r>
        <w:rPr>
          <w:rFonts w:hint="eastAsia" w:ascii="宋体" w:hAnsi="宋体" w:cs="宋体"/>
          <w:sz w:val="24"/>
          <w:highlight w:val="none"/>
        </w:rPr>
        <w:t>7.投标文件的解密：投标人于开标时间准时登录</w:t>
      </w:r>
      <w:r>
        <w:rPr>
          <w:rFonts w:hint="eastAsia" w:ascii="宋体" w:hAnsi="宋体" w:cs="宋体"/>
          <w:sz w:val="24"/>
          <w:highlight w:val="none"/>
          <w:lang w:eastAsia="zh-CN"/>
        </w:rPr>
        <w:t>乐采云平台</w:t>
      </w:r>
      <w:r>
        <w:rPr>
          <w:rFonts w:hint="eastAsia" w:ascii="宋体" w:hAnsi="宋体" w:cs="宋体"/>
          <w:sz w:val="24"/>
          <w:highlight w:val="none"/>
        </w:rPr>
        <w:t>并按照平台提示的规定时间内完成在线解密。通过“</w:t>
      </w:r>
      <w:r>
        <w:rPr>
          <w:rFonts w:hint="eastAsia" w:ascii="宋体" w:hAnsi="宋体" w:cs="宋体"/>
          <w:sz w:val="24"/>
          <w:highlight w:val="none"/>
          <w:lang w:val="en-US" w:eastAsia="zh-CN"/>
        </w:rPr>
        <w:t>乐采</w:t>
      </w:r>
      <w:r>
        <w:rPr>
          <w:rFonts w:hint="eastAsia" w:ascii="宋体" w:hAnsi="宋体" w:cs="宋体"/>
          <w:sz w:val="24"/>
          <w:highlight w:val="none"/>
        </w:rPr>
        <w:t>云平台”上传递交的投标文件无法按时解密，投标供应商递交了备份投标文件的，以备份投标文件为依据，否则视为投标文件撤回。通过“</w:t>
      </w:r>
      <w:r>
        <w:rPr>
          <w:rFonts w:hint="eastAsia" w:ascii="宋体" w:hAnsi="宋体" w:cs="宋体"/>
          <w:sz w:val="24"/>
          <w:highlight w:val="none"/>
          <w:lang w:val="en-US" w:eastAsia="zh-CN"/>
        </w:rPr>
        <w:t>乐采</w:t>
      </w:r>
      <w:r>
        <w:rPr>
          <w:rFonts w:hint="eastAsia" w:ascii="宋体" w:hAnsi="宋体" w:cs="宋体"/>
          <w:sz w:val="24"/>
          <w:highlight w:val="none"/>
        </w:rPr>
        <w:t>云平台”上传递交的投标文件已按时解密的，备份投标文件自动失效。投标人仅提交备份投标文件，没有在电子交易平台传输递交投标文件的，投标无效；</w:t>
      </w:r>
    </w:p>
    <w:p w14:paraId="072FDD1C">
      <w:pPr>
        <w:spacing w:line="360" w:lineRule="auto"/>
        <w:rPr>
          <w:rFonts w:ascii="宋体" w:hAnsi="宋体" w:cs="宋体"/>
          <w:sz w:val="24"/>
          <w:highlight w:val="none"/>
        </w:rPr>
      </w:pPr>
      <w:r>
        <w:rPr>
          <w:rFonts w:hint="eastAsia" w:ascii="宋体" w:hAnsi="宋体" w:cs="宋体"/>
          <w:sz w:val="24"/>
          <w:highlight w:val="none"/>
        </w:rPr>
        <w:t>8.具体操作指南：详见</w:t>
      </w:r>
      <w:r>
        <w:rPr>
          <w:rFonts w:hint="eastAsia" w:ascii="宋体" w:hAnsi="宋体" w:cs="宋体"/>
          <w:sz w:val="24"/>
          <w:highlight w:val="none"/>
          <w:lang w:eastAsia="zh-CN"/>
        </w:rPr>
        <w:t>乐采云平台</w:t>
      </w:r>
      <w:r>
        <w:rPr>
          <w:rFonts w:hint="eastAsia" w:ascii="宋体" w:hAnsi="宋体" w:cs="宋体"/>
          <w:sz w:val="24"/>
          <w:highlight w:val="none"/>
        </w:rPr>
        <w:t>“服务中心-帮助文档-项目采购-电子招投标</w:t>
      </w:r>
      <w:r>
        <w:rPr>
          <w:rFonts w:hint="eastAsia" w:ascii="宋体" w:hAnsi="宋体" w:cs="宋体"/>
          <w:sz w:val="24"/>
          <w:highlight w:val="none"/>
          <w:lang w:eastAsia="zh-CN"/>
        </w:rPr>
        <w:t>（</w:t>
      </w:r>
      <w:r>
        <w:rPr>
          <w:rFonts w:hint="eastAsia" w:ascii="宋体" w:hAnsi="宋体" w:cs="宋体"/>
          <w:sz w:val="24"/>
          <w:highlight w:val="none"/>
          <w:lang w:val="en-US" w:eastAsia="zh-CN"/>
        </w:rPr>
        <w:t>公开招标</w:t>
      </w:r>
      <w:r>
        <w:rPr>
          <w:rFonts w:hint="eastAsia" w:ascii="宋体" w:hAnsi="宋体" w:cs="宋体"/>
          <w:sz w:val="24"/>
          <w:highlight w:val="none"/>
          <w:lang w:eastAsia="zh-CN"/>
        </w:rPr>
        <w:t>）</w:t>
      </w:r>
      <w:r>
        <w:rPr>
          <w:rFonts w:hint="eastAsia" w:ascii="宋体" w:hAnsi="宋体" w:cs="宋体"/>
          <w:sz w:val="24"/>
          <w:highlight w:val="none"/>
        </w:rPr>
        <w:t>-供应商”。</w:t>
      </w:r>
    </w:p>
    <w:p w14:paraId="502CD48E">
      <w:pPr>
        <w:pStyle w:val="19"/>
        <w:adjustRightInd w:val="0"/>
        <w:snapToGrid w:val="0"/>
        <w:spacing w:line="360" w:lineRule="auto"/>
        <w:ind w:firstLine="482" w:firstLineChars="201"/>
        <w:rPr>
          <w:rFonts w:hAnsi="宋体" w:cs="宋体"/>
          <w:sz w:val="24"/>
          <w:szCs w:val="24"/>
          <w:highlight w:val="none"/>
        </w:rPr>
      </w:pPr>
      <w:r>
        <w:rPr>
          <w:rFonts w:hint="eastAsia" w:hAnsi="宋体" w:cs="宋体"/>
          <w:sz w:val="24"/>
          <w:szCs w:val="24"/>
          <w:highlight w:val="none"/>
        </w:rPr>
        <w:t xml:space="preserve">浙江省政府采购项目电子交易平台学习专题 </w:t>
      </w:r>
    </w:p>
    <w:p w14:paraId="42F91B2D">
      <w:pPr>
        <w:pStyle w:val="19"/>
        <w:adjustRightInd w:val="0"/>
        <w:snapToGrid w:val="0"/>
        <w:spacing w:line="360" w:lineRule="auto"/>
        <w:ind w:firstLine="482" w:firstLineChars="201"/>
        <w:rPr>
          <w:highlight w:val="none"/>
        </w:rPr>
      </w:pPr>
      <w:r>
        <w:rPr>
          <w:rFonts w:hint="eastAsia" w:hAnsi="宋体" w:cs="宋体"/>
          <w:sz w:val="24"/>
          <w:szCs w:val="24"/>
          <w:highlight w:val="none"/>
        </w:rPr>
        <w:t xml:space="preserve">网址： </w:t>
      </w:r>
      <w:r>
        <w:rPr>
          <w:highlight w:val="none"/>
        </w:rPr>
        <w:fldChar w:fldCharType="begin"/>
      </w:r>
      <w:r>
        <w:rPr>
          <w:highlight w:val="none"/>
        </w:rPr>
        <w:instrText xml:space="preserve"> HYPERLINK "https://edu.zcygov.cn/luban/e-biding" </w:instrText>
      </w:r>
      <w:r>
        <w:rPr>
          <w:highlight w:val="none"/>
        </w:rPr>
        <w:fldChar w:fldCharType="separate"/>
      </w:r>
      <w:r>
        <w:rPr>
          <w:rFonts w:hint="eastAsia" w:hAnsi="宋体" w:cs="宋体"/>
          <w:sz w:val="24"/>
          <w:szCs w:val="24"/>
          <w:highlight w:val="none"/>
        </w:rPr>
        <w:t>https://edu.zcygov.cn/luban/e-biding</w:t>
      </w:r>
      <w:r>
        <w:rPr>
          <w:rFonts w:hint="eastAsia" w:hAnsi="宋体" w:cs="宋体"/>
          <w:sz w:val="24"/>
          <w:szCs w:val="24"/>
          <w:highlight w:val="none"/>
        </w:rPr>
        <w:fldChar w:fldCharType="end"/>
      </w:r>
    </w:p>
    <w:p w14:paraId="4FF7E4EE">
      <w:pPr>
        <w:pStyle w:val="19"/>
        <w:adjustRightInd w:val="0"/>
        <w:snapToGrid w:val="0"/>
        <w:spacing w:line="360" w:lineRule="auto"/>
        <w:ind w:firstLine="484" w:firstLineChars="201"/>
        <w:rPr>
          <w:rFonts w:hAnsi="宋体" w:cs="宋体"/>
          <w:b/>
          <w:color w:val="000000"/>
          <w:kern w:val="0"/>
          <w:sz w:val="24"/>
          <w:szCs w:val="24"/>
        </w:rPr>
      </w:pPr>
      <w:r>
        <w:rPr>
          <w:rFonts w:hint="eastAsia" w:hAnsi="宋体" w:cs="宋体"/>
          <w:b/>
          <w:color w:val="000000"/>
          <w:kern w:val="0"/>
          <w:sz w:val="24"/>
          <w:szCs w:val="24"/>
          <w:lang w:val="en-US" w:eastAsia="zh-CN"/>
        </w:rPr>
        <w:t>九</w:t>
      </w:r>
      <w:r>
        <w:rPr>
          <w:rFonts w:hint="eastAsia" w:hAnsi="宋体" w:cs="宋体"/>
          <w:b/>
          <w:color w:val="000000"/>
          <w:kern w:val="0"/>
          <w:sz w:val="24"/>
          <w:szCs w:val="24"/>
        </w:rPr>
        <w:t>、需要落实的政府采购政策：</w:t>
      </w:r>
      <w:r>
        <w:rPr>
          <w:rFonts w:hint="eastAsia" w:hAnsi="宋体" w:cs="宋体"/>
          <w:sz w:val="24"/>
          <w:szCs w:val="24"/>
        </w:rPr>
        <w:t>/。</w:t>
      </w:r>
    </w:p>
    <w:p w14:paraId="1577D258">
      <w:pPr>
        <w:pStyle w:val="19"/>
        <w:adjustRightInd w:val="0"/>
        <w:snapToGrid w:val="0"/>
        <w:spacing w:line="360" w:lineRule="auto"/>
        <w:ind w:firstLine="484" w:firstLineChars="201"/>
        <w:rPr>
          <w:rFonts w:hAnsi="宋体" w:cs="宋体"/>
          <w:b/>
          <w:color w:val="000000"/>
          <w:kern w:val="0"/>
          <w:sz w:val="24"/>
          <w:szCs w:val="24"/>
        </w:rPr>
      </w:pPr>
      <w:r>
        <w:rPr>
          <w:rFonts w:hint="eastAsia" w:hAnsi="宋体" w:cs="宋体"/>
          <w:b/>
          <w:color w:val="000000"/>
          <w:kern w:val="0"/>
          <w:sz w:val="24"/>
          <w:szCs w:val="24"/>
        </w:rPr>
        <w:t>十、投标截止时间、地点及要求</w:t>
      </w:r>
    </w:p>
    <w:p w14:paraId="6CAC105E">
      <w:pPr>
        <w:pStyle w:val="19"/>
        <w:adjustRightInd w:val="0"/>
        <w:snapToGrid w:val="0"/>
        <w:spacing w:line="360" w:lineRule="auto"/>
        <w:ind w:firstLine="482" w:firstLineChars="201"/>
        <w:rPr>
          <w:rFonts w:hAnsi="宋体" w:cs="宋体"/>
          <w:color w:val="000000"/>
          <w:kern w:val="0"/>
          <w:sz w:val="24"/>
          <w:szCs w:val="24"/>
        </w:rPr>
      </w:pPr>
      <w:r>
        <w:rPr>
          <w:rFonts w:hint="eastAsia" w:hAnsi="宋体" w:cs="宋体"/>
          <w:color w:val="000000"/>
          <w:kern w:val="0"/>
          <w:sz w:val="24"/>
          <w:szCs w:val="24"/>
        </w:rPr>
        <w:t>本项目于</w:t>
      </w:r>
      <w:r>
        <w:rPr>
          <w:rFonts w:hint="eastAsia" w:ascii="Times New Roman" w:hAnsi="宋体" w:cs="宋体"/>
          <w:b/>
          <w:color w:val="FF0000"/>
          <w:sz w:val="24"/>
          <w:szCs w:val="24"/>
          <w:u w:val="single"/>
          <w:lang w:eastAsia="zh-CN"/>
        </w:rPr>
        <w:t>2025年01月10日09时30分</w:t>
      </w:r>
      <w:r>
        <w:rPr>
          <w:rFonts w:hint="eastAsia" w:hAnsi="宋体" w:cs="宋体"/>
          <w:color w:val="000000"/>
          <w:kern w:val="0"/>
          <w:sz w:val="24"/>
          <w:szCs w:val="24"/>
          <w:highlight w:val="none"/>
        </w:rPr>
        <w:t>投</w:t>
      </w:r>
      <w:r>
        <w:rPr>
          <w:rFonts w:hint="eastAsia" w:hAnsi="宋体" w:cs="宋体"/>
          <w:color w:val="000000"/>
          <w:kern w:val="0"/>
          <w:sz w:val="24"/>
          <w:szCs w:val="24"/>
        </w:rPr>
        <w:t>标截止。</w:t>
      </w:r>
    </w:p>
    <w:p w14:paraId="5142C5A3">
      <w:pPr>
        <w:snapToGrid w:val="0"/>
        <w:spacing w:line="360" w:lineRule="auto"/>
        <w:ind w:firstLine="480" w:firstLineChars="200"/>
        <w:rPr>
          <w:rFonts w:hAnsi="宋体" w:cs="宋体"/>
          <w:color w:val="000000"/>
          <w:kern w:val="0"/>
          <w:sz w:val="24"/>
        </w:rPr>
      </w:pPr>
      <w:r>
        <w:rPr>
          <w:rFonts w:hint="eastAsia" w:hAnsi="宋体" w:cs="宋体"/>
          <w:color w:val="000000"/>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乐采云平台拒收。</w:t>
      </w:r>
    </w:p>
    <w:p w14:paraId="5FF02A74">
      <w:pPr>
        <w:snapToGrid w:val="0"/>
        <w:spacing w:line="360" w:lineRule="auto"/>
        <w:ind w:firstLine="482" w:firstLineChars="200"/>
        <w:rPr>
          <w:rFonts w:ascii="宋体" w:hAnsi="宋体" w:cs="宋体"/>
          <w:color w:val="000000"/>
          <w:sz w:val="24"/>
        </w:rPr>
      </w:pPr>
      <w:r>
        <w:rPr>
          <w:rFonts w:hint="eastAsia" w:ascii="宋体" w:hAnsi="宋体" w:cs="宋体"/>
          <w:b/>
          <w:sz w:val="24"/>
        </w:rPr>
        <w:t>十</w:t>
      </w:r>
      <w:r>
        <w:rPr>
          <w:rFonts w:hint="eastAsia" w:ascii="宋体" w:hAnsi="宋体" w:cs="宋体"/>
          <w:b/>
          <w:sz w:val="24"/>
          <w:lang w:val="en-US" w:eastAsia="zh-CN"/>
        </w:rPr>
        <w:t>一</w:t>
      </w:r>
      <w:r>
        <w:rPr>
          <w:rFonts w:hint="eastAsia" w:ascii="宋体" w:hAnsi="宋体" w:cs="宋体"/>
          <w:b/>
          <w:sz w:val="24"/>
        </w:rPr>
        <w:t>、</w:t>
      </w:r>
      <w:r>
        <w:rPr>
          <w:rFonts w:hint="eastAsia" w:ascii="宋体" w:hAnsi="宋体" w:cs="宋体"/>
          <w:b/>
          <w:bCs/>
          <w:color w:val="000000"/>
          <w:sz w:val="24"/>
        </w:rPr>
        <w:t>开标时间及地点</w:t>
      </w:r>
      <w:r>
        <w:rPr>
          <w:rFonts w:hint="eastAsia" w:ascii="宋体" w:hAnsi="宋体" w:cs="宋体"/>
          <w:color w:val="000000"/>
          <w:sz w:val="24"/>
        </w:rPr>
        <w:t>：</w:t>
      </w:r>
    </w:p>
    <w:p w14:paraId="01CA7018">
      <w:pPr>
        <w:spacing w:line="360" w:lineRule="auto"/>
        <w:ind w:firstLine="480" w:firstLineChars="200"/>
        <w:rPr>
          <w:rFonts w:hint="eastAsia" w:ascii="宋体" w:hAnsi="宋体" w:eastAsia="宋体" w:cs="宋体"/>
          <w:b/>
          <w:bCs/>
          <w:sz w:val="24"/>
          <w:lang w:eastAsia="zh-CN"/>
        </w:rPr>
      </w:pPr>
      <w:r>
        <w:rPr>
          <w:rFonts w:hint="eastAsia" w:ascii="宋体" w:hAnsi="宋体" w:cs="宋体"/>
          <w:color w:val="000000"/>
          <w:sz w:val="24"/>
        </w:rPr>
        <w:t>本次招标将</w:t>
      </w:r>
      <w:r>
        <w:rPr>
          <w:rFonts w:hint="eastAsia" w:ascii="宋体" w:hAnsi="宋体" w:cs="宋体"/>
          <w:sz w:val="24"/>
        </w:rPr>
        <w:t>于</w:t>
      </w:r>
      <w:r>
        <w:rPr>
          <w:rFonts w:hint="eastAsia" w:ascii="Times New Roman" w:hAnsi="宋体" w:cs="宋体"/>
          <w:b/>
          <w:color w:val="FF0000"/>
          <w:sz w:val="24"/>
          <w:szCs w:val="24"/>
          <w:u w:val="single"/>
          <w:lang w:eastAsia="zh-CN"/>
        </w:rPr>
        <w:t>2025年01月10日09时30分</w:t>
      </w:r>
      <w:r>
        <w:rPr>
          <w:rFonts w:hint="eastAsia" w:ascii="宋体" w:hAnsi="宋体" w:cs="宋体"/>
          <w:color w:val="000000"/>
          <w:sz w:val="24"/>
        </w:rPr>
        <w:t>在</w:t>
      </w:r>
      <w:r>
        <w:rPr>
          <w:rFonts w:hint="eastAsia" w:ascii="宋体" w:hAnsi="宋体" w:cs="宋体"/>
          <w:b/>
          <w:color w:val="000000"/>
          <w:sz w:val="24"/>
        </w:rPr>
        <w:t>乐采云在线开标。本项目不要求投标人到开标现场开标，但投标人应派法定代表人或委托代理人准时登录乐采云在线出席电子开标会议，随时关注开标进度，如在开标过程中有电子询标，应在规定的时间内对电子询标函进行澄清、答复。</w:t>
      </w:r>
    </w:p>
    <w:p w14:paraId="1F788D06">
      <w:pPr>
        <w:spacing w:line="360" w:lineRule="auto"/>
        <w:ind w:firstLine="472" w:firstLineChars="196"/>
        <w:outlineLvl w:val="1"/>
        <w:rPr>
          <w:rFonts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rPr>
        <w:t>二</w:t>
      </w:r>
      <w:r>
        <w:rPr>
          <w:rFonts w:cs="Arial" w:asciiTheme="minorEastAsia" w:hAnsiTheme="minorEastAsia" w:eastAsiaTheme="minorEastAsia"/>
          <w:b/>
          <w:bCs/>
          <w:sz w:val="24"/>
        </w:rPr>
        <w:t>、业务咨询：</w:t>
      </w:r>
    </w:p>
    <w:p w14:paraId="696F2CD4">
      <w:pPr>
        <w:spacing w:line="360" w:lineRule="auto"/>
        <w:ind w:firstLine="470" w:firstLineChars="196"/>
        <w:outlineLvl w:val="1"/>
        <w:rPr>
          <w:rFonts w:asciiTheme="minorEastAsia" w:hAnsiTheme="minorEastAsia" w:eastAsiaTheme="minorEastAsia"/>
          <w:sz w:val="24"/>
        </w:rPr>
      </w:pPr>
      <w:r>
        <w:rPr>
          <w:rFonts w:hint="eastAsia" w:asciiTheme="minorEastAsia" w:hAnsiTheme="minorEastAsia" w:eastAsiaTheme="minorEastAsia"/>
          <w:sz w:val="24"/>
        </w:rPr>
        <w:t>1、采购机构名称：耀华建设管理有限公司</w:t>
      </w:r>
    </w:p>
    <w:p w14:paraId="395F4671">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地址：浙江省桐庐县城南街道迎春南路88号华桐大厦20楼</w:t>
      </w:r>
    </w:p>
    <w:p w14:paraId="49F62BC4">
      <w:pPr>
        <w:snapToGrid w:val="0"/>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许洪</w:t>
      </w:r>
    </w:p>
    <w:p w14:paraId="010E4C81">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联系电话：15868177628</w:t>
      </w:r>
    </w:p>
    <w:p w14:paraId="66A6670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2、书面质疑受理地点：桐庐县城南街道迎春南路88号华桐大厦20楼</w:t>
      </w:r>
    </w:p>
    <w:p w14:paraId="17F6E95F">
      <w:pPr>
        <w:snapToGrid w:val="0"/>
        <w:spacing w:line="360" w:lineRule="auto"/>
        <w:ind w:firstLine="660" w:firstLineChars="275"/>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val="en-US" w:eastAsia="zh-CN"/>
        </w:rPr>
        <w:t>许洪波</w:t>
      </w:r>
    </w:p>
    <w:p w14:paraId="4F286DF5">
      <w:pPr>
        <w:snapToGrid w:val="0"/>
        <w:spacing w:line="360" w:lineRule="auto"/>
        <w:ind w:firstLine="660" w:firstLineChars="275"/>
        <w:rPr>
          <w:rFonts w:asciiTheme="minorEastAsia" w:hAnsiTheme="minorEastAsia" w:eastAsiaTheme="minorEastAsia"/>
          <w:sz w:val="24"/>
        </w:rPr>
      </w:pPr>
      <w:r>
        <w:rPr>
          <w:rFonts w:hint="eastAsia" w:asciiTheme="minorEastAsia" w:hAnsiTheme="minorEastAsia" w:eastAsiaTheme="minorEastAsia"/>
          <w:sz w:val="24"/>
        </w:rPr>
        <w:t>联系电话：</w:t>
      </w:r>
      <w:r>
        <w:rPr>
          <w:rFonts w:hint="eastAsia" w:asciiTheme="minorEastAsia" w:hAnsiTheme="minorEastAsia" w:eastAsiaTheme="minorEastAsia"/>
          <w:sz w:val="24"/>
          <w:lang w:val="en-US" w:eastAsia="zh-CN"/>
        </w:rPr>
        <w:t>15857150539</w:t>
      </w:r>
      <w:r>
        <w:rPr>
          <w:rFonts w:hint="eastAsia" w:asciiTheme="minorEastAsia" w:hAnsiTheme="minorEastAsia" w:eastAsiaTheme="minorEastAsia"/>
          <w:sz w:val="24"/>
        </w:rPr>
        <w:t xml:space="preserve"> </w:t>
      </w:r>
    </w:p>
    <w:p w14:paraId="1583F82D">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3、采购单位：</w:t>
      </w:r>
      <w:r>
        <w:rPr>
          <w:rFonts w:hint="eastAsia" w:cs="Arial" w:asciiTheme="minorEastAsia" w:hAnsiTheme="minorEastAsia" w:eastAsiaTheme="minorEastAsia"/>
          <w:sz w:val="24"/>
          <w:lang w:eastAsia="zh-CN"/>
        </w:rPr>
        <w:t>杭州三江富春乡村振兴发展有限公司</w:t>
      </w:r>
    </w:p>
    <w:p w14:paraId="5E9AC250">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吕斌燃</w:t>
      </w:r>
    </w:p>
    <w:p w14:paraId="6D6CC35C">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联系</w:t>
      </w:r>
      <w:r>
        <w:rPr>
          <w:rFonts w:asciiTheme="minorEastAsia" w:hAnsiTheme="minorEastAsia" w:eastAsiaTheme="minorEastAsia"/>
          <w:sz w:val="24"/>
        </w:rPr>
        <w:t>电话</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13282843868</w:t>
      </w:r>
    </w:p>
    <w:p w14:paraId="31CB8488">
      <w:pPr>
        <w:spacing w:line="360" w:lineRule="auto"/>
        <w:ind w:firstLine="480" w:firstLineChars="200"/>
        <w:rPr>
          <w:rFonts w:hint="default" w:asciiTheme="minorEastAsia" w:hAnsiTheme="minorEastAsia" w:eastAsiaTheme="minorEastAsia"/>
          <w:color w:val="auto"/>
          <w:sz w:val="24"/>
          <w:lang w:val="en-US"/>
        </w:rPr>
      </w:pPr>
      <w:r>
        <w:rPr>
          <w:rFonts w:hint="eastAsia" w:asciiTheme="minorEastAsia" w:hAnsiTheme="minorEastAsia" w:eastAsiaTheme="minorEastAsia"/>
          <w:color w:val="auto"/>
          <w:sz w:val="24"/>
        </w:rPr>
        <w:t>4、监管部门：</w:t>
      </w:r>
      <w:r>
        <w:rPr>
          <w:rFonts w:hint="eastAsia" w:asciiTheme="minorEastAsia" w:hAnsiTheme="minorEastAsia" w:eastAsiaTheme="minorEastAsia"/>
          <w:color w:val="auto"/>
          <w:sz w:val="24"/>
          <w:lang w:val="en-US" w:eastAsia="zh-CN"/>
        </w:rPr>
        <w:t>桐庐县文化旅游投资集团有限公司</w:t>
      </w:r>
    </w:p>
    <w:p w14:paraId="43DA31BD">
      <w:pPr>
        <w:spacing w:line="360" w:lineRule="auto"/>
        <w:ind w:firstLine="720" w:firstLineChars="3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联系人：</w:t>
      </w:r>
      <w:r>
        <w:rPr>
          <w:rFonts w:hint="eastAsia" w:cs="Arial" w:asciiTheme="minorEastAsia" w:hAnsiTheme="minorEastAsia" w:eastAsiaTheme="minorEastAsia"/>
          <w:color w:val="auto"/>
          <w:sz w:val="24"/>
          <w:lang w:val="en-US" w:eastAsia="zh-CN"/>
        </w:rPr>
        <w:t>徐博艺</w:t>
      </w:r>
    </w:p>
    <w:p w14:paraId="7440F596">
      <w:pPr>
        <w:spacing w:line="360" w:lineRule="auto"/>
        <w:ind w:firstLine="720" w:firstLineChars="300"/>
        <w:rPr>
          <w:rFonts w:hint="eastAsia" w:asciiTheme="minorEastAsia" w:hAnsiTheme="minorEastAsia" w:eastAsiaTheme="minorEastAsia"/>
          <w:sz w:val="24"/>
        </w:rPr>
      </w:pPr>
      <w:r>
        <w:rPr>
          <w:rFonts w:hint="eastAsia" w:asciiTheme="minorEastAsia" w:hAnsiTheme="minorEastAsia" w:eastAsiaTheme="minorEastAsia"/>
          <w:color w:val="auto"/>
          <w:sz w:val="24"/>
        </w:rPr>
        <w:t>监督投诉电话：</w:t>
      </w:r>
      <w:r>
        <w:rPr>
          <w:rFonts w:hint="eastAsia" w:cs="Arial" w:asciiTheme="minorEastAsia" w:hAnsiTheme="minorEastAsia" w:eastAsiaTheme="minorEastAsia"/>
          <w:color w:val="auto"/>
          <w:sz w:val="24"/>
          <w:lang w:val="en-US" w:eastAsia="zh-CN"/>
        </w:rPr>
        <w:t>19705002565</w:t>
      </w:r>
      <w:r>
        <w:rPr>
          <w:rFonts w:hint="eastAsia" w:cs="Arial" w:asciiTheme="minorEastAsia" w:hAnsiTheme="minorEastAsia" w:eastAsiaTheme="minorEastAsia"/>
          <w:color w:val="auto"/>
          <w:sz w:val="24"/>
          <w:lang w:eastAsia="zh-CN"/>
        </w:rPr>
        <w:t xml:space="preserve"> </w:t>
      </w:r>
      <w:r>
        <w:rPr>
          <w:rFonts w:hint="eastAsia" w:asciiTheme="minorEastAsia" w:hAnsiTheme="minorEastAsia" w:eastAsiaTheme="minorEastAsia"/>
          <w:sz w:val="24"/>
        </w:rPr>
        <w:t xml:space="preserve"> </w:t>
      </w:r>
      <w:bookmarkStart w:id="0" w:name="_Hlk521930958"/>
    </w:p>
    <w:p w14:paraId="37CCA65C">
      <w:pPr>
        <w:pStyle w:val="24"/>
        <w:sectPr>
          <w:footerReference r:id="rId11" w:type="default"/>
          <w:pgSz w:w="11910" w:h="16840"/>
          <w:pgMar w:top="1134" w:right="1344" w:bottom="1134" w:left="1304" w:header="0" w:footer="993" w:gutter="0"/>
          <w:cols w:space="0" w:num="1"/>
        </w:sectPr>
      </w:pPr>
    </w:p>
    <w:p w14:paraId="01001D84">
      <w:pPr>
        <w:numPr>
          <w:ilvl w:val="0"/>
          <w:numId w:val="7"/>
        </w:numPr>
        <w:snapToGrid w:val="0"/>
        <w:spacing w:line="360" w:lineRule="auto"/>
        <w:ind w:firstLine="42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招标需求</w:t>
      </w:r>
    </w:p>
    <w:bookmarkEnd w:id="0"/>
    <w:p w14:paraId="465FF284">
      <w:pPr>
        <w:spacing w:line="360" w:lineRule="auto"/>
        <w:jc w:val="left"/>
        <w:rPr>
          <w:rFonts w:hint="default" w:ascii="宋体" w:hAnsi="宋体" w:eastAsia="宋体" w:cs="宋体"/>
          <w:b/>
          <w:sz w:val="24"/>
          <w:lang w:val="en-US" w:eastAsia="zh-CN"/>
        </w:rPr>
      </w:pPr>
      <w:r>
        <w:rPr>
          <w:rFonts w:hint="eastAsia" w:ascii="宋体" w:hAnsi="宋体" w:cs="宋体"/>
          <w:b/>
          <w:sz w:val="24"/>
        </w:rPr>
        <w:t>一、</w:t>
      </w:r>
      <w:r>
        <w:rPr>
          <w:rFonts w:hint="eastAsia" w:asciiTheme="minorEastAsia" w:hAnsiTheme="minorEastAsia" w:eastAsiaTheme="minorEastAsia"/>
          <w:b/>
          <w:bCs/>
          <w:sz w:val="24"/>
          <w:highlight w:val="none"/>
          <w:lang w:val="en-US" w:eastAsia="zh-CN"/>
        </w:rPr>
        <w:t>采购清单及主要规格</w:t>
      </w:r>
    </w:p>
    <w:p w14:paraId="60ED5704">
      <w:pPr>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1、采购清单详见公告附件</w:t>
      </w:r>
    </w:p>
    <w:p w14:paraId="79039DF3">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w:t>
      </w:r>
    </w:p>
    <w:p w14:paraId="26C86EE0">
      <w:pPr>
        <w:numPr>
          <w:ilvl w:val="0"/>
          <w:numId w:val="0"/>
        </w:num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（1）具体数量根据采购人实际需求，中标单价固定，结算按实计量。</w:t>
      </w:r>
    </w:p>
    <w:p w14:paraId="183199F9">
      <w:pPr>
        <w:numPr>
          <w:ilvl w:val="0"/>
          <w:numId w:val="0"/>
        </w:numPr>
        <w:spacing w:line="360" w:lineRule="auto"/>
        <w:ind w:firstLine="480" w:firstLineChars="200"/>
        <w:rPr>
          <w:rFonts w:hint="eastAsia" w:ascii="宋体" w:hAnsi="宋体"/>
          <w:color w:val="FF0000"/>
          <w:sz w:val="24"/>
          <w:szCs w:val="24"/>
          <w:highlight w:val="none"/>
          <w:lang w:val="en-US" w:eastAsia="zh-CN"/>
        </w:rPr>
      </w:pPr>
      <w:r>
        <w:rPr>
          <w:rFonts w:hint="eastAsia" w:ascii="宋体" w:hAnsi="宋体"/>
          <w:color w:val="FF0000"/>
          <w:sz w:val="24"/>
          <w:szCs w:val="24"/>
          <w:highlight w:val="none"/>
          <w:lang w:val="en-US" w:eastAsia="zh-CN"/>
        </w:rPr>
        <w:t>（2）合同签订后，7个工作日内，按采购人书面下达的样品通知书，提供相对应的货物样品。</w:t>
      </w:r>
    </w:p>
    <w:p w14:paraId="568A7297">
      <w:pPr>
        <w:pStyle w:val="19"/>
        <w:spacing w:line="360" w:lineRule="auto"/>
        <w:rPr>
          <w:rFonts w:hint="default" w:hAnsi="宋体" w:eastAsia="宋体"/>
          <w:b/>
          <w:sz w:val="24"/>
          <w:lang w:val="en-US" w:eastAsia="zh-CN"/>
        </w:rPr>
      </w:pPr>
      <w:r>
        <w:rPr>
          <w:rFonts w:hint="eastAsia" w:hAnsi="宋体"/>
          <w:b/>
          <w:sz w:val="24"/>
        </w:rPr>
        <w:t>二、</w:t>
      </w:r>
      <w:r>
        <w:rPr>
          <w:rFonts w:hint="eastAsia" w:hAnsi="宋体"/>
          <w:b/>
          <w:sz w:val="24"/>
          <w:lang w:val="en-US" w:eastAsia="zh-CN"/>
        </w:rPr>
        <w:t>其他要求</w:t>
      </w:r>
    </w:p>
    <w:p w14:paraId="6B69440A">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投标人应在投标文件中如实提供货物及主要零部件的产地和制造厂名称，并保证提供的是符合上述产地及制造商的原装产品。中标人负责所有安装调试，并要对投标货物及其安装质量负全部责任。</w:t>
      </w:r>
    </w:p>
    <w:p w14:paraId="2AC1C7F1">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1、工作范围</w:t>
      </w:r>
    </w:p>
    <w:p w14:paraId="442E5471">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（1）根据招标文件</w:t>
      </w:r>
      <w:r>
        <w:rPr>
          <w:rFonts w:hint="eastAsia" w:ascii="宋体" w:hAnsi="宋体"/>
          <w:sz w:val="24"/>
          <w:szCs w:val="24"/>
          <w:highlight w:val="none"/>
          <w:lang w:val="en-US" w:eastAsia="zh-CN"/>
        </w:rPr>
        <w:t>及公告附件</w:t>
      </w:r>
      <w:r>
        <w:rPr>
          <w:rFonts w:hint="eastAsia" w:ascii="宋体" w:hAnsi="宋体" w:eastAsia="宋体"/>
          <w:sz w:val="24"/>
          <w:szCs w:val="24"/>
          <w:highlight w:val="none"/>
          <w:lang w:val="en-US" w:eastAsia="zh-CN"/>
        </w:rPr>
        <w:t>要求提供所有劳动力、材料、设备、服务、包装、运输等，包括招标文件上未有提及但正常运行所需的相关附件。</w:t>
      </w:r>
    </w:p>
    <w:p w14:paraId="65C51553">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（2）确保安装工作的安全、有序进行，如因投标人原因造成的相关返工，责任由投标人承担。</w:t>
      </w:r>
    </w:p>
    <w:p w14:paraId="7DAD9A2D">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（3）所有设备要符合实际情况，实际尺寸需按工地情况来量度及核实。</w:t>
      </w:r>
    </w:p>
    <w:p w14:paraId="38CE2E8B">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（4）提供有关说明书、证明书、质保书及其它文件给采购人存案。</w:t>
      </w:r>
    </w:p>
    <w:p w14:paraId="3A5C973B">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2、条例、规范</w:t>
      </w:r>
    </w:p>
    <w:p w14:paraId="010A6215">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（1）所有安装施工及材料需要符合国家最新条例及规范。</w:t>
      </w:r>
    </w:p>
    <w:p w14:paraId="36E4FF11">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（2）有关条例包括建筑规范，公共卫生条例，劳工法规，和其它有关条例规范。</w:t>
      </w:r>
    </w:p>
    <w:p w14:paraId="05BB6601">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（3）提供产品规格（含安装），除需要符合招标文件要求之外，还需符合相关条例、规范的标准，或高于相关条例、规范的标准。</w:t>
      </w:r>
    </w:p>
    <w:p w14:paraId="1676A16D">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3、材料、设备及进度</w:t>
      </w:r>
    </w:p>
    <w:p w14:paraId="7571DF96">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（1）所有材料 ,设备等均须全新及按技术规格交付招标人。产品需坚固耐用美观。</w:t>
      </w:r>
    </w:p>
    <w:p w14:paraId="6C97361A">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（2）产品到达招标人现场后，应在收到通知三日内，派出合适的技术人员前往招标人现场进行安装调试,并提供方案（包括人员、时间、内容），说明需要配合的工作内容。</w:t>
      </w:r>
    </w:p>
    <w:p w14:paraId="494890C6">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（3）需提供所需设备及一切安装施工材料。采购供应的材料、设备均须有合格证、质保书或试验报告等技术资料。</w:t>
      </w:r>
    </w:p>
    <w:p w14:paraId="46FED005">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（4）供货安装调试应在招标人要求时间内完成。因安装延期而产生的费用和造成招标人的损失由中标人承担。</w:t>
      </w:r>
    </w:p>
    <w:p w14:paraId="3A60E896">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（5）为确保工程进度以及工程质量，投标人必须保证本项目的管理人员和技术服务人员配备充足。</w:t>
      </w:r>
    </w:p>
    <w:p w14:paraId="5DCFCDAA">
      <w:pPr>
        <w:spacing w:line="360" w:lineRule="auto"/>
        <w:ind w:firstLine="480" w:firstLineChars="200"/>
        <w:rPr>
          <w:rFonts w:hint="eastAsia" w:ascii="宋体" w:hAnsi="宋体"/>
          <w:sz w:val="24"/>
          <w:szCs w:val="24"/>
          <w:highlight w:val="none"/>
          <w:lang w:val="en-US" w:eastAsia="zh-CN"/>
        </w:rPr>
      </w:pPr>
      <w:r>
        <w:rPr>
          <w:rFonts w:hint="eastAsia" w:ascii="宋体" w:hAnsi="宋体" w:eastAsia="宋体"/>
          <w:sz w:val="24"/>
          <w:szCs w:val="24"/>
          <w:highlight w:val="none"/>
          <w:lang w:val="en-US" w:eastAsia="zh-CN"/>
        </w:rPr>
        <w:t>4、</w:t>
      </w:r>
      <w:r>
        <w:rPr>
          <w:rFonts w:hint="eastAsia" w:ascii="宋体" w:hAnsi="宋体"/>
          <w:sz w:val="24"/>
          <w:szCs w:val="24"/>
          <w:highlight w:val="none"/>
          <w:lang w:val="en-US" w:eastAsia="zh-CN"/>
        </w:rPr>
        <w:t>质量与服务要求</w:t>
      </w:r>
    </w:p>
    <w:p w14:paraId="20EBC883">
      <w:pPr>
        <w:spacing w:line="360" w:lineRule="auto"/>
        <w:ind w:firstLine="480" w:firstLineChars="200"/>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质量跟踪：采购人有权委托具有产品质量检验资质的质检机构方对中标供应商的产品、安装、材料及配件质量进行全过程跟踪，中标供应商应无条件予以配合，一旦发现中标供应商有违背合同的情况，将立即中止合同，由此造成的损失由中标供应商负责。</w:t>
      </w:r>
    </w:p>
    <w:p w14:paraId="2CFAD6F8">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w:t>
      </w:r>
      <w:r>
        <w:rPr>
          <w:rFonts w:hint="eastAsia" w:ascii="宋体" w:hAnsi="宋体"/>
          <w:sz w:val="24"/>
          <w:szCs w:val="24"/>
          <w:highlight w:val="none"/>
          <w:lang w:val="en-US" w:eastAsia="zh-CN"/>
        </w:rPr>
        <w:t>2</w:t>
      </w:r>
      <w:r>
        <w:rPr>
          <w:rFonts w:hint="eastAsia" w:ascii="宋体" w:hAnsi="宋体" w:eastAsia="宋体"/>
          <w:sz w:val="24"/>
          <w:szCs w:val="24"/>
          <w:highlight w:val="none"/>
          <w:lang w:val="en-US" w:eastAsia="zh-CN"/>
        </w:rPr>
        <w:t>）所有材料、附件、配件等在正式验收后均需至少有</w:t>
      </w:r>
      <w:r>
        <w:rPr>
          <w:rFonts w:hint="eastAsia" w:ascii="宋体" w:hAnsi="宋体"/>
          <w:sz w:val="24"/>
          <w:szCs w:val="24"/>
          <w:highlight w:val="none"/>
          <w:lang w:val="en-US" w:eastAsia="zh-CN"/>
        </w:rPr>
        <w:t>2</w:t>
      </w:r>
      <w:r>
        <w:rPr>
          <w:rFonts w:hint="eastAsia" w:ascii="宋体" w:hAnsi="宋体" w:eastAsia="宋体"/>
          <w:sz w:val="24"/>
          <w:szCs w:val="24"/>
          <w:highlight w:val="none"/>
          <w:lang w:val="en-US" w:eastAsia="zh-CN"/>
        </w:rPr>
        <w:t>年质保期。产品</w:t>
      </w:r>
      <w:r>
        <w:rPr>
          <w:rFonts w:hint="eastAsia" w:ascii="宋体" w:hAnsi="宋体"/>
          <w:sz w:val="24"/>
          <w:szCs w:val="24"/>
          <w:highlight w:val="none"/>
          <w:lang w:val="en-US" w:eastAsia="zh-CN"/>
        </w:rPr>
        <w:t>2</w:t>
      </w:r>
      <w:r>
        <w:rPr>
          <w:rFonts w:hint="eastAsia" w:ascii="宋体" w:hAnsi="宋体" w:eastAsia="宋体"/>
          <w:sz w:val="24"/>
          <w:szCs w:val="24"/>
          <w:highlight w:val="none"/>
          <w:lang w:val="en-US" w:eastAsia="zh-CN"/>
        </w:rPr>
        <w:t>年保用、保修，</w:t>
      </w:r>
      <w:r>
        <w:rPr>
          <w:rFonts w:hint="eastAsia" w:ascii="宋体" w:hAnsi="宋体"/>
          <w:sz w:val="24"/>
          <w:szCs w:val="24"/>
          <w:highlight w:val="none"/>
          <w:lang w:val="en-US" w:eastAsia="zh-CN"/>
        </w:rPr>
        <w:t>2</w:t>
      </w:r>
      <w:r>
        <w:rPr>
          <w:rFonts w:hint="eastAsia" w:ascii="宋体" w:hAnsi="宋体" w:eastAsia="宋体"/>
          <w:sz w:val="24"/>
          <w:szCs w:val="24"/>
          <w:highlight w:val="none"/>
          <w:lang w:val="en-US" w:eastAsia="zh-CN"/>
        </w:rPr>
        <w:t>年内任何产品本身故障和</w:t>
      </w:r>
      <w:r>
        <w:rPr>
          <w:rFonts w:hint="eastAsia" w:ascii="宋体" w:hAnsi="宋体"/>
          <w:sz w:val="24"/>
          <w:szCs w:val="24"/>
          <w:highlight w:val="none"/>
          <w:lang w:val="en-US" w:eastAsia="zh-CN"/>
        </w:rPr>
        <w:t>部件</w:t>
      </w:r>
      <w:r>
        <w:rPr>
          <w:rFonts w:hint="eastAsia" w:ascii="宋体" w:hAnsi="宋体" w:eastAsia="宋体"/>
          <w:sz w:val="24"/>
          <w:szCs w:val="24"/>
          <w:highlight w:val="none"/>
          <w:lang w:val="en-US" w:eastAsia="zh-CN"/>
        </w:rPr>
        <w:t>损坏，均由中标人负责免费恢复和更换。质保期自项目安装调试完毕、验收合格之日起开始计算。</w:t>
      </w:r>
    </w:p>
    <w:p w14:paraId="0734C70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正常使用范围内造成的损坏均进行维修，出现质量缺陷问题或同一货物在质保期内出现三次质量问题，供应商予以更换，上述维修服务费用包含在总报价中。接到</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报修时起，2小时内响应，并提出解决方案。48小时内到达</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现场并解决问题，如不能完成维修工作的，提供替代产品以保证项目的正常进行；质保期内配件及维护服务产生的费用包含在总报价中。质保期内，合同货物发生任何非用户人为导致的缺陷、损坏等，均由该供应商负责免费修复或更换；更换新的单件商品，必须达到原产品的质量和环保的要求</w:t>
      </w:r>
      <w:r>
        <w:rPr>
          <w:rFonts w:hint="eastAsia" w:ascii="宋体" w:hAnsi="宋体" w:cs="宋体"/>
          <w:color w:val="auto"/>
          <w:sz w:val="24"/>
          <w:szCs w:val="24"/>
          <w:highlight w:val="none"/>
          <w:lang w:eastAsia="zh-CN"/>
        </w:rPr>
        <w:t>。</w:t>
      </w:r>
    </w:p>
    <w:p w14:paraId="0C4EC4B9">
      <w:pPr>
        <w:pStyle w:val="28"/>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eastAsia="宋体"/>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免费质保期内因货物本身缺陷造成各种故障应由</w:t>
      </w:r>
      <w:r>
        <w:rPr>
          <w:rFonts w:hint="eastAsia" w:cs="宋体"/>
          <w:color w:val="auto"/>
          <w:sz w:val="24"/>
          <w:szCs w:val="24"/>
          <w:highlight w:val="none"/>
          <w:lang w:eastAsia="zh-CN"/>
        </w:rPr>
        <w:t>中标供应商</w:t>
      </w:r>
      <w:r>
        <w:rPr>
          <w:rFonts w:hint="eastAsia" w:ascii="宋体" w:hAnsi="宋体" w:eastAsia="宋体" w:cs="宋体"/>
          <w:color w:val="auto"/>
          <w:sz w:val="24"/>
          <w:szCs w:val="24"/>
          <w:highlight w:val="none"/>
        </w:rPr>
        <w:t>免费予以更换；对达不到技术要求者，根据实际情况，做更换、贬值或退货处理。免费质保期满后，仅收取零配件成本费用，免人工费、差旅费。</w:t>
      </w:r>
    </w:p>
    <w:p w14:paraId="0CD2F369">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w:t>
      </w:r>
      <w:r>
        <w:rPr>
          <w:rFonts w:hint="eastAsia" w:ascii="宋体" w:hAnsi="宋体"/>
          <w:sz w:val="24"/>
          <w:szCs w:val="24"/>
          <w:highlight w:val="none"/>
          <w:lang w:val="en-US" w:eastAsia="zh-CN"/>
        </w:rPr>
        <w:t>5</w:t>
      </w:r>
      <w:r>
        <w:rPr>
          <w:rFonts w:hint="eastAsia" w:ascii="宋体" w:hAnsi="宋体" w:eastAsia="宋体"/>
          <w:sz w:val="24"/>
          <w:szCs w:val="24"/>
          <w:highlight w:val="none"/>
          <w:lang w:val="en-US" w:eastAsia="zh-CN"/>
        </w:rPr>
        <w:t>）质保期内的免费保修工作包括每季度维修检查。当招标人要求中标人作出维修工作时，中标人需在收到维修通知后2小时内作出</w:t>
      </w:r>
      <w:r>
        <w:rPr>
          <w:rFonts w:hint="eastAsia" w:ascii="宋体" w:hAnsi="宋体"/>
          <w:sz w:val="24"/>
          <w:szCs w:val="24"/>
          <w:highlight w:val="none"/>
          <w:lang w:val="en-US" w:eastAsia="zh-CN"/>
        </w:rPr>
        <w:t>响应</w:t>
      </w:r>
      <w:r>
        <w:rPr>
          <w:rFonts w:hint="eastAsia" w:ascii="宋体" w:hAnsi="宋体" w:eastAsia="宋体"/>
          <w:sz w:val="24"/>
          <w:szCs w:val="24"/>
          <w:highlight w:val="none"/>
          <w:lang w:val="en-US" w:eastAsia="zh-CN"/>
        </w:rPr>
        <w:t>,</w:t>
      </w:r>
      <w:r>
        <w:rPr>
          <w:rFonts w:hint="eastAsia" w:ascii="宋体" w:hAnsi="宋体"/>
          <w:sz w:val="24"/>
          <w:szCs w:val="24"/>
          <w:highlight w:val="none"/>
          <w:lang w:val="en-US" w:eastAsia="zh-CN"/>
        </w:rPr>
        <w:t>24小时</w:t>
      </w:r>
      <w:r>
        <w:rPr>
          <w:rFonts w:hint="eastAsia" w:ascii="宋体" w:hAnsi="宋体" w:eastAsia="宋体"/>
          <w:sz w:val="24"/>
          <w:szCs w:val="24"/>
          <w:highlight w:val="none"/>
          <w:lang w:val="en-US" w:eastAsia="zh-CN"/>
        </w:rPr>
        <w:t>内修复。否则应相应延长质保期和维修期，并酎情扣罚。</w:t>
      </w:r>
    </w:p>
    <w:p w14:paraId="4E9F6D38">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w:t>
      </w:r>
      <w:r>
        <w:rPr>
          <w:rFonts w:hint="eastAsia" w:ascii="宋体" w:hAnsi="宋体"/>
          <w:sz w:val="24"/>
          <w:szCs w:val="24"/>
          <w:highlight w:val="none"/>
          <w:lang w:val="en-US" w:eastAsia="zh-CN"/>
        </w:rPr>
        <w:t>6</w:t>
      </w:r>
      <w:r>
        <w:rPr>
          <w:rFonts w:hint="eastAsia" w:ascii="宋体" w:hAnsi="宋体" w:eastAsia="宋体"/>
          <w:sz w:val="24"/>
          <w:szCs w:val="24"/>
          <w:highlight w:val="none"/>
          <w:lang w:val="en-US" w:eastAsia="zh-CN"/>
        </w:rPr>
        <w:t>）如需附加检查次数、服务和提供24小时紧急维修服务；附加费用需招标人和投标人双方同意。</w:t>
      </w:r>
    </w:p>
    <w:p w14:paraId="7970BAC8">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w:t>
      </w:r>
      <w:r>
        <w:rPr>
          <w:rFonts w:hint="eastAsia" w:ascii="宋体" w:hAnsi="宋体"/>
          <w:sz w:val="24"/>
          <w:szCs w:val="24"/>
          <w:highlight w:val="none"/>
          <w:lang w:val="en-US" w:eastAsia="zh-CN"/>
        </w:rPr>
        <w:t>7</w:t>
      </w:r>
      <w:r>
        <w:rPr>
          <w:rFonts w:hint="eastAsia" w:ascii="宋体" w:hAnsi="宋体" w:eastAsia="宋体"/>
          <w:sz w:val="24"/>
          <w:szCs w:val="24"/>
          <w:highlight w:val="none"/>
          <w:lang w:val="en-US" w:eastAsia="zh-CN"/>
        </w:rPr>
        <w:t>）投标人需质保期内及质保期外的售后服务方案。</w:t>
      </w:r>
    </w:p>
    <w:p w14:paraId="34C4FDD3">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w:t>
      </w:r>
      <w:r>
        <w:rPr>
          <w:rFonts w:hint="eastAsia" w:ascii="宋体" w:hAnsi="宋体"/>
          <w:sz w:val="24"/>
          <w:szCs w:val="24"/>
          <w:highlight w:val="none"/>
          <w:lang w:val="en-US" w:eastAsia="zh-CN"/>
        </w:rPr>
        <w:t>8</w:t>
      </w:r>
      <w:r>
        <w:rPr>
          <w:rFonts w:hint="eastAsia" w:ascii="宋体" w:hAnsi="宋体" w:eastAsia="宋体"/>
          <w:sz w:val="24"/>
          <w:szCs w:val="24"/>
          <w:highlight w:val="none"/>
          <w:lang w:val="en-US" w:eastAsia="zh-CN"/>
        </w:rPr>
        <w:t>）投标人需提供维修保养的内容，并承诺该价格保持不变的期限。</w:t>
      </w:r>
    </w:p>
    <w:p w14:paraId="4FC62899">
      <w:pPr>
        <w:spacing w:line="360" w:lineRule="auto"/>
        <w:ind w:firstLine="480" w:firstLineChars="200"/>
        <w:rPr>
          <w:rFonts w:ascii="宋体" w:hAnsi="宋体" w:eastAsia="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9</w:t>
      </w:r>
      <w:r>
        <w:rPr>
          <w:rFonts w:hint="eastAsia" w:ascii="宋体" w:hAnsi="宋体"/>
          <w:sz w:val="24"/>
          <w:highlight w:val="none"/>
          <w:lang w:eastAsia="zh-CN"/>
        </w:rPr>
        <w:t>）</w:t>
      </w:r>
      <w:r>
        <w:rPr>
          <w:rFonts w:hint="eastAsia" w:ascii="宋体" w:hAnsi="宋体" w:eastAsia="宋体"/>
          <w:sz w:val="24"/>
          <w:highlight w:val="none"/>
        </w:rPr>
        <w:t>中标人必须保证所供货物全新、正宗、原包装</w:t>
      </w:r>
      <w:r>
        <w:rPr>
          <w:rFonts w:hint="eastAsia" w:ascii="宋体" w:hAnsi="宋体" w:eastAsia="宋体"/>
          <w:b/>
          <w:sz w:val="24"/>
          <w:highlight w:val="none"/>
        </w:rPr>
        <w:t>（须按要求新生产的货物）</w:t>
      </w:r>
      <w:r>
        <w:rPr>
          <w:rFonts w:hint="eastAsia" w:ascii="宋体" w:hAnsi="宋体" w:eastAsia="宋体"/>
          <w:sz w:val="24"/>
          <w:highlight w:val="none"/>
        </w:rPr>
        <w:t>，至用户手中时不拆封。</w:t>
      </w:r>
    </w:p>
    <w:p w14:paraId="51D8241D">
      <w:pPr>
        <w:spacing w:line="360" w:lineRule="auto"/>
        <w:ind w:firstLine="480" w:firstLineChars="200"/>
        <w:rPr>
          <w:rFonts w:ascii="宋体" w:hAnsi="宋体" w:eastAsia="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10</w:t>
      </w:r>
      <w:r>
        <w:rPr>
          <w:rFonts w:hint="eastAsia" w:ascii="宋体" w:hAnsi="宋体"/>
          <w:sz w:val="24"/>
          <w:highlight w:val="none"/>
          <w:lang w:eastAsia="zh-CN"/>
        </w:rPr>
        <w:t>）</w:t>
      </w:r>
      <w:r>
        <w:rPr>
          <w:rFonts w:hint="eastAsia" w:ascii="宋体" w:hAnsi="宋体" w:eastAsia="宋体"/>
          <w:sz w:val="24"/>
          <w:highlight w:val="none"/>
        </w:rPr>
        <w:t>产品安装完毕后，由采购单位组织专业人员验收。验收以国家行业标准为基础，结合本次招标文件和正式合同为依据进行。如不符要求，一律返工，直到符合要求为止，否则拒付货款，并扣总价款5%的违约金。</w:t>
      </w:r>
    </w:p>
    <w:p w14:paraId="255F7F3B">
      <w:pPr>
        <w:spacing w:line="360" w:lineRule="auto"/>
        <w:ind w:firstLine="480" w:firstLineChars="200"/>
        <w:rPr>
          <w:rFonts w:ascii="宋体" w:hAnsi="宋体" w:eastAsia="宋体"/>
          <w:color w:val="FF000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11</w:t>
      </w:r>
      <w:r>
        <w:rPr>
          <w:rFonts w:hint="eastAsia" w:ascii="宋体" w:hAnsi="宋体"/>
          <w:sz w:val="24"/>
          <w:highlight w:val="none"/>
          <w:lang w:eastAsia="zh-CN"/>
        </w:rPr>
        <w:t>）</w:t>
      </w:r>
      <w:r>
        <w:rPr>
          <w:rFonts w:hint="eastAsia" w:ascii="宋体" w:hAnsi="宋体" w:eastAsia="宋体"/>
          <w:sz w:val="24"/>
          <w:highlight w:val="none"/>
        </w:rPr>
        <w:t>投标单位应根据招标项目内容要求确定投标报价。包括</w:t>
      </w:r>
      <w:r>
        <w:rPr>
          <w:rFonts w:hint="eastAsia" w:ascii="宋体" w:hAnsi="宋体"/>
          <w:sz w:val="24"/>
          <w:highlight w:val="none"/>
          <w:lang w:eastAsia="zh-CN"/>
        </w:rPr>
        <w:t>设备费（包括必备的附件）、零配件、水电费、设备预埋件、仓储费、检测费、材料费、人工费、运输费、现场原有设备（家具）等、现场成品保护费、保险费、采购人指定地点的卸货费、就位及安装费、安装材料费、垃圾清运费、开荒保洁费、安装调试费、深化设计费、检验试验费、售后服务、税费、利润等其他一切费用。</w:t>
      </w:r>
    </w:p>
    <w:p w14:paraId="2DF38CD7">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r>
        <w:rPr>
          <w:rFonts w:hint="eastAsia" w:ascii="宋体" w:hAnsi="宋体" w:eastAsia="宋体"/>
          <w:sz w:val="24"/>
          <w:szCs w:val="24"/>
          <w:highlight w:val="none"/>
          <w:lang w:val="en-US" w:eastAsia="zh-CN"/>
        </w:rPr>
        <w:t>验收</w:t>
      </w:r>
    </w:p>
    <w:p w14:paraId="288576D7">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（1）投标人在投标文件中应提供验收标准、安装技术规范，供招标人参考。验收标准应符合有关国家标准。</w:t>
      </w:r>
    </w:p>
    <w:p w14:paraId="40C6B46B">
      <w:pPr>
        <w:spacing w:line="360" w:lineRule="auto"/>
        <w:ind w:firstLine="480" w:firstLineChars="200"/>
        <w:rPr>
          <w:rFonts w:hint="eastAsia"/>
          <w:highlight w:val="none"/>
          <w:lang w:val="en-US" w:eastAsia="zh-CN"/>
        </w:rPr>
      </w:pPr>
      <w:r>
        <w:rPr>
          <w:rFonts w:hint="eastAsia" w:ascii="宋体" w:hAnsi="宋体"/>
          <w:sz w:val="24"/>
          <w:szCs w:val="24"/>
          <w:highlight w:val="none"/>
          <w:lang w:val="en-US" w:eastAsia="zh-CN"/>
        </w:rPr>
        <w:t>（2）本项目由招标人负责组织验收，投标人须全面配合验收。必要时随机抽检货物，送相关鉴定，产品检测合格的所产生的相关费用（包括检测费在内）由招标人承担。检测不合格的，供应商负责退货或更换，并承担检测费等相关费用。</w:t>
      </w:r>
    </w:p>
    <w:p w14:paraId="332927DD">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（3）如验收时发现达不到招标文件规定或投标文件提供的技术指标，必须更换，进行调整，使其最终能达到合同规定的技术要求，并且要赔偿由此对招标人造成的损失。</w:t>
      </w:r>
    </w:p>
    <w:p w14:paraId="3D65B494">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（4）完成竣工资料收集、整理工作，并按业主的档案管理要求完成资料归档工作。</w:t>
      </w:r>
    </w:p>
    <w:p w14:paraId="2190C233">
      <w:pPr>
        <w:numPr>
          <w:ilvl w:val="0"/>
          <w:numId w:val="0"/>
        </w:numPr>
        <w:adjustRightInd/>
        <w:spacing w:line="360" w:lineRule="auto"/>
        <w:rPr>
          <w:rStyle w:val="56"/>
          <w:rFonts w:hint="default" w:ascii="宋体" w:hAnsi="宋体" w:cs="黑体"/>
          <w:b/>
          <w:color w:val="000000"/>
          <w:highlight w:val="none"/>
          <w:lang w:val="en-US"/>
        </w:rPr>
      </w:pPr>
      <w:r>
        <w:rPr>
          <w:rStyle w:val="56"/>
          <w:rFonts w:hint="eastAsia" w:ascii="宋体" w:hAnsi="宋体" w:cs="黑体"/>
          <w:b/>
          <w:color w:val="000000"/>
          <w:highlight w:val="none"/>
          <w:lang w:val="en-US" w:eastAsia="zh-CN"/>
        </w:rPr>
        <w:t>三、商务要求</w:t>
      </w:r>
    </w:p>
    <w:p w14:paraId="329EA9F2">
      <w:pPr>
        <w:spacing w:line="360" w:lineRule="auto"/>
        <w:ind w:firstLine="240" w:firstLineChars="100"/>
        <w:rPr>
          <w:rFonts w:hint="eastAsia" w:ascii="宋体" w:hAnsi="宋体" w:eastAsia="宋体"/>
          <w:color w:val="FF0000"/>
          <w:sz w:val="24"/>
          <w:highlight w:val="none"/>
        </w:rPr>
      </w:pPr>
      <w:r>
        <w:rPr>
          <w:rFonts w:ascii="宋体" w:hAnsi="宋体" w:eastAsia="宋体"/>
          <w:sz w:val="24"/>
          <w:highlight w:val="none"/>
        </w:rPr>
        <w:t>1.</w:t>
      </w:r>
      <w:r>
        <w:rPr>
          <w:rFonts w:hint="eastAsia" w:ascii="宋体" w:hAnsi="宋体" w:eastAsia="宋体"/>
          <w:sz w:val="24"/>
          <w:highlight w:val="none"/>
          <w:lang w:val="en-US" w:eastAsia="zh-CN"/>
        </w:rPr>
        <w:t>工期</w:t>
      </w:r>
      <w:r>
        <w:rPr>
          <w:rFonts w:hint="eastAsia" w:ascii="宋体" w:hAnsi="宋体" w:eastAsia="宋体"/>
          <w:color w:val="auto"/>
          <w:sz w:val="24"/>
          <w:highlight w:val="none"/>
        </w:rPr>
        <w:t>：</w:t>
      </w:r>
      <w:r>
        <w:rPr>
          <w:rFonts w:hint="eastAsia" w:ascii="宋体" w:hAnsi="宋体" w:eastAsia="宋体"/>
          <w:color w:val="auto"/>
          <w:sz w:val="24"/>
          <w:szCs w:val="24"/>
          <w:highlight w:val="none"/>
        </w:rPr>
        <w:t>总</w:t>
      </w:r>
      <w:r>
        <w:rPr>
          <w:rFonts w:hint="eastAsia" w:ascii="宋体" w:hAnsi="宋体"/>
          <w:color w:val="auto"/>
          <w:sz w:val="24"/>
          <w:szCs w:val="24"/>
          <w:highlight w:val="none"/>
          <w:lang w:eastAsia="zh-CN"/>
        </w:rPr>
        <w:t>服务期为30天</w:t>
      </w:r>
      <w:r>
        <w:rPr>
          <w:rFonts w:hint="eastAsia" w:ascii="宋体" w:hAnsi="宋体" w:eastAsia="宋体"/>
          <w:sz w:val="24"/>
          <w:szCs w:val="24"/>
          <w:highlight w:val="none"/>
        </w:rPr>
        <w:t>，具体服务时间由招标人下达通知为准，因安装延期而产生的费用和造成招标人的损失由中标人承担</w:t>
      </w:r>
      <w:r>
        <w:rPr>
          <w:rFonts w:hint="eastAsia" w:ascii="宋体" w:hAnsi="宋体"/>
          <w:sz w:val="24"/>
          <w:szCs w:val="24"/>
          <w:highlight w:val="none"/>
          <w:lang w:eastAsia="zh-CN"/>
        </w:rPr>
        <w:t>，</w:t>
      </w:r>
      <w:r>
        <w:rPr>
          <w:rFonts w:hint="eastAsia" w:ascii="宋体" w:hAnsi="宋体" w:cs="Times New Roman"/>
          <w:sz w:val="24"/>
          <w:szCs w:val="24"/>
          <w:highlight w:val="none"/>
          <w:lang w:val="en-US" w:eastAsia="zh-CN"/>
        </w:rPr>
        <w:t>如未在投标承诺的工期内完成的，按5000元/天进行处罚</w:t>
      </w:r>
      <w:r>
        <w:rPr>
          <w:rFonts w:hint="eastAsia" w:ascii="宋体" w:hAnsi="宋体"/>
          <w:sz w:val="24"/>
          <w:szCs w:val="24"/>
          <w:highlight w:val="none"/>
          <w:lang w:val="en-US" w:eastAsia="zh-CN"/>
        </w:rPr>
        <w:t>，最高不超过合同价的5%，</w:t>
      </w:r>
      <w:r>
        <w:rPr>
          <w:rFonts w:hint="eastAsia" w:ascii="宋体" w:hAnsi="宋体" w:eastAsia="宋体" w:cs="Times New Roman"/>
          <w:sz w:val="24"/>
          <w:szCs w:val="24"/>
          <w:highlight w:val="none"/>
          <w:lang w:eastAsia="zh-CN"/>
        </w:rPr>
        <w:t>因</w:t>
      </w:r>
      <w:r>
        <w:rPr>
          <w:rFonts w:hint="eastAsia" w:ascii="宋体" w:hAnsi="宋体" w:eastAsia="宋体" w:cs="Times New Roman"/>
          <w:sz w:val="24"/>
          <w:szCs w:val="24"/>
          <w:highlight w:val="none"/>
          <w:lang w:val="en-US" w:eastAsia="zh-CN"/>
        </w:rPr>
        <w:t>采购</w:t>
      </w:r>
      <w:r>
        <w:rPr>
          <w:rFonts w:hint="eastAsia" w:ascii="宋体" w:hAnsi="宋体" w:eastAsia="宋体" w:cs="Times New Roman"/>
          <w:sz w:val="24"/>
          <w:szCs w:val="24"/>
          <w:highlight w:val="none"/>
          <w:lang w:eastAsia="zh-CN"/>
        </w:rPr>
        <w:t>人造成的延期除外</w:t>
      </w:r>
      <w:r>
        <w:rPr>
          <w:rFonts w:hint="eastAsia" w:ascii="宋体" w:hAnsi="宋体" w:eastAsia="宋体" w:cs="Times New Roman"/>
          <w:sz w:val="24"/>
          <w:szCs w:val="24"/>
          <w:highlight w:val="none"/>
        </w:rPr>
        <w:t>。</w:t>
      </w:r>
    </w:p>
    <w:p w14:paraId="6972C435">
      <w:pPr>
        <w:spacing w:line="360" w:lineRule="auto"/>
        <w:ind w:firstLine="240" w:firstLineChars="1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交货地点：</w:t>
      </w:r>
      <w:r>
        <w:rPr>
          <w:rFonts w:hint="eastAsia" w:ascii="宋体" w:hAnsi="宋体"/>
          <w:sz w:val="24"/>
          <w:lang w:eastAsia="zh-CN"/>
        </w:rPr>
        <w:t>桐庐县桐君街道梅蓉村</w:t>
      </w:r>
      <w:r>
        <w:rPr>
          <w:rFonts w:hint="eastAsia" w:ascii="宋体" w:hAnsi="宋体" w:eastAsia="宋体"/>
          <w:sz w:val="24"/>
        </w:rPr>
        <w:t>（具体地点由采购人确定）</w:t>
      </w:r>
      <w:r>
        <w:rPr>
          <w:rFonts w:hint="eastAsia" w:ascii="宋体" w:hAnsi="宋体" w:eastAsia="宋体"/>
          <w:sz w:val="24"/>
          <w:highlight w:val="none"/>
        </w:rPr>
        <w:t>。</w:t>
      </w:r>
    </w:p>
    <w:p w14:paraId="4CD83667">
      <w:pPr>
        <w:spacing w:line="360" w:lineRule="auto"/>
        <w:ind w:firstLine="240" w:firstLineChars="100"/>
        <w:rPr>
          <w:rFonts w:hint="eastAsia" w:ascii="宋体" w:hAnsi="宋体"/>
          <w:color w:val="auto"/>
          <w:sz w:val="24"/>
          <w:highlight w:val="none"/>
          <w:lang w:eastAsia="zh-CN"/>
        </w:rPr>
      </w:pPr>
      <w:r>
        <w:rPr>
          <w:rFonts w:ascii="宋体" w:hAnsi="宋体" w:eastAsia="宋体"/>
          <w:color w:val="auto"/>
          <w:sz w:val="24"/>
          <w:highlight w:val="none"/>
        </w:rPr>
        <w:t>3.</w:t>
      </w:r>
      <w:r>
        <w:rPr>
          <w:rFonts w:hint="eastAsia" w:ascii="宋体" w:hAnsi="宋体" w:eastAsia="宋体"/>
          <w:color w:val="auto"/>
          <w:sz w:val="24"/>
          <w:highlight w:val="none"/>
        </w:rPr>
        <w:t>“报价清单”应当包括</w:t>
      </w:r>
      <w:r>
        <w:rPr>
          <w:rFonts w:hint="eastAsia" w:ascii="宋体" w:hAnsi="宋体"/>
          <w:color w:val="auto"/>
          <w:sz w:val="24"/>
          <w:highlight w:val="none"/>
          <w:lang w:eastAsia="zh-CN"/>
        </w:rPr>
        <w:t>设备费（包括必备的附件）、零配件、水电费、设备预埋件、仓储费、检测费、材料费、人工费、运输费、现场原有设备（家具）等、现场成品保护费、保险费、采购人指定地点的卸货费、就位及安装费、安装材料费、垃圾清运费、开荒保洁费、安装调试费、深化设计费、检验试验费、售后服务、税费、利润等其他一切费用。</w:t>
      </w:r>
    </w:p>
    <w:p w14:paraId="4FB3662E">
      <w:pPr>
        <w:spacing w:line="360" w:lineRule="auto"/>
        <w:ind w:firstLine="240" w:firstLineChars="100"/>
        <w:rPr>
          <w:rFonts w:hint="eastAsia" w:ascii="宋体" w:hAnsi="宋体" w:eastAsia="宋体"/>
          <w:color w:val="FF0000"/>
          <w:sz w:val="24"/>
          <w:szCs w:val="24"/>
          <w:highlight w:val="none"/>
          <w:lang w:val="en-US" w:eastAsia="zh-CN"/>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付款方式</w:t>
      </w:r>
      <w:r>
        <w:rPr>
          <w:rFonts w:hint="eastAsia" w:ascii="宋体" w:hAnsi="宋体"/>
          <w:color w:val="auto"/>
          <w:sz w:val="24"/>
          <w:highlight w:val="none"/>
          <w:lang w:eastAsia="zh-CN"/>
        </w:rPr>
        <w:t>：</w:t>
      </w:r>
      <w:r>
        <w:rPr>
          <w:rFonts w:hint="eastAsia" w:ascii="宋体" w:hAnsi="宋体" w:eastAsia="宋体"/>
          <w:color w:val="auto"/>
          <w:sz w:val="24"/>
          <w:szCs w:val="24"/>
          <w:highlight w:val="none"/>
          <w:lang w:val="en-US" w:eastAsia="zh-CN"/>
        </w:rPr>
        <w:t>合同签订后七个工作日内甲方支付合同总额30%做为预付款，全部货物安装完成并验收合格后支付至合同价的85%，审计结束后支付至审定金额的97.5%，质保期满后无质量问题一个月内结清余款（余款不计息）。</w:t>
      </w:r>
    </w:p>
    <w:p w14:paraId="25C576D0">
      <w:pPr>
        <w:widowControl/>
        <w:spacing w:line="360" w:lineRule="auto"/>
        <w:jc w:val="lef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履约担保的金额：签约合同总价的2%，项目履约验收通过后全额退还履约保证金（不计息）</w:t>
      </w:r>
    </w:p>
    <w:p w14:paraId="369DF6B9">
      <w:pPr>
        <w:pStyle w:val="19"/>
        <w:tabs>
          <w:tab w:val="left" w:pos="4830"/>
        </w:tabs>
        <w:spacing w:line="360" w:lineRule="auto"/>
        <w:rPr>
          <w:rFonts w:hint="eastAsia" w:ascii="宋体" w:hAnsi="宋体" w:eastAsia="宋体"/>
          <w:sz w:val="24"/>
          <w:lang w:eastAsia="zh-CN"/>
        </w:rPr>
      </w:pPr>
      <w:r>
        <w:rPr>
          <w:rFonts w:hint="eastAsia" w:ascii="宋体" w:hAnsi="宋体" w:eastAsia="宋体"/>
          <w:sz w:val="24"/>
          <w:highlight w:val="none"/>
        </w:rPr>
        <w:t>履约担保形式</w:t>
      </w:r>
      <w:r>
        <w:rPr>
          <w:rFonts w:hint="eastAsia" w:ascii="宋体" w:hAnsi="宋体" w:eastAsia="宋体"/>
          <w:sz w:val="24"/>
        </w:rPr>
        <w:t>：</w:t>
      </w:r>
      <w:r>
        <w:rPr>
          <w:rFonts w:hint="eastAsia" w:ascii="宋体" w:hAnsi="宋体" w:eastAsia="宋体"/>
          <w:color w:val="auto"/>
          <w:sz w:val="24"/>
          <w:lang w:val="en-US" w:eastAsia="zh-CN"/>
        </w:rPr>
        <w:t>以</w:t>
      </w:r>
      <w:r>
        <w:rPr>
          <w:rFonts w:hint="eastAsia" w:ascii="宋体" w:hAnsi="宋体" w:eastAsia="宋体"/>
          <w:color w:val="auto"/>
          <w:sz w:val="24"/>
        </w:rPr>
        <w:t>银行转账或银行保函</w:t>
      </w:r>
      <w:r>
        <w:rPr>
          <w:rFonts w:hint="eastAsia" w:ascii="宋体" w:hAnsi="宋体" w:eastAsia="宋体"/>
          <w:color w:val="auto"/>
          <w:sz w:val="24"/>
          <w:lang w:eastAsia="zh-CN"/>
        </w:rPr>
        <w:t>形式提供，(备注:</w:t>
      </w:r>
      <w:r>
        <w:rPr>
          <w:rFonts w:hint="eastAsia" w:ascii="宋体" w:hAnsi="宋体" w:eastAsia="宋体"/>
          <w:color w:val="auto"/>
          <w:sz w:val="24"/>
          <w:lang w:val="en-US" w:eastAsia="zh-CN"/>
        </w:rPr>
        <w:t>中标供应商</w:t>
      </w:r>
      <w:r>
        <w:rPr>
          <w:rFonts w:hint="eastAsia" w:ascii="宋体" w:hAnsi="宋体" w:eastAsia="宋体"/>
          <w:color w:val="auto"/>
          <w:sz w:val="24"/>
          <w:lang w:eastAsia="zh-CN"/>
        </w:rPr>
        <w:t>若向</w:t>
      </w:r>
      <w:r>
        <w:rPr>
          <w:rFonts w:hint="eastAsia" w:ascii="宋体" w:hAnsi="宋体" w:eastAsia="宋体"/>
          <w:color w:val="auto"/>
          <w:sz w:val="24"/>
          <w:lang w:val="en-US" w:eastAsia="zh-CN"/>
        </w:rPr>
        <w:t>采购人</w:t>
      </w:r>
      <w:r>
        <w:rPr>
          <w:rFonts w:hint="eastAsia" w:ascii="宋体" w:hAnsi="宋体" w:eastAsia="宋体"/>
          <w:color w:val="auto"/>
          <w:sz w:val="24"/>
          <w:lang w:eastAsia="zh-CN"/>
        </w:rPr>
        <w:t>提交履约保函,履约保函应为见索即付、不可撤销。如保函担保时间到期，</w:t>
      </w:r>
      <w:r>
        <w:rPr>
          <w:rFonts w:hint="eastAsia" w:ascii="宋体" w:hAnsi="宋体" w:eastAsia="宋体"/>
          <w:color w:val="auto"/>
          <w:sz w:val="24"/>
          <w:lang w:val="en-US" w:eastAsia="zh-CN"/>
        </w:rPr>
        <w:t>到期延期）</w:t>
      </w:r>
      <w:r>
        <w:rPr>
          <w:rFonts w:hint="eastAsia" w:ascii="宋体" w:hAnsi="宋体" w:eastAsia="宋体"/>
          <w:color w:val="auto"/>
          <w:sz w:val="24"/>
          <w:lang w:eastAsia="zh-CN"/>
        </w:rPr>
        <w:t>。</w:t>
      </w:r>
    </w:p>
    <w:p w14:paraId="208220E5">
      <w:pPr>
        <w:snapToGrid w:val="0"/>
        <w:spacing w:line="360" w:lineRule="auto"/>
        <w:ind w:firstLine="426"/>
        <w:rPr>
          <w:rFonts w:ascii="宋体" w:hAnsi="宋体" w:eastAsia="宋体"/>
          <w:b/>
          <w:sz w:val="24"/>
          <w:highlight w:val="none"/>
        </w:rPr>
      </w:pPr>
      <w:r>
        <w:rPr>
          <w:rFonts w:hint="eastAsia" w:ascii="宋体" w:hAnsi="宋体" w:eastAsia="宋体"/>
          <w:b/>
          <w:sz w:val="24"/>
          <w:highlight w:val="none"/>
        </w:rPr>
        <w:t>特别注意事项：</w:t>
      </w:r>
    </w:p>
    <w:p w14:paraId="3DAF433A">
      <w:pPr>
        <w:spacing w:line="360" w:lineRule="auto"/>
        <w:ind w:firstLine="240" w:firstLineChars="10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、本项目的综合单价应包括所供清单项目的</w:t>
      </w:r>
      <w:r>
        <w:rPr>
          <w:rFonts w:hint="eastAsia" w:ascii="宋体" w:hAnsi="宋体"/>
          <w:color w:val="auto"/>
          <w:sz w:val="24"/>
          <w:highlight w:val="none"/>
          <w:lang w:eastAsia="zh-CN"/>
        </w:rPr>
        <w:t>设备费（包括必备的附件）、零配件、水电费、设备预埋件、仓储费、检测费、材料费、人工费、运输费、现场原有设备（家具）等、现场成品保护费、保险费、采购人指定地点的卸货费、就位及安装费、安装材料费、垃圾清运费、开荒保洁费、安装调试费、深化设计费、检验试验费、售后服务、税费、利润等其他一切费用。</w:t>
      </w:r>
    </w:p>
    <w:p w14:paraId="12F886CB">
      <w:pPr>
        <w:spacing w:line="360" w:lineRule="auto"/>
        <w:ind w:firstLine="240" w:firstLineChars="1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、本项目为交钥匙项目，由投标单位自行供货并负责安装、调试、协助验收并承担质保期内的维修费用。安装用的所有材料费、安装调试费及质保期内的维修费、材料费应全部包含在综合单价中。</w:t>
      </w:r>
    </w:p>
    <w:p w14:paraId="636E8B6D">
      <w:pPr>
        <w:spacing w:line="360" w:lineRule="auto"/>
        <w:ind w:firstLine="240" w:firstLineChars="1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、本项目安装须发生的措施费由投标人综合考虑，并将其全部体现在综合单价中，今后不得调整。</w:t>
      </w:r>
    </w:p>
    <w:p w14:paraId="48E6C702">
      <w:pPr>
        <w:spacing w:line="360" w:lineRule="auto"/>
        <w:ind w:firstLine="240" w:firstLineChars="100"/>
        <w:rPr>
          <w:rFonts w:ascii="宋体" w:hAnsi="宋体" w:eastAsia="宋体"/>
          <w:sz w:val="24"/>
          <w:highlight w:val="none"/>
        </w:rPr>
      </w:pPr>
      <w:r>
        <w:rPr>
          <w:rFonts w:ascii="宋体" w:hAnsi="宋体" w:eastAsia="宋体"/>
          <w:sz w:val="24"/>
          <w:highlight w:val="none"/>
        </w:rPr>
        <w:t>4</w:t>
      </w:r>
      <w:r>
        <w:rPr>
          <w:rFonts w:hint="eastAsia" w:ascii="宋体" w:hAnsi="宋体" w:eastAsia="宋体"/>
          <w:sz w:val="24"/>
          <w:highlight w:val="none"/>
        </w:rPr>
        <w:t>、本项目采购文件及采购清单中未明确，但加工及安装工艺要求的工作内容所需费用由投标人在相应综合单价中综合考虑，以后不得调整。</w:t>
      </w:r>
    </w:p>
    <w:p w14:paraId="40481850">
      <w:pPr>
        <w:spacing w:line="360" w:lineRule="auto"/>
        <w:ind w:firstLine="240" w:firstLineChars="100"/>
        <w:rPr>
          <w:rFonts w:ascii="宋体" w:hAnsi="宋体" w:eastAsia="宋体"/>
          <w:sz w:val="24"/>
          <w:highlight w:val="none"/>
        </w:rPr>
      </w:pPr>
      <w:r>
        <w:rPr>
          <w:rFonts w:ascii="宋体" w:hAnsi="宋体" w:eastAsia="宋体"/>
          <w:sz w:val="24"/>
          <w:highlight w:val="none"/>
        </w:rPr>
        <w:t>5</w:t>
      </w:r>
      <w:r>
        <w:rPr>
          <w:rFonts w:hint="eastAsia" w:ascii="宋体" w:hAnsi="宋体" w:eastAsia="宋体"/>
          <w:sz w:val="24"/>
          <w:highlight w:val="none"/>
        </w:rPr>
        <w:t>、本项目在验收中，如采购人对产品质量有异议，有权对产品的相关材质、质量、环保性能数据等进行复检，经检验不合格，复检费用仍由中标人承担。产品检验不通过，投标人应无条件退货，由此造成的损失由投标人负责，采购人保留追究的权利。</w:t>
      </w:r>
    </w:p>
    <w:p w14:paraId="7FD4378C">
      <w:pPr>
        <w:spacing w:line="360" w:lineRule="auto"/>
        <w:ind w:firstLine="240" w:firstLineChars="100"/>
        <w:rPr>
          <w:rFonts w:hint="eastAsia" w:ascii="宋体" w:hAnsi="宋体" w:eastAsia="宋体"/>
          <w:sz w:val="24"/>
          <w:highlight w:val="none"/>
        </w:rPr>
      </w:pPr>
      <w:r>
        <w:rPr>
          <w:rFonts w:ascii="宋体" w:hAnsi="宋体" w:eastAsia="宋体"/>
          <w:sz w:val="24"/>
          <w:highlight w:val="none"/>
        </w:rPr>
        <w:t>6</w:t>
      </w:r>
      <w:r>
        <w:rPr>
          <w:rFonts w:hint="eastAsia" w:ascii="宋体" w:hAnsi="宋体" w:eastAsia="宋体"/>
          <w:sz w:val="24"/>
          <w:highlight w:val="none"/>
        </w:rPr>
        <w:t>、以上设备要求完全供货，所有器材均要符合国家相关行业规范要求。</w:t>
      </w:r>
    </w:p>
    <w:p w14:paraId="72F7EF05">
      <w:pPr>
        <w:spacing w:line="360" w:lineRule="auto"/>
        <w:ind w:firstLine="240" w:firstLineChars="100"/>
        <w:rPr>
          <w:rFonts w:hint="eastAsia" w:ascii="宋体" w:hAnsi="宋体"/>
          <w:b w:val="0"/>
          <w:bCs/>
          <w:color w:val="auto"/>
          <w:sz w:val="24"/>
          <w:highlight w:val="none"/>
          <w:lang w:eastAsia="zh-CN"/>
        </w:rPr>
      </w:pPr>
      <w:r>
        <w:rPr>
          <w:rFonts w:hint="eastAsia" w:ascii="宋体" w:hAnsi="宋体" w:eastAsia="宋体"/>
          <w:color w:val="auto"/>
          <w:sz w:val="24"/>
          <w:highlight w:val="none"/>
        </w:rPr>
        <w:t>7、</w:t>
      </w:r>
      <w:r>
        <w:rPr>
          <w:rFonts w:hint="eastAsia" w:ascii="宋体" w:hAnsi="宋体" w:eastAsia="宋体"/>
          <w:b w:val="0"/>
          <w:bCs/>
          <w:color w:val="auto"/>
          <w:sz w:val="24"/>
          <w:highlight w:val="none"/>
        </w:rPr>
        <w:t>最终采购数量以采购人实际需求数量为准，最终结算价按综合单价乘实际采购数量计算（综合单价包含</w:t>
      </w:r>
      <w:r>
        <w:rPr>
          <w:rFonts w:hint="eastAsia" w:ascii="宋体" w:hAnsi="宋体"/>
          <w:b w:val="0"/>
          <w:bCs/>
          <w:color w:val="auto"/>
          <w:sz w:val="24"/>
          <w:highlight w:val="none"/>
          <w:lang w:eastAsia="zh-CN"/>
        </w:rPr>
        <w:t>设备费（包括必备的附件）、零配件、水电费、设备预埋件、仓储费、检测费、材料费、人工费、运输费、现场原有设备（家具）等、现场成品保护费、保险费、采购人指定地点的卸货费、就位及安装费、安装材料费、垃圾清运费、开荒保洁费、安装调试费、深化设计费、检验试验费、售后服务、税费、利润等其他一切费用</w:t>
      </w:r>
      <w:r>
        <w:rPr>
          <w:rFonts w:hint="eastAsia" w:ascii="宋体" w:hAnsi="宋体" w:eastAsia="宋体"/>
          <w:b w:val="0"/>
          <w:bCs/>
          <w:color w:val="auto"/>
          <w:sz w:val="24"/>
          <w:highlight w:val="none"/>
        </w:rPr>
        <w:t>）</w:t>
      </w:r>
      <w:r>
        <w:rPr>
          <w:rFonts w:hint="eastAsia" w:ascii="宋体" w:hAnsi="宋体"/>
          <w:b w:val="0"/>
          <w:bCs/>
          <w:color w:val="auto"/>
          <w:sz w:val="24"/>
          <w:highlight w:val="none"/>
          <w:lang w:eastAsia="zh-CN"/>
        </w:rPr>
        <w:t>。</w:t>
      </w:r>
    </w:p>
    <w:p w14:paraId="56DDB524">
      <w:pPr>
        <w:spacing w:line="360" w:lineRule="auto"/>
        <w:ind w:firstLine="240" w:firstLineChars="100"/>
        <w:rPr>
          <w:rFonts w:hint="eastAsia" w:ascii="宋体" w:hAnsi="宋体" w:eastAsia="宋体" w:cs="Times New Roman"/>
          <w:color w:val="auto"/>
          <w:sz w:val="24"/>
          <w:szCs w:val="24"/>
          <w:highlight w:val="none"/>
          <w:lang w:val="en-US" w:eastAsia="zh-CN"/>
        </w:rPr>
      </w:pPr>
      <w:r>
        <w:rPr>
          <w:rFonts w:hint="eastAsia" w:ascii="宋体" w:hAnsi="宋体" w:cs="Times New Roman"/>
          <w:b w:val="0"/>
          <w:bCs/>
          <w:color w:val="auto"/>
          <w:sz w:val="24"/>
          <w:highlight w:val="none"/>
          <w:lang w:val="en-US" w:eastAsia="zh-CN"/>
        </w:rPr>
        <w:t>8</w:t>
      </w:r>
      <w:r>
        <w:rPr>
          <w:rFonts w:hint="eastAsia" w:ascii="宋体" w:hAnsi="宋体" w:eastAsia="宋体" w:cs="Times New Roman"/>
          <w:b w:val="0"/>
          <w:bCs/>
          <w:color w:val="auto"/>
          <w:sz w:val="24"/>
          <w:highlight w:val="none"/>
          <w:lang w:val="en-US" w:eastAsia="zh-CN"/>
        </w:rPr>
        <w:t>、</w:t>
      </w:r>
      <w:r>
        <w:rPr>
          <w:rFonts w:hint="eastAsia" w:ascii="宋体" w:hAnsi="宋体" w:eastAsia="宋体" w:cs="Times New Roman"/>
          <w:color w:val="auto"/>
          <w:sz w:val="24"/>
          <w:szCs w:val="24"/>
          <w:highlight w:val="none"/>
          <w:lang w:val="en-US" w:eastAsia="zh-CN"/>
        </w:rPr>
        <w:t>中标人需要在项目验收前进行室内环境污染检测，检测结果应符合相关国家标准规定。如未达到合格标准，由中标人负责治理合格。</w:t>
      </w:r>
    </w:p>
    <w:p w14:paraId="5D1C1124">
      <w:pPr>
        <w:spacing w:line="360" w:lineRule="auto"/>
        <w:ind w:firstLine="240" w:firstLineChars="100"/>
        <w:rPr>
          <w:rFonts w:hint="eastAsia" w:ascii="宋体" w:hAnsi="宋体"/>
          <w:b w:val="0"/>
          <w:bCs/>
          <w:color w:val="auto"/>
          <w:sz w:val="24"/>
          <w:highlight w:val="none"/>
          <w:lang w:eastAsia="zh-CN"/>
        </w:rPr>
        <w:sectPr>
          <w:headerReference r:id="rId12" w:type="default"/>
          <w:footerReference r:id="rId13" w:type="default"/>
          <w:pgSz w:w="11910" w:h="16840"/>
          <w:pgMar w:top="1134" w:right="1344" w:bottom="1134" w:left="1304" w:header="0" w:footer="993" w:gutter="0"/>
          <w:cols w:space="0" w:num="1"/>
        </w:sectPr>
      </w:pPr>
    </w:p>
    <w:p w14:paraId="463CC1E6">
      <w:pPr>
        <w:pStyle w:val="31"/>
        <w:numPr>
          <w:ilvl w:val="0"/>
          <w:numId w:val="8"/>
        </w:numPr>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投标人须知</w:t>
      </w:r>
    </w:p>
    <w:p w14:paraId="58E88ECF">
      <w:pPr>
        <w:pStyle w:val="31"/>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3"/>
        <w:tblW w:w="9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068"/>
      </w:tblGrid>
      <w:tr w14:paraId="6D40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2" w:type="dxa"/>
            <w:vAlign w:val="center"/>
          </w:tcPr>
          <w:p w14:paraId="1784A26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9068" w:type="dxa"/>
            <w:vAlign w:val="center"/>
          </w:tcPr>
          <w:p w14:paraId="0F998354">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内容、要求</w:t>
            </w:r>
          </w:p>
        </w:tc>
      </w:tr>
      <w:tr w14:paraId="14A1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2" w:type="dxa"/>
            <w:vAlign w:val="center"/>
          </w:tcPr>
          <w:p w14:paraId="47665819">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068" w:type="dxa"/>
            <w:vAlign w:val="center"/>
          </w:tcPr>
          <w:p w14:paraId="26B51758">
            <w:pPr>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eastAsia="zh-CN"/>
              </w:rPr>
              <w:t>梅蓉逸宿提升改造工程厨房设备采购项目</w:t>
            </w:r>
          </w:p>
        </w:tc>
      </w:tr>
      <w:tr w14:paraId="33AA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2" w:type="dxa"/>
            <w:vAlign w:val="center"/>
          </w:tcPr>
          <w:p w14:paraId="7C34F43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068" w:type="dxa"/>
            <w:vAlign w:val="center"/>
          </w:tcPr>
          <w:p w14:paraId="10B858E9">
            <w:pPr>
              <w:rPr>
                <w:rFonts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14:paraId="1CD2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2" w:type="dxa"/>
            <w:vAlign w:val="center"/>
          </w:tcPr>
          <w:p w14:paraId="24A8396D">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068" w:type="dxa"/>
            <w:vAlign w:val="center"/>
          </w:tcPr>
          <w:p w14:paraId="11D8C8E6">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14:paraId="63E0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2" w:type="dxa"/>
            <w:vAlign w:val="center"/>
          </w:tcPr>
          <w:p w14:paraId="7482C5FE">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068" w:type="dxa"/>
            <w:vAlign w:val="center"/>
          </w:tcPr>
          <w:p w14:paraId="3471E56B">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投标保证金：按照采购公告要求交纳。</w:t>
            </w:r>
          </w:p>
        </w:tc>
      </w:tr>
      <w:tr w14:paraId="45D4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2" w:type="dxa"/>
            <w:vAlign w:val="center"/>
          </w:tcPr>
          <w:p w14:paraId="7F2181D0">
            <w:pPr>
              <w:snapToGrid w:val="0"/>
              <w:jc w:val="center"/>
              <w:rPr>
                <w:rFonts w:asciiTheme="minorEastAsia" w:hAnsiTheme="minorEastAsia" w:eastAsiaTheme="minorEastAsia"/>
                <w:color w:val="000000"/>
                <w:sz w:val="24"/>
              </w:rPr>
            </w:pPr>
            <w:r>
              <w:rPr>
                <w:rFonts w:hint="eastAsia" w:asciiTheme="minorEastAsia" w:hAnsiTheme="minorEastAsia" w:eastAsiaTheme="minorEastAsia"/>
                <w:sz w:val="24"/>
              </w:rPr>
              <w:t>5</w:t>
            </w:r>
          </w:p>
        </w:tc>
        <w:tc>
          <w:tcPr>
            <w:tcW w:w="9068" w:type="dxa"/>
            <w:vAlign w:val="center"/>
          </w:tcPr>
          <w:p w14:paraId="68A34190">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答疑与澄清：投标人如认为招标文件表述不清晰、存在歧视性或者其他违法内容的，应当于</w:t>
            </w:r>
            <w:r>
              <w:rPr>
                <w:rFonts w:hint="eastAsia" w:asciiTheme="minorEastAsia" w:hAnsiTheme="minorEastAsia" w:eastAsiaTheme="minorEastAsia"/>
                <w:b/>
                <w:color w:val="FF0000"/>
                <w:sz w:val="24"/>
              </w:rPr>
              <w:t>202</w:t>
            </w:r>
            <w:r>
              <w:rPr>
                <w:rFonts w:hint="eastAsia" w:asciiTheme="minorEastAsia" w:hAnsiTheme="minorEastAsia" w:eastAsiaTheme="minorEastAsia"/>
                <w:b/>
                <w:color w:val="FF0000"/>
                <w:sz w:val="24"/>
                <w:lang w:val="en-US" w:eastAsia="zh-CN"/>
              </w:rPr>
              <w:t>4</w:t>
            </w:r>
            <w:r>
              <w:rPr>
                <w:rFonts w:hint="eastAsia" w:asciiTheme="minorEastAsia" w:hAnsiTheme="minorEastAsia" w:eastAsiaTheme="minorEastAsia"/>
                <w:b/>
                <w:color w:val="FF0000"/>
                <w:sz w:val="24"/>
              </w:rPr>
              <w:t>年</w:t>
            </w:r>
            <w:r>
              <w:rPr>
                <w:rFonts w:hint="eastAsia" w:asciiTheme="minorEastAsia" w:hAnsiTheme="minorEastAsia" w:eastAsiaTheme="minorEastAsia"/>
                <w:b/>
                <w:color w:val="FF0000"/>
                <w:sz w:val="24"/>
                <w:lang w:val="en-US" w:eastAsia="zh-CN"/>
              </w:rPr>
              <w:t>12</w:t>
            </w:r>
            <w:r>
              <w:rPr>
                <w:rFonts w:hint="eastAsia" w:asciiTheme="minorEastAsia" w:hAnsiTheme="minorEastAsia" w:eastAsiaTheme="minorEastAsia"/>
                <w:b/>
                <w:color w:val="FF0000"/>
                <w:sz w:val="24"/>
              </w:rPr>
              <w:t>月</w:t>
            </w:r>
            <w:r>
              <w:rPr>
                <w:rFonts w:hint="eastAsia" w:asciiTheme="minorEastAsia" w:hAnsiTheme="minorEastAsia" w:eastAsiaTheme="minorEastAsia"/>
                <w:b/>
                <w:color w:val="FF0000"/>
                <w:sz w:val="24"/>
                <w:lang w:val="en-US" w:eastAsia="zh-CN"/>
              </w:rPr>
              <w:t>26</w:t>
            </w:r>
            <w:r>
              <w:rPr>
                <w:rFonts w:hint="eastAsia" w:asciiTheme="minorEastAsia" w:hAnsiTheme="minorEastAsia" w:eastAsiaTheme="minorEastAsia"/>
                <w:b/>
                <w:color w:val="FF0000"/>
                <w:sz w:val="24"/>
              </w:rPr>
              <w:t>日</w:t>
            </w:r>
            <w:r>
              <w:rPr>
                <w:rFonts w:hint="eastAsia" w:asciiTheme="minorEastAsia" w:hAnsiTheme="minorEastAsia" w:eastAsiaTheme="minorEastAsia"/>
                <w:b/>
                <w:color w:val="FF0000"/>
                <w:sz w:val="24"/>
                <w:lang w:val="en-US" w:eastAsia="zh-CN"/>
              </w:rPr>
              <w:t>16</w:t>
            </w:r>
            <w:r>
              <w:rPr>
                <w:rFonts w:hint="eastAsia" w:asciiTheme="minorEastAsia" w:hAnsiTheme="minorEastAsia" w:eastAsiaTheme="minorEastAsia"/>
                <w:b/>
                <w:color w:val="FF0000"/>
                <w:sz w:val="24"/>
              </w:rPr>
              <w:t>时</w:t>
            </w:r>
            <w:r>
              <w:rPr>
                <w:rFonts w:hint="eastAsia" w:asciiTheme="minorEastAsia" w:hAnsiTheme="minorEastAsia" w:eastAsiaTheme="minorEastAsia"/>
                <w:sz w:val="24"/>
              </w:rPr>
              <w:t>前，以书面形式要求采购机构或采购人作出书面解释、澄清或者向采购机构提出书面质疑，逾期不再受理；如有投标人提出质疑的，采购机构视情况将以答复；答疑内容是招标文件的组成部分，将在提交投标文件截止时间15日前，</w:t>
            </w:r>
            <w:r>
              <w:rPr>
                <w:rFonts w:hint="eastAsia" w:asciiTheme="minorEastAsia" w:hAnsiTheme="minorEastAsia" w:eastAsiaTheme="minorEastAsia"/>
                <w:sz w:val="24"/>
                <w:highlight w:val="yellow"/>
              </w:rPr>
              <w:t>在项目发布招标公告的网站上发布更正公告，</w:t>
            </w:r>
            <w:r>
              <w:rPr>
                <w:rFonts w:hint="eastAsia" w:asciiTheme="minorEastAsia" w:hAnsiTheme="minorEastAsia" w:eastAsiaTheme="minorEastAsia"/>
                <w:sz w:val="24"/>
              </w:rPr>
              <w:t>请投标人自行到网上查看和下载，投标人因漏看带来的后果由投标人自行承担。</w:t>
            </w:r>
          </w:p>
        </w:tc>
      </w:tr>
      <w:tr w14:paraId="08C8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39ECF8E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068" w:type="dxa"/>
            <w:vAlign w:val="center"/>
          </w:tcPr>
          <w:p w14:paraId="430CF811">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asciiTheme="minorEastAsia" w:hAnsiTheme="minorEastAsia" w:eastAsiaTheme="minorEastAsia"/>
                <w:b/>
                <w:bCs/>
                <w:sz w:val="24"/>
              </w:rPr>
              <w:t>“资格文件”“</w:t>
            </w:r>
            <w:r>
              <w:rPr>
                <w:rFonts w:hint="eastAsia" w:asciiTheme="minorEastAsia" w:hAnsiTheme="minorEastAsia" w:eastAsiaTheme="minorEastAsia"/>
                <w:b/>
                <w:bCs/>
                <w:sz w:val="24"/>
                <w:lang w:eastAsia="zh-CN"/>
              </w:rPr>
              <w:t>技术及商务</w:t>
            </w:r>
            <w:r>
              <w:rPr>
                <w:rFonts w:hint="eastAsia" w:asciiTheme="minorEastAsia" w:hAnsiTheme="minorEastAsia" w:eastAsiaTheme="minorEastAsia"/>
                <w:b/>
                <w:bCs/>
                <w:sz w:val="24"/>
              </w:rPr>
              <w:t>文件”和“报价文件”</w:t>
            </w:r>
            <w:r>
              <w:rPr>
                <w:rFonts w:hint="eastAsia" w:asciiTheme="minorEastAsia" w:hAnsiTheme="minorEastAsia" w:eastAsiaTheme="minorEastAsia"/>
                <w:color w:val="000000"/>
                <w:sz w:val="24"/>
              </w:rPr>
              <w:t>三部分组成。</w:t>
            </w:r>
          </w:p>
        </w:tc>
      </w:tr>
      <w:tr w14:paraId="6365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005349E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068" w:type="dxa"/>
            <w:vAlign w:val="center"/>
          </w:tcPr>
          <w:p w14:paraId="570DA636">
            <w:pPr>
              <w:autoSpaceDE w:val="0"/>
              <w:autoSpaceDN w:val="0"/>
              <w:snapToGrid w:val="0"/>
              <w:textAlignment w:val="bottom"/>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tc>
      </w:tr>
      <w:tr w14:paraId="3A88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2" w:type="dxa"/>
            <w:vAlign w:val="center"/>
          </w:tcPr>
          <w:p w14:paraId="675A2501">
            <w:pPr>
              <w:snapToGrid w:val="0"/>
              <w:jc w:val="center"/>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8</w:t>
            </w:r>
          </w:p>
        </w:tc>
        <w:tc>
          <w:tcPr>
            <w:tcW w:w="9068" w:type="dxa"/>
            <w:vAlign w:val="center"/>
          </w:tcPr>
          <w:p w14:paraId="5AB22150">
            <w:pPr>
              <w:snapToGrid w:val="0"/>
              <w:spacing w:line="360" w:lineRule="auto"/>
              <w:rPr>
                <w:rFonts w:ascii="宋体" w:hAnsi="宋体" w:cs="宋体"/>
                <w:sz w:val="24"/>
              </w:rPr>
            </w:pPr>
            <w:r>
              <w:rPr>
                <w:rFonts w:hint="eastAsia" w:ascii="宋体" w:hAnsi="宋体" w:cs="宋体"/>
                <w:sz w:val="24"/>
              </w:rPr>
              <w:t>本项目实行网上电子招投标。</w:t>
            </w:r>
            <w:r>
              <w:rPr>
                <w:rFonts w:hint="eastAsia" w:ascii="宋体" w:hAnsi="宋体" w:cs="宋体"/>
                <w:sz w:val="24"/>
              </w:rPr>
              <w:cr/>
            </w:r>
            <w:r>
              <w:rPr>
                <w:rFonts w:hint="eastAsia" w:ascii="宋体" w:hAnsi="宋体" w:cs="宋体"/>
                <w:sz w:val="24"/>
              </w:rPr>
              <w:t>供应商应准备电子投标文件、备份投标文件二类（</w:t>
            </w:r>
            <w:r>
              <w:rPr>
                <w:rFonts w:hint="eastAsia" w:ascii="宋体" w:hAnsi="宋体" w:cs="宋体"/>
                <w:b/>
                <w:sz w:val="24"/>
              </w:rPr>
              <w:t>采购人、采购代理机构不强制或变相强制投标人提交备份投标文件</w:t>
            </w:r>
            <w:r>
              <w:rPr>
                <w:rFonts w:hint="eastAsia" w:ascii="宋体" w:hAnsi="宋体" w:cs="宋体"/>
                <w:sz w:val="24"/>
              </w:rPr>
              <w:t>）：</w:t>
            </w:r>
            <w:r>
              <w:rPr>
                <w:rFonts w:hint="eastAsia" w:ascii="宋体" w:hAnsi="宋体" w:cs="宋体"/>
                <w:sz w:val="24"/>
              </w:rPr>
              <w:cr/>
            </w:r>
            <w:r>
              <w:rPr>
                <w:rFonts w:hint="eastAsia" w:ascii="宋体" w:hAnsi="宋体" w:cs="宋体"/>
                <w:sz w:val="24"/>
              </w:rPr>
              <w:t>（1）电子投标文件，按</w:t>
            </w:r>
            <w:r>
              <w:rPr>
                <w:rFonts w:hint="eastAsia" w:ascii="宋体" w:hAnsi="宋体" w:cs="宋体"/>
                <w:sz w:val="24"/>
                <w:lang w:val="en-US" w:eastAsia="zh-CN"/>
              </w:rPr>
              <w:t>乐</w:t>
            </w:r>
            <w:r>
              <w:rPr>
                <w:rFonts w:hint="eastAsia" w:ascii="宋体" w:hAnsi="宋体" w:cs="宋体"/>
                <w:sz w:val="24"/>
              </w:rPr>
              <w:t>采云平台项目采购-电子招投标操作指南及本招标文件要求递交。</w:t>
            </w:r>
            <w:r>
              <w:rPr>
                <w:rFonts w:hint="eastAsia" w:ascii="宋体" w:hAnsi="宋体" w:cs="宋体"/>
                <w:sz w:val="24"/>
              </w:rPr>
              <w:cr/>
            </w:r>
            <w:r>
              <w:rPr>
                <w:rFonts w:hint="eastAsia" w:ascii="宋体" w:hAnsi="宋体" w:cs="宋体"/>
                <w:sz w:val="24"/>
              </w:rPr>
              <w:t>（2）备份投标文件，以（邮寄形式）在投标截止时间前递交以介质（U盘）存储的数据电文形式的“备份投标文件”，“备份投标文件”应当密封包装并在包装上标注投标项目名称、投标单位名称并加盖公章。数量为1份。</w:t>
            </w:r>
          </w:p>
          <w:p w14:paraId="5B707A23">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（邮寄地址：桐庐县迎春南路88号桦桐大厦20楼</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lang w:val="en-US" w:eastAsia="zh-CN"/>
              </w:rPr>
              <w:t>收件人：许洪，联系电话：15868177628</w:t>
            </w:r>
            <w:r>
              <w:rPr>
                <w:rFonts w:hint="eastAsia" w:asciiTheme="minorEastAsia" w:hAnsiTheme="minorEastAsia" w:eastAsiaTheme="minorEastAsia"/>
                <w:color w:val="000000"/>
                <w:sz w:val="24"/>
              </w:rPr>
              <w:t>收）</w:t>
            </w:r>
            <w:r>
              <w:rPr>
                <w:rFonts w:hint="eastAsia" w:ascii="宋体" w:hAnsi="宋体" w:cs="宋体"/>
                <w:sz w:val="24"/>
              </w:rPr>
              <w:t>收件时间应在投标截止时间2小时前，逾期送达和收件将被拒收。</w:t>
            </w:r>
          </w:p>
        </w:tc>
      </w:tr>
      <w:tr w14:paraId="5116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2" w:type="dxa"/>
            <w:vAlign w:val="center"/>
          </w:tcPr>
          <w:p w14:paraId="7F4D697C">
            <w:pPr>
              <w:snapToGrid w:val="0"/>
              <w:jc w:val="center"/>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9</w:t>
            </w:r>
          </w:p>
        </w:tc>
        <w:tc>
          <w:tcPr>
            <w:tcW w:w="9068" w:type="dxa"/>
            <w:vAlign w:val="center"/>
          </w:tcPr>
          <w:p w14:paraId="4C292326">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投标截止时间：</w:t>
            </w:r>
            <w:r>
              <w:rPr>
                <w:rFonts w:hint="eastAsia" w:asciiTheme="minorEastAsia" w:hAnsiTheme="minorEastAsia" w:eastAsiaTheme="minorEastAsia"/>
                <w:b/>
                <w:bCs/>
                <w:color w:val="FF0000"/>
                <w:sz w:val="24"/>
                <w:lang w:eastAsia="zh-CN"/>
              </w:rPr>
              <w:t>2025年01月10日09时30分</w:t>
            </w:r>
            <w:r>
              <w:rPr>
                <w:rFonts w:hint="eastAsia" w:asciiTheme="minorEastAsia" w:hAnsiTheme="minorEastAsia" w:eastAsiaTheme="minorEastAsia"/>
                <w:sz w:val="24"/>
              </w:rPr>
              <w:t>。</w:t>
            </w:r>
          </w:p>
          <w:p w14:paraId="0FA44EDB">
            <w:pPr>
              <w:snapToGrid w:val="0"/>
              <w:spacing w:line="360" w:lineRule="auto"/>
              <w:rPr>
                <w:rFonts w:asciiTheme="minorEastAsia" w:hAnsiTheme="minorEastAsia" w:eastAsiaTheme="minorEastAsia"/>
                <w:color w:val="000000"/>
                <w:sz w:val="24"/>
              </w:rPr>
            </w:pPr>
            <w:r>
              <w:rPr>
                <w:rFonts w:hint="eastAsia" w:cs="华文中宋" w:asciiTheme="minorEastAsia" w:hAnsiTheme="minorEastAsia" w:eastAsiaTheme="minorEastAsia"/>
                <w:color w:val="FF0000"/>
                <w:sz w:val="24"/>
              </w:rPr>
              <w:t>通过</w:t>
            </w:r>
            <w:r>
              <w:rPr>
                <w:rFonts w:hint="eastAsia" w:cs="华文中宋" w:asciiTheme="minorEastAsia" w:hAnsiTheme="minorEastAsia" w:eastAsiaTheme="minorEastAsia"/>
                <w:color w:val="FF0000"/>
                <w:sz w:val="24"/>
                <w:lang w:val="en-US" w:eastAsia="zh-CN"/>
              </w:rPr>
              <w:t>乐采云</w:t>
            </w:r>
            <w:r>
              <w:rPr>
                <w:rFonts w:hint="eastAsia" w:cs="华文中宋" w:asciiTheme="minorEastAsia" w:hAnsiTheme="minorEastAsia" w:eastAsiaTheme="minorEastAsia"/>
                <w:color w:val="FF0000"/>
                <w:sz w:val="24"/>
              </w:rPr>
              <w:t>平台实行在线投标响应。</w:t>
            </w:r>
          </w:p>
        </w:tc>
      </w:tr>
      <w:tr w14:paraId="0446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 w:type="dxa"/>
            <w:vAlign w:val="center"/>
          </w:tcPr>
          <w:p w14:paraId="620EFE97">
            <w:pPr>
              <w:snapToGrid w:val="0"/>
              <w:jc w:val="center"/>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0</w:t>
            </w:r>
          </w:p>
        </w:tc>
        <w:tc>
          <w:tcPr>
            <w:tcW w:w="9068" w:type="dxa"/>
            <w:vAlign w:val="center"/>
          </w:tcPr>
          <w:p w14:paraId="41CA8DDE">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开标时间及地点：</w:t>
            </w:r>
            <w:r>
              <w:rPr>
                <w:rFonts w:hint="eastAsia" w:cs="Arial" w:asciiTheme="minorEastAsia" w:hAnsiTheme="minorEastAsia" w:eastAsiaTheme="minorEastAsia"/>
                <w:sz w:val="24"/>
              </w:rPr>
              <w:t>本次招标将于</w:t>
            </w:r>
            <w:r>
              <w:rPr>
                <w:rFonts w:hint="eastAsia" w:asciiTheme="minorEastAsia" w:hAnsiTheme="minorEastAsia" w:eastAsiaTheme="minorEastAsia"/>
                <w:b/>
                <w:bCs/>
                <w:color w:val="FF0000"/>
                <w:sz w:val="24"/>
                <w:lang w:eastAsia="zh-CN"/>
              </w:rPr>
              <w:t>2025年01月10日09时30分</w:t>
            </w:r>
            <w:r>
              <w:rPr>
                <w:rFonts w:hint="eastAsia" w:cs="Arial" w:asciiTheme="minorEastAsia" w:hAnsiTheme="minorEastAsia" w:eastAsiaTheme="minorEastAsia"/>
                <w:sz w:val="24"/>
                <w:lang w:val="en-US" w:eastAsia="zh-CN"/>
              </w:rPr>
              <w:t>乐采</w:t>
            </w:r>
            <w:r>
              <w:rPr>
                <w:rFonts w:hint="eastAsia" w:cs="Arial" w:asciiTheme="minorEastAsia" w:hAnsiTheme="minorEastAsia" w:eastAsiaTheme="minorEastAsia"/>
                <w:sz w:val="24"/>
              </w:rPr>
              <w:t>云在线开标。</w:t>
            </w:r>
          </w:p>
        </w:tc>
      </w:tr>
      <w:tr w14:paraId="3306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2" w:type="dxa"/>
            <w:vAlign w:val="center"/>
          </w:tcPr>
          <w:p w14:paraId="4E63EE37">
            <w:pPr>
              <w:snapToGrid w:val="0"/>
              <w:jc w:val="center"/>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1</w:t>
            </w:r>
          </w:p>
        </w:tc>
        <w:tc>
          <w:tcPr>
            <w:tcW w:w="9068" w:type="dxa"/>
            <w:vAlign w:val="center"/>
          </w:tcPr>
          <w:p w14:paraId="75929D59">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评标办法及标准：按照招标文件评标办法及评分标准。</w:t>
            </w:r>
          </w:p>
        </w:tc>
      </w:tr>
      <w:tr w14:paraId="51EE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2" w:type="dxa"/>
            <w:vAlign w:val="center"/>
          </w:tcPr>
          <w:p w14:paraId="3FBB1800">
            <w:pPr>
              <w:snapToGrid w:val="0"/>
              <w:jc w:val="center"/>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2</w:t>
            </w:r>
          </w:p>
        </w:tc>
        <w:tc>
          <w:tcPr>
            <w:tcW w:w="9068" w:type="dxa"/>
            <w:vAlign w:val="center"/>
          </w:tcPr>
          <w:p w14:paraId="185DB5F4">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中标（成交）公告：采购人确定中标人后，在浙江政府采购网（http://zfcg.czt.zj.gov.cn/）上进行1个工作日的中标（成交）公告。</w:t>
            </w:r>
          </w:p>
        </w:tc>
      </w:tr>
      <w:tr w14:paraId="76A4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2" w:type="dxa"/>
            <w:vAlign w:val="center"/>
          </w:tcPr>
          <w:p w14:paraId="434A7D60">
            <w:pPr>
              <w:snapToGrid w:val="0"/>
              <w:jc w:val="center"/>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3</w:t>
            </w:r>
          </w:p>
        </w:tc>
        <w:tc>
          <w:tcPr>
            <w:tcW w:w="9068" w:type="dxa"/>
            <w:vAlign w:val="center"/>
          </w:tcPr>
          <w:p w14:paraId="0CA48585">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14:paraId="40BE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2" w:type="dxa"/>
            <w:vAlign w:val="center"/>
          </w:tcPr>
          <w:p w14:paraId="4F2100AD">
            <w:pPr>
              <w:snapToGrid w:val="0"/>
              <w:jc w:val="center"/>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4</w:t>
            </w:r>
          </w:p>
        </w:tc>
        <w:tc>
          <w:tcPr>
            <w:tcW w:w="9068" w:type="dxa"/>
            <w:vAlign w:val="center"/>
          </w:tcPr>
          <w:p w14:paraId="25FDE8F4">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14:paraId="1E1C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72" w:type="dxa"/>
            <w:vAlign w:val="center"/>
          </w:tcPr>
          <w:p w14:paraId="116B4B20">
            <w:pPr>
              <w:snapToGrid w:val="0"/>
              <w:jc w:val="center"/>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15</w:t>
            </w:r>
          </w:p>
        </w:tc>
        <w:tc>
          <w:tcPr>
            <w:tcW w:w="9068" w:type="dxa"/>
            <w:vAlign w:val="center"/>
          </w:tcPr>
          <w:p w14:paraId="46348620">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14:paraId="12F3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2" w:type="dxa"/>
            <w:vAlign w:val="center"/>
          </w:tcPr>
          <w:p w14:paraId="6E82DDCC">
            <w:pPr>
              <w:snapToGrid w:val="0"/>
              <w:jc w:val="center"/>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16</w:t>
            </w:r>
          </w:p>
        </w:tc>
        <w:tc>
          <w:tcPr>
            <w:tcW w:w="9068" w:type="dxa"/>
            <w:vAlign w:val="center"/>
          </w:tcPr>
          <w:p w14:paraId="12FD644C">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解释：本招标文件的解释权属于招标采购单位。</w:t>
            </w:r>
          </w:p>
        </w:tc>
      </w:tr>
      <w:tr w14:paraId="7C3B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2" w:type="dxa"/>
            <w:vAlign w:val="center"/>
          </w:tcPr>
          <w:p w14:paraId="66080D7A">
            <w:pPr>
              <w:snapToGrid w:val="0"/>
              <w:jc w:val="center"/>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17</w:t>
            </w:r>
          </w:p>
        </w:tc>
        <w:tc>
          <w:tcPr>
            <w:tcW w:w="9068" w:type="dxa"/>
            <w:vAlign w:val="center"/>
          </w:tcPr>
          <w:p w14:paraId="4B55140B">
            <w:pPr>
              <w:snapToGrid w:val="0"/>
              <w:rPr>
                <w:rFonts w:asciiTheme="minorEastAsia" w:hAnsiTheme="minorEastAsia" w:eastAsiaTheme="minorEastAsia"/>
                <w:sz w:val="24"/>
              </w:rPr>
            </w:pPr>
            <w:r>
              <w:rPr>
                <w:rFonts w:hint="eastAsia" w:asciiTheme="minorEastAsia" w:hAnsiTheme="minorEastAsia" w:eastAsiaTheme="minorEastAsia"/>
                <w:b/>
                <w:color w:val="FF0000"/>
                <w:sz w:val="24"/>
              </w:rPr>
              <w:t>本次招标设定最高限价，最高限价为人民币：</w:t>
            </w:r>
            <w:r>
              <w:rPr>
                <w:rFonts w:hint="eastAsia" w:asciiTheme="minorEastAsia" w:hAnsiTheme="minorEastAsia" w:eastAsiaTheme="minorEastAsia"/>
                <w:b/>
                <w:color w:val="FF0000"/>
                <w:sz w:val="24"/>
                <w:u w:val="single"/>
                <w:lang w:eastAsia="zh-CN"/>
              </w:rPr>
              <w:t>18.3584万元</w:t>
            </w:r>
            <w:r>
              <w:rPr>
                <w:rFonts w:hint="eastAsia" w:asciiTheme="minorEastAsia" w:hAnsiTheme="minorEastAsia" w:eastAsiaTheme="minorEastAsia"/>
                <w:b/>
                <w:color w:val="FF0000"/>
                <w:sz w:val="24"/>
              </w:rPr>
              <w:t>。</w:t>
            </w:r>
          </w:p>
        </w:tc>
      </w:tr>
    </w:tbl>
    <w:p w14:paraId="6DA452C3">
      <w:pPr>
        <w:pStyle w:val="19"/>
        <w:snapToGrid w:val="0"/>
        <w:spacing w:before="120" w:after="120"/>
        <w:ind w:firstLine="482" w:firstLineChars="200"/>
        <w:rPr>
          <w:rFonts w:asciiTheme="minorEastAsia" w:hAnsiTheme="minorEastAsia" w:eastAsiaTheme="minorEastAsia"/>
          <w:b/>
          <w:sz w:val="24"/>
        </w:rPr>
      </w:pPr>
      <w:bookmarkStart w:id="1" w:name="_Toc91899903"/>
      <w:r>
        <w:rPr>
          <w:rFonts w:hint="eastAsia" w:asciiTheme="minorEastAsia" w:hAnsiTheme="minorEastAsia" w:eastAsiaTheme="minorEastAsia"/>
          <w:b/>
          <w:sz w:val="24"/>
        </w:rPr>
        <w:t>一、总  则</w:t>
      </w:r>
    </w:p>
    <w:p w14:paraId="5195C0E9">
      <w:pPr>
        <w:tabs>
          <w:tab w:val="left" w:pos="360"/>
          <w:tab w:val="left" w:pos="540"/>
          <w:tab w:val="left" w:pos="720"/>
        </w:tabs>
        <w:snapToGrid w:val="0"/>
        <w:ind w:firstLine="482" w:firstLineChars="200"/>
        <w:jc w:val="left"/>
        <w:outlineLvl w:val="1"/>
        <w:rPr>
          <w:rFonts w:asciiTheme="minorEastAsia" w:hAnsiTheme="minorEastAsia" w:eastAsiaTheme="minorEastAsia"/>
          <w:b/>
          <w:color w:val="000000"/>
          <w:sz w:val="24"/>
        </w:rPr>
      </w:pPr>
      <w:bookmarkStart w:id="2" w:name="_Toc177825120"/>
      <w:bookmarkStart w:id="3" w:name="_Toc177824872"/>
      <w:bookmarkStart w:id="4" w:name="_Toc177824939"/>
      <w:bookmarkStart w:id="5" w:name="_Toc177870537"/>
      <w:r>
        <w:rPr>
          <w:rFonts w:hint="eastAsia" w:asciiTheme="minorEastAsia" w:hAnsiTheme="minorEastAsia" w:eastAsiaTheme="minorEastAsia"/>
          <w:b/>
          <w:color w:val="000000"/>
          <w:sz w:val="24"/>
        </w:rPr>
        <w:t>（一）适用范围</w:t>
      </w:r>
      <w:bookmarkEnd w:id="2"/>
      <w:bookmarkEnd w:id="3"/>
      <w:bookmarkEnd w:id="4"/>
      <w:bookmarkEnd w:id="5"/>
    </w:p>
    <w:p w14:paraId="666149B4">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asciiTheme="minorEastAsia" w:hAnsiTheme="minorEastAsia" w:eastAsiaTheme="minorEastAsia"/>
          <w:b/>
          <w:bCs/>
          <w:sz w:val="24"/>
          <w:u w:val="single"/>
          <w:lang w:eastAsia="zh-CN"/>
        </w:rPr>
        <w:t>梅蓉逸宿提升改造工程厨房设备采购项目</w:t>
      </w:r>
      <w:r>
        <w:rPr>
          <w:rFonts w:hint="eastAsia" w:asciiTheme="minorEastAsia" w:hAnsiTheme="minorEastAsia" w:eastAsiaTheme="minorEastAsia"/>
          <w:color w:val="000000"/>
          <w:sz w:val="24"/>
        </w:rPr>
        <w:t>的招标、评标、定标、验收、合同履约、付款等（法律、法规另有规定的，从其规定）。</w:t>
      </w:r>
    </w:p>
    <w:p w14:paraId="5C8D519E">
      <w:pPr>
        <w:snapToGrid w:val="0"/>
        <w:ind w:firstLine="482" w:firstLineChars="200"/>
        <w:jc w:val="left"/>
        <w:outlineLvl w:val="1"/>
        <w:rPr>
          <w:rFonts w:asciiTheme="minorEastAsia" w:hAnsiTheme="minorEastAsia" w:eastAsiaTheme="minorEastAsia"/>
          <w:b/>
          <w:color w:val="000000"/>
          <w:sz w:val="24"/>
        </w:rPr>
      </w:pPr>
      <w:bookmarkStart w:id="6" w:name="_Toc177825121"/>
      <w:bookmarkStart w:id="7" w:name="_Toc177824940"/>
      <w:bookmarkStart w:id="8" w:name="_Toc177870538"/>
      <w:bookmarkStart w:id="9" w:name="_Toc177824873"/>
      <w:r>
        <w:rPr>
          <w:rFonts w:hint="eastAsia" w:asciiTheme="minorEastAsia" w:hAnsiTheme="minorEastAsia" w:eastAsiaTheme="minorEastAsia"/>
          <w:b/>
          <w:color w:val="000000"/>
          <w:sz w:val="24"/>
        </w:rPr>
        <w:t>（二）定义</w:t>
      </w:r>
      <w:bookmarkEnd w:id="6"/>
      <w:bookmarkEnd w:id="7"/>
      <w:bookmarkEnd w:id="8"/>
      <w:bookmarkEnd w:id="9"/>
    </w:p>
    <w:p w14:paraId="3B8010B1">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1.“供应商”系指向采购机构提交投标文件的单位。</w:t>
      </w:r>
    </w:p>
    <w:p w14:paraId="391A7E0B">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2.“采购人”系指</w:t>
      </w:r>
      <w:r>
        <w:rPr>
          <w:rFonts w:hint="eastAsia" w:asciiTheme="minorEastAsia" w:hAnsiTheme="minorEastAsia" w:eastAsiaTheme="minorEastAsia"/>
          <w:sz w:val="24"/>
          <w:lang w:eastAsia="zh-CN"/>
        </w:rPr>
        <w:t>杭州三江富春乡村振兴发展有限公司</w:t>
      </w:r>
      <w:r>
        <w:rPr>
          <w:rFonts w:hint="eastAsia" w:asciiTheme="minorEastAsia" w:hAnsiTheme="minorEastAsia" w:eastAsiaTheme="minorEastAsia"/>
          <w:sz w:val="24"/>
        </w:rPr>
        <w:t>。</w:t>
      </w:r>
    </w:p>
    <w:p w14:paraId="304264FC">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3.“采购机构”系指耀华建设管理有限公司。</w:t>
      </w:r>
    </w:p>
    <w:p w14:paraId="0CF6166D">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4.“服务”系指招标文件规定投标人须承担的本项目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14:paraId="588B7EB1">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14:paraId="1B4BE107">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14:paraId="16BA9EB2">
      <w:pPr>
        <w:snapToGrid w:val="0"/>
        <w:ind w:firstLine="482" w:firstLineChars="200"/>
        <w:jc w:val="left"/>
        <w:outlineLvl w:val="1"/>
        <w:rPr>
          <w:rFonts w:asciiTheme="minorEastAsia" w:hAnsiTheme="minorEastAsia" w:eastAsiaTheme="minorEastAsia"/>
          <w:b/>
          <w:color w:val="000000"/>
          <w:sz w:val="24"/>
        </w:rPr>
      </w:pPr>
      <w:bookmarkStart w:id="10" w:name="_Toc177870539"/>
      <w:r>
        <w:rPr>
          <w:rFonts w:hint="eastAsia" w:asciiTheme="minorEastAsia" w:hAnsiTheme="minorEastAsia" w:eastAsiaTheme="minorEastAsia"/>
          <w:b/>
          <w:color w:val="000000"/>
          <w:sz w:val="24"/>
        </w:rPr>
        <w:t>（三）招标方式</w:t>
      </w:r>
      <w:bookmarkEnd w:id="10"/>
    </w:p>
    <w:p w14:paraId="44D59FE8">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14:paraId="78BDC75A">
      <w:pPr>
        <w:snapToGrid w:val="0"/>
        <w:spacing w:line="360" w:lineRule="auto"/>
        <w:ind w:firstLine="482" w:firstLineChars="200"/>
        <w:jc w:val="left"/>
        <w:rPr>
          <w:rFonts w:asciiTheme="minorEastAsia" w:hAnsiTheme="minorEastAsia" w:eastAsiaTheme="minorEastAsia"/>
          <w:b/>
          <w:sz w:val="24"/>
        </w:rPr>
      </w:pPr>
      <w:bookmarkStart w:id="11" w:name="_Toc177870540"/>
      <w:bookmarkStart w:id="12" w:name="_Toc177824874"/>
      <w:bookmarkStart w:id="13" w:name="_Toc177824941"/>
      <w:bookmarkStart w:id="14" w:name="_Toc177825122"/>
      <w:r>
        <w:rPr>
          <w:rFonts w:hint="eastAsia" w:asciiTheme="minorEastAsia" w:hAnsiTheme="minorEastAsia" w:eastAsiaTheme="minorEastAsia"/>
          <w:b/>
          <w:sz w:val="24"/>
        </w:rPr>
        <w:t>（四）投标委托</w:t>
      </w:r>
      <w:bookmarkEnd w:id="11"/>
      <w:bookmarkEnd w:id="12"/>
      <w:bookmarkEnd w:id="13"/>
      <w:bookmarkEnd w:id="14"/>
    </w:p>
    <w:p w14:paraId="4C362B2D">
      <w:pPr>
        <w:snapToGrid w:val="0"/>
        <w:spacing w:line="360" w:lineRule="auto"/>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14:paraId="5D791396">
      <w:pPr>
        <w:snapToGrid w:val="0"/>
        <w:spacing w:line="360" w:lineRule="auto"/>
        <w:ind w:firstLine="482" w:firstLineChars="200"/>
        <w:jc w:val="left"/>
        <w:outlineLvl w:val="1"/>
        <w:rPr>
          <w:rFonts w:asciiTheme="minorEastAsia" w:hAnsiTheme="minorEastAsia" w:eastAsiaTheme="minorEastAsia"/>
          <w:b/>
          <w:color w:val="000000"/>
          <w:sz w:val="24"/>
        </w:rPr>
      </w:pPr>
      <w:bookmarkStart w:id="15" w:name="_Toc177824875"/>
      <w:bookmarkStart w:id="16" w:name="_Toc177870541"/>
      <w:bookmarkStart w:id="17" w:name="_Toc177825123"/>
      <w:bookmarkStart w:id="18" w:name="_Toc177824942"/>
      <w:r>
        <w:rPr>
          <w:rFonts w:hint="eastAsia" w:asciiTheme="minorEastAsia" w:hAnsiTheme="minorEastAsia" w:eastAsiaTheme="minorEastAsia"/>
          <w:b/>
          <w:color w:val="000000"/>
          <w:sz w:val="24"/>
        </w:rPr>
        <w:t>（五）投标费用</w:t>
      </w:r>
      <w:bookmarkEnd w:id="15"/>
      <w:bookmarkEnd w:id="16"/>
      <w:bookmarkEnd w:id="17"/>
      <w:bookmarkEnd w:id="18"/>
    </w:p>
    <w:p w14:paraId="55E8FC56">
      <w:pPr>
        <w:snapToGrid w:val="0"/>
        <w:spacing w:line="360" w:lineRule="auto"/>
        <w:ind w:firstLine="480"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14:paraId="0AE4564B">
      <w:pPr>
        <w:snapToGrid w:val="0"/>
        <w:spacing w:line="360" w:lineRule="auto"/>
        <w:ind w:firstLine="602" w:firstLineChars="250"/>
        <w:jc w:val="left"/>
        <w:outlineLvl w:val="1"/>
        <w:rPr>
          <w:rFonts w:asciiTheme="minorEastAsia" w:hAnsiTheme="minorEastAsia" w:eastAsiaTheme="minorEastAsia"/>
          <w:b/>
          <w:color w:val="000000"/>
          <w:sz w:val="24"/>
        </w:rPr>
      </w:pPr>
      <w:bookmarkStart w:id="19"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19"/>
    </w:p>
    <w:p w14:paraId="146C21DD">
      <w:pPr>
        <w:spacing w:line="360" w:lineRule="auto"/>
        <w:ind w:firstLine="464" w:firstLineChars="220"/>
        <w:rPr>
          <w:rFonts w:cs="宋体" w:asciiTheme="minorEastAsia" w:hAnsiTheme="minorEastAsia" w:eastAsiaTheme="minorEastAsia"/>
          <w:color w:val="FF0000"/>
          <w:sz w:val="24"/>
        </w:rPr>
      </w:pPr>
      <w:bookmarkStart w:id="20"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直接或者间接受采购人控制的当事人，或者与采购人受共同上级控制的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4FA54370">
      <w:pPr>
        <w:pStyle w:val="19"/>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14:paraId="62B85394">
      <w:pPr>
        <w:pStyle w:val="19"/>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1BB95343">
      <w:pPr>
        <w:pStyle w:val="19"/>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4.投标人应仔细阅读招标文件的所有内容，按照招标文件的要求提交投标文件。投标文件应对招标文件的要求作出实质性响应，并对所提供的全部资料的真实性承担法律责任。</w:t>
      </w:r>
    </w:p>
    <w:p w14:paraId="58A6F9A2">
      <w:pPr>
        <w:pStyle w:val="19"/>
        <w:snapToGrid w:val="0"/>
        <w:spacing w:line="360" w:lineRule="auto"/>
        <w:ind w:firstLine="422" w:firstLineChars="200"/>
        <w:rPr>
          <w:rFonts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5、本次招标项目不得转包分包。本项目不接受联合体投标。</w:t>
      </w:r>
    </w:p>
    <w:p w14:paraId="20CAFD63">
      <w:pPr>
        <w:pStyle w:val="19"/>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（七）质疑</w:t>
      </w:r>
      <w:bookmarkEnd w:id="20"/>
      <w:r>
        <w:rPr>
          <w:rFonts w:hint="eastAsia" w:asciiTheme="minorEastAsia" w:hAnsiTheme="minorEastAsia" w:eastAsiaTheme="minorEastAsia"/>
          <w:b/>
          <w:bCs/>
          <w:sz w:val="24"/>
        </w:rPr>
        <w:t>和投诉</w:t>
      </w:r>
    </w:p>
    <w:p w14:paraId="2CB551D3">
      <w:pPr>
        <w:pStyle w:val="19"/>
        <w:snapToGrid w:val="0"/>
        <w:spacing w:line="360" w:lineRule="auto"/>
        <w:ind w:firstLine="480" w:firstLineChars="200"/>
        <w:rPr>
          <w:rFonts w:asciiTheme="minorEastAsia" w:hAnsiTheme="minorEastAsia" w:eastAsiaTheme="minorEastAsia"/>
          <w:sz w:val="24"/>
        </w:rPr>
      </w:pPr>
      <w:bookmarkStart w:id="21"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1.投标人认为招标过程和中标结果使自己的合法权益受到损害的，应当在知道或者应知其权益受到损害之日起七个工作日内，以书面形式向采购机构提出质疑。</w:t>
      </w:r>
      <w:r>
        <w:rPr>
          <w:rFonts w:hint="eastAsia" w:asciiTheme="minorEastAsia" w:hAnsiTheme="minorEastAsia" w:eastAsiaTheme="minorEastAsia"/>
          <w:sz w:val="24"/>
        </w:rPr>
        <w:t>投标人对采购机构的质疑答复不满意或者招标采购人未在规定时间内作出答复的，可以在答复期满后十五个工作日内向同级采购监管部门投诉。</w:t>
      </w:r>
    </w:p>
    <w:p w14:paraId="59892C34">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14:paraId="643BA750">
      <w:pPr>
        <w:pStyle w:val="1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3.投标人认可采购机构在质疑答复程序中启用的调查和复评等程序，在该程序操作过程未明显违反法律禁止性规定时，不得提出疑义；</w:t>
      </w:r>
    </w:p>
    <w:p w14:paraId="4362042C">
      <w:pPr>
        <w:pStyle w:val="1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14:paraId="17C161D3">
      <w:pPr>
        <w:pStyle w:val="19"/>
        <w:snapToGrid w:val="0"/>
        <w:spacing w:line="360" w:lineRule="auto"/>
        <w:ind w:firstLine="436" w:firstLineChars="181"/>
        <w:outlineLvl w:val="0"/>
        <w:rPr>
          <w:rFonts w:asciiTheme="minorEastAsia" w:hAnsiTheme="minorEastAsia" w:eastAsiaTheme="minorEastAsia"/>
          <w:b/>
          <w:sz w:val="24"/>
        </w:rPr>
      </w:pPr>
      <w:r>
        <w:rPr>
          <w:rFonts w:hint="eastAsia" w:asciiTheme="minorEastAsia" w:hAnsiTheme="minorEastAsia" w:eastAsiaTheme="minorEastAsia"/>
          <w:b/>
          <w:sz w:val="24"/>
        </w:rPr>
        <w:t>二 、招标文件</w:t>
      </w:r>
      <w:bookmarkEnd w:id="21"/>
    </w:p>
    <w:p w14:paraId="010590F0">
      <w:pPr>
        <w:snapToGrid w:val="0"/>
        <w:spacing w:line="360" w:lineRule="auto"/>
        <w:ind w:firstLine="316" w:firstLineChars="131"/>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（一）招标文件的构成。本招标文件由以下部分组成：</w:t>
      </w:r>
    </w:p>
    <w:p w14:paraId="72368E1A">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14:paraId="3C655880">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14:paraId="7F2BA1A0">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14:paraId="5C693D8D">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14:paraId="606EBD7A">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5.政府采购合同</w:t>
      </w:r>
    </w:p>
    <w:p w14:paraId="22FFB457">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14:paraId="02DA5B81">
      <w:pPr>
        <w:snapToGrid w:val="0"/>
        <w:spacing w:line="360" w:lineRule="auto"/>
        <w:ind w:firstLine="318" w:firstLineChars="132"/>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14:paraId="0B467014">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投标人没有按照招标文件要求提供全部资料，或者投标人没有对招标文件在各方面者作出实质性响应是投标人的风险，并可能导致其投标被拒绝。</w:t>
      </w:r>
    </w:p>
    <w:p w14:paraId="48E3B61B">
      <w:pPr>
        <w:pStyle w:val="8"/>
        <w:widowControl w:val="0"/>
        <w:numPr>
          <w:ilvl w:val="0"/>
          <w:numId w:val="0"/>
        </w:numPr>
        <w:tabs>
          <w:tab w:val="left" w:pos="360"/>
        </w:tabs>
        <w:snapToGrid w:val="0"/>
        <w:spacing w:after="120" w:line="360" w:lineRule="auto"/>
        <w:ind w:firstLine="318" w:firstLineChars="132"/>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 xml:space="preserve">（三）招标文件的澄清与修改 </w:t>
      </w:r>
    </w:p>
    <w:p w14:paraId="751B82F5">
      <w:pPr>
        <w:pStyle w:val="19"/>
        <w:snapToGrid w:val="0"/>
        <w:spacing w:line="360" w:lineRule="auto"/>
        <w:ind w:firstLine="436" w:firstLineChars="182"/>
        <w:rPr>
          <w:rFonts w:asciiTheme="minorEastAsia" w:hAnsiTheme="minorEastAsia" w:eastAsiaTheme="minorEastAsia"/>
          <w:sz w:val="24"/>
        </w:rPr>
      </w:pPr>
      <w:bookmarkStart w:id="22"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投标人应认真阅读本招标文件，发现其中有误或有要求不合理的，投标人必须在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以书面形式要求采购人或采购机构澄清。</w:t>
      </w:r>
    </w:p>
    <w:p w14:paraId="7B8931BA">
      <w:pPr>
        <w:pStyle w:val="19"/>
        <w:snapToGrid w:val="0"/>
        <w:spacing w:line="360" w:lineRule="auto"/>
        <w:ind w:firstLine="439" w:firstLineChars="182"/>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机构对已发出的招标文件进行必要澄清、答复、修改或补充的，将在招标文件要求提交投标文件截止时间15日前，在浙江政府采购网（https://zfcg.czt.zj.gov.cn/）发布更正公告，请投标人自行到网上查看和下载，投标人因漏看带来的后果由投标人自行承担</w:t>
      </w:r>
      <w:r>
        <w:rPr>
          <w:rFonts w:hint="eastAsia" w:cs="宋体" w:asciiTheme="minorEastAsia" w:hAnsiTheme="minorEastAsia" w:eastAsiaTheme="minorEastAsia"/>
          <w:sz w:val="24"/>
        </w:rPr>
        <w:t>。</w:t>
      </w:r>
    </w:p>
    <w:p w14:paraId="4F4BFE42">
      <w:pPr>
        <w:pStyle w:val="1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3.招标文件澄清、答复、修改、补充的内容为招标文件的组成部分。当招标文件与招标文件的答复、澄清、修改、补充通知就同一内容的表述不一致时，以最后发出的文件为准。</w:t>
      </w:r>
    </w:p>
    <w:p w14:paraId="230FEDB9">
      <w:pPr>
        <w:pStyle w:val="1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4.招标文件的澄清、答复、修改或补充都应该通过采购机构以法定形式发布，采购人非通过采购机构，不得擅自澄清、答复、修改或补充招标文件。</w:t>
      </w:r>
    </w:p>
    <w:p w14:paraId="0B18A6DD">
      <w:pPr>
        <w:pStyle w:val="19"/>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5.投标供应商一旦参与本次采购活动，即被视为接受了本招标文件的所有内容，如有任何异议，均已在答疑截止时间前提出。</w:t>
      </w:r>
    </w:p>
    <w:p w14:paraId="434983C8">
      <w:pPr>
        <w:pStyle w:val="19"/>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14:paraId="30B13E98">
      <w:pPr>
        <w:pStyle w:val="19"/>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三、投标文件</w:t>
      </w:r>
      <w:bookmarkEnd w:id="22"/>
      <w:r>
        <w:rPr>
          <w:rFonts w:hint="eastAsia" w:asciiTheme="minorEastAsia" w:hAnsiTheme="minorEastAsia" w:eastAsiaTheme="minorEastAsia"/>
          <w:b/>
          <w:sz w:val="24"/>
        </w:rPr>
        <w:t>的编制</w:t>
      </w:r>
    </w:p>
    <w:p w14:paraId="1D26DDF8">
      <w:pPr>
        <w:snapToGrid w:val="0"/>
        <w:spacing w:line="360" w:lineRule="auto"/>
        <w:ind w:firstLine="482" w:firstLineChars="200"/>
        <w:jc w:val="left"/>
        <w:outlineLvl w:val="0"/>
        <w:rPr>
          <w:rFonts w:asciiTheme="minorEastAsia" w:hAnsiTheme="minorEastAsia" w:eastAsiaTheme="minorEastAsia"/>
          <w:b/>
          <w:color w:val="000000"/>
          <w:sz w:val="24"/>
        </w:rPr>
      </w:pPr>
      <w:bookmarkStart w:id="23" w:name="_Toc177825124"/>
      <w:bookmarkStart w:id="24" w:name="_Toc177824876"/>
      <w:bookmarkStart w:id="25" w:name="_Toc177824943"/>
      <w:bookmarkStart w:id="26" w:name="_Toc177870546"/>
      <w:r>
        <w:rPr>
          <w:rFonts w:hint="eastAsia" w:asciiTheme="minorEastAsia" w:hAnsiTheme="minorEastAsia" w:eastAsiaTheme="minorEastAsia"/>
          <w:b/>
          <w:color w:val="000000"/>
          <w:sz w:val="24"/>
        </w:rPr>
        <w:t>（一）投标文件的组成</w:t>
      </w:r>
      <w:bookmarkEnd w:id="23"/>
      <w:bookmarkEnd w:id="24"/>
      <w:bookmarkEnd w:id="25"/>
      <w:bookmarkEnd w:id="26"/>
    </w:p>
    <w:p w14:paraId="3A96F3CA">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投标文件由资格文件、</w:t>
      </w:r>
      <w:r>
        <w:rPr>
          <w:rFonts w:hint="eastAsia" w:asciiTheme="minorEastAsia" w:hAnsiTheme="minorEastAsia" w:eastAsiaTheme="minorEastAsia"/>
          <w:b/>
          <w:bCs/>
          <w:sz w:val="24"/>
          <w:lang w:eastAsia="zh-CN"/>
        </w:rPr>
        <w:t>技术及商务</w:t>
      </w:r>
      <w:r>
        <w:rPr>
          <w:rFonts w:hint="eastAsia" w:asciiTheme="minorEastAsia" w:hAnsiTheme="minorEastAsia" w:eastAsiaTheme="minorEastAsia"/>
          <w:b/>
          <w:bCs/>
          <w:sz w:val="24"/>
        </w:rPr>
        <w:t>文件、报价文件三部分组成。</w:t>
      </w:r>
    </w:p>
    <w:p w14:paraId="4E34DE4F">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1.资格文件（不含报价）</w:t>
      </w:r>
    </w:p>
    <w:p w14:paraId="6B518712">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）营业执照的复印件或事业单位的《事业单位法人证书》复印件；</w:t>
      </w:r>
    </w:p>
    <w:p w14:paraId="48369E83">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（2）法定代表人授权委托书(格式见附件)；</w:t>
      </w:r>
    </w:p>
    <w:p w14:paraId="27179694">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（3）投标声明书 (格式见附件，含重大违法记录声明)；</w:t>
      </w:r>
    </w:p>
    <w:p w14:paraId="383C427A">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（4）具有履行合同所必需的设备和专业技术能力的承诺函；(格式见附件)；</w:t>
      </w:r>
    </w:p>
    <w:p w14:paraId="1CB1B5EA">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（5）具有良好的商业信誉和健全的财务会计制度的承诺函(格式见附件)；</w:t>
      </w:r>
    </w:p>
    <w:p w14:paraId="3126B5BE">
      <w:pPr>
        <w:snapToGrid w:val="0"/>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（6）有依法缴纳税收和社会保障资金的良好记录的承诺函(格式见附件)；</w:t>
      </w:r>
    </w:p>
    <w:p w14:paraId="139F1B19">
      <w:pPr>
        <w:snapToGrid w:val="0"/>
        <w:spacing w:line="360" w:lineRule="auto"/>
        <w:ind w:firstLine="482" w:firstLineChars="200"/>
        <w:jc w:val="left"/>
        <w:rPr>
          <w:rFonts w:hint="eastAsia" w:asciiTheme="minorEastAsia" w:hAnsiTheme="minorEastAsia" w:eastAsiaTheme="minorEastAsia"/>
          <w:b/>
          <w:color w:val="000000"/>
          <w:sz w:val="24"/>
        </w:rPr>
        <w:sectPr>
          <w:pgSz w:w="11910" w:h="16840"/>
          <w:pgMar w:top="1134" w:right="1344" w:bottom="1134" w:left="1304" w:header="0" w:footer="993" w:gutter="0"/>
          <w:cols w:space="0" w:num="1"/>
        </w:sectPr>
      </w:pPr>
    </w:p>
    <w:p w14:paraId="1AFDF94D">
      <w:pPr>
        <w:snapToGrid w:val="0"/>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w:t>
      </w:r>
      <w:r>
        <w:rPr>
          <w:rFonts w:hint="eastAsia" w:asciiTheme="minorEastAsia" w:hAnsiTheme="minorEastAsia" w:eastAsiaTheme="minorEastAsia"/>
          <w:b/>
          <w:color w:val="000000"/>
          <w:sz w:val="24"/>
          <w:lang w:eastAsia="zh-CN"/>
        </w:rPr>
        <w:t>技术及商务</w:t>
      </w:r>
      <w:r>
        <w:rPr>
          <w:rFonts w:hint="eastAsia" w:asciiTheme="minorEastAsia" w:hAnsiTheme="minorEastAsia" w:eastAsiaTheme="minorEastAsia"/>
          <w:b/>
          <w:color w:val="000000"/>
          <w:sz w:val="24"/>
        </w:rPr>
        <w:t>文件</w:t>
      </w:r>
      <w:r>
        <w:rPr>
          <w:rFonts w:hint="eastAsia" w:asciiTheme="minorEastAsia" w:hAnsiTheme="minorEastAsia" w:eastAsiaTheme="minorEastAsia"/>
          <w:color w:val="000000"/>
          <w:sz w:val="24"/>
        </w:rPr>
        <w:t>（内容结合评标办法，均不含报价）</w:t>
      </w:r>
      <w:r>
        <w:rPr>
          <w:rFonts w:hint="eastAsia" w:asciiTheme="minorEastAsia" w:hAnsiTheme="minorEastAsia" w:eastAsiaTheme="minorEastAsia"/>
          <w:b/>
          <w:color w:val="000000"/>
          <w:sz w:val="24"/>
        </w:rPr>
        <w:t>：</w:t>
      </w:r>
    </w:p>
    <w:p w14:paraId="15951A5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（1）供应商自评分表（根据评分内容自行设置）</w:t>
      </w:r>
    </w:p>
    <w:p w14:paraId="5439360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（2）法定代表人授权委托书；</w:t>
      </w:r>
    </w:p>
    <w:p w14:paraId="7B82492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（3）投标人的基本情况介绍（包括现有经营场所、服务机构等情况资料）；</w:t>
      </w:r>
    </w:p>
    <w:p w14:paraId="4ADF3D6D">
      <w:pPr>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FF0000"/>
          <w:sz w:val="24"/>
          <w:highlight w:val="none"/>
        </w:rPr>
        <w:t>评标标准相应的</w:t>
      </w:r>
      <w:r>
        <w:rPr>
          <w:rFonts w:hint="eastAsia" w:ascii="宋体" w:hAnsi="宋体" w:cs="宋体"/>
          <w:color w:val="FF0000"/>
          <w:sz w:val="24"/>
          <w:highlight w:val="none"/>
          <w:lang w:eastAsia="zh-CN"/>
        </w:rPr>
        <w:t>技术及商务</w:t>
      </w:r>
      <w:r>
        <w:rPr>
          <w:rFonts w:hint="eastAsia" w:ascii="宋体" w:hAnsi="宋体" w:eastAsia="宋体" w:cs="宋体"/>
          <w:color w:val="FF0000"/>
          <w:sz w:val="24"/>
          <w:highlight w:val="none"/>
        </w:rPr>
        <w:t>资料</w:t>
      </w:r>
    </w:p>
    <w:p w14:paraId="0D1F86A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FF0000"/>
          <w:sz w:val="24"/>
          <w:highlight w:val="none"/>
        </w:rPr>
        <w:t>投标标的清单（含货物、服务等）</w:t>
      </w:r>
    </w:p>
    <w:p w14:paraId="52A1945F">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技术及商务</w:t>
      </w:r>
      <w:r>
        <w:rPr>
          <w:rFonts w:hint="eastAsia" w:ascii="宋体" w:hAnsi="宋体" w:eastAsia="宋体" w:cs="宋体"/>
          <w:color w:val="auto"/>
          <w:sz w:val="24"/>
          <w:highlight w:val="none"/>
        </w:rPr>
        <w:t>偏离表</w:t>
      </w:r>
      <w:r>
        <w:rPr>
          <w:rFonts w:hint="eastAsia" w:cs="Arial" w:asciiTheme="minorEastAsia" w:hAnsiTheme="minorEastAsia" w:eastAsiaTheme="minorEastAsia"/>
          <w:color w:val="000000"/>
          <w:sz w:val="24"/>
          <w:highlight w:val="none"/>
          <w:lang w:eastAsia="zh-CN"/>
        </w:rPr>
        <w:t>（</w:t>
      </w:r>
      <w:r>
        <w:rPr>
          <w:rFonts w:hint="eastAsia" w:cs="Arial" w:asciiTheme="minorEastAsia" w:hAnsiTheme="minorEastAsia" w:eastAsiaTheme="minorEastAsia"/>
          <w:color w:val="000000"/>
          <w:sz w:val="24"/>
          <w:highlight w:val="none"/>
          <w:lang w:val="en-US" w:eastAsia="zh-CN"/>
        </w:rPr>
        <w:t>格式见附件</w:t>
      </w:r>
      <w:r>
        <w:rPr>
          <w:rFonts w:hint="eastAsia" w:cs="Arial" w:asciiTheme="minorEastAsia" w:hAnsiTheme="minorEastAsia" w:eastAsiaTheme="minorEastAsia"/>
          <w:color w:val="000000"/>
          <w:sz w:val="24"/>
          <w:highlight w:val="none"/>
          <w:lang w:eastAsia="zh-CN"/>
        </w:rPr>
        <w:t>）</w:t>
      </w:r>
    </w:p>
    <w:p w14:paraId="05F67A6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）投标人需要说明的其他文件等。</w:t>
      </w:r>
    </w:p>
    <w:p w14:paraId="36B891CA">
      <w:pPr>
        <w:snapToGrid w:val="0"/>
        <w:spacing w:line="360" w:lineRule="auto"/>
        <w:ind w:firstLine="354" w:firstLineChars="147"/>
        <w:jc w:val="left"/>
        <w:outlineLvl w:val="0"/>
        <w:rPr>
          <w:rFonts w:ascii="宋体" w:hAnsi="宋体"/>
          <w:color w:val="000000"/>
          <w:sz w:val="24"/>
        </w:rPr>
      </w:pPr>
      <w:r>
        <w:rPr>
          <w:rFonts w:hint="eastAsia" w:asciiTheme="minorEastAsia" w:hAnsiTheme="minorEastAsia" w:eastAsiaTheme="minorEastAsia"/>
          <w:b/>
          <w:color w:val="000000"/>
          <w:sz w:val="24"/>
        </w:rPr>
        <w:t>3.报价文件：</w:t>
      </w:r>
    </w:p>
    <w:p w14:paraId="4A8C80E6">
      <w:pPr>
        <w:snapToGrid w:val="0"/>
        <w:spacing w:line="360" w:lineRule="auto"/>
        <w:ind w:firstLine="352" w:firstLineChars="147"/>
        <w:jc w:val="left"/>
        <w:outlineLvl w:val="0"/>
        <w:rPr>
          <w:rFonts w:ascii="宋体" w:hAnsi="宋体"/>
          <w:b/>
          <w:sz w:val="24"/>
        </w:rPr>
      </w:pPr>
      <w:bookmarkStart w:id="27" w:name="_Toc177824877"/>
      <w:bookmarkStart w:id="28" w:name="_Toc177825125"/>
      <w:bookmarkStart w:id="29" w:name="_Toc177870547"/>
      <w:bookmarkStart w:id="30" w:name="_Toc177824944"/>
      <w:r>
        <w:rPr>
          <w:rFonts w:hint="eastAsia" w:ascii="宋体" w:hAnsi="宋体"/>
          <w:sz w:val="24"/>
        </w:rPr>
        <w:t>（</w:t>
      </w:r>
      <w:r>
        <w:rPr>
          <w:rFonts w:ascii="宋体" w:hAnsi="宋体"/>
          <w:sz w:val="24"/>
        </w:rPr>
        <w:t>1</w:t>
      </w:r>
      <w:r>
        <w:rPr>
          <w:rFonts w:hint="eastAsia" w:ascii="宋体" w:hAnsi="宋体"/>
          <w:sz w:val="24"/>
        </w:rPr>
        <w:t>）投标函（格式见附件）。</w:t>
      </w:r>
      <w:r>
        <w:rPr>
          <w:rFonts w:ascii="宋体" w:hAnsi="宋体"/>
          <w:sz w:val="24"/>
        </w:rPr>
        <w:t xml:space="preserve"> </w:t>
      </w:r>
    </w:p>
    <w:p w14:paraId="702D4777">
      <w:pPr>
        <w:snapToGrid w:val="0"/>
        <w:spacing w:line="360" w:lineRule="auto"/>
        <w:ind w:firstLine="352" w:firstLineChars="147"/>
        <w:jc w:val="left"/>
        <w:outlineLvl w:val="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）开标一览表（格式见附件）。</w:t>
      </w:r>
    </w:p>
    <w:p w14:paraId="00F0A069">
      <w:pPr>
        <w:snapToGrid w:val="0"/>
        <w:spacing w:line="360" w:lineRule="auto"/>
        <w:ind w:firstLine="352" w:firstLineChars="147"/>
        <w:jc w:val="left"/>
        <w:outlineLvl w:val="0"/>
        <w:rPr>
          <w:rFonts w:ascii="宋体" w:hAnsi="宋体"/>
          <w:b/>
          <w:sz w:val="24"/>
        </w:rPr>
      </w:pPr>
      <w:r>
        <w:rPr>
          <w:rFonts w:hint="eastAsia" w:ascii="宋体" w:hAnsi="宋体"/>
          <w:sz w:val="24"/>
        </w:rPr>
        <w:t>（3）报价明细表（格式见附件）</w:t>
      </w:r>
    </w:p>
    <w:p w14:paraId="7457B258">
      <w:pPr>
        <w:snapToGrid w:val="0"/>
        <w:spacing w:line="360" w:lineRule="auto"/>
        <w:ind w:firstLine="352" w:firstLineChars="147"/>
        <w:jc w:val="left"/>
        <w:outlineLvl w:val="0"/>
        <w:rPr>
          <w:rFonts w:ascii="宋体" w:hAnsi="宋体"/>
          <w:b/>
          <w:sz w:val="24"/>
        </w:rPr>
      </w:pPr>
      <w:r>
        <w:rPr>
          <w:rFonts w:hint="eastAsia" w:ascii="宋体" w:hAnsi="宋体"/>
          <w:sz w:val="24"/>
        </w:rPr>
        <w:t>（4）投标人需要说明的其他文件和说明（格式略）。</w:t>
      </w:r>
    </w:p>
    <w:p w14:paraId="45C78318">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27"/>
      <w:bookmarkEnd w:id="28"/>
      <w:bookmarkEnd w:id="29"/>
      <w:bookmarkEnd w:id="30"/>
    </w:p>
    <w:p w14:paraId="49E1C3C0">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1.投标文件以及投标人与采购机构就有关投标事宜的所有来往函电，均应以中文汉语书写。除签名、盖章、专用名称等特殊情形外，以中文汉语以外的文字表述的投标文件视同未提供。</w:t>
      </w:r>
    </w:p>
    <w:p w14:paraId="6FBDFB7E">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2.投标计量单位，招标文件已有明确规定的，使用招标文件规定的计量单位；招标文件没有规定的，应采用中华人民共和国法定计量单位（货币单位：人民币元），否则视同未响应。</w:t>
      </w:r>
      <w:bookmarkStart w:id="31" w:name="_Toc177824945"/>
      <w:bookmarkStart w:id="32" w:name="_Toc177824878"/>
      <w:bookmarkStart w:id="33" w:name="_Toc177870548"/>
      <w:bookmarkStart w:id="34" w:name="_Toc177825126"/>
    </w:p>
    <w:p w14:paraId="62A7EC67">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31"/>
      <w:bookmarkEnd w:id="32"/>
      <w:bookmarkEnd w:id="33"/>
      <w:bookmarkEnd w:id="34"/>
    </w:p>
    <w:p w14:paraId="45F8BBC1">
      <w:pPr>
        <w:pStyle w:val="19"/>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1.投标报价应按招标文件中相关附表格式填写。</w:t>
      </w:r>
    </w:p>
    <w:p w14:paraId="0C4F5813">
      <w:pPr>
        <w:pStyle w:val="19"/>
        <w:snapToGrid w:val="0"/>
        <w:spacing w:line="360" w:lineRule="auto"/>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 xml:space="preserve"> 投标报价是履行合同的最终价格，包括完成本项目所需的一切费用(包括人工费、措施费、管理费、利润、税金等)。</w:t>
      </w:r>
    </w:p>
    <w:p w14:paraId="5F92638F">
      <w:pPr>
        <w:tabs>
          <w:tab w:val="left" w:pos="454"/>
          <w:tab w:val="left" w:pos="720"/>
        </w:tabs>
        <w:autoSpaceDE w:val="0"/>
        <w:autoSpaceDN w:val="0"/>
        <w:adjustRightInd w:val="0"/>
        <w:spacing w:line="360" w:lineRule="auto"/>
        <w:ind w:firstLine="480"/>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投标报价应按招标文件中相关附表格式填报，该投标报价应与明细报价汇总相等，且不允许出现报价优惠等字样（明细出现“0”元，视同赠送）。</w:t>
      </w:r>
    </w:p>
    <w:p w14:paraId="38B8910F">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14:paraId="20E8DC8B">
      <w:pPr>
        <w:tabs>
          <w:tab w:val="left" w:pos="525"/>
        </w:tabs>
        <w:snapToGrid w:val="0"/>
        <w:spacing w:line="360" w:lineRule="auto"/>
        <w:ind w:firstLine="477" w:firstLineChars="19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14:paraId="4E56E2F6">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2.在特殊情况下，采购机构可与投标人协商延长投标书的有效期，这种要求和答复均以书面形式进行。</w:t>
      </w:r>
      <w:bookmarkStart w:id="35" w:name="_Toc177825127"/>
      <w:bookmarkStart w:id="36" w:name="_Toc177824946"/>
      <w:bookmarkStart w:id="37" w:name="_Toc177870549"/>
      <w:bookmarkStart w:id="38" w:name="_Toc177824879"/>
    </w:p>
    <w:p w14:paraId="4F26EAA7">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35"/>
      <w:bookmarkEnd w:id="36"/>
      <w:bookmarkEnd w:id="37"/>
      <w:bookmarkEnd w:id="38"/>
    </w:p>
    <w:p w14:paraId="286AC648">
      <w:pPr>
        <w:snapToGrid w:val="0"/>
        <w:spacing w:line="360" w:lineRule="auto"/>
        <w:ind w:firstLine="480"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39" w:name="_Toc177824880"/>
      <w:bookmarkStart w:id="40" w:name="_Toc177824947"/>
      <w:bookmarkStart w:id="41" w:name="_Toc177825128"/>
      <w:bookmarkStart w:id="42" w:name="_Toc177870550"/>
    </w:p>
    <w:p w14:paraId="33705018">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39"/>
      <w:bookmarkEnd w:id="40"/>
      <w:bookmarkEnd w:id="41"/>
      <w:bookmarkEnd w:id="42"/>
    </w:p>
    <w:p w14:paraId="1994FE89">
      <w:pPr>
        <w:spacing w:line="360" w:lineRule="auto"/>
        <w:ind w:firstLine="480" w:firstLineChars="200"/>
        <w:rPr>
          <w:rFonts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14:paraId="3FB9CFB9">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14:paraId="63A25B7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14:paraId="006722B4">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28E6038A">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18FF7AF0">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3FC50DF7">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733128FD">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7BDAE514">
      <w:pPr>
        <w:snapToGrid w:val="0"/>
        <w:spacing w:line="360" w:lineRule="auto"/>
        <w:jc w:val="left"/>
        <w:outlineLvl w:val="0"/>
        <w:rPr>
          <w:rFonts w:hint="eastAsia" w:asciiTheme="minorEastAsia" w:hAnsiTheme="minorEastAsia" w:eastAsiaTheme="minorEastAsia"/>
          <w:b/>
          <w:color w:val="000000"/>
          <w:sz w:val="24"/>
          <w:lang w:eastAsia="zh-CN"/>
        </w:rPr>
      </w:pPr>
      <w:bookmarkStart w:id="43" w:name="_Toc177870551"/>
      <w:bookmarkStart w:id="44" w:name="_Toc177824881"/>
      <w:bookmarkStart w:id="45" w:name="_Toc177825129"/>
      <w:bookmarkStart w:id="46" w:name="_Toc177824948"/>
      <w:r>
        <w:rPr>
          <w:rFonts w:hint="eastAsia" w:asciiTheme="minorEastAsia" w:hAnsiTheme="minorEastAsia" w:eastAsiaTheme="minorEastAsia"/>
          <w:b/>
          <w:color w:val="000000"/>
          <w:sz w:val="24"/>
        </w:rPr>
        <w:t xml:space="preserve">   （七）投标文件的签署和份数</w:t>
      </w:r>
      <w:bookmarkEnd w:id="43"/>
      <w:bookmarkEnd w:id="44"/>
      <w:bookmarkEnd w:id="45"/>
      <w:bookmarkEnd w:id="46"/>
      <w:r>
        <w:rPr>
          <w:rFonts w:hint="eastAsia" w:asciiTheme="minorEastAsia" w:hAnsiTheme="minorEastAsia" w:eastAsiaTheme="minorEastAsia"/>
          <w:b/>
          <w:color w:val="000000"/>
          <w:sz w:val="24"/>
          <w:lang w:eastAsia="zh-CN"/>
        </w:rPr>
        <w:t>、</w:t>
      </w:r>
      <w:r>
        <w:rPr>
          <w:rFonts w:hint="eastAsia" w:asciiTheme="minorEastAsia" w:hAnsiTheme="minorEastAsia" w:eastAsiaTheme="minorEastAsia"/>
          <w:b/>
          <w:sz w:val="24"/>
          <w:lang w:val="zh-CN"/>
        </w:rPr>
        <w:t>包装</w:t>
      </w:r>
    </w:p>
    <w:p w14:paraId="51403D48">
      <w:pPr>
        <w:pStyle w:val="9"/>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1.《投标文件》的签章：见《前附表》；</w:t>
      </w:r>
    </w:p>
    <w:p w14:paraId="006E8151">
      <w:pPr>
        <w:pStyle w:val="9"/>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14:paraId="3BDDF421">
      <w:pPr>
        <w:pStyle w:val="9"/>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14:paraId="2D49D076">
      <w:pPr>
        <w:snapToGrid w:val="0"/>
        <w:spacing w:line="360" w:lineRule="auto"/>
        <w:ind w:firstLine="236" w:firstLineChars="98"/>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投标文件的递交、修改和撤回</w:t>
      </w:r>
    </w:p>
    <w:p w14:paraId="5C429820">
      <w:pPr>
        <w:spacing w:line="360" w:lineRule="auto"/>
        <w:ind w:firstLine="482" w:firstLineChars="200"/>
        <w:rPr>
          <w:rFonts w:ascii="宋体" w:hAnsi="宋体" w:cs="宋体"/>
          <w:sz w:val="24"/>
        </w:rPr>
      </w:pPr>
      <w:bookmarkStart w:id="47" w:name="_Toc177870552"/>
      <w:r>
        <w:rPr>
          <w:rFonts w:hint="eastAsia" w:ascii="宋体" w:hAnsi="宋体" w:cs="宋体"/>
          <w:b/>
          <w:color w:val="00B05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w:t>
      </w:r>
      <w:r>
        <w:rPr>
          <w:rFonts w:hint="eastAsia" w:ascii="宋体" w:hAnsi="宋体" w:cs="宋体"/>
          <w:b/>
          <w:color w:val="00B050"/>
          <w:sz w:val="24"/>
          <w:lang w:val="en-US" w:eastAsia="zh-CN"/>
        </w:rPr>
        <w:t>乐</w:t>
      </w:r>
      <w:r>
        <w:rPr>
          <w:rFonts w:hint="eastAsia" w:ascii="宋体" w:hAnsi="宋体" w:cs="宋体"/>
          <w:b/>
          <w:color w:val="00B050"/>
          <w:sz w:val="24"/>
        </w:rPr>
        <w:t>采云平台拒收。</w:t>
      </w:r>
    </w:p>
    <w:p w14:paraId="72250178">
      <w:pPr>
        <w:snapToGrid w:val="0"/>
        <w:spacing w:line="360" w:lineRule="auto"/>
        <w:ind w:firstLine="236" w:firstLineChars="98"/>
        <w:outlineLvl w:val="2"/>
        <w:rPr>
          <w:rFonts w:asciiTheme="minorEastAsia" w:hAnsiTheme="minorEastAsia" w:eastAsiaTheme="minorEastAsia"/>
          <w:b/>
          <w:sz w:val="24"/>
        </w:rPr>
      </w:pPr>
      <w:r>
        <w:rPr>
          <w:rFonts w:hint="eastAsia" w:asciiTheme="minorEastAsia" w:hAnsiTheme="minorEastAsia" w:eastAsiaTheme="minorEastAsia"/>
          <w:b/>
          <w:sz w:val="24"/>
        </w:rPr>
        <w:t>（九）投标无效的情形</w:t>
      </w:r>
      <w:bookmarkEnd w:id="47"/>
    </w:p>
    <w:p w14:paraId="7B3E502A">
      <w:pPr>
        <w:snapToGrid w:val="0"/>
        <w:spacing w:line="360" w:lineRule="auto"/>
        <w:ind w:firstLine="480" w:firstLineChars="200"/>
        <w:rPr>
          <w:rFonts w:asciiTheme="minorEastAsia" w:hAnsiTheme="minorEastAsia" w:eastAsiaTheme="minorEastAsia"/>
          <w:sz w:val="24"/>
          <w:szCs w:val="20"/>
        </w:rPr>
      </w:pPr>
      <w:bookmarkStart w:id="48" w:name="_Toc177870553"/>
      <w:r>
        <w:rPr>
          <w:rFonts w:hint="eastAsia" w:asciiTheme="minorEastAsia" w:hAnsiTheme="minorEastAsia" w:eastAsiaTheme="minor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48"/>
    <w:p w14:paraId="5E4BB3C8">
      <w:pPr>
        <w:numPr>
          <w:ilvl w:val="0"/>
          <w:numId w:val="9"/>
        </w:num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14:paraId="41F20BCB">
      <w:pPr>
        <w:snapToGrid w:val="0"/>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14:paraId="2255CAE4">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14:paraId="5CA561FE">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14:paraId="35F00068">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（4）投标文件未按招标文件要求签署、盖章的；</w:t>
      </w:r>
    </w:p>
    <w:p w14:paraId="48315779">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（5）与招标文件有重大偏离、未满足带“▲”号实质性指标的投标文件；</w:t>
      </w:r>
    </w:p>
    <w:p w14:paraId="1D1CE557">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14:paraId="2A3F64D5">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（7）技术及商务文件中出现投标价格信息的；</w:t>
      </w:r>
    </w:p>
    <w:p w14:paraId="08C5EFF0">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14:paraId="336149F0">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（9）投标文件含有采购人不能接受的附加条件的；</w:t>
      </w:r>
    </w:p>
    <w:p w14:paraId="5B97FDB8">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（10）不符合法律、法规和本招标文件规定的其他实质性要求的。</w:t>
      </w:r>
    </w:p>
    <w:p w14:paraId="7447C2AC">
      <w:pPr>
        <w:snapToGrid w:val="0"/>
        <w:spacing w:line="360" w:lineRule="auto"/>
        <w:ind w:firstLine="600" w:firstLineChars="250"/>
        <w:rPr>
          <w:rFonts w:asciiTheme="minorEastAsia" w:hAnsiTheme="minorEastAsia" w:eastAsiaTheme="minorEastAsia"/>
          <w:b/>
          <w:sz w:val="24"/>
        </w:rPr>
      </w:pPr>
      <w:r>
        <w:rPr>
          <w:rFonts w:hint="eastAsia" w:asciiTheme="minorEastAsia" w:hAnsiTheme="minorEastAsia" w:eastAsiaTheme="minorEastAsia"/>
          <w:sz w:val="24"/>
          <w:lang w:val="zh-CN"/>
        </w:rPr>
        <w:t>2.在</w:t>
      </w:r>
      <w:r>
        <w:rPr>
          <w:rFonts w:hint="eastAsia" w:asciiTheme="minorEastAsia" w:hAnsiTheme="minorEastAsia" w:eastAsiaTheme="minorEastAsia"/>
          <w:sz w:val="24"/>
          <w:lang w:val="en-US" w:eastAsia="zh-CN"/>
        </w:rPr>
        <w:t>技术及商务</w:t>
      </w:r>
      <w:r>
        <w:rPr>
          <w:rFonts w:hint="eastAsia" w:asciiTheme="minorEastAsia" w:hAnsiTheme="minorEastAsia" w:eastAsiaTheme="minorEastAsia"/>
          <w:sz w:val="24"/>
          <w:lang w:val="zh-CN"/>
        </w:rPr>
        <w:t>评议时，如发现下列情形之一的，投标文件将被视为无效投标：</w:t>
      </w:r>
    </w:p>
    <w:p w14:paraId="245F2640">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14:paraId="3F36F472">
      <w:pPr>
        <w:autoSpaceDE w:val="0"/>
        <w:autoSpaceDN w:val="0"/>
        <w:adjustRightInd w:val="0"/>
        <w:spacing w:line="360" w:lineRule="auto"/>
        <w:ind w:firstLine="480" w:firstLineChars="200"/>
        <w:rPr>
          <w:rFonts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）明显不符合招标文件标明的规格型号、质量标准的；或者与招标文件中标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14:paraId="6ED5465D">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14:paraId="744D7B51">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（4）与其他参加本次投标供应商的投标文件（技术及商务文件）的文字表述内容相同连续20行以上或者差错相同2处以上的；</w:t>
      </w:r>
    </w:p>
    <w:p w14:paraId="5DABFF13">
      <w:pPr>
        <w:autoSpaceDE w:val="0"/>
        <w:autoSpaceDN w:val="0"/>
        <w:adjustRightInd w:val="0"/>
        <w:spacing w:line="360" w:lineRule="auto"/>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14:paraId="6BA9740F">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（1）未采用人民币报价或者未按照招标文件标明的币种报价的；</w:t>
      </w:r>
    </w:p>
    <w:p w14:paraId="17E64B8D">
      <w:pPr>
        <w:autoSpaceDE w:val="0"/>
        <w:autoSpaceDN w:val="0"/>
        <w:adjustRightInd w:val="0"/>
        <w:spacing w:line="360" w:lineRule="auto"/>
        <w:ind w:left="482"/>
        <w:rPr>
          <w:rFonts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（2）投标总报价超出招标文件规定的上限价的，或者投标单价超出招标文件规定的上限价的；</w:t>
      </w:r>
    </w:p>
    <w:p w14:paraId="1999DE02">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14:paraId="25756E41">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14:paraId="07F76FC2">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4.符合招标文件明确规定的其他无效投标条款的。</w:t>
      </w:r>
    </w:p>
    <w:p w14:paraId="31891DF1">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5.有下列情形之一的，投标无效且将投标文件、询标记录等报同级政府采购监管部门或有关职能部门查处：</w:t>
      </w:r>
    </w:p>
    <w:p w14:paraId="330550EA">
      <w:pPr>
        <w:autoSpaceDE w:val="0"/>
        <w:autoSpaceDN w:val="0"/>
        <w:adjustRightInd w:val="0"/>
        <w:spacing w:line="360" w:lineRule="auto"/>
        <w:ind w:left="480"/>
        <w:rPr>
          <w:rFonts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14:paraId="79B826CB">
      <w:pPr>
        <w:pStyle w:val="16"/>
        <w:snapToGrid w:val="0"/>
        <w:spacing w:line="360" w:lineRule="auto"/>
        <w:ind w:leftChars="0"/>
        <w:rPr>
          <w:rFonts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14:paraId="0EAC3B44">
      <w:pPr>
        <w:pStyle w:val="16"/>
        <w:snapToGrid w:val="0"/>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四、开标</w:t>
      </w:r>
    </w:p>
    <w:p w14:paraId="3F4486D4">
      <w:pPr>
        <w:pStyle w:val="16"/>
        <w:snapToGrid w:val="0"/>
        <w:spacing w:after="0" w:line="360" w:lineRule="auto"/>
        <w:ind w:left="0" w:leftChars="0" w:firstLine="354" w:firstLineChars="147"/>
        <w:outlineLvl w:val="1"/>
        <w:rPr>
          <w:rFonts w:asciiTheme="minorEastAsia" w:hAnsiTheme="minorEastAsia" w:eastAsiaTheme="minorEastAsia"/>
          <w:b/>
          <w:sz w:val="24"/>
        </w:rPr>
      </w:pPr>
      <w:r>
        <w:rPr>
          <w:rFonts w:hint="eastAsia" w:asciiTheme="minorEastAsia" w:hAnsiTheme="minorEastAsia" w:eastAsiaTheme="minorEastAsia"/>
          <w:b/>
          <w:sz w:val="24"/>
        </w:rPr>
        <w:t>（一）开标准备</w:t>
      </w:r>
    </w:p>
    <w:p w14:paraId="20D093BD">
      <w:pPr>
        <w:autoSpaceDE w:val="0"/>
        <w:autoSpaceDN w:val="0"/>
        <w:adjustRightInd w:val="0"/>
        <w:spacing w:line="360" w:lineRule="auto"/>
        <w:ind w:firstLine="354"/>
        <w:rPr>
          <w:rFonts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采购组织机构将按照招标文件规定的时间通过“</w:t>
      </w:r>
      <w:r>
        <w:rPr>
          <w:rFonts w:hint="eastAsia" w:asciiTheme="minorEastAsia" w:hAnsiTheme="minorEastAsia" w:eastAsiaTheme="minorEastAsia"/>
          <w:sz w:val="24"/>
          <w:lang w:val="en-US" w:eastAsia="zh-CN"/>
        </w:rPr>
        <w:t>乐采</w:t>
      </w:r>
      <w:r>
        <w:rPr>
          <w:rFonts w:hint="eastAsia" w:asciiTheme="minorEastAsia" w:hAnsiTheme="minorEastAsia" w:eastAsiaTheme="minorEastAsia"/>
          <w:sz w:val="24"/>
          <w:lang w:val="zh-CN"/>
        </w:rPr>
        <w:t>云平台”组织开标、开启投标文件，所有供应商均应当准时在线参加</w:t>
      </w:r>
    </w:p>
    <w:p w14:paraId="4A4E8FDF">
      <w:pPr>
        <w:pStyle w:val="19"/>
        <w:snapToGrid w:val="0"/>
        <w:spacing w:line="360" w:lineRule="auto"/>
        <w:ind w:firstLine="354" w:firstLineChars="147"/>
        <w:rPr>
          <w:rFonts w:asciiTheme="minorEastAsia" w:hAnsiTheme="minorEastAsia" w:eastAsiaTheme="minorEastAsia"/>
          <w:b/>
          <w:color w:val="FF0000"/>
          <w:sz w:val="24"/>
        </w:rPr>
      </w:pPr>
      <w:r>
        <w:rPr>
          <w:rFonts w:hint="eastAsia" w:asciiTheme="minorEastAsia" w:hAnsiTheme="minorEastAsia" w:eastAsiaTheme="minorEastAsia"/>
          <w:b/>
          <w:sz w:val="24"/>
        </w:rPr>
        <w:t xml:space="preserve">（二） </w:t>
      </w:r>
      <w:r>
        <w:rPr>
          <w:rFonts w:hint="eastAsia" w:asciiTheme="minorEastAsia" w:hAnsiTheme="minorEastAsia" w:eastAsiaTheme="minorEastAsia"/>
          <w:b/>
          <w:color w:val="000000"/>
          <w:sz w:val="24"/>
        </w:rPr>
        <w:t>开标准备：</w:t>
      </w:r>
    </w:p>
    <w:p w14:paraId="7F3A4000">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1、开标的准备工作由采购组织机构负责落实；</w:t>
      </w:r>
    </w:p>
    <w:p w14:paraId="32930CB5">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2、采购组织机构将按照招标文件规定的时间通过“</w:t>
      </w:r>
      <w:r>
        <w:rPr>
          <w:rFonts w:hint="eastAsia" w:asciiTheme="minorEastAsia" w:hAnsiTheme="minorEastAsia" w:eastAsiaTheme="minorEastAsia"/>
          <w:sz w:val="24"/>
          <w:lang w:val="en-US" w:eastAsia="zh-CN"/>
        </w:rPr>
        <w:t>乐采</w:t>
      </w:r>
      <w:r>
        <w:rPr>
          <w:rFonts w:hint="eastAsia" w:asciiTheme="minorEastAsia" w:hAnsiTheme="minorEastAsia" w:eastAsiaTheme="minorEastAsia"/>
          <w:sz w:val="24"/>
          <w:lang w:val="zh-CN"/>
        </w:rPr>
        <w:t>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AB5811A">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（三）开标流程</w:t>
      </w:r>
    </w:p>
    <w:p w14:paraId="5A3DA45D">
      <w:pPr>
        <w:pStyle w:val="19"/>
        <w:snapToGrid w:val="0"/>
        <w:spacing w:line="360" w:lineRule="auto"/>
        <w:ind w:firstLine="470" w:firstLineChars="196"/>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w:t>
      </w:r>
      <w:r>
        <w:rPr>
          <w:rFonts w:hint="eastAsia" w:asciiTheme="minorEastAsia" w:hAnsiTheme="minorEastAsia" w:eastAsiaTheme="minorEastAsia"/>
          <w:sz w:val="24"/>
          <w:szCs w:val="24"/>
          <w:lang w:val="en-US" w:eastAsia="zh-CN"/>
        </w:rPr>
        <w:t>乐采云</w:t>
      </w:r>
      <w:r>
        <w:rPr>
          <w:rFonts w:hint="eastAsia" w:asciiTheme="minorEastAsia" w:hAnsiTheme="minorEastAsia" w:eastAsiaTheme="minorEastAsia"/>
          <w:sz w:val="24"/>
          <w:szCs w:val="24"/>
          <w:lang w:val="zh-CN"/>
        </w:rPr>
        <w:t>平台”操作规范将备份投标文件上传至“</w:t>
      </w:r>
      <w:r>
        <w:rPr>
          <w:rFonts w:hint="eastAsia" w:asciiTheme="minorEastAsia" w:hAnsiTheme="minorEastAsia" w:eastAsiaTheme="minorEastAsia"/>
          <w:sz w:val="24"/>
          <w:szCs w:val="24"/>
          <w:lang w:val="en-US" w:eastAsia="zh-CN"/>
        </w:rPr>
        <w:t>乐采</w:t>
      </w:r>
      <w:r>
        <w:rPr>
          <w:rFonts w:hint="eastAsia" w:asciiTheme="minorEastAsia" w:hAnsiTheme="minorEastAsia" w:eastAsiaTheme="minorEastAsia"/>
          <w:sz w:val="24"/>
          <w:szCs w:val="24"/>
          <w:lang w:val="zh-CN"/>
        </w:rPr>
        <w:t>云平台”，上传成功后，“电子加密投标文件”自动失效；</w:t>
      </w:r>
    </w:p>
    <w:p w14:paraId="19E1779E">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2.评标委员会对资格和技术及商务响应文件进行评审；</w:t>
      </w:r>
    </w:p>
    <w:p w14:paraId="02FF9997">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3.在系统上公开资格和技术及商务评审结果；</w:t>
      </w:r>
    </w:p>
    <w:p w14:paraId="751555CB">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14:paraId="1CAFC6A3">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14:paraId="0AC96B39">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14:paraId="636452E5">
      <w:pPr>
        <w:spacing w:line="360" w:lineRule="auto"/>
        <w:ind w:firstLine="426" w:firstLineChars="177"/>
        <w:jc w:val="left"/>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w:t>
      </w:r>
      <w:r>
        <w:rPr>
          <w:rFonts w:hint="eastAsia" w:cs="Arial" w:asciiTheme="minorEastAsia" w:hAnsiTheme="minorEastAsia" w:eastAsiaTheme="minorEastAsia"/>
          <w:b/>
          <w:color w:val="000000"/>
          <w:kern w:val="0"/>
          <w:sz w:val="24"/>
          <w:lang w:val="en-US" w:eastAsia="zh-CN"/>
        </w:rPr>
        <w:t>乐采云</w:t>
      </w:r>
      <w:r>
        <w:rPr>
          <w:rFonts w:hint="eastAsia" w:cs="Arial" w:asciiTheme="minorEastAsia" w:hAnsiTheme="minorEastAsia" w:eastAsiaTheme="minorEastAsia"/>
          <w:b/>
          <w:color w:val="000000"/>
          <w:kern w:val="0"/>
          <w:sz w:val="24"/>
        </w:rPr>
        <w:t>平台”电子化开标或评审程序调整的，按调整后程序执行。</w:t>
      </w:r>
    </w:p>
    <w:p w14:paraId="7BB3FDC7">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（四）投标供应商资格审查</w:t>
      </w:r>
    </w:p>
    <w:p w14:paraId="664A4232">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1、开标大会第一阶段结束后，采购人或采购代理机构首先依法对各投标供应商的资格进行审查，审查各投标供应商的资格是否满足招标文件的要求。</w:t>
      </w:r>
      <w:r>
        <w:rPr>
          <w:rFonts w:asciiTheme="minorEastAsia" w:hAnsiTheme="minorEastAsia" w:eastAsiaTheme="minorEastAsia"/>
          <w:sz w:val="24"/>
          <w:szCs w:val="24"/>
          <w:lang w:val="zh-CN"/>
        </w:rPr>
        <w:t>采购人或采购代理机构对投标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，采购人可取消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14:paraId="6C9C8FF2">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1F465E9">
      <w:pPr>
        <w:pStyle w:val="19"/>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3、单位负责人为同一人或者存在直接控股、管理关系的不同供应商参加同一合同项下的政府采购活动的，相关投标供应商均作资格无效处理。</w:t>
      </w:r>
    </w:p>
    <w:p w14:paraId="5B0B193F">
      <w:pPr>
        <w:autoSpaceDE w:val="0"/>
        <w:autoSpaceDN w:val="0"/>
        <w:adjustRightInd w:val="0"/>
        <w:spacing w:line="360" w:lineRule="auto"/>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14:paraId="0BA48A4F">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14:paraId="70174540">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采购机构依法组建由5人以上（含）奇数的人员组成的评标委员会，负责对投标文件进行审查、质询、评审和比较等。评标委员会由采购人代表和采购咨询专家组成，其中采购咨询专家人数不少于成员总数的三分之二。 </w:t>
      </w:r>
    </w:p>
    <w:p w14:paraId="03B96FFA">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14:paraId="391EF587">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本项目采用不公开方式评标，评标的依据为招标文件和投标文件。</w:t>
      </w:r>
    </w:p>
    <w:p w14:paraId="611583D3">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14:paraId="62774144">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14:paraId="46A01D8E">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7963C48C">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14:paraId="3D884BEE">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14:paraId="3C7BFDC2">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（1）评标委员会审查投标文件的实质性内容是否符合招标文件的实质性要求。</w:t>
      </w:r>
    </w:p>
    <w:p w14:paraId="25F03D3A">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14:paraId="7E2EDF14">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（3）各供应商的技术及商务得分按照评标委员会成员的独立评分结果汇总数后的算术平均分计算。</w:t>
      </w:r>
    </w:p>
    <w:p w14:paraId="3369B2C1">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14:paraId="698572E8">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14:paraId="1CA2D1BC">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14:paraId="56C4D10A">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42EE071B">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14:paraId="79AA1C8F">
      <w:pPr>
        <w:pStyle w:val="19"/>
        <w:snapToGrid w:val="0"/>
        <w:spacing w:line="360" w:lineRule="auto"/>
        <w:ind w:firstLine="434" w:firstLineChars="181"/>
        <w:rPr>
          <w:rFonts w:asciiTheme="minorEastAsia" w:hAnsiTheme="minorEastAsia" w:eastAsiaTheme="minorEastAsia"/>
          <w:sz w:val="24"/>
        </w:rPr>
      </w:pPr>
      <w:bookmarkStart w:id="49" w:name="_Toc177870555"/>
      <w:r>
        <w:rPr>
          <w:rFonts w:hint="eastAsia" w:asciiTheme="minorEastAsia" w:hAnsiTheme="minorEastAsia" w:eastAsiaTheme="minorEastAsia"/>
          <w:sz w:val="24"/>
        </w:rPr>
        <w:t>投标文件如果出现计算或表达上的错误，修正错误的原则如下：</w:t>
      </w:r>
    </w:p>
    <w:p w14:paraId="0D8B7C8E">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14:paraId="106740E6">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2.投标文件报价出现前后不一致的，除招标文件另有规定外，按照下列规定修正： </w:t>
      </w:r>
    </w:p>
    <w:p w14:paraId="74966E0D">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14:paraId="2D9A5D3C">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14:paraId="79FFB744">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14:paraId="6CEF12CA">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14:paraId="0647B1B5">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14:paraId="0D6B5820">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14:paraId="674163F3">
      <w:pPr>
        <w:pStyle w:val="19"/>
        <w:snapToGrid w:val="0"/>
        <w:spacing w:line="360" w:lineRule="auto"/>
        <w:ind w:firstLine="557" w:firstLineChars="231"/>
        <w:rPr>
          <w:rFonts w:asciiTheme="minorEastAsia" w:hAnsiTheme="minorEastAsia" w:eastAsiaTheme="minorEastAsia"/>
          <w:b/>
          <w:sz w:val="24"/>
        </w:rPr>
      </w:pPr>
      <w:r>
        <w:rPr>
          <w:rFonts w:hint="eastAsia" w:asciiTheme="minorEastAsia" w:hAnsiTheme="minorEastAsia" w:eastAsiaTheme="minorEastAsia"/>
          <w:b/>
          <w:color w:val="000000"/>
          <w:sz w:val="24"/>
        </w:rPr>
        <w:t xml:space="preserve">（六） </w:t>
      </w:r>
      <w:r>
        <w:rPr>
          <w:rFonts w:hint="eastAsia" w:asciiTheme="minorEastAsia" w:hAnsiTheme="minorEastAsia" w:eastAsiaTheme="minorEastAsia"/>
          <w:b/>
          <w:sz w:val="24"/>
        </w:rPr>
        <w:t>评标过程的保密</w:t>
      </w:r>
    </w:p>
    <w:p w14:paraId="74A07D4B">
      <w:pPr>
        <w:pStyle w:val="19"/>
        <w:snapToGrid w:val="0"/>
        <w:spacing w:line="360" w:lineRule="auto"/>
        <w:ind w:firstLine="556" w:firstLineChars="232"/>
        <w:rPr>
          <w:rFonts w:asciiTheme="minorEastAsia" w:hAnsiTheme="minorEastAsia" w:eastAsiaTheme="minorEastAsia"/>
          <w:color w:val="000000"/>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14:paraId="780DC267">
      <w:pPr>
        <w:pStyle w:val="19"/>
        <w:tabs>
          <w:tab w:val="left" w:pos="630"/>
        </w:tabs>
        <w:snapToGrid w:val="0"/>
        <w:spacing w:line="360" w:lineRule="auto"/>
        <w:ind w:firstLine="439" w:firstLineChars="182"/>
        <w:rPr>
          <w:rFonts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49"/>
    <w:p w14:paraId="2C20E625">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14:paraId="125B82E8">
      <w:pPr>
        <w:autoSpaceDE w:val="0"/>
        <w:autoSpaceDN w:val="0"/>
        <w:adjustRightInd w:val="0"/>
        <w:spacing w:line="276"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14:paraId="399A7E87">
      <w:pPr>
        <w:pStyle w:val="19"/>
        <w:snapToGrid w:val="0"/>
        <w:spacing w:line="360" w:lineRule="auto"/>
        <w:ind w:firstLine="436" w:firstLineChars="181"/>
        <w:outlineLvl w:val="1"/>
        <w:rPr>
          <w:rFonts w:asciiTheme="minorEastAsia" w:hAnsiTheme="minorEastAsia" w:eastAsiaTheme="minorEastAsia"/>
          <w:b/>
          <w:sz w:val="24"/>
        </w:rPr>
      </w:pPr>
      <w:r>
        <w:rPr>
          <w:rFonts w:hint="eastAsia" w:asciiTheme="minorEastAsia" w:hAnsiTheme="minorEastAsia" w:eastAsiaTheme="minorEastAsia"/>
          <w:b/>
          <w:sz w:val="24"/>
        </w:rPr>
        <w:t>六、中标公示和定标</w:t>
      </w:r>
    </w:p>
    <w:p w14:paraId="2888D91C">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1.中标公示：采购机构在评标结束后将采购结果确认函交采购人确认，采购结果经采购人确认后，将采购结果在发布招标公告的网站上进行1个工作日的中标公示。</w:t>
      </w:r>
    </w:p>
    <w:p w14:paraId="239822F8">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2.质疑：相关投标人如对采购结果有异议需提出质疑的，应当在中标公示结束前以书面形式向采购机构提出。</w:t>
      </w:r>
    </w:p>
    <w:p w14:paraId="2ABF05F4">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3.质疑处理：相关投标人提出质疑后，采购人有权要求中标候选人提供相关证明材料。</w:t>
      </w:r>
    </w:p>
    <w:p w14:paraId="52C34BBC">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4.采购人应在收到采购结果确认函后5个工作日内对采购结果进行确认。如有投标人对采购结果提出质疑的，采购人可在质疑处理完毕后确定中标人。</w:t>
      </w:r>
    </w:p>
    <w:p w14:paraId="4294F85C">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5.采购结果在中标公示结束后，采购机构以书面形式发出《中标通知书》。如有投标人在中标公示期间提出质疑的，按照相关法规执行。</w:t>
      </w:r>
    </w:p>
    <w:p w14:paraId="57B4D0D0">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14:paraId="168E8A22">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中标人应在中标通知书发出后30日内与采购人签订合同。</w:t>
      </w:r>
    </w:p>
    <w:p w14:paraId="64282851">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 xml:space="preserve">将被取消中标资格。 </w:t>
      </w:r>
      <w:bookmarkEnd w:id="1"/>
      <w:bookmarkStart w:id="50" w:name="_Hlk521930991"/>
    </w:p>
    <w:p w14:paraId="4F50F92A">
      <w:pPr>
        <w:pStyle w:val="9"/>
        <w:tabs>
          <w:tab w:val="left" w:pos="1365"/>
          <w:tab w:val="left" w:pos="3375"/>
        </w:tabs>
        <w:spacing w:line="360" w:lineRule="auto"/>
        <w:ind w:firstLine="482"/>
        <w:rPr>
          <w:rFonts w:ascii="宋体" w:hAnsi="宋体"/>
          <w:b/>
          <w:sz w:val="24"/>
          <w:szCs w:val="20"/>
          <w:lang w:val="zh-CN"/>
        </w:rPr>
      </w:pPr>
      <w:r>
        <w:rPr>
          <w:rFonts w:hint="eastAsia" w:ascii="宋体" w:hAnsi="宋体"/>
          <w:b/>
          <w:sz w:val="24"/>
          <w:szCs w:val="20"/>
          <w:lang w:val="zh-CN"/>
        </w:rPr>
        <w:t>八、代理服务费</w:t>
      </w:r>
    </w:p>
    <w:p w14:paraId="0E279DEC">
      <w:pPr>
        <w:autoSpaceDE w:val="0"/>
        <w:autoSpaceDN w:val="0"/>
        <w:adjustRightInd w:val="0"/>
        <w:spacing w:line="360" w:lineRule="auto"/>
        <w:ind w:firstLine="437"/>
        <w:rPr>
          <w:rFonts w:hint="eastAsia"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lang w:val="zh-CN"/>
        </w:rPr>
        <w:t>本项目招标代理费：按浙价服[2003]77号文件（货物类）收费标准</w:t>
      </w:r>
      <w:r>
        <w:rPr>
          <w:rFonts w:hint="eastAsia" w:asciiTheme="minorEastAsia" w:hAnsiTheme="minorEastAsia" w:eastAsiaTheme="minorEastAsia"/>
          <w:sz w:val="24"/>
          <w:highlight w:val="none"/>
          <w:lang w:val="en-US" w:eastAsia="zh-CN"/>
        </w:rPr>
        <w:t>*50折</w:t>
      </w:r>
      <w:r>
        <w:rPr>
          <w:rFonts w:hint="eastAsia" w:asciiTheme="minorEastAsia" w:hAnsiTheme="minorEastAsia" w:eastAsiaTheme="minorEastAsia"/>
          <w:sz w:val="24"/>
          <w:highlight w:val="none"/>
          <w:lang w:val="zh-CN"/>
        </w:rPr>
        <w:t>计取，不足2000元的按2000元计算；</w:t>
      </w:r>
    </w:p>
    <w:p w14:paraId="104882E5">
      <w:pPr>
        <w:autoSpaceDE w:val="0"/>
        <w:autoSpaceDN w:val="0"/>
        <w:adjustRightInd w:val="0"/>
        <w:spacing w:line="360" w:lineRule="auto"/>
        <w:ind w:firstLine="437"/>
        <w:rPr>
          <w:rFonts w:hint="eastAsia"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lang w:val="zh-CN"/>
        </w:rPr>
        <w:t>开标过程中产生的其他费用按实际支出收取；</w:t>
      </w:r>
    </w:p>
    <w:p w14:paraId="7C0E8203">
      <w:pPr>
        <w:autoSpaceDE w:val="0"/>
        <w:autoSpaceDN w:val="0"/>
        <w:adjustRightInd w:val="0"/>
        <w:spacing w:line="360" w:lineRule="auto"/>
        <w:ind w:firstLine="437"/>
        <w:rPr>
          <w:rFonts w:asciiTheme="minorEastAsia" w:hAnsiTheme="minorEastAsia" w:eastAsiaTheme="minorEastAsia"/>
          <w:sz w:val="24"/>
          <w:lang w:val="zh-CN"/>
        </w:rPr>
        <w:sectPr>
          <w:pgSz w:w="11910" w:h="16840"/>
          <w:pgMar w:top="1134" w:right="1344" w:bottom="1134" w:left="1304" w:header="0" w:footer="993" w:gutter="0"/>
          <w:cols w:space="0" w:num="1"/>
        </w:sectPr>
      </w:pPr>
      <w:r>
        <w:rPr>
          <w:rFonts w:hint="eastAsia" w:asciiTheme="minorEastAsia" w:hAnsiTheme="minorEastAsia" w:eastAsiaTheme="minorEastAsia"/>
          <w:sz w:val="24"/>
          <w:highlight w:val="none"/>
          <w:lang w:val="zh-CN"/>
        </w:rPr>
        <w:t>以上费用均由中标单位在领取中标通知书时，一次性支付给代理公司，上述费用应含在投标报价中（不得单独列项），投标人在投标报价让利中考虑上述费用。以上费用均由中标单位在领取中标通知书时，一次性支付给代理公司，上述费用应含在投标报价中（不得单独列项），投标人在投标报价让利中考虑上述费用</w:t>
      </w:r>
      <w:r>
        <w:rPr>
          <w:rFonts w:hint="eastAsia" w:hAnsi="宋体"/>
          <w:sz w:val="24"/>
          <w:highlight w:val="none"/>
        </w:rPr>
        <w:t>。</w:t>
      </w:r>
    </w:p>
    <w:p w14:paraId="374C0E37">
      <w:pPr>
        <w:pStyle w:val="31"/>
        <w:adjustRightInd w:val="0"/>
        <w:snapToGrid w:val="0"/>
        <w:spacing w:after="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32"/>
          <w:szCs w:val="32"/>
        </w:rPr>
        <w:t>第四章  评标办法及评分标准</w:t>
      </w:r>
    </w:p>
    <w:bookmarkEnd w:id="50"/>
    <w:p w14:paraId="5618190E">
      <w:pPr>
        <w:spacing w:afterLines="50" w:line="24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14:paraId="5C4BE2CB">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6F39F2E4">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14:paraId="424B17EE">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w:t>
      </w:r>
      <w:r>
        <w:rPr>
          <w:rFonts w:hint="eastAsia" w:asciiTheme="minorEastAsia" w:hAnsiTheme="minorEastAsia" w:eastAsiaTheme="minorEastAsia"/>
          <w:b/>
          <w:bCs/>
          <w:sz w:val="24"/>
          <w:lang w:val="en-US" w:eastAsia="zh-CN"/>
        </w:rPr>
        <w:t>30</w:t>
      </w:r>
      <w:r>
        <w:rPr>
          <w:rFonts w:hint="eastAsia" w:asciiTheme="minorEastAsia" w:hAnsiTheme="minorEastAsia" w:eastAsiaTheme="minorEastAsia"/>
          <w:b/>
          <w:bCs/>
          <w:sz w:val="24"/>
        </w:rPr>
        <w:t>分）</w:t>
      </w:r>
    </w:p>
    <w:p w14:paraId="36821CC9">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、价格分采用低价优先法计算，即满足招标文件要求且投标价格最低的投标报价为评标基准价，其价格分为满分，其他投标人的价格分按照下列公式计算：</w:t>
      </w:r>
    </w:p>
    <w:p w14:paraId="2C315C1A">
      <w:pPr>
        <w:autoSpaceDE w:val="0"/>
        <w:autoSpaceDN w:val="0"/>
        <w:adjustRightInd w:val="0"/>
        <w:spacing w:line="276" w:lineRule="auto"/>
        <w:ind w:firstLine="437"/>
        <w:rPr>
          <w:rFonts w:hint="default" w:asciiTheme="minorEastAsia" w:hAnsiTheme="minorEastAsia" w:eastAsiaTheme="minorEastAsia"/>
          <w:color w:val="0000FF"/>
          <w:sz w:val="24"/>
          <w:lang w:val="en-US"/>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w:t>
      </w:r>
      <w:r>
        <w:rPr>
          <w:rFonts w:hint="eastAsia" w:asciiTheme="minorEastAsia" w:hAnsiTheme="minorEastAsia" w:eastAsiaTheme="minorEastAsia"/>
          <w:sz w:val="24"/>
          <w:lang w:val="en-US" w:eastAsia="zh-CN"/>
        </w:rPr>
        <w:t>30</w:t>
      </w:r>
    </w:p>
    <w:p w14:paraId="1BD9149B">
      <w:pPr>
        <w:autoSpaceDE w:val="0"/>
        <w:autoSpaceDN w:val="0"/>
        <w:adjustRightInd w:val="0"/>
        <w:spacing w:line="276" w:lineRule="auto"/>
        <w:ind w:left="557" w:leftChars="208" w:hanging="120" w:hangingChars="5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2、投标人的投标报价超过设定的上限价的作为无效标处理。</w:t>
      </w:r>
      <w:r>
        <w:rPr>
          <w:rFonts w:hint="eastAsia" w:cs="宋体" w:asciiTheme="minorEastAsia" w:hAnsiTheme="minorEastAsia" w:eastAsiaTheme="minorEastAsia"/>
          <w:b/>
          <w:bCs/>
          <w:sz w:val="24"/>
        </w:rPr>
        <w:t>本项目最高限价为：</w:t>
      </w:r>
      <w:r>
        <w:rPr>
          <w:rFonts w:hint="eastAsia" w:asciiTheme="minorEastAsia" w:hAnsiTheme="minorEastAsia" w:eastAsiaTheme="minorEastAsia"/>
          <w:b/>
          <w:color w:val="FF0000"/>
          <w:sz w:val="24"/>
          <w:u w:val="single"/>
          <w:lang w:eastAsia="zh-CN"/>
        </w:rPr>
        <w:t>18.3584万元</w:t>
      </w:r>
      <w:r>
        <w:rPr>
          <w:rFonts w:hint="eastAsia" w:cs="宋体" w:asciiTheme="minorEastAsia" w:hAnsiTheme="minorEastAsia" w:eastAsiaTheme="minorEastAsia"/>
          <w:b/>
          <w:bCs/>
          <w:sz w:val="24"/>
        </w:rPr>
        <w:t>。</w:t>
      </w:r>
    </w:p>
    <w:p w14:paraId="7B7BFC7D">
      <w:pPr>
        <w:autoSpaceDE w:val="0"/>
        <w:autoSpaceDN w:val="0"/>
        <w:adjustRightInd w:val="0"/>
        <w:spacing w:line="360" w:lineRule="auto"/>
        <w:ind w:firstLine="480" w:firstLineChars="200"/>
        <w:rPr>
          <w:rFonts w:hint="eastAsia" w:ascii="宋体" w:hAnsi="宋体" w:eastAsia="宋体"/>
          <w:color w:val="auto"/>
          <w:sz w:val="24"/>
          <w:highlight w:val="none"/>
          <w:lang w:val="zh-CN"/>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lang w:val="zh-CN"/>
        </w:rPr>
        <w:t>本项目设置风险控制价为</w:t>
      </w:r>
      <w:r>
        <w:rPr>
          <w:rFonts w:hint="eastAsia" w:ascii="宋体" w:hAnsi="宋体"/>
          <w:color w:val="auto"/>
          <w:sz w:val="24"/>
          <w:highlight w:val="none"/>
          <w:u w:val="single"/>
          <w:lang w:val="en-US" w:eastAsia="zh-CN"/>
        </w:rPr>
        <w:t>14.6867</w:t>
      </w:r>
      <w:r>
        <w:rPr>
          <w:rFonts w:hint="eastAsia" w:ascii="宋体" w:hAnsi="宋体" w:eastAsia="宋体"/>
          <w:color w:val="auto"/>
          <w:sz w:val="24"/>
          <w:highlight w:val="none"/>
          <w:lang w:val="en-US" w:eastAsia="zh-CN"/>
        </w:rPr>
        <w:t>万元</w:t>
      </w:r>
      <w:r>
        <w:rPr>
          <w:rFonts w:hint="eastAsia" w:ascii="宋体" w:hAnsi="宋体" w:eastAsia="宋体"/>
          <w:color w:val="auto"/>
          <w:sz w:val="24"/>
          <w:highlight w:val="none"/>
          <w:lang w:val="zh-CN"/>
        </w:rPr>
        <w:t>（为最高限价的80%），投标报价低于风险控制价的，中标人在提交履约保证金的同时须额外向采购人提交中标净值与风险控制价之差额作为风险担保金（采用现金</w:t>
      </w:r>
      <w:r>
        <w:rPr>
          <w:rFonts w:hint="eastAsia" w:ascii="宋体" w:hAnsi="宋体" w:eastAsia="宋体"/>
          <w:color w:val="auto"/>
          <w:sz w:val="24"/>
          <w:highlight w:val="none"/>
          <w:lang w:val="zh-CN" w:eastAsia="zh-CN"/>
        </w:rPr>
        <w:t>或</w:t>
      </w:r>
      <w:r>
        <w:rPr>
          <w:rFonts w:hint="eastAsia" w:ascii="宋体" w:hAnsi="宋体" w:eastAsia="宋体"/>
          <w:color w:val="auto"/>
          <w:sz w:val="24"/>
          <w:highlight w:val="none"/>
          <w:lang w:val="zh-CN"/>
        </w:rPr>
        <w:t>转账</w:t>
      </w:r>
      <w:r>
        <w:rPr>
          <w:rFonts w:hint="eastAsia" w:ascii="宋体" w:hAnsi="宋体" w:eastAsia="宋体"/>
          <w:color w:val="auto"/>
          <w:sz w:val="24"/>
          <w:highlight w:val="none"/>
          <w:lang w:val="en-US" w:eastAsia="zh-CN"/>
        </w:rPr>
        <w:t>或</w:t>
      </w:r>
      <w:r>
        <w:rPr>
          <w:rFonts w:hint="eastAsia" w:ascii="宋体" w:hAnsi="宋体" w:eastAsia="宋体"/>
          <w:sz w:val="24"/>
          <w:highlight w:val="none"/>
        </w:rPr>
        <w:t>银行保函</w:t>
      </w:r>
      <w:r>
        <w:rPr>
          <w:rFonts w:hint="eastAsia" w:ascii="宋体" w:hAnsi="宋体" w:eastAsia="宋体"/>
          <w:color w:val="auto"/>
          <w:sz w:val="24"/>
          <w:highlight w:val="none"/>
          <w:lang w:val="zh-CN"/>
        </w:rPr>
        <w:t>方式），风险担保金至本项目按要求完工验收合格后5日内无息退还。如未按要求完成的，采购人有权扣留风险担保金。允许投标人报价低于风险控制价。</w:t>
      </w:r>
    </w:p>
    <w:p w14:paraId="55DF434D">
      <w:pPr>
        <w:tabs>
          <w:tab w:val="left" w:pos="3870"/>
          <w:tab w:val="left" w:pos="4085"/>
        </w:tabs>
        <w:snapToGrid w:val="0"/>
        <w:spacing w:afterLines="50" w:line="276"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.报价是中标的一个重要因素，但最低报价不是中标的唯一依据。</w:t>
      </w:r>
    </w:p>
    <w:p w14:paraId="674F45C9">
      <w:pPr>
        <w:pStyle w:val="19"/>
        <w:adjustRightInd w:val="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w:t>
      </w:r>
      <w:r>
        <w:rPr>
          <w:rFonts w:hint="eastAsia" w:asciiTheme="minorEastAsia" w:hAnsiTheme="minorEastAsia" w:eastAsiaTheme="minorEastAsia"/>
          <w:b/>
          <w:bCs/>
          <w:sz w:val="24"/>
          <w:szCs w:val="24"/>
          <w:lang w:eastAsia="zh-CN"/>
        </w:rPr>
        <w:t>技术及商务</w:t>
      </w:r>
      <w:r>
        <w:rPr>
          <w:rFonts w:hint="eastAsia" w:asciiTheme="minorEastAsia" w:hAnsiTheme="minorEastAsia" w:eastAsiaTheme="minorEastAsia"/>
          <w:b/>
          <w:bCs/>
          <w:sz w:val="24"/>
          <w:szCs w:val="24"/>
        </w:rPr>
        <w:t>部分的评分标准（</w:t>
      </w:r>
      <w:r>
        <w:rPr>
          <w:rFonts w:hint="eastAsia" w:asciiTheme="minorEastAsia" w:hAnsiTheme="minorEastAsia" w:eastAsiaTheme="minorEastAsia"/>
          <w:b/>
          <w:bCs/>
          <w:sz w:val="24"/>
          <w:szCs w:val="24"/>
          <w:lang w:val="en-US" w:eastAsia="zh-CN"/>
        </w:rPr>
        <w:t>70</w:t>
      </w:r>
      <w:r>
        <w:rPr>
          <w:rFonts w:hint="eastAsia" w:asciiTheme="minorEastAsia" w:hAnsiTheme="minorEastAsia" w:eastAsiaTheme="minorEastAsia"/>
          <w:b/>
          <w:bCs/>
          <w:sz w:val="24"/>
          <w:szCs w:val="24"/>
        </w:rPr>
        <w:t>分）</w:t>
      </w:r>
    </w:p>
    <w:tbl>
      <w:tblPr>
        <w:tblStyle w:val="33"/>
        <w:tblpPr w:leftFromText="180" w:rightFromText="180" w:vertAnchor="text" w:horzAnchor="page" w:tblpX="917" w:tblpY="571"/>
        <w:tblOverlap w:val="never"/>
        <w:tblW w:w="10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47"/>
        <w:gridCol w:w="730"/>
        <w:gridCol w:w="7409"/>
      </w:tblGrid>
      <w:tr w14:paraId="40BB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8" w:type="dxa"/>
            <w:gridSpan w:val="2"/>
            <w:tcBorders>
              <w:top w:val="single" w:color="auto" w:sz="4" w:space="0"/>
              <w:left w:val="single" w:color="auto" w:sz="4" w:space="0"/>
              <w:bottom w:val="single" w:color="auto" w:sz="4" w:space="0"/>
              <w:right w:val="single" w:color="auto" w:sz="4" w:space="0"/>
            </w:tcBorders>
            <w:noWrap w:val="0"/>
            <w:vAlign w:val="center"/>
          </w:tcPr>
          <w:p w14:paraId="48FF244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7569369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7409" w:type="dxa"/>
            <w:tcBorders>
              <w:top w:val="single" w:color="auto" w:sz="4" w:space="0"/>
              <w:left w:val="single" w:color="auto" w:sz="4" w:space="0"/>
              <w:bottom w:val="single" w:color="auto" w:sz="4" w:space="0"/>
              <w:right w:val="single" w:color="auto" w:sz="4" w:space="0"/>
            </w:tcBorders>
            <w:noWrap w:val="0"/>
            <w:vAlign w:val="center"/>
          </w:tcPr>
          <w:p w14:paraId="0E9D786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r>
      <w:tr w14:paraId="4109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vMerge w:val="restart"/>
            <w:tcBorders>
              <w:left w:val="single" w:color="auto" w:sz="4" w:space="0"/>
              <w:right w:val="single" w:color="auto" w:sz="4" w:space="0"/>
            </w:tcBorders>
            <w:noWrap w:val="0"/>
            <w:vAlign w:val="center"/>
          </w:tcPr>
          <w:p w14:paraId="633E6E60">
            <w:pPr>
              <w:tabs>
                <w:tab w:val="left" w:pos="3870"/>
                <w:tab w:val="left" w:pos="4085"/>
              </w:tabs>
              <w:snapToGrid w:val="0"/>
              <w:spacing w:after="120" w:afterLines="50" w:line="360" w:lineRule="auto"/>
              <w:jc w:val="center"/>
              <w:rPr>
                <w:rFonts w:hint="eastAsia" w:ascii="宋体" w:hAnsi="宋体" w:eastAsia="宋体" w:cs="宋体"/>
                <w:sz w:val="24"/>
                <w:szCs w:val="24"/>
              </w:rPr>
            </w:pPr>
          </w:p>
          <w:p w14:paraId="61D4C53A">
            <w:pPr>
              <w:tabs>
                <w:tab w:val="left" w:pos="3870"/>
                <w:tab w:val="left" w:pos="4085"/>
              </w:tabs>
              <w:snapToGrid w:val="0"/>
              <w:spacing w:after="120" w:afterLines="50" w:line="360" w:lineRule="auto"/>
              <w:jc w:val="center"/>
              <w:rPr>
                <w:rFonts w:hint="eastAsia" w:ascii="宋体" w:hAnsi="宋体" w:eastAsia="宋体" w:cs="宋体"/>
                <w:sz w:val="24"/>
                <w:szCs w:val="24"/>
              </w:rPr>
            </w:pPr>
          </w:p>
          <w:p w14:paraId="1C23E768">
            <w:pPr>
              <w:tabs>
                <w:tab w:val="left" w:pos="3870"/>
                <w:tab w:val="left" w:pos="4085"/>
              </w:tabs>
              <w:snapToGrid w:val="0"/>
              <w:spacing w:after="120" w:afterLines="50" w:line="360" w:lineRule="auto"/>
              <w:jc w:val="center"/>
              <w:rPr>
                <w:rFonts w:hint="eastAsia" w:ascii="宋体" w:hAnsi="宋体" w:eastAsia="宋体" w:cs="宋体"/>
                <w:sz w:val="24"/>
                <w:szCs w:val="24"/>
              </w:rPr>
            </w:pPr>
          </w:p>
          <w:p w14:paraId="6C21716E">
            <w:pPr>
              <w:tabs>
                <w:tab w:val="left" w:pos="3870"/>
                <w:tab w:val="left" w:pos="4085"/>
              </w:tabs>
              <w:snapToGrid w:val="0"/>
              <w:spacing w:after="120" w:afterLines="50" w:line="360" w:lineRule="auto"/>
              <w:jc w:val="center"/>
              <w:rPr>
                <w:rFonts w:hint="eastAsia" w:ascii="宋体" w:hAnsi="宋体" w:eastAsia="宋体" w:cs="宋体"/>
                <w:sz w:val="24"/>
                <w:szCs w:val="24"/>
              </w:rPr>
            </w:pPr>
          </w:p>
          <w:p w14:paraId="48160962">
            <w:pPr>
              <w:tabs>
                <w:tab w:val="left" w:pos="3870"/>
                <w:tab w:val="left" w:pos="4085"/>
              </w:tabs>
              <w:snapToGrid w:val="0"/>
              <w:spacing w:after="120" w:afterLines="50" w:line="360" w:lineRule="auto"/>
              <w:jc w:val="center"/>
              <w:rPr>
                <w:rFonts w:hint="eastAsia" w:ascii="宋体" w:hAnsi="宋体" w:eastAsia="宋体" w:cs="宋体"/>
                <w:sz w:val="24"/>
                <w:szCs w:val="24"/>
              </w:rPr>
            </w:pPr>
          </w:p>
          <w:p w14:paraId="43CCD495">
            <w:pPr>
              <w:tabs>
                <w:tab w:val="left" w:pos="3870"/>
                <w:tab w:val="left" w:pos="4085"/>
              </w:tabs>
              <w:snapToGrid w:val="0"/>
              <w:spacing w:after="120" w:afterLines="50" w:line="360" w:lineRule="auto"/>
              <w:jc w:val="center"/>
              <w:rPr>
                <w:rFonts w:hint="eastAsia" w:ascii="宋体" w:hAnsi="宋体" w:eastAsia="宋体" w:cs="宋体"/>
                <w:sz w:val="24"/>
                <w:szCs w:val="24"/>
              </w:rPr>
            </w:pPr>
          </w:p>
          <w:p w14:paraId="1549C9A2">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技</w:t>
            </w:r>
          </w:p>
          <w:p w14:paraId="690ECDAE">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术</w:t>
            </w:r>
          </w:p>
          <w:p w14:paraId="29221784">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及</w:t>
            </w:r>
          </w:p>
          <w:p w14:paraId="3E88FD81">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商</w:t>
            </w:r>
          </w:p>
          <w:p w14:paraId="6E34E660">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务</w:t>
            </w:r>
          </w:p>
          <w:p w14:paraId="5F93BA42">
            <w:pPr>
              <w:tabs>
                <w:tab w:val="left" w:pos="3870"/>
                <w:tab w:val="left" w:pos="4085"/>
              </w:tabs>
              <w:snapToGrid w:val="0"/>
              <w:spacing w:after="120" w:afterLines="50" w:line="360" w:lineRule="auto"/>
              <w:jc w:val="center"/>
              <w:rPr>
                <w:rFonts w:hint="eastAsia" w:ascii="宋体" w:hAnsi="宋体" w:eastAsia="宋体" w:cs="宋体"/>
                <w:sz w:val="24"/>
                <w:szCs w:val="24"/>
              </w:rPr>
            </w:pPr>
          </w:p>
        </w:tc>
        <w:tc>
          <w:tcPr>
            <w:tcW w:w="1347" w:type="dxa"/>
            <w:tcBorders>
              <w:top w:val="single" w:color="auto" w:sz="4" w:space="0"/>
              <w:left w:val="single" w:color="auto" w:sz="4" w:space="0"/>
              <w:right w:val="single" w:color="auto" w:sz="4" w:space="0"/>
            </w:tcBorders>
            <w:noWrap w:val="0"/>
            <w:vAlign w:val="center"/>
          </w:tcPr>
          <w:p w14:paraId="3F6BF34C">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业绩</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344A5A95">
            <w:pPr>
              <w:tabs>
                <w:tab w:val="left" w:pos="3870"/>
                <w:tab w:val="left" w:pos="4085"/>
              </w:tabs>
              <w:snapToGrid w:val="0"/>
              <w:spacing w:after="120" w:after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409" w:type="dxa"/>
            <w:tcBorders>
              <w:top w:val="single" w:color="auto" w:sz="4" w:space="0"/>
              <w:left w:val="single" w:color="auto" w:sz="4" w:space="0"/>
              <w:bottom w:val="single" w:color="auto" w:sz="4" w:space="0"/>
              <w:right w:val="single" w:color="auto" w:sz="4" w:space="0"/>
            </w:tcBorders>
            <w:noWrap w:val="0"/>
            <w:vAlign w:val="center"/>
          </w:tcPr>
          <w:p w14:paraId="2FC5EB36">
            <w:pPr>
              <w:tabs>
                <w:tab w:val="left" w:pos="3870"/>
                <w:tab w:val="left" w:pos="4085"/>
              </w:tabs>
              <w:snapToGrid w:val="0"/>
              <w:spacing w:after="120" w:afterLines="5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投标人2021年1月1日(以合同签订时间为准)至今同类项目实施业绩，每提供1个合同得1分，</w:t>
            </w:r>
            <w:bookmarkStart w:id="200" w:name="_GoBack"/>
            <w:bookmarkEnd w:id="200"/>
            <w:r>
              <w:rPr>
                <w:rFonts w:hint="eastAsia" w:ascii="宋体" w:hAnsi="宋体" w:eastAsia="宋体" w:cs="宋体"/>
                <w:color w:val="auto"/>
                <w:sz w:val="24"/>
                <w:szCs w:val="24"/>
              </w:rPr>
              <w:t>最高3得分</w:t>
            </w:r>
          </w:p>
          <w:p w14:paraId="3CBAC2DD">
            <w:pPr>
              <w:tabs>
                <w:tab w:val="left" w:pos="3870"/>
                <w:tab w:val="left" w:pos="4085"/>
              </w:tabs>
              <w:snapToGrid w:val="0"/>
              <w:spacing w:after="120" w:afterLines="5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(证明材料:提供合同、验收报告(复印件加盖公章)，未提供不得分)。</w:t>
            </w:r>
          </w:p>
        </w:tc>
      </w:tr>
      <w:tr w14:paraId="08F1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vMerge w:val="continue"/>
            <w:tcBorders>
              <w:left w:val="single" w:color="auto" w:sz="4" w:space="0"/>
              <w:right w:val="single" w:color="auto" w:sz="4" w:space="0"/>
            </w:tcBorders>
            <w:noWrap w:val="0"/>
            <w:vAlign w:val="center"/>
          </w:tcPr>
          <w:p w14:paraId="253E1BDD">
            <w:pPr>
              <w:tabs>
                <w:tab w:val="left" w:pos="3870"/>
                <w:tab w:val="left" w:pos="4085"/>
              </w:tabs>
              <w:snapToGrid w:val="0"/>
              <w:spacing w:after="120" w:afterLines="50" w:line="360" w:lineRule="auto"/>
              <w:ind w:firstLine="480" w:firstLineChars="200"/>
              <w:jc w:val="center"/>
              <w:rPr>
                <w:rFonts w:hint="eastAsia" w:ascii="宋体" w:hAnsi="宋体" w:eastAsia="宋体" w:cs="宋体"/>
                <w:sz w:val="24"/>
                <w:szCs w:val="24"/>
              </w:rPr>
            </w:pPr>
          </w:p>
        </w:tc>
        <w:tc>
          <w:tcPr>
            <w:tcW w:w="1347" w:type="dxa"/>
            <w:tcBorders>
              <w:left w:val="single" w:color="auto" w:sz="4" w:space="0"/>
              <w:right w:val="single" w:color="auto" w:sz="4" w:space="0"/>
            </w:tcBorders>
            <w:noWrap w:val="0"/>
            <w:vAlign w:val="center"/>
          </w:tcPr>
          <w:p w14:paraId="5EFDA4AC">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企业认证</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79F53C4C">
            <w:pPr>
              <w:tabs>
                <w:tab w:val="left" w:pos="3870"/>
                <w:tab w:val="left" w:pos="4085"/>
              </w:tabs>
              <w:snapToGrid w:val="0"/>
              <w:spacing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p>
        </w:tc>
        <w:tc>
          <w:tcPr>
            <w:tcW w:w="7409" w:type="dxa"/>
            <w:tcBorders>
              <w:top w:val="single" w:color="auto" w:sz="4" w:space="0"/>
              <w:left w:val="single" w:color="auto" w:sz="4" w:space="0"/>
              <w:bottom w:val="single" w:color="auto" w:sz="4" w:space="0"/>
              <w:right w:val="single" w:color="auto" w:sz="4" w:space="0"/>
            </w:tcBorders>
            <w:noWrap w:val="0"/>
            <w:vAlign w:val="center"/>
          </w:tcPr>
          <w:p w14:paraId="1AC7420B">
            <w:pPr>
              <w:tabs>
                <w:tab w:val="left" w:pos="3870"/>
                <w:tab w:val="left" w:pos="4085"/>
              </w:tabs>
              <w:snapToGrid w:val="0"/>
              <w:spacing w:after="120" w:afterLines="50" w:line="360" w:lineRule="auto"/>
              <w:jc w:val="both"/>
              <w:rPr>
                <w:rFonts w:hint="eastAsia" w:ascii="宋体" w:hAnsi="宋体" w:eastAsia="宋体" w:cs="宋体"/>
                <w:sz w:val="24"/>
                <w:szCs w:val="24"/>
              </w:rPr>
            </w:pPr>
            <w:r>
              <w:rPr>
                <w:rFonts w:hint="eastAsia" w:ascii="宋体" w:hAnsi="宋体" w:eastAsia="宋体" w:cs="宋体"/>
                <w:sz w:val="24"/>
                <w:szCs w:val="24"/>
              </w:rPr>
              <w:t>投标人或所投产品生产商具有有效的质量管理体系认证证书、环境管理体系认证证书、职业健康安全管理体系认证证书，每提供一个得1分，最高得3分。</w:t>
            </w:r>
          </w:p>
          <w:p w14:paraId="67E1F0AF">
            <w:pPr>
              <w:tabs>
                <w:tab w:val="left" w:pos="3870"/>
                <w:tab w:val="left" w:pos="4085"/>
              </w:tabs>
              <w:snapToGrid w:val="0"/>
              <w:spacing w:after="120" w:afterLines="5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注：提供加盖公章证书复印件和全国认证认可信息公共服务平台（http://cx.cnca.cn）关于投标人的网页查询截图且显示有效，未提供或提供不全的不得分，证书原件备查。</w:t>
            </w:r>
          </w:p>
        </w:tc>
      </w:tr>
      <w:tr w14:paraId="08E7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vMerge w:val="continue"/>
            <w:tcBorders>
              <w:left w:val="single" w:color="auto" w:sz="4" w:space="0"/>
              <w:right w:val="single" w:color="auto" w:sz="4" w:space="0"/>
            </w:tcBorders>
            <w:noWrap w:val="0"/>
            <w:vAlign w:val="center"/>
          </w:tcPr>
          <w:p w14:paraId="717686EE">
            <w:pPr>
              <w:tabs>
                <w:tab w:val="left" w:pos="3870"/>
                <w:tab w:val="left" w:pos="4085"/>
              </w:tabs>
              <w:snapToGrid w:val="0"/>
              <w:spacing w:after="120" w:afterLines="50" w:line="360" w:lineRule="auto"/>
              <w:ind w:firstLine="480" w:firstLineChars="200"/>
              <w:jc w:val="center"/>
              <w:rPr>
                <w:rFonts w:hint="eastAsia" w:ascii="宋体" w:hAnsi="宋体" w:eastAsia="宋体" w:cs="宋体"/>
                <w:sz w:val="24"/>
                <w:szCs w:val="24"/>
              </w:rPr>
            </w:pPr>
          </w:p>
        </w:tc>
        <w:tc>
          <w:tcPr>
            <w:tcW w:w="1347" w:type="dxa"/>
            <w:tcBorders>
              <w:left w:val="single" w:color="auto" w:sz="4" w:space="0"/>
              <w:right w:val="single" w:color="auto" w:sz="4" w:space="0"/>
            </w:tcBorders>
            <w:noWrap w:val="0"/>
            <w:vAlign w:val="center"/>
          </w:tcPr>
          <w:p w14:paraId="242C6106">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产品性能指标</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4C7D201E">
            <w:pPr>
              <w:tabs>
                <w:tab w:val="left" w:pos="3870"/>
                <w:tab w:val="left" w:pos="4085"/>
              </w:tabs>
              <w:snapToGrid w:val="0"/>
              <w:spacing w:after="120" w:after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409" w:type="dxa"/>
            <w:tcBorders>
              <w:top w:val="single" w:color="auto" w:sz="4" w:space="0"/>
              <w:left w:val="single" w:color="auto" w:sz="4" w:space="0"/>
              <w:bottom w:val="single" w:color="auto" w:sz="4" w:space="0"/>
              <w:right w:val="single" w:color="auto" w:sz="4" w:space="0"/>
            </w:tcBorders>
            <w:noWrap w:val="0"/>
            <w:vAlign w:val="center"/>
          </w:tcPr>
          <w:p w14:paraId="69D4F941">
            <w:pPr>
              <w:tabs>
                <w:tab w:val="left" w:pos="3870"/>
                <w:tab w:val="left" w:pos="4085"/>
              </w:tabs>
              <w:snapToGrid w:val="0"/>
              <w:spacing w:after="120" w:afterLines="50"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根据投标产品的功能参数、详细配置、技术指标等，全部满足招标文件要求的得10分，技术参数每有一项负偏离扣1分，扣完为止。</w:t>
            </w:r>
          </w:p>
          <w:p w14:paraId="6CB66817">
            <w:pPr>
              <w:tabs>
                <w:tab w:val="left" w:pos="3870"/>
                <w:tab w:val="left" w:pos="4085"/>
              </w:tabs>
              <w:snapToGrid w:val="0"/>
              <w:spacing w:after="120" w:afterLines="50" w:line="360" w:lineRule="auto"/>
              <w:jc w:val="both"/>
              <w:rPr>
                <w:rFonts w:hint="eastAsia" w:ascii="宋体" w:hAnsi="宋体" w:eastAsia="宋体" w:cs="宋体"/>
                <w:color w:val="auto"/>
                <w:sz w:val="24"/>
                <w:szCs w:val="24"/>
                <w:lang w:eastAsia="zh-CN"/>
              </w:rPr>
            </w:pPr>
            <w:r>
              <w:rPr>
                <w:rFonts w:hint="eastAsia" w:ascii="宋体" w:hAnsi="宋体" w:eastAsia="宋体" w:cs="宋体"/>
                <w:b w:val="0"/>
                <w:bCs w:val="0"/>
                <w:color w:val="auto"/>
                <w:kern w:val="2"/>
                <w:sz w:val="24"/>
                <w:szCs w:val="24"/>
                <w:lang w:val="en-US" w:eastAsia="zh-CN" w:bidi="ar-SA"/>
              </w:rPr>
              <w:t>备注：①上述“采购需求（技术要求）”是指本招标文采购需求所列的技术要求，投标人在投标时应当在《商务技术偏离表》中注意对照采购需求进行投标响应，并按照规定提供相关证明材料（如有），要求提供证明材料而未提供有效证明材料的，视为未响应，按负偏离处理；②投标文件《商务技术偏离表》响应情况与投标文件中所提供的产品技术材料不一致是投标人的责任，由此引发的任何后果由投标人自行承担。</w:t>
            </w:r>
          </w:p>
        </w:tc>
      </w:tr>
      <w:tr w14:paraId="14BC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vMerge w:val="continue"/>
            <w:tcBorders>
              <w:left w:val="single" w:color="auto" w:sz="4" w:space="0"/>
              <w:right w:val="single" w:color="auto" w:sz="4" w:space="0"/>
            </w:tcBorders>
            <w:noWrap w:val="0"/>
            <w:vAlign w:val="center"/>
          </w:tcPr>
          <w:p w14:paraId="092CAB08">
            <w:pPr>
              <w:tabs>
                <w:tab w:val="left" w:pos="3870"/>
                <w:tab w:val="left" w:pos="4085"/>
              </w:tabs>
              <w:snapToGrid w:val="0"/>
              <w:spacing w:after="120" w:afterLines="50" w:line="360" w:lineRule="auto"/>
              <w:ind w:firstLine="480" w:firstLineChars="200"/>
              <w:jc w:val="center"/>
              <w:rPr>
                <w:rFonts w:hint="eastAsia" w:ascii="宋体" w:hAnsi="宋体" w:eastAsia="宋体" w:cs="宋体"/>
                <w:sz w:val="24"/>
                <w:szCs w:val="24"/>
              </w:rPr>
            </w:pPr>
          </w:p>
        </w:tc>
        <w:tc>
          <w:tcPr>
            <w:tcW w:w="1347" w:type="dxa"/>
            <w:tcBorders>
              <w:left w:val="single" w:color="auto" w:sz="4" w:space="0"/>
              <w:right w:val="single" w:color="auto" w:sz="4" w:space="0"/>
            </w:tcBorders>
            <w:noWrap w:val="0"/>
            <w:vAlign w:val="center"/>
          </w:tcPr>
          <w:p w14:paraId="1F01EEC8">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04B510CC">
            <w:pPr>
              <w:tabs>
                <w:tab w:val="left" w:pos="3870"/>
                <w:tab w:val="left" w:pos="4085"/>
              </w:tabs>
              <w:snapToGrid w:val="0"/>
              <w:spacing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409" w:type="dxa"/>
            <w:tcBorders>
              <w:top w:val="single" w:color="auto" w:sz="4" w:space="0"/>
              <w:left w:val="single" w:color="auto" w:sz="4" w:space="0"/>
              <w:bottom w:val="single" w:color="auto" w:sz="4" w:space="0"/>
              <w:right w:val="single" w:color="auto" w:sz="4" w:space="0"/>
            </w:tcBorders>
            <w:noWrap w:val="0"/>
            <w:vAlign w:val="center"/>
          </w:tcPr>
          <w:p w14:paraId="34631CF0">
            <w:pPr>
              <w:tabs>
                <w:tab w:val="left" w:pos="3870"/>
                <w:tab w:val="left" w:pos="4085"/>
              </w:tabs>
              <w:snapToGrid w:val="0"/>
              <w:spacing w:after="120" w:afterLines="50"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整体实施方案：投标人详细阐述制定针对该项目的整体实施方案，包括产品定制、运输、安装、验收、人员安排、拟投入的设备设施、现场管理、服务响应时间等完成本项目所包含的所有内容，对方案的针对性、可操作性进行</w:t>
            </w:r>
            <w:r>
              <w:rPr>
                <w:rFonts w:hint="eastAsia" w:ascii="宋体" w:hAnsi="宋体" w:eastAsia="宋体" w:cs="宋体"/>
                <w:sz w:val="24"/>
                <w:szCs w:val="24"/>
                <w:lang w:val="en-US" w:eastAsia="zh-CN"/>
              </w:rPr>
              <w:t>综合</w:t>
            </w:r>
            <w:r>
              <w:rPr>
                <w:rFonts w:hint="eastAsia" w:ascii="宋体" w:hAnsi="宋体" w:eastAsia="宋体" w:cs="宋体"/>
                <w:sz w:val="24"/>
                <w:szCs w:val="24"/>
              </w:rPr>
              <w:t>打分。内容完整合理的得</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分，较为合理的得</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分，部分合理的得0-</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内容</w:t>
            </w:r>
            <w:r>
              <w:rPr>
                <w:rFonts w:hint="eastAsia" w:ascii="宋体" w:hAnsi="宋体" w:eastAsia="宋体" w:cs="宋体"/>
                <w:sz w:val="24"/>
                <w:szCs w:val="24"/>
              </w:rPr>
              <w:t>严重不足或缺失的不得分。</w:t>
            </w:r>
          </w:p>
        </w:tc>
      </w:tr>
      <w:tr w14:paraId="6F9B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791" w:type="dxa"/>
            <w:vMerge w:val="continue"/>
            <w:tcBorders>
              <w:left w:val="single" w:color="auto" w:sz="4" w:space="0"/>
              <w:right w:val="single" w:color="auto" w:sz="4" w:space="0"/>
            </w:tcBorders>
            <w:noWrap w:val="0"/>
            <w:vAlign w:val="center"/>
          </w:tcPr>
          <w:p w14:paraId="70CCAD76">
            <w:pPr>
              <w:tabs>
                <w:tab w:val="left" w:pos="3870"/>
                <w:tab w:val="left" w:pos="4085"/>
              </w:tabs>
              <w:snapToGrid w:val="0"/>
              <w:spacing w:after="120" w:afterLines="50" w:line="360" w:lineRule="auto"/>
              <w:ind w:firstLine="480" w:firstLineChars="200"/>
              <w:jc w:val="center"/>
              <w:rPr>
                <w:rFonts w:hint="eastAsia" w:ascii="宋体" w:hAnsi="宋体" w:eastAsia="宋体" w:cs="宋体"/>
                <w:sz w:val="24"/>
                <w:szCs w:val="24"/>
              </w:rPr>
            </w:pPr>
          </w:p>
        </w:tc>
        <w:tc>
          <w:tcPr>
            <w:tcW w:w="1347" w:type="dxa"/>
            <w:tcBorders>
              <w:left w:val="single" w:color="auto" w:sz="4" w:space="0"/>
              <w:right w:val="single" w:color="auto" w:sz="4" w:space="0"/>
            </w:tcBorders>
            <w:noWrap w:val="0"/>
            <w:vAlign w:val="center"/>
          </w:tcPr>
          <w:p w14:paraId="5E37ED77">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工程质量保证措施</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1F72B408">
            <w:pPr>
              <w:tabs>
                <w:tab w:val="left" w:pos="3870"/>
                <w:tab w:val="left" w:pos="4085"/>
              </w:tabs>
              <w:snapToGrid w:val="0"/>
              <w:spacing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409" w:type="dxa"/>
            <w:tcBorders>
              <w:top w:val="single" w:color="auto" w:sz="4" w:space="0"/>
              <w:left w:val="single" w:color="auto" w:sz="4" w:space="0"/>
              <w:right w:val="single" w:color="auto" w:sz="4" w:space="0"/>
            </w:tcBorders>
            <w:noWrap w:val="0"/>
            <w:vAlign w:val="center"/>
          </w:tcPr>
          <w:p w14:paraId="53540DB0">
            <w:pPr>
              <w:tabs>
                <w:tab w:val="left" w:pos="3870"/>
                <w:tab w:val="left" w:pos="4085"/>
              </w:tabs>
              <w:snapToGrid w:val="0"/>
              <w:spacing w:after="120" w:afterLines="50"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根据投标人的</w:t>
            </w:r>
            <w:r>
              <w:rPr>
                <w:rFonts w:hint="eastAsia" w:ascii="宋体" w:hAnsi="宋体" w:eastAsia="宋体" w:cs="宋体"/>
                <w:sz w:val="24"/>
                <w:szCs w:val="24"/>
                <w:lang w:eastAsia="zh-CN"/>
              </w:rPr>
              <w:t>工程质量保证措施（如明确的质量目标、施工质量管理体系、质量控制计划、现场质量检查措施）编制合理有效、符合实际及项目需求</w:t>
            </w:r>
            <w:r>
              <w:rPr>
                <w:rFonts w:hint="eastAsia" w:ascii="宋体" w:hAnsi="宋体" w:eastAsia="宋体" w:cs="宋体"/>
                <w:sz w:val="24"/>
                <w:szCs w:val="24"/>
                <w:lang w:val="en-US" w:eastAsia="zh-CN"/>
              </w:rPr>
              <w:t>进行</w:t>
            </w:r>
            <w:r>
              <w:rPr>
                <w:rFonts w:hint="eastAsia" w:ascii="宋体" w:hAnsi="宋体" w:eastAsia="宋体" w:cs="宋体"/>
                <w:sz w:val="24"/>
                <w:szCs w:val="24"/>
                <w:lang w:eastAsia="zh-CN"/>
              </w:rPr>
              <w:t>综合评分</w:t>
            </w:r>
            <w:r>
              <w:rPr>
                <w:rFonts w:hint="eastAsia" w:ascii="宋体" w:hAnsi="宋体" w:eastAsia="宋体" w:cs="宋体"/>
                <w:sz w:val="24"/>
                <w:szCs w:val="24"/>
                <w:lang w:val="en-US" w:eastAsia="zh-CN"/>
              </w:rPr>
              <w:t>。</w:t>
            </w:r>
            <w:r>
              <w:rPr>
                <w:rFonts w:hint="eastAsia" w:ascii="宋体" w:hAnsi="宋体" w:eastAsia="宋体" w:cs="宋体"/>
                <w:sz w:val="24"/>
                <w:szCs w:val="24"/>
              </w:rPr>
              <w:t>内容完整合理的得</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分，较为合理的得</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分，部分合理的得0-</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内容</w:t>
            </w:r>
            <w:r>
              <w:rPr>
                <w:rFonts w:hint="eastAsia" w:ascii="宋体" w:hAnsi="宋体" w:eastAsia="宋体" w:cs="宋体"/>
                <w:sz w:val="24"/>
                <w:szCs w:val="24"/>
              </w:rPr>
              <w:t>严重不足或缺失的不得分。</w:t>
            </w:r>
          </w:p>
        </w:tc>
      </w:tr>
      <w:tr w14:paraId="0D01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791" w:type="dxa"/>
            <w:vMerge w:val="continue"/>
            <w:tcBorders>
              <w:left w:val="single" w:color="auto" w:sz="4" w:space="0"/>
              <w:right w:val="single" w:color="auto" w:sz="4" w:space="0"/>
            </w:tcBorders>
            <w:noWrap w:val="0"/>
            <w:vAlign w:val="center"/>
          </w:tcPr>
          <w:p w14:paraId="455E0BE6">
            <w:pPr>
              <w:tabs>
                <w:tab w:val="left" w:pos="3870"/>
                <w:tab w:val="left" w:pos="4085"/>
              </w:tabs>
              <w:snapToGrid w:val="0"/>
              <w:spacing w:after="120" w:afterLines="50" w:line="360" w:lineRule="auto"/>
              <w:ind w:firstLine="480" w:firstLineChars="200"/>
              <w:jc w:val="center"/>
              <w:rPr>
                <w:rFonts w:hint="eastAsia" w:ascii="宋体" w:hAnsi="宋体" w:eastAsia="宋体" w:cs="宋体"/>
                <w:sz w:val="24"/>
                <w:szCs w:val="24"/>
              </w:rPr>
            </w:pPr>
          </w:p>
        </w:tc>
        <w:tc>
          <w:tcPr>
            <w:tcW w:w="1347" w:type="dxa"/>
            <w:tcBorders>
              <w:left w:val="single" w:color="auto" w:sz="4" w:space="0"/>
              <w:right w:val="single" w:color="auto" w:sz="4" w:space="0"/>
            </w:tcBorders>
            <w:noWrap w:val="0"/>
            <w:vAlign w:val="center"/>
          </w:tcPr>
          <w:p w14:paraId="00A2AAF2">
            <w:pPr>
              <w:tabs>
                <w:tab w:val="left" w:pos="3870"/>
                <w:tab w:val="left" w:pos="4085"/>
              </w:tabs>
              <w:snapToGrid w:val="0"/>
              <w:spacing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保证工期和施工进度的方案和措施</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77F11C07">
            <w:pPr>
              <w:tabs>
                <w:tab w:val="left" w:pos="3870"/>
                <w:tab w:val="left" w:pos="4085"/>
              </w:tabs>
              <w:snapToGrid w:val="0"/>
              <w:spacing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409" w:type="dxa"/>
            <w:tcBorders>
              <w:top w:val="single" w:color="auto" w:sz="4" w:space="0"/>
              <w:left w:val="single" w:color="auto" w:sz="4" w:space="0"/>
              <w:right w:val="single" w:color="auto" w:sz="4" w:space="0"/>
            </w:tcBorders>
            <w:noWrap w:val="0"/>
            <w:vAlign w:val="center"/>
          </w:tcPr>
          <w:p w14:paraId="5EA6E436">
            <w:pPr>
              <w:numPr>
                <w:ilvl w:val="0"/>
                <w:numId w:val="0"/>
              </w:numPr>
              <w:tabs>
                <w:tab w:val="left" w:pos="3870"/>
                <w:tab w:val="left" w:pos="4085"/>
              </w:tabs>
              <w:snapToGrid w:val="0"/>
              <w:spacing w:after="120" w:afterLines="50"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根据投标人的保证施工进度的方案和措施：提供项目实施计划表、进度表、周期详细计划、具体措施等进行综合评分。</w:t>
            </w:r>
            <w:r>
              <w:rPr>
                <w:rFonts w:hint="eastAsia" w:ascii="宋体" w:hAnsi="宋体" w:eastAsia="宋体" w:cs="宋体"/>
                <w:sz w:val="24"/>
                <w:szCs w:val="24"/>
              </w:rPr>
              <w:t>内容完整合理的得</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分，较为合理的得</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分，部分合理的得0-</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内容</w:t>
            </w:r>
            <w:r>
              <w:rPr>
                <w:rFonts w:hint="eastAsia" w:ascii="宋体" w:hAnsi="宋体" w:eastAsia="宋体" w:cs="宋体"/>
                <w:sz w:val="24"/>
                <w:szCs w:val="24"/>
              </w:rPr>
              <w:t>严重不足或缺失的不得分。</w:t>
            </w:r>
          </w:p>
        </w:tc>
      </w:tr>
      <w:tr w14:paraId="291D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4" w:hRule="atLeast"/>
        </w:trPr>
        <w:tc>
          <w:tcPr>
            <w:tcW w:w="791" w:type="dxa"/>
            <w:vMerge w:val="continue"/>
            <w:tcBorders>
              <w:left w:val="single" w:color="auto" w:sz="4" w:space="0"/>
              <w:right w:val="single" w:color="auto" w:sz="4" w:space="0"/>
            </w:tcBorders>
            <w:noWrap w:val="0"/>
            <w:vAlign w:val="center"/>
          </w:tcPr>
          <w:p w14:paraId="39F3315A">
            <w:pPr>
              <w:pStyle w:val="14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1347" w:type="dxa"/>
            <w:tcBorders>
              <w:left w:val="single" w:color="auto" w:sz="4" w:space="0"/>
              <w:right w:val="single" w:color="auto" w:sz="4" w:space="0"/>
            </w:tcBorders>
            <w:noWrap w:val="0"/>
            <w:vAlign w:val="center"/>
          </w:tcPr>
          <w:p w14:paraId="72906B0C">
            <w:pPr>
              <w:tabs>
                <w:tab w:val="left" w:pos="3870"/>
                <w:tab w:val="left" w:pos="4085"/>
              </w:tabs>
              <w:snapToGrid w:val="0"/>
              <w:spacing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不锈钢板材性能指标</w:t>
            </w:r>
          </w:p>
        </w:tc>
        <w:tc>
          <w:tcPr>
            <w:tcW w:w="730" w:type="dxa"/>
            <w:tcBorders>
              <w:top w:val="single" w:color="auto" w:sz="4" w:space="0"/>
              <w:left w:val="single" w:color="auto" w:sz="4" w:space="0"/>
              <w:right w:val="single" w:color="auto" w:sz="4" w:space="0"/>
            </w:tcBorders>
            <w:noWrap w:val="0"/>
            <w:vAlign w:val="center"/>
          </w:tcPr>
          <w:p w14:paraId="645E1B1E">
            <w:pPr>
              <w:tabs>
                <w:tab w:val="left" w:pos="3870"/>
                <w:tab w:val="left" w:pos="4085"/>
              </w:tabs>
              <w:snapToGrid w:val="0"/>
              <w:spacing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409" w:type="dxa"/>
            <w:tcBorders>
              <w:top w:val="single" w:color="auto" w:sz="4" w:space="0"/>
              <w:left w:val="single" w:color="auto" w:sz="4" w:space="0"/>
              <w:bottom w:val="single" w:color="auto" w:sz="4" w:space="0"/>
              <w:right w:val="single" w:color="auto" w:sz="4" w:space="0"/>
            </w:tcBorders>
            <w:noWrap w:val="0"/>
            <w:vAlign w:val="center"/>
          </w:tcPr>
          <w:p w14:paraId="19B620EC">
            <w:pPr>
              <w:tabs>
                <w:tab w:val="left" w:pos="3870"/>
                <w:tab w:val="left" w:pos="4085"/>
              </w:tabs>
              <w:snapToGrid w:val="0"/>
              <w:spacing w:after="120" w:afterLines="50"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或所投产品制造商具有国家认可的第三方权威认证机构出具的不锈钢原材料（304不锈钢板材、304不锈钢管材）符合检测依据为GB/T10125-2021《人造气氛腐蚀试验盐雾试验》的检测报告，每提供一份检测报告得1.5分，最高得3分。</w:t>
            </w:r>
          </w:p>
          <w:p w14:paraId="00C53B1F">
            <w:pPr>
              <w:tabs>
                <w:tab w:val="left" w:pos="3870"/>
                <w:tab w:val="left" w:pos="4085"/>
              </w:tabs>
              <w:snapToGrid w:val="0"/>
              <w:spacing w:after="120" w:afterLines="50" w:line="360" w:lineRule="auto"/>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（证明材料：提供国家认可的第三方权威检测机构出具的检测报告）</w:t>
            </w:r>
          </w:p>
        </w:tc>
      </w:tr>
      <w:tr w14:paraId="1DAA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vMerge w:val="continue"/>
            <w:tcBorders>
              <w:left w:val="single" w:color="auto" w:sz="4" w:space="0"/>
              <w:right w:val="single" w:color="auto" w:sz="4" w:space="0"/>
            </w:tcBorders>
            <w:noWrap w:val="0"/>
            <w:vAlign w:val="center"/>
          </w:tcPr>
          <w:p w14:paraId="3F8D1432">
            <w:pPr>
              <w:tabs>
                <w:tab w:val="left" w:pos="3870"/>
                <w:tab w:val="left" w:pos="4085"/>
              </w:tabs>
              <w:snapToGrid w:val="0"/>
              <w:spacing w:after="120" w:afterLines="50" w:line="360" w:lineRule="auto"/>
              <w:ind w:firstLine="480" w:firstLineChars="200"/>
              <w:jc w:val="center"/>
              <w:rPr>
                <w:rFonts w:hint="eastAsia" w:ascii="宋体" w:hAnsi="宋体" w:eastAsia="宋体" w:cs="宋体"/>
                <w:kern w:val="2"/>
                <w:sz w:val="24"/>
                <w:szCs w:val="24"/>
                <w:lang w:val="en-US" w:eastAsia="zh-CN" w:bidi="ar-SA"/>
              </w:rPr>
            </w:pPr>
          </w:p>
        </w:tc>
        <w:tc>
          <w:tcPr>
            <w:tcW w:w="1347" w:type="dxa"/>
            <w:tcBorders>
              <w:left w:val="single" w:color="auto" w:sz="4" w:space="0"/>
              <w:bottom w:val="single" w:color="auto" w:sz="4" w:space="0"/>
              <w:right w:val="single" w:color="auto" w:sz="4" w:space="0"/>
            </w:tcBorders>
            <w:noWrap w:val="0"/>
            <w:vAlign w:val="center"/>
          </w:tcPr>
          <w:p w14:paraId="48662FE2">
            <w:pPr>
              <w:tabs>
                <w:tab w:val="left" w:pos="3870"/>
                <w:tab w:val="left" w:pos="4085"/>
              </w:tabs>
              <w:snapToGrid w:val="0"/>
              <w:spacing w:after="120" w:after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售后服务</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64A8B366">
            <w:pPr>
              <w:tabs>
                <w:tab w:val="left" w:pos="3870"/>
                <w:tab w:val="left" w:pos="4085"/>
              </w:tabs>
              <w:snapToGrid w:val="0"/>
              <w:spacing w:after="120" w:after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7409" w:type="dxa"/>
            <w:tcBorders>
              <w:top w:val="single" w:color="auto" w:sz="4" w:space="0"/>
              <w:left w:val="single" w:color="auto" w:sz="4" w:space="0"/>
              <w:bottom w:val="single" w:color="auto" w:sz="4" w:space="0"/>
              <w:right w:val="single" w:color="auto" w:sz="4" w:space="0"/>
            </w:tcBorders>
            <w:noWrap w:val="0"/>
            <w:vAlign w:val="center"/>
          </w:tcPr>
          <w:p w14:paraId="1FD5C424">
            <w:pPr>
              <w:tabs>
                <w:tab w:val="left" w:pos="3870"/>
                <w:tab w:val="left" w:pos="4085"/>
              </w:tabs>
              <w:snapToGrid w:val="0"/>
              <w:spacing w:after="120" w:afterLines="5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rPr>
              <w:t>根据售后服务体系的完整性，合理性，可行性进行评审：包括但不限于售后服务方案、维修点的备件储备情况、人员安排等</w:t>
            </w:r>
            <w:r>
              <w:rPr>
                <w:rFonts w:hint="eastAsia" w:ascii="宋体" w:hAnsi="宋体" w:eastAsia="宋体" w:cs="宋体"/>
                <w:kern w:val="0"/>
                <w:sz w:val="24"/>
                <w:szCs w:val="24"/>
                <w:lang w:val="en-US" w:eastAsia="zh-CN"/>
              </w:rPr>
              <w:t>进行综合打分</w:t>
            </w:r>
            <w:r>
              <w:rPr>
                <w:rFonts w:hint="eastAsia" w:ascii="宋体" w:hAnsi="宋体" w:eastAsia="宋体" w:cs="宋体"/>
                <w:color w:val="000000"/>
                <w:kern w:val="0"/>
                <w:sz w:val="24"/>
                <w:szCs w:val="24"/>
              </w:rPr>
              <w:t>。</w:t>
            </w:r>
            <w:r>
              <w:rPr>
                <w:rFonts w:hint="eastAsia" w:ascii="宋体" w:hAnsi="宋体" w:eastAsia="宋体" w:cs="宋体"/>
                <w:sz w:val="24"/>
                <w:szCs w:val="24"/>
              </w:rPr>
              <w:t>内容完整合理的得</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分，较为合理的得</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分，部分合理的得0-</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val="en-US" w:eastAsia="zh-CN"/>
              </w:rPr>
              <w:t>内容</w:t>
            </w:r>
            <w:r>
              <w:rPr>
                <w:rFonts w:hint="eastAsia" w:ascii="宋体" w:hAnsi="宋体" w:eastAsia="宋体" w:cs="宋体"/>
                <w:sz w:val="24"/>
                <w:szCs w:val="24"/>
              </w:rPr>
              <w:t>严重不足或缺失的不得分。</w:t>
            </w:r>
          </w:p>
        </w:tc>
      </w:tr>
      <w:tr w14:paraId="43EB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vMerge w:val="continue"/>
            <w:tcBorders>
              <w:left w:val="single" w:color="auto" w:sz="4" w:space="0"/>
              <w:right w:val="single" w:color="auto" w:sz="4" w:space="0"/>
            </w:tcBorders>
            <w:noWrap w:val="0"/>
            <w:vAlign w:val="center"/>
          </w:tcPr>
          <w:p w14:paraId="61B04D33">
            <w:pPr>
              <w:tabs>
                <w:tab w:val="left" w:pos="3870"/>
                <w:tab w:val="left" w:pos="4085"/>
              </w:tabs>
              <w:snapToGrid w:val="0"/>
              <w:spacing w:after="120" w:afterLines="50" w:line="360" w:lineRule="auto"/>
              <w:ind w:firstLine="480" w:firstLineChars="200"/>
              <w:jc w:val="center"/>
              <w:rPr>
                <w:rFonts w:hint="eastAsia" w:ascii="宋体" w:hAnsi="宋体" w:eastAsia="宋体" w:cs="宋体"/>
                <w:kern w:val="2"/>
                <w:sz w:val="24"/>
                <w:szCs w:val="24"/>
                <w:lang w:val="en-US" w:eastAsia="zh-CN" w:bidi="ar-SA"/>
              </w:rPr>
            </w:pPr>
          </w:p>
        </w:tc>
        <w:tc>
          <w:tcPr>
            <w:tcW w:w="1347" w:type="dxa"/>
            <w:tcBorders>
              <w:top w:val="single" w:color="000000" w:sz="4" w:space="0"/>
              <w:left w:val="single" w:color="auto" w:sz="4" w:space="0"/>
              <w:bottom w:val="single" w:color="000000" w:sz="4" w:space="0"/>
              <w:right w:val="single" w:color="auto" w:sz="4" w:space="0"/>
            </w:tcBorders>
            <w:noWrap w:val="0"/>
            <w:vAlign w:val="center"/>
          </w:tcPr>
          <w:p w14:paraId="13EC0F5D">
            <w:pPr>
              <w:tabs>
                <w:tab w:val="left" w:pos="3870"/>
                <w:tab w:val="left" w:pos="4085"/>
              </w:tabs>
              <w:snapToGrid w:val="0"/>
              <w:spacing w:after="120" w:after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重点、难点分析</w:t>
            </w:r>
          </w:p>
        </w:tc>
        <w:tc>
          <w:tcPr>
            <w:tcW w:w="730" w:type="dxa"/>
            <w:tcBorders>
              <w:top w:val="single" w:color="000000" w:sz="4" w:space="0"/>
              <w:left w:val="single" w:color="auto" w:sz="4" w:space="0"/>
              <w:bottom w:val="single" w:color="000000" w:sz="4" w:space="0"/>
              <w:right w:val="single" w:color="auto" w:sz="4" w:space="0"/>
            </w:tcBorders>
            <w:noWrap w:val="0"/>
            <w:vAlign w:val="center"/>
          </w:tcPr>
          <w:p w14:paraId="55C55155">
            <w:pPr>
              <w:tabs>
                <w:tab w:val="left" w:pos="3870"/>
                <w:tab w:val="left" w:pos="4085"/>
              </w:tabs>
              <w:snapToGrid w:val="0"/>
              <w:spacing w:after="120" w:after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7409" w:type="dxa"/>
            <w:tcBorders>
              <w:top w:val="single" w:color="000000" w:sz="4" w:space="0"/>
              <w:left w:val="single" w:color="auto" w:sz="4" w:space="0"/>
              <w:bottom w:val="single" w:color="000000" w:sz="4" w:space="0"/>
              <w:right w:val="single" w:color="000000" w:sz="4" w:space="0"/>
            </w:tcBorders>
            <w:noWrap w:val="0"/>
            <w:vAlign w:val="center"/>
          </w:tcPr>
          <w:p w14:paraId="4E96405E">
            <w:pPr>
              <w:tabs>
                <w:tab w:val="left" w:pos="3870"/>
                <w:tab w:val="left" w:pos="4085"/>
              </w:tabs>
              <w:snapToGrid w:val="0"/>
              <w:spacing w:after="120" w:afterLines="5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根据投标人</w:t>
            </w:r>
            <w:r>
              <w:rPr>
                <w:rFonts w:hint="eastAsia" w:ascii="宋体" w:hAnsi="宋体" w:eastAsia="宋体" w:cs="宋体"/>
                <w:kern w:val="0"/>
                <w:sz w:val="24"/>
                <w:szCs w:val="24"/>
              </w:rPr>
              <w:t>对本项目实施过程的重点，难点进行全面分析，针对重点，难点提出先进、合理得解决措施，充分考虑实施措施的安全性和可拓展性，对实施过程中可能遇到的突发情况进行分析，并提出解决方案</w:t>
            </w:r>
            <w:r>
              <w:rPr>
                <w:rFonts w:hint="eastAsia" w:ascii="宋体" w:hAnsi="宋体" w:eastAsia="宋体" w:cs="宋体"/>
                <w:kern w:val="0"/>
                <w:sz w:val="24"/>
                <w:szCs w:val="24"/>
                <w:lang w:val="en-US" w:eastAsia="zh-CN"/>
              </w:rPr>
              <w:t>等进行综合打分</w:t>
            </w:r>
            <w:r>
              <w:rPr>
                <w:rFonts w:hint="eastAsia" w:ascii="宋体" w:hAnsi="宋体" w:eastAsia="宋体" w:cs="宋体"/>
                <w:kern w:val="0"/>
                <w:sz w:val="24"/>
                <w:szCs w:val="24"/>
              </w:rPr>
              <w:t>。</w:t>
            </w:r>
            <w:r>
              <w:rPr>
                <w:rFonts w:hint="eastAsia" w:ascii="宋体" w:hAnsi="宋体" w:eastAsia="宋体" w:cs="宋体"/>
                <w:sz w:val="24"/>
                <w:szCs w:val="24"/>
              </w:rPr>
              <w:t>内容完整合理的得</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分，较为合理的得</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分，部分合理的得0-</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内容</w:t>
            </w:r>
            <w:r>
              <w:rPr>
                <w:rFonts w:hint="eastAsia" w:ascii="宋体" w:hAnsi="宋体" w:eastAsia="宋体" w:cs="宋体"/>
                <w:sz w:val="24"/>
                <w:szCs w:val="24"/>
              </w:rPr>
              <w:t>严重不足或缺失的不得分。</w:t>
            </w:r>
          </w:p>
        </w:tc>
      </w:tr>
      <w:tr w14:paraId="35E5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 w:type="dxa"/>
            <w:vMerge w:val="continue"/>
            <w:tcBorders>
              <w:left w:val="single" w:color="auto" w:sz="4" w:space="0"/>
              <w:right w:val="single" w:color="auto" w:sz="4" w:space="0"/>
            </w:tcBorders>
            <w:noWrap w:val="0"/>
            <w:vAlign w:val="center"/>
          </w:tcPr>
          <w:p w14:paraId="4955071F">
            <w:pPr>
              <w:tabs>
                <w:tab w:val="left" w:pos="3870"/>
                <w:tab w:val="left" w:pos="4085"/>
              </w:tabs>
              <w:snapToGrid w:val="0"/>
              <w:spacing w:after="120" w:afterLines="50" w:line="360" w:lineRule="auto"/>
              <w:ind w:firstLine="480" w:firstLineChars="200"/>
              <w:jc w:val="center"/>
              <w:rPr>
                <w:rFonts w:hint="eastAsia" w:ascii="宋体" w:hAnsi="宋体" w:eastAsia="宋体" w:cs="宋体"/>
                <w:kern w:val="2"/>
                <w:sz w:val="24"/>
                <w:szCs w:val="24"/>
                <w:lang w:val="en-US" w:eastAsia="zh-CN" w:bidi="ar-SA"/>
              </w:rPr>
            </w:pPr>
          </w:p>
        </w:tc>
        <w:tc>
          <w:tcPr>
            <w:tcW w:w="1347" w:type="dxa"/>
            <w:tcBorders>
              <w:top w:val="single" w:color="000000" w:sz="4" w:space="0"/>
              <w:left w:val="single" w:color="auto" w:sz="4" w:space="0"/>
              <w:bottom w:val="single" w:color="000000" w:sz="4" w:space="0"/>
              <w:right w:val="single" w:color="auto" w:sz="4" w:space="0"/>
            </w:tcBorders>
            <w:noWrap w:val="0"/>
            <w:vAlign w:val="center"/>
          </w:tcPr>
          <w:p w14:paraId="3DD70D2F">
            <w:pPr>
              <w:tabs>
                <w:tab w:val="left" w:pos="3870"/>
                <w:tab w:val="left" w:pos="4085"/>
              </w:tabs>
              <w:snapToGrid w:val="0"/>
              <w:spacing w:after="120" w:after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质保服务</w:t>
            </w:r>
          </w:p>
        </w:tc>
        <w:tc>
          <w:tcPr>
            <w:tcW w:w="730" w:type="dxa"/>
            <w:tcBorders>
              <w:top w:val="single" w:color="000000" w:sz="4" w:space="0"/>
              <w:left w:val="single" w:color="auto" w:sz="4" w:space="0"/>
              <w:bottom w:val="single" w:color="000000" w:sz="4" w:space="0"/>
              <w:right w:val="single" w:color="auto" w:sz="4" w:space="0"/>
            </w:tcBorders>
            <w:noWrap w:val="0"/>
            <w:vAlign w:val="center"/>
          </w:tcPr>
          <w:p w14:paraId="311B397E">
            <w:pPr>
              <w:tabs>
                <w:tab w:val="left" w:pos="3870"/>
                <w:tab w:val="left" w:pos="4085"/>
              </w:tabs>
              <w:snapToGrid w:val="0"/>
              <w:spacing w:after="120" w:after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7409" w:type="dxa"/>
            <w:tcBorders>
              <w:top w:val="single" w:color="000000" w:sz="4" w:space="0"/>
              <w:left w:val="single" w:color="auto" w:sz="4" w:space="0"/>
              <w:bottom w:val="single" w:color="000000" w:sz="4" w:space="0"/>
              <w:right w:val="single" w:color="000000" w:sz="4" w:space="0"/>
            </w:tcBorders>
            <w:noWrap w:val="0"/>
            <w:vAlign w:val="center"/>
          </w:tcPr>
          <w:p w14:paraId="66740868">
            <w:pPr>
              <w:tabs>
                <w:tab w:val="left" w:pos="3870"/>
                <w:tab w:val="left" w:pos="4085"/>
              </w:tabs>
              <w:snapToGrid w:val="0"/>
              <w:spacing w:after="120" w:afterLines="50"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rPr>
              <w:t>产品设备质保年限满足招标文件要求的不得分，在招标文件基础上每增加半年得1分，最高2分</w:t>
            </w:r>
            <w:r>
              <w:rPr>
                <w:rFonts w:hint="eastAsia" w:ascii="宋体" w:hAnsi="宋体" w:eastAsia="宋体" w:cs="宋体"/>
                <w:kern w:val="2"/>
                <w:sz w:val="24"/>
                <w:szCs w:val="24"/>
                <w:lang w:val="en-US" w:eastAsia="zh-CN" w:bidi="ar-SA"/>
              </w:rPr>
              <w:t>。提供承诺书。</w:t>
            </w:r>
          </w:p>
        </w:tc>
      </w:tr>
    </w:tbl>
    <w:p w14:paraId="778F0B39">
      <w:pPr>
        <w:spacing w:afterLines="50" w:line="240" w:lineRule="auto"/>
        <w:rPr>
          <w:rFonts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lang w:val="en-US" w:eastAsia="zh-CN"/>
        </w:rPr>
        <w:t>三</w:t>
      </w: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lang w:eastAsia="zh-CN"/>
        </w:rPr>
        <w:t>技术及商务</w:t>
      </w:r>
      <w:r>
        <w:rPr>
          <w:rFonts w:asciiTheme="minorEastAsia" w:hAnsiTheme="minorEastAsia" w:eastAsiaTheme="minorEastAsia"/>
          <w:b/>
          <w:bCs/>
          <w:color w:val="000000"/>
          <w:sz w:val="24"/>
        </w:rPr>
        <w:t>分的计算</w:t>
      </w:r>
    </w:p>
    <w:p w14:paraId="22B287DA">
      <w:pPr>
        <w:spacing w:after="120"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技术及商务</w:t>
      </w:r>
      <w:r>
        <w:rPr>
          <w:rFonts w:hint="eastAsia" w:asciiTheme="minorEastAsia" w:hAnsiTheme="minorEastAsia" w:eastAsiaTheme="minorEastAsia"/>
          <w:sz w:val="24"/>
        </w:rPr>
        <w:t>分按照评标委员会成员的独立评分结果汇总数,以算术平均分计算，计算公式为：</w:t>
      </w:r>
    </w:p>
    <w:p w14:paraId="437613CB">
      <w:pPr>
        <w:spacing w:after="120"/>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技术及商务</w:t>
      </w:r>
      <w:r>
        <w:rPr>
          <w:rFonts w:hint="eastAsia" w:asciiTheme="minorEastAsia" w:hAnsiTheme="minorEastAsia" w:eastAsiaTheme="minorEastAsia"/>
          <w:sz w:val="24"/>
        </w:rPr>
        <w:t>分=（评标委员会所有成员评分合计数）/（评标委员会组成人员数）</w:t>
      </w:r>
    </w:p>
    <w:p w14:paraId="1B841E76">
      <w:pPr>
        <w:pStyle w:val="31"/>
        <w:adjustRightInd w:val="0"/>
        <w:snapToGrid w:val="0"/>
        <w:spacing w:after="0" w:line="360" w:lineRule="auto"/>
        <w:ind w:firstLine="0" w:firstLineChars="0"/>
        <w:jc w:val="center"/>
        <w:rPr>
          <w:rFonts w:asciiTheme="minorEastAsia" w:hAnsiTheme="minorEastAsia" w:eastAsiaTheme="minorEastAsia"/>
          <w:sz w:val="32"/>
          <w:szCs w:val="32"/>
        </w:rPr>
      </w:pPr>
    </w:p>
    <w:p w14:paraId="0EF6EC64">
      <w:pPr>
        <w:pStyle w:val="31"/>
        <w:adjustRightInd w:val="0"/>
        <w:snapToGrid w:val="0"/>
        <w:spacing w:after="0" w:line="360" w:lineRule="auto"/>
        <w:ind w:firstLine="0" w:firstLineChars="0"/>
        <w:jc w:val="center"/>
        <w:rPr>
          <w:rFonts w:asciiTheme="minorEastAsia" w:hAnsiTheme="minorEastAsia" w:eastAsiaTheme="minorEastAsia"/>
          <w:sz w:val="32"/>
          <w:szCs w:val="32"/>
        </w:rPr>
      </w:pPr>
    </w:p>
    <w:p w14:paraId="02FFBC88">
      <w:pPr>
        <w:pStyle w:val="178"/>
        <w:spacing w:line="360" w:lineRule="auto"/>
        <w:outlineLvl w:val="0"/>
        <w:rPr>
          <w:rFonts w:hint="eastAsia"/>
        </w:rPr>
        <w:sectPr>
          <w:pgSz w:w="11907" w:h="16840"/>
          <w:pgMar w:top="1440" w:right="1417" w:bottom="1440" w:left="1417" w:header="851" w:footer="850" w:gutter="0"/>
          <w:pgNumType w:fmt="decimal"/>
          <w:cols w:space="0" w:num="1"/>
        </w:sectPr>
      </w:pPr>
    </w:p>
    <w:p w14:paraId="08D52580">
      <w:pPr>
        <w:pStyle w:val="178"/>
        <w:spacing w:line="360" w:lineRule="auto"/>
        <w:outlineLvl w:val="0"/>
      </w:pPr>
      <w:r>
        <w:rPr>
          <w:rFonts w:hint="eastAsia"/>
        </w:rPr>
        <w:t>第五章 采购合同</w:t>
      </w:r>
    </w:p>
    <w:p w14:paraId="1B361B8B">
      <w:pPr>
        <w:spacing w:line="480" w:lineRule="auto"/>
        <w:jc w:val="center"/>
        <w:rPr>
          <w:rFonts w:hint="eastAsia" w:ascii="宋体" w:hAnsi="宋体" w:eastAsia="宋体" w:cs="宋体"/>
          <w:b/>
          <w:sz w:val="36"/>
          <w:szCs w:val="36"/>
        </w:rPr>
      </w:pPr>
      <w:r>
        <w:rPr>
          <w:rFonts w:hint="eastAsia" w:ascii="宋体" w:hAnsi="宋体" w:eastAsia="宋体"/>
        </w:rPr>
        <w:t xml:space="preserve"> </w:t>
      </w:r>
      <w:r>
        <w:rPr>
          <w:rFonts w:hint="eastAsia" w:ascii="宋体" w:hAnsi="宋体" w:eastAsia="宋体" w:cs="宋体"/>
          <w:b/>
          <w:sz w:val="36"/>
          <w:szCs w:val="36"/>
        </w:rPr>
        <w:t>采购合同参考范本</w:t>
      </w:r>
    </w:p>
    <w:p w14:paraId="70485B2C">
      <w:pPr>
        <w:spacing w:line="360" w:lineRule="auto"/>
        <w:jc w:val="center"/>
        <w:rPr>
          <w:rFonts w:hint="eastAsia" w:eastAsia="宋体"/>
          <w:b w:val="0"/>
          <w:bCs/>
          <w:sz w:val="21"/>
          <w:szCs w:val="21"/>
          <w:lang w:eastAsia="zh-CN"/>
        </w:rPr>
      </w:pPr>
      <w:r>
        <w:rPr>
          <w:rFonts w:hint="eastAsia" w:ascii="宋体" w:hAnsi="宋体" w:cs="宋体"/>
          <w:b w:val="0"/>
          <w:bCs/>
          <w:sz w:val="21"/>
          <w:szCs w:val="21"/>
          <w:lang w:eastAsia="zh-CN"/>
        </w:rPr>
        <w:t>(具体文本以实际签署的为准)</w:t>
      </w:r>
    </w:p>
    <w:p w14:paraId="1E4478CE">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cs="宋体"/>
          <w:b/>
          <w:sz w:val="36"/>
          <w:szCs w:val="36"/>
          <w:lang w:val="en-US" w:eastAsia="zh-CN"/>
        </w:rPr>
        <w:t>货物</w:t>
      </w:r>
      <w:r>
        <w:rPr>
          <w:rFonts w:hint="eastAsia" w:ascii="宋体" w:hAnsi="宋体" w:eastAsia="宋体" w:cs="宋体"/>
          <w:b/>
          <w:sz w:val="36"/>
          <w:szCs w:val="36"/>
        </w:rPr>
        <w:t>类）</w:t>
      </w:r>
    </w:p>
    <w:p w14:paraId="1D522BC3">
      <w:pPr>
        <w:pStyle w:val="180"/>
        <w:rPr>
          <w:rFonts w:hint="eastAsia" w:ascii="宋体" w:hAnsi="宋体" w:eastAsia="宋体" w:cs="宋体"/>
          <w:szCs w:val="24"/>
        </w:rPr>
      </w:pPr>
    </w:p>
    <w:p w14:paraId="6BAAC5B7">
      <w:pPr>
        <w:pStyle w:val="180"/>
        <w:ind w:left="0" w:leftChars="0" w:firstLine="0" w:firstLineChars="0"/>
        <w:rPr>
          <w:rFonts w:hint="eastAsia" w:ascii="宋体" w:hAnsi="宋体" w:eastAsia="宋体" w:cs="宋体"/>
          <w:szCs w:val="24"/>
        </w:rPr>
      </w:pPr>
    </w:p>
    <w:p w14:paraId="38628B62">
      <w:pPr>
        <w:pStyle w:val="180"/>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152604B3">
      <w:pPr>
        <w:pStyle w:val="180"/>
        <w:rPr>
          <w:rFonts w:hint="eastAsia" w:ascii="宋体" w:hAnsi="宋体" w:eastAsia="宋体" w:cs="宋体"/>
          <w:szCs w:val="24"/>
        </w:rPr>
      </w:pPr>
    </w:p>
    <w:p w14:paraId="0F1DD238">
      <w:pPr>
        <w:pStyle w:val="180"/>
        <w:rPr>
          <w:rFonts w:hint="eastAsia" w:ascii="宋体" w:hAnsi="宋体" w:eastAsia="宋体" w:cs="宋体"/>
          <w:szCs w:val="24"/>
        </w:rPr>
      </w:pPr>
    </w:p>
    <w:p w14:paraId="658CFE89">
      <w:pPr>
        <w:spacing w:before="120" w:line="22" w:lineRule="atLeast"/>
        <w:rPr>
          <w:rFonts w:hint="eastAsia" w:ascii="宋体" w:hAnsi="宋体" w:eastAsia="宋体" w:cs="宋体"/>
          <w:sz w:val="24"/>
        </w:rPr>
      </w:pPr>
    </w:p>
    <w:p w14:paraId="5631CEB3">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p>
    <w:p w14:paraId="63FC72F7">
      <w:pPr>
        <w:pStyle w:val="181"/>
        <w:spacing w:before="120" w:line="22" w:lineRule="atLeast"/>
        <w:rPr>
          <w:rFonts w:hint="eastAsia" w:ascii="宋体" w:hAnsi="宋体" w:eastAsia="宋体" w:cs="宋体"/>
          <w:szCs w:val="24"/>
        </w:rPr>
      </w:pPr>
    </w:p>
    <w:p w14:paraId="42733952">
      <w:pPr>
        <w:pStyle w:val="181"/>
        <w:spacing w:before="120" w:line="22" w:lineRule="atLeast"/>
        <w:rPr>
          <w:rFonts w:hint="eastAsia" w:ascii="宋体" w:hAnsi="宋体" w:eastAsia="宋体" w:cs="宋体"/>
          <w:szCs w:val="24"/>
        </w:rPr>
      </w:pPr>
    </w:p>
    <w:p w14:paraId="68058118">
      <w:pPr>
        <w:rPr>
          <w:rFonts w:hint="eastAsia" w:ascii="宋体" w:hAnsi="宋体" w:eastAsia="宋体" w:cs="宋体"/>
          <w:sz w:val="24"/>
        </w:rPr>
      </w:pPr>
    </w:p>
    <w:p w14:paraId="745335EE">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p>
    <w:p w14:paraId="52526417">
      <w:pPr>
        <w:spacing w:before="120" w:line="22" w:lineRule="atLeast"/>
        <w:rPr>
          <w:rFonts w:hint="eastAsia" w:ascii="宋体" w:hAnsi="宋体" w:eastAsia="宋体" w:cs="宋体"/>
          <w:sz w:val="24"/>
        </w:rPr>
      </w:pPr>
    </w:p>
    <w:p w14:paraId="7BA2201E">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p>
    <w:p w14:paraId="5ABB35D5">
      <w:pPr>
        <w:spacing w:before="120" w:line="22" w:lineRule="atLeast"/>
        <w:rPr>
          <w:rFonts w:hint="eastAsia" w:ascii="宋体" w:hAnsi="宋体" w:eastAsia="宋体" w:cs="宋体"/>
          <w:sz w:val="24"/>
        </w:rPr>
      </w:pPr>
    </w:p>
    <w:p w14:paraId="1E0B4641">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p>
    <w:p w14:paraId="114D80E1">
      <w:pPr>
        <w:spacing w:before="120" w:line="22" w:lineRule="atLeast"/>
        <w:rPr>
          <w:rFonts w:hint="eastAsia" w:ascii="宋体" w:hAnsi="宋体" w:eastAsia="宋体" w:cs="宋体"/>
          <w:sz w:val="24"/>
        </w:rPr>
      </w:pPr>
    </w:p>
    <w:p w14:paraId="42479E97">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签订日期：年月日</w:t>
      </w:r>
    </w:p>
    <w:p w14:paraId="17A553C5">
      <w:pPr>
        <w:widowControl/>
        <w:jc w:val="left"/>
        <w:rPr>
          <w:rFonts w:hint="eastAsia" w:ascii="宋体" w:hAnsi="宋体" w:eastAsia="宋体" w:cs="宋体"/>
          <w:kern w:val="0"/>
          <w:sz w:val="24"/>
        </w:rPr>
        <w:sectPr>
          <w:pgSz w:w="11907" w:h="16840"/>
          <w:pgMar w:top="1440" w:right="1417" w:bottom="1440" w:left="1417" w:header="851" w:footer="850" w:gutter="0"/>
          <w:pgNumType w:fmt="decimal"/>
          <w:cols w:space="0" w:num="1"/>
        </w:sectPr>
      </w:pPr>
    </w:p>
    <w:p w14:paraId="4DD099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3783B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66688C2">
      <w:pPr>
        <w:spacing w:line="560" w:lineRule="exact"/>
        <w:ind w:firstLine="482" w:firstLineChars="200"/>
        <w:outlineLvl w:val="0"/>
        <w:rPr>
          <w:rFonts w:ascii="宋体" w:hAnsi="宋体" w:cs="宋体"/>
          <w:b/>
          <w:color w:val="auto"/>
          <w:sz w:val="24"/>
          <w:highlight w:val="none"/>
        </w:rPr>
      </w:pPr>
      <w:bookmarkStart w:id="51" w:name="_Toc24059"/>
      <w:bookmarkStart w:id="52" w:name="_Toc3029"/>
      <w:bookmarkStart w:id="53" w:name="_Toc2232"/>
      <w:r>
        <w:rPr>
          <w:rFonts w:hint="eastAsia" w:ascii="宋体" w:hAnsi="宋体" w:cs="宋体"/>
          <w:b/>
          <w:color w:val="auto"/>
          <w:sz w:val="24"/>
          <w:highlight w:val="none"/>
        </w:rPr>
        <w:t>1.1 合同组成部分</w:t>
      </w:r>
      <w:bookmarkEnd w:id="51"/>
      <w:bookmarkEnd w:id="52"/>
      <w:bookmarkEnd w:id="53"/>
    </w:p>
    <w:p w14:paraId="799074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FBC07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09D33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671DE6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7462B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6717C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3D3478D">
      <w:pPr>
        <w:spacing w:line="560" w:lineRule="exact"/>
        <w:ind w:firstLine="482" w:firstLineChars="200"/>
        <w:outlineLvl w:val="0"/>
        <w:rPr>
          <w:rFonts w:ascii="宋体" w:hAnsi="宋体" w:cs="宋体"/>
          <w:b/>
          <w:color w:val="auto"/>
          <w:sz w:val="24"/>
          <w:highlight w:val="none"/>
        </w:rPr>
      </w:pPr>
      <w:bookmarkStart w:id="54" w:name="_Toc27126"/>
      <w:bookmarkStart w:id="55" w:name="_Toc24300"/>
      <w:bookmarkStart w:id="56" w:name="_Toc21295"/>
      <w:r>
        <w:rPr>
          <w:rFonts w:hint="eastAsia" w:ascii="宋体" w:hAnsi="宋体" w:cs="宋体"/>
          <w:b/>
          <w:color w:val="auto"/>
          <w:sz w:val="24"/>
          <w:highlight w:val="none"/>
        </w:rPr>
        <w:t>1.2 货物</w:t>
      </w:r>
      <w:bookmarkEnd w:id="54"/>
      <w:bookmarkEnd w:id="55"/>
      <w:bookmarkEnd w:id="56"/>
    </w:p>
    <w:p w14:paraId="1E2B125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0B5A2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6D7D7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3D7F846F">
      <w:pPr>
        <w:spacing w:line="560" w:lineRule="exact"/>
        <w:ind w:firstLine="482" w:firstLineChars="200"/>
        <w:outlineLvl w:val="0"/>
        <w:rPr>
          <w:rFonts w:ascii="宋体" w:hAnsi="宋体" w:cs="宋体"/>
          <w:b/>
          <w:color w:val="auto"/>
          <w:sz w:val="24"/>
          <w:highlight w:val="none"/>
        </w:rPr>
      </w:pPr>
      <w:bookmarkStart w:id="57" w:name="_Toc21551"/>
      <w:bookmarkStart w:id="58" w:name="_Toc23292"/>
      <w:bookmarkStart w:id="59" w:name="_Toc21631"/>
      <w:r>
        <w:rPr>
          <w:rFonts w:hint="eastAsia" w:ascii="宋体" w:hAnsi="宋体" w:cs="宋体"/>
          <w:b/>
          <w:color w:val="auto"/>
          <w:sz w:val="24"/>
          <w:highlight w:val="none"/>
        </w:rPr>
        <w:t>1.3 价款</w:t>
      </w:r>
      <w:bookmarkEnd w:id="57"/>
      <w:bookmarkEnd w:id="58"/>
      <w:bookmarkEnd w:id="59"/>
    </w:p>
    <w:p w14:paraId="674B89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4D56D79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3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67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70485C">
            <w:pPr>
              <w:pStyle w:val="86"/>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BBE6BD2">
            <w:pPr>
              <w:pStyle w:val="8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4262F64">
            <w:pPr>
              <w:pStyle w:val="86"/>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6984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121A30">
            <w:pPr>
              <w:pStyle w:val="8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D87D26">
            <w:pPr>
              <w:pStyle w:val="8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5E41456">
            <w:pPr>
              <w:pStyle w:val="86"/>
              <w:spacing w:line="560" w:lineRule="exact"/>
              <w:ind w:firstLine="200"/>
              <w:jc w:val="center"/>
              <w:rPr>
                <w:rFonts w:hAnsi="宋体" w:cs="宋体"/>
                <w:color w:val="auto"/>
                <w:sz w:val="24"/>
                <w:szCs w:val="24"/>
                <w:highlight w:val="none"/>
              </w:rPr>
            </w:pPr>
          </w:p>
        </w:tc>
      </w:tr>
      <w:tr w14:paraId="2EF8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E67AF6">
            <w:pPr>
              <w:pStyle w:val="8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B665B0F">
            <w:pPr>
              <w:pStyle w:val="8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166CBA6">
            <w:pPr>
              <w:pStyle w:val="86"/>
              <w:spacing w:line="560" w:lineRule="exact"/>
              <w:ind w:firstLine="200"/>
              <w:jc w:val="center"/>
              <w:rPr>
                <w:rFonts w:hAnsi="宋体" w:cs="宋体"/>
                <w:color w:val="auto"/>
                <w:sz w:val="24"/>
                <w:szCs w:val="24"/>
                <w:highlight w:val="none"/>
              </w:rPr>
            </w:pPr>
          </w:p>
        </w:tc>
      </w:tr>
      <w:tr w14:paraId="2E39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A7C8F7">
            <w:pPr>
              <w:pStyle w:val="8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534DDD">
            <w:pPr>
              <w:pStyle w:val="8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D4C337C">
            <w:pPr>
              <w:pStyle w:val="86"/>
              <w:spacing w:line="560" w:lineRule="exact"/>
              <w:ind w:firstLine="200"/>
              <w:jc w:val="center"/>
              <w:rPr>
                <w:rFonts w:hAnsi="宋体" w:cs="宋体"/>
                <w:color w:val="auto"/>
                <w:sz w:val="24"/>
                <w:szCs w:val="24"/>
                <w:highlight w:val="none"/>
              </w:rPr>
            </w:pPr>
          </w:p>
        </w:tc>
      </w:tr>
      <w:tr w14:paraId="6DB5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BCB7CE">
            <w:pPr>
              <w:pStyle w:val="8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8B166D8">
            <w:pPr>
              <w:pStyle w:val="8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6580A55">
            <w:pPr>
              <w:pStyle w:val="86"/>
              <w:spacing w:line="560" w:lineRule="exact"/>
              <w:ind w:firstLine="200"/>
              <w:jc w:val="center"/>
              <w:rPr>
                <w:rFonts w:hAnsi="宋体" w:cs="宋体"/>
                <w:color w:val="auto"/>
                <w:sz w:val="24"/>
                <w:szCs w:val="24"/>
                <w:highlight w:val="none"/>
              </w:rPr>
            </w:pPr>
          </w:p>
        </w:tc>
      </w:tr>
      <w:tr w14:paraId="1727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C3DD236">
            <w:pPr>
              <w:pStyle w:val="8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9C71B12">
            <w:pPr>
              <w:pStyle w:val="86"/>
              <w:spacing w:line="560" w:lineRule="exact"/>
              <w:ind w:firstLine="200"/>
              <w:jc w:val="center"/>
              <w:rPr>
                <w:rFonts w:hAnsi="宋体" w:cs="宋体"/>
                <w:color w:val="auto"/>
                <w:sz w:val="24"/>
                <w:szCs w:val="24"/>
                <w:highlight w:val="none"/>
              </w:rPr>
            </w:pPr>
          </w:p>
        </w:tc>
      </w:tr>
    </w:tbl>
    <w:p w14:paraId="571DF9F5">
      <w:pPr>
        <w:pStyle w:val="182"/>
        <w:spacing w:before="0" w:beforeAutospacing="0" w:after="0" w:afterAutospacing="0" w:line="360" w:lineRule="auto"/>
        <w:ind w:firstLine="480"/>
        <w:rPr>
          <w:b/>
          <w:color w:val="auto"/>
          <w:highlight w:val="none"/>
        </w:rPr>
      </w:pPr>
      <w:bookmarkStart w:id="60" w:name="_Toc1814"/>
      <w:bookmarkStart w:id="61" w:name="_Toc10340"/>
      <w:bookmarkStart w:id="62" w:name="_Toc22618"/>
      <w:r>
        <w:rPr>
          <w:rFonts w:hint="eastAsia"/>
          <w:b/>
          <w:color w:val="auto"/>
          <w:highlight w:val="none"/>
        </w:rPr>
        <w:t>1.4履约保证金</w:t>
      </w:r>
    </w:p>
    <w:p w14:paraId="23A80D50">
      <w:pPr>
        <w:pStyle w:val="18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是 </w:t>
      </w:r>
      <w:r>
        <w:rPr>
          <w:rFonts w:hint="eastAsia"/>
          <w:color w:val="auto"/>
          <w:highlight w:val="none"/>
        </w:rPr>
        <w:t>需要支付履约保证金。若需要支付履约保证金的，则：</w:t>
      </w:r>
    </w:p>
    <w:p w14:paraId="448B83E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52ACE5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938DFEC">
      <w:pPr>
        <w:pStyle w:val="4"/>
        <w:tabs>
          <w:tab w:val="left" w:pos="0"/>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D456DC">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30A46F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60"/>
      <w:bookmarkEnd w:id="61"/>
      <w:bookmarkEnd w:id="62"/>
      <w:r>
        <w:rPr>
          <w:rFonts w:hint="eastAsia" w:ascii="宋体" w:hAnsi="宋体" w:cs="宋体"/>
          <w:b/>
          <w:color w:val="auto"/>
          <w:sz w:val="24"/>
          <w:highlight w:val="none"/>
        </w:rPr>
        <w:t>预付款</w:t>
      </w:r>
    </w:p>
    <w:p w14:paraId="0EC97597">
      <w:pPr>
        <w:pStyle w:val="18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需要支付预付款。若需要支付预付款的，则：</w:t>
      </w:r>
    </w:p>
    <w:p w14:paraId="2EE0FAC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9F17ECB">
      <w:pPr>
        <w:pStyle w:val="18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F1211CB">
      <w:pPr>
        <w:pStyle w:val="18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2ED1CD8">
      <w:pPr>
        <w:pStyle w:val="18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48D5952">
      <w:pPr>
        <w:pStyle w:val="18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AD4AD2">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3B7DDCF">
      <w:pPr>
        <w:spacing w:line="560" w:lineRule="exact"/>
        <w:ind w:firstLine="482" w:firstLineChars="200"/>
        <w:outlineLvl w:val="0"/>
        <w:rPr>
          <w:rFonts w:ascii="宋体" w:hAnsi="宋体" w:cs="宋体"/>
          <w:b/>
          <w:color w:val="auto"/>
          <w:sz w:val="24"/>
          <w:highlight w:val="none"/>
        </w:rPr>
      </w:pPr>
      <w:bookmarkStart w:id="63" w:name="_Toc2846"/>
      <w:bookmarkStart w:id="64" w:name="_Toc32071"/>
      <w:bookmarkStart w:id="65" w:name="_Toc19304"/>
      <w:r>
        <w:rPr>
          <w:rFonts w:hint="eastAsia" w:ascii="宋体" w:hAnsi="宋体" w:cs="宋体"/>
          <w:b/>
          <w:color w:val="auto"/>
          <w:sz w:val="24"/>
          <w:highlight w:val="none"/>
        </w:rPr>
        <w:t>1.7货物交付期限、地点和方式</w:t>
      </w:r>
      <w:bookmarkEnd w:id="63"/>
      <w:bookmarkEnd w:id="64"/>
      <w:bookmarkEnd w:id="65"/>
    </w:p>
    <w:p w14:paraId="4D79F17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5218C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CA25C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910664">
      <w:pPr>
        <w:spacing w:line="560" w:lineRule="exact"/>
        <w:ind w:firstLine="482" w:firstLineChars="200"/>
        <w:outlineLvl w:val="0"/>
        <w:rPr>
          <w:rFonts w:ascii="宋体" w:hAnsi="宋体" w:cs="宋体"/>
          <w:b/>
          <w:color w:val="auto"/>
          <w:sz w:val="24"/>
          <w:highlight w:val="none"/>
        </w:rPr>
      </w:pPr>
      <w:bookmarkStart w:id="66" w:name="_Toc21423"/>
      <w:bookmarkStart w:id="67" w:name="_Toc27250"/>
      <w:bookmarkStart w:id="68" w:name="_Toc19554"/>
      <w:r>
        <w:rPr>
          <w:rFonts w:hint="eastAsia" w:ascii="宋体" w:hAnsi="宋体" w:cs="宋体"/>
          <w:b/>
          <w:color w:val="auto"/>
          <w:sz w:val="24"/>
          <w:highlight w:val="none"/>
        </w:rPr>
        <w:t>1.8违约责任</w:t>
      </w:r>
      <w:bookmarkEnd w:id="66"/>
      <w:bookmarkEnd w:id="67"/>
      <w:bookmarkEnd w:id="68"/>
    </w:p>
    <w:p w14:paraId="119C8E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264249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EFA67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7950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FCCC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B7DBDAA">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2CA75B8">
      <w:pPr>
        <w:spacing w:line="560" w:lineRule="exact"/>
        <w:ind w:firstLine="482" w:firstLineChars="200"/>
        <w:outlineLvl w:val="0"/>
        <w:rPr>
          <w:rFonts w:ascii="宋体" w:hAnsi="宋体" w:cs="宋体"/>
          <w:b/>
          <w:color w:val="auto"/>
          <w:sz w:val="24"/>
          <w:highlight w:val="none"/>
        </w:rPr>
      </w:pPr>
      <w:bookmarkStart w:id="69" w:name="_Toc28375"/>
      <w:bookmarkStart w:id="70" w:name="_Toc15583"/>
      <w:bookmarkStart w:id="71" w:name="_Toc16021"/>
      <w:r>
        <w:rPr>
          <w:rFonts w:hint="eastAsia" w:ascii="宋体" w:hAnsi="宋体" w:cs="宋体"/>
          <w:b/>
          <w:color w:val="auto"/>
          <w:sz w:val="24"/>
          <w:highlight w:val="none"/>
        </w:rPr>
        <w:t>1.9合同争议的解决</w:t>
      </w:r>
      <w:bookmarkEnd w:id="69"/>
      <w:bookmarkEnd w:id="70"/>
      <w:bookmarkEnd w:id="71"/>
    </w:p>
    <w:p w14:paraId="79E8213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9CE7FC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75E2D9D">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53D5B84">
      <w:pPr>
        <w:spacing w:line="560" w:lineRule="exact"/>
        <w:ind w:firstLine="482" w:firstLineChars="200"/>
        <w:outlineLvl w:val="0"/>
        <w:rPr>
          <w:rFonts w:ascii="宋体" w:hAnsi="宋体" w:cs="宋体"/>
          <w:b/>
          <w:color w:val="auto"/>
          <w:sz w:val="24"/>
          <w:highlight w:val="none"/>
        </w:rPr>
      </w:pPr>
      <w:bookmarkStart w:id="72" w:name="_Toc11173"/>
      <w:bookmarkStart w:id="73" w:name="_Toc7245"/>
      <w:bookmarkStart w:id="74" w:name="_Toc15322"/>
      <w:r>
        <w:rPr>
          <w:rFonts w:hint="eastAsia" w:ascii="宋体" w:hAnsi="宋体" w:cs="宋体"/>
          <w:b/>
          <w:color w:val="auto"/>
          <w:sz w:val="24"/>
          <w:highlight w:val="none"/>
        </w:rPr>
        <w:t>2.0 合同生效</w:t>
      </w:r>
      <w:bookmarkEnd w:id="72"/>
      <w:bookmarkEnd w:id="73"/>
      <w:bookmarkEnd w:id="74"/>
    </w:p>
    <w:p w14:paraId="29D9D95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1A04EFA">
      <w:pPr>
        <w:autoSpaceDE w:val="0"/>
        <w:autoSpaceDN w:val="0"/>
        <w:spacing w:line="560" w:lineRule="exact"/>
        <w:rPr>
          <w:rFonts w:ascii="宋体" w:hAnsi="宋体" w:cs="宋体"/>
          <w:color w:val="auto"/>
          <w:sz w:val="24"/>
          <w:highlight w:val="none"/>
          <w:lang w:val="zh-CN"/>
        </w:rPr>
      </w:pPr>
    </w:p>
    <w:p w14:paraId="0A96F899">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B2B60A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25D991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87686F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FF1EBA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4BABBE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81A6D4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835DAF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90317A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86BF51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4F9A94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7BEFAB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C36707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F78415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A31277B">
      <w:pPr>
        <w:pStyle w:val="180"/>
        <w:spacing w:line="560" w:lineRule="exact"/>
        <w:ind w:firstLine="482"/>
        <w:jc w:val="center"/>
        <w:rPr>
          <w:rFonts w:hint="eastAsia" w:ascii="宋体" w:hAnsi="宋体" w:cs="宋体"/>
          <w:b/>
          <w:color w:val="auto"/>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00C3EB3">
      <w:pPr>
        <w:pStyle w:val="18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BBA45A7">
      <w:pPr>
        <w:spacing w:line="560" w:lineRule="exact"/>
        <w:ind w:firstLine="482" w:firstLineChars="200"/>
        <w:outlineLvl w:val="0"/>
        <w:rPr>
          <w:rFonts w:ascii="宋体" w:hAnsi="宋体" w:cs="宋体"/>
          <w:b/>
          <w:color w:val="auto"/>
          <w:sz w:val="24"/>
          <w:highlight w:val="none"/>
        </w:rPr>
      </w:pPr>
      <w:bookmarkStart w:id="75" w:name="_Ref467379101"/>
      <w:bookmarkStart w:id="76" w:name="_Toc19614"/>
      <w:bookmarkStart w:id="77" w:name="_Ref467379195"/>
      <w:bookmarkStart w:id="78" w:name="_Ref467378463"/>
      <w:bookmarkStart w:id="79" w:name="_Ref467378499"/>
      <w:bookmarkStart w:id="80" w:name="_Toc28763"/>
      <w:bookmarkStart w:id="81" w:name="_Toc279701240"/>
      <w:bookmarkStart w:id="82" w:name="_Ref467379109"/>
      <w:bookmarkStart w:id="83" w:name="_Ref467379205"/>
      <w:bookmarkStart w:id="84" w:name="_Ref467378404"/>
      <w:bookmarkStart w:id="85" w:name="_Ref467379225"/>
      <w:bookmarkStart w:id="86" w:name="_Toc487900349"/>
      <w:bookmarkStart w:id="87" w:name="_Ref467379094"/>
      <w:bookmarkStart w:id="88" w:name="_Toc16917"/>
      <w:bookmarkStart w:id="89" w:name="_Ref467379214"/>
      <w:bookmarkStart w:id="90" w:name="_Toc259093669"/>
      <w:r>
        <w:rPr>
          <w:rFonts w:hint="eastAsia" w:ascii="宋体" w:hAnsi="宋体" w:cs="宋体"/>
          <w:b/>
          <w:color w:val="auto"/>
          <w:sz w:val="24"/>
          <w:highlight w:val="none"/>
        </w:rPr>
        <w:t>2.1 定义</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A87A6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4842A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70147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28DB74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8352189">
      <w:pPr>
        <w:spacing w:line="560" w:lineRule="exact"/>
        <w:ind w:firstLine="480" w:firstLineChars="200"/>
        <w:rPr>
          <w:rFonts w:ascii="宋体" w:hAnsi="宋体" w:cs="宋体"/>
          <w:color w:val="auto"/>
          <w:sz w:val="24"/>
          <w:highlight w:val="none"/>
        </w:rPr>
      </w:pPr>
      <w:bookmarkStart w:id="91" w:name="_Ref467378840"/>
      <w:r>
        <w:rPr>
          <w:rFonts w:hint="eastAsia" w:ascii="宋体" w:hAnsi="宋体" w:cs="宋体"/>
          <w:color w:val="auto"/>
          <w:sz w:val="24"/>
          <w:highlight w:val="none"/>
        </w:rPr>
        <w:t>2.1.4 “甲方”系指与中标或成交供应商签署合同的采购人</w:t>
      </w:r>
      <w:bookmarkEnd w:id="91"/>
      <w:r>
        <w:rPr>
          <w:rFonts w:hint="eastAsia" w:ascii="宋体" w:hAnsi="宋体" w:cs="宋体"/>
          <w:color w:val="auto"/>
          <w:sz w:val="24"/>
          <w:highlight w:val="none"/>
        </w:rPr>
        <w:t>；采购人委托采购代理机构代表其与乙方签订合同的，采购人的授权委托书作为合同附件。</w:t>
      </w:r>
    </w:p>
    <w:p w14:paraId="179DEB43">
      <w:pPr>
        <w:spacing w:line="560" w:lineRule="exact"/>
        <w:ind w:firstLine="480" w:firstLineChars="200"/>
        <w:rPr>
          <w:rFonts w:ascii="宋体" w:hAnsi="宋体" w:cs="宋体"/>
          <w:color w:val="auto"/>
          <w:sz w:val="24"/>
          <w:highlight w:val="none"/>
        </w:rPr>
      </w:pPr>
      <w:bookmarkStart w:id="92" w:name="_Ref467379400"/>
      <w:r>
        <w:rPr>
          <w:rFonts w:hint="eastAsia" w:ascii="宋体" w:hAnsi="宋体" w:cs="宋体"/>
          <w:color w:val="auto"/>
          <w:sz w:val="24"/>
          <w:highlight w:val="none"/>
        </w:rPr>
        <w:t>2.1.5 “乙方”系指根据合同约定交付货物的中标或成交供应商</w:t>
      </w:r>
      <w:bookmarkEnd w:id="92"/>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E62E46C">
      <w:pPr>
        <w:spacing w:line="560" w:lineRule="exact"/>
        <w:ind w:firstLine="480" w:firstLineChars="200"/>
        <w:rPr>
          <w:rFonts w:ascii="宋体" w:hAnsi="宋体" w:cs="宋体"/>
          <w:color w:val="auto"/>
          <w:sz w:val="24"/>
          <w:highlight w:val="none"/>
        </w:rPr>
      </w:pPr>
      <w:bookmarkStart w:id="93" w:name="_Ref467379436"/>
      <w:r>
        <w:rPr>
          <w:rFonts w:hint="eastAsia" w:ascii="宋体" w:hAnsi="宋体" w:cs="宋体"/>
          <w:color w:val="auto"/>
          <w:sz w:val="24"/>
          <w:highlight w:val="none"/>
        </w:rPr>
        <w:t>2.1.6 “现场”系指合同约定货物将要运至或者安装的地点。</w:t>
      </w:r>
      <w:bookmarkEnd w:id="93"/>
    </w:p>
    <w:p w14:paraId="42E36A0F">
      <w:pPr>
        <w:spacing w:line="560" w:lineRule="exact"/>
        <w:ind w:firstLine="482" w:firstLineChars="200"/>
        <w:outlineLvl w:val="0"/>
        <w:rPr>
          <w:rFonts w:ascii="宋体" w:hAnsi="宋体" w:cs="宋体"/>
          <w:b/>
          <w:color w:val="auto"/>
          <w:sz w:val="24"/>
          <w:highlight w:val="none"/>
        </w:rPr>
      </w:pPr>
      <w:bookmarkStart w:id="94" w:name="_Toc32504"/>
      <w:bookmarkStart w:id="95" w:name="_Toc487900350"/>
      <w:bookmarkStart w:id="96" w:name="_Toc27635"/>
      <w:bookmarkStart w:id="97" w:name="_Toc13336"/>
      <w:bookmarkStart w:id="98" w:name="_Toc279701241"/>
      <w:bookmarkStart w:id="99" w:name="_Toc259093670"/>
      <w:r>
        <w:rPr>
          <w:rFonts w:hint="eastAsia" w:ascii="宋体" w:hAnsi="宋体" w:cs="宋体"/>
          <w:b/>
          <w:color w:val="auto"/>
          <w:sz w:val="24"/>
          <w:highlight w:val="none"/>
        </w:rPr>
        <w:t>2.2 技术规范</w:t>
      </w:r>
      <w:bookmarkEnd w:id="94"/>
      <w:bookmarkEnd w:id="95"/>
      <w:bookmarkEnd w:id="96"/>
      <w:bookmarkEnd w:id="97"/>
      <w:bookmarkEnd w:id="98"/>
      <w:bookmarkEnd w:id="99"/>
    </w:p>
    <w:p w14:paraId="22261F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E1F524F">
      <w:pPr>
        <w:spacing w:line="560" w:lineRule="exact"/>
        <w:ind w:firstLine="482" w:firstLineChars="200"/>
        <w:outlineLvl w:val="0"/>
        <w:rPr>
          <w:rFonts w:ascii="宋体" w:hAnsi="宋体" w:cs="宋体"/>
          <w:b/>
          <w:color w:val="auto"/>
          <w:sz w:val="24"/>
          <w:highlight w:val="none"/>
        </w:rPr>
      </w:pPr>
      <w:bookmarkStart w:id="100" w:name="_Toc487900351"/>
      <w:bookmarkStart w:id="101" w:name="_Toc27853"/>
      <w:bookmarkStart w:id="102" w:name="_Toc259093671"/>
      <w:bookmarkStart w:id="103" w:name="_Toc9829"/>
      <w:bookmarkStart w:id="104" w:name="_Toc31634"/>
      <w:bookmarkStart w:id="105" w:name="_Toc279701242"/>
      <w:r>
        <w:rPr>
          <w:rFonts w:hint="eastAsia" w:ascii="宋体" w:hAnsi="宋体" w:cs="宋体"/>
          <w:b/>
          <w:color w:val="auto"/>
          <w:sz w:val="24"/>
          <w:highlight w:val="none"/>
        </w:rPr>
        <w:t>2.3 知识产权</w:t>
      </w:r>
      <w:bookmarkEnd w:id="100"/>
      <w:bookmarkEnd w:id="101"/>
      <w:bookmarkEnd w:id="102"/>
      <w:bookmarkEnd w:id="103"/>
      <w:bookmarkEnd w:id="104"/>
      <w:bookmarkEnd w:id="105"/>
    </w:p>
    <w:p w14:paraId="143454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63328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213C1E">
      <w:pPr>
        <w:spacing w:line="560" w:lineRule="exact"/>
        <w:ind w:firstLine="482" w:firstLineChars="200"/>
        <w:outlineLvl w:val="0"/>
        <w:rPr>
          <w:rFonts w:ascii="宋体" w:hAnsi="宋体" w:cs="宋体"/>
          <w:b/>
          <w:color w:val="auto"/>
          <w:sz w:val="24"/>
          <w:highlight w:val="none"/>
        </w:rPr>
      </w:pPr>
      <w:bookmarkStart w:id="106" w:name="_Toc4194"/>
      <w:bookmarkStart w:id="107" w:name="_Toc29149"/>
      <w:bookmarkStart w:id="108" w:name="_Toc11932"/>
      <w:r>
        <w:rPr>
          <w:rFonts w:hint="eastAsia" w:ascii="宋体" w:hAnsi="宋体" w:cs="宋体"/>
          <w:b/>
          <w:color w:val="auto"/>
          <w:sz w:val="24"/>
          <w:highlight w:val="none"/>
        </w:rPr>
        <w:t>2.4 包装和装运</w:t>
      </w:r>
      <w:bookmarkEnd w:id="106"/>
      <w:bookmarkEnd w:id="107"/>
      <w:bookmarkEnd w:id="108"/>
    </w:p>
    <w:p w14:paraId="6CE170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33995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A4717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013E65">
      <w:pPr>
        <w:spacing w:line="560" w:lineRule="exact"/>
        <w:ind w:firstLine="482" w:firstLineChars="200"/>
        <w:outlineLvl w:val="0"/>
        <w:rPr>
          <w:rFonts w:ascii="宋体" w:hAnsi="宋体" w:cs="宋体"/>
          <w:b/>
          <w:color w:val="auto"/>
          <w:sz w:val="24"/>
          <w:highlight w:val="none"/>
        </w:rPr>
      </w:pPr>
      <w:bookmarkStart w:id="109" w:name="_Toc487900354"/>
      <w:bookmarkStart w:id="110" w:name="_Ref467379527"/>
      <w:bookmarkStart w:id="111" w:name="_Ref467379536"/>
      <w:bookmarkStart w:id="112" w:name="_Toc259093674"/>
      <w:bookmarkStart w:id="113" w:name="_Ref467378541"/>
      <w:bookmarkStart w:id="114" w:name="_Ref467378591"/>
      <w:bookmarkStart w:id="115" w:name="_Ref467379542"/>
      <w:bookmarkStart w:id="116" w:name="_Toc279701245"/>
      <w:bookmarkStart w:id="117" w:name="_Toc26182"/>
      <w:bookmarkStart w:id="118" w:name="_Toc19074"/>
      <w:bookmarkStart w:id="119" w:name="_Toc30272"/>
      <w:r>
        <w:rPr>
          <w:rFonts w:hint="eastAsia" w:ascii="宋体" w:hAnsi="宋体" w:cs="宋体"/>
          <w:b/>
          <w:color w:val="auto"/>
          <w:sz w:val="24"/>
          <w:highlight w:val="none"/>
        </w:rPr>
        <w:t>2.</w:t>
      </w:r>
      <w:bookmarkEnd w:id="109"/>
      <w:bookmarkEnd w:id="110"/>
      <w:bookmarkEnd w:id="111"/>
      <w:bookmarkEnd w:id="112"/>
      <w:bookmarkEnd w:id="113"/>
      <w:bookmarkEnd w:id="114"/>
      <w:bookmarkEnd w:id="115"/>
      <w:bookmarkEnd w:id="116"/>
      <w:r>
        <w:rPr>
          <w:rFonts w:hint="eastAsia" w:ascii="宋体" w:hAnsi="宋体" w:cs="宋体"/>
          <w:b/>
          <w:color w:val="auto"/>
          <w:sz w:val="24"/>
          <w:highlight w:val="none"/>
        </w:rPr>
        <w:t>5 履约检查和问题反馈</w:t>
      </w:r>
      <w:bookmarkEnd w:id="117"/>
      <w:bookmarkEnd w:id="118"/>
      <w:bookmarkEnd w:id="119"/>
    </w:p>
    <w:p w14:paraId="30C48AB4">
      <w:pPr>
        <w:spacing w:line="560" w:lineRule="exact"/>
        <w:ind w:firstLine="480" w:firstLineChars="200"/>
        <w:rPr>
          <w:rFonts w:ascii="宋体" w:hAnsi="宋体" w:cs="宋体"/>
          <w:color w:val="auto"/>
          <w:sz w:val="24"/>
          <w:highlight w:val="none"/>
        </w:rPr>
      </w:pPr>
      <w:bookmarkStart w:id="120" w:name="_Ref467379657"/>
      <w:r>
        <w:rPr>
          <w:rFonts w:hint="eastAsia" w:ascii="宋体" w:hAnsi="宋体" w:cs="宋体"/>
          <w:color w:val="auto"/>
          <w:sz w:val="24"/>
          <w:highlight w:val="none"/>
        </w:rPr>
        <w:t>2.5.1</w:t>
      </w:r>
      <w:bookmarkEnd w:id="120"/>
      <w:bookmarkStart w:id="121" w:name="_Toc186431854"/>
      <w:bookmarkStart w:id="122" w:name="_Toc279701247"/>
      <w:bookmarkStart w:id="123" w:name="_Toc487900357"/>
      <w:bookmarkStart w:id="124" w:name="_Toc259093676"/>
      <w:bookmarkStart w:id="125" w:name="_Ref467379793"/>
      <w:bookmarkStart w:id="126"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D9D6F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21"/>
      <w:bookmarkStart w:id="127" w:name="_Toc186431855"/>
      <w:r>
        <w:rPr>
          <w:rFonts w:hint="eastAsia" w:ascii="宋体" w:hAnsi="宋体" w:cs="宋体"/>
          <w:color w:val="auto"/>
          <w:sz w:val="24"/>
          <w:highlight w:val="none"/>
        </w:rPr>
        <w:t>。</w:t>
      </w:r>
    </w:p>
    <w:bookmarkEnd w:id="122"/>
    <w:bookmarkEnd w:id="123"/>
    <w:bookmarkEnd w:id="124"/>
    <w:bookmarkEnd w:id="125"/>
    <w:bookmarkEnd w:id="126"/>
    <w:bookmarkEnd w:id="127"/>
    <w:p w14:paraId="573F8534">
      <w:pPr>
        <w:spacing w:line="560" w:lineRule="exact"/>
        <w:ind w:firstLine="482" w:firstLineChars="200"/>
        <w:outlineLvl w:val="0"/>
        <w:rPr>
          <w:rFonts w:ascii="宋体" w:hAnsi="宋体" w:cs="宋体"/>
          <w:b/>
          <w:color w:val="auto"/>
          <w:sz w:val="24"/>
          <w:highlight w:val="none"/>
        </w:rPr>
      </w:pPr>
      <w:bookmarkStart w:id="128" w:name="_Toc487900358"/>
      <w:bookmarkStart w:id="129" w:name="_Toc259093677"/>
      <w:bookmarkStart w:id="130" w:name="_Ref467379923"/>
      <w:bookmarkStart w:id="131" w:name="_Toc279701248"/>
      <w:bookmarkStart w:id="132" w:name="_Ref467379863"/>
      <w:bookmarkStart w:id="133" w:name="_Ref467379852"/>
      <w:bookmarkStart w:id="134" w:name="_Toc774"/>
      <w:bookmarkStart w:id="135" w:name="_Toc3225"/>
      <w:bookmarkStart w:id="136" w:name="_Toc16110"/>
      <w:r>
        <w:rPr>
          <w:rFonts w:hint="eastAsia" w:ascii="宋体" w:hAnsi="宋体" w:cs="宋体"/>
          <w:b/>
          <w:color w:val="auto"/>
          <w:sz w:val="24"/>
          <w:highlight w:val="none"/>
        </w:rPr>
        <w:t>2.6 技术资料</w:t>
      </w:r>
      <w:bookmarkEnd w:id="128"/>
      <w:bookmarkEnd w:id="129"/>
      <w:bookmarkEnd w:id="130"/>
      <w:bookmarkEnd w:id="131"/>
      <w:bookmarkEnd w:id="132"/>
      <w:bookmarkEnd w:id="133"/>
      <w:r>
        <w:rPr>
          <w:rFonts w:hint="eastAsia" w:ascii="宋体" w:hAnsi="宋体" w:cs="宋体"/>
          <w:b/>
          <w:color w:val="auto"/>
          <w:sz w:val="24"/>
          <w:highlight w:val="none"/>
        </w:rPr>
        <w:t>和保密义务</w:t>
      </w:r>
      <w:bookmarkEnd w:id="134"/>
      <w:bookmarkEnd w:id="135"/>
      <w:bookmarkEnd w:id="136"/>
    </w:p>
    <w:p w14:paraId="0638E0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B308D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6CE94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2642F3E">
      <w:pPr>
        <w:spacing w:line="560" w:lineRule="exact"/>
        <w:ind w:firstLine="482" w:firstLineChars="200"/>
        <w:outlineLvl w:val="0"/>
        <w:rPr>
          <w:rFonts w:ascii="宋体" w:hAnsi="宋体" w:cs="宋体"/>
          <w:b/>
          <w:color w:val="auto"/>
          <w:sz w:val="24"/>
          <w:highlight w:val="none"/>
        </w:rPr>
      </w:pPr>
      <w:bookmarkStart w:id="137" w:name="_Toc7860"/>
      <w:r>
        <w:rPr>
          <w:rFonts w:hint="eastAsia" w:ascii="宋体" w:hAnsi="宋体" w:cs="宋体"/>
          <w:b/>
          <w:color w:val="auto"/>
          <w:sz w:val="24"/>
          <w:highlight w:val="none"/>
        </w:rPr>
        <w:t>2.7 质量保证</w:t>
      </w:r>
      <w:bookmarkEnd w:id="137"/>
    </w:p>
    <w:p w14:paraId="247E43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9796D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0F2DFD9">
      <w:pPr>
        <w:spacing w:line="560" w:lineRule="exact"/>
        <w:ind w:firstLine="482" w:firstLineChars="200"/>
        <w:outlineLvl w:val="0"/>
        <w:rPr>
          <w:rFonts w:ascii="宋体" w:hAnsi="宋体" w:cs="宋体"/>
          <w:b/>
          <w:color w:val="auto"/>
          <w:sz w:val="24"/>
          <w:highlight w:val="none"/>
        </w:rPr>
      </w:pPr>
      <w:bookmarkStart w:id="138" w:name="_Toc17244"/>
      <w:bookmarkStart w:id="139" w:name="_Toc259093681"/>
      <w:bookmarkStart w:id="140" w:name="_Toc487900362"/>
      <w:bookmarkStart w:id="141" w:name="_Toc279701252"/>
      <w:r>
        <w:rPr>
          <w:rFonts w:hint="eastAsia" w:ascii="宋体" w:hAnsi="宋体" w:cs="宋体"/>
          <w:b/>
          <w:color w:val="auto"/>
          <w:sz w:val="24"/>
          <w:highlight w:val="none"/>
        </w:rPr>
        <w:t>2.8 货物的风险负担</w:t>
      </w:r>
      <w:bookmarkEnd w:id="138"/>
    </w:p>
    <w:p w14:paraId="4F66361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BCC6B5">
      <w:pPr>
        <w:spacing w:line="560" w:lineRule="exact"/>
        <w:ind w:firstLine="482" w:firstLineChars="200"/>
        <w:outlineLvl w:val="0"/>
        <w:rPr>
          <w:rFonts w:ascii="宋体" w:hAnsi="宋体" w:cs="宋体"/>
          <w:b/>
          <w:color w:val="auto"/>
          <w:sz w:val="24"/>
          <w:highlight w:val="none"/>
        </w:rPr>
      </w:pPr>
      <w:bookmarkStart w:id="142" w:name="_Toc14055"/>
      <w:r>
        <w:rPr>
          <w:rFonts w:hint="eastAsia" w:ascii="宋体" w:hAnsi="宋体" w:cs="宋体"/>
          <w:b/>
          <w:color w:val="auto"/>
          <w:sz w:val="24"/>
          <w:highlight w:val="none"/>
        </w:rPr>
        <w:t>2.9 延迟交货</w:t>
      </w:r>
      <w:bookmarkEnd w:id="139"/>
      <w:bookmarkEnd w:id="140"/>
      <w:bookmarkEnd w:id="141"/>
      <w:bookmarkEnd w:id="142"/>
    </w:p>
    <w:p w14:paraId="3E89724D">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C34DC64">
      <w:pPr>
        <w:spacing w:line="560" w:lineRule="exact"/>
        <w:ind w:firstLine="482" w:firstLineChars="200"/>
        <w:outlineLvl w:val="0"/>
        <w:rPr>
          <w:rFonts w:ascii="宋体" w:hAnsi="宋体" w:cs="宋体"/>
          <w:b/>
          <w:color w:val="auto"/>
          <w:sz w:val="24"/>
          <w:highlight w:val="none"/>
        </w:rPr>
      </w:pPr>
      <w:bookmarkStart w:id="143" w:name="_Toc7502"/>
      <w:bookmarkStart w:id="144" w:name="_Ref467378121"/>
      <w:bookmarkStart w:id="145" w:name="_Toc279701254"/>
      <w:bookmarkStart w:id="146" w:name="_Toc259093683"/>
      <w:bookmarkStart w:id="147" w:name="_Toc487900364"/>
      <w:r>
        <w:rPr>
          <w:rFonts w:hint="eastAsia" w:ascii="宋体" w:hAnsi="宋体" w:cs="宋体"/>
          <w:b/>
          <w:color w:val="auto"/>
          <w:sz w:val="24"/>
          <w:highlight w:val="none"/>
        </w:rPr>
        <w:t>2.10 合同变更</w:t>
      </w:r>
      <w:bookmarkEnd w:id="143"/>
    </w:p>
    <w:p w14:paraId="210C26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48" w:name="_Toc259093688"/>
      <w:bookmarkStart w:id="149" w:name="_Toc279701259"/>
      <w:bookmarkStart w:id="150" w:name="_Toc487900369"/>
    </w:p>
    <w:p w14:paraId="5CB69589">
      <w:pPr>
        <w:spacing w:line="560" w:lineRule="exact"/>
        <w:ind w:firstLine="482" w:firstLineChars="200"/>
        <w:outlineLvl w:val="0"/>
        <w:rPr>
          <w:rFonts w:ascii="宋体" w:hAnsi="宋体" w:cs="宋体"/>
          <w:b/>
          <w:color w:val="auto"/>
          <w:sz w:val="24"/>
          <w:highlight w:val="none"/>
        </w:rPr>
      </w:pPr>
      <w:bookmarkStart w:id="151" w:name="_Toc22955"/>
      <w:bookmarkStart w:id="152" w:name="_Toc15237"/>
      <w:bookmarkStart w:id="153" w:name="_Toc10366"/>
      <w:r>
        <w:rPr>
          <w:rFonts w:hint="eastAsia" w:ascii="宋体" w:hAnsi="宋体" w:cs="宋体"/>
          <w:b/>
          <w:color w:val="auto"/>
          <w:sz w:val="24"/>
          <w:highlight w:val="none"/>
        </w:rPr>
        <w:t>2.11 合同转让</w:t>
      </w:r>
      <w:bookmarkEnd w:id="148"/>
      <w:bookmarkEnd w:id="149"/>
      <w:bookmarkEnd w:id="150"/>
      <w:r>
        <w:rPr>
          <w:rFonts w:hint="eastAsia" w:ascii="宋体" w:hAnsi="宋体" w:cs="宋体"/>
          <w:b/>
          <w:color w:val="auto"/>
          <w:sz w:val="24"/>
          <w:highlight w:val="none"/>
        </w:rPr>
        <w:t>和分包</w:t>
      </w:r>
      <w:bookmarkEnd w:id="151"/>
      <w:bookmarkEnd w:id="152"/>
      <w:bookmarkEnd w:id="153"/>
    </w:p>
    <w:p w14:paraId="5B1788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40985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08F9EBB">
      <w:pPr>
        <w:spacing w:line="560" w:lineRule="exact"/>
        <w:ind w:firstLine="482" w:firstLineChars="200"/>
        <w:outlineLvl w:val="0"/>
        <w:rPr>
          <w:rFonts w:ascii="宋体" w:hAnsi="宋体" w:cs="宋体"/>
          <w:b/>
          <w:color w:val="auto"/>
          <w:sz w:val="24"/>
          <w:highlight w:val="none"/>
        </w:rPr>
      </w:pPr>
      <w:bookmarkStart w:id="154" w:name="_Toc13566"/>
      <w:bookmarkStart w:id="155" w:name="_Toc14066"/>
      <w:bookmarkStart w:id="156" w:name="_Toc16508"/>
      <w:r>
        <w:rPr>
          <w:rFonts w:hint="eastAsia" w:ascii="宋体" w:hAnsi="宋体" w:cs="宋体"/>
          <w:b/>
          <w:color w:val="auto"/>
          <w:sz w:val="24"/>
          <w:highlight w:val="none"/>
        </w:rPr>
        <w:t>2.12 不可抗力</w:t>
      </w:r>
      <w:bookmarkEnd w:id="154"/>
      <w:bookmarkEnd w:id="155"/>
      <w:bookmarkEnd w:id="156"/>
    </w:p>
    <w:p w14:paraId="589ED1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554A7E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03F082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E093A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BFEE612">
      <w:pPr>
        <w:spacing w:line="560" w:lineRule="exact"/>
        <w:ind w:firstLine="482" w:firstLineChars="200"/>
        <w:outlineLvl w:val="0"/>
        <w:rPr>
          <w:rFonts w:ascii="宋体" w:hAnsi="宋体" w:cs="宋体"/>
          <w:b/>
          <w:color w:val="auto"/>
          <w:sz w:val="24"/>
          <w:highlight w:val="none"/>
        </w:rPr>
      </w:pPr>
      <w:bookmarkStart w:id="157" w:name="_Toc6969"/>
      <w:bookmarkStart w:id="158" w:name="_Toc30676"/>
      <w:bookmarkStart w:id="159" w:name="_Toc487900365"/>
      <w:bookmarkStart w:id="160" w:name="_Toc259093684"/>
      <w:bookmarkStart w:id="161" w:name="_Toc689"/>
      <w:bookmarkStart w:id="162" w:name="_Toc279701255"/>
      <w:r>
        <w:rPr>
          <w:rFonts w:hint="eastAsia" w:ascii="宋体" w:hAnsi="宋体" w:cs="宋体"/>
          <w:b/>
          <w:color w:val="auto"/>
          <w:sz w:val="24"/>
          <w:highlight w:val="none"/>
        </w:rPr>
        <w:t>2.13 税费</w:t>
      </w:r>
      <w:bookmarkEnd w:id="157"/>
      <w:bookmarkEnd w:id="158"/>
      <w:bookmarkEnd w:id="159"/>
      <w:bookmarkEnd w:id="160"/>
      <w:bookmarkEnd w:id="161"/>
      <w:bookmarkEnd w:id="162"/>
    </w:p>
    <w:p w14:paraId="667368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E0FF80C">
      <w:pPr>
        <w:spacing w:line="560" w:lineRule="exact"/>
        <w:ind w:firstLine="482" w:firstLineChars="200"/>
        <w:outlineLvl w:val="0"/>
        <w:rPr>
          <w:rFonts w:ascii="宋体" w:hAnsi="宋体" w:cs="宋体"/>
          <w:b/>
          <w:color w:val="auto"/>
          <w:sz w:val="24"/>
          <w:highlight w:val="none"/>
        </w:rPr>
      </w:pPr>
      <w:bookmarkStart w:id="163" w:name="_Toc7102"/>
      <w:bookmarkStart w:id="164" w:name="_Toc487900368"/>
      <w:bookmarkStart w:id="165" w:name="_Toc8298"/>
      <w:bookmarkStart w:id="166" w:name="_Toc259093687"/>
      <w:bookmarkStart w:id="167" w:name="_Toc279701258"/>
      <w:bookmarkStart w:id="168" w:name="_Toc16959"/>
      <w:r>
        <w:rPr>
          <w:rFonts w:hint="eastAsia" w:ascii="宋体" w:hAnsi="宋体" w:cs="宋体"/>
          <w:b/>
          <w:color w:val="auto"/>
          <w:sz w:val="24"/>
          <w:highlight w:val="none"/>
        </w:rPr>
        <w:t>2.14乙方破产</w:t>
      </w:r>
      <w:bookmarkEnd w:id="163"/>
      <w:bookmarkEnd w:id="164"/>
      <w:bookmarkEnd w:id="165"/>
      <w:bookmarkEnd w:id="166"/>
      <w:bookmarkEnd w:id="167"/>
      <w:bookmarkEnd w:id="168"/>
    </w:p>
    <w:p w14:paraId="0BF6C8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DF79BE7">
      <w:pPr>
        <w:spacing w:line="560" w:lineRule="exact"/>
        <w:ind w:firstLine="482" w:firstLineChars="200"/>
        <w:outlineLvl w:val="0"/>
        <w:rPr>
          <w:rFonts w:ascii="宋体" w:hAnsi="宋体" w:cs="宋体"/>
          <w:b/>
          <w:color w:val="auto"/>
          <w:sz w:val="24"/>
          <w:highlight w:val="none"/>
        </w:rPr>
      </w:pPr>
      <w:bookmarkStart w:id="169" w:name="_Toc15387"/>
      <w:bookmarkStart w:id="170" w:name="_Toc6134"/>
      <w:bookmarkStart w:id="171" w:name="_Toc29333"/>
      <w:r>
        <w:rPr>
          <w:rFonts w:hint="eastAsia" w:ascii="宋体" w:hAnsi="宋体" w:cs="宋体"/>
          <w:b/>
          <w:color w:val="auto"/>
          <w:sz w:val="24"/>
          <w:highlight w:val="none"/>
        </w:rPr>
        <w:t>2.15 合同中止、终止</w:t>
      </w:r>
      <w:bookmarkEnd w:id="169"/>
      <w:bookmarkEnd w:id="170"/>
      <w:bookmarkEnd w:id="171"/>
    </w:p>
    <w:p w14:paraId="49639B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CA7BB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F639734">
      <w:pPr>
        <w:spacing w:line="560" w:lineRule="exact"/>
        <w:ind w:firstLine="482" w:firstLineChars="200"/>
        <w:outlineLvl w:val="0"/>
        <w:rPr>
          <w:rFonts w:ascii="宋体" w:hAnsi="宋体" w:cs="宋体"/>
          <w:b/>
          <w:color w:val="auto"/>
          <w:sz w:val="24"/>
          <w:highlight w:val="none"/>
        </w:rPr>
      </w:pPr>
      <w:bookmarkStart w:id="172" w:name="_Toc1125"/>
      <w:bookmarkStart w:id="173" w:name="_Toc14563"/>
      <w:bookmarkStart w:id="174" w:name="_Toc6596"/>
      <w:r>
        <w:rPr>
          <w:rFonts w:hint="eastAsia" w:ascii="宋体" w:hAnsi="宋体" w:cs="宋体"/>
          <w:b/>
          <w:color w:val="auto"/>
          <w:sz w:val="24"/>
          <w:highlight w:val="none"/>
        </w:rPr>
        <w:t>2.16检验和验收</w:t>
      </w:r>
      <w:bookmarkEnd w:id="172"/>
      <w:bookmarkEnd w:id="173"/>
      <w:bookmarkEnd w:id="174"/>
    </w:p>
    <w:p w14:paraId="40F4E7F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7E71BF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859F7B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44"/>
    <w:bookmarkEnd w:id="145"/>
    <w:bookmarkEnd w:id="146"/>
    <w:bookmarkEnd w:id="147"/>
    <w:p w14:paraId="5A8A20A2">
      <w:pPr>
        <w:spacing w:line="560" w:lineRule="exact"/>
        <w:ind w:firstLine="482" w:firstLineChars="200"/>
        <w:outlineLvl w:val="0"/>
        <w:rPr>
          <w:rFonts w:ascii="宋体" w:hAnsi="宋体" w:cs="宋体"/>
          <w:b/>
          <w:color w:val="auto"/>
          <w:sz w:val="24"/>
          <w:highlight w:val="none"/>
        </w:rPr>
      </w:pPr>
      <w:bookmarkStart w:id="175" w:name="_Toc487900371"/>
      <w:bookmarkStart w:id="176" w:name="_Toc279701261"/>
      <w:bookmarkStart w:id="177" w:name="_Toc259093690"/>
      <w:bookmarkStart w:id="178" w:name="_Toc19604"/>
      <w:bookmarkStart w:id="179" w:name="_Toc25182"/>
      <w:bookmarkStart w:id="180" w:name="_Toc11284"/>
      <w:r>
        <w:rPr>
          <w:rFonts w:hint="eastAsia" w:ascii="宋体" w:hAnsi="宋体" w:cs="宋体"/>
          <w:b/>
          <w:color w:val="auto"/>
          <w:sz w:val="24"/>
          <w:highlight w:val="none"/>
        </w:rPr>
        <w:t>2.17 通知</w:t>
      </w:r>
      <w:bookmarkEnd w:id="175"/>
      <w:bookmarkEnd w:id="176"/>
      <w:bookmarkEnd w:id="177"/>
      <w:r>
        <w:rPr>
          <w:rFonts w:hint="eastAsia" w:ascii="宋体" w:hAnsi="宋体" w:cs="宋体"/>
          <w:b/>
          <w:color w:val="auto"/>
          <w:sz w:val="24"/>
          <w:highlight w:val="none"/>
        </w:rPr>
        <w:t>和送达</w:t>
      </w:r>
      <w:bookmarkEnd w:id="178"/>
      <w:bookmarkEnd w:id="179"/>
      <w:bookmarkEnd w:id="180"/>
    </w:p>
    <w:p w14:paraId="48FAC913">
      <w:pPr>
        <w:spacing w:line="560" w:lineRule="exact"/>
        <w:ind w:firstLine="480" w:firstLineChars="200"/>
        <w:rPr>
          <w:rFonts w:ascii="宋体" w:hAnsi="宋体" w:cs="宋体"/>
          <w:color w:val="auto"/>
          <w:sz w:val="24"/>
          <w:highlight w:val="none"/>
        </w:rPr>
      </w:pPr>
      <w:bookmarkStart w:id="181" w:name="_Toc6698"/>
      <w:bookmarkStart w:id="182" w:name="_Toc3135"/>
      <w:bookmarkStart w:id="183" w:name="_Toc279701262"/>
      <w:bookmarkStart w:id="184" w:name="_Toc259093691"/>
      <w:bookmarkStart w:id="185"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81"/>
      <w:bookmarkEnd w:id="182"/>
    </w:p>
    <w:p w14:paraId="48DBCC28">
      <w:pPr>
        <w:spacing w:line="560" w:lineRule="exact"/>
        <w:ind w:firstLine="480" w:firstLineChars="200"/>
        <w:rPr>
          <w:rFonts w:ascii="宋体" w:hAnsi="宋体" w:cs="宋体"/>
          <w:color w:val="auto"/>
          <w:sz w:val="24"/>
          <w:highlight w:val="none"/>
        </w:rPr>
      </w:pPr>
      <w:bookmarkStart w:id="186" w:name="_Toc23294"/>
      <w:bookmarkStart w:id="187"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6"/>
      <w:bookmarkEnd w:id="187"/>
    </w:p>
    <w:p w14:paraId="0715CAB9">
      <w:pPr>
        <w:spacing w:line="560" w:lineRule="exact"/>
        <w:ind w:firstLine="482" w:firstLineChars="200"/>
        <w:outlineLvl w:val="0"/>
        <w:rPr>
          <w:rFonts w:ascii="宋体" w:hAnsi="宋体" w:cs="宋体"/>
          <w:b/>
          <w:color w:val="auto"/>
          <w:sz w:val="24"/>
          <w:highlight w:val="none"/>
        </w:rPr>
      </w:pPr>
      <w:bookmarkStart w:id="188" w:name="_Toc30599"/>
      <w:bookmarkStart w:id="189" w:name="_Toc18540"/>
      <w:bookmarkStart w:id="190" w:name="_Toc4355"/>
      <w:r>
        <w:rPr>
          <w:rFonts w:hint="eastAsia" w:ascii="宋体" w:hAnsi="宋体" w:cs="宋体"/>
          <w:b/>
          <w:color w:val="auto"/>
          <w:sz w:val="24"/>
          <w:highlight w:val="none"/>
        </w:rPr>
        <w:t>2.18 计量单位</w:t>
      </w:r>
      <w:bookmarkEnd w:id="183"/>
      <w:bookmarkEnd w:id="184"/>
      <w:bookmarkEnd w:id="185"/>
      <w:bookmarkEnd w:id="188"/>
      <w:bookmarkEnd w:id="189"/>
      <w:bookmarkEnd w:id="190"/>
    </w:p>
    <w:p w14:paraId="3BE0F4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540F9F1">
      <w:pPr>
        <w:spacing w:line="560" w:lineRule="exact"/>
        <w:ind w:firstLine="482" w:firstLineChars="200"/>
        <w:outlineLvl w:val="0"/>
        <w:rPr>
          <w:rFonts w:ascii="宋体" w:hAnsi="宋体" w:cs="宋体"/>
          <w:b/>
          <w:color w:val="auto"/>
          <w:sz w:val="24"/>
          <w:highlight w:val="none"/>
        </w:rPr>
      </w:pPr>
      <w:bookmarkStart w:id="191" w:name="_Toc487900373"/>
      <w:bookmarkStart w:id="192" w:name="_Toc18567"/>
      <w:bookmarkStart w:id="193" w:name="_Toc279701263"/>
      <w:bookmarkStart w:id="194" w:name="_Toc259093692"/>
      <w:bookmarkStart w:id="195" w:name="_Toc12773"/>
      <w:bookmarkStart w:id="196" w:name="_Toc10330"/>
      <w:r>
        <w:rPr>
          <w:rFonts w:hint="eastAsia" w:ascii="宋体" w:hAnsi="宋体" w:cs="宋体"/>
          <w:b/>
          <w:color w:val="auto"/>
          <w:sz w:val="24"/>
          <w:highlight w:val="none"/>
        </w:rPr>
        <w:t>2.19 合同使用的文字和适用的法律</w:t>
      </w:r>
      <w:bookmarkEnd w:id="191"/>
      <w:bookmarkEnd w:id="192"/>
      <w:bookmarkEnd w:id="193"/>
      <w:bookmarkEnd w:id="194"/>
      <w:bookmarkEnd w:id="195"/>
      <w:bookmarkEnd w:id="196"/>
    </w:p>
    <w:p w14:paraId="4538EE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63823B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ABBCD9E">
      <w:pPr>
        <w:spacing w:line="560" w:lineRule="exact"/>
        <w:ind w:firstLine="482" w:firstLineChars="200"/>
        <w:outlineLvl w:val="0"/>
        <w:rPr>
          <w:rFonts w:ascii="宋体" w:hAnsi="宋体" w:cs="宋体"/>
          <w:b/>
          <w:color w:val="auto"/>
          <w:sz w:val="24"/>
          <w:highlight w:val="none"/>
        </w:rPr>
      </w:pPr>
      <w:bookmarkStart w:id="197" w:name="_Toc14001"/>
      <w:bookmarkStart w:id="198" w:name="_Toc6885"/>
      <w:bookmarkStart w:id="199" w:name="_Toc19890"/>
      <w:r>
        <w:rPr>
          <w:rFonts w:hint="eastAsia" w:ascii="宋体" w:hAnsi="宋体" w:cs="宋体"/>
          <w:b/>
          <w:color w:val="auto"/>
          <w:sz w:val="24"/>
          <w:highlight w:val="none"/>
        </w:rPr>
        <w:t>2.20 合同份数</w:t>
      </w:r>
      <w:bookmarkEnd w:id="197"/>
      <w:bookmarkEnd w:id="198"/>
      <w:bookmarkEnd w:id="199"/>
    </w:p>
    <w:p w14:paraId="464FB1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E8958C3">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68EA8250">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BAB4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noWrap w:val="0"/>
            <w:vAlign w:val="center"/>
          </w:tcPr>
          <w:p w14:paraId="38FC48B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4534" w:type="pct"/>
            <w:noWrap w:val="0"/>
            <w:vAlign w:val="center"/>
          </w:tcPr>
          <w:p w14:paraId="6F7F772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约定内容</w:t>
            </w:r>
          </w:p>
        </w:tc>
      </w:tr>
      <w:tr w14:paraId="206E3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6B6B4FAF">
            <w:pPr>
              <w:spacing w:line="360" w:lineRule="auto"/>
              <w:rPr>
                <w:rFonts w:hint="eastAsia" w:ascii="宋体" w:hAnsi="宋体" w:eastAsia="宋体" w:cs="宋体"/>
                <w:sz w:val="24"/>
                <w:szCs w:val="24"/>
              </w:rPr>
            </w:pPr>
            <w:r>
              <w:rPr>
                <w:rFonts w:hint="eastAsia" w:ascii="宋体" w:hAnsi="宋体" w:eastAsia="宋体" w:cs="宋体"/>
                <w:sz w:val="24"/>
                <w:szCs w:val="24"/>
              </w:rPr>
              <w:t>1.4.2</w:t>
            </w:r>
          </w:p>
        </w:tc>
        <w:tc>
          <w:tcPr>
            <w:tcW w:w="4534" w:type="pct"/>
            <w:noWrap w:val="0"/>
            <w:vAlign w:val="center"/>
          </w:tcPr>
          <w:p w14:paraId="42877B2E">
            <w:pPr>
              <w:spacing w:line="360" w:lineRule="auto"/>
              <w:ind w:firstLine="240" w:firstLineChars="100"/>
              <w:rPr>
                <w:rFonts w:hint="eastAsia" w:ascii="宋体" w:hAnsi="宋体" w:eastAsia="宋体"/>
                <w:sz w:val="24"/>
              </w:rPr>
            </w:pPr>
            <w:r>
              <w:rPr>
                <w:rFonts w:hint="eastAsia" w:ascii="宋体" w:hAnsi="宋体" w:eastAsia="宋体"/>
                <w:sz w:val="24"/>
              </w:rPr>
              <w:t>履约担保的金额：签约合同总价的2%，项目履约验收通过后全额退还履约保证金（不计息）</w:t>
            </w:r>
          </w:p>
          <w:p w14:paraId="1ED290DC">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sz w:val="24"/>
              </w:rPr>
              <w:t>履约担保形式：</w:t>
            </w:r>
            <w:r>
              <w:rPr>
                <w:rFonts w:hint="eastAsia" w:ascii="宋体" w:hAnsi="宋体" w:eastAsia="宋体"/>
                <w:color w:val="FF0000"/>
                <w:sz w:val="24"/>
                <w:lang w:val="en-US" w:eastAsia="zh-CN"/>
              </w:rPr>
              <w:t>以</w:t>
            </w:r>
            <w:r>
              <w:rPr>
                <w:rFonts w:hint="eastAsia" w:ascii="宋体" w:hAnsi="宋体" w:eastAsia="宋体"/>
                <w:color w:val="FF0000"/>
                <w:sz w:val="24"/>
              </w:rPr>
              <w:t>银行转账或银行保函</w:t>
            </w:r>
            <w:r>
              <w:rPr>
                <w:rFonts w:hint="eastAsia" w:ascii="宋体" w:hAnsi="宋体" w:eastAsia="宋体"/>
                <w:color w:val="FF0000"/>
                <w:sz w:val="24"/>
                <w:lang w:eastAsia="zh-CN"/>
              </w:rPr>
              <w:t>形式提供，(备注:</w:t>
            </w:r>
            <w:r>
              <w:rPr>
                <w:rFonts w:hint="eastAsia" w:ascii="宋体" w:hAnsi="宋体" w:eastAsia="宋体"/>
                <w:color w:val="FF0000"/>
                <w:sz w:val="24"/>
                <w:lang w:val="en-US" w:eastAsia="zh-CN"/>
              </w:rPr>
              <w:t>中标供应商</w:t>
            </w:r>
            <w:r>
              <w:rPr>
                <w:rFonts w:hint="eastAsia" w:ascii="宋体" w:hAnsi="宋体" w:eastAsia="宋体"/>
                <w:color w:val="FF0000"/>
                <w:sz w:val="24"/>
                <w:lang w:eastAsia="zh-CN"/>
              </w:rPr>
              <w:t>若向</w:t>
            </w:r>
            <w:r>
              <w:rPr>
                <w:rFonts w:hint="eastAsia" w:ascii="宋体" w:hAnsi="宋体" w:eastAsia="宋体"/>
                <w:color w:val="FF0000"/>
                <w:sz w:val="24"/>
                <w:lang w:val="en-US" w:eastAsia="zh-CN"/>
              </w:rPr>
              <w:t>采购人</w:t>
            </w:r>
            <w:r>
              <w:rPr>
                <w:rFonts w:hint="eastAsia" w:ascii="宋体" w:hAnsi="宋体" w:eastAsia="宋体"/>
                <w:color w:val="FF0000"/>
                <w:sz w:val="24"/>
                <w:lang w:eastAsia="zh-CN"/>
              </w:rPr>
              <w:t>提交履约保函,履约保函应为见索即付、不可撤销。如保函担保时间到期，</w:t>
            </w:r>
            <w:r>
              <w:rPr>
                <w:rFonts w:hint="eastAsia" w:ascii="宋体" w:hAnsi="宋体" w:eastAsia="宋体"/>
                <w:color w:val="FF0000"/>
                <w:sz w:val="24"/>
                <w:lang w:val="en-US" w:eastAsia="zh-CN"/>
              </w:rPr>
              <w:t>到期延期）</w:t>
            </w:r>
            <w:r>
              <w:rPr>
                <w:rFonts w:hint="eastAsia" w:ascii="宋体" w:hAnsi="宋体" w:eastAsia="宋体"/>
                <w:color w:val="FF0000"/>
                <w:sz w:val="24"/>
                <w:lang w:eastAsia="zh-CN"/>
              </w:rPr>
              <w:t>。</w:t>
            </w:r>
          </w:p>
        </w:tc>
      </w:tr>
      <w:tr w14:paraId="0B1CF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4AAFFF9A">
            <w:pPr>
              <w:spacing w:line="360" w:lineRule="auto"/>
              <w:rPr>
                <w:rFonts w:hint="eastAsia" w:ascii="宋体" w:hAnsi="宋体" w:eastAsia="宋体" w:cs="宋体"/>
                <w:sz w:val="24"/>
                <w:szCs w:val="24"/>
              </w:rPr>
            </w:pPr>
            <w:r>
              <w:rPr>
                <w:rFonts w:hint="eastAsia" w:ascii="宋体" w:hAnsi="宋体" w:eastAsia="宋体" w:cs="宋体"/>
                <w:sz w:val="24"/>
                <w:szCs w:val="24"/>
              </w:rPr>
              <w:t>1.5.1</w:t>
            </w:r>
          </w:p>
        </w:tc>
        <w:tc>
          <w:tcPr>
            <w:tcW w:w="4534" w:type="pct"/>
            <w:noWrap w:val="0"/>
            <w:vAlign w:val="center"/>
          </w:tcPr>
          <w:p w14:paraId="1CB7A91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预付款比例、支付方式、时间：</w:t>
            </w:r>
            <w:r>
              <w:rPr>
                <w:rFonts w:hint="eastAsia" w:ascii="宋体" w:hAnsi="宋体" w:eastAsia="宋体" w:cs="宋体"/>
                <w:color w:val="000000"/>
                <w:sz w:val="24"/>
                <w:szCs w:val="24"/>
                <w:lang w:eastAsia="zh-CN"/>
              </w:rPr>
              <w:t>生效并具备实施条件7个工作日内，采购人向中标单位支付合同金额的</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eastAsia="zh-CN"/>
              </w:rPr>
              <w:t>%作为预付款</w:t>
            </w:r>
          </w:p>
        </w:tc>
      </w:tr>
      <w:tr w14:paraId="28188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6962C61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1.5.2 </w:t>
            </w:r>
          </w:p>
        </w:tc>
        <w:tc>
          <w:tcPr>
            <w:tcW w:w="4534" w:type="pct"/>
            <w:noWrap w:val="0"/>
            <w:vAlign w:val="center"/>
          </w:tcPr>
          <w:p w14:paraId="08EA67F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14:paraId="7FB01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68B29B5E">
            <w:pPr>
              <w:spacing w:line="360" w:lineRule="auto"/>
              <w:rPr>
                <w:rFonts w:hint="eastAsia" w:ascii="宋体" w:hAnsi="宋体" w:eastAsia="宋体" w:cs="宋体"/>
                <w:sz w:val="24"/>
                <w:szCs w:val="24"/>
              </w:rPr>
            </w:pPr>
            <w:r>
              <w:rPr>
                <w:rFonts w:hint="eastAsia" w:ascii="宋体" w:hAnsi="宋体" w:eastAsia="宋体" w:cs="宋体"/>
                <w:sz w:val="24"/>
                <w:szCs w:val="24"/>
              </w:rPr>
              <w:t>1.5.3</w:t>
            </w:r>
          </w:p>
        </w:tc>
        <w:tc>
          <w:tcPr>
            <w:tcW w:w="4534" w:type="pct"/>
            <w:noWrap w:val="0"/>
            <w:vAlign w:val="center"/>
          </w:tcPr>
          <w:p w14:paraId="147EE4BA">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14:paraId="16631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7445FBCE">
            <w:pPr>
              <w:spacing w:line="360" w:lineRule="auto"/>
              <w:rPr>
                <w:rFonts w:hint="eastAsia" w:ascii="宋体" w:hAnsi="宋体" w:eastAsia="宋体" w:cs="宋体"/>
                <w:sz w:val="24"/>
                <w:szCs w:val="24"/>
              </w:rPr>
            </w:pPr>
            <w:r>
              <w:rPr>
                <w:rFonts w:hint="eastAsia" w:ascii="宋体" w:hAnsi="宋体" w:eastAsia="宋体" w:cs="宋体"/>
                <w:sz w:val="24"/>
                <w:szCs w:val="24"/>
              </w:rPr>
              <w:t>1.6.2</w:t>
            </w:r>
          </w:p>
        </w:tc>
        <w:tc>
          <w:tcPr>
            <w:tcW w:w="4534" w:type="pct"/>
            <w:noWrap w:val="0"/>
            <w:vAlign w:val="center"/>
          </w:tcPr>
          <w:p w14:paraId="1D135722">
            <w:pPr>
              <w:spacing w:line="360" w:lineRule="auto"/>
              <w:ind w:firstLine="240" w:firstLineChars="100"/>
              <w:rPr>
                <w:rFonts w:hint="eastAsia" w:ascii="宋体" w:hAnsi="宋体" w:eastAsia="宋体" w:cs="宋体"/>
                <w:color w:val="000000"/>
                <w:sz w:val="24"/>
                <w:szCs w:val="24"/>
                <w:lang w:eastAsia="zh-CN"/>
              </w:rPr>
            </w:pPr>
            <w:r>
              <w:rPr>
                <w:rFonts w:hint="eastAsia" w:ascii="宋体" w:hAnsi="宋体" w:eastAsia="宋体"/>
                <w:color w:val="auto"/>
                <w:sz w:val="24"/>
                <w:szCs w:val="24"/>
                <w:highlight w:val="none"/>
                <w:lang w:val="en-US" w:eastAsia="zh-CN"/>
              </w:rPr>
              <w:t>合同签订后七个工作日内甲方支付合同总额30%做为预付款，全部货物安装完成并验收合格后支付至合同价的85%，审计结束后支付至审定金额的97.5%，质保期满后无质量问题一个月内结清余款（余款不计息）。</w:t>
            </w:r>
          </w:p>
        </w:tc>
      </w:tr>
      <w:tr w14:paraId="0142F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18985E14">
            <w:pPr>
              <w:spacing w:line="360" w:lineRule="auto"/>
              <w:rPr>
                <w:rFonts w:hint="eastAsia" w:ascii="宋体" w:hAnsi="宋体" w:eastAsia="宋体" w:cs="宋体"/>
                <w:sz w:val="24"/>
                <w:szCs w:val="24"/>
              </w:rPr>
            </w:pPr>
            <w:r>
              <w:rPr>
                <w:rFonts w:hint="eastAsia" w:ascii="宋体" w:hAnsi="宋体" w:eastAsia="宋体" w:cs="宋体"/>
                <w:sz w:val="24"/>
                <w:szCs w:val="24"/>
              </w:rPr>
              <w:t>1.7.1</w:t>
            </w:r>
          </w:p>
        </w:tc>
        <w:tc>
          <w:tcPr>
            <w:tcW w:w="4534" w:type="pct"/>
            <w:noWrap w:val="0"/>
            <w:vAlign w:val="center"/>
          </w:tcPr>
          <w:p w14:paraId="37F84C0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交付期限：</w:t>
            </w:r>
            <w:r>
              <w:rPr>
                <w:rFonts w:hint="eastAsia" w:ascii="宋体" w:hAnsi="宋体" w:eastAsia="宋体"/>
                <w:sz w:val="24"/>
              </w:rPr>
              <w:t>合同签订后</w:t>
            </w:r>
            <w:r>
              <w:rPr>
                <w:rFonts w:hint="eastAsia" w:ascii="宋体" w:hAnsi="宋体"/>
                <w:color w:val="FF0000"/>
                <w:sz w:val="24"/>
                <w:u w:val="single"/>
                <w:lang w:val="en-US" w:eastAsia="zh-CN"/>
              </w:rPr>
              <w:t>30</w:t>
            </w:r>
            <w:r>
              <w:rPr>
                <w:rFonts w:hint="eastAsia" w:ascii="宋体" w:hAnsi="宋体" w:eastAsia="宋体"/>
                <w:color w:val="FF0000"/>
                <w:sz w:val="24"/>
              </w:rPr>
              <w:t>天</w:t>
            </w:r>
            <w:r>
              <w:rPr>
                <w:rFonts w:hint="eastAsia" w:ascii="宋体" w:hAnsi="宋体" w:eastAsia="宋体"/>
                <w:sz w:val="24"/>
              </w:rPr>
              <w:t>内</w:t>
            </w:r>
            <w:r>
              <w:rPr>
                <w:rFonts w:hint="eastAsia" w:ascii="宋体" w:hAnsi="宋体" w:eastAsia="宋体"/>
                <w:sz w:val="24"/>
                <w:lang w:val="en-US" w:eastAsia="zh-CN"/>
              </w:rPr>
              <w:t>完成</w:t>
            </w:r>
            <w:r>
              <w:rPr>
                <w:rFonts w:hint="eastAsia" w:ascii="宋体" w:hAnsi="宋体" w:eastAsia="宋体"/>
                <w:sz w:val="24"/>
              </w:rPr>
              <w:t>供货</w:t>
            </w:r>
            <w:r>
              <w:rPr>
                <w:rFonts w:hint="eastAsia" w:ascii="宋体" w:hAnsi="宋体" w:eastAsia="宋体"/>
                <w:sz w:val="24"/>
                <w:lang w:val="en-US" w:eastAsia="zh-CN"/>
              </w:rPr>
              <w:t>及</w:t>
            </w:r>
            <w:r>
              <w:rPr>
                <w:rFonts w:hint="eastAsia" w:ascii="宋体" w:hAnsi="宋体" w:eastAsia="宋体"/>
                <w:sz w:val="24"/>
              </w:rPr>
              <w:t>安装</w:t>
            </w:r>
          </w:p>
        </w:tc>
      </w:tr>
      <w:tr w14:paraId="0D255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3E7A11C0">
            <w:pPr>
              <w:spacing w:line="360" w:lineRule="auto"/>
              <w:rPr>
                <w:rFonts w:hint="eastAsia" w:ascii="宋体" w:hAnsi="宋体" w:eastAsia="宋体" w:cs="宋体"/>
                <w:sz w:val="24"/>
                <w:szCs w:val="24"/>
              </w:rPr>
            </w:pPr>
            <w:r>
              <w:rPr>
                <w:rFonts w:hint="eastAsia" w:ascii="宋体" w:hAnsi="宋体" w:eastAsia="宋体" w:cs="宋体"/>
                <w:sz w:val="24"/>
                <w:szCs w:val="24"/>
              </w:rPr>
              <w:t>1.7.2</w:t>
            </w:r>
          </w:p>
        </w:tc>
        <w:tc>
          <w:tcPr>
            <w:tcW w:w="4534" w:type="pct"/>
            <w:noWrap w:val="0"/>
            <w:vAlign w:val="center"/>
          </w:tcPr>
          <w:p w14:paraId="0F31ACD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交付地点：</w:t>
            </w:r>
            <w:r>
              <w:rPr>
                <w:rFonts w:hint="eastAsia" w:ascii="宋体" w:hAnsi="宋体"/>
                <w:sz w:val="24"/>
                <w:lang w:eastAsia="zh-CN"/>
              </w:rPr>
              <w:t>桐庐县桐君街道梅蓉村</w:t>
            </w:r>
            <w:r>
              <w:rPr>
                <w:rFonts w:hint="eastAsia" w:ascii="宋体" w:hAnsi="宋体" w:eastAsia="宋体"/>
                <w:sz w:val="24"/>
              </w:rPr>
              <w:t>（具体地点由采购人确定）</w:t>
            </w:r>
            <w:r>
              <w:rPr>
                <w:rFonts w:hint="eastAsia" w:ascii="宋体" w:hAnsi="宋体" w:eastAsia="宋体" w:cs="宋体"/>
                <w:color w:val="000000"/>
                <w:sz w:val="24"/>
                <w:szCs w:val="24"/>
              </w:rPr>
              <w:t>。</w:t>
            </w:r>
          </w:p>
        </w:tc>
      </w:tr>
      <w:tr w14:paraId="6B71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0180BEF1">
            <w:pPr>
              <w:spacing w:line="360" w:lineRule="auto"/>
              <w:rPr>
                <w:rFonts w:hint="eastAsia" w:ascii="宋体" w:hAnsi="宋体" w:eastAsia="宋体" w:cs="宋体"/>
                <w:sz w:val="24"/>
                <w:szCs w:val="24"/>
              </w:rPr>
            </w:pPr>
            <w:r>
              <w:rPr>
                <w:rFonts w:hint="eastAsia" w:ascii="宋体" w:hAnsi="宋体" w:eastAsia="宋体" w:cs="宋体"/>
                <w:sz w:val="24"/>
                <w:szCs w:val="24"/>
              </w:rPr>
              <w:t>1.7.3</w:t>
            </w:r>
          </w:p>
        </w:tc>
        <w:tc>
          <w:tcPr>
            <w:tcW w:w="4534" w:type="pct"/>
            <w:noWrap w:val="0"/>
            <w:vAlign w:val="center"/>
          </w:tcPr>
          <w:p w14:paraId="7E87A6C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交付方式：按招标文件要求、投标文件承诺及合同约定交付。</w:t>
            </w:r>
          </w:p>
        </w:tc>
      </w:tr>
      <w:tr w14:paraId="03086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2EFE8633">
            <w:pPr>
              <w:spacing w:line="360" w:lineRule="auto"/>
              <w:rPr>
                <w:rFonts w:hint="eastAsia" w:ascii="宋体" w:hAnsi="宋体" w:eastAsia="宋体" w:cs="宋体"/>
                <w:sz w:val="24"/>
                <w:szCs w:val="24"/>
              </w:rPr>
            </w:pPr>
            <w:r>
              <w:rPr>
                <w:rFonts w:hint="eastAsia" w:ascii="宋体" w:hAnsi="宋体" w:eastAsia="宋体" w:cs="宋体"/>
                <w:sz w:val="24"/>
                <w:szCs w:val="24"/>
              </w:rPr>
              <w:t>1.8.6</w:t>
            </w:r>
          </w:p>
        </w:tc>
        <w:tc>
          <w:tcPr>
            <w:tcW w:w="4534" w:type="pct"/>
            <w:noWrap w:val="0"/>
            <w:vAlign w:val="center"/>
          </w:tcPr>
          <w:p w14:paraId="41DAF1F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违约责任：除不可抗力外，如果乙方没有按照本合同约定的期限、地点和方式交付服务成果或者实施服务，那么甲方可要求乙方支付违约金，迟延履行违约金按每迟延履行一日的合同总金额的0.05 %计算，最高限额为本合同总价的20%；迟延履行的违约金计算数额达到前述最高限额之日起，甲方有权在要求乙方支付违约金的同时，书面通知乙方解除本合同。</w:t>
            </w:r>
          </w:p>
          <w:p w14:paraId="50F7037C">
            <w:pPr>
              <w:rPr>
                <w:rFonts w:hint="eastAsia" w:ascii="宋体" w:hAnsi="宋体" w:eastAsia="宋体" w:cs="宋体"/>
                <w:color w:val="000000"/>
                <w:sz w:val="24"/>
                <w:szCs w:val="24"/>
                <w:lang w:val="en-US"/>
              </w:rPr>
            </w:pPr>
            <w:r>
              <w:rPr>
                <w:rFonts w:hint="eastAsia" w:ascii="宋体" w:hAnsi="宋体" w:eastAsia="宋体" w:cs="宋体"/>
                <w:color w:val="000000"/>
                <w:sz w:val="24"/>
                <w:szCs w:val="24"/>
              </w:rPr>
              <w:t>乙方未向甲方提供发票的或者提供的发票不合规的或者发票内容不正确的，甲方均有权拒绝付款，且无需承担逾期付款的违约责任。</w:t>
            </w:r>
          </w:p>
        </w:tc>
      </w:tr>
      <w:tr w14:paraId="32919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6536BB12">
            <w:pPr>
              <w:spacing w:line="360" w:lineRule="auto"/>
              <w:rPr>
                <w:rFonts w:hint="eastAsia" w:ascii="宋体" w:hAnsi="宋体" w:eastAsia="宋体" w:cs="宋体"/>
                <w:sz w:val="24"/>
                <w:szCs w:val="24"/>
              </w:rPr>
            </w:pPr>
            <w:r>
              <w:rPr>
                <w:rFonts w:hint="eastAsia" w:ascii="宋体" w:hAnsi="宋体" w:eastAsia="宋体" w:cs="宋体"/>
                <w:sz w:val="24"/>
                <w:szCs w:val="24"/>
              </w:rPr>
              <w:t>1.9</w:t>
            </w:r>
          </w:p>
        </w:tc>
        <w:tc>
          <w:tcPr>
            <w:tcW w:w="4534" w:type="pct"/>
            <w:noWrap w:val="0"/>
            <w:vAlign w:val="center"/>
          </w:tcPr>
          <w:p w14:paraId="44EAC949">
            <w:pPr>
              <w:spacing w:line="360" w:lineRule="auto"/>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本合同履行过程中发生的任何争议，双方当事人均可通过和解或者调解解决；不愿和解、调解或者和解、调解不成的，向甲方所在地人民法院起诉。</w:t>
            </w:r>
          </w:p>
        </w:tc>
      </w:tr>
      <w:tr w14:paraId="794E9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0A528B2E">
            <w:pPr>
              <w:spacing w:line="360" w:lineRule="auto"/>
              <w:rPr>
                <w:rFonts w:hint="eastAsia" w:ascii="宋体" w:hAnsi="宋体" w:eastAsia="宋体" w:cs="宋体"/>
                <w:sz w:val="24"/>
                <w:szCs w:val="24"/>
              </w:rPr>
            </w:pPr>
            <w:r>
              <w:rPr>
                <w:rFonts w:hint="eastAsia" w:ascii="宋体" w:hAnsi="宋体" w:eastAsia="宋体" w:cs="宋体"/>
                <w:sz w:val="24"/>
                <w:szCs w:val="24"/>
              </w:rPr>
              <w:t>2.3.2</w:t>
            </w:r>
          </w:p>
        </w:tc>
        <w:tc>
          <w:tcPr>
            <w:tcW w:w="4534" w:type="pct"/>
            <w:noWrap w:val="0"/>
            <w:vAlign w:val="center"/>
          </w:tcPr>
          <w:p w14:paraId="7654B25A">
            <w:pPr>
              <w:spacing w:line="360" w:lineRule="auto"/>
              <w:ind w:left="-420" w:leftChars="-200" w:right="-420" w:rightChars="-200" w:firstLine="480" w:firstLineChars="200"/>
              <w:rPr>
                <w:rFonts w:hint="eastAsia" w:ascii="宋体" w:hAnsi="宋体" w:eastAsia="宋体" w:cs="宋体"/>
                <w:sz w:val="24"/>
                <w:szCs w:val="24"/>
              </w:rPr>
            </w:pPr>
            <w:r>
              <w:rPr>
                <w:rFonts w:hint="eastAsia" w:ascii="宋体" w:hAnsi="宋体" w:eastAsia="宋体" w:cs="宋体"/>
                <w:sz w:val="24"/>
                <w:szCs w:val="24"/>
              </w:rPr>
              <w:t>具有知识产权的计算机软件等货物的知识产权归属甲方。</w:t>
            </w:r>
          </w:p>
        </w:tc>
      </w:tr>
      <w:tr w14:paraId="56DFC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227E3083">
            <w:pPr>
              <w:spacing w:line="360" w:lineRule="auto"/>
              <w:rPr>
                <w:rFonts w:hint="eastAsia" w:ascii="宋体" w:hAnsi="宋体" w:eastAsia="宋体" w:cs="宋体"/>
                <w:sz w:val="24"/>
                <w:szCs w:val="24"/>
              </w:rPr>
            </w:pPr>
            <w:r>
              <w:rPr>
                <w:rFonts w:hint="eastAsia" w:ascii="宋体" w:hAnsi="宋体" w:eastAsia="宋体" w:cs="宋体"/>
                <w:sz w:val="24"/>
                <w:szCs w:val="24"/>
              </w:rPr>
              <w:t>2.4.1</w:t>
            </w:r>
          </w:p>
        </w:tc>
        <w:tc>
          <w:tcPr>
            <w:tcW w:w="4534" w:type="pct"/>
            <w:noWrap w:val="0"/>
            <w:vAlign w:val="center"/>
          </w:tcPr>
          <w:p w14:paraId="046BA2EA">
            <w:pPr>
              <w:spacing w:line="360" w:lineRule="auto"/>
              <w:rPr>
                <w:rFonts w:hint="eastAsia" w:ascii="宋体" w:hAnsi="宋体" w:eastAsia="宋体" w:cs="宋体"/>
                <w:sz w:val="24"/>
                <w:szCs w:val="24"/>
              </w:rPr>
            </w:pPr>
            <w:r>
              <w:rPr>
                <w:rFonts w:hint="eastAsia" w:ascii="宋体" w:hAnsi="宋体" w:eastAsia="宋体" w:cs="宋体"/>
                <w:sz w:val="24"/>
                <w:szCs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tc>
      </w:tr>
      <w:tr w14:paraId="10B7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3A8137E7">
            <w:pPr>
              <w:spacing w:line="360" w:lineRule="auto"/>
              <w:rPr>
                <w:rFonts w:hint="eastAsia" w:ascii="宋体" w:hAnsi="宋体" w:eastAsia="宋体" w:cs="宋体"/>
                <w:sz w:val="24"/>
                <w:szCs w:val="24"/>
              </w:rPr>
            </w:pPr>
            <w:r>
              <w:rPr>
                <w:rFonts w:hint="eastAsia" w:ascii="宋体" w:hAnsi="宋体" w:eastAsia="宋体" w:cs="宋体"/>
                <w:sz w:val="24"/>
                <w:szCs w:val="24"/>
              </w:rPr>
              <w:t>2.4.3</w:t>
            </w:r>
          </w:p>
        </w:tc>
        <w:tc>
          <w:tcPr>
            <w:tcW w:w="4534" w:type="pct"/>
            <w:noWrap w:val="0"/>
            <w:vAlign w:val="center"/>
          </w:tcPr>
          <w:p w14:paraId="01DCB38C">
            <w:pPr>
              <w:spacing w:line="360" w:lineRule="auto"/>
              <w:rPr>
                <w:rFonts w:hint="eastAsia" w:ascii="宋体" w:hAnsi="宋体" w:eastAsia="宋体" w:cs="宋体"/>
                <w:sz w:val="24"/>
                <w:szCs w:val="24"/>
              </w:rPr>
            </w:pPr>
            <w:r>
              <w:rPr>
                <w:rFonts w:hint="eastAsia" w:ascii="宋体" w:hAnsi="宋体" w:eastAsia="宋体" w:cs="宋体"/>
                <w:sz w:val="24"/>
                <w:szCs w:val="24"/>
              </w:rPr>
              <w:t>装运货物的要求和通知：/</w:t>
            </w:r>
          </w:p>
        </w:tc>
      </w:tr>
      <w:tr w14:paraId="69D7E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top"/>
          </w:tcPr>
          <w:p w14:paraId="32C01DE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2.8 </w:t>
            </w:r>
          </w:p>
        </w:tc>
        <w:tc>
          <w:tcPr>
            <w:tcW w:w="4534" w:type="pct"/>
            <w:noWrap w:val="0"/>
            <w:vAlign w:val="top"/>
          </w:tcPr>
          <w:p w14:paraId="249FBAE2">
            <w:pPr>
              <w:spacing w:line="360" w:lineRule="auto"/>
              <w:rPr>
                <w:rFonts w:hint="eastAsia" w:ascii="宋体" w:hAnsi="宋体" w:eastAsia="宋体" w:cs="宋体"/>
                <w:sz w:val="24"/>
                <w:szCs w:val="24"/>
              </w:rPr>
            </w:pPr>
            <w:r>
              <w:rPr>
                <w:rFonts w:hint="eastAsia" w:ascii="宋体" w:hAnsi="宋体" w:eastAsia="宋体" w:cs="宋体"/>
                <w:sz w:val="24"/>
                <w:szCs w:val="24"/>
              </w:rPr>
              <w:t>货物或者在途货物或者交付给第一承运人后的货物毁损、灭失的风险负担由乙方承担。</w:t>
            </w:r>
          </w:p>
        </w:tc>
      </w:tr>
      <w:tr w14:paraId="7F1E6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79024D3A">
            <w:pPr>
              <w:spacing w:line="360" w:lineRule="auto"/>
              <w:rPr>
                <w:rFonts w:hint="eastAsia" w:ascii="宋体" w:hAnsi="宋体" w:eastAsia="宋体" w:cs="宋体"/>
                <w:sz w:val="24"/>
                <w:szCs w:val="24"/>
              </w:rPr>
            </w:pPr>
            <w:r>
              <w:rPr>
                <w:rFonts w:hint="eastAsia" w:ascii="宋体" w:hAnsi="宋体" w:eastAsia="宋体" w:cs="宋体"/>
                <w:sz w:val="24"/>
                <w:szCs w:val="24"/>
              </w:rPr>
              <w:t>2.12.3</w:t>
            </w:r>
          </w:p>
        </w:tc>
        <w:tc>
          <w:tcPr>
            <w:tcW w:w="4534" w:type="pct"/>
            <w:noWrap w:val="0"/>
            <w:vAlign w:val="center"/>
          </w:tcPr>
          <w:p w14:paraId="54258DDD">
            <w:pPr>
              <w:spacing w:line="360" w:lineRule="auto"/>
              <w:rPr>
                <w:rFonts w:hint="eastAsia" w:ascii="宋体" w:hAnsi="宋体" w:eastAsia="宋体" w:cs="宋体"/>
                <w:sz w:val="24"/>
                <w:szCs w:val="24"/>
              </w:rPr>
            </w:pPr>
            <w:r>
              <w:rPr>
                <w:rFonts w:hint="eastAsia" w:ascii="宋体" w:hAnsi="宋体" w:eastAsia="宋体" w:cs="宋体"/>
                <w:sz w:val="24"/>
                <w:szCs w:val="24"/>
              </w:rPr>
              <w:t>因不可抗力致使合同有变更必要的，双方当事人应在15日历天内以书面形式变更合同。</w:t>
            </w:r>
          </w:p>
        </w:tc>
      </w:tr>
      <w:tr w14:paraId="4A946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68B199A8">
            <w:pPr>
              <w:spacing w:line="360" w:lineRule="auto"/>
              <w:rPr>
                <w:rFonts w:hint="eastAsia" w:ascii="宋体" w:hAnsi="宋体" w:eastAsia="宋体" w:cs="宋体"/>
                <w:sz w:val="24"/>
                <w:szCs w:val="24"/>
              </w:rPr>
            </w:pPr>
            <w:r>
              <w:rPr>
                <w:rFonts w:hint="eastAsia" w:ascii="宋体" w:hAnsi="宋体" w:eastAsia="宋体" w:cs="宋体"/>
                <w:sz w:val="24"/>
                <w:szCs w:val="24"/>
              </w:rPr>
              <w:t>2.12.4</w:t>
            </w:r>
          </w:p>
        </w:tc>
        <w:tc>
          <w:tcPr>
            <w:tcW w:w="4534" w:type="pct"/>
            <w:noWrap w:val="0"/>
            <w:vAlign w:val="center"/>
          </w:tcPr>
          <w:p w14:paraId="799EA230">
            <w:pPr>
              <w:spacing w:line="360" w:lineRule="auto"/>
              <w:rPr>
                <w:rFonts w:hint="eastAsia" w:ascii="宋体" w:hAnsi="宋体" w:eastAsia="宋体" w:cs="宋体"/>
                <w:sz w:val="24"/>
                <w:szCs w:val="24"/>
              </w:rPr>
            </w:pPr>
            <w:r>
              <w:rPr>
                <w:rFonts w:hint="eastAsia" w:ascii="宋体" w:hAnsi="宋体" w:eastAsia="宋体" w:cs="宋体"/>
                <w:sz w:val="24"/>
                <w:szCs w:val="24"/>
              </w:rPr>
              <w:t>受不可抗力影响的一方在不可抗力发生后，应在15日历天内以书面形式通知对方当事人，并在15日历天内，将有关部门出具的证明文件送达对方当事人。</w:t>
            </w:r>
          </w:p>
        </w:tc>
      </w:tr>
      <w:tr w14:paraId="0E838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4448C17B">
            <w:pPr>
              <w:spacing w:line="360" w:lineRule="auto"/>
              <w:rPr>
                <w:rFonts w:hint="eastAsia" w:ascii="宋体" w:hAnsi="宋体" w:eastAsia="宋体" w:cs="宋体"/>
                <w:sz w:val="24"/>
                <w:szCs w:val="24"/>
              </w:rPr>
            </w:pPr>
            <w:r>
              <w:rPr>
                <w:rFonts w:hint="eastAsia" w:ascii="宋体" w:hAnsi="宋体" w:eastAsia="宋体" w:cs="宋体"/>
                <w:sz w:val="24"/>
                <w:szCs w:val="24"/>
              </w:rPr>
              <w:t>2.16.1</w:t>
            </w:r>
          </w:p>
        </w:tc>
        <w:tc>
          <w:tcPr>
            <w:tcW w:w="4534" w:type="pct"/>
            <w:noWrap w:val="0"/>
            <w:vAlign w:val="center"/>
          </w:tcPr>
          <w:p w14:paraId="3419E937">
            <w:pPr>
              <w:spacing w:line="360" w:lineRule="auto"/>
              <w:rPr>
                <w:rFonts w:hint="eastAsia" w:ascii="宋体" w:hAnsi="宋体" w:eastAsia="宋体" w:cs="宋体"/>
                <w:sz w:val="24"/>
                <w:szCs w:val="24"/>
              </w:rPr>
            </w:pPr>
            <w:r>
              <w:rPr>
                <w:rFonts w:hint="eastAsia" w:ascii="宋体" w:hAnsi="宋体" w:eastAsia="宋体" w:cs="宋体"/>
                <w:sz w:val="24"/>
                <w:szCs w:val="24"/>
              </w:rPr>
              <w:t>货物交付前，乙方应对货物的质量、数量等方面进行详细、全面的检验，并向甲方出具证明货物符合合同约定的文件；货物交付时，</w:t>
            </w:r>
            <w:r>
              <w:rPr>
                <w:rFonts w:hint="eastAsia" w:ascii="宋体" w:hAnsi="宋体" w:eastAsia="宋体" w:cs="宋体"/>
                <w:color w:val="000000"/>
                <w:sz w:val="24"/>
                <w:szCs w:val="24"/>
              </w:rPr>
              <w:t>甲方在15天内组织收货验收，并可依法邀请相关方参加，验收应出具验收书。</w:t>
            </w:r>
          </w:p>
        </w:tc>
      </w:tr>
      <w:tr w14:paraId="6498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noWrap w:val="0"/>
            <w:vAlign w:val="center"/>
          </w:tcPr>
          <w:p w14:paraId="2BBDEC3C">
            <w:pPr>
              <w:spacing w:line="360" w:lineRule="auto"/>
              <w:rPr>
                <w:rFonts w:hint="eastAsia" w:ascii="宋体" w:hAnsi="宋体" w:eastAsia="宋体" w:cs="宋体"/>
                <w:sz w:val="24"/>
                <w:szCs w:val="24"/>
              </w:rPr>
            </w:pPr>
            <w:r>
              <w:rPr>
                <w:rFonts w:hint="eastAsia" w:ascii="宋体" w:hAnsi="宋体" w:eastAsia="宋体" w:cs="宋体"/>
                <w:sz w:val="24"/>
                <w:szCs w:val="24"/>
              </w:rPr>
              <w:t>2.16.3</w:t>
            </w:r>
          </w:p>
        </w:tc>
        <w:tc>
          <w:tcPr>
            <w:tcW w:w="4534" w:type="pct"/>
            <w:noWrap w:val="0"/>
            <w:vAlign w:val="center"/>
          </w:tcPr>
          <w:p w14:paraId="0A776ACC">
            <w:pPr>
              <w:spacing w:line="480" w:lineRule="exact"/>
              <w:rPr>
                <w:rFonts w:hint="eastAsia" w:ascii="宋体" w:hAnsi="宋体" w:eastAsia="宋体" w:cs="宋体"/>
                <w:sz w:val="24"/>
                <w:szCs w:val="24"/>
              </w:rPr>
            </w:pPr>
            <w:r>
              <w:rPr>
                <w:rFonts w:hint="eastAsia" w:ascii="宋体" w:hAnsi="宋体" w:eastAsia="宋体" w:cs="宋体"/>
                <w:color w:val="000000"/>
                <w:sz w:val="24"/>
                <w:szCs w:val="24"/>
              </w:rPr>
              <w:t>检验和验收标准、程序：依</w:t>
            </w:r>
            <w:r>
              <w:rPr>
                <w:rFonts w:hint="eastAsia" w:ascii="宋体" w:hAnsi="宋体" w:eastAsia="宋体" w:cs="宋体"/>
                <w:sz w:val="24"/>
                <w:szCs w:val="24"/>
              </w:rPr>
              <w:t>据招标文件要求、投标文件承诺和国家有关质量标准进行验收。乙方将所供设备安装调试后，达到验收标准了可向甲方提出验收申请。现场验收需由甲乙双方共同完成验收。</w:t>
            </w:r>
          </w:p>
        </w:tc>
      </w:tr>
      <w:tr w14:paraId="40F92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noWrap w:val="0"/>
            <w:vAlign w:val="center"/>
          </w:tcPr>
          <w:p w14:paraId="6455B4C1">
            <w:pPr>
              <w:spacing w:line="360" w:lineRule="auto"/>
              <w:ind w:left="-420" w:leftChars="-200" w:right="-420" w:rightChars="-200" w:firstLine="480" w:firstLineChars="200"/>
              <w:outlineLvl w:val="0"/>
              <w:rPr>
                <w:rFonts w:hint="eastAsia" w:ascii="宋体" w:hAnsi="宋体" w:eastAsia="宋体" w:cs="宋体"/>
                <w:sz w:val="24"/>
                <w:szCs w:val="24"/>
              </w:rPr>
            </w:pPr>
            <w:r>
              <w:rPr>
                <w:rFonts w:hint="eastAsia" w:ascii="宋体" w:hAnsi="宋体" w:eastAsia="宋体" w:cs="宋体"/>
                <w:sz w:val="24"/>
                <w:szCs w:val="24"/>
              </w:rPr>
              <w:t xml:space="preserve">2.20 </w:t>
            </w:r>
          </w:p>
        </w:tc>
        <w:tc>
          <w:tcPr>
            <w:tcW w:w="4534" w:type="pct"/>
            <w:noWrap w:val="0"/>
            <w:vAlign w:val="center"/>
          </w:tcPr>
          <w:p w14:paraId="5092926E">
            <w:pPr>
              <w:spacing w:line="360" w:lineRule="auto"/>
              <w:rPr>
                <w:rFonts w:hint="eastAsia" w:ascii="宋体" w:hAnsi="宋体" w:eastAsia="宋体" w:cs="宋体"/>
                <w:sz w:val="24"/>
                <w:szCs w:val="24"/>
              </w:rPr>
            </w:pPr>
            <w:r>
              <w:rPr>
                <w:rFonts w:hint="eastAsia" w:ascii="宋体" w:hAnsi="宋体" w:eastAsia="宋体" w:cs="宋体"/>
                <w:sz w:val="24"/>
                <w:szCs w:val="24"/>
              </w:rPr>
              <w:t>合同一式</w:t>
            </w:r>
            <w:r>
              <w:rPr>
                <w:rFonts w:hint="eastAsia" w:ascii="宋体" w:hAnsi="宋体" w:eastAsia="宋体" w:cs="宋体"/>
                <w:sz w:val="24"/>
                <w:szCs w:val="24"/>
                <w:lang w:eastAsia="zh-CN"/>
              </w:rPr>
              <w:t>捌</w:t>
            </w:r>
            <w:r>
              <w:rPr>
                <w:rFonts w:hint="eastAsia" w:ascii="宋体" w:hAnsi="宋体" w:eastAsia="宋体" w:cs="宋体"/>
                <w:sz w:val="24"/>
                <w:szCs w:val="24"/>
              </w:rPr>
              <w:t>份，甲乙双方各执</w:t>
            </w:r>
            <w:r>
              <w:rPr>
                <w:rFonts w:hint="eastAsia" w:ascii="宋体" w:hAnsi="宋体" w:eastAsia="宋体" w:cs="宋体"/>
                <w:sz w:val="24"/>
                <w:szCs w:val="24"/>
                <w:lang w:eastAsia="zh-CN"/>
              </w:rPr>
              <w:t>叁</w:t>
            </w:r>
            <w:r>
              <w:rPr>
                <w:rFonts w:hint="eastAsia" w:ascii="宋体" w:hAnsi="宋体" w:eastAsia="宋体" w:cs="宋体"/>
                <w:sz w:val="24"/>
                <w:szCs w:val="24"/>
              </w:rPr>
              <w:t>份，</w:t>
            </w:r>
            <w:r>
              <w:rPr>
                <w:rFonts w:hint="eastAsia" w:ascii="宋体" w:hAnsi="宋体" w:eastAsia="宋体" w:cs="宋体"/>
                <w:sz w:val="24"/>
                <w:szCs w:val="24"/>
                <w:lang w:eastAsia="zh-CN"/>
              </w:rPr>
              <w:t>招标代理机构存档壹份，监管部门存档壹份。</w:t>
            </w:r>
            <w:r>
              <w:rPr>
                <w:rFonts w:hint="eastAsia" w:ascii="宋体" w:hAnsi="宋体" w:eastAsia="宋体" w:cs="宋体"/>
                <w:sz w:val="24"/>
                <w:szCs w:val="24"/>
              </w:rPr>
              <w:t>每份均具有同等法律效力。</w:t>
            </w:r>
          </w:p>
        </w:tc>
      </w:tr>
    </w:tbl>
    <w:p w14:paraId="68E57CDB">
      <w:pPr>
        <w:snapToGrid w:val="0"/>
        <w:spacing w:line="360" w:lineRule="auto"/>
        <w:ind w:right="23" w:rightChars="11" w:firstLine="456" w:firstLineChars="200"/>
        <w:jc w:val="right"/>
        <w:rPr>
          <w:rFonts w:hint="eastAsia" w:ascii="宋体" w:hAnsi="宋体" w:eastAsia="宋体" w:cs="宋体"/>
          <w:spacing w:val="-6"/>
          <w:sz w:val="24"/>
        </w:rPr>
      </w:pPr>
    </w:p>
    <w:p w14:paraId="2C6FD80E">
      <w:pPr>
        <w:spacing w:line="360" w:lineRule="auto"/>
        <w:outlineLvl w:val="0"/>
        <w:rPr>
          <w:rFonts w:hint="eastAsia" w:ascii="宋体" w:hAnsi="宋体" w:eastAsia="宋体" w:cs="宋体"/>
          <w:b/>
          <w:sz w:val="36"/>
          <w:szCs w:val="20"/>
        </w:rPr>
        <w:sectPr>
          <w:footerReference r:id="rId20" w:type="first"/>
          <w:headerReference r:id="rId18" w:type="default"/>
          <w:footerReference r:id="rId19" w:type="default"/>
          <w:pgSz w:w="11906" w:h="16838"/>
          <w:pgMar w:top="1440" w:right="1418" w:bottom="1440" w:left="1418" w:header="851" w:footer="992" w:gutter="0"/>
          <w:pgNumType w:fmt="decimal"/>
          <w:cols w:space="0" w:num="1"/>
          <w:docGrid w:linePitch="312" w:charSpace="0"/>
        </w:sectPr>
      </w:pPr>
    </w:p>
    <w:p w14:paraId="0ED33C5A">
      <w:pPr>
        <w:pStyle w:val="178"/>
        <w:spacing w:line="360" w:lineRule="auto"/>
        <w:outlineLvl w:val="0"/>
        <w:rPr>
          <w:rFonts w:hint="eastAsia" w:ascii="宋体" w:hAnsi="宋体" w:eastAsia="宋体"/>
        </w:rPr>
      </w:pPr>
      <w:r>
        <w:rPr>
          <w:rFonts w:hint="eastAsia" w:ascii="宋体" w:hAnsi="宋体" w:eastAsia="宋体"/>
        </w:rPr>
        <w:t>第六章  投标文件格式</w:t>
      </w:r>
    </w:p>
    <w:p w14:paraId="3695F0DE">
      <w:pPr>
        <w:snapToGrid w:val="0"/>
        <w:spacing w:beforeLines="50" w:after="50" w:line="380" w:lineRule="exact"/>
        <w:ind w:firstLine="645"/>
        <w:jc w:val="center"/>
        <w:rPr>
          <w:rFonts w:asciiTheme="minorEastAsia" w:hAnsiTheme="minorEastAsia" w:eastAsiaTheme="minorEastAsia"/>
          <w:bCs/>
          <w:sz w:val="24"/>
        </w:rPr>
      </w:pPr>
    </w:p>
    <w:p w14:paraId="29FE36B1">
      <w:pPr>
        <w:snapToGrid w:val="0"/>
        <w:spacing w:beforeLines="50" w:after="50"/>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eastAsia="zh-CN"/>
        </w:rPr>
        <w:t>技术及商务</w:t>
      </w:r>
      <w:r>
        <w:rPr>
          <w:rFonts w:hint="eastAsia" w:asciiTheme="minorEastAsia" w:hAnsiTheme="minorEastAsia" w:eastAsiaTheme="minorEastAsia"/>
          <w:b/>
          <w:sz w:val="24"/>
        </w:rPr>
        <w:t xml:space="preserve">（报价）文件封面格式： </w:t>
      </w:r>
    </w:p>
    <w:p w14:paraId="7FAB4752">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p w14:paraId="58E7AD79">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sz w:val="24"/>
          <w:lang w:val="zh-CN"/>
        </w:rPr>
        <w:t>技术及商务</w:t>
      </w:r>
      <w:r>
        <w:rPr>
          <w:rFonts w:hint="eastAsia" w:asciiTheme="minorEastAsia" w:hAnsiTheme="minorEastAsia" w:eastAsiaTheme="minorEastAsia"/>
          <w:sz w:val="24"/>
        </w:rPr>
        <w:t>（报价）</w:t>
      </w:r>
      <w:r>
        <w:rPr>
          <w:rFonts w:hint="eastAsia" w:asciiTheme="minorEastAsia" w:hAnsiTheme="minorEastAsia" w:eastAsiaTheme="minorEastAsia"/>
          <w:bCs/>
          <w:sz w:val="24"/>
        </w:rPr>
        <w:t>文 件</w:t>
      </w:r>
    </w:p>
    <w:p w14:paraId="230D6173">
      <w:pPr>
        <w:snapToGrid w:val="0"/>
        <w:spacing w:beforeLines="50" w:after="50"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项目名称：</w:t>
      </w:r>
    </w:p>
    <w:p w14:paraId="76D72E4F">
      <w:pPr>
        <w:snapToGrid w:val="0"/>
        <w:spacing w:beforeLines="50" w:after="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项目编号：</w:t>
      </w:r>
    </w:p>
    <w:p w14:paraId="7579EF53">
      <w:pPr>
        <w:pStyle w:val="9"/>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投标人名称（盖章）：</w:t>
      </w:r>
    </w:p>
    <w:p w14:paraId="6DA5AF4D">
      <w:pPr>
        <w:pStyle w:val="9"/>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投标人地址：</w:t>
      </w:r>
    </w:p>
    <w:p w14:paraId="05D3AC2D">
      <w:pPr>
        <w:snapToGrid w:val="0"/>
        <w:spacing w:beforeLines="50" w:after="50" w:line="360" w:lineRule="exact"/>
        <w:ind w:firstLine="4080" w:firstLineChars="1700"/>
        <w:rPr>
          <w:rFonts w:asciiTheme="minorEastAsia" w:hAnsiTheme="minorEastAsia" w:eastAsiaTheme="minorEastAsia"/>
          <w:sz w:val="24"/>
        </w:rPr>
      </w:pPr>
      <w:r>
        <w:rPr>
          <w:rFonts w:hint="eastAsia" w:asciiTheme="minorEastAsia" w:hAnsiTheme="minorEastAsia" w:eastAsiaTheme="minorEastAsia"/>
          <w:sz w:val="24"/>
        </w:rPr>
        <w:t>法定代表人签字或盖章：</w:t>
      </w:r>
    </w:p>
    <w:p w14:paraId="37FB19C7">
      <w:pPr>
        <w:snapToGrid w:val="0"/>
        <w:spacing w:beforeLines="50" w:after="50" w:line="360" w:lineRule="exact"/>
        <w:ind w:firstLine="4080" w:firstLineChars="1700"/>
        <w:rPr>
          <w:rFonts w:asciiTheme="minorEastAsia" w:hAnsiTheme="minorEastAsia" w:eastAsiaTheme="minorEastAsia"/>
          <w:sz w:val="24"/>
        </w:rPr>
      </w:pPr>
    </w:p>
    <w:p w14:paraId="18FD2F45">
      <w:pPr>
        <w:snapToGrid w:val="0"/>
        <w:spacing w:beforeLines="50" w:after="50" w:line="360" w:lineRule="exact"/>
        <w:ind w:firstLine="645"/>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3CE533EC">
      <w:pPr>
        <w:snapToGrid w:val="0"/>
        <w:spacing w:beforeLines="50" w:after="50" w:line="360" w:lineRule="exact"/>
        <w:ind w:firstLine="645"/>
        <w:jc w:val="center"/>
        <w:rPr>
          <w:rFonts w:asciiTheme="minorEastAsia" w:hAnsiTheme="minorEastAsia" w:eastAsiaTheme="minorEastAsia"/>
          <w:bCs/>
          <w:sz w:val="24"/>
        </w:rPr>
      </w:pPr>
    </w:p>
    <w:p w14:paraId="4B683B5F">
      <w:pPr>
        <w:snapToGrid w:val="0"/>
        <w:spacing w:beforeLines="50" w:after="50" w:line="380" w:lineRule="exact"/>
        <w:ind w:firstLine="645"/>
        <w:rPr>
          <w:rFonts w:asciiTheme="minorEastAsia" w:hAnsiTheme="minorEastAsia" w:eastAsiaTheme="minorEastAsia"/>
          <w:b/>
          <w:bCs/>
          <w:sz w:val="24"/>
        </w:rPr>
      </w:pPr>
      <w:r>
        <w:rPr>
          <w:rFonts w:hint="eastAsia" w:asciiTheme="minorEastAsia" w:hAnsiTheme="minorEastAsia" w:eastAsiaTheme="minorEastAsia"/>
          <w:sz w:val="24"/>
        </w:rPr>
        <w:t>注：投标人应按资格文件、</w:t>
      </w:r>
      <w:r>
        <w:rPr>
          <w:rFonts w:hint="eastAsia" w:asciiTheme="minorEastAsia" w:hAnsiTheme="minorEastAsia" w:eastAsiaTheme="minorEastAsia"/>
          <w:sz w:val="24"/>
          <w:lang w:eastAsia="zh-CN"/>
        </w:rPr>
        <w:t>技术及商务</w:t>
      </w:r>
      <w:r>
        <w:rPr>
          <w:rFonts w:hint="eastAsia" w:asciiTheme="minorEastAsia" w:hAnsiTheme="minorEastAsia" w:eastAsiaTheme="minorEastAsia"/>
          <w:sz w:val="24"/>
        </w:rPr>
        <w:t>文件、报价文件</w:t>
      </w:r>
      <w:r>
        <w:rPr>
          <w:rFonts w:hint="eastAsia" w:asciiTheme="minorEastAsia" w:hAnsiTheme="minorEastAsia" w:eastAsiaTheme="minorEastAsia"/>
          <w:b/>
          <w:sz w:val="24"/>
        </w:rPr>
        <w:t>分别进行编制。</w:t>
      </w:r>
    </w:p>
    <w:p w14:paraId="4585AD26">
      <w:pPr>
        <w:snapToGrid w:val="0"/>
        <w:spacing w:before="50" w:after="50" w:line="360" w:lineRule="auto"/>
        <w:rPr>
          <w:rFonts w:ascii="宋体" w:hAnsi="宋体" w:cs="宋体"/>
          <w:b/>
          <w:bCs/>
          <w:sz w:val="30"/>
          <w:szCs w:val="30"/>
        </w:rPr>
      </w:pPr>
      <w:r>
        <w:rPr>
          <w:rFonts w:hint="eastAsia" w:asciiTheme="minorEastAsia" w:hAnsiTheme="minorEastAsia" w:eastAsiaTheme="minorEastAsia"/>
          <w:sz w:val="24"/>
        </w:rPr>
        <w:br w:type="page"/>
      </w:r>
      <w:r>
        <w:rPr>
          <w:rFonts w:hint="eastAsia" w:ascii="宋体" w:hAnsi="宋体" w:cs="宋体"/>
          <w:b/>
          <w:bCs/>
          <w:sz w:val="30"/>
          <w:szCs w:val="30"/>
        </w:rPr>
        <w:t>1、资格文件目录</w:t>
      </w:r>
    </w:p>
    <w:p w14:paraId="6CC579E8">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）营业执照的复印件或事业单位的《事业单位法人证书》复印件；</w:t>
      </w:r>
    </w:p>
    <w:p w14:paraId="6538B4CE">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（2）法定代表人授权委托书(格式见附件)；</w:t>
      </w:r>
    </w:p>
    <w:p w14:paraId="1AF67CE8">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（3）投标声明书 (格式见附件，含重大违法记录声明)；</w:t>
      </w:r>
    </w:p>
    <w:p w14:paraId="36D330DA">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（4）具有履行合同所必需的设备和专业技术能力的承诺函；(格式见附件)；</w:t>
      </w:r>
    </w:p>
    <w:p w14:paraId="0379DA80">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（5）具有良好的商业信誉和健全的财务会计制度的承诺函(格式见附件)；</w:t>
      </w:r>
    </w:p>
    <w:p w14:paraId="04D69900">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（6）有依法缴纳税收和社会保障资金的良好记录的承诺函(格式见附件)；</w:t>
      </w:r>
    </w:p>
    <w:p w14:paraId="12CF4E6D">
      <w:pPr>
        <w:snapToGrid w:val="0"/>
        <w:spacing w:before="50" w:after="50"/>
        <w:jc w:val="center"/>
        <w:rPr>
          <w:rFonts w:asciiTheme="minorEastAsia" w:hAnsiTheme="minorEastAsia" w:eastAsiaTheme="minorEastAsia"/>
          <w:b/>
          <w:sz w:val="36"/>
          <w:szCs w:val="36"/>
        </w:rPr>
        <w:sectPr>
          <w:pgSz w:w="11906" w:h="16838"/>
          <w:pgMar w:top="1400" w:right="1531" w:bottom="471" w:left="1531" w:header="851" w:footer="851" w:gutter="0"/>
          <w:pgNumType w:chapStyle="1" w:chapSep="colon"/>
          <w:cols w:space="720" w:num="1"/>
        </w:sectPr>
      </w:pPr>
    </w:p>
    <w:p w14:paraId="744FDDE7">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法定代表人授权委托书</w:t>
      </w:r>
    </w:p>
    <w:p w14:paraId="41EC094A">
      <w:pPr>
        <w:snapToGrid w:val="0"/>
        <w:spacing w:beforeLines="50" w:after="50"/>
        <w:jc w:val="center"/>
        <w:rPr>
          <w:rFonts w:asciiTheme="minorEastAsia" w:hAnsiTheme="minorEastAsia" w:eastAsiaTheme="minorEastAsia"/>
          <w:b/>
          <w:sz w:val="30"/>
          <w:szCs w:val="30"/>
        </w:rPr>
      </w:pPr>
    </w:p>
    <w:p w14:paraId="6D0D4A04">
      <w:pPr>
        <w:snapToGrid w:val="0"/>
        <w:spacing w:beforeLines="50" w:after="50" w:line="460" w:lineRule="exact"/>
        <w:rPr>
          <w:rFonts w:asciiTheme="minorEastAsia" w:hAnsiTheme="minorEastAsia" w:eastAsiaTheme="minorEastAsia"/>
          <w:b/>
          <w:bCs/>
          <w:sz w:val="24"/>
        </w:rPr>
      </w:pPr>
      <w:r>
        <w:rPr>
          <w:rFonts w:hint="eastAsia" w:asciiTheme="minorEastAsia" w:hAnsiTheme="minorEastAsia" w:eastAsiaTheme="minorEastAsia"/>
          <w:bCs/>
          <w:sz w:val="24"/>
        </w:rPr>
        <w:t>耀华建设管理有限公司：</w:t>
      </w:r>
    </w:p>
    <w:p w14:paraId="5B80CBE6">
      <w:pPr>
        <w:snapToGrid w:val="0"/>
        <w:spacing w:beforeLines="50" w:after="50" w:line="4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我（姓名）系（投标人名称）的法定代表人，现授权委托本单位在职职工 （姓名）为授权代表，以我方的名义参加项目编号：项目名称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项目的投标活动，并代表我方全权办理针对上述项目的投标、开标、评标、签约等具体事务和签署相关文件。我方对授权代表的签名事项负全部责任。</w:t>
      </w:r>
    </w:p>
    <w:p w14:paraId="1C4B76CF">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在撤销授权的书面通知以前，本授权书一直有效。授权代表在授权书有效期内签署的所有文件不因授权的撤销而失效。</w:t>
      </w:r>
    </w:p>
    <w:p w14:paraId="19CBC222">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授权代表无转委托权，特此委托。</w:t>
      </w:r>
    </w:p>
    <w:p w14:paraId="102A88DD">
      <w:pPr>
        <w:snapToGrid w:val="0"/>
        <w:spacing w:beforeLines="50" w:after="50" w:line="460" w:lineRule="exact"/>
        <w:ind w:firstLine="480"/>
        <w:rPr>
          <w:rFonts w:asciiTheme="minorEastAsia" w:hAnsiTheme="minorEastAsia" w:eastAsiaTheme="minorEastAsia"/>
          <w:sz w:val="30"/>
          <w:szCs w:val="30"/>
        </w:rPr>
      </w:pPr>
    </w:p>
    <w:p w14:paraId="5CFC9430">
      <w:pPr>
        <w:snapToGrid w:val="0"/>
        <w:spacing w:beforeLines="50" w:after="50" w:line="460" w:lineRule="exact"/>
        <w:ind w:firstLine="480"/>
        <w:rPr>
          <w:rFonts w:asciiTheme="minorEastAsia" w:hAnsiTheme="minorEastAsia" w:eastAsiaTheme="minorEastAsia"/>
          <w:sz w:val="24"/>
        </w:rPr>
      </w:pPr>
    </w:p>
    <w:p w14:paraId="1FEF7F87">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授权代表签名：     职务：</w:t>
      </w:r>
    </w:p>
    <w:p w14:paraId="67C86247">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授权代表身份证号码：</w:t>
      </w:r>
    </w:p>
    <w:p w14:paraId="2D9B5E95">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法定代表人（签字或盖章）：   职务：</w:t>
      </w:r>
    </w:p>
    <w:p w14:paraId="0D5D6097">
      <w:pPr>
        <w:snapToGrid w:val="0"/>
        <w:spacing w:beforeLines="50" w:after="50" w:line="460" w:lineRule="exact"/>
        <w:rPr>
          <w:rFonts w:asciiTheme="minorEastAsia" w:hAnsiTheme="minorEastAsia" w:eastAsiaTheme="minorEastAsia"/>
          <w:sz w:val="24"/>
        </w:rPr>
      </w:pPr>
    </w:p>
    <w:p w14:paraId="2E000BB7">
      <w:pPr>
        <w:snapToGrid w:val="0"/>
        <w:spacing w:beforeLines="50" w:after="50" w:line="460" w:lineRule="exact"/>
        <w:rPr>
          <w:rFonts w:asciiTheme="minorEastAsia" w:hAnsiTheme="minorEastAsia" w:eastAsiaTheme="minorEastAsia"/>
          <w:sz w:val="24"/>
        </w:rPr>
      </w:pPr>
    </w:p>
    <w:p w14:paraId="550029CA">
      <w:pPr>
        <w:snapToGrid w:val="0"/>
        <w:spacing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投标人（盖章）：</w:t>
      </w:r>
    </w:p>
    <w:p w14:paraId="1071FDA9">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4E7F789F">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 标 声 明 书</w:t>
      </w:r>
    </w:p>
    <w:p w14:paraId="0D1FFFF7">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致：耀华建设管理有限公司：</w:t>
      </w:r>
    </w:p>
    <w:p w14:paraId="17E5EB68">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（投标人名称）</w:t>
      </w:r>
      <w:r>
        <w:rPr>
          <w:rFonts w:hint="eastAsia" w:asciiTheme="minorEastAsia" w:hAnsiTheme="minorEastAsia" w:eastAsiaTheme="minorEastAsia"/>
          <w:sz w:val="24"/>
        </w:rPr>
        <w:t>系中华人民共和国合法企业，经营地址。</w:t>
      </w:r>
    </w:p>
    <w:p w14:paraId="5F196289">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w:t>
      </w:r>
      <w:r>
        <w:rPr>
          <w:rFonts w:hint="eastAsia" w:asciiTheme="minorEastAsia" w:hAnsiTheme="minorEastAsia" w:eastAsiaTheme="minorEastAsia"/>
          <w:sz w:val="24"/>
          <w:u w:val="single"/>
        </w:rPr>
        <w:t>（姓名）</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（投标人名称）</w:t>
      </w:r>
      <w:r>
        <w:rPr>
          <w:rFonts w:hint="eastAsia" w:asciiTheme="minorEastAsia" w:hAnsiTheme="minorEastAsia" w:eastAsiaTheme="minorEastAsia"/>
          <w:sz w:val="24"/>
        </w:rPr>
        <w:t>的法定代表人，我方愿意参加贵方组织的</w:t>
      </w:r>
      <w:r>
        <w:rPr>
          <w:rFonts w:hint="eastAsia" w:asciiTheme="minorEastAsia" w:hAnsiTheme="minorEastAsia" w:eastAsiaTheme="minorEastAsia"/>
          <w:sz w:val="24"/>
          <w:u w:val="single"/>
        </w:rPr>
        <w:t>（项目名称）（编号为</w:t>
      </w:r>
      <w:r>
        <w:rPr>
          <w:rFonts w:hint="eastAsia" w:asciiTheme="minorEastAsia" w:hAnsiTheme="minorEastAsia" w:eastAsiaTheme="minorEastAsia"/>
          <w:sz w:val="24"/>
          <w:u w:val="single"/>
          <w:lang w:eastAsia="zh-CN"/>
        </w:rPr>
        <w:t>YHJS-TLZFCG-2024-054</w:t>
      </w:r>
      <w:r>
        <w:rPr>
          <w:rFonts w:hint="eastAsia" w:asciiTheme="minorEastAsia" w:hAnsiTheme="minorEastAsia" w:eastAsiaTheme="minorEastAsia"/>
          <w:sz w:val="24"/>
          <w:u w:val="single"/>
        </w:rPr>
        <w:t>）</w:t>
      </w:r>
      <w:r>
        <w:rPr>
          <w:rFonts w:hint="eastAsia" w:asciiTheme="minorEastAsia" w:hAnsiTheme="minorEastAsia" w:eastAsiaTheme="minorEastAsia"/>
          <w:sz w:val="24"/>
        </w:rPr>
        <w:t>的投标，为此，我方就本次投标有关事项郑重声明如下：</w:t>
      </w:r>
    </w:p>
    <w:p w14:paraId="4C5B9501">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1、我方已详细审查全部磋商文件，同意磋商文件的各项要求。</w:t>
      </w:r>
    </w:p>
    <w:p w14:paraId="2F857A10">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2、我方向贵方提交的所有响应文件、资料都是准确的和真实的。</w:t>
      </w:r>
    </w:p>
    <w:p w14:paraId="5D5114A3">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3、若中标，我方将按磋商文件规定履行合同责任和义务。</w:t>
      </w:r>
    </w:p>
    <w:p w14:paraId="7CD22AA2">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4、我方不是采购人的附属机构；在获知本项目采购信息后，与采购人聘请的为此项目提供咨询服务的公司及其附属机构没有任何联系。</w:t>
      </w:r>
    </w:p>
    <w:p w14:paraId="4BBFC0E2">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5、响应文件自开标日起有效期为90天。</w:t>
      </w:r>
    </w:p>
    <w:p w14:paraId="57ED0B03">
      <w:pPr>
        <w:snapToGrid w:val="0"/>
        <w:spacing w:line="460" w:lineRule="exact"/>
        <w:ind w:firstLine="472" w:firstLineChars="196"/>
        <w:jc w:val="left"/>
        <w:rPr>
          <w:rFonts w:asciiTheme="minorEastAsia" w:hAnsiTheme="minorEastAsia" w:eastAsiaTheme="minorEastAsia"/>
          <w:b/>
          <w:sz w:val="24"/>
        </w:rPr>
      </w:pPr>
      <w:r>
        <w:rPr>
          <w:rFonts w:hint="eastAsia" w:asciiTheme="minorEastAsia" w:hAnsiTheme="minorEastAsia" w:eastAsiaTheme="minorEastAsia"/>
          <w:b/>
          <w:sz w:val="24"/>
        </w:rPr>
        <w:t>6、我方参与本项目前3年内的经营活动中没有重大违法记录；</w:t>
      </w:r>
    </w:p>
    <w:p w14:paraId="49147594">
      <w:pPr>
        <w:snapToGrid w:val="0"/>
        <w:spacing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7、我方通过“信用中国”网站（www.creditchina.gov.cn）、中国政府采购网（www.ccgp.gov.cn）查询，未被列入失信被执行人、重大税收违法案件当事人名单、政府采购严重违法失信行为记录名单。</w:t>
      </w:r>
    </w:p>
    <w:p w14:paraId="30580993">
      <w:pPr>
        <w:snapToGrid w:val="0"/>
        <w:spacing w:beforeLines="50" w:after="50" w:line="4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8、以上事项如有虚假或隐瞒，我方愿意承担一切后果，并不再寻求任何旨在减轻或免除法律责任的辩解。</w:t>
      </w:r>
    </w:p>
    <w:p w14:paraId="3C465AD4">
      <w:pPr>
        <w:snapToGrid w:val="0"/>
        <w:spacing w:beforeLines="50" w:after="50" w:line="460" w:lineRule="exact"/>
        <w:ind w:firstLine="120" w:firstLineChars="50"/>
        <w:jc w:val="right"/>
        <w:rPr>
          <w:rFonts w:asciiTheme="minorEastAsia" w:hAnsiTheme="minorEastAsia" w:eastAsiaTheme="minorEastAsia"/>
          <w:sz w:val="24"/>
        </w:rPr>
      </w:pPr>
    </w:p>
    <w:p w14:paraId="6913078F">
      <w:pPr>
        <w:snapToGrid w:val="0"/>
        <w:spacing w:beforeLines="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                                   投标人（盖章）：</w:t>
      </w:r>
    </w:p>
    <w:p w14:paraId="36327EB0">
      <w:pPr>
        <w:widowControl/>
        <w:spacing w:line="360" w:lineRule="auto"/>
        <w:jc w:val="righ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2A869691">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具有履行合同所必需的设备和专业技术能力的承诺函</w:t>
      </w:r>
    </w:p>
    <w:p w14:paraId="57603C7C">
      <w:pPr>
        <w:pStyle w:val="175"/>
        <w:snapToGrid w:val="0"/>
        <w:spacing w:line="500" w:lineRule="exact"/>
        <w:rPr>
          <w:rFonts w:asciiTheme="minorEastAsia" w:hAnsiTheme="minorEastAsia" w:eastAsiaTheme="minorEastAsia"/>
          <w:b/>
          <w:bCs/>
          <w:sz w:val="24"/>
          <w:szCs w:val="22"/>
        </w:rPr>
      </w:pPr>
    </w:p>
    <w:p w14:paraId="524D25D0">
      <w:pPr>
        <w:pStyle w:val="175"/>
        <w:snapToGrid w:val="0"/>
        <w:spacing w:line="500" w:lineRule="exact"/>
        <w:ind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u w:val="single"/>
        </w:rPr>
        <w:t xml:space="preserve">   耀华建设管理有限公司  </w:t>
      </w:r>
      <w:r>
        <w:rPr>
          <w:rFonts w:hint="eastAsia" w:cs="宋体" w:asciiTheme="minorEastAsia" w:hAnsiTheme="minorEastAsia" w:eastAsiaTheme="minorEastAsia"/>
          <w:bCs/>
          <w:color w:val="000000"/>
          <w:kern w:val="0"/>
          <w:sz w:val="24"/>
          <w:szCs w:val="24"/>
        </w:rPr>
        <w:t>：（采购机构名称）</w:t>
      </w:r>
    </w:p>
    <w:p w14:paraId="531125C1">
      <w:pPr>
        <w:pStyle w:val="175"/>
        <w:snapToGrid w:val="0"/>
        <w:spacing w:line="50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我方 （供应商）承诺具有履行合同所必需的设备和专业技术能力。如有虚假，采购人可取消我方任何资格（投标/中标/签订合同），我方对此无任何异议。</w:t>
      </w:r>
    </w:p>
    <w:p w14:paraId="1CF391C0">
      <w:pPr>
        <w:pStyle w:val="175"/>
        <w:snapToGrid w:val="0"/>
        <w:spacing w:line="500" w:lineRule="exact"/>
        <w:rPr>
          <w:rFonts w:cs="宋体" w:asciiTheme="minorEastAsia" w:hAnsiTheme="minorEastAsia" w:eastAsiaTheme="minorEastAsia"/>
          <w:sz w:val="24"/>
          <w:szCs w:val="22"/>
        </w:rPr>
      </w:pPr>
    </w:p>
    <w:p w14:paraId="5DC510A0">
      <w:pPr>
        <w:pStyle w:val="175"/>
        <w:snapToGrid w:val="0"/>
        <w:spacing w:line="500" w:lineRule="exact"/>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特此承诺！</w:t>
      </w:r>
    </w:p>
    <w:p w14:paraId="73C049DD">
      <w:pPr>
        <w:spacing w:line="360" w:lineRule="auto"/>
        <w:rPr>
          <w:rFonts w:cs="宋体" w:asciiTheme="minorEastAsia" w:hAnsiTheme="minorEastAsia" w:eastAsiaTheme="minorEastAsia"/>
          <w:color w:val="000000"/>
          <w:sz w:val="24"/>
        </w:rPr>
      </w:pPr>
    </w:p>
    <w:p w14:paraId="1E5199DE">
      <w:pPr>
        <w:widowControl/>
        <w:spacing w:line="360" w:lineRule="auto"/>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4"/>
        </w:rPr>
        <w:t>投标人（盖章）：</w:t>
      </w:r>
    </w:p>
    <w:p w14:paraId="47FFBE08">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0AC54F7A">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具有良好的商业信誉和健全的财务会计制度的承诺函 </w:t>
      </w:r>
    </w:p>
    <w:p w14:paraId="331478E5">
      <w:pPr>
        <w:widowControl/>
        <w:jc w:val="left"/>
        <w:rPr>
          <w:rFonts w:cs="宋体" w:asciiTheme="minorEastAsia" w:hAnsiTheme="minorEastAsia" w:eastAsiaTheme="minorEastAsia"/>
          <w:bCs/>
          <w:color w:val="000000"/>
          <w:kern w:val="0"/>
          <w:sz w:val="26"/>
          <w:szCs w:val="26"/>
          <w:u w:val="single"/>
        </w:rPr>
      </w:pPr>
    </w:p>
    <w:p w14:paraId="6F6A9E21">
      <w:pPr>
        <w:widowControl/>
        <w:spacing w:line="360" w:lineRule="auto"/>
        <w:jc w:val="left"/>
        <w:rPr>
          <w:rFonts w:cs="宋体" w:asciiTheme="minorEastAsia" w:hAnsiTheme="minorEastAsia" w:eastAsiaTheme="minorEastAsia"/>
          <w:bCs/>
          <w:sz w:val="24"/>
        </w:rPr>
      </w:pPr>
      <w:r>
        <w:rPr>
          <w:rFonts w:hint="eastAsia" w:cs="宋体" w:asciiTheme="minorEastAsia" w:hAnsiTheme="minorEastAsia" w:eastAsiaTheme="minorEastAsia"/>
          <w:bCs/>
          <w:color w:val="000000"/>
          <w:kern w:val="0"/>
          <w:sz w:val="24"/>
          <w:u w:val="single"/>
        </w:rPr>
        <w:t xml:space="preserve">  耀华建设管理有限公司 </w:t>
      </w:r>
      <w:r>
        <w:rPr>
          <w:rFonts w:hint="eastAsia" w:cs="宋体" w:asciiTheme="minorEastAsia" w:hAnsiTheme="minorEastAsia" w:eastAsiaTheme="minorEastAsia"/>
          <w:bCs/>
          <w:color w:val="000000"/>
          <w:kern w:val="0"/>
          <w:sz w:val="24"/>
        </w:rPr>
        <w:t xml:space="preserve">：（采购机构名称） </w:t>
      </w:r>
    </w:p>
    <w:p w14:paraId="3DFEE881">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rPr>
        <w:t>我方参加（项目编号：</w:t>
      </w:r>
      <w:r>
        <w:rPr>
          <w:rFonts w:hint="eastAsia" w:cs="宋体" w:asciiTheme="minorEastAsia" w:hAnsiTheme="minorEastAsia" w:eastAsiaTheme="minorEastAsia"/>
          <w:color w:val="000000"/>
          <w:kern w:val="0"/>
          <w:sz w:val="24"/>
          <w:lang w:eastAsia="zh-CN"/>
        </w:rPr>
        <w:t>YHJS-TLZFCG-2024-054</w:t>
      </w:r>
      <w:r>
        <w:rPr>
          <w:rFonts w:hint="eastAsia" w:cs="宋体" w:asciiTheme="minorEastAsia" w:hAnsiTheme="minorEastAsia" w:eastAsiaTheme="minorEastAsia"/>
          <w:color w:val="000000"/>
          <w:kern w:val="0"/>
          <w:sz w:val="24"/>
        </w:rPr>
        <w:t xml:space="preserve">）的政府采购活动，依据采购文件相关规定，郑重承诺：我方具有良好的商业信誉和健全的财务会计制度，符合本项目采购文件规定的投标供应商资格要求，如中标，我方将按我方投标文件承诺，保证合同顺利履行。如有虚假或隐瞒，采购人可取消我方任何资格（投标/谈判/中标（成交）/签订合同），我方对此无任何异议，并愿意承担一切后果和责任。 </w:t>
      </w:r>
    </w:p>
    <w:p w14:paraId="44B7368B">
      <w:pPr>
        <w:widowControl/>
        <w:spacing w:line="360" w:lineRule="auto"/>
        <w:jc w:val="left"/>
        <w:rPr>
          <w:rFonts w:cs="宋体" w:asciiTheme="minorEastAsia" w:hAnsiTheme="minorEastAsia" w:eastAsiaTheme="minorEastAsia"/>
          <w:color w:val="000000"/>
          <w:kern w:val="0"/>
          <w:sz w:val="24"/>
        </w:rPr>
      </w:pPr>
    </w:p>
    <w:p w14:paraId="09528F47">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rPr>
        <w:t xml:space="preserve">特此承诺！ </w:t>
      </w:r>
    </w:p>
    <w:p w14:paraId="30013667">
      <w:pPr>
        <w:widowControl/>
        <w:spacing w:line="360" w:lineRule="auto"/>
        <w:jc w:val="left"/>
        <w:rPr>
          <w:rFonts w:cs="宋体" w:asciiTheme="minorEastAsia" w:hAnsiTheme="minorEastAsia" w:eastAsiaTheme="minorEastAsia"/>
          <w:color w:val="000000"/>
          <w:kern w:val="0"/>
          <w:sz w:val="24"/>
        </w:rPr>
      </w:pPr>
    </w:p>
    <w:p w14:paraId="4BC7B24F">
      <w:pPr>
        <w:widowControl/>
        <w:spacing w:line="360" w:lineRule="auto"/>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4"/>
        </w:rPr>
        <w:t>投标人（盖章）：</w:t>
      </w:r>
    </w:p>
    <w:p w14:paraId="1EA6533B">
      <w:pPr>
        <w:widowControl/>
        <w:spacing w:line="360"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日期：年月日</w:t>
      </w:r>
    </w:p>
    <w:p w14:paraId="4BACAB51">
      <w:pPr>
        <w:snapToGrid w:val="0"/>
        <w:spacing w:before="50" w:after="50"/>
        <w:jc w:val="center"/>
        <w:rPr>
          <w:rFonts w:asciiTheme="minorEastAsia" w:hAnsiTheme="minorEastAsia" w:eastAsiaTheme="minorEastAsia"/>
          <w:b/>
          <w:sz w:val="36"/>
          <w:szCs w:val="36"/>
        </w:rPr>
        <w:sectPr>
          <w:pgSz w:w="11906" w:h="16838"/>
          <w:pgMar w:top="1418" w:right="1134" w:bottom="1134" w:left="1418" w:header="851" w:footer="992" w:gutter="0"/>
          <w:cols w:space="425" w:num="1"/>
          <w:docGrid w:type="lines" w:linePitch="312" w:charSpace="0"/>
        </w:sectPr>
      </w:pPr>
    </w:p>
    <w:p w14:paraId="37B2E06B">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具有依法缴纳税收和社会保障资金的良好记录承诺函</w:t>
      </w:r>
    </w:p>
    <w:p w14:paraId="0023B9E8">
      <w:pPr>
        <w:pStyle w:val="175"/>
        <w:snapToGrid w:val="0"/>
        <w:spacing w:line="500" w:lineRule="exact"/>
        <w:rPr>
          <w:rFonts w:asciiTheme="minorEastAsia" w:hAnsiTheme="minorEastAsia" w:eastAsiaTheme="minorEastAsia"/>
          <w:b/>
          <w:bCs/>
          <w:sz w:val="24"/>
          <w:szCs w:val="22"/>
        </w:rPr>
      </w:pPr>
    </w:p>
    <w:p w14:paraId="6B396974">
      <w:pPr>
        <w:widowControl/>
        <w:spacing w:line="360" w:lineRule="auto"/>
        <w:jc w:val="left"/>
        <w:rPr>
          <w:rFonts w:cs="宋体" w:asciiTheme="minorEastAsia" w:hAnsiTheme="minorEastAsia" w:eastAsiaTheme="minorEastAsia"/>
          <w:bCs/>
          <w:sz w:val="24"/>
        </w:rPr>
      </w:pPr>
      <w:r>
        <w:rPr>
          <w:rFonts w:hint="eastAsia" w:cs="宋体" w:asciiTheme="minorEastAsia" w:hAnsiTheme="minorEastAsia" w:eastAsiaTheme="minorEastAsia"/>
          <w:bCs/>
          <w:color w:val="000000"/>
          <w:kern w:val="0"/>
          <w:sz w:val="24"/>
          <w:u w:val="single"/>
        </w:rPr>
        <w:t xml:space="preserve">  耀华建设管理有限公司  </w:t>
      </w:r>
      <w:r>
        <w:rPr>
          <w:rFonts w:hint="eastAsia" w:cs="宋体" w:asciiTheme="minorEastAsia" w:hAnsiTheme="minorEastAsia" w:eastAsiaTheme="minorEastAsia"/>
          <w:bCs/>
          <w:color w:val="000000"/>
          <w:kern w:val="0"/>
          <w:sz w:val="24"/>
        </w:rPr>
        <w:t xml:space="preserve">：（采购机构名称） </w:t>
      </w:r>
    </w:p>
    <w:p w14:paraId="1C5EFBC4">
      <w:pPr>
        <w:pStyle w:val="175"/>
        <w:snapToGrid w:val="0"/>
        <w:spacing w:line="500" w:lineRule="exact"/>
        <w:ind w:firstLine="480" w:firstLineChars="200"/>
        <w:rPr>
          <w:rFonts w:cs="宋体" w:asciiTheme="minorEastAsia" w:hAnsiTheme="minorEastAsia" w:eastAsiaTheme="minorEastAsia"/>
          <w:sz w:val="24"/>
          <w:szCs w:val="24"/>
        </w:rPr>
      </w:pPr>
      <w:r>
        <w:rPr>
          <w:rFonts w:hint="eastAsia" w:cs="仿宋" w:asciiTheme="minorEastAsia" w:hAnsiTheme="minorEastAsia" w:eastAsiaTheme="minorEastAsia"/>
          <w:sz w:val="24"/>
          <w:szCs w:val="22"/>
        </w:rPr>
        <w:t>我</w:t>
      </w:r>
      <w:r>
        <w:rPr>
          <w:rFonts w:hint="eastAsia" w:cs="宋体" w:asciiTheme="minorEastAsia" w:hAnsiTheme="minorEastAsia" w:eastAsiaTheme="minorEastAsia"/>
          <w:sz w:val="24"/>
          <w:szCs w:val="24"/>
        </w:rPr>
        <w:t>公司郑重声明，我公司严格依法缴纳税收和社会保障资金，本文件中所提供的相关材料均真实有效，不存在虚假、造假行为。如有违反，愿承担一切责任。</w:t>
      </w:r>
    </w:p>
    <w:p w14:paraId="3FDC0199">
      <w:pPr>
        <w:pStyle w:val="175"/>
        <w:snapToGrid w:val="0"/>
        <w:spacing w:line="500" w:lineRule="exact"/>
        <w:rPr>
          <w:rFonts w:cs="宋体" w:asciiTheme="minorEastAsia" w:hAnsiTheme="minorEastAsia" w:eastAsiaTheme="minorEastAsia"/>
          <w:sz w:val="24"/>
          <w:szCs w:val="24"/>
        </w:rPr>
      </w:pPr>
    </w:p>
    <w:p w14:paraId="7E7DB29B">
      <w:pPr>
        <w:pStyle w:val="175"/>
        <w:snapToGrid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特此承诺！</w:t>
      </w:r>
    </w:p>
    <w:p w14:paraId="537F5BF8">
      <w:pPr>
        <w:pStyle w:val="176"/>
        <w:spacing w:line="360" w:lineRule="auto"/>
        <w:rPr>
          <w:rFonts w:cs="宋体" w:asciiTheme="minorEastAsia" w:hAnsiTheme="minorEastAsia" w:eastAsiaTheme="minorEastAsia"/>
          <w:szCs w:val="24"/>
          <w:lang w:val="en-US"/>
        </w:rPr>
      </w:pPr>
    </w:p>
    <w:p w14:paraId="46C82334">
      <w:pPr>
        <w:pStyle w:val="176"/>
        <w:spacing w:line="360" w:lineRule="auto"/>
        <w:rPr>
          <w:rFonts w:cs="宋体" w:asciiTheme="minorEastAsia" w:hAnsiTheme="minorEastAsia" w:eastAsiaTheme="minorEastAsia"/>
          <w:szCs w:val="24"/>
          <w:lang w:val="en-US"/>
        </w:rPr>
      </w:pPr>
    </w:p>
    <w:p w14:paraId="17786B4D">
      <w:pPr>
        <w:widowControl/>
        <w:spacing w:line="360" w:lineRule="auto"/>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4"/>
        </w:rPr>
        <w:t>投标人（盖章）：</w:t>
      </w:r>
    </w:p>
    <w:p w14:paraId="09112A2B">
      <w:pPr>
        <w:spacing w:line="700" w:lineRule="exact"/>
        <w:outlineLvl w:val="3"/>
        <w:rPr>
          <w:rFonts w:asciiTheme="minorEastAsia" w:hAnsiTheme="minorEastAsia" w:eastAsiaTheme="minorEastAsia"/>
          <w:b/>
          <w:sz w:val="24"/>
        </w:rPr>
      </w:pPr>
      <w:r>
        <w:rPr>
          <w:rFonts w:hint="eastAsia" w:cs="宋体" w:asciiTheme="minorEastAsia" w:hAnsiTheme="minorEastAsia" w:eastAsiaTheme="minorEastAsia"/>
          <w:color w:val="000000"/>
          <w:kern w:val="0"/>
          <w:sz w:val="24"/>
        </w:rPr>
        <w:t>日期：年月日</w:t>
      </w:r>
    </w:p>
    <w:p w14:paraId="7E5A76E7">
      <w:pPr>
        <w:snapToGrid w:val="0"/>
        <w:spacing w:line="360" w:lineRule="auto"/>
        <w:ind w:firstLine="602" w:firstLineChars="200"/>
        <w:jc w:val="left"/>
        <w:rPr>
          <w:rFonts w:ascii="宋体" w:hAnsi="宋体" w:cs="宋体"/>
          <w:b/>
          <w:bCs/>
          <w:sz w:val="30"/>
          <w:szCs w:val="30"/>
        </w:rPr>
        <w:sectPr>
          <w:footerReference r:id="rId23" w:type="first"/>
          <w:headerReference r:id="rId21" w:type="default"/>
          <w:footerReference r:id="rId22" w:type="default"/>
          <w:pgSz w:w="11906" w:h="16838"/>
          <w:pgMar w:top="1440" w:right="1440" w:bottom="1440" w:left="1440" w:header="851" w:footer="992" w:gutter="0"/>
          <w:pgNumType w:start="1"/>
          <w:cols w:space="720" w:num="1"/>
          <w:titlePg/>
          <w:docGrid w:linePitch="312" w:charSpace="0"/>
        </w:sectPr>
      </w:pPr>
    </w:p>
    <w:p w14:paraId="76C5FFB4">
      <w:pPr>
        <w:snapToGrid w:val="0"/>
        <w:spacing w:line="360" w:lineRule="auto"/>
        <w:ind w:firstLine="602" w:firstLineChars="200"/>
        <w:jc w:val="left"/>
        <w:rPr>
          <w:rFonts w:asciiTheme="minorEastAsia" w:hAnsiTheme="minorEastAsia" w:eastAsiaTheme="minorEastAsia"/>
          <w:b/>
          <w:color w:val="000000"/>
          <w:sz w:val="24"/>
        </w:rPr>
      </w:pPr>
      <w:r>
        <w:rPr>
          <w:rFonts w:hint="eastAsia" w:ascii="宋体" w:hAnsi="宋体" w:cs="宋体"/>
          <w:b/>
          <w:bCs/>
          <w:sz w:val="30"/>
          <w:szCs w:val="30"/>
        </w:rPr>
        <w:t>2.</w:t>
      </w:r>
      <w:r>
        <w:rPr>
          <w:rFonts w:hint="eastAsia" w:ascii="宋体" w:hAnsi="宋体" w:cs="宋体"/>
          <w:b/>
          <w:bCs/>
          <w:sz w:val="30"/>
          <w:szCs w:val="30"/>
          <w:lang w:eastAsia="zh-CN"/>
        </w:rPr>
        <w:t>技术及商务</w:t>
      </w:r>
      <w:r>
        <w:rPr>
          <w:rFonts w:hint="eastAsia" w:ascii="宋体" w:hAnsi="宋体" w:cs="宋体"/>
          <w:b/>
          <w:bCs/>
          <w:sz w:val="30"/>
          <w:szCs w:val="30"/>
        </w:rPr>
        <w:t>文件目录</w:t>
      </w:r>
    </w:p>
    <w:p w14:paraId="5D646FF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（1）供应商自评分表（根据评分内容自行设置）</w:t>
      </w:r>
    </w:p>
    <w:p w14:paraId="10D5F8A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（2）法定代表人授权委托书；</w:t>
      </w:r>
    </w:p>
    <w:p w14:paraId="26F1B36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（3）投标人的基本情况介绍（包括现有经营场所、服务机构等情况资料）；</w:t>
      </w:r>
    </w:p>
    <w:p w14:paraId="4A808170">
      <w:pPr>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FF0000"/>
          <w:sz w:val="24"/>
          <w:highlight w:val="none"/>
        </w:rPr>
        <w:t>评标标准相应的</w:t>
      </w:r>
      <w:r>
        <w:rPr>
          <w:rFonts w:hint="eastAsia" w:ascii="宋体" w:hAnsi="宋体" w:eastAsia="宋体" w:cs="宋体"/>
          <w:color w:val="FF0000"/>
          <w:sz w:val="24"/>
          <w:highlight w:val="none"/>
          <w:lang w:eastAsia="zh-CN"/>
        </w:rPr>
        <w:t>技术及商务</w:t>
      </w:r>
      <w:r>
        <w:rPr>
          <w:rFonts w:hint="eastAsia" w:ascii="宋体" w:hAnsi="宋体" w:eastAsia="宋体" w:cs="宋体"/>
          <w:color w:val="FF0000"/>
          <w:sz w:val="24"/>
          <w:highlight w:val="none"/>
        </w:rPr>
        <w:t>资料</w:t>
      </w:r>
    </w:p>
    <w:p w14:paraId="60ED5C9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FF0000"/>
          <w:sz w:val="24"/>
          <w:highlight w:val="none"/>
        </w:rPr>
        <w:t>投标标的清单（含货物、服务等）</w:t>
      </w:r>
    </w:p>
    <w:p w14:paraId="459AD519">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）技术及商务</w:t>
      </w:r>
      <w:r>
        <w:rPr>
          <w:rFonts w:hint="eastAsia" w:ascii="宋体" w:hAnsi="宋体" w:eastAsia="宋体" w:cs="宋体"/>
          <w:color w:val="auto"/>
          <w:sz w:val="24"/>
          <w:highlight w:val="none"/>
        </w:rPr>
        <w:t>偏离表</w:t>
      </w:r>
      <w:r>
        <w:rPr>
          <w:rFonts w:hint="eastAsia" w:cs="Arial" w:asciiTheme="minorEastAsia" w:hAnsiTheme="minorEastAsia" w:eastAsiaTheme="minorEastAsia"/>
          <w:color w:val="000000"/>
          <w:sz w:val="24"/>
          <w:highlight w:val="none"/>
          <w:lang w:eastAsia="zh-CN"/>
        </w:rPr>
        <w:t>（</w:t>
      </w:r>
      <w:r>
        <w:rPr>
          <w:rFonts w:hint="eastAsia" w:cs="Arial" w:asciiTheme="minorEastAsia" w:hAnsiTheme="minorEastAsia" w:eastAsiaTheme="minorEastAsia"/>
          <w:color w:val="000000"/>
          <w:sz w:val="24"/>
          <w:highlight w:val="none"/>
          <w:lang w:val="en-US" w:eastAsia="zh-CN"/>
        </w:rPr>
        <w:t>格式见附件</w:t>
      </w:r>
      <w:r>
        <w:rPr>
          <w:rFonts w:hint="eastAsia" w:cs="Arial" w:asciiTheme="minorEastAsia" w:hAnsiTheme="minorEastAsia" w:eastAsiaTheme="minorEastAsia"/>
          <w:color w:val="000000"/>
          <w:sz w:val="24"/>
          <w:highlight w:val="none"/>
          <w:lang w:eastAsia="zh-CN"/>
        </w:rPr>
        <w:t>）</w:t>
      </w:r>
    </w:p>
    <w:p w14:paraId="67A3C40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）投标人需要说明的其他文件等。</w:t>
      </w:r>
    </w:p>
    <w:p w14:paraId="6B0A869F">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58786CC1">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（1）评分对应表</w:t>
      </w:r>
    </w:p>
    <w:tbl>
      <w:tblPr>
        <w:tblStyle w:val="33"/>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1685"/>
      </w:tblGrid>
      <w:tr w14:paraId="3DC5A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7B07484B">
            <w:pPr>
              <w:spacing w:line="580" w:lineRule="exact"/>
              <w:rPr>
                <w:rFonts w:ascii="宋体" w:hAnsi="宋体" w:cs="宋体"/>
                <w:sz w:val="24"/>
                <w:highlight w:val="none"/>
              </w:rPr>
            </w:pPr>
            <w:r>
              <w:rPr>
                <w:rFonts w:hint="eastAsia" w:ascii="宋体" w:hAnsi="宋体" w:cs="宋体"/>
                <w:sz w:val="24"/>
                <w:highlight w:val="none"/>
              </w:rPr>
              <w:t>评分项目</w:t>
            </w:r>
          </w:p>
        </w:tc>
        <w:tc>
          <w:tcPr>
            <w:tcW w:w="3532" w:type="dxa"/>
            <w:tcBorders>
              <w:top w:val="single" w:color="auto" w:sz="4" w:space="0"/>
              <w:left w:val="nil"/>
              <w:bottom w:val="single" w:color="auto" w:sz="4" w:space="0"/>
              <w:right w:val="single" w:color="auto" w:sz="4" w:space="0"/>
            </w:tcBorders>
            <w:vAlign w:val="center"/>
          </w:tcPr>
          <w:p w14:paraId="52DCEDEC">
            <w:pPr>
              <w:spacing w:line="580" w:lineRule="exact"/>
              <w:rPr>
                <w:rFonts w:ascii="宋体" w:hAnsi="宋体" w:cs="宋体"/>
                <w:sz w:val="24"/>
                <w:highlight w:val="none"/>
              </w:rPr>
            </w:pPr>
            <w:r>
              <w:rPr>
                <w:rFonts w:hint="eastAsia" w:ascii="宋体" w:hAnsi="宋体" w:cs="宋体"/>
                <w:sz w:val="24"/>
                <w:highlight w:val="none"/>
              </w:rPr>
              <w:t>投标文件对应资料</w:t>
            </w:r>
          </w:p>
        </w:tc>
        <w:tc>
          <w:tcPr>
            <w:tcW w:w="1685" w:type="dxa"/>
            <w:tcBorders>
              <w:top w:val="single" w:color="auto" w:sz="4" w:space="0"/>
              <w:left w:val="nil"/>
              <w:bottom w:val="single" w:color="auto" w:sz="4" w:space="0"/>
              <w:right w:val="single" w:color="auto" w:sz="4" w:space="0"/>
            </w:tcBorders>
            <w:vAlign w:val="center"/>
          </w:tcPr>
          <w:p w14:paraId="22695313">
            <w:pPr>
              <w:spacing w:line="580" w:lineRule="exact"/>
              <w:rPr>
                <w:rFonts w:ascii="宋体" w:hAnsi="宋体" w:cs="宋体"/>
                <w:sz w:val="24"/>
                <w:highlight w:val="none"/>
              </w:rPr>
            </w:pPr>
            <w:r>
              <w:rPr>
                <w:rFonts w:hint="eastAsia" w:ascii="宋体" w:hAnsi="宋体" w:cs="宋体"/>
                <w:sz w:val="24"/>
                <w:highlight w:val="none"/>
              </w:rPr>
              <w:t>投标文件页码</w:t>
            </w:r>
          </w:p>
        </w:tc>
      </w:tr>
      <w:tr w14:paraId="0AC1A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9D2EE5C">
            <w:pPr>
              <w:spacing w:line="580" w:lineRule="exact"/>
              <w:rPr>
                <w:rFonts w:ascii="宋体" w:hAnsi="宋体" w:cs="宋体"/>
                <w:sz w:val="24"/>
                <w:highlight w:val="none"/>
              </w:rPr>
            </w:pPr>
            <w:r>
              <w:rPr>
                <w:rFonts w:hint="eastAsia" w:ascii="宋体" w:hAnsi="宋体" w:cs="宋体"/>
                <w:sz w:val="24"/>
                <w:highlight w:val="none"/>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2E8AB83B">
            <w:pPr>
              <w:spacing w:line="580" w:lineRule="exact"/>
              <w:rPr>
                <w:rFonts w:ascii="宋体" w:hAnsi="宋体" w:cs="宋体"/>
                <w:sz w:val="24"/>
                <w:highlight w:val="none"/>
              </w:rPr>
            </w:pPr>
          </w:p>
        </w:tc>
        <w:tc>
          <w:tcPr>
            <w:tcW w:w="1685" w:type="dxa"/>
            <w:tcBorders>
              <w:top w:val="single" w:color="auto" w:sz="4" w:space="0"/>
              <w:left w:val="nil"/>
              <w:bottom w:val="single" w:color="auto" w:sz="4" w:space="0"/>
              <w:right w:val="single" w:color="auto" w:sz="4" w:space="0"/>
            </w:tcBorders>
          </w:tcPr>
          <w:p w14:paraId="5B0CC4C8">
            <w:pPr>
              <w:spacing w:line="580" w:lineRule="exact"/>
              <w:rPr>
                <w:rFonts w:ascii="宋体" w:hAnsi="宋体" w:cs="宋体"/>
                <w:sz w:val="24"/>
                <w:highlight w:val="none"/>
              </w:rPr>
            </w:pPr>
          </w:p>
        </w:tc>
      </w:tr>
      <w:tr w14:paraId="311B2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758FCCD">
            <w:pPr>
              <w:spacing w:line="580" w:lineRule="exact"/>
              <w:rPr>
                <w:rFonts w:ascii="宋体" w:hAnsi="宋体" w:cs="宋体"/>
                <w:sz w:val="24"/>
                <w:highlight w:val="none"/>
              </w:rPr>
            </w:pPr>
            <w:r>
              <w:rPr>
                <w:rFonts w:hint="eastAsia" w:ascii="宋体" w:hAnsi="宋体" w:cs="宋体"/>
                <w:sz w:val="24"/>
                <w:highlight w:val="none"/>
              </w:rPr>
              <w:t>……</w:t>
            </w:r>
          </w:p>
        </w:tc>
        <w:tc>
          <w:tcPr>
            <w:tcW w:w="3532" w:type="dxa"/>
            <w:tcBorders>
              <w:top w:val="single" w:color="auto" w:sz="4" w:space="0"/>
              <w:left w:val="nil"/>
              <w:bottom w:val="single" w:color="auto" w:sz="4" w:space="0"/>
              <w:right w:val="single" w:color="auto" w:sz="4" w:space="0"/>
            </w:tcBorders>
          </w:tcPr>
          <w:p w14:paraId="3BCB1A06">
            <w:pPr>
              <w:spacing w:line="580" w:lineRule="exact"/>
              <w:rPr>
                <w:rFonts w:ascii="宋体" w:hAnsi="宋体" w:cs="宋体"/>
                <w:sz w:val="24"/>
                <w:highlight w:val="none"/>
              </w:rPr>
            </w:pPr>
          </w:p>
        </w:tc>
        <w:tc>
          <w:tcPr>
            <w:tcW w:w="1685" w:type="dxa"/>
            <w:tcBorders>
              <w:top w:val="single" w:color="auto" w:sz="4" w:space="0"/>
              <w:left w:val="nil"/>
              <w:bottom w:val="single" w:color="auto" w:sz="4" w:space="0"/>
              <w:right w:val="single" w:color="auto" w:sz="4" w:space="0"/>
            </w:tcBorders>
          </w:tcPr>
          <w:p w14:paraId="2887A720">
            <w:pPr>
              <w:spacing w:line="580" w:lineRule="exact"/>
              <w:rPr>
                <w:rFonts w:ascii="宋体" w:hAnsi="宋体" w:cs="宋体"/>
                <w:sz w:val="24"/>
                <w:highlight w:val="none"/>
              </w:rPr>
            </w:pPr>
          </w:p>
        </w:tc>
      </w:tr>
      <w:tr w14:paraId="37CFA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EBC9F59">
            <w:pPr>
              <w:spacing w:line="580" w:lineRule="exact"/>
              <w:rPr>
                <w:rFonts w:ascii="宋体" w:hAnsi="宋体" w:cs="宋体"/>
                <w:sz w:val="24"/>
                <w:highlight w:val="none"/>
              </w:rPr>
            </w:pPr>
          </w:p>
        </w:tc>
        <w:tc>
          <w:tcPr>
            <w:tcW w:w="3532" w:type="dxa"/>
            <w:tcBorders>
              <w:top w:val="single" w:color="auto" w:sz="4" w:space="0"/>
              <w:left w:val="nil"/>
              <w:bottom w:val="single" w:color="auto" w:sz="4" w:space="0"/>
              <w:right w:val="single" w:color="auto" w:sz="4" w:space="0"/>
            </w:tcBorders>
          </w:tcPr>
          <w:p w14:paraId="6D07DF23">
            <w:pPr>
              <w:spacing w:line="580" w:lineRule="exact"/>
              <w:rPr>
                <w:rFonts w:ascii="宋体" w:hAnsi="宋体" w:cs="宋体"/>
                <w:sz w:val="24"/>
                <w:highlight w:val="none"/>
              </w:rPr>
            </w:pPr>
          </w:p>
        </w:tc>
        <w:tc>
          <w:tcPr>
            <w:tcW w:w="1685" w:type="dxa"/>
            <w:tcBorders>
              <w:top w:val="single" w:color="auto" w:sz="4" w:space="0"/>
              <w:left w:val="nil"/>
              <w:bottom w:val="single" w:color="auto" w:sz="4" w:space="0"/>
              <w:right w:val="single" w:color="auto" w:sz="4" w:space="0"/>
            </w:tcBorders>
          </w:tcPr>
          <w:p w14:paraId="65E0E102">
            <w:pPr>
              <w:spacing w:line="580" w:lineRule="exact"/>
              <w:rPr>
                <w:rFonts w:ascii="宋体" w:hAnsi="宋体" w:cs="宋体"/>
                <w:sz w:val="24"/>
                <w:highlight w:val="none"/>
              </w:rPr>
            </w:pPr>
          </w:p>
        </w:tc>
      </w:tr>
      <w:tr w14:paraId="712B0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8D072C5">
            <w:pPr>
              <w:spacing w:line="580" w:lineRule="exact"/>
              <w:rPr>
                <w:rFonts w:ascii="宋体" w:hAnsi="宋体" w:cs="宋体"/>
                <w:sz w:val="24"/>
                <w:highlight w:val="none"/>
              </w:rPr>
            </w:pPr>
          </w:p>
        </w:tc>
        <w:tc>
          <w:tcPr>
            <w:tcW w:w="3532" w:type="dxa"/>
            <w:tcBorders>
              <w:top w:val="single" w:color="auto" w:sz="4" w:space="0"/>
              <w:left w:val="nil"/>
              <w:bottom w:val="single" w:color="auto" w:sz="4" w:space="0"/>
              <w:right w:val="single" w:color="auto" w:sz="4" w:space="0"/>
            </w:tcBorders>
          </w:tcPr>
          <w:p w14:paraId="44672458">
            <w:pPr>
              <w:spacing w:line="580" w:lineRule="exact"/>
              <w:rPr>
                <w:rFonts w:ascii="宋体" w:hAnsi="宋体" w:cs="宋体"/>
                <w:sz w:val="24"/>
                <w:highlight w:val="none"/>
              </w:rPr>
            </w:pPr>
          </w:p>
        </w:tc>
        <w:tc>
          <w:tcPr>
            <w:tcW w:w="1685" w:type="dxa"/>
            <w:tcBorders>
              <w:top w:val="single" w:color="auto" w:sz="4" w:space="0"/>
              <w:left w:val="nil"/>
              <w:bottom w:val="single" w:color="auto" w:sz="4" w:space="0"/>
              <w:right w:val="single" w:color="auto" w:sz="4" w:space="0"/>
            </w:tcBorders>
          </w:tcPr>
          <w:p w14:paraId="65D428F3">
            <w:pPr>
              <w:spacing w:line="580" w:lineRule="exact"/>
              <w:rPr>
                <w:rFonts w:ascii="宋体" w:hAnsi="宋体" w:cs="宋体"/>
                <w:sz w:val="24"/>
                <w:highlight w:val="none"/>
              </w:rPr>
            </w:pPr>
          </w:p>
        </w:tc>
      </w:tr>
      <w:tr w14:paraId="7AE66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822CF74">
            <w:pPr>
              <w:spacing w:line="580" w:lineRule="exact"/>
              <w:rPr>
                <w:rFonts w:ascii="宋体" w:hAnsi="宋体" w:cs="宋体"/>
                <w:sz w:val="24"/>
                <w:highlight w:val="none"/>
              </w:rPr>
            </w:pPr>
          </w:p>
        </w:tc>
        <w:tc>
          <w:tcPr>
            <w:tcW w:w="3532" w:type="dxa"/>
            <w:tcBorders>
              <w:top w:val="single" w:color="auto" w:sz="4" w:space="0"/>
              <w:left w:val="nil"/>
              <w:bottom w:val="single" w:color="auto" w:sz="4" w:space="0"/>
              <w:right w:val="single" w:color="auto" w:sz="4" w:space="0"/>
            </w:tcBorders>
          </w:tcPr>
          <w:p w14:paraId="74D8694F">
            <w:pPr>
              <w:spacing w:line="580" w:lineRule="exact"/>
              <w:rPr>
                <w:rFonts w:ascii="宋体" w:hAnsi="宋体" w:cs="宋体"/>
                <w:sz w:val="24"/>
                <w:highlight w:val="none"/>
              </w:rPr>
            </w:pPr>
          </w:p>
        </w:tc>
        <w:tc>
          <w:tcPr>
            <w:tcW w:w="1685" w:type="dxa"/>
            <w:tcBorders>
              <w:top w:val="single" w:color="auto" w:sz="4" w:space="0"/>
              <w:left w:val="nil"/>
              <w:bottom w:val="single" w:color="auto" w:sz="4" w:space="0"/>
              <w:right w:val="single" w:color="auto" w:sz="4" w:space="0"/>
            </w:tcBorders>
          </w:tcPr>
          <w:p w14:paraId="1C5B1485">
            <w:pPr>
              <w:spacing w:line="580" w:lineRule="exact"/>
              <w:rPr>
                <w:rFonts w:ascii="宋体" w:hAnsi="宋体" w:cs="宋体"/>
                <w:sz w:val="24"/>
                <w:highlight w:val="none"/>
              </w:rPr>
            </w:pPr>
          </w:p>
        </w:tc>
      </w:tr>
      <w:tr w14:paraId="1F50F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1919703">
            <w:pPr>
              <w:spacing w:line="580" w:lineRule="exact"/>
              <w:rPr>
                <w:rFonts w:ascii="宋体" w:hAnsi="宋体" w:cs="宋体"/>
                <w:sz w:val="24"/>
                <w:highlight w:val="none"/>
              </w:rPr>
            </w:pPr>
          </w:p>
        </w:tc>
        <w:tc>
          <w:tcPr>
            <w:tcW w:w="3532" w:type="dxa"/>
            <w:tcBorders>
              <w:top w:val="single" w:color="auto" w:sz="4" w:space="0"/>
              <w:left w:val="nil"/>
              <w:bottom w:val="single" w:color="auto" w:sz="4" w:space="0"/>
              <w:right w:val="single" w:color="auto" w:sz="4" w:space="0"/>
            </w:tcBorders>
          </w:tcPr>
          <w:p w14:paraId="2B931C5E">
            <w:pPr>
              <w:spacing w:line="580" w:lineRule="exact"/>
              <w:rPr>
                <w:rFonts w:ascii="宋体" w:hAnsi="宋体" w:cs="宋体"/>
                <w:sz w:val="24"/>
                <w:highlight w:val="none"/>
              </w:rPr>
            </w:pPr>
          </w:p>
        </w:tc>
        <w:tc>
          <w:tcPr>
            <w:tcW w:w="1685" w:type="dxa"/>
            <w:tcBorders>
              <w:top w:val="single" w:color="auto" w:sz="4" w:space="0"/>
              <w:left w:val="nil"/>
              <w:bottom w:val="single" w:color="auto" w:sz="4" w:space="0"/>
              <w:right w:val="single" w:color="auto" w:sz="4" w:space="0"/>
            </w:tcBorders>
          </w:tcPr>
          <w:p w14:paraId="1337133D">
            <w:pPr>
              <w:spacing w:line="580" w:lineRule="exact"/>
              <w:rPr>
                <w:rFonts w:ascii="宋体" w:hAnsi="宋体" w:cs="宋体"/>
                <w:sz w:val="24"/>
                <w:highlight w:val="none"/>
              </w:rPr>
            </w:pPr>
          </w:p>
        </w:tc>
      </w:tr>
      <w:tr w14:paraId="21B02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A84EC04">
            <w:pPr>
              <w:spacing w:line="580" w:lineRule="exact"/>
              <w:rPr>
                <w:rFonts w:ascii="宋体" w:hAnsi="宋体" w:cs="宋体"/>
                <w:sz w:val="24"/>
                <w:highlight w:val="none"/>
              </w:rPr>
            </w:pPr>
          </w:p>
        </w:tc>
        <w:tc>
          <w:tcPr>
            <w:tcW w:w="3532" w:type="dxa"/>
            <w:tcBorders>
              <w:top w:val="single" w:color="auto" w:sz="4" w:space="0"/>
              <w:left w:val="nil"/>
              <w:bottom w:val="single" w:color="auto" w:sz="4" w:space="0"/>
              <w:right w:val="single" w:color="auto" w:sz="4" w:space="0"/>
            </w:tcBorders>
          </w:tcPr>
          <w:p w14:paraId="64D9E94C">
            <w:pPr>
              <w:spacing w:line="580" w:lineRule="exact"/>
              <w:rPr>
                <w:rFonts w:ascii="宋体" w:hAnsi="宋体" w:cs="宋体"/>
                <w:sz w:val="24"/>
                <w:highlight w:val="none"/>
              </w:rPr>
            </w:pPr>
          </w:p>
        </w:tc>
        <w:tc>
          <w:tcPr>
            <w:tcW w:w="1685" w:type="dxa"/>
            <w:tcBorders>
              <w:top w:val="single" w:color="auto" w:sz="4" w:space="0"/>
              <w:left w:val="nil"/>
              <w:bottom w:val="single" w:color="auto" w:sz="4" w:space="0"/>
              <w:right w:val="single" w:color="auto" w:sz="4" w:space="0"/>
            </w:tcBorders>
          </w:tcPr>
          <w:p w14:paraId="539357D4">
            <w:pPr>
              <w:spacing w:line="580" w:lineRule="exact"/>
              <w:rPr>
                <w:rFonts w:ascii="宋体" w:hAnsi="宋体" w:cs="宋体"/>
                <w:sz w:val="24"/>
                <w:highlight w:val="none"/>
              </w:rPr>
            </w:pPr>
          </w:p>
        </w:tc>
      </w:tr>
      <w:tr w14:paraId="39D40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D7189D0">
            <w:pPr>
              <w:spacing w:line="580" w:lineRule="exact"/>
              <w:rPr>
                <w:rFonts w:ascii="宋体" w:hAnsi="宋体" w:cs="宋体"/>
                <w:sz w:val="24"/>
                <w:highlight w:val="none"/>
              </w:rPr>
            </w:pPr>
          </w:p>
        </w:tc>
        <w:tc>
          <w:tcPr>
            <w:tcW w:w="3532" w:type="dxa"/>
            <w:tcBorders>
              <w:top w:val="single" w:color="auto" w:sz="4" w:space="0"/>
              <w:left w:val="nil"/>
              <w:bottom w:val="single" w:color="auto" w:sz="4" w:space="0"/>
              <w:right w:val="single" w:color="auto" w:sz="4" w:space="0"/>
            </w:tcBorders>
          </w:tcPr>
          <w:p w14:paraId="4BB36B50">
            <w:pPr>
              <w:spacing w:line="580" w:lineRule="exact"/>
              <w:rPr>
                <w:rFonts w:ascii="宋体" w:hAnsi="宋体" w:cs="宋体"/>
                <w:sz w:val="24"/>
                <w:highlight w:val="none"/>
              </w:rPr>
            </w:pPr>
          </w:p>
        </w:tc>
        <w:tc>
          <w:tcPr>
            <w:tcW w:w="1685" w:type="dxa"/>
            <w:tcBorders>
              <w:top w:val="single" w:color="auto" w:sz="4" w:space="0"/>
              <w:left w:val="nil"/>
              <w:bottom w:val="single" w:color="auto" w:sz="4" w:space="0"/>
              <w:right w:val="single" w:color="auto" w:sz="4" w:space="0"/>
            </w:tcBorders>
          </w:tcPr>
          <w:p w14:paraId="22D72F3C">
            <w:pPr>
              <w:spacing w:line="580" w:lineRule="exact"/>
              <w:rPr>
                <w:rFonts w:ascii="宋体" w:hAnsi="宋体" w:cs="宋体"/>
                <w:sz w:val="24"/>
                <w:highlight w:val="none"/>
              </w:rPr>
            </w:pPr>
          </w:p>
        </w:tc>
      </w:tr>
      <w:tr w14:paraId="6663F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EC16CBA">
            <w:pPr>
              <w:spacing w:line="580" w:lineRule="exact"/>
              <w:rPr>
                <w:rFonts w:ascii="宋体" w:hAnsi="宋体" w:cs="宋体"/>
                <w:sz w:val="24"/>
                <w:highlight w:val="none"/>
              </w:rPr>
            </w:pPr>
          </w:p>
        </w:tc>
        <w:tc>
          <w:tcPr>
            <w:tcW w:w="3532" w:type="dxa"/>
            <w:tcBorders>
              <w:top w:val="single" w:color="auto" w:sz="4" w:space="0"/>
              <w:left w:val="nil"/>
              <w:bottom w:val="single" w:color="auto" w:sz="4" w:space="0"/>
              <w:right w:val="single" w:color="auto" w:sz="4" w:space="0"/>
            </w:tcBorders>
          </w:tcPr>
          <w:p w14:paraId="17ACB280">
            <w:pPr>
              <w:spacing w:line="580" w:lineRule="exact"/>
              <w:rPr>
                <w:rFonts w:ascii="宋体" w:hAnsi="宋体" w:cs="宋体"/>
                <w:sz w:val="24"/>
                <w:highlight w:val="none"/>
              </w:rPr>
            </w:pPr>
          </w:p>
        </w:tc>
        <w:tc>
          <w:tcPr>
            <w:tcW w:w="1685" w:type="dxa"/>
            <w:tcBorders>
              <w:top w:val="single" w:color="auto" w:sz="4" w:space="0"/>
              <w:left w:val="nil"/>
              <w:bottom w:val="single" w:color="auto" w:sz="4" w:space="0"/>
              <w:right w:val="single" w:color="auto" w:sz="4" w:space="0"/>
            </w:tcBorders>
          </w:tcPr>
          <w:p w14:paraId="58E971BA">
            <w:pPr>
              <w:spacing w:line="580" w:lineRule="exact"/>
              <w:rPr>
                <w:rFonts w:ascii="宋体" w:hAnsi="宋体" w:cs="宋体"/>
                <w:sz w:val="24"/>
                <w:highlight w:val="none"/>
              </w:rPr>
            </w:pPr>
          </w:p>
        </w:tc>
      </w:tr>
    </w:tbl>
    <w:p w14:paraId="26F821A4">
      <w:pPr>
        <w:snapToGrid w:val="0"/>
        <w:spacing w:before="120" w:beforeLines="50" w:after="50" w:line="360" w:lineRule="auto"/>
        <w:rPr>
          <w:rFonts w:ascii="宋体" w:hAnsi="宋体" w:cs="宋体"/>
          <w:sz w:val="24"/>
          <w:highlight w:val="none"/>
        </w:rPr>
      </w:pPr>
    </w:p>
    <w:p w14:paraId="695D33F3">
      <w:pPr>
        <w:snapToGrid w:val="0"/>
        <w:spacing w:before="120" w:beforeLines="50" w:after="50" w:line="360" w:lineRule="auto"/>
        <w:rPr>
          <w:rFonts w:ascii="宋体" w:hAnsi="宋体" w:cs="宋体"/>
          <w:sz w:val="24"/>
          <w:highlight w:val="none"/>
        </w:rPr>
      </w:pPr>
    </w:p>
    <w:p w14:paraId="5C7A30E0">
      <w:pPr>
        <w:snapToGrid w:val="0"/>
        <w:spacing w:before="120" w:beforeLines="50" w:after="50" w:line="460" w:lineRule="exact"/>
        <w:ind w:firstLine="120" w:firstLineChars="50"/>
        <w:jc w:val="right"/>
        <w:rPr>
          <w:rFonts w:ascii="宋体" w:hAnsi="宋体" w:cs="宋体"/>
          <w:sz w:val="24"/>
          <w:highlight w:val="none"/>
        </w:rPr>
      </w:pPr>
      <w:r>
        <w:rPr>
          <w:rFonts w:hint="eastAsia" w:ascii="宋体" w:hAnsi="宋体" w:cs="宋体"/>
          <w:sz w:val="24"/>
          <w:highlight w:val="none"/>
        </w:rPr>
        <w:t>投标人全称（公章）：</w:t>
      </w:r>
    </w:p>
    <w:p w14:paraId="0684C195">
      <w:pPr>
        <w:spacing w:before="120" w:beforeLines="50" w:after="120" w:afterLines="50" w:line="480" w:lineRule="exact"/>
        <w:ind w:right="105" w:rightChars="50" w:firstLine="2870" w:firstLineChars="1196"/>
        <w:jc w:val="right"/>
        <w:rPr>
          <w:rFonts w:ascii="宋体" w:hAnsi="宋体" w:cs="宋体"/>
          <w:sz w:val="24"/>
          <w:highlight w:val="none"/>
        </w:rPr>
      </w:pPr>
      <w:r>
        <w:rPr>
          <w:rFonts w:hint="eastAsia" w:ascii="宋体" w:hAnsi="宋体" w:cs="宋体"/>
          <w:sz w:val="24"/>
          <w:highlight w:val="none"/>
        </w:rPr>
        <w:t>法定代表人或委托代理人：（签字或盖章）</w:t>
      </w:r>
    </w:p>
    <w:p w14:paraId="63A75824">
      <w:pPr>
        <w:spacing w:line="360" w:lineRule="auto"/>
        <w:jc w:val="right"/>
        <w:rPr>
          <w:rFonts w:ascii="宋体" w:hAnsi="宋体" w:cs="宋体"/>
          <w:sz w:val="24"/>
          <w:highlight w:val="none"/>
        </w:rPr>
      </w:pPr>
      <w:r>
        <w:rPr>
          <w:rFonts w:hint="eastAsia" w:ascii="宋体" w:hAnsi="宋体" w:cs="宋体"/>
          <w:sz w:val="24"/>
          <w:highlight w:val="none"/>
        </w:rPr>
        <w:t>日 期：</w:t>
      </w:r>
    </w:p>
    <w:p w14:paraId="7C2F114F">
      <w:pPr>
        <w:spacing w:line="360" w:lineRule="auto"/>
        <w:rPr>
          <w:rFonts w:asciiTheme="minorEastAsia" w:hAnsiTheme="minorEastAsia" w:eastAsiaTheme="minorEastAsia"/>
          <w:b/>
          <w:sz w:val="24"/>
          <w:highlight w:val="none"/>
        </w:rPr>
        <w:sectPr>
          <w:pgSz w:w="11906" w:h="16838"/>
          <w:pgMar w:top="1440" w:right="1440" w:bottom="1440" w:left="1440" w:header="851" w:footer="992" w:gutter="0"/>
          <w:cols w:space="720" w:num="1"/>
          <w:titlePg/>
          <w:docGrid w:linePitch="312" w:charSpace="0"/>
        </w:sectPr>
      </w:pPr>
    </w:p>
    <w:p w14:paraId="1C741609">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拟派本项目主要团队成员表</w:t>
      </w:r>
    </w:p>
    <w:p w14:paraId="52B3E95B">
      <w:pPr>
        <w:spacing w:line="360" w:lineRule="auto"/>
        <w:ind w:firstLine="48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投标人全称（加盖公章）： 采购编号：</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315"/>
        <w:gridCol w:w="2307"/>
        <w:gridCol w:w="1933"/>
        <w:gridCol w:w="1952"/>
      </w:tblGrid>
      <w:tr w14:paraId="326C9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76E11A7">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6F31DAF3">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职位</w:t>
            </w:r>
          </w:p>
        </w:tc>
        <w:tc>
          <w:tcPr>
            <w:tcW w:w="2307" w:type="dxa"/>
            <w:tcBorders>
              <w:top w:val="single" w:color="auto" w:sz="4" w:space="0"/>
              <w:left w:val="single" w:color="auto" w:sz="4" w:space="0"/>
              <w:bottom w:val="single" w:color="auto" w:sz="4" w:space="0"/>
              <w:right w:val="single" w:color="auto" w:sz="4" w:space="0"/>
            </w:tcBorders>
            <w:vAlign w:val="center"/>
          </w:tcPr>
          <w:p w14:paraId="543AF025">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持何种资格证件</w:t>
            </w:r>
          </w:p>
        </w:tc>
        <w:tc>
          <w:tcPr>
            <w:tcW w:w="1933" w:type="dxa"/>
            <w:tcBorders>
              <w:top w:val="single" w:color="auto" w:sz="4" w:space="0"/>
              <w:left w:val="single" w:color="auto" w:sz="4" w:space="0"/>
              <w:bottom w:val="single" w:color="auto" w:sz="4" w:space="0"/>
              <w:right w:val="single" w:color="auto" w:sz="4" w:space="0"/>
            </w:tcBorders>
            <w:vAlign w:val="center"/>
          </w:tcPr>
          <w:p w14:paraId="732F1E8E">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发证时间</w:t>
            </w:r>
          </w:p>
        </w:tc>
        <w:tc>
          <w:tcPr>
            <w:tcW w:w="1952" w:type="dxa"/>
            <w:tcBorders>
              <w:top w:val="single" w:color="auto" w:sz="4" w:space="0"/>
              <w:left w:val="single" w:color="auto" w:sz="4" w:space="0"/>
              <w:bottom w:val="single" w:color="auto" w:sz="4" w:space="0"/>
              <w:right w:val="single" w:color="auto" w:sz="4" w:space="0"/>
            </w:tcBorders>
            <w:vAlign w:val="center"/>
          </w:tcPr>
          <w:p w14:paraId="220FBCEB">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从事本工作时间</w:t>
            </w:r>
          </w:p>
        </w:tc>
      </w:tr>
      <w:tr w14:paraId="3DEDB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AAEB1E8">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34C0D0F9">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34407D68">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42CEA86B">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5825C558">
            <w:pPr>
              <w:spacing w:line="360" w:lineRule="auto"/>
              <w:ind w:firstLine="480"/>
              <w:rPr>
                <w:rFonts w:asciiTheme="minorEastAsia" w:hAnsiTheme="minorEastAsia" w:eastAsiaTheme="minorEastAsia"/>
                <w:bCs/>
                <w:sz w:val="24"/>
                <w:highlight w:val="none"/>
              </w:rPr>
            </w:pPr>
          </w:p>
        </w:tc>
      </w:tr>
      <w:tr w14:paraId="25546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5F042567">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0BD0CF78">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3E33DAD2">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71DA17C3">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60918DF7">
            <w:pPr>
              <w:spacing w:line="360" w:lineRule="auto"/>
              <w:ind w:firstLine="480"/>
              <w:rPr>
                <w:rFonts w:asciiTheme="minorEastAsia" w:hAnsiTheme="minorEastAsia" w:eastAsiaTheme="minorEastAsia"/>
                <w:bCs/>
                <w:sz w:val="24"/>
                <w:highlight w:val="none"/>
              </w:rPr>
            </w:pPr>
          </w:p>
        </w:tc>
      </w:tr>
      <w:tr w14:paraId="50CC6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FE802A4">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7AD36D45">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3EA6F276">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315E8DB6">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63C43403">
            <w:pPr>
              <w:spacing w:line="360" w:lineRule="auto"/>
              <w:ind w:firstLine="480"/>
              <w:rPr>
                <w:rFonts w:asciiTheme="minorEastAsia" w:hAnsiTheme="minorEastAsia" w:eastAsiaTheme="minorEastAsia"/>
                <w:bCs/>
                <w:sz w:val="24"/>
                <w:highlight w:val="none"/>
              </w:rPr>
            </w:pPr>
          </w:p>
        </w:tc>
      </w:tr>
      <w:tr w14:paraId="75C65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CAF66B7">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20672900">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3F1DC793">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65F5931">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7E4685AF">
            <w:pPr>
              <w:spacing w:line="360" w:lineRule="auto"/>
              <w:ind w:firstLine="480"/>
              <w:rPr>
                <w:rFonts w:asciiTheme="minorEastAsia" w:hAnsiTheme="minorEastAsia" w:eastAsiaTheme="minorEastAsia"/>
                <w:bCs/>
                <w:sz w:val="24"/>
                <w:highlight w:val="none"/>
              </w:rPr>
            </w:pPr>
          </w:p>
        </w:tc>
      </w:tr>
      <w:tr w14:paraId="2B148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1FCB345">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08F05CBC">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0362A316">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5F2E4668">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63C2E956">
            <w:pPr>
              <w:spacing w:line="360" w:lineRule="auto"/>
              <w:ind w:firstLine="480"/>
              <w:rPr>
                <w:rFonts w:asciiTheme="minorEastAsia" w:hAnsiTheme="minorEastAsia" w:eastAsiaTheme="minorEastAsia"/>
                <w:bCs/>
                <w:sz w:val="24"/>
                <w:highlight w:val="none"/>
              </w:rPr>
            </w:pPr>
          </w:p>
        </w:tc>
      </w:tr>
      <w:tr w14:paraId="02599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8582813">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6C297000">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7B05AC29">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40075007">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54F6095A">
            <w:pPr>
              <w:spacing w:line="360" w:lineRule="auto"/>
              <w:ind w:firstLine="480"/>
              <w:rPr>
                <w:rFonts w:asciiTheme="minorEastAsia" w:hAnsiTheme="minorEastAsia" w:eastAsiaTheme="minorEastAsia"/>
                <w:bCs/>
                <w:sz w:val="24"/>
                <w:highlight w:val="none"/>
              </w:rPr>
            </w:pPr>
          </w:p>
        </w:tc>
      </w:tr>
      <w:tr w14:paraId="7D396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1E5BBC2">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3F7043AE">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74F10B8C">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5963E1B">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58B35541">
            <w:pPr>
              <w:spacing w:line="360" w:lineRule="auto"/>
              <w:ind w:firstLine="480"/>
              <w:rPr>
                <w:rFonts w:asciiTheme="minorEastAsia" w:hAnsiTheme="minorEastAsia" w:eastAsiaTheme="minorEastAsia"/>
                <w:bCs/>
                <w:sz w:val="24"/>
                <w:highlight w:val="none"/>
              </w:rPr>
            </w:pPr>
          </w:p>
        </w:tc>
      </w:tr>
      <w:tr w14:paraId="596BE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B63E35F">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06E8B7F5">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4FD0ADA8">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729DD2CC">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47AD9556">
            <w:pPr>
              <w:spacing w:line="360" w:lineRule="auto"/>
              <w:ind w:firstLine="480"/>
              <w:rPr>
                <w:rFonts w:asciiTheme="minorEastAsia" w:hAnsiTheme="minorEastAsia" w:eastAsiaTheme="minorEastAsia"/>
                <w:bCs/>
                <w:sz w:val="24"/>
                <w:highlight w:val="none"/>
              </w:rPr>
            </w:pPr>
          </w:p>
        </w:tc>
      </w:tr>
      <w:tr w14:paraId="56CC0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8CDAD7B">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387B21DC">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1C173CF3">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0D77A0F7">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2161B546">
            <w:pPr>
              <w:spacing w:line="360" w:lineRule="auto"/>
              <w:ind w:firstLine="480"/>
              <w:rPr>
                <w:rFonts w:asciiTheme="minorEastAsia" w:hAnsiTheme="minorEastAsia" w:eastAsiaTheme="minorEastAsia"/>
                <w:bCs/>
                <w:sz w:val="24"/>
                <w:highlight w:val="none"/>
              </w:rPr>
            </w:pPr>
          </w:p>
        </w:tc>
      </w:tr>
      <w:tr w14:paraId="6F24E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7231657">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1141D577">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3EF62BC3">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29AC726A">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3956FB4D">
            <w:pPr>
              <w:spacing w:line="360" w:lineRule="auto"/>
              <w:ind w:firstLine="480"/>
              <w:rPr>
                <w:rFonts w:asciiTheme="minorEastAsia" w:hAnsiTheme="minorEastAsia" w:eastAsiaTheme="minorEastAsia"/>
                <w:bCs/>
                <w:sz w:val="24"/>
                <w:highlight w:val="none"/>
              </w:rPr>
            </w:pPr>
          </w:p>
        </w:tc>
      </w:tr>
      <w:tr w14:paraId="4E582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716C11A">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6BB67042">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1CB77986">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110744B3">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67A94014">
            <w:pPr>
              <w:spacing w:line="360" w:lineRule="auto"/>
              <w:ind w:firstLine="480"/>
              <w:rPr>
                <w:rFonts w:asciiTheme="minorEastAsia" w:hAnsiTheme="minorEastAsia" w:eastAsiaTheme="minorEastAsia"/>
                <w:bCs/>
                <w:sz w:val="24"/>
                <w:highlight w:val="none"/>
              </w:rPr>
            </w:pPr>
          </w:p>
        </w:tc>
      </w:tr>
      <w:tr w14:paraId="03A36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7C195A1">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2CF7B88F">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7498760E">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39FAAB57">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3903A7D5">
            <w:pPr>
              <w:spacing w:line="360" w:lineRule="auto"/>
              <w:ind w:firstLine="480"/>
              <w:rPr>
                <w:rFonts w:asciiTheme="minorEastAsia" w:hAnsiTheme="minorEastAsia" w:eastAsiaTheme="minorEastAsia"/>
                <w:bCs/>
                <w:sz w:val="24"/>
                <w:highlight w:val="none"/>
              </w:rPr>
            </w:pPr>
          </w:p>
        </w:tc>
      </w:tr>
      <w:tr w14:paraId="6D6E5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B8520C6">
            <w:pPr>
              <w:spacing w:line="360" w:lineRule="auto"/>
              <w:ind w:firstLine="480"/>
              <w:rPr>
                <w:rFonts w:asciiTheme="minorEastAsia" w:hAnsiTheme="minorEastAsia" w:eastAsiaTheme="minorEastAsia"/>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47BA4803">
            <w:pPr>
              <w:spacing w:line="360" w:lineRule="auto"/>
              <w:ind w:firstLine="480"/>
              <w:rPr>
                <w:rFonts w:asciiTheme="minorEastAsia" w:hAnsiTheme="minorEastAsia" w:eastAsiaTheme="minorEastAsia"/>
                <w:bCs/>
                <w:sz w:val="24"/>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1F4A9653">
            <w:pPr>
              <w:spacing w:line="360" w:lineRule="auto"/>
              <w:ind w:firstLine="480"/>
              <w:rPr>
                <w:rFonts w:asciiTheme="minorEastAsia" w:hAnsiTheme="minorEastAsia" w:eastAsiaTheme="minorEastAsia"/>
                <w:bCs/>
                <w:sz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2D487F56">
            <w:pPr>
              <w:spacing w:line="360" w:lineRule="auto"/>
              <w:ind w:firstLine="480"/>
              <w:rPr>
                <w:rFonts w:asciiTheme="minorEastAsia" w:hAnsiTheme="minorEastAsia" w:eastAsiaTheme="minorEastAsia"/>
                <w:bCs/>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5C798D7A">
            <w:pPr>
              <w:spacing w:line="360" w:lineRule="auto"/>
              <w:ind w:firstLine="480"/>
              <w:rPr>
                <w:rFonts w:asciiTheme="minorEastAsia" w:hAnsiTheme="minorEastAsia" w:eastAsiaTheme="minorEastAsia"/>
                <w:bCs/>
                <w:sz w:val="24"/>
                <w:highlight w:val="none"/>
              </w:rPr>
            </w:pPr>
          </w:p>
        </w:tc>
      </w:tr>
    </w:tbl>
    <w:p w14:paraId="6666C675">
      <w:pPr>
        <w:spacing w:line="360" w:lineRule="auto"/>
        <w:ind w:firstLine="480"/>
        <w:rPr>
          <w:rFonts w:asciiTheme="minorEastAsia" w:hAnsiTheme="minorEastAsia" w:eastAsiaTheme="minorEastAsia"/>
          <w:bCs/>
          <w:sz w:val="24"/>
          <w:highlight w:val="none"/>
        </w:rPr>
      </w:pPr>
    </w:p>
    <w:p w14:paraId="6D1F6205">
      <w:pPr>
        <w:spacing w:line="360" w:lineRule="auto"/>
        <w:ind w:firstLine="48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法定代表人或其授权委托人：（签字或盖章）</w:t>
      </w:r>
    </w:p>
    <w:p w14:paraId="62A658CE">
      <w:pPr>
        <w:spacing w:line="360" w:lineRule="auto"/>
        <w:ind w:firstLine="480"/>
        <w:rPr>
          <w:rFonts w:asciiTheme="minorEastAsia" w:hAnsiTheme="minorEastAsia" w:eastAsiaTheme="minorEastAsia"/>
          <w:bCs/>
          <w:sz w:val="24"/>
          <w:highlight w:val="none"/>
        </w:rPr>
      </w:pPr>
    </w:p>
    <w:p w14:paraId="051E4E3B">
      <w:pPr>
        <w:spacing w:line="360" w:lineRule="auto"/>
        <w:ind w:firstLine="720" w:firstLineChars="3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 xml:space="preserve">       　　　　　　　　　　　　　　　　日期：     年  　月   日</w:t>
      </w:r>
    </w:p>
    <w:p w14:paraId="287D2651">
      <w:pPr>
        <w:spacing w:line="360" w:lineRule="auto"/>
        <w:ind w:firstLine="48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注：1、此表仅提供了表格形式，投标人应根据需要准备足够数量的表格来填写；</w:t>
      </w:r>
    </w:p>
    <w:p w14:paraId="632477C6">
      <w:pPr>
        <w:spacing w:line="360" w:lineRule="auto"/>
        <w:ind w:firstLine="960" w:firstLineChars="4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2、请附证书复印件（加盖公章）。</w:t>
      </w:r>
    </w:p>
    <w:p w14:paraId="2EB9FDF9">
      <w:pPr>
        <w:spacing w:line="360" w:lineRule="auto"/>
        <w:ind w:firstLine="960" w:firstLineChars="4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3、社保复印件（加盖公章）</w:t>
      </w:r>
    </w:p>
    <w:p w14:paraId="570A4470">
      <w:pPr>
        <w:spacing w:line="360" w:lineRule="auto"/>
        <w:outlineLvl w:val="3"/>
        <w:rPr>
          <w:rFonts w:asciiTheme="minorEastAsia" w:hAnsiTheme="minorEastAsia" w:eastAsiaTheme="minorEastAsia"/>
          <w:b/>
          <w:sz w:val="24"/>
          <w:highlight w:val="none"/>
        </w:rPr>
        <w:sectPr>
          <w:pgSz w:w="11906" w:h="16838"/>
          <w:pgMar w:top="1440" w:right="1440" w:bottom="1440" w:left="1440" w:header="851" w:footer="992" w:gutter="0"/>
          <w:cols w:space="720" w:num="1"/>
          <w:titlePg/>
          <w:docGrid w:linePitch="312" w:charSpace="0"/>
        </w:sectPr>
      </w:pPr>
    </w:p>
    <w:p w14:paraId="015E4A2B">
      <w:pPr>
        <w:spacing w:line="360" w:lineRule="auto"/>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（3）企业业绩</w:t>
      </w:r>
    </w:p>
    <w:tbl>
      <w:tblPr>
        <w:tblStyle w:val="33"/>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35"/>
        <w:gridCol w:w="1898"/>
        <w:gridCol w:w="1530"/>
        <w:gridCol w:w="1260"/>
        <w:gridCol w:w="2802"/>
      </w:tblGrid>
      <w:tr w14:paraId="27AC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0" w:type="dxa"/>
            <w:noWrap/>
            <w:vAlign w:val="center"/>
          </w:tcPr>
          <w:p w14:paraId="05D87D04">
            <w:pPr>
              <w:snapToGrid w:val="0"/>
              <w:spacing w:line="360" w:lineRule="auto"/>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序号</w:t>
            </w:r>
          </w:p>
        </w:tc>
        <w:tc>
          <w:tcPr>
            <w:tcW w:w="1435" w:type="dxa"/>
            <w:noWrap/>
            <w:vAlign w:val="center"/>
          </w:tcPr>
          <w:p w14:paraId="5010F9E5">
            <w:pPr>
              <w:snapToGrid w:val="0"/>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采购方</w:t>
            </w:r>
          </w:p>
        </w:tc>
        <w:tc>
          <w:tcPr>
            <w:tcW w:w="1898" w:type="dxa"/>
            <w:noWrap/>
            <w:vAlign w:val="center"/>
          </w:tcPr>
          <w:p w14:paraId="2FFF3EB0">
            <w:pPr>
              <w:snapToGrid w:val="0"/>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合同金额</w:t>
            </w:r>
          </w:p>
        </w:tc>
        <w:tc>
          <w:tcPr>
            <w:tcW w:w="1530" w:type="dxa"/>
            <w:noWrap/>
            <w:vAlign w:val="center"/>
          </w:tcPr>
          <w:p w14:paraId="2153BBC4">
            <w:pPr>
              <w:snapToGrid w:val="0"/>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签订时间</w:t>
            </w:r>
          </w:p>
        </w:tc>
        <w:tc>
          <w:tcPr>
            <w:tcW w:w="1260" w:type="dxa"/>
            <w:noWrap/>
            <w:vAlign w:val="center"/>
          </w:tcPr>
          <w:p w14:paraId="1651B9A2">
            <w:pPr>
              <w:snapToGrid w:val="0"/>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现联系人</w:t>
            </w:r>
          </w:p>
        </w:tc>
        <w:tc>
          <w:tcPr>
            <w:tcW w:w="2802" w:type="dxa"/>
            <w:noWrap/>
            <w:vAlign w:val="center"/>
          </w:tcPr>
          <w:p w14:paraId="68495382">
            <w:pPr>
              <w:snapToGrid w:val="0"/>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备注、合同内容</w:t>
            </w:r>
          </w:p>
        </w:tc>
      </w:tr>
      <w:tr w14:paraId="7999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607DCE8E">
            <w:pPr>
              <w:snapToGrid w:val="0"/>
              <w:spacing w:line="360" w:lineRule="auto"/>
              <w:jc w:val="center"/>
              <w:rPr>
                <w:rFonts w:asciiTheme="minorEastAsia" w:hAnsiTheme="minorEastAsia" w:eastAsiaTheme="minorEastAsia"/>
                <w:sz w:val="24"/>
                <w:highlight w:val="none"/>
              </w:rPr>
            </w:pPr>
          </w:p>
        </w:tc>
        <w:tc>
          <w:tcPr>
            <w:tcW w:w="1435" w:type="dxa"/>
            <w:noWrap/>
          </w:tcPr>
          <w:p w14:paraId="09A3D3A9">
            <w:pPr>
              <w:snapToGrid w:val="0"/>
              <w:spacing w:line="360" w:lineRule="auto"/>
              <w:jc w:val="center"/>
              <w:rPr>
                <w:rFonts w:asciiTheme="minorEastAsia" w:hAnsiTheme="minorEastAsia" w:eastAsiaTheme="minorEastAsia"/>
                <w:sz w:val="24"/>
                <w:highlight w:val="none"/>
              </w:rPr>
            </w:pPr>
          </w:p>
        </w:tc>
        <w:tc>
          <w:tcPr>
            <w:tcW w:w="1898" w:type="dxa"/>
            <w:noWrap/>
          </w:tcPr>
          <w:p w14:paraId="7924E72B">
            <w:pPr>
              <w:snapToGrid w:val="0"/>
              <w:spacing w:line="360" w:lineRule="auto"/>
              <w:rPr>
                <w:rFonts w:asciiTheme="minorEastAsia" w:hAnsiTheme="minorEastAsia" w:eastAsiaTheme="minorEastAsia"/>
                <w:sz w:val="24"/>
                <w:highlight w:val="none"/>
              </w:rPr>
            </w:pPr>
          </w:p>
        </w:tc>
        <w:tc>
          <w:tcPr>
            <w:tcW w:w="1530" w:type="dxa"/>
            <w:noWrap/>
          </w:tcPr>
          <w:p w14:paraId="39906FD5">
            <w:pPr>
              <w:snapToGrid w:val="0"/>
              <w:spacing w:line="360" w:lineRule="auto"/>
              <w:jc w:val="center"/>
              <w:rPr>
                <w:rFonts w:asciiTheme="minorEastAsia" w:hAnsiTheme="minorEastAsia" w:eastAsiaTheme="minorEastAsia"/>
                <w:sz w:val="24"/>
                <w:highlight w:val="none"/>
              </w:rPr>
            </w:pPr>
          </w:p>
        </w:tc>
        <w:tc>
          <w:tcPr>
            <w:tcW w:w="1260" w:type="dxa"/>
            <w:noWrap/>
          </w:tcPr>
          <w:p w14:paraId="48B7F893">
            <w:pPr>
              <w:snapToGrid w:val="0"/>
              <w:spacing w:line="360" w:lineRule="auto"/>
              <w:jc w:val="center"/>
              <w:rPr>
                <w:rFonts w:asciiTheme="minorEastAsia" w:hAnsiTheme="minorEastAsia" w:eastAsiaTheme="minorEastAsia"/>
                <w:sz w:val="24"/>
                <w:highlight w:val="none"/>
              </w:rPr>
            </w:pPr>
          </w:p>
        </w:tc>
        <w:tc>
          <w:tcPr>
            <w:tcW w:w="2802" w:type="dxa"/>
            <w:noWrap/>
          </w:tcPr>
          <w:p w14:paraId="7CDA92F6">
            <w:pPr>
              <w:snapToGrid w:val="0"/>
              <w:spacing w:line="360" w:lineRule="auto"/>
              <w:jc w:val="center"/>
              <w:rPr>
                <w:rFonts w:asciiTheme="minorEastAsia" w:hAnsiTheme="minorEastAsia" w:eastAsiaTheme="minorEastAsia"/>
                <w:sz w:val="24"/>
                <w:highlight w:val="none"/>
              </w:rPr>
            </w:pPr>
          </w:p>
        </w:tc>
      </w:tr>
      <w:tr w14:paraId="2FB6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49EF9E6D">
            <w:pPr>
              <w:snapToGrid w:val="0"/>
              <w:spacing w:line="360" w:lineRule="auto"/>
              <w:jc w:val="center"/>
              <w:rPr>
                <w:rFonts w:asciiTheme="minorEastAsia" w:hAnsiTheme="minorEastAsia" w:eastAsiaTheme="minorEastAsia"/>
                <w:sz w:val="24"/>
                <w:highlight w:val="none"/>
              </w:rPr>
            </w:pPr>
          </w:p>
        </w:tc>
        <w:tc>
          <w:tcPr>
            <w:tcW w:w="1435" w:type="dxa"/>
            <w:noWrap/>
          </w:tcPr>
          <w:p w14:paraId="54089461">
            <w:pPr>
              <w:snapToGrid w:val="0"/>
              <w:spacing w:line="360" w:lineRule="auto"/>
              <w:jc w:val="center"/>
              <w:rPr>
                <w:rFonts w:asciiTheme="minorEastAsia" w:hAnsiTheme="minorEastAsia" w:eastAsiaTheme="minorEastAsia"/>
                <w:sz w:val="24"/>
                <w:highlight w:val="none"/>
              </w:rPr>
            </w:pPr>
          </w:p>
        </w:tc>
        <w:tc>
          <w:tcPr>
            <w:tcW w:w="1898" w:type="dxa"/>
            <w:noWrap/>
          </w:tcPr>
          <w:p w14:paraId="18B6854D">
            <w:pPr>
              <w:snapToGrid w:val="0"/>
              <w:spacing w:line="360" w:lineRule="auto"/>
              <w:rPr>
                <w:rFonts w:asciiTheme="minorEastAsia" w:hAnsiTheme="minorEastAsia" w:eastAsiaTheme="minorEastAsia"/>
                <w:sz w:val="24"/>
                <w:highlight w:val="none"/>
              </w:rPr>
            </w:pPr>
          </w:p>
        </w:tc>
        <w:tc>
          <w:tcPr>
            <w:tcW w:w="1530" w:type="dxa"/>
            <w:noWrap/>
          </w:tcPr>
          <w:p w14:paraId="12CD998C">
            <w:pPr>
              <w:snapToGrid w:val="0"/>
              <w:spacing w:line="360" w:lineRule="auto"/>
              <w:jc w:val="center"/>
              <w:rPr>
                <w:rFonts w:asciiTheme="minorEastAsia" w:hAnsiTheme="minorEastAsia" w:eastAsiaTheme="minorEastAsia"/>
                <w:sz w:val="24"/>
                <w:highlight w:val="none"/>
              </w:rPr>
            </w:pPr>
          </w:p>
        </w:tc>
        <w:tc>
          <w:tcPr>
            <w:tcW w:w="1260" w:type="dxa"/>
            <w:noWrap/>
          </w:tcPr>
          <w:p w14:paraId="7E562F6D">
            <w:pPr>
              <w:snapToGrid w:val="0"/>
              <w:spacing w:line="360" w:lineRule="auto"/>
              <w:jc w:val="center"/>
              <w:rPr>
                <w:rFonts w:asciiTheme="minorEastAsia" w:hAnsiTheme="minorEastAsia" w:eastAsiaTheme="minorEastAsia"/>
                <w:sz w:val="24"/>
                <w:highlight w:val="none"/>
              </w:rPr>
            </w:pPr>
          </w:p>
        </w:tc>
        <w:tc>
          <w:tcPr>
            <w:tcW w:w="2802" w:type="dxa"/>
            <w:noWrap/>
          </w:tcPr>
          <w:p w14:paraId="5A25666E">
            <w:pPr>
              <w:snapToGrid w:val="0"/>
              <w:spacing w:line="360" w:lineRule="auto"/>
              <w:jc w:val="center"/>
              <w:rPr>
                <w:rFonts w:asciiTheme="minorEastAsia" w:hAnsiTheme="minorEastAsia" w:eastAsiaTheme="minorEastAsia"/>
                <w:sz w:val="24"/>
                <w:highlight w:val="none"/>
              </w:rPr>
            </w:pPr>
          </w:p>
        </w:tc>
      </w:tr>
      <w:tr w14:paraId="1169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6991D709">
            <w:pPr>
              <w:snapToGrid w:val="0"/>
              <w:spacing w:line="360" w:lineRule="auto"/>
              <w:jc w:val="center"/>
              <w:rPr>
                <w:rFonts w:asciiTheme="minorEastAsia" w:hAnsiTheme="minorEastAsia" w:eastAsiaTheme="minorEastAsia"/>
                <w:sz w:val="24"/>
                <w:highlight w:val="none"/>
              </w:rPr>
            </w:pPr>
          </w:p>
        </w:tc>
        <w:tc>
          <w:tcPr>
            <w:tcW w:w="1435" w:type="dxa"/>
            <w:noWrap/>
          </w:tcPr>
          <w:p w14:paraId="517D0F36">
            <w:pPr>
              <w:snapToGrid w:val="0"/>
              <w:spacing w:line="360" w:lineRule="auto"/>
              <w:jc w:val="center"/>
              <w:rPr>
                <w:rFonts w:asciiTheme="minorEastAsia" w:hAnsiTheme="minorEastAsia" w:eastAsiaTheme="minorEastAsia"/>
                <w:sz w:val="24"/>
                <w:highlight w:val="none"/>
              </w:rPr>
            </w:pPr>
          </w:p>
        </w:tc>
        <w:tc>
          <w:tcPr>
            <w:tcW w:w="1898" w:type="dxa"/>
            <w:noWrap/>
          </w:tcPr>
          <w:p w14:paraId="4496E1AB">
            <w:pPr>
              <w:snapToGrid w:val="0"/>
              <w:spacing w:line="360" w:lineRule="auto"/>
              <w:rPr>
                <w:rFonts w:asciiTheme="minorEastAsia" w:hAnsiTheme="minorEastAsia" w:eastAsiaTheme="minorEastAsia"/>
                <w:sz w:val="24"/>
                <w:highlight w:val="none"/>
              </w:rPr>
            </w:pPr>
          </w:p>
        </w:tc>
        <w:tc>
          <w:tcPr>
            <w:tcW w:w="1530" w:type="dxa"/>
            <w:noWrap/>
          </w:tcPr>
          <w:p w14:paraId="1C87BF75">
            <w:pPr>
              <w:snapToGrid w:val="0"/>
              <w:spacing w:line="360" w:lineRule="auto"/>
              <w:jc w:val="center"/>
              <w:rPr>
                <w:rFonts w:asciiTheme="minorEastAsia" w:hAnsiTheme="minorEastAsia" w:eastAsiaTheme="minorEastAsia"/>
                <w:sz w:val="24"/>
                <w:highlight w:val="none"/>
              </w:rPr>
            </w:pPr>
          </w:p>
        </w:tc>
        <w:tc>
          <w:tcPr>
            <w:tcW w:w="1260" w:type="dxa"/>
            <w:noWrap/>
          </w:tcPr>
          <w:p w14:paraId="6AC71C9E">
            <w:pPr>
              <w:snapToGrid w:val="0"/>
              <w:spacing w:line="360" w:lineRule="auto"/>
              <w:jc w:val="center"/>
              <w:rPr>
                <w:rFonts w:asciiTheme="minorEastAsia" w:hAnsiTheme="minorEastAsia" w:eastAsiaTheme="minorEastAsia"/>
                <w:sz w:val="24"/>
                <w:highlight w:val="none"/>
              </w:rPr>
            </w:pPr>
          </w:p>
        </w:tc>
        <w:tc>
          <w:tcPr>
            <w:tcW w:w="2802" w:type="dxa"/>
            <w:noWrap/>
          </w:tcPr>
          <w:p w14:paraId="103E68CB">
            <w:pPr>
              <w:snapToGrid w:val="0"/>
              <w:spacing w:line="360" w:lineRule="auto"/>
              <w:jc w:val="center"/>
              <w:rPr>
                <w:rFonts w:asciiTheme="minorEastAsia" w:hAnsiTheme="minorEastAsia" w:eastAsiaTheme="minorEastAsia"/>
                <w:sz w:val="24"/>
                <w:highlight w:val="none"/>
              </w:rPr>
            </w:pPr>
          </w:p>
        </w:tc>
      </w:tr>
      <w:tr w14:paraId="1971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0" w:type="dxa"/>
            <w:noWrap/>
          </w:tcPr>
          <w:p w14:paraId="599A4D85">
            <w:pPr>
              <w:snapToGrid w:val="0"/>
              <w:spacing w:line="360" w:lineRule="auto"/>
              <w:jc w:val="center"/>
              <w:rPr>
                <w:rFonts w:asciiTheme="minorEastAsia" w:hAnsiTheme="minorEastAsia" w:eastAsiaTheme="minorEastAsia"/>
                <w:sz w:val="24"/>
                <w:highlight w:val="none"/>
              </w:rPr>
            </w:pPr>
          </w:p>
        </w:tc>
        <w:tc>
          <w:tcPr>
            <w:tcW w:w="1435" w:type="dxa"/>
            <w:noWrap/>
          </w:tcPr>
          <w:p w14:paraId="21FBBD7B">
            <w:pPr>
              <w:snapToGrid w:val="0"/>
              <w:spacing w:line="360" w:lineRule="auto"/>
              <w:jc w:val="center"/>
              <w:rPr>
                <w:rFonts w:asciiTheme="minorEastAsia" w:hAnsiTheme="minorEastAsia" w:eastAsiaTheme="minorEastAsia"/>
                <w:sz w:val="24"/>
                <w:highlight w:val="none"/>
              </w:rPr>
            </w:pPr>
          </w:p>
        </w:tc>
        <w:tc>
          <w:tcPr>
            <w:tcW w:w="1898" w:type="dxa"/>
            <w:noWrap/>
          </w:tcPr>
          <w:p w14:paraId="4AD3E343">
            <w:pPr>
              <w:snapToGrid w:val="0"/>
              <w:spacing w:line="360" w:lineRule="auto"/>
              <w:rPr>
                <w:rFonts w:asciiTheme="minorEastAsia" w:hAnsiTheme="minorEastAsia" w:eastAsiaTheme="minorEastAsia"/>
                <w:sz w:val="24"/>
                <w:highlight w:val="none"/>
              </w:rPr>
            </w:pPr>
          </w:p>
        </w:tc>
        <w:tc>
          <w:tcPr>
            <w:tcW w:w="1530" w:type="dxa"/>
            <w:noWrap/>
          </w:tcPr>
          <w:p w14:paraId="26FEAA59">
            <w:pPr>
              <w:snapToGrid w:val="0"/>
              <w:spacing w:line="360" w:lineRule="auto"/>
              <w:jc w:val="center"/>
              <w:rPr>
                <w:rFonts w:asciiTheme="minorEastAsia" w:hAnsiTheme="minorEastAsia" w:eastAsiaTheme="minorEastAsia"/>
                <w:sz w:val="24"/>
                <w:highlight w:val="none"/>
              </w:rPr>
            </w:pPr>
          </w:p>
        </w:tc>
        <w:tc>
          <w:tcPr>
            <w:tcW w:w="1260" w:type="dxa"/>
            <w:noWrap/>
          </w:tcPr>
          <w:p w14:paraId="7E1BAEF1">
            <w:pPr>
              <w:snapToGrid w:val="0"/>
              <w:spacing w:line="360" w:lineRule="auto"/>
              <w:jc w:val="center"/>
              <w:rPr>
                <w:rFonts w:asciiTheme="minorEastAsia" w:hAnsiTheme="minorEastAsia" w:eastAsiaTheme="minorEastAsia"/>
                <w:sz w:val="24"/>
                <w:highlight w:val="none"/>
              </w:rPr>
            </w:pPr>
          </w:p>
        </w:tc>
        <w:tc>
          <w:tcPr>
            <w:tcW w:w="2802" w:type="dxa"/>
            <w:noWrap/>
          </w:tcPr>
          <w:p w14:paraId="7B38ADCA">
            <w:pPr>
              <w:snapToGrid w:val="0"/>
              <w:spacing w:line="360" w:lineRule="auto"/>
              <w:jc w:val="center"/>
              <w:rPr>
                <w:rFonts w:asciiTheme="minorEastAsia" w:hAnsiTheme="minorEastAsia" w:eastAsiaTheme="minorEastAsia"/>
                <w:sz w:val="24"/>
                <w:highlight w:val="none"/>
              </w:rPr>
            </w:pPr>
          </w:p>
        </w:tc>
      </w:tr>
      <w:tr w14:paraId="74D9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28498CA6">
            <w:pPr>
              <w:snapToGrid w:val="0"/>
              <w:spacing w:line="360" w:lineRule="auto"/>
              <w:jc w:val="center"/>
              <w:rPr>
                <w:rFonts w:asciiTheme="minorEastAsia" w:hAnsiTheme="minorEastAsia" w:eastAsiaTheme="minorEastAsia"/>
                <w:sz w:val="24"/>
                <w:highlight w:val="none"/>
              </w:rPr>
            </w:pPr>
          </w:p>
        </w:tc>
        <w:tc>
          <w:tcPr>
            <w:tcW w:w="1435" w:type="dxa"/>
            <w:noWrap/>
          </w:tcPr>
          <w:p w14:paraId="38069CBA">
            <w:pPr>
              <w:snapToGrid w:val="0"/>
              <w:spacing w:line="360" w:lineRule="auto"/>
              <w:jc w:val="center"/>
              <w:rPr>
                <w:rFonts w:asciiTheme="minorEastAsia" w:hAnsiTheme="minorEastAsia" w:eastAsiaTheme="minorEastAsia"/>
                <w:sz w:val="24"/>
                <w:highlight w:val="none"/>
              </w:rPr>
            </w:pPr>
          </w:p>
        </w:tc>
        <w:tc>
          <w:tcPr>
            <w:tcW w:w="1898" w:type="dxa"/>
            <w:noWrap/>
          </w:tcPr>
          <w:p w14:paraId="20D4D414">
            <w:pPr>
              <w:snapToGrid w:val="0"/>
              <w:spacing w:line="360" w:lineRule="auto"/>
              <w:rPr>
                <w:rFonts w:asciiTheme="minorEastAsia" w:hAnsiTheme="minorEastAsia" w:eastAsiaTheme="minorEastAsia"/>
                <w:sz w:val="24"/>
                <w:highlight w:val="none"/>
              </w:rPr>
            </w:pPr>
          </w:p>
        </w:tc>
        <w:tc>
          <w:tcPr>
            <w:tcW w:w="1530" w:type="dxa"/>
            <w:noWrap/>
          </w:tcPr>
          <w:p w14:paraId="28C26217">
            <w:pPr>
              <w:snapToGrid w:val="0"/>
              <w:spacing w:line="360" w:lineRule="auto"/>
              <w:jc w:val="center"/>
              <w:rPr>
                <w:rFonts w:asciiTheme="minorEastAsia" w:hAnsiTheme="minorEastAsia" w:eastAsiaTheme="minorEastAsia"/>
                <w:sz w:val="24"/>
                <w:highlight w:val="none"/>
              </w:rPr>
            </w:pPr>
          </w:p>
        </w:tc>
        <w:tc>
          <w:tcPr>
            <w:tcW w:w="1260" w:type="dxa"/>
            <w:noWrap/>
          </w:tcPr>
          <w:p w14:paraId="4D2A9624">
            <w:pPr>
              <w:snapToGrid w:val="0"/>
              <w:spacing w:line="360" w:lineRule="auto"/>
              <w:jc w:val="center"/>
              <w:rPr>
                <w:rFonts w:asciiTheme="minorEastAsia" w:hAnsiTheme="minorEastAsia" w:eastAsiaTheme="minorEastAsia"/>
                <w:sz w:val="24"/>
                <w:highlight w:val="none"/>
              </w:rPr>
            </w:pPr>
          </w:p>
        </w:tc>
        <w:tc>
          <w:tcPr>
            <w:tcW w:w="2802" w:type="dxa"/>
            <w:noWrap/>
          </w:tcPr>
          <w:p w14:paraId="72BF87B8">
            <w:pPr>
              <w:snapToGrid w:val="0"/>
              <w:spacing w:line="360" w:lineRule="auto"/>
              <w:jc w:val="center"/>
              <w:rPr>
                <w:rFonts w:asciiTheme="minorEastAsia" w:hAnsiTheme="minorEastAsia" w:eastAsiaTheme="minorEastAsia"/>
                <w:sz w:val="24"/>
                <w:highlight w:val="none"/>
              </w:rPr>
            </w:pPr>
          </w:p>
        </w:tc>
      </w:tr>
      <w:tr w14:paraId="6F07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56420CCD">
            <w:pPr>
              <w:snapToGrid w:val="0"/>
              <w:spacing w:line="360" w:lineRule="auto"/>
              <w:jc w:val="center"/>
              <w:rPr>
                <w:rFonts w:asciiTheme="minorEastAsia" w:hAnsiTheme="minorEastAsia" w:eastAsiaTheme="minorEastAsia"/>
                <w:sz w:val="24"/>
                <w:highlight w:val="none"/>
              </w:rPr>
            </w:pPr>
          </w:p>
        </w:tc>
        <w:tc>
          <w:tcPr>
            <w:tcW w:w="1435" w:type="dxa"/>
            <w:noWrap/>
          </w:tcPr>
          <w:p w14:paraId="15DD9213">
            <w:pPr>
              <w:snapToGrid w:val="0"/>
              <w:spacing w:line="360" w:lineRule="auto"/>
              <w:jc w:val="center"/>
              <w:rPr>
                <w:rFonts w:asciiTheme="minorEastAsia" w:hAnsiTheme="minorEastAsia" w:eastAsiaTheme="minorEastAsia"/>
                <w:sz w:val="24"/>
                <w:highlight w:val="none"/>
              </w:rPr>
            </w:pPr>
          </w:p>
        </w:tc>
        <w:tc>
          <w:tcPr>
            <w:tcW w:w="1898" w:type="dxa"/>
            <w:noWrap/>
          </w:tcPr>
          <w:p w14:paraId="159079E7">
            <w:pPr>
              <w:snapToGrid w:val="0"/>
              <w:spacing w:line="360" w:lineRule="auto"/>
              <w:rPr>
                <w:rFonts w:asciiTheme="minorEastAsia" w:hAnsiTheme="minorEastAsia" w:eastAsiaTheme="minorEastAsia"/>
                <w:sz w:val="24"/>
                <w:highlight w:val="none"/>
              </w:rPr>
            </w:pPr>
          </w:p>
        </w:tc>
        <w:tc>
          <w:tcPr>
            <w:tcW w:w="1530" w:type="dxa"/>
            <w:noWrap/>
          </w:tcPr>
          <w:p w14:paraId="279D3318">
            <w:pPr>
              <w:snapToGrid w:val="0"/>
              <w:spacing w:line="360" w:lineRule="auto"/>
              <w:jc w:val="center"/>
              <w:rPr>
                <w:rFonts w:asciiTheme="minorEastAsia" w:hAnsiTheme="minorEastAsia" w:eastAsiaTheme="minorEastAsia"/>
                <w:sz w:val="24"/>
                <w:highlight w:val="none"/>
              </w:rPr>
            </w:pPr>
          </w:p>
        </w:tc>
        <w:tc>
          <w:tcPr>
            <w:tcW w:w="1260" w:type="dxa"/>
            <w:noWrap/>
          </w:tcPr>
          <w:p w14:paraId="708A8F07">
            <w:pPr>
              <w:snapToGrid w:val="0"/>
              <w:spacing w:line="360" w:lineRule="auto"/>
              <w:jc w:val="center"/>
              <w:rPr>
                <w:rFonts w:asciiTheme="minorEastAsia" w:hAnsiTheme="minorEastAsia" w:eastAsiaTheme="minorEastAsia"/>
                <w:sz w:val="24"/>
                <w:highlight w:val="none"/>
              </w:rPr>
            </w:pPr>
          </w:p>
        </w:tc>
        <w:tc>
          <w:tcPr>
            <w:tcW w:w="2802" w:type="dxa"/>
            <w:noWrap/>
          </w:tcPr>
          <w:p w14:paraId="373A2790">
            <w:pPr>
              <w:snapToGrid w:val="0"/>
              <w:spacing w:line="360" w:lineRule="auto"/>
              <w:jc w:val="center"/>
              <w:rPr>
                <w:rFonts w:asciiTheme="minorEastAsia" w:hAnsiTheme="minorEastAsia" w:eastAsiaTheme="minorEastAsia"/>
                <w:sz w:val="24"/>
                <w:highlight w:val="none"/>
              </w:rPr>
            </w:pPr>
          </w:p>
        </w:tc>
      </w:tr>
      <w:tr w14:paraId="7B0B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00C95C4B">
            <w:pPr>
              <w:snapToGrid w:val="0"/>
              <w:spacing w:line="360" w:lineRule="auto"/>
              <w:jc w:val="center"/>
              <w:rPr>
                <w:rFonts w:asciiTheme="minorEastAsia" w:hAnsiTheme="minorEastAsia" w:eastAsiaTheme="minorEastAsia"/>
                <w:sz w:val="24"/>
                <w:highlight w:val="none"/>
              </w:rPr>
            </w:pPr>
          </w:p>
        </w:tc>
        <w:tc>
          <w:tcPr>
            <w:tcW w:w="1435" w:type="dxa"/>
            <w:noWrap/>
          </w:tcPr>
          <w:p w14:paraId="0B0F5B70">
            <w:pPr>
              <w:snapToGrid w:val="0"/>
              <w:spacing w:line="360" w:lineRule="auto"/>
              <w:jc w:val="center"/>
              <w:rPr>
                <w:rFonts w:asciiTheme="minorEastAsia" w:hAnsiTheme="minorEastAsia" w:eastAsiaTheme="minorEastAsia"/>
                <w:sz w:val="24"/>
                <w:highlight w:val="none"/>
              </w:rPr>
            </w:pPr>
          </w:p>
        </w:tc>
        <w:tc>
          <w:tcPr>
            <w:tcW w:w="1898" w:type="dxa"/>
            <w:noWrap/>
          </w:tcPr>
          <w:p w14:paraId="325D630B">
            <w:pPr>
              <w:snapToGrid w:val="0"/>
              <w:spacing w:line="360" w:lineRule="auto"/>
              <w:rPr>
                <w:rFonts w:asciiTheme="minorEastAsia" w:hAnsiTheme="minorEastAsia" w:eastAsiaTheme="minorEastAsia"/>
                <w:sz w:val="24"/>
                <w:highlight w:val="none"/>
              </w:rPr>
            </w:pPr>
          </w:p>
        </w:tc>
        <w:tc>
          <w:tcPr>
            <w:tcW w:w="1530" w:type="dxa"/>
            <w:noWrap/>
          </w:tcPr>
          <w:p w14:paraId="76801CCF">
            <w:pPr>
              <w:snapToGrid w:val="0"/>
              <w:spacing w:line="360" w:lineRule="auto"/>
              <w:jc w:val="center"/>
              <w:rPr>
                <w:rFonts w:asciiTheme="minorEastAsia" w:hAnsiTheme="minorEastAsia" w:eastAsiaTheme="minorEastAsia"/>
                <w:sz w:val="24"/>
                <w:highlight w:val="none"/>
              </w:rPr>
            </w:pPr>
          </w:p>
        </w:tc>
        <w:tc>
          <w:tcPr>
            <w:tcW w:w="1260" w:type="dxa"/>
            <w:noWrap/>
          </w:tcPr>
          <w:p w14:paraId="5E236C75">
            <w:pPr>
              <w:snapToGrid w:val="0"/>
              <w:spacing w:line="360" w:lineRule="auto"/>
              <w:jc w:val="center"/>
              <w:rPr>
                <w:rFonts w:asciiTheme="minorEastAsia" w:hAnsiTheme="minorEastAsia" w:eastAsiaTheme="minorEastAsia"/>
                <w:sz w:val="24"/>
                <w:highlight w:val="none"/>
              </w:rPr>
            </w:pPr>
          </w:p>
        </w:tc>
        <w:tc>
          <w:tcPr>
            <w:tcW w:w="2802" w:type="dxa"/>
            <w:noWrap/>
          </w:tcPr>
          <w:p w14:paraId="30223254">
            <w:pPr>
              <w:snapToGrid w:val="0"/>
              <w:spacing w:line="360" w:lineRule="auto"/>
              <w:jc w:val="center"/>
              <w:rPr>
                <w:rFonts w:asciiTheme="minorEastAsia" w:hAnsiTheme="minorEastAsia" w:eastAsiaTheme="minorEastAsia"/>
                <w:sz w:val="24"/>
                <w:highlight w:val="none"/>
              </w:rPr>
            </w:pPr>
          </w:p>
        </w:tc>
      </w:tr>
    </w:tbl>
    <w:p w14:paraId="70D79257">
      <w:pPr>
        <w:snapToGrid w:val="0"/>
        <w:spacing w:line="360" w:lineRule="auto"/>
        <w:ind w:firstLine="540"/>
        <w:rPr>
          <w:rFonts w:ascii="宋体" w:hAnsi="宋体"/>
          <w:sz w:val="24"/>
          <w:highlight w:val="none"/>
        </w:rPr>
      </w:pPr>
    </w:p>
    <w:p w14:paraId="48358D08">
      <w:pPr>
        <w:snapToGrid w:val="0"/>
        <w:spacing w:line="360" w:lineRule="auto"/>
        <w:ind w:firstLine="540"/>
        <w:rPr>
          <w:rFonts w:ascii="宋体" w:hAnsi="宋体"/>
          <w:sz w:val="24"/>
          <w:highlight w:val="none"/>
        </w:rPr>
      </w:pPr>
    </w:p>
    <w:p w14:paraId="3508F4AD">
      <w:pPr>
        <w:snapToGrid w:val="0"/>
        <w:spacing w:line="360" w:lineRule="auto"/>
        <w:ind w:firstLine="540"/>
        <w:rPr>
          <w:rFonts w:ascii="宋体" w:hAnsi="宋体"/>
          <w:sz w:val="24"/>
          <w:highlight w:val="none"/>
        </w:rPr>
      </w:pPr>
      <w:r>
        <w:rPr>
          <w:rFonts w:hint="eastAsia" w:ascii="宋体" w:hAnsi="宋体"/>
          <w:sz w:val="24"/>
          <w:highlight w:val="none"/>
        </w:rPr>
        <w:t>供应商：                     （盖章）</w:t>
      </w:r>
    </w:p>
    <w:p w14:paraId="49B39364">
      <w:pPr>
        <w:snapToGrid w:val="0"/>
        <w:spacing w:line="360" w:lineRule="auto"/>
        <w:ind w:firstLine="540"/>
        <w:rPr>
          <w:rFonts w:ascii="宋体" w:hAnsi="宋体"/>
          <w:sz w:val="24"/>
          <w:highlight w:val="none"/>
        </w:rPr>
      </w:pPr>
      <w:r>
        <w:rPr>
          <w:rFonts w:hint="eastAsia" w:ascii="宋体" w:hAnsi="宋体"/>
          <w:sz w:val="24"/>
          <w:highlight w:val="none"/>
        </w:rPr>
        <w:t>法定代表人或委托代理人：                （签字或盖章）</w:t>
      </w:r>
    </w:p>
    <w:p w14:paraId="6D4F45E5">
      <w:pPr>
        <w:snapToGrid w:val="0"/>
        <w:spacing w:line="360" w:lineRule="auto"/>
        <w:ind w:firstLine="540"/>
        <w:rPr>
          <w:rFonts w:ascii="宋体" w:hAnsi="宋体"/>
          <w:sz w:val="24"/>
          <w:highlight w:val="none"/>
        </w:rPr>
      </w:pPr>
      <w:r>
        <w:rPr>
          <w:rFonts w:hint="eastAsia" w:ascii="宋体" w:hAnsi="宋体"/>
          <w:sz w:val="24"/>
          <w:highlight w:val="none"/>
        </w:rPr>
        <w:t xml:space="preserve">日 期：                    </w:t>
      </w:r>
    </w:p>
    <w:p w14:paraId="53D8A0BB">
      <w:pPr>
        <w:spacing w:line="580" w:lineRule="exact"/>
        <w:rPr>
          <w:rFonts w:asciiTheme="minorEastAsia" w:hAnsiTheme="minorEastAsia" w:eastAsiaTheme="minorEastAsia"/>
          <w:sz w:val="24"/>
          <w:highlight w:val="none"/>
        </w:rPr>
      </w:pPr>
      <w:r>
        <w:rPr>
          <w:rFonts w:hint="eastAsia" w:ascii="宋体" w:hAnsi="宋体"/>
          <w:b/>
          <w:spacing w:val="20"/>
          <w:position w:val="2"/>
          <w:sz w:val="24"/>
          <w:highlight w:val="none"/>
        </w:rPr>
        <w:br w:type="page"/>
      </w:r>
    </w:p>
    <w:p w14:paraId="7E214AA8">
      <w:pPr>
        <w:spacing w:line="360" w:lineRule="auto"/>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（4）投标标的清单（含货物、服务等）</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lang w:val="en-US" w:eastAsia="zh-CN"/>
        </w:rPr>
        <w:t>参考本项目公告附件采购清单</w:t>
      </w:r>
      <w:r>
        <w:rPr>
          <w:rFonts w:hint="eastAsia" w:asciiTheme="minorEastAsia" w:hAnsiTheme="minorEastAsia" w:eastAsiaTheme="minorEastAsia"/>
          <w:b/>
          <w:sz w:val="24"/>
          <w:highlight w:val="none"/>
          <w:lang w:eastAsia="zh-CN"/>
        </w:rPr>
        <w:t>）</w:t>
      </w:r>
    </w:p>
    <w:p w14:paraId="5D8BB862">
      <w:pPr>
        <w:spacing w:line="360" w:lineRule="auto"/>
        <w:ind w:firstLine="960" w:firstLineChars="400"/>
        <w:rPr>
          <w:rFonts w:asciiTheme="minorEastAsia" w:hAnsiTheme="minorEastAsia" w:eastAsiaTheme="minorEastAsia"/>
          <w:bCs/>
          <w:sz w:val="24"/>
          <w:highlight w:val="none"/>
        </w:rPr>
      </w:pPr>
    </w:p>
    <w:p w14:paraId="609D18EB">
      <w:pPr>
        <w:pStyle w:val="10"/>
        <w:snapToGrid w:val="0"/>
        <w:rPr>
          <w:rFonts w:ascii="宋体" w:hAnsi="宋体" w:eastAsia="宋体"/>
          <w:sz w:val="24"/>
          <w:szCs w:val="24"/>
          <w:highlight w:val="none"/>
          <w:u w:val="single"/>
        </w:rPr>
      </w:pPr>
      <w:r>
        <w:rPr>
          <w:rFonts w:hint="eastAsia" w:ascii="宋体" w:hAnsi="宋体" w:eastAsia="宋体"/>
          <w:sz w:val="24"/>
          <w:szCs w:val="24"/>
          <w:highlight w:val="none"/>
        </w:rPr>
        <w:t xml:space="preserve">投标人全称（公章）：             </w:t>
      </w:r>
    </w:p>
    <w:p w14:paraId="7AEAB2B8">
      <w:pPr>
        <w:pStyle w:val="10"/>
        <w:snapToGrid w:val="0"/>
        <w:rPr>
          <w:rFonts w:ascii="宋体" w:hAnsi="宋体" w:eastAsia="宋体"/>
          <w:sz w:val="24"/>
          <w:szCs w:val="24"/>
          <w:highlight w:val="none"/>
        </w:rPr>
      </w:pPr>
      <w:r>
        <w:rPr>
          <w:rFonts w:hint="eastAsia" w:ascii="宋体" w:hAnsi="宋体" w:eastAsia="宋体"/>
          <w:sz w:val="24"/>
          <w:szCs w:val="24"/>
          <w:highlight w:val="none"/>
        </w:rPr>
        <w:t>货物类</w:t>
      </w:r>
    </w:p>
    <w:tbl>
      <w:tblPr>
        <w:tblStyle w:val="33"/>
        <w:tblW w:w="9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20"/>
        <w:gridCol w:w="1269"/>
        <w:gridCol w:w="1276"/>
        <w:gridCol w:w="1559"/>
        <w:gridCol w:w="1662"/>
        <w:gridCol w:w="1080"/>
      </w:tblGrid>
      <w:tr w14:paraId="2F7C0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6DDBBF4">
            <w:pPr>
              <w:snapToGrid w:val="0"/>
              <w:spacing w:before="50" w:after="50"/>
              <w:jc w:val="center"/>
              <w:rPr>
                <w:rFonts w:ascii="宋体" w:hAnsi="宋体"/>
                <w:sz w:val="24"/>
                <w:highlight w:val="none"/>
              </w:rPr>
            </w:pPr>
            <w:r>
              <w:rPr>
                <w:rFonts w:hint="eastAsia" w:ascii="宋体" w:hAnsi="宋体"/>
                <w:sz w:val="24"/>
                <w:highlight w:val="none"/>
              </w:rPr>
              <w:t>序号</w:t>
            </w:r>
          </w:p>
        </w:tc>
        <w:tc>
          <w:tcPr>
            <w:tcW w:w="1520" w:type="dxa"/>
            <w:tcBorders>
              <w:top w:val="single" w:color="auto" w:sz="4" w:space="0"/>
              <w:left w:val="single" w:color="auto" w:sz="4" w:space="0"/>
              <w:bottom w:val="single" w:color="auto" w:sz="4" w:space="0"/>
              <w:right w:val="single" w:color="auto" w:sz="4" w:space="0"/>
            </w:tcBorders>
            <w:vAlign w:val="center"/>
          </w:tcPr>
          <w:p w14:paraId="2386484B">
            <w:pPr>
              <w:snapToGrid w:val="0"/>
              <w:spacing w:before="50" w:after="50"/>
              <w:jc w:val="center"/>
              <w:rPr>
                <w:rFonts w:ascii="宋体" w:hAnsi="宋体"/>
                <w:sz w:val="24"/>
                <w:highlight w:val="none"/>
              </w:rPr>
            </w:pPr>
            <w:r>
              <w:rPr>
                <w:rFonts w:hint="eastAsia" w:ascii="宋体" w:hAnsi="宋体"/>
                <w:sz w:val="24"/>
                <w:highlight w:val="none"/>
              </w:rPr>
              <w:t>货物名称</w:t>
            </w:r>
          </w:p>
        </w:tc>
        <w:tc>
          <w:tcPr>
            <w:tcW w:w="1269" w:type="dxa"/>
            <w:tcBorders>
              <w:top w:val="single" w:color="auto" w:sz="4" w:space="0"/>
              <w:left w:val="single" w:color="auto" w:sz="4" w:space="0"/>
              <w:bottom w:val="single" w:color="auto" w:sz="4" w:space="0"/>
              <w:right w:val="single" w:color="auto" w:sz="4" w:space="0"/>
            </w:tcBorders>
            <w:vAlign w:val="center"/>
          </w:tcPr>
          <w:p w14:paraId="341F11C0">
            <w:pPr>
              <w:snapToGrid w:val="0"/>
              <w:spacing w:before="50" w:after="50"/>
              <w:jc w:val="center"/>
              <w:rPr>
                <w:rFonts w:ascii="宋体" w:hAnsi="宋体"/>
                <w:sz w:val="24"/>
                <w:highlight w:val="none"/>
              </w:rPr>
            </w:pPr>
            <w:r>
              <w:rPr>
                <w:rFonts w:hint="eastAsia" w:ascii="宋体" w:hAnsi="宋体"/>
                <w:sz w:val="24"/>
                <w:highlight w:val="none"/>
              </w:rPr>
              <w:t>品牌</w:t>
            </w:r>
          </w:p>
        </w:tc>
        <w:tc>
          <w:tcPr>
            <w:tcW w:w="1276" w:type="dxa"/>
            <w:tcBorders>
              <w:top w:val="single" w:color="auto" w:sz="4" w:space="0"/>
              <w:left w:val="single" w:color="auto" w:sz="4" w:space="0"/>
              <w:bottom w:val="single" w:color="auto" w:sz="4" w:space="0"/>
              <w:right w:val="single" w:color="auto" w:sz="4" w:space="0"/>
            </w:tcBorders>
            <w:vAlign w:val="center"/>
          </w:tcPr>
          <w:p w14:paraId="49EFD30D">
            <w:pPr>
              <w:snapToGrid w:val="0"/>
              <w:spacing w:before="50" w:after="50"/>
              <w:jc w:val="center"/>
              <w:rPr>
                <w:rFonts w:ascii="宋体" w:hAnsi="宋体"/>
                <w:sz w:val="24"/>
                <w:highlight w:val="none"/>
              </w:rPr>
            </w:pPr>
            <w:r>
              <w:rPr>
                <w:rFonts w:hint="eastAsia" w:ascii="宋体" w:hAnsi="宋体"/>
                <w:sz w:val="24"/>
                <w:highlight w:val="none"/>
              </w:rPr>
              <w:t>规格</w:t>
            </w:r>
          </w:p>
          <w:p w14:paraId="476E062A">
            <w:pPr>
              <w:snapToGrid w:val="0"/>
              <w:spacing w:before="50" w:after="50"/>
              <w:jc w:val="center"/>
              <w:rPr>
                <w:rFonts w:ascii="宋体" w:hAnsi="宋体"/>
                <w:sz w:val="24"/>
                <w:highlight w:val="none"/>
              </w:rPr>
            </w:pPr>
            <w:r>
              <w:rPr>
                <w:rFonts w:hint="eastAsia" w:ascii="宋体" w:hAnsi="宋体"/>
                <w:sz w:val="24"/>
                <w:highlight w:val="none"/>
              </w:rPr>
              <w:t>型号</w:t>
            </w:r>
          </w:p>
        </w:tc>
        <w:tc>
          <w:tcPr>
            <w:tcW w:w="1559" w:type="dxa"/>
            <w:tcBorders>
              <w:top w:val="single" w:color="auto" w:sz="4" w:space="0"/>
              <w:left w:val="single" w:color="auto" w:sz="4" w:space="0"/>
              <w:bottom w:val="single" w:color="auto" w:sz="4" w:space="0"/>
              <w:right w:val="single" w:color="auto" w:sz="4" w:space="0"/>
            </w:tcBorders>
            <w:vAlign w:val="center"/>
          </w:tcPr>
          <w:p w14:paraId="3F868A1E">
            <w:pPr>
              <w:snapToGrid w:val="0"/>
              <w:spacing w:before="50" w:after="50"/>
              <w:jc w:val="center"/>
              <w:rPr>
                <w:rFonts w:ascii="宋体" w:hAnsi="宋体"/>
                <w:sz w:val="24"/>
                <w:highlight w:val="none"/>
              </w:rPr>
            </w:pPr>
            <w:r>
              <w:rPr>
                <w:rFonts w:hint="eastAsia" w:ascii="宋体" w:hAnsi="宋体"/>
                <w:sz w:val="24"/>
                <w:highlight w:val="none"/>
              </w:rPr>
              <w:t>单位及</w:t>
            </w:r>
          </w:p>
          <w:p w14:paraId="54FDE125">
            <w:pPr>
              <w:snapToGrid w:val="0"/>
              <w:spacing w:before="50" w:after="50"/>
              <w:jc w:val="center"/>
              <w:rPr>
                <w:rFonts w:ascii="宋体" w:hAnsi="宋体"/>
                <w:sz w:val="24"/>
                <w:highlight w:val="none"/>
              </w:rPr>
            </w:pPr>
            <w:r>
              <w:rPr>
                <w:rFonts w:hint="eastAsia" w:ascii="宋体" w:hAnsi="宋体"/>
                <w:sz w:val="24"/>
                <w:highlight w:val="none"/>
              </w:rPr>
              <w:t>数量</w:t>
            </w:r>
          </w:p>
        </w:tc>
        <w:tc>
          <w:tcPr>
            <w:tcW w:w="1662" w:type="dxa"/>
            <w:tcBorders>
              <w:top w:val="single" w:color="auto" w:sz="4" w:space="0"/>
              <w:left w:val="single" w:color="auto" w:sz="4" w:space="0"/>
              <w:bottom w:val="single" w:color="auto" w:sz="4" w:space="0"/>
              <w:right w:val="single" w:color="auto" w:sz="4" w:space="0"/>
            </w:tcBorders>
            <w:vAlign w:val="center"/>
          </w:tcPr>
          <w:p w14:paraId="32B10BC5">
            <w:pPr>
              <w:snapToGrid w:val="0"/>
              <w:spacing w:before="50" w:after="50"/>
              <w:jc w:val="center"/>
              <w:rPr>
                <w:rFonts w:ascii="宋体" w:hAnsi="宋体"/>
                <w:sz w:val="24"/>
                <w:highlight w:val="none"/>
              </w:rPr>
            </w:pPr>
            <w:r>
              <w:rPr>
                <w:rFonts w:hint="eastAsia" w:ascii="宋体" w:hAnsi="宋体"/>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D54BDD5">
            <w:pPr>
              <w:snapToGrid w:val="0"/>
              <w:spacing w:before="50" w:after="50"/>
              <w:jc w:val="center"/>
              <w:rPr>
                <w:rFonts w:ascii="宋体" w:hAnsi="宋体"/>
                <w:sz w:val="24"/>
                <w:highlight w:val="none"/>
              </w:rPr>
            </w:pPr>
            <w:r>
              <w:rPr>
                <w:rFonts w:hint="eastAsia" w:ascii="宋体" w:hAnsi="宋体"/>
                <w:sz w:val="24"/>
                <w:highlight w:val="none"/>
              </w:rPr>
              <w:t>产地</w:t>
            </w:r>
          </w:p>
        </w:tc>
      </w:tr>
      <w:tr w14:paraId="3A92C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5FD77E0">
            <w:pPr>
              <w:snapToGrid w:val="0"/>
              <w:spacing w:before="50" w:after="50"/>
              <w:jc w:val="center"/>
              <w:rPr>
                <w:rFonts w:ascii="宋体" w:hAnsi="宋体"/>
                <w:sz w:val="24"/>
                <w:highlight w:val="none"/>
              </w:rPr>
            </w:pPr>
          </w:p>
        </w:tc>
        <w:tc>
          <w:tcPr>
            <w:tcW w:w="1520" w:type="dxa"/>
            <w:tcBorders>
              <w:top w:val="single" w:color="auto" w:sz="4" w:space="0"/>
              <w:left w:val="single" w:color="auto" w:sz="4" w:space="0"/>
              <w:bottom w:val="single" w:color="auto" w:sz="4" w:space="0"/>
              <w:right w:val="single" w:color="auto" w:sz="4" w:space="0"/>
            </w:tcBorders>
            <w:vAlign w:val="center"/>
          </w:tcPr>
          <w:p w14:paraId="5C5EB821">
            <w:pPr>
              <w:snapToGrid w:val="0"/>
              <w:spacing w:before="50" w:after="50"/>
              <w:jc w:val="center"/>
              <w:rPr>
                <w:rFonts w:ascii="宋体" w:hAnsi="宋体"/>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63864CA4">
            <w:pPr>
              <w:snapToGrid w:val="0"/>
              <w:spacing w:before="50" w:after="50"/>
              <w:ind w:left="480" w:hanging="480"/>
              <w:jc w:val="center"/>
              <w:rPr>
                <w:rFonts w:ascii="宋体" w:hAnsi="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B1575C1">
            <w:pPr>
              <w:snapToGrid w:val="0"/>
              <w:spacing w:before="50" w:after="50"/>
              <w:jc w:val="center"/>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107A97D">
            <w:pPr>
              <w:snapToGrid w:val="0"/>
              <w:spacing w:before="50" w:after="50"/>
              <w:jc w:val="center"/>
              <w:rPr>
                <w:rFonts w:ascii="宋体" w:hAnsi="宋体"/>
                <w:sz w:val="24"/>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14:paraId="7B9C3F67">
            <w:pPr>
              <w:snapToGrid w:val="0"/>
              <w:spacing w:before="50" w:after="50"/>
              <w:jc w:val="center"/>
              <w:rPr>
                <w:rFonts w:ascii="宋体"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2C14773">
            <w:pPr>
              <w:snapToGrid w:val="0"/>
              <w:spacing w:before="50" w:after="50"/>
              <w:jc w:val="center"/>
              <w:rPr>
                <w:rFonts w:ascii="宋体" w:hAnsi="宋体"/>
                <w:sz w:val="24"/>
                <w:highlight w:val="none"/>
              </w:rPr>
            </w:pPr>
          </w:p>
        </w:tc>
      </w:tr>
      <w:tr w14:paraId="72130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A898D52">
            <w:pPr>
              <w:snapToGrid w:val="0"/>
              <w:spacing w:before="50" w:after="50"/>
              <w:jc w:val="center"/>
              <w:rPr>
                <w:rFonts w:ascii="宋体" w:hAnsi="宋体"/>
                <w:sz w:val="24"/>
                <w:highlight w:val="none"/>
              </w:rPr>
            </w:pPr>
          </w:p>
        </w:tc>
        <w:tc>
          <w:tcPr>
            <w:tcW w:w="1520" w:type="dxa"/>
            <w:tcBorders>
              <w:top w:val="single" w:color="auto" w:sz="4" w:space="0"/>
              <w:left w:val="single" w:color="auto" w:sz="4" w:space="0"/>
              <w:bottom w:val="single" w:color="auto" w:sz="4" w:space="0"/>
              <w:right w:val="single" w:color="auto" w:sz="4" w:space="0"/>
            </w:tcBorders>
            <w:vAlign w:val="center"/>
          </w:tcPr>
          <w:p w14:paraId="02314F0B">
            <w:pPr>
              <w:snapToGrid w:val="0"/>
              <w:spacing w:before="50" w:after="50"/>
              <w:jc w:val="center"/>
              <w:rPr>
                <w:rFonts w:ascii="宋体" w:hAnsi="宋体"/>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47E6BFB2">
            <w:pPr>
              <w:snapToGrid w:val="0"/>
              <w:spacing w:before="50" w:after="50"/>
              <w:ind w:left="480" w:hanging="480"/>
              <w:jc w:val="center"/>
              <w:rPr>
                <w:rFonts w:ascii="宋体" w:hAnsi="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5E8DC06">
            <w:pPr>
              <w:snapToGrid w:val="0"/>
              <w:spacing w:before="50" w:after="50"/>
              <w:jc w:val="center"/>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D06776C">
            <w:pPr>
              <w:snapToGrid w:val="0"/>
              <w:spacing w:before="50" w:after="50"/>
              <w:jc w:val="center"/>
              <w:rPr>
                <w:rFonts w:ascii="宋体" w:hAnsi="宋体"/>
                <w:sz w:val="24"/>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14:paraId="05F4955E">
            <w:pPr>
              <w:snapToGrid w:val="0"/>
              <w:spacing w:before="50" w:after="50"/>
              <w:jc w:val="center"/>
              <w:rPr>
                <w:rFonts w:ascii="宋体"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988E05F">
            <w:pPr>
              <w:snapToGrid w:val="0"/>
              <w:spacing w:before="50" w:after="50"/>
              <w:jc w:val="center"/>
              <w:rPr>
                <w:rFonts w:ascii="宋体" w:hAnsi="宋体"/>
                <w:sz w:val="24"/>
                <w:highlight w:val="none"/>
              </w:rPr>
            </w:pPr>
          </w:p>
        </w:tc>
      </w:tr>
    </w:tbl>
    <w:p w14:paraId="62685C0F">
      <w:pPr>
        <w:pStyle w:val="10"/>
        <w:snapToGrid w:val="0"/>
        <w:rPr>
          <w:rFonts w:ascii="宋体" w:hAnsi="宋体" w:eastAsia="宋体"/>
          <w:sz w:val="24"/>
          <w:szCs w:val="24"/>
          <w:highlight w:val="none"/>
        </w:rPr>
      </w:pPr>
      <w:r>
        <w:rPr>
          <w:rFonts w:hint="eastAsia" w:ascii="宋体" w:hAnsi="宋体" w:eastAsia="宋体"/>
          <w:sz w:val="24"/>
          <w:szCs w:val="24"/>
          <w:highlight w:val="none"/>
        </w:rPr>
        <w:t>服务类</w:t>
      </w:r>
    </w:p>
    <w:tbl>
      <w:tblPr>
        <w:tblStyle w:val="33"/>
        <w:tblW w:w="9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688"/>
        <w:gridCol w:w="2829"/>
        <w:gridCol w:w="2830"/>
      </w:tblGrid>
      <w:tr w14:paraId="5F784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F74EDED">
            <w:pPr>
              <w:snapToGrid w:val="0"/>
              <w:spacing w:before="50" w:after="50"/>
              <w:jc w:val="center"/>
              <w:rPr>
                <w:rFonts w:ascii="宋体" w:hAnsi="宋体"/>
                <w:sz w:val="24"/>
                <w:highlight w:val="none"/>
              </w:rPr>
            </w:pPr>
            <w:r>
              <w:rPr>
                <w:rFonts w:hint="eastAsia" w:ascii="宋体" w:hAnsi="宋体"/>
                <w:sz w:val="24"/>
                <w:highlight w:val="none"/>
              </w:rPr>
              <w:t>序号</w:t>
            </w:r>
          </w:p>
        </w:tc>
        <w:tc>
          <w:tcPr>
            <w:tcW w:w="2688" w:type="dxa"/>
            <w:tcBorders>
              <w:top w:val="single" w:color="auto" w:sz="4" w:space="0"/>
              <w:left w:val="single" w:color="auto" w:sz="4" w:space="0"/>
              <w:bottom w:val="single" w:color="auto" w:sz="4" w:space="0"/>
              <w:right w:val="single" w:color="auto" w:sz="4" w:space="0"/>
            </w:tcBorders>
            <w:vAlign w:val="center"/>
          </w:tcPr>
          <w:p w14:paraId="4F427EA0">
            <w:pPr>
              <w:snapToGrid w:val="0"/>
              <w:spacing w:before="50" w:after="50"/>
              <w:jc w:val="center"/>
              <w:rPr>
                <w:rFonts w:ascii="宋体" w:hAnsi="宋体"/>
                <w:sz w:val="24"/>
                <w:highlight w:val="none"/>
              </w:rPr>
            </w:pPr>
            <w:r>
              <w:rPr>
                <w:rFonts w:hint="eastAsia" w:ascii="宋体" w:hAnsi="宋体"/>
                <w:sz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0438C01">
            <w:pPr>
              <w:snapToGrid w:val="0"/>
              <w:spacing w:before="50" w:after="50"/>
              <w:jc w:val="center"/>
              <w:rPr>
                <w:rFonts w:ascii="宋体" w:hAnsi="宋体"/>
                <w:sz w:val="24"/>
                <w:highlight w:val="none"/>
              </w:rPr>
            </w:pPr>
            <w:r>
              <w:rPr>
                <w:rFonts w:hint="eastAsia" w:ascii="宋体" w:hAnsi="宋体"/>
                <w:sz w:val="24"/>
                <w:highlight w:val="none"/>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265662D">
            <w:pPr>
              <w:snapToGrid w:val="0"/>
              <w:spacing w:before="50" w:after="50"/>
              <w:jc w:val="center"/>
              <w:rPr>
                <w:rFonts w:ascii="宋体" w:hAnsi="宋体"/>
                <w:sz w:val="24"/>
                <w:highlight w:val="none"/>
              </w:rPr>
            </w:pPr>
            <w:r>
              <w:rPr>
                <w:rFonts w:hint="eastAsia" w:ascii="宋体" w:hAnsi="宋体"/>
                <w:sz w:val="24"/>
                <w:highlight w:val="none"/>
              </w:rPr>
              <w:t>工作量</w:t>
            </w:r>
          </w:p>
        </w:tc>
      </w:tr>
      <w:tr w14:paraId="0187B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5A8AFA7">
            <w:pPr>
              <w:snapToGrid w:val="0"/>
              <w:spacing w:before="50" w:after="50"/>
              <w:jc w:val="center"/>
              <w:rPr>
                <w:rFonts w:ascii="宋体" w:hAnsi="宋体"/>
                <w:sz w:val="24"/>
                <w:highlight w:val="none"/>
              </w:rPr>
            </w:pPr>
          </w:p>
        </w:tc>
        <w:tc>
          <w:tcPr>
            <w:tcW w:w="2688" w:type="dxa"/>
            <w:tcBorders>
              <w:top w:val="single" w:color="auto" w:sz="4" w:space="0"/>
              <w:left w:val="single" w:color="auto" w:sz="4" w:space="0"/>
              <w:bottom w:val="single" w:color="auto" w:sz="4" w:space="0"/>
              <w:right w:val="single" w:color="auto" w:sz="4" w:space="0"/>
            </w:tcBorders>
            <w:vAlign w:val="center"/>
          </w:tcPr>
          <w:p w14:paraId="7A1299D5">
            <w:pPr>
              <w:snapToGrid w:val="0"/>
              <w:spacing w:before="50" w:after="50"/>
              <w:jc w:val="center"/>
              <w:rPr>
                <w:rFonts w:ascii="宋体" w:hAnsi="宋体"/>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628BCA3">
            <w:pPr>
              <w:snapToGrid w:val="0"/>
              <w:spacing w:before="50" w:after="50"/>
              <w:ind w:left="480" w:hanging="480"/>
              <w:jc w:val="center"/>
              <w:rPr>
                <w:rFonts w:ascii="宋体" w:hAnsi="宋体"/>
                <w:sz w:val="24"/>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0FE10368">
            <w:pPr>
              <w:snapToGrid w:val="0"/>
              <w:spacing w:before="50" w:after="50"/>
              <w:jc w:val="center"/>
              <w:rPr>
                <w:rFonts w:ascii="宋体" w:hAnsi="宋体"/>
                <w:sz w:val="24"/>
                <w:highlight w:val="none"/>
              </w:rPr>
            </w:pPr>
          </w:p>
        </w:tc>
      </w:tr>
      <w:tr w14:paraId="7303D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5188FC9">
            <w:pPr>
              <w:snapToGrid w:val="0"/>
              <w:spacing w:before="50" w:after="50"/>
              <w:jc w:val="center"/>
              <w:rPr>
                <w:rFonts w:ascii="宋体" w:hAnsi="宋体"/>
                <w:sz w:val="24"/>
                <w:highlight w:val="none"/>
              </w:rPr>
            </w:pPr>
          </w:p>
        </w:tc>
        <w:tc>
          <w:tcPr>
            <w:tcW w:w="2688" w:type="dxa"/>
            <w:tcBorders>
              <w:top w:val="single" w:color="auto" w:sz="4" w:space="0"/>
              <w:left w:val="single" w:color="auto" w:sz="4" w:space="0"/>
              <w:bottom w:val="single" w:color="auto" w:sz="4" w:space="0"/>
              <w:right w:val="single" w:color="auto" w:sz="4" w:space="0"/>
            </w:tcBorders>
            <w:vAlign w:val="center"/>
          </w:tcPr>
          <w:p w14:paraId="195322F3">
            <w:pPr>
              <w:snapToGrid w:val="0"/>
              <w:spacing w:before="50" w:after="50"/>
              <w:jc w:val="center"/>
              <w:rPr>
                <w:rFonts w:ascii="宋体" w:hAnsi="宋体"/>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3936338">
            <w:pPr>
              <w:snapToGrid w:val="0"/>
              <w:spacing w:before="50" w:after="50"/>
              <w:ind w:left="480" w:hanging="480"/>
              <w:jc w:val="center"/>
              <w:rPr>
                <w:rFonts w:ascii="宋体" w:hAnsi="宋体"/>
                <w:sz w:val="24"/>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78C9141F">
            <w:pPr>
              <w:snapToGrid w:val="0"/>
              <w:spacing w:before="50" w:after="50"/>
              <w:jc w:val="center"/>
              <w:rPr>
                <w:rFonts w:ascii="宋体" w:hAnsi="宋体"/>
                <w:sz w:val="24"/>
                <w:highlight w:val="none"/>
              </w:rPr>
            </w:pPr>
          </w:p>
        </w:tc>
      </w:tr>
    </w:tbl>
    <w:p w14:paraId="057F7129">
      <w:pPr>
        <w:snapToGrid w:val="0"/>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注：在填写时，如上表不适合本项目的实际情况，可在确保投标明细内容完整的情况下，根据上表格式自行划表填写。</w:t>
      </w:r>
    </w:p>
    <w:p w14:paraId="54989709">
      <w:pPr>
        <w:snapToGrid w:val="0"/>
        <w:spacing w:line="360" w:lineRule="auto"/>
        <w:ind w:firstLine="480" w:firstLineChars="200"/>
        <w:jc w:val="left"/>
        <w:rPr>
          <w:rFonts w:ascii="宋体" w:hAnsi="宋体"/>
          <w:color w:val="000000"/>
          <w:sz w:val="24"/>
          <w:highlight w:val="none"/>
        </w:rPr>
      </w:pPr>
    </w:p>
    <w:p w14:paraId="41D9D621">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法定代表人或委托代理人（签字或盖章）：                    </w:t>
      </w:r>
    </w:p>
    <w:p w14:paraId="38814636">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投标人名称（盖章）：                                 </w:t>
      </w:r>
    </w:p>
    <w:p w14:paraId="5C5184E1">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日期：    年   月   日</w:t>
      </w:r>
    </w:p>
    <w:p w14:paraId="11461624">
      <w:pPr>
        <w:spacing w:line="360" w:lineRule="auto"/>
        <w:ind w:firstLine="643" w:firstLineChars="200"/>
        <w:rPr>
          <w:rFonts w:ascii="宋体" w:hAnsi="宋体" w:cs="宋体"/>
          <w:b/>
          <w:bCs/>
          <w:sz w:val="32"/>
          <w:szCs w:val="32"/>
          <w:highlight w:val="none"/>
        </w:rPr>
        <w:sectPr>
          <w:pgSz w:w="11906" w:h="16838"/>
          <w:pgMar w:top="1440" w:right="1440" w:bottom="1440" w:left="1440" w:header="851" w:footer="992" w:gutter="0"/>
          <w:cols w:space="720" w:num="1"/>
          <w:titlePg/>
          <w:docGrid w:linePitch="312" w:charSpace="0"/>
        </w:sectPr>
      </w:pPr>
    </w:p>
    <w:p w14:paraId="3EA2CBD5">
      <w:pPr>
        <w:spacing w:line="360" w:lineRule="auto"/>
        <w:outlineLvl w:val="3"/>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（4）商务技术偏离表</w:t>
      </w:r>
    </w:p>
    <w:tbl>
      <w:tblPr>
        <w:tblStyle w:val="3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E80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8EC8B0">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14:paraId="6F0831AC">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14:paraId="6E2726F9">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14:paraId="038C43B6">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7FD8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CCD6AF">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71C8688C">
            <w:pPr>
              <w:jc w:val="center"/>
              <w:rPr>
                <w:rFonts w:cs="宋体" w:asciiTheme="minorEastAsia" w:hAnsiTheme="minorEastAsia" w:eastAsiaTheme="minorEastAsia"/>
                <w:b/>
                <w:kern w:val="0"/>
                <w:sz w:val="32"/>
                <w:szCs w:val="32"/>
              </w:rPr>
            </w:pPr>
          </w:p>
        </w:tc>
        <w:tc>
          <w:tcPr>
            <w:tcW w:w="3546" w:type="dxa"/>
          </w:tcPr>
          <w:p w14:paraId="084BFA52">
            <w:pPr>
              <w:jc w:val="center"/>
              <w:rPr>
                <w:rFonts w:cs="宋体" w:asciiTheme="minorEastAsia" w:hAnsiTheme="minorEastAsia" w:eastAsiaTheme="minorEastAsia"/>
                <w:b/>
                <w:kern w:val="0"/>
                <w:sz w:val="32"/>
                <w:szCs w:val="32"/>
              </w:rPr>
            </w:pPr>
          </w:p>
        </w:tc>
        <w:tc>
          <w:tcPr>
            <w:tcW w:w="1276" w:type="dxa"/>
          </w:tcPr>
          <w:p w14:paraId="7A4FF109">
            <w:pPr>
              <w:jc w:val="center"/>
              <w:rPr>
                <w:rFonts w:cs="宋体" w:asciiTheme="minorEastAsia" w:hAnsiTheme="minorEastAsia" w:eastAsiaTheme="minorEastAsia"/>
                <w:b/>
                <w:kern w:val="0"/>
                <w:sz w:val="32"/>
                <w:szCs w:val="32"/>
              </w:rPr>
            </w:pPr>
          </w:p>
        </w:tc>
      </w:tr>
      <w:tr w14:paraId="5149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D103C1">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28B1EF06">
            <w:pPr>
              <w:jc w:val="center"/>
              <w:rPr>
                <w:rFonts w:cs="宋体" w:asciiTheme="minorEastAsia" w:hAnsiTheme="minorEastAsia" w:eastAsiaTheme="minorEastAsia"/>
                <w:b/>
                <w:kern w:val="0"/>
                <w:sz w:val="32"/>
                <w:szCs w:val="32"/>
              </w:rPr>
            </w:pPr>
          </w:p>
        </w:tc>
        <w:tc>
          <w:tcPr>
            <w:tcW w:w="3546" w:type="dxa"/>
          </w:tcPr>
          <w:p w14:paraId="03D8358A">
            <w:pPr>
              <w:jc w:val="center"/>
              <w:rPr>
                <w:rFonts w:cs="宋体" w:asciiTheme="minorEastAsia" w:hAnsiTheme="minorEastAsia" w:eastAsiaTheme="minorEastAsia"/>
                <w:b/>
                <w:kern w:val="0"/>
                <w:sz w:val="32"/>
                <w:szCs w:val="32"/>
              </w:rPr>
            </w:pPr>
          </w:p>
        </w:tc>
        <w:tc>
          <w:tcPr>
            <w:tcW w:w="1276" w:type="dxa"/>
          </w:tcPr>
          <w:p w14:paraId="31DBC5D8">
            <w:pPr>
              <w:jc w:val="center"/>
              <w:rPr>
                <w:rFonts w:cs="宋体" w:asciiTheme="minorEastAsia" w:hAnsiTheme="minorEastAsia" w:eastAsiaTheme="minorEastAsia"/>
                <w:b/>
                <w:kern w:val="0"/>
                <w:sz w:val="32"/>
                <w:szCs w:val="32"/>
              </w:rPr>
            </w:pPr>
          </w:p>
        </w:tc>
      </w:tr>
      <w:tr w14:paraId="58E3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4A1930">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4E698E78">
            <w:pPr>
              <w:jc w:val="center"/>
              <w:rPr>
                <w:rFonts w:cs="宋体" w:asciiTheme="minorEastAsia" w:hAnsiTheme="minorEastAsia" w:eastAsiaTheme="minorEastAsia"/>
                <w:b/>
                <w:kern w:val="0"/>
                <w:sz w:val="32"/>
                <w:szCs w:val="32"/>
              </w:rPr>
            </w:pPr>
          </w:p>
        </w:tc>
        <w:tc>
          <w:tcPr>
            <w:tcW w:w="3546" w:type="dxa"/>
          </w:tcPr>
          <w:p w14:paraId="3A931047">
            <w:pPr>
              <w:jc w:val="center"/>
              <w:rPr>
                <w:rFonts w:cs="宋体" w:asciiTheme="minorEastAsia" w:hAnsiTheme="minorEastAsia" w:eastAsiaTheme="minorEastAsia"/>
                <w:b/>
                <w:kern w:val="0"/>
                <w:sz w:val="32"/>
                <w:szCs w:val="32"/>
              </w:rPr>
            </w:pPr>
          </w:p>
        </w:tc>
        <w:tc>
          <w:tcPr>
            <w:tcW w:w="1276" w:type="dxa"/>
          </w:tcPr>
          <w:p w14:paraId="048A61ED">
            <w:pPr>
              <w:jc w:val="center"/>
              <w:rPr>
                <w:rFonts w:cs="宋体" w:asciiTheme="minorEastAsia" w:hAnsiTheme="minorEastAsia" w:eastAsiaTheme="minorEastAsia"/>
                <w:b/>
                <w:kern w:val="0"/>
                <w:sz w:val="32"/>
                <w:szCs w:val="32"/>
              </w:rPr>
            </w:pPr>
          </w:p>
        </w:tc>
      </w:tr>
    </w:tbl>
    <w:p w14:paraId="09F6D607">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5B368275">
      <w:pPr>
        <w:spacing w:line="360" w:lineRule="auto"/>
        <w:ind w:firstLine="643" w:firstLineChars="200"/>
        <w:rPr>
          <w:rFonts w:hint="eastAsia" w:ascii="宋体" w:hAnsi="宋体" w:cs="宋体"/>
          <w:b/>
          <w:bCs/>
          <w:sz w:val="32"/>
          <w:szCs w:val="32"/>
          <w:highlight w:val="none"/>
        </w:rPr>
        <w:sectPr>
          <w:pgSz w:w="11906" w:h="16838"/>
          <w:pgMar w:top="1440" w:right="1440" w:bottom="1440" w:left="1440" w:header="851" w:footer="992" w:gutter="0"/>
          <w:cols w:space="720" w:num="1"/>
          <w:titlePg/>
          <w:docGrid w:linePitch="312" w:charSpace="0"/>
        </w:sectPr>
      </w:pPr>
    </w:p>
    <w:p w14:paraId="074DAD56">
      <w:pPr>
        <w:spacing w:line="360" w:lineRule="auto"/>
        <w:ind w:firstLine="643" w:firstLineChars="200"/>
        <w:rPr>
          <w:rFonts w:ascii="宋体" w:hAnsi="宋体" w:cs="宋体"/>
          <w:b/>
          <w:bCs/>
          <w:sz w:val="32"/>
          <w:szCs w:val="32"/>
        </w:rPr>
      </w:pPr>
      <w:r>
        <w:rPr>
          <w:rFonts w:hint="eastAsia" w:ascii="宋体" w:hAnsi="宋体" w:cs="宋体"/>
          <w:b/>
          <w:bCs/>
          <w:sz w:val="32"/>
          <w:szCs w:val="32"/>
        </w:rPr>
        <w:t>3.报价文件目录</w:t>
      </w:r>
    </w:p>
    <w:p w14:paraId="2208DF71">
      <w:pPr>
        <w:spacing w:line="360" w:lineRule="auto"/>
        <w:ind w:firstLine="480" w:firstLineChars="200"/>
        <w:rPr>
          <w:rFonts w:ascii="宋体" w:hAnsi="宋体"/>
          <w:color w:val="000000"/>
          <w:sz w:val="24"/>
        </w:rPr>
      </w:pPr>
      <w:r>
        <w:rPr>
          <w:rFonts w:hint="eastAsia" w:ascii="宋体" w:hAnsi="宋体"/>
          <w:color w:val="000000"/>
          <w:sz w:val="24"/>
        </w:rPr>
        <w:t>（1）投标函（格式见附件）</w:t>
      </w:r>
    </w:p>
    <w:p w14:paraId="63177434">
      <w:pPr>
        <w:spacing w:line="360" w:lineRule="auto"/>
        <w:ind w:firstLine="480" w:firstLineChars="200"/>
        <w:rPr>
          <w:rFonts w:ascii="宋体" w:hAnsi="宋体"/>
          <w:sz w:val="24"/>
        </w:rPr>
      </w:pPr>
      <w:r>
        <w:rPr>
          <w:rFonts w:hint="eastAsia" w:ascii="宋体" w:hAnsi="宋体"/>
          <w:sz w:val="24"/>
        </w:rPr>
        <w:t>（2）开标一览表（格式见附件）</w:t>
      </w:r>
    </w:p>
    <w:p w14:paraId="131E71CD">
      <w:pPr>
        <w:spacing w:line="360" w:lineRule="auto"/>
        <w:ind w:firstLine="480" w:firstLineChars="200"/>
        <w:rPr>
          <w:rFonts w:ascii="宋体" w:hAnsi="宋体"/>
          <w:sz w:val="24"/>
        </w:rPr>
      </w:pPr>
      <w:r>
        <w:rPr>
          <w:rFonts w:hint="eastAsia" w:ascii="宋体" w:hAnsi="宋体"/>
          <w:sz w:val="24"/>
        </w:rPr>
        <w:t>（3）报价明细表（格式自拟）</w:t>
      </w:r>
    </w:p>
    <w:p w14:paraId="5A6B0DBE">
      <w:pPr>
        <w:spacing w:line="360" w:lineRule="auto"/>
        <w:ind w:firstLine="480" w:firstLineChars="200"/>
        <w:rPr>
          <w:rFonts w:ascii="宋体" w:hAnsi="宋体"/>
          <w:sz w:val="24"/>
        </w:rPr>
      </w:pPr>
      <w:r>
        <w:rPr>
          <w:rFonts w:hint="eastAsia" w:ascii="宋体" w:hAnsi="宋体"/>
          <w:sz w:val="24"/>
        </w:rPr>
        <w:t>（4）投标人需要说明的其他文件和说明（格式略）</w:t>
      </w:r>
    </w:p>
    <w:p w14:paraId="4900A9FA">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57BD228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（1）投 标 函</w:t>
      </w:r>
    </w:p>
    <w:p w14:paraId="2B7C736D">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致：耀华建设管理有限公司</w:t>
      </w:r>
    </w:p>
    <w:p w14:paraId="37DC9580">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根据贵方招标文件的要求，正式授权下述签字人</w:t>
      </w:r>
      <w:r>
        <w:rPr>
          <w:rFonts w:hint="eastAsia" w:asciiTheme="minorEastAsia" w:hAnsiTheme="minorEastAsia" w:eastAsiaTheme="minorEastAsia"/>
          <w:sz w:val="24"/>
          <w:u w:val="single"/>
        </w:rPr>
        <w:t xml:space="preserve"> (姓名) </w:t>
      </w:r>
      <w:r>
        <w:rPr>
          <w:rFonts w:hint="eastAsia" w:asciiTheme="minorEastAsia" w:hAnsiTheme="minorEastAsia" w:eastAsiaTheme="minorEastAsia"/>
          <w:sz w:val="24"/>
        </w:rPr>
        <w:t xml:space="preserve">代表投标人 </w:t>
      </w:r>
      <w:r>
        <w:rPr>
          <w:rFonts w:hint="eastAsia" w:asciiTheme="minorEastAsia" w:hAnsiTheme="minorEastAsia" w:eastAsiaTheme="minorEastAsia"/>
          <w:sz w:val="24"/>
          <w:u w:val="single"/>
        </w:rPr>
        <w:t xml:space="preserve">（投标人名称） </w:t>
      </w:r>
      <w:r>
        <w:rPr>
          <w:rFonts w:hint="eastAsia" w:asciiTheme="minorEastAsia" w:hAnsiTheme="minorEastAsia" w:eastAsiaTheme="minorEastAsia"/>
          <w:sz w:val="24"/>
        </w:rPr>
        <w:t>，提交下述文件。据此函，签字人兹宣布同意如下：</w:t>
      </w:r>
    </w:p>
    <w:p w14:paraId="41B0BDDE">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1.我方已仔细研究了(项目名称) 的招标文件的全部内容，愿意以承诺以下内容：</w:t>
      </w:r>
    </w:p>
    <w:p w14:paraId="59498F15">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人民币(大写)元（小写 元）的投标总报价。</w:t>
      </w:r>
    </w:p>
    <w:p w14:paraId="3FC56408">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2.我方在投标之前已经与贵方进行了充分的沟通，完全理解并接受招标文件的各项规定和要求，对招标文件的合理性、合法性不再有异议。（包括修改文件）</w:t>
      </w:r>
    </w:p>
    <w:p w14:paraId="52B77790">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3.我方承诺在投标有效期内（从开标之日起</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天），其投标文件中的所有内容对我方具有约束力。如在此有效期内，我方出现下列行为之一者，同意无条件支付贰万元违约保证金。</w:t>
      </w:r>
    </w:p>
    <w:p w14:paraId="0CB5CD1E">
      <w:pPr>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1）在投标有效期内撤回投标文件；</w:t>
      </w:r>
    </w:p>
    <w:p w14:paraId="0C18B961">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2）在投标过程中弄虚作假、提供虚假材料的；</w:t>
      </w:r>
    </w:p>
    <w:p w14:paraId="227D2451">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3）如果中标不与采购人签订合同的；</w:t>
      </w:r>
    </w:p>
    <w:p w14:paraId="6A788624">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4）有其他严重扰乱招投标程序的。</w:t>
      </w:r>
    </w:p>
    <w:p w14:paraId="6F5E21DF">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4.如我方中标，我方承诺：</w:t>
      </w:r>
    </w:p>
    <w:p w14:paraId="4E9F67CB">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1）收到中标通知书后，在中标通知书规定的期限内与采购人签订合同。</w:t>
      </w:r>
    </w:p>
    <w:p w14:paraId="001692B9">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2）在合同约定的期限内完成并移交全部合同工程。</w:t>
      </w:r>
    </w:p>
    <w:p w14:paraId="1106D075">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5.我方在此声明，所递交的投标文件及有关资料内容完整、真实和准确。</w:t>
      </w:r>
    </w:p>
    <w:p w14:paraId="5F53A61F">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6.我方理解贵方不一定接受最低报价的投标人，且对招标文件中规定的付款方式无异议。</w:t>
      </w:r>
    </w:p>
    <w:p w14:paraId="39BAD269">
      <w:pPr>
        <w:snapToGrid w:val="0"/>
        <w:spacing w:line="360" w:lineRule="auto"/>
        <w:ind w:left="2940" w:leftChars="257" w:hanging="2400" w:hangingChars="1000"/>
        <w:rPr>
          <w:rFonts w:asciiTheme="minorEastAsia" w:hAnsiTheme="minorEastAsia" w:eastAsiaTheme="minorEastAsia"/>
          <w:sz w:val="24"/>
        </w:rPr>
      </w:pPr>
      <w:r>
        <w:rPr>
          <w:rFonts w:hint="eastAsia" w:asciiTheme="minorEastAsia" w:hAnsiTheme="minorEastAsia" w:eastAsiaTheme="minorEastAsia"/>
          <w:sz w:val="24"/>
        </w:rPr>
        <w:t xml:space="preserve">7.（投标人认为需要的其他补充说明）。 </w:t>
      </w:r>
    </w:p>
    <w:p w14:paraId="3216BE80">
      <w:pPr>
        <w:snapToGrid w:val="0"/>
        <w:spacing w:line="360" w:lineRule="auto"/>
        <w:ind w:firstLine="2880" w:firstLineChars="1200"/>
        <w:jc w:val="right"/>
        <w:rPr>
          <w:rFonts w:asciiTheme="minorEastAsia" w:hAnsiTheme="minorEastAsia" w:eastAsiaTheme="minorEastAsia"/>
          <w:sz w:val="24"/>
        </w:rPr>
      </w:pPr>
      <w:r>
        <w:rPr>
          <w:rFonts w:hint="eastAsia" w:asciiTheme="minorEastAsia" w:hAnsiTheme="minorEastAsia" w:eastAsiaTheme="minorEastAsia"/>
          <w:sz w:val="24"/>
        </w:rPr>
        <w:t xml:space="preserve">投标人：（盖章） </w:t>
      </w:r>
    </w:p>
    <w:p w14:paraId="31EA1A3F">
      <w:pPr>
        <w:snapToGrid w:val="0"/>
        <w:spacing w:line="360" w:lineRule="auto"/>
        <w:ind w:firstLine="2872" w:firstLineChars="1197"/>
        <w:jc w:val="right"/>
        <w:rPr>
          <w:rFonts w:asciiTheme="minorEastAsia" w:hAnsiTheme="minorEastAsia" w:eastAsiaTheme="minorEastAsia"/>
          <w:sz w:val="24"/>
          <w:u w:val="single"/>
        </w:rPr>
      </w:pPr>
      <w:r>
        <w:rPr>
          <w:rFonts w:hint="eastAsia" w:asciiTheme="minorEastAsia" w:hAnsiTheme="minorEastAsia" w:eastAsiaTheme="minorEastAsia"/>
          <w:sz w:val="24"/>
        </w:rPr>
        <w:t>法定代表人：（签字或盖章）</w:t>
      </w:r>
    </w:p>
    <w:p w14:paraId="4F68C9C4">
      <w:pPr>
        <w:snapToGrid w:val="0"/>
        <w:spacing w:line="360" w:lineRule="auto"/>
        <w:ind w:firstLine="2868" w:firstLineChars="1195"/>
        <w:jc w:val="right"/>
        <w:rPr>
          <w:rFonts w:asciiTheme="minorEastAsia" w:hAnsiTheme="minorEastAsia" w:eastAsiaTheme="minorEastAsia"/>
          <w:sz w:val="24"/>
          <w:u w:val="single"/>
        </w:rPr>
      </w:pPr>
      <w:r>
        <w:rPr>
          <w:rFonts w:hint="eastAsia" w:asciiTheme="minorEastAsia" w:hAnsiTheme="minorEastAsia" w:eastAsiaTheme="minorEastAsia"/>
          <w:sz w:val="24"/>
        </w:rPr>
        <w:t>电话：</w:t>
      </w:r>
    </w:p>
    <w:p w14:paraId="6F298378">
      <w:pPr>
        <w:snapToGrid w:val="0"/>
        <w:spacing w:line="360" w:lineRule="auto"/>
        <w:ind w:firstLine="2872" w:firstLineChars="1197"/>
        <w:jc w:val="right"/>
        <w:rPr>
          <w:rFonts w:asciiTheme="minorEastAsia" w:hAnsiTheme="minorEastAsia" w:eastAsiaTheme="minorEastAsia"/>
          <w:sz w:val="24"/>
          <w:u w:val="single"/>
        </w:rPr>
      </w:pPr>
      <w:r>
        <w:rPr>
          <w:rFonts w:hint="eastAsia" w:asciiTheme="minorEastAsia" w:hAnsiTheme="minorEastAsia" w:eastAsiaTheme="minorEastAsia"/>
          <w:sz w:val="24"/>
        </w:rPr>
        <w:t>日期：</w:t>
      </w:r>
    </w:p>
    <w:p w14:paraId="5FEFE5E7">
      <w:pPr>
        <w:spacing w:beforeLines="50" w:afterLines="50" w:line="480" w:lineRule="exact"/>
        <w:ind w:right="105" w:rightChars="50"/>
        <w:rPr>
          <w:rFonts w:asciiTheme="minorEastAsia" w:hAnsiTheme="minorEastAsia" w:eastAsiaTheme="minorEastAsia"/>
          <w:b/>
          <w:spacing w:val="20"/>
          <w:position w:val="2"/>
          <w:sz w:val="24"/>
        </w:rPr>
        <w:sectPr>
          <w:pgSz w:w="11906" w:h="16838"/>
          <w:pgMar w:top="1440" w:right="1440" w:bottom="1440" w:left="1440" w:header="851" w:footer="992" w:gutter="0"/>
          <w:pgNumType w:start="1"/>
          <w:cols w:space="720" w:num="1"/>
          <w:titlePg/>
          <w:docGrid w:linePitch="312" w:charSpace="0"/>
        </w:sectPr>
      </w:pPr>
    </w:p>
    <w:p w14:paraId="158EDB41">
      <w:pPr>
        <w:spacing w:beforeLines="50" w:afterLines="50" w:line="480" w:lineRule="exact"/>
        <w:ind w:right="105" w:rightChars="50"/>
        <w:rPr>
          <w:rFonts w:asciiTheme="minorEastAsia" w:hAnsiTheme="minorEastAsia" w:eastAsiaTheme="minorEastAsia"/>
          <w:b/>
          <w:spacing w:val="20"/>
          <w:position w:val="2"/>
          <w:sz w:val="24"/>
        </w:rPr>
      </w:pPr>
      <w:r>
        <w:rPr>
          <w:rFonts w:hint="eastAsia" w:asciiTheme="minorEastAsia" w:hAnsiTheme="minorEastAsia" w:eastAsiaTheme="minorEastAsia"/>
          <w:b/>
          <w:spacing w:val="20"/>
          <w:position w:val="2"/>
          <w:sz w:val="24"/>
        </w:rPr>
        <w:t>（2）开标一览表</w:t>
      </w:r>
    </w:p>
    <w:p w14:paraId="3BE86D47">
      <w:pPr>
        <w:snapToGrid w:val="0"/>
        <w:spacing w:before="50" w:after="50"/>
        <w:rPr>
          <w:rFonts w:asciiTheme="minorEastAsia" w:hAnsiTheme="minorEastAsia" w:eastAsiaTheme="minorEastAsia"/>
          <w:sz w:val="24"/>
        </w:rPr>
      </w:pPr>
      <w:r>
        <w:rPr>
          <w:rFonts w:hint="eastAsia" w:cs="宋体" w:asciiTheme="minorEastAsia" w:hAnsiTheme="minorEastAsia" w:eastAsiaTheme="minorEastAsia"/>
          <w:sz w:val="24"/>
        </w:rPr>
        <w:t>投标人名称：</w:t>
      </w:r>
    </w:p>
    <w:p w14:paraId="672BA331">
      <w:pPr>
        <w:snapToGrid w:val="0"/>
        <w:spacing w:before="50" w:after="50"/>
        <w:rPr>
          <w:rFonts w:asciiTheme="minorEastAsia" w:hAnsiTheme="minorEastAsia" w:eastAsiaTheme="minorEastAsia"/>
          <w:sz w:val="24"/>
        </w:rPr>
      </w:pPr>
      <w:r>
        <w:rPr>
          <w:rFonts w:hint="eastAsia" w:cs="宋体" w:asciiTheme="minorEastAsia" w:hAnsiTheme="minorEastAsia" w:eastAsiaTheme="minorEastAsia"/>
          <w:sz w:val="24"/>
        </w:rPr>
        <w:t>项目名称：</w:t>
      </w:r>
    </w:p>
    <w:p w14:paraId="16EFD125">
      <w:pPr>
        <w:snapToGrid w:val="0"/>
        <w:spacing w:before="50" w:after="50"/>
        <w:rPr>
          <w:rFonts w:cs="宋体" w:asciiTheme="minorEastAsia" w:hAnsiTheme="minorEastAsia" w:eastAsiaTheme="minorEastAsia"/>
          <w:sz w:val="24"/>
          <w:u w:val="single"/>
        </w:rPr>
      </w:pPr>
      <w:r>
        <w:rPr>
          <w:rFonts w:hint="eastAsia" w:cs="宋体" w:asciiTheme="minorEastAsia" w:hAnsiTheme="minorEastAsia" w:eastAsiaTheme="minorEastAsia"/>
          <w:sz w:val="24"/>
        </w:rPr>
        <w:t>招标编号：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757"/>
        <w:gridCol w:w="1145"/>
        <w:gridCol w:w="2425"/>
      </w:tblGrid>
      <w:tr w14:paraId="6C4B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48800DB2">
            <w:pPr>
              <w:snapToGrid w:val="0"/>
              <w:spacing w:before="50" w:after="50" w:line="30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4757" w:type="dxa"/>
            <w:tcBorders>
              <w:top w:val="single" w:color="auto" w:sz="4" w:space="0"/>
              <w:left w:val="single" w:color="auto" w:sz="4" w:space="0"/>
              <w:bottom w:val="single" w:color="auto" w:sz="4" w:space="0"/>
              <w:right w:val="single" w:color="auto" w:sz="4" w:space="0"/>
            </w:tcBorders>
            <w:vAlign w:val="center"/>
          </w:tcPr>
          <w:p w14:paraId="31CFD7C2">
            <w:pPr>
              <w:snapToGrid w:val="0"/>
              <w:spacing w:before="50" w:after="50" w:line="300" w:lineRule="auto"/>
              <w:jc w:val="center"/>
              <w:rPr>
                <w:rFonts w:asciiTheme="minorEastAsia" w:hAnsiTheme="minorEastAsia" w:eastAsiaTheme="minorEastAsia"/>
                <w:b/>
                <w:sz w:val="24"/>
              </w:rPr>
            </w:pPr>
            <w:r>
              <w:rPr>
                <w:rFonts w:hint="eastAsia" w:cs="宋体" w:asciiTheme="minorEastAsia" w:hAnsiTheme="minorEastAsia" w:eastAsiaTheme="minorEastAsia"/>
                <w:b/>
                <w:sz w:val="24"/>
              </w:rPr>
              <w:t>内容</w:t>
            </w:r>
          </w:p>
        </w:tc>
        <w:tc>
          <w:tcPr>
            <w:tcW w:w="1145" w:type="dxa"/>
            <w:tcBorders>
              <w:top w:val="single" w:color="auto" w:sz="4" w:space="0"/>
              <w:left w:val="single" w:color="auto" w:sz="4" w:space="0"/>
              <w:bottom w:val="single" w:color="auto" w:sz="4" w:space="0"/>
              <w:right w:val="single" w:color="auto" w:sz="4" w:space="0"/>
            </w:tcBorders>
            <w:vAlign w:val="center"/>
          </w:tcPr>
          <w:p w14:paraId="1154A66E">
            <w:pPr>
              <w:snapToGrid w:val="0"/>
              <w:spacing w:before="50" w:after="50" w:line="30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2425" w:type="dxa"/>
            <w:tcBorders>
              <w:top w:val="single" w:color="auto" w:sz="4" w:space="0"/>
              <w:left w:val="single" w:color="auto" w:sz="4" w:space="0"/>
              <w:bottom w:val="single" w:color="auto" w:sz="4" w:space="0"/>
              <w:right w:val="single" w:color="auto" w:sz="4" w:space="0"/>
            </w:tcBorders>
            <w:vAlign w:val="center"/>
          </w:tcPr>
          <w:p w14:paraId="5A196673">
            <w:pPr>
              <w:snapToGrid w:val="0"/>
              <w:spacing w:before="50" w:after="50" w:line="30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投标报价（元）</w:t>
            </w:r>
          </w:p>
        </w:tc>
      </w:tr>
      <w:tr w14:paraId="7D6E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283CED86">
            <w:pPr>
              <w:snapToGrid w:val="0"/>
              <w:spacing w:before="50" w:after="50" w:line="300" w:lineRule="auto"/>
              <w:jc w:val="center"/>
              <w:rPr>
                <w:rFonts w:asciiTheme="minorEastAsia" w:hAnsiTheme="minorEastAsia" w:eastAsiaTheme="minorEastAsia"/>
                <w:b/>
                <w:sz w:val="24"/>
              </w:rPr>
            </w:pPr>
            <w:r>
              <w:rPr>
                <w:rFonts w:asciiTheme="minorEastAsia" w:hAnsiTheme="minorEastAsia" w:eastAsiaTheme="minorEastAsia"/>
                <w:b/>
                <w:sz w:val="24"/>
              </w:rPr>
              <w:t>1</w:t>
            </w:r>
          </w:p>
        </w:tc>
        <w:tc>
          <w:tcPr>
            <w:tcW w:w="4757" w:type="dxa"/>
            <w:tcBorders>
              <w:top w:val="single" w:color="auto" w:sz="4" w:space="0"/>
              <w:left w:val="single" w:color="auto" w:sz="4" w:space="0"/>
              <w:bottom w:val="single" w:color="auto" w:sz="4" w:space="0"/>
              <w:right w:val="single" w:color="auto" w:sz="4" w:space="0"/>
            </w:tcBorders>
            <w:vAlign w:val="center"/>
          </w:tcPr>
          <w:p w14:paraId="0ED4C537">
            <w:pPr>
              <w:snapToGrid w:val="0"/>
              <w:spacing w:line="30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梅蓉逸宿提升改造工程厨房设备采购项目</w:t>
            </w:r>
          </w:p>
        </w:tc>
        <w:tc>
          <w:tcPr>
            <w:tcW w:w="1145" w:type="dxa"/>
            <w:tcBorders>
              <w:top w:val="single" w:color="auto" w:sz="4" w:space="0"/>
              <w:left w:val="single" w:color="auto" w:sz="4" w:space="0"/>
              <w:bottom w:val="single" w:color="auto" w:sz="4" w:space="0"/>
              <w:right w:val="single" w:color="auto" w:sz="4" w:space="0"/>
            </w:tcBorders>
            <w:vAlign w:val="center"/>
          </w:tcPr>
          <w:p w14:paraId="348EE1C3">
            <w:pPr>
              <w:snapToGrid w:val="0"/>
              <w:spacing w:line="30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批</w:t>
            </w:r>
          </w:p>
        </w:tc>
        <w:tc>
          <w:tcPr>
            <w:tcW w:w="2425" w:type="dxa"/>
            <w:tcBorders>
              <w:top w:val="single" w:color="auto" w:sz="4" w:space="0"/>
              <w:left w:val="single" w:color="auto" w:sz="4" w:space="0"/>
              <w:bottom w:val="single" w:color="auto" w:sz="4" w:space="0"/>
              <w:right w:val="single" w:color="auto" w:sz="4" w:space="0"/>
            </w:tcBorders>
            <w:vAlign w:val="center"/>
          </w:tcPr>
          <w:p w14:paraId="79DF8458">
            <w:pPr>
              <w:snapToGrid w:val="0"/>
              <w:spacing w:before="50" w:after="50" w:line="300" w:lineRule="auto"/>
              <w:jc w:val="center"/>
              <w:rPr>
                <w:rFonts w:asciiTheme="minorEastAsia" w:hAnsiTheme="minorEastAsia" w:eastAsiaTheme="minorEastAsia"/>
                <w:b/>
                <w:sz w:val="24"/>
              </w:rPr>
            </w:pPr>
          </w:p>
        </w:tc>
      </w:tr>
      <w:tr w14:paraId="1363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150" w:type="dxa"/>
            <w:gridSpan w:val="4"/>
            <w:tcBorders>
              <w:top w:val="single" w:color="auto" w:sz="4" w:space="0"/>
              <w:left w:val="single" w:color="auto" w:sz="4" w:space="0"/>
              <w:bottom w:val="single" w:color="auto" w:sz="4" w:space="0"/>
              <w:right w:val="single" w:color="auto" w:sz="4" w:space="0"/>
            </w:tcBorders>
            <w:vAlign w:val="center"/>
          </w:tcPr>
          <w:p w14:paraId="6207B831">
            <w:pPr>
              <w:snapToGrid w:val="0"/>
              <w:spacing w:before="50" w:after="50" w:line="300" w:lineRule="auto"/>
              <w:rPr>
                <w:rFonts w:asciiTheme="minorEastAsia" w:hAnsiTheme="minorEastAsia" w:eastAsiaTheme="minorEastAsia"/>
                <w:sz w:val="24"/>
                <w:u w:val="single"/>
              </w:rPr>
            </w:pPr>
            <w:r>
              <w:rPr>
                <w:rFonts w:hint="eastAsia" w:asciiTheme="minorEastAsia" w:hAnsiTheme="minorEastAsia" w:eastAsiaTheme="minorEastAsia"/>
                <w:sz w:val="24"/>
              </w:rPr>
              <w:t>投标总报价（以此为准）：</w:t>
            </w:r>
            <w:r>
              <w:rPr>
                <w:rFonts w:hint="eastAsia" w:asciiTheme="minorEastAsia" w:hAnsiTheme="minorEastAsia" w:eastAsiaTheme="minorEastAsia"/>
                <w:sz w:val="24"/>
                <w:u w:val="single"/>
              </w:rPr>
              <w:t xml:space="preserve">            （大写） </w:t>
            </w:r>
          </w:p>
        </w:tc>
      </w:tr>
    </w:tbl>
    <w:p w14:paraId="108CD913">
      <w:pPr>
        <w:rPr>
          <w:rFonts w:asciiTheme="minorEastAsia" w:hAnsiTheme="minorEastAsia" w:eastAsiaTheme="minorEastAsia"/>
          <w:sz w:val="22"/>
          <w:szCs w:val="22"/>
        </w:rPr>
      </w:pPr>
    </w:p>
    <w:p w14:paraId="70D9A9B0">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注:报价一经涂改，应在涂改处加盖单位公章或由法定代表人或授权委托人签字或盖章，否则其投标作无效标处理。</w:t>
      </w:r>
    </w:p>
    <w:p w14:paraId="7C8B91ED">
      <w:pPr>
        <w:autoSpaceDE w:val="0"/>
        <w:autoSpaceDN w:val="0"/>
        <w:adjustRightInd w:val="0"/>
        <w:spacing w:line="440" w:lineRule="exact"/>
        <w:ind w:firstLine="3600" w:firstLineChars="1500"/>
        <w:rPr>
          <w:rFonts w:cs="FangSong_GB2312" w:asciiTheme="minorEastAsia" w:hAnsiTheme="minorEastAsia" w:eastAsiaTheme="minorEastAsia"/>
          <w:kern w:val="0"/>
          <w:sz w:val="24"/>
          <w:lang w:val="zh-CN"/>
        </w:rPr>
      </w:pPr>
    </w:p>
    <w:p w14:paraId="17513BA4">
      <w:pPr>
        <w:autoSpaceDE w:val="0"/>
        <w:autoSpaceDN w:val="0"/>
        <w:adjustRightInd w:val="0"/>
        <w:spacing w:line="440" w:lineRule="exact"/>
        <w:ind w:firstLine="3600" w:firstLineChars="1500"/>
        <w:rPr>
          <w:rFonts w:cs="FangSong_GB2312" w:asciiTheme="minorEastAsia" w:hAnsiTheme="minorEastAsia" w:eastAsiaTheme="minorEastAsia"/>
          <w:kern w:val="0"/>
          <w:sz w:val="24"/>
          <w:lang w:val="zh-CN"/>
        </w:rPr>
      </w:pPr>
    </w:p>
    <w:p w14:paraId="3766670D">
      <w:pPr>
        <w:autoSpaceDE w:val="0"/>
        <w:autoSpaceDN w:val="0"/>
        <w:adjustRightInd w:val="0"/>
        <w:spacing w:line="440" w:lineRule="exact"/>
        <w:ind w:firstLine="3600" w:firstLineChars="1500"/>
        <w:rPr>
          <w:rFonts w:cs="FangSong_GB2312" w:asciiTheme="minorEastAsia" w:hAnsiTheme="minorEastAsia" w:eastAsiaTheme="minorEastAsia"/>
          <w:kern w:val="0"/>
          <w:sz w:val="24"/>
          <w:lang w:val="zh-CN"/>
        </w:rPr>
      </w:pPr>
    </w:p>
    <w:p w14:paraId="0586645B">
      <w:pPr>
        <w:autoSpaceDE w:val="0"/>
        <w:autoSpaceDN w:val="0"/>
        <w:adjustRightInd w:val="0"/>
        <w:spacing w:line="440" w:lineRule="exact"/>
        <w:jc w:val="left"/>
        <w:rPr>
          <w:rFonts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法定代表人签章：</w:t>
      </w:r>
    </w:p>
    <w:p w14:paraId="079E1560">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授权委托人签字：</w:t>
      </w:r>
    </w:p>
    <w:p w14:paraId="5AE0BE9B">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投标人盖章</w:t>
      </w:r>
      <w:r>
        <w:rPr>
          <w:rFonts w:cs="FangSong_GB2312" w:asciiTheme="minorEastAsia" w:hAnsiTheme="minorEastAsia" w:eastAsiaTheme="minorEastAsia"/>
          <w:kern w:val="0"/>
          <w:sz w:val="24"/>
          <w:lang w:val="zh-CN"/>
        </w:rPr>
        <w:t>:</w:t>
      </w:r>
    </w:p>
    <w:p w14:paraId="19E4D96F">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kern w:val="0"/>
          <w:sz w:val="24"/>
          <w:lang w:val="zh-CN"/>
        </w:rPr>
        <w:t>年月日</w:t>
      </w:r>
    </w:p>
    <w:p w14:paraId="7D3A09B1">
      <w:pPr>
        <w:spacing w:line="360" w:lineRule="auto"/>
        <w:rPr>
          <w:rFonts w:ascii="宋体" w:hAnsi="宋体"/>
          <w:b/>
          <w:sz w:val="24"/>
        </w:rPr>
        <w:sectPr>
          <w:pgSz w:w="11906" w:h="16838"/>
          <w:pgMar w:top="1440" w:right="1440" w:bottom="1440" w:left="1440" w:header="851" w:footer="992" w:gutter="0"/>
          <w:pgNumType w:start="1"/>
          <w:cols w:space="720" w:num="1"/>
          <w:titlePg/>
          <w:docGrid w:linePitch="312" w:charSpace="0"/>
        </w:sectPr>
      </w:pPr>
    </w:p>
    <w:p w14:paraId="238FB2B7">
      <w:pPr>
        <w:spacing w:line="360" w:lineRule="auto"/>
        <w:rPr>
          <w:rFonts w:ascii="宋体" w:hAnsi="宋体"/>
          <w:b/>
          <w:sz w:val="24"/>
        </w:rPr>
      </w:pPr>
      <w:r>
        <w:rPr>
          <w:rFonts w:hint="eastAsia" w:ascii="宋体" w:hAnsi="宋体"/>
          <w:b/>
          <w:sz w:val="24"/>
        </w:rPr>
        <w:t>（3）报价明细表</w:t>
      </w:r>
    </w:p>
    <w:p w14:paraId="71C77BBC">
      <w:pPr>
        <w:spacing w:line="360" w:lineRule="auto"/>
        <w:ind w:firstLine="420" w:firstLineChars="0"/>
        <w:jc w:val="left"/>
        <w:rPr>
          <w:rFonts w:hint="eastAsia" w:ascii="宋体" w:hAnsi="宋体"/>
          <w:b/>
          <w:bCs/>
          <w:sz w:val="24"/>
          <w:highlight w:val="none"/>
          <w:lang w:val="en-US" w:eastAsia="zh-CN"/>
        </w:rPr>
      </w:pPr>
    </w:p>
    <w:p w14:paraId="1D9DC008">
      <w:pPr>
        <w:pStyle w:val="19"/>
        <w:spacing w:line="360" w:lineRule="auto"/>
        <w:jc w:val="both"/>
        <w:rPr>
          <w:rFonts w:hint="default" w:ascii="宋体" w:hAnsi="宋体" w:eastAsia="宋体"/>
          <w:b/>
          <w:bCs/>
          <w:sz w:val="24"/>
          <w:highlight w:val="none"/>
          <w:lang w:val="en-US" w:eastAsia="zh-CN"/>
        </w:rPr>
      </w:pPr>
      <w:r>
        <w:rPr>
          <w:rFonts w:hint="eastAsia" w:ascii="宋体" w:hAnsi="宋体" w:eastAsia="宋体"/>
          <w:b/>
          <w:bCs/>
          <w:sz w:val="24"/>
          <w:highlight w:val="none"/>
          <w:lang w:val="en-US" w:eastAsia="zh-CN"/>
        </w:rPr>
        <w:t>注：报价清单格式详见本项目采购公告附件；</w:t>
      </w:r>
    </w:p>
    <w:p w14:paraId="5AFFFD8B">
      <w:pPr>
        <w:spacing w:beforeLines="50" w:afterLines="50" w:line="360" w:lineRule="auto"/>
        <w:ind w:right="105" w:rightChars="50"/>
        <w:rPr>
          <w:rFonts w:hint="default" w:asciiTheme="minorEastAsia" w:hAnsiTheme="minorEastAsia" w:eastAsiaTheme="minorEastAsia"/>
          <w:b/>
          <w:spacing w:val="20"/>
          <w:position w:val="2"/>
          <w:sz w:val="24"/>
          <w:lang w:val="en-US" w:eastAsia="zh-CN"/>
        </w:rPr>
      </w:pPr>
    </w:p>
    <w:p w14:paraId="0DD19747">
      <w:pPr>
        <w:spacing w:beforeLines="50" w:afterLines="50" w:line="360" w:lineRule="auto"/>
        <w:ind w:right="105" w:rightChars="50"/>
        <w:rPr>
          <w:rFonts w:hint="default" w:asciiTheme="minorEastAsia" w:hAnsiTheme="minorEastAsia" w:eastAsiaTheme="minorEastAsia"/>
          <w:b/>
          <w:spacing w:val="20"/>
          <w:position w:val="2"/>
          <w:sz w:val="24"/>
          <w:lang w:val="en-US" w:eastAsia="zh-CN"/>
        </w:rPr>
      </w:pPr>
    </w:p>
    <w:p w14:paraId="4604412E">
      <w:pPr>
        <w:spacing w:beforeLines="50" w:afterLines="50" w:line="360" w:lineRule="auto"/>
        <w:ind w:right="105" w:rightChars="50"/>
        <w:rPr>
          <w:rFonts w:hint="default" w:asciiTheme="minorEastAsia" w:hAnsiTheme="minorEastAsia" w:eastAsiaTheme="minorEastAsia"/>
          <w:b/>
          <w:spacing w:val="20"/>
          <w:position w:val="2"/>
          <w:sz w:val="24"/>
          <w:lang w:val="en-US" w:eastAsia="zh-CN"/>
        </w:rPr>
      </w:pPr>
    </w:p>
    <w:p w14:paraId="63B8474E">
      <w:pPr>
        <w:spacing w:beforeLines="50" w:afterLines="50" w:line="360" w:lineRule="auto"/>
        <w:ind w:right="105" w:rightChars="50"/>
        <w:rPr>
          <w:rFonts w:hint="default" w:asciiTheme="minorEastAsia" w:hAnsiTheme="minorEastAsia" w:eastAsiaTheme="minorEastAsia"/>
          <w:b/>
          <w:spacing w:val="20"/>
          <w:position w:val="2"/>
          <w:sz w:val="24"/>
          <w:lang w:val="en-US" w:eastAsia="zh-CN"/>
        </w:rPr>
      </w:pPr>
    </w:p>
    <w:p w14:paraId="2D6F23BE">
      <w:pPr>
        <w:autoSpaceDE w:val="0"/>
        <w:autoSpaceDN w:val="0"/>
        <w:adjustRightInd w:val="0"/>
        <w:spacing w:line="440" w:lineRule="exact"/>
        <w:jc w:val="left"/>
        <w:rPr>
          <w:rFonts w:asciiTheme="minorEastAsia" w:hAnsiTheme="minorEastAsia" w:eastAsiaTheme="minorEastAsia"/>
          <w:kern w:val="0"/>
          <w:sz w:val="24"/>
          <w:highlight w:val="none"/>
        </w:rPr>
      </w:pPr>
      <w:r>
        <w:rPr>
          <w:rFonts w:hint="eastAsia" w:cs="FangSong_GB2312" w:asciiTheme="minorEastAsia" w:hAnsiTheme="minorEastAsia" w:eastAsiaTheme="minorEastAsia"/>
          <w:kern w:val="0"/>
          <w:sz w:val="24"/>
          <w:highlight w:val="none"/>
          <w:lang w:val="zh-CN"/>
        </w:rPr>
        <w:t>法定代表人签章：</w:t>
      </w:r>
    </w:p>
    <w:p w14:paraId="4B324FB3">
      <w:pPr>
        <w:autoSpaceDE w:val="0"/>
        <w:autoSpaceDN w:val="0"/>
        <w:adjustRightInd w:val="0"/>
        <w:spacing w:line="440" w:lineRule="exact"/>
        <w:jc w:val="left"/>
        <w:rPr>
          <w:rFonts w:cs="FangSong_GB2312" w:asciiTheme="minorEastAsia" w:hAnsiTheme="minorEastAsia" w:eastAsiaTheme="minorEastAsia"/>
          <w:kern w:val="0"/>
          <w:sz w:val="24"/>
          <w:highlight w:val="none"/>
          <w:u w:val="single"/>
          <w:lang w:val="zh-CN"/>
        </w:rPr>
      </w:pPr>
      <w:r>
        <w:rPr>
          <w:rFonts w:hint="eastAsia" w:cs="FangSong_GB2312" w:asciiTheme="minorEastAsia" w:hAnsiTheme="minorEastAsia" w:eastAsiaTheme="minorEastAsia"/>
          <w:kern w:val="0"/>
          <w:sz w:val="24"/>
          <w:highlight w:val="none"/>
          <w:lang w:val="zh-CN"/>
        </w:rPr>
        <w:t>授权委托人签字：</w:t>
      </w:r>
    </w:p>
    <w:p w14:paraId="22A1ECF0">
      <w:pPr>
        <w:autoSpaceDE w:val="0"/>
        <w:autoSpaceDN w:val="0"/>
        <w:adjustRightInd w:val="0"/>
        <w:spacing w:line="440" w:lineRule="exact"/>
        <w:jc w:val="left"/>
        <w:rPr>
          <w:rFonts w:cs="FangSong_GB2312" w:asciiTheme="minorEastAsia" w:hAnsiTheme="minorEastAsia" w:eastAsiaTheme="minorEastAsia"/>
          <w:kern w:val="0"/>
          <w:sz w:val="24"/>
          <w:highlight w:val="none"/>
          <w:u w:val="single"/>
          <w:lang w:val="zh-CN"/>
        </w:rPr>
      </w:pPr>
      <w:r>
        <w:rPr>
          <w:rFonts w:hint="eastAsia" w:cs="FangSong_GB2312" w:asciiTheme="minorEastAsia" w:hAnsiTheme="minorEastAsia" w:eastAsiaTheme="minorEastAsia"/>
          <w:kern w:val="0"/>
          <w:sz w:val="24"/>
          <w:highlight w:val="none"/>
          <w:lang w:val="zh-CN"/>
        </w:rPr>
        <w:t>投标人盖章</w:t>
      </w:r>
      <w:r>
        <w:rPr>
          <w:rFonts w:cs="FangSong_GB2312" w:asciiTheme="minorEastAsia" w:hAnsiTheme="minorEastAsia" w:eastAsiaTheme="minorEastAsia"/>
          <w:kern w:val="0"/>
          <w:sz w:val="24"/>
          <w:highlight w:val="none"/>
          <w:lang w:val="zh-CN"/>
        </w:rPr>
        <w:t>:</w:t>
      </w:r>
    </w:p>
    <w:p w14:paraId="7CCBE2E0">
      <w:pPr>
        <w:autoSpaceDE w:val="0"/>
        <w:autoSpaceDN w:val="0"/>
        <w:adjustRightInd w:val="0"/>
        <w:spacing w:line="440" w:lineRule="exact"/>
        <w:jc w:val="left"/>
        <w:rPr>
          <w:rFonts w:cs="FangSong_GB2312" w:asciiTheme="minorEastAsia" w:hAnsiTheme="minorEastAsia" w:eastAsiaTheme="minorEastAsia"/>
          <w:kern w:val="0"/>
          <w:sz w:val="24"/>
          <w:highlight w:val="none"/>
          <w:u w:val="single"/>
          <w:lang w:val="zh-CN"/>
        </w:rPr>
      </w:pPr>
      <w:r>
        <w:rPr>
          <w:rFonts w:hint="eastAsia" w:cs="FangSong_GB2312" w:asciiTheme="minorEastAsia" w:hAnsiTheme="minorEastAsia" w:eastAsiaTheme="minorEastAsia"/>
          <w:kern w:val="0"/>
          <w:sz w:val="24"/>
          <w:highlight w:val="none"/>
          <w:lang w:val="zh-CN"/>
        </w:rPr>
        <w:t>日期</w:t>
      </w:r>
      <w:r>
        <w:rPr>
          <w:rFonts w:hint="eastAsia" w:cs="FangSong_GB2312" w:asciiTheme="minorEastAsia" w:hAnsiTheme="minorEastAsia" w:eastAsiaTheme="minorEastAsia"/>
          <w:kern w:val="0"/>
          <w:sz w:val="24"/>
          <w:highlight w:val="none"/>
        </w:rPr>
        <w:t>：</w:t>
      </w:r>
      <w:r>
        <w:rPr>
          <w:rFonts w:hint="eastAsia" w:cs="FangSong_GB2312" w:asciiTheme="minorEastAsia" w:hAnsiTheme="minorEastAsia" w:eastAsiaTheme="minorEastAsia"/>
          <w:kern w:val="0"/>
          <w:sz w:val="24"/>
          <w:highlight w:val="none"/>
          <w:lang w:val="zh-CN"/>
        </w:rPr>
        <w:t>年月日</w:t>
      </w:r>
    </w:p>
    <w:p w14:paraId="01B47E31">
      <w:pPr>
        <w:spacing w:beforeLines="50" w:afterLines="50" w:line="360" w:lineRule="auto"/>
        <w:ind w:right="105" w:rightChars="50"/>
        <w:rPr>
          <w:rFonts w:hint="default" w:asciiTheme="minorEastAsia" w:hAnsiTheme="minorEastAsia" w:eastAsiaTheme="minorEastAsia"/>
          <w:b/>
          <w:spacing w:val="20"/>
          <w:position w:val="2"/>
          <w:sz w:val="24"/>
          <w:lang w:val="en-US" w:eastAsia="zh-CN"/>
        </w:rPr>
      </w:pPr>
    </w:p>
    <w:sectPr>
      <w:pgSz w:w="11906" w:h="16838"/>
      <w:pgMar w:top="1440" w:right="1440" w:bottom="1440" w:left="1440" w:header="851" w:footer="992" w:gutter="0"/>
      <w:pgNumType w:start="1"/>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A89B">
    <w:pPr>
      <w:pStyle w:val="22"/>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44</w:t>
    </w:r>
    <w:r>
      <w:fldChar w:fldCharType="end"/>
    </w:r>
    <w:r>
      <w:rPr>
        <w:rFonts w:hint="eastAsia"/>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312F">
    <w:pPr>
      <w:pStyle w:val="22"/>
      <w:jc w:val="center"/>
    </w:pPr>
    <w:r>
      <w:pict>
        <v:shape id="4098" o:spid="_x0000_s4099" o:spt="202" type="#_x0000_t202" style="position:absolute;left:0pt;margin-top:0pt;height:16.9pt;width:31.55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257453A1">
                <w:pPr>
                  <w:pStyle w:val="22"/>
                </w:pPr>
                <w:r>
                  <w:rPr>
                    <w:rFonts w:hint="eastAsia"/>
                  </w:rPr>
                  <w:t>第</w:t>
                </w:r>
                <w:r>
                  <w:fldChar w:fldCharType="begin"/>
                </w:r>
                <w:r>
                  <w:instrText xml:space="preserve"> PAGE  \* MERGEFORMAT </w:instrText>
                </w:r>
                <w:r>
                  <w:fldChar w:fldCharType="separate"/>
                </w:r>
                <w:r>
                  <w:t>2</w:t>
                </w:r>
                <w:r>
                  <w:fldChar w:fldCharType="end"/>
                </w:r>
                <w:r>
                  <w:rPr>
                    <w:rFonts w:hint="eastAsia"/>
                  </w:rPr>
                  <w:t>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340A8">
    <w:pPr>
      <w:pStyle w:val="22"/>
    </w:pPr>
    <w:r>
      <w:pict>
        <v:shape id="4099" o:spid="_x0000_s4098" o:spt="202" type="#_x0000_t202" style="position:absolute;left:0pt;margin-top:0pt;height:16.9pt;width:31.55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585A2A67">
                <w:pPr>
                  <w:pStyle w:val="22"/>
                </w:pPr>
                <w:r>
                  <w:rPr>
                    <w:rFonts w:hint="eastAsia"/>
                  </w:rPr>
                  <w:t>第</w:t>
                </w:r>
                <w:r>
                  <w:fldChar w:fldCharType="begin"/>
                </w:r>
                <w:r>
                  <w:instrText xml:space="preserve"> PAGE  \* MERGEFORMAT </w:instrText>
                </w:r>
                <w:r>
                  <w:fldChar w:fldCharType="separate"/>
                </w:r>
                <w:r>
                  <w:t>1</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C923">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F096">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C531">
    <w:pPr>
      <w:pStyle w:val="15"/>
      <w:spacing w:line="14" w:lineRule="auto"/>
      <w:rPr>
        <w:sz w:val="20"/>
      </w:rPr>
    </w:pPr>
    <w:r>
      <w:rPr>
        <w:sz w:val="20"/>
      </w:rPr>
      <w:pict>
        <v:shape id="文本框 25"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qv7o+UBAADIAwAA&#10;DgAAAAAAAAABACAAAAAeAQAAZHJzL2Uyb0RvYy54bWxQSwUGAAAAAAYABgBZAQAAdQUAAAAA&#10;">
          <v:path/>
          <v:fill on="f" focussize="0,0"/>
          <v:stroke on="f" joinstyle="miter"/>
          <v:imagedata o:title=""/>
          <o:lock v:ext="edit"/>
          <v:textbox inset="0mm,0mm,0mm,0mm" style="mso-fit-shape-to-text:t;">
            <w:txbxContent>
              <w:p w14:paraId="2D64FB14">
                <w:pPr>
                  <w:pStyle w:val="22"/>
                </w:pPr>
                <w:r>
                  <w:fldChar w:fldCharType="begin"/>
                </w:r>
                <w:r>
                  <w:instrText xml:space="preserve"> PAGE  \* MERGEFORMAT </w:instrText>
                </w:r>
                <w:r>
                  <w:fldChar w:fldCharType="separate"/>
                </w:r>
                <w:r>
                  <w:t>11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360877"/>
    </w:sdtPr>
    <w:sdtContent>
      <w:p w14:paraId="01A6F9C0">
        <w:pPr>
          <w:pStyle w:val="22"/>
          <w:jc w:val="center"/>
        </w:pPr>
        <w:r>
          <w:fldChar w:fldCharType="begin"/>
        </w:r>
        <w:r>
          <w:instrText xml:space="preserve"> PAGE   \* MERGEFORMAT </w:instrText>
        </w:r>
        <w:r>
          <w:fldChar w:fldCharType="separate"/>
        </w:r>
        <w:r>
          <w:rPr>
            <w:lang w:val="zh-CN"/>
          </w:rPr>
          <w:t>119</w:t>
        </w:r>
        <w:r>
          <w:rPr>
            <w:lang w:val="zh-CN"/>
          </w:rPr>
          <w:fldChar w:fldCharType="end"/>
        </w:r>
      </w:p>
    </w:sdtContent>
  </w:sdt>
  <w:p w14:paraId="48A73C72">
    <w:pPr>
      <w:pStyle w:val="2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1B1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A236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C226">
    <w:pPr>
      <w:rPr>
        <w:rFonts w:ascii="FangSong_GB2312" w:eastAsia="FangSong_GB2312"/>
      </w:rPr>
    </w:pPr>
    <w:r>
      <w:rPr>
        <w:rFonts w:ascii="Times New Roman"/>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39EB0805">
                <w:pPr>
                  <w:pStyle w:val="22"/>
                </w:pPr>
                <w:r>
                  <w:fldChar w:fldCharType="begin"/>
                </w:r>
                <w:r>
                  <w:instrText xml:space="preserve"> PAGE  \* MERGEFORMAT </w:instrText>
                </w:r>
                <w:r>
                  <w:fldChar w:fldCharType="separate"/>
                </w:r>
                <w:r>
                  <w:t>32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18CD6">
    <w:pPr>
      <w:rPr>
        <w:rFonts w:ascii="FangSong_GB2312" w:eastAsia="FangSong_GB2312"/>
      </w:rPr>
    </w:pPr>
    <w:r>
      <w:rPr>
        <w:rFonts w:ascii="Times New Roman"/>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14:paraId="4A55B970">
                <w:pPr>
                  <w:pStyle w:val="22"/>
                </w:pPr>
                <w:r>
                  <w:fldChar w:fldCharType="begin"/>
                </w:r>
                <w:r>
                  <w:instrText xml:space="preserve"> PAGE  \* MERGEFORMAT </w:instrText>
                </w:r>
                <w:r>
                  <w:fldChar w:fldCharType="separate"/>
                </w:r>
                <w:r>
                  <w:t>24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F0DC0">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4CBE">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39E11">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881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A2C0">
    <w:pPr>
      <w:pStyle w:val="23"/>
      <w:jc w:val="right"/>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CBEE">
    <w:pPr>
      <w:pStyle w:val="23"/>
    </w:pPr>
    <w:r>
      <w:t></w:t>
    </w:r>
    <w:r>
      <w:rPr>
        <w:rFonts w:hint="eastAsia"/>
      </w:rPr>
      <w:t xml:space="preserve">         </w:t>
    </w:r>
  </w:p>
  <w:p w14:paraId="791F5E80">
    <w:pPr>
      <w:pStyle w:val="23"/>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DF28">
    <w:pPr>
      <w:pStyle w:val="23"/>
      <w:pBdr>
        <w:bottom w:val="none" w:color="auto" w:sz="0" w:space="1"/>
      </w:pBdr>
      <w:jc w:val="both"/>
      <w:rPr>
        <w:rFonts w:ascii="FangSong_GB2312" w:eastAsia="FangSong_GB2312"/>
        <w:b/>
        <w:i/>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267F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1"/>
      <w:lvlText w:val="•"/>
      <w:lvlJc w:val="left"/>
      <w:pPr>
        <w:ind w:left="7447" w:hanging="360"/>
      </w:pPr>
      <w:rPr>
        <w:rFonts w:hint="default" w:ascii="Cambria" w:hAnsi="Cambria" w:eastAsia="Cambria"/>
        <w:color w:val="5B9BD5"/>
      </w:rPr>
    </w:lvl>
  </w:abstractNum>
  <w:abstractNum w:abstractNumId="1">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00000003"/>
    <w:multiLevelType w:val="multilevel"/>
    <w:tmpl w:val="00000003"/>
    <w:lvl w:ilvl="0" w:tentative="0">
      <w:start w:val="1"/>
      <w:numFmt w:val="decimal"/>
      <w:pStyle w:val="8"/>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japaneseCounting"/>
      <w:lvlText w:val="%1、"/>
      <w:lvlJc w:val="left"/>
      <w:pPr>
        <w:ind w:left="992"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06"/>
    <w:multiLevelType w:val="multilevel"/>
    <w:tmpl w:val="00000006"/>
    <w:lvl w:ilvl="0" w:tentative="0">
      <w:start w:val="1"/>
      <w:numFmt w:val="bullet"/>
      <w:pStyle w:val="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7"/>
    <w:multiLevelType w:val="multilevel"/>
    <w:tmpl w:val="00000007"/>
    <w:lvl w:ilvl="0" w:tentative="0">
      <w:start w:val="1"/>
      <w:numFmt w:val="chineseCountingThousand"/>
      <w:pStyle w:val="3"/>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992" w:hanging="992"/>
      </w:pPr>
      <w:rPr>
        <w:rFonts w:hint="eastAsia"/>
      </w:rPr>
    </w:lvl>
    <w:lvl w:ilvl="2" w:tentative="0">
      <w:start w:val="1"/>
      <w:numFmt w:val="decimal"/>
      <w:pStyle w:val="5"/>
      <w:suff w:val="space"/>
      <w:lvlText w:val="%3."/>
      <w:lvlJc w:val="left"/>
      <w:pPr>
        <w:ind w:left="1418" w:hanging="1418"/>
      </w:pPr>
      <w:rPr>
        <w:rFonts w:hint="eastAsia"/>
      </w:rPr>
    </w:lvl>
    <w:lvl w:ilvl="3" w:tentative="0">
      <w:start w:val="1"/>
      <w:numFmt w:val="decimal"/>
      <w:pStyle w:val="6"/>
      <w:suff w:val="nothing"/>
      <w:lvlText w:val="（%4）"/>
      <w:lvlJc w:val="left"/>
      <w:pPr>
        <w:ind w:left="1984" w:hanging="1984"/>
      </w:pPr>
      <w:rPr>
        <w:rFonts w:hint="eastAsia"/>
      </w:rPr>
    </w:lvl>
    <w:lvl w:ilvl="4" w:tentative="0">
      <w:start w:val="1"/>
      <w:numFmt w:val="decimal"/>
      <w:pStyle w:val="7"/>
      <w:suff w:val="nothing"/>
      <w:lvlText w:val="%5）"/>
      <w:lvlJc w:val="left"/>
      <w:pPr>
        <w:ind w:left="15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0000008"/>
    <w:multiLevelType w:val="singleLevel"/>
    <w:tmpl w:val="00000008"/>
    <w:lvl w:ilvl="0" w:tentative="0">
      <w:start w:val="2"/>
      <w:numFmt w:val="chineseCounting"/>
      <w:suff w:val="space"/>
      <w:lvlText w:val="第%1章"/>
      <w:lvlJc w:val="left"/>
    </w:lvl>
  </w:abstractNum>
  <w:abstractNum w:abstractNumId="7">
    <w:nsid w:val="00000009"/>
    <w:multiLevelType w:val="singleLevel"/>
    <w:tmpl w:val="00000009"/>
    <w:lvl w:ilvl="0" w:tentative="0">
      <w:start w:val="3"/>
      <w:numFmt w:val="chineseCounting"/>
      <w:suff w:val="space"/>
      <w:lvlText w:val="第%1章"/>
      <w:lvlJc w:val="left"/>
    </w:lvl>
  </w:abstractNum>
  <w:abstractNum w:abstractNumId="8">
    <w:nsid w:val="0000000A"/>
    <w:multiLevelType w:val="singleLevel"/>
    <w:tmpl w:val="0000000A"/>
    <w:lvl w:ilvl="0" w:tentative="0">
      <w:start w:val="1"/>
      <w:numFmt w:val="decimal"/>
      <w:suff w:val="nothing"/>
      <w:lvlText w:val="%1."/>
      <w:lvlJc w:val="left"/>
      <w:rPr>
        <w:lang w:val="en-US" w:eastAsia="zh-CN"/>
      </w:r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0MGFiY2M5NGNhMzMxZjVmMmU3ODYzMzJhZmIxYjMifQ=="/>
  </w:docVars>
  <w:rsids>
    <w:rsidRoot w:val="001649B9"/>
    <w:rsid w:val="00002036"/>
    <w:rsid w:val="000024FB"/>
    <w:rsid w:val="000126C5"/>
    <w:rsid w:val="000333CE"/>
    <w:rsid w:val="000369B5"/>
    <w:rsid w:val="00040D36"/>
    <w:rsid w:val="00047B08"/>
    <w:rsid w:val="0005014F"/>
    <w:rsid w:val="00055C8F"/>
    <w:rsid w:val="000720AC"/>
    <w:rsid w:val="00072340"/>
    <w:rsid w:val="000744BA"/>
    <w:rsid w:val="000749EB"/>
    <w:rsid w:val="000769E6"/>
    <w:rsid w:val="000862F2"/>
    <w:rsid w:val="000921AE"/>
    <w:rsid w:val="000944AD"/>
    <w:rsid w:val="00094C31"/>
    <w:rsid w:val="000C2619"/>
    <w:rsid w:val="000D1A8C"/>
    <w:rsid w:val="000D2A00"/>
    <w:rsid w:val="000D38E1"/>
    <w:rsid w:val="000E1229"/>
    <w:rsid w:val="000E4490"/>
    <w:rsid w:val="000F647F"/>
    <w:rsid w:val="00112643"/>
    <w:rsid w:val="001176AC"/>
    <w:rsid w:val="00120244"/>
    <w:rsid w:val="00120277"/>
    <w:rsid w:val="00121DBC"/>
    <w:rsid w:val="0014111A"/>
    <w:rsid w:val="00142C67"/>
    <w:rsid w:val="00150BAB"/>
    <w:rsid w:val="00152E0B"/>
    <w:rsid w:val="0015468B"/>
    <w:rsid w:val="00155160"/>
    <w:rsid w:val="001576E0"/>
    <w:rsid w:val="00161F9F"/>
    <w:rsid w:val="00163DAF"/>
    <w:rsid w:val="001649B9"/>
    <w:rsid w:val="0016635D"/>
    <w:rsid w:val="00172FD6"/>
    <w:rsid w:val="00174156"/>
    <w:rsid w:val="00181CE5"/>
    <w:rsid w:val="0018583D"/>
    <w:rsid w:val="0019232D"/>
    <w:rsid w:val="00192563"/>
    <w:rsid w:val="0019367C"/>
    <w:rsid w:val="00193AAD"/>
    <w:rsid w:val="001963CB"/>
    <w:rsid w:val="00196FAF"/>
    <w:rsid w:val="001B1C40"/>
    <w:rsid w:val="001B36CB"/>
    <w:rsid w:val="001B3A4B"/>
    <w:rsid w:val="001B7359"/>
    <w:rsid w:val="001C407E"/>
    <w:rsid w:val="001D2BC3"/>
    <w:rsid w:val="001D4E0A"/>
    <w:rsid w:val="001D7320"/>
    <w:rsid w:val="001E7E8E"/>
    <w:rsid w:val="001F0D51"/>
    <w:rsid w:val="001F5323"/>
    <w:rsid w:val="002015A0"/>
    <w:rsid w:val="00201852"/>
    <w:rsid w:val="00202AC6"/>
    <w:rsid w:val="00217BDD"/>
    <w:rsid w:val="00244777"/>
    <w:rsid w:val="00245F16"/>
    <w:rsid w:val="00246D1B"/>
    <w:rsid w:val="0025758C"/>
    <w:rsid w:val="00260850"/>
    <w:rsid w:val="00267A49"/>
    <w:rsid w:val="00267E9D"/>
    <w:rsid w:val="00275487"/>
    <w:rsid w:val="00277C20"/>
    <w:rsid w:val="002848D0"/>
    <w:rsid w:val="0028628D"/>
    <w:rsid w:val="002901BE"/>
    <w:rsid w:val="002A1CAD"/>
    <w:rsid w:val="002A2FA9"/>
    <w:rsid w:val="002A6599"/>
    <w:rsid w:val="002B1F87"/>
    <w:rsid w:val="002B5FBE"/>
    <w:rsid w:val="002C2900"/>
    <w:rsid w:val="002C33AE"/>
    <w:rsid w:val="002C6E7F"/>
    <w:rsid w:val="002D1415"/>
    <w:rsid w:val="002D7CF6"/>
    <w:rsid w:val="002E3647"/>
    <w:rsid w:val="002F0507"/>
    <w:rsid w:val="002F72F1"/>
    <w:rsid w:val="003101FC"/>
    <w:rsid w:val="00314719"/>
    <w:rsid w:val="00316F37"/>
    <w:rsid w:val="00325260"/>
    <w:rsid w:val="00327BB2"/>
    <w:rsid w:val="003316B6"/>
    <w:rsid w:val="00333D05"/>
    <w:rsid w:val="0033566B"/>
    <w:rsid w:val="003406CC"/>
    <w:rsid w:val="00347887"/>
    <w:rsid w:val="00350661"/>
    <w:rsid w:val="00355619"/>
    <w:rsid w:val="00362058"/>
    <w:rsid w:val="00364B07"/>
    <w:rsid w:val="00370089"/>
    <w:rsid w:val="00372297"/>
    <w:rsid w:val="00373B69"/>
    <w:rsid w:val="003743D1"/>
    <w:rsid w:val="00376DB4"/>
    <w:rsid w:val="00381A1F"/>
    <w:rsid w:val="00384E91"/>
    <w:rsid w:val="003A1D5C"/>
    <w:rsid w:val="003A480A"/>
    <w:rsid w:val="003A4CA9"/>
    <w:rsid w:val="003A5730"/>
    <w:rsid w:val="003B4691"/>
    <w:rsid w:val="003C7E05"/>
    <w:rsid w:val="003D00BB"/>
    <w:rsid w:val="003D456C"/>
    <w:rsid w:val="003D4B49"/>
    <w:rsid w:val="003E18A4"/>
    <w:rsid w:val="003E4FA4"/>
    <w:rsid w:val="003F051B"/>
    <w:rsid w:val="003F1E35"/>
    <w:rsid w:val="00400270"/>
    <w:rsid w:val="004039E9"/>
    <w:rsid w:val="00416A97"/>
    <w:rsid w:val="00423024"/>
    <w:rsid w:val="00437B8B"/>
    <w:rsid w:val="004440E5"/>
    <w:rsid w:val="004527EB"/>
    <w:rsid w:val="00457E24"/>
    <w:rsid w:val="00460A06"/>
    <w:rsid w:val="00464100"/>
    <w:rsid w:val="0047077A"/>
    <w:rsid w:val="00491C63"/>
    <w:rsid w:val="004A03C7"/>
    <w:rsid w:val="004B57C0"/>
    <w:rsid w:val="004B57DE"/>
    <w:rsid w:val="004C19A8"/>
    <w:rsid w:val="004C38F3"/>
    <w:rsid w:val="004C5C71"/>
    <w:rsid w:val="004D0DB1"/>
    <w:rsid w:val="004D2CA6"/>
    <w:rsid w:val="004D388B"/>
    <w:rsid w:val="004E10BF"/>
    <w:rsid w:val="004E259C"/>
    <w:rsid w:val="004E488E"/>
    <w:rsid w:val="004E7D52"/>
    <w:rsid w:val="004F08E4"/>
    <w:rsid w:val="004F1F26"/>
    <w:rsid w:val="00500CCD"/>
    <w:rsid w:val="00502C28"/>
    <w:rsid w:val="00513C50"/>
    <w:rsid w:val="00514F29"/>
    <w:rsid w:val="00534025"/>
    <w:rsid w:val="00534FCA"/>
    <w:rsid w:val="00543E17"/>
    <w:rsid w:val="0054459C"/>
    <w:rsid w:val="00544635"/>
    <w:rsid w:val="005521AB"/>
    <w:rsid w:val="00553A1B"/>
    <w:rsid w:val="00565A48"/>
    <w:rsid w:val="00571686"/>
    <w:rsid w:val="0057439F"/>
    <w:rsid w:val="005866DC"/>
    <w:rsid w:val="00586D29"/>
    <w:rsid w:val="005A1ECE"/>
    <w:rsid w:val="005B553A"/>
    <w:rsid w:val="005C3C6A"/>
    <w:rsid w:val="005C43A4"/>
    <w:rsid w:val="005D554C"/>
    <w:rsid w:val="005D63E6"/>
    <w:rsid w:val="005E1D1E"/>
    <w:rsid w:val="005F0E11"/>
    <w:rsid w:val="005F5624"/>
    <w:rsid w:val="00602011"/>
    <w:rsid w:val="00602F07"/>
    <w:rsid w:val="00612AC6"/>
    <w:rsid w:val="00622467"/>
    <w:rsid w:val="00641997"/>
    <w:rsid w:val="0065105A"/>
    <w:rsid w:val="006562A0"/>
    <w:rsid w:val="006571BD"/>
    <w:rsid w:val="0066278A"/>
    <w:rsid w:val="00670CE8"/>
    <w:rsid w:val="006737F2"/>
    <w:rsid w:val="00680429"/>
    <w:rsid w:val="00682930"/>
    <w:rsid w:val="00684197"/>
    <w:rsid w:val="00684AC9"/>
    <w:rsid w:val="00691AE0"/>
    <w:rsid w:val="00693D52"/>
    <w:rsid w:val="006942C0"/>
    <w:rsid w:val="006A1D2A"/>
    <w:rsid w:val="006A7E00"/>
    <w:rsid w:val="006B1807"/>
    <w:rsid w:val="006B2ED4"/>
    <w:rsid w:val="006C7317"/>
    <w:rsid w:val="006D14E0"/>
    <w:rsid w:val="006D2552"/>
    <w:rsid w:val="006D7D19"/>
    <w:rsid w:val="007002F5"/>
    <w:rsid w:val="00713737"/>
    <w:rsid w:val="00715CC4"/>
    <w:rsid w:val="00721505"/>
    <w:rsid w:val="0072239D"/>
    <w:rsid w:val="0072388F"/>
    <w:rsid w:val="00731BAB"/>
    <w:rsid w:val="00733C52"/>
    <w:rsid w:val="007441C7"/>
    <w:rsid w:val="007517E4"/>
    <w:rsid w:val="00757BE4"/>
    <w:rsid w:val="00761FDA"/>
    <w:rsid w:val="00765CE2"/>
    <w:rsid w:val="00767A9D"/>
    <w:rsid w:val="007711EA"/>
    <w:rsid w:val="00776F77"/>
    <w:rsid w:val="0078454B"/>
    <w:rsid w:val="00791299"/>
    <w:rsid w:val="007B0F19"/>
    <w:rsid w:val="007B33C8"/>
    <w:rsid w:val="007C053E"/>
    <w:rsid w:val="007C274F"/>
    <w:rsid w:val="007C63C6"/>
    <w:rsid w:val="007C75F4"/>
    <w:rsid w:val="007E1AA5"/>
    <w:rsid w:val="00801843"/>
    <w:rsid w:val="00814908"/>
    <w:rsid w:val="00815544"/>
    <w:rsid w:val="00817043"/>
    <w:rsid w:val="0082690F"/>
    <w:rsid w:val="008302B3"/>
    <w:rsid w:val="00833AD4"/>
    <w:rsid w:val="00846DC6"/>
    <w:rsid w:val="008617C7"/>
    <w:rsid w:val="0086564C"/>
    <w:rsid w:val="008719F8"/>
    <w:rsid w:val="00872824"/>
    <w:rsid w:val="00882EF4"/>
    <w:rsid w:val="008A2399"/>
    <w:rsid w:val="008A592B"/>
    <w:rsid w:val="008B4E45"/>
    <w:rsid w:val="008C2335"/>
    <w:rsid w:val="008C5EB4"/>
    <w:rsid w:val="008C75B5"/>
    <w:rsid w:val="008C7DA2"/>
    <w:rsid w:val="008D6B10"/>
    <w:rsid w:val="008D7211"/>
    <w:rsid w:val="008D7688"/>
    <w:rsid w:val="008E02CA"/>
    <w:rsid w:val="008E4CE4"/>
    <w:rsid w:val="008F1AB6"/>
    <w:rsid w:val="009003A4"/>
    <w:rsid w:val="0090712D"/>
    <w:rsid w:val="0091388C"/>
    <w:rsid w:val="00920119"/>
    <w:rsid w:val="00921031"/>
    <w:rsid w:val="009218AF"/>
    <w:rsid w:val="00922240"/>
    <w:rsid w:val="00922EA4"/>
    <w:rsid w:val="0092443D"/>
    <w:rsid w:val="00943B08"/>
    <w:rsid w:val="00944997"/>
    <w:rsid w:val="009533E7"/>
    <w:rsid w:val="00953B74"/>
    <w:rsid w:val="009626ED"/>
    <w:rsid w:val="00963516"/>
    <w:rsid w:val="00963527"/>
    <w:rsid w:val="00970853"/>
    <w:rsid w:val="00970B25"/>
    <w:rsid w:val="009838E9"/>
    <w:rsid w:val="00987738"/>
    <w:rsid w:val="00992F69"/>
    <w:rsid w:val="00993A67"/>
    <w:rsid w:val="009A3592"/>
    <w:rsid w:val="009B433F"/>
    <w:rsid w:val="009C33CC"/>
    <w:rsid w:val="009D1D41"/>
    <w:rsid w:val="009D4C42"/>
    <w:rsid w:val="009D6752"/>
    <w:rsid w:val="009E26DF"/>
    <w:rsid w:val="009E74B7"/>
    <w:rsid w:val="009F0BDC"/>
    <w:rsid w:val="009F4CB1"/>
    <w:rsid w:val="00A007E9"/>
    <w:rsid w:val="00A00A75"/>
    <w:rsid w:val="00A01327"/>
    <w:rsid w:val="00A04AF2"/>
    <w:rsid w:val="00A177C0"/>
    <w:rsid w:val="00A25A1D"/>
    <w:rsid w:val="00A4144C"/>
    <w:rsid w:val="00A45E45"/>
    <w:rsid w:val="00A50941"/>
    <w:rsid w:val="00A60A7D"/>
    <w:rsid w:val="00A665FA"/>
    <w:rsid w:val="00A66F8A"/>
    <w:rsid w:val="00A70C01"/>
    <w:rsid w:val="00A70DFB"/>
    <w:rsid w:val="00A72FEB"/>
    <w:rsid w:val="00A87B8C"/>
    <w:rsid w:val="00A90967"/>
    <w:rsid w:val="00A938DD"/>
    <w:rsid w:val="00A9685F"/>
    <w:rsid w:val="00AA0DE5"/>
    <w:rsid w:val="00AA7012"/>
    <w:rsid w:val="00AE2DAA"/>
    <w:rsid w:val="00AF466C"/>
    <w:rsid w:val="00AF52BF"/>
    <w:rsid w:val="00B038EF"/>
    <w:rsid w:val="00B114FD"/>
    <w:rsid w:val="00B1404A"/>
    <w:rsid w:val="00B1600A"/>
    <w:rsid w:val="00B168A0"/>
    <w:rsid w:val="00B17053"/>
    <w:rsid w:val="00B17900"/>
    <w:rsid w:val="00B17BEF"/>
    <w:rsid w:val="00B206D8"/>
    <w:rsid w:val="00B238BC"/>
    <w:rsid w:val="00B241B5"/>
    <w:rsid w:val="00B40CE9"/>
    <w:rsid w:val="00B4565B"/>
    <w:rsid w:val="00B76AD1"/>
    <w:rsid w:val="00B81A8B"/>
    <w:rsid w:val="00B825CF"/>
    <w:rsid w:val="00B8369E"/>
    <w:rsid w:val="00B83C79"/>
    <w:rsid w:val="00B849A5"/>
    <w:rsid w:val="00B912BF"/>
    <w:rsid w:val="00B928BD"/>
    <w:rsid w:val="00B978A1"/>
    <w:rsid w:val="00BA0D44"/>
    <w:rsid w:val="00BA442A"/>
    <w:rsid w:val="00BB00D2"/>
    <w:rsid w:val="00BB0E1E"/>
    <w:rsid w:val="00BB5931"/>
    <w:rsid w:val="00BC76B1"/>
    <w:rsid w:val="00BD61EC"/>
    <w:rsid w:val="00BE579A"/>
    <w:rsid w:val="00BE62BE"/>
    <w:rsid w:val="00C07457"/>
    <w:rsid w:val="00C10515"/>
    <w:rsid w:val="00C33197"/>
    <w:rsid w:val="00C4507D"/>
    <w:rsid w:val="00C5341A"/>
    <w:rsid w:val="00C56DF7"/>
    <w:rsid w:val="00C60791"/>
    <w:rsid w:val="00C62C90"/>
    <w:rsid w:val="00C9053C"/>
    <w:rsid w:val="00C91037"/>
    <w:rsid w:val="00C9211A"/>
    <w:rsid w:val="00CA548C"/>
    <w:rsid w:val="00CA6434"/>
    <w:rsid w:val="00CA7600"/>
    <w:rsid w:val="00CB07ED"/>
    <w:rsid w:val="00CB3A57"/>
    <w:rsid w:val="00CB42DD"/>
    <w:rsid w:val="00CC7D99"/>
    <w:rsid w:val="00CE01E3"/>
    <w:rsid w:val="00CF1BE3"/>
    <w:rsid w:val="00CF5D3B"/>
    <w:rsid w:val="00D1427B"/>
    <w:rsid w:val="00D14C39"/>
    <w:rsid w:val="00D33620"/>
    <w:rsid w:val="00D33F64"/>
    <w:rsid w:val="00D345F3"/>
    <w:rsid w:val="00D34ED0"/>
    <w:rsid w:val="00D40BA9"/>
    <w:rsid w:val="00D47381"/>
    <w:rsid w:val="00D53ACC"/>
    <w:rsid w:val="00D560CC"/>
    <w:rsid w:val="00D61E14"/>
    <w:rsid w:val="00D75059"/>
    <w:rsid w:val="00D82E7F"/>
    <w:rsid w:val="00D90008"/>
    <w:rsid w:val="00DA4C14"/>
    <w:rsid w:val="00DA6765"/>
    <w:rsid w:val="00DB33F5"/>
    <w:rsid w:val="00DB6C50"/>
    <w:rsid w:val="00DD29CF"/>
    <w:rsid w:val="00E0472E"/>
    <w:rsid w:val="00E04AF2"/>
    <w:rsid w:val="00E0506E"/>
    <w:rsid w:val="00E127C3"/>
    <w:rsid w:val="00E14797"/>
    <w:rsid w:val="00E22EB3"/>
    <w:rsid w:val="00E31956"/>
    <w:rsid w:val="00E35563"/>
    <w:rsid w:val="00E466F1"/>
    <w:rsid w:val="00E51E05"/>
    <w:rsid w:val="00E63A93"/>
    <w:rsid w:val="00E67334"/>
    <w:rsid w:val="00E7683A"/>
    <w:rsid w:val="00E833DC"/>
    <w:rsid w:val="00EA088E"/>
    <w:rsid w:val="00EA2B9D"/>
    <w:rsid w:val="00EA336E"/>
    <w:rsid w:val="00EA46C8"/>
    <w:rsid w:val="00EA47B0"/>
    <w:rsid w:val="00EA6D01"/>
    <w:rsid w:val="00EC04AD"/>
    <w:rsid w:val="00EC0AF4"/>
    <w:rsid w:val="00EC546D"/>
    <w:rsid w:val="00EF31AF"/>
    <w:rsid w:val="00F01E1B"/>
    <w:rsid w:val="00F032A1"/>
    <w:rsid w:val="00F12B1E"/>
    <w:rsid w:val="00F152A5"/>
    <w:rsid w:val="00F15A19"/>
    <w:rsid w:val="00F42A86"/>
    <w:rsid w:val="00F50A5E"/>
    <w:rsid w:val="00F52D8B"/>
    <w:rsid w:val="00F65FF6"/>
    <w:rsid w:val="00F667EC"/>
    <w:rsid w:val="00F90C8F"/>
    <w:rsid w:val="00F91D8F"/>
    <w:rsid w:val="00F930A7"/>
    <w:rsid w:val="00FA08DB"/>
    <w:rsid w:val="00FA5942"/>
    <w:rsid w:val="00FB2176"/>
    <w:rsid w:val="00FB4123"/>
    <w:rsid w:val="00FC2B38"/>
    <w:rsid w:val="00FD3C1C"/>
    <w:rsid w:val="00FE0B29"/>
    <w:rsid w:val="00FE25CB"/>
    <w:rsid w:val="013A2571"/>
    <w:rsid w:val="02416BB8"/>
    <w:rsid w:val="02BF3353"/>
    <w:rsid w:val="03365A5A"/>
    <w:rsid w:val="03454E2E"/>
    <w:rsid w:val="03FB03BA"/>
    <w:rsid w:val="04381FC3"/>
    <w:rsid w:val="04531FA4"/>
    <w:rsid w:val="053F4A25"/>
    <w:rsid w:val="05922371"/>
    <w:rsid w:val="05A73CBA"/>
    <w:rsid w:val="0797276A"/>
    <w:rsid w:val="07BB20A9"/>
    <w:rsid w:val="07E64C3E"/>
    <w:rsid w:val="085E6D37"/>
    <w:rsid w:val="08A05695"/>
    <w:rsid w:val="092E4D8E"/>
    <w:rsid w:val="0A4505E1"/>
    <w:rsid w:val="0B374A83"/>
    <w:rsid w:val="0BE502CE"/>
    <w:rsid w:val="0BE508DA"/>
    <w:rsid w:val="0BF30CCB"/>
    <w:rsid w:val="0BFC4739"/>
    <w:rsid w:val="0C4E171A"/>
    <w:rsid w:val="0CD36E5E"/>
    <w:rsid w:val="0E6F00B3"/>
    <w:rsid w:val="0F736CB4"/>
    <w:rsid w:val="10645216"/>
    <w:rsid w:val="1086055A"/>
    <w:rsid w:val="11E578A2"/>
    <w:rsid w:val="11FA7F03"/>
    <w:rsid w:val="121A67F7"/>
    <w:rsid w:val="13441381"/>
    <w:rsid w:val="14751827"/>
    <w:rsid w:val="14882BFE"/>
    <w:rsid w:val="14D558B7"/>
    <w:rsid w:val="158D151C"/>
    <w:rsid w:val="15D87D38"/>
    <w:rsid w:val="15EA625A"/>
    <w:rsid w:val="16900E36"/>
    <w:rsid w:val="16917DF9"/>
    <w:rsid w:val="16AA639C"/>
    <w:rsid w:val="16DF3B6C"/>
    <w:rsid w:val="17F673BF"/>
    <w:rsid w:val="18345DDE"/>
    <w:rsid w:val="18885CAD"/>
    <w:rsid w:val="18E7154D"/>
    <w:rsid w:val="193F113A"/>
    <w:rsid w:val="19CA28B1"/>
    <w:rsid w:val="19DD6C02"/>
    <w:rsid w:val="1A134258"/>
    <w:rsid w:val="1A3F504D"/>
    <w:rsid w:val="1ABA46D4"/>
    <w:rsid w:val="1B397D65"/>
    <w:rsid w:val="1B642891"/>
    <w:rsid w:val="1C411033"/>
    <w:rsid w:val="1C441A5C"/>
    <w:rsid w:val="1D676696"/>
    <w:rsid w:val="1DE6606E"/>
    <w:rsid w:val="1ED815CC"/>
    <w:rsid w:val="1EE25341"/>
    <w:rsid w:val="20BB5ADD"/>
    <w:rsid w:val="210E39CB"/>
    <w:rsid w:val="21A5216D"/>
    <w:rsid w:val="21B34A2B"/>
    <w:rsid w:val="21E71400"/>
    <w:rsid w:val="226D4721"/>
    <w:rsid w:val="228072CB"/>
    <w:rsid w:val="22EB419A"/>
    <w:rsid w:val="231D7EF5"/>
    <w:rsid w:val="23F53C41"/>
    <w:rsid w:val="267C4F33"/>
    <w:rsid w:val="26B11081"/>
    <w:rsid w:val="27BF157B"/>
    <w:rsid w:val="299F78B6"/>
    <w:rsid w:val="29FB62B0"/>
    <w:rsid w:val="2A88659C"/>
    <w:rsid w:val="2BBE5028"/>
    <w:rsid w:val="2CAD21EF"/>
    <w:rsid w:val="2D0D096A"/>
    <w:rsid w:val="2EDC604A"/>
    <w:rsid w:val="2F2758EA"/>
    <w:rsid w:val="2F44743E"/>
    <w:rsid w:val="2FE56C5C"/>
    <w:rsid w:val="33355BAA"/>
    <w:rsid w:val="33541711"/>
    <w:rsid w:val="341C35DE"/>
    <w:rsid w:val="34847DD4"/>
    <w:rsid w:val="36506B96"/>
    <w:rsid w:val="37D464BF"/>
    <w:rsid w:val="3916637F"/>
    <w:rsid w:val="39553AED"/>
    <w:rsid w:val="39D0586A"/>
    <w:rsid w:val="3A9B261C"/>
    <w:rsid w:val="3B4974F4"/>
    <w:rsid w:val="3B6C59E5"/>
    <w:rsid w:val="3B7202FE"/>
    <w:rsid w:val="3C6A71CE"/>
    <w:rsid w:val="3C80719C"/>
    <w:rsid w:val="3C9F37B2"/>
    <w:rsid w:val="3D89645B"/>
    <w:rsid w:val="3D8E34A5"/>
    <w:rsid w:val="3DAE7C70"/>
    <w:rsid w:val="3DE2791A"/>
    <w:rsid w:val="3F621BB4"/>
    <w:rsid w:val="40EF4827"/>
    <w:rsid w:val="40F260C6"/>
    <w:rsid w:val="41566655"/>
    <w:rsid w:val="422266ED"/>
    <w:rsid w:val="4340597B"/>
    <w:rsid w:val="44E977E0"/>
    <w:rsid w:val="450974A1"/>
    <w:rsid w:val="468A0B4E"/>
    <w:rsid w:val="486513DA"/>
    <w:rsid w:val="494476DB"/>
    <w:rsid w:val="497C12FA"/>
    <w:rsid w:val="498023DC"/>
    <w:rsid w:val="4CBB7CB4"/>
    <w:rsid w:val="4CC957B2"/>
    <w:rsid w:val="4CE65573"/>
    <w:rsid w:val="4DC569E4"/>
    <w:rsid w:val="4DDB2ACA"/>
    <w:rsid w:val="4F846D4E"/>
    <w:rsid w:val="506730B2"/>
    <w:rsid w:val="52A019BD"/>
    <w:rsid w:val="52A86F2C"/>
    <w:rsid w:val="52D21D13"/>
    <w:rsid w:val="544762D1"/>
    <w:rsid w:val="54D56D47"/>
    <w:rsid w:val="55071090"/>
    <w:rsid w:val="55210D67"/>
    <w:rsid w:val="559612BE"/>
    <w:rsid w:val="56192986"/>
    <w:rsid w:val="581035A9"/>
    <w:rsid w:val="585B05BF"/>
    <w:rsid w:val="597E01B2"/>
    <w:rsid w:val="5A39048D"/>
    <w:rsid w:val="5CF35248"/>
    <w:rsid w:val="5D565F83"/>
    <w:rsid w:val="5E3478C6"/>
    <w:rsid w:val="5E367ACA"/>
    <w:rsid w:val="5E7B5ABE"/>
    <w:rsid w:val="5EB72012"/>
    <w:rsid w:val="5ED533DF"/>
    <w:rsid w:val="6000674E"/>
    <w:rsid w:val="6025396A"/>
    <w:rsid w:val="604B787F"/>
    <w:rsid w:val="6099545F"/>
    <w:rsid w:val="611B3F3F"/>
    <w:rsid w:val="613F3EE8"/>
    <w:rsid w:val="61A60ADB"/>
    <w:rsid w:val="62B71C18"/>
    <w:rsid w:val="63DC18EC"/>
    <w:rsid w:val="65006754"/>
    <w:rsid w:val="65B255C3"/>
    <w:rsid w:val="66670D70"/>
    <w:rsid w:val="66A70F29"/>
    <w:rsid w:val="670A1B0C"/>
    <w:rsid w:val="67BB4BB4"/>
    <w:rsid w:val="6A0E36C1"/>
    <w:rsid w:val="6B4328E0"/>
    <w:rsid w:val="6BBA6316"/>
    <w:rsid w:val="6BEA6F9E"/>
    <w:rsid w:val="6CF21F37"/>
    <w:rsid w:val="6D771AF1"/>
    <w:rsid w:val="6E386283"/>
    <w:rsid w:val="6EEE4E0C"/>
    <w:rsid w:val="6F914B78"/>
    <w:rsid w:val="6F963F3C"/>
    <w:rsid w:val="6FD11419"/>
    <w:rsid w:val="71714726"/>
    <w:rsid w:val="72037F03"/>
    <w:rsid w:val="72677C8A"/>
    <w:rsid w:val="75162A5D"/>
    <w:rsid w:val="75DC1208"/>
    <w:rsid w:val="76AE17DD"/>
    <w:rsid w:val="77A411C1"/>
    <w:rsid w:val="77CE5871"/>
    <w:rsid w:val="791E4FA3"/>
    <w:rsid w:val="7C097CF3"/>
    <w:rsid w:val="7C1E3C37"/>
    <w:rsid w:val="7C4668EC"/>
    <w:rsid w:val="7C6E38EB"/>
    <w:rsid w:val="7EA50971"/>
    <w:rsid w:val="7EF06D30"/>
    <w:rsid w:val="7FDC3C81"/>
    <w:rsid w:val="7FEA0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67"/>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4"/>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52"/>
    <w:qFormat/>
    <w:uiPriority w:val="0"/>
    <w:pPr>
      <w:keepNext/>
      <w:keepLines/>
      <w:numPr>
        <w:ilvl w:val="4"/>
        <w:numId w:val="1"/>
      </w:numPr>
      <w:spacing w:before="280" w:after="290" w:line="360" w:lineRule="auto"/>
      <w:jc w:val="left"/>
      <w:outlineLvl w:val="4"/>
    </w:pPr>
    <w:rPr>
      <w:b/>
      <w:bCs/>
      <w:kern w:val="0"/>
      <w:sz w:val="24"/>
      <w:szCs w:val="28"/>
    </w:rPr>
  </w:style>
  <w:style w:type="paragraph" w:styleId="2">
    <w:name w:val="heading 6"/>
    <w:basedOn w:val="1"/>
    <w:next w:val="1"/>
    <w:link w:val="53"/>
    <w:qFormat/>
    <w:uiPriority w:val="0"/>
    <w:pPr>
      <w:keepNext/>
      <w:keepLines/>
      <w:spacing w:before="240" w:after="64" w:line="320" w:lineRule="auto"/>
      <w:outlineLvl w:val="5"/>
    </w:pPr>
    <w:rPr>
      <w:rFonts w:ascii="Cambria" w:hAnsi="Cambria"/>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numPr>
        <w:ilvl w:val="0"/>
        <w:numId w:val="2"/>
      </w:numPr>
      <w:tabs>
        <w:tab w:val="clear" w:pos="980"/>
      </w:tabs>
      <w:spacing w:afterLines="50"/>
      <w:ind w:left="454" w:hanging="284"/>
      <w:jc w:val="left"/>
    </w:pPr>
    <w:rPr>
      <w:kern w:val="0"/>
      <w:sz w:val="24"/>
      <w:szCs w:val="20"/>
    </w:rPr>
  </w:style>
  <w:style w:type="paragraph" w:styleId="9">
    <w:name w:val="Normal Indent"/>
    <w:basedOn w:val="1"/>
    <w:link w:val="42"/>
    <w:qFormat/>
    <w:uiPriority w:val="0"/>
    <w:pPr>
      <w:ind w:firstLine="420" w:firstLineChars="20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List Bullet"/>
    <w:basedOn w:val="1"/>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2">
    <w:name w:val="Document Map"/>
    <w:basedOn w:val="1"/>
    <w:qFormat/>
    <w:uiPriority w:val="0"/>
    <w:pPr>
      <w:shd w:val="clear" w:color="auto" w:fill="000080"/>
    </w:pPr>
  </w:style>
  <w:style w:type="paragraph" w:styleId="13">
    <w:name w:val="annotation text"/>
    <w:basedOn w:val="1"/>
    <w:link w:val="65"/>
    <w:qFormat/>
    <w:uiPriority w:val="0"/>
    <w:pPr>
      <w:spacing w:line="240" w:lineRule="auto"/>
      <w:jc w:val="left"/>
    </w:pPr>
    <w:rPr>
      <w:szCs w:val="22"/>
    </w:rPr>
  </w:style>
  <w:style w:type="paragraph" w:styleId="14">
    <w:name w:val="Body Text 3"/>
    <w:basedOn w:val="1"/>
    <w:qFormat/>
    <w:uiPriority w:val="0"/>
    <w:pPr>
      <w:spacing w:after="120"/>
    </w:pPr>
    <w:rPr>
      <w:sz w:val="16"/>
      <w:szCs w:val="16"/>
    </w:rPr>
  </w:style>
  <w:style w:type="paragraph" w:styleId="15">
    <w:name w:val="Body Text"/>
    <w:basedOn w:val="1"/>
    <w:qFormat/>
    <w:uiPriority w:val="0"/>
    <w:pPr>
      <w:spacing w:after="120"/>
    </w:pPr>
  </w:style>
  <w:style w:type="paragraph" w:styleId="16">
    <w:name w:val="Body Text Indent"/>
    <w:basedOn w:val="1"/>
    <w:next w:val="17"/>
    <w:link w:val="51"/>
    <w:qFormat/>
    <w:uiPriority w:val="0"/>
    <w:pPr>
      <w:spacing w:after="120"/>
      <w:ind w:left="420" w:leftChars="200"/>
    </w:pPr>
  </w:style>
  <w:style w:type="paragraph" w:styleId="17">
    <w:name w:val="envelope return"/>
    <w:basedOn w:val="1"/>
    <w:qFormat/>
    <w:uiPriority w:val="0"/>
    <w:pPr>
      <w:widowControl/>
    </w:pPr>
    <w:rPr>
      <w:kern w:val="0"/>
      <w:sz w:val="24"/>
      <w:szCs w:val="20"/>
      <w:lang w:val="en-GB"/>
    </w:rPr>
  </w:style>
  <w:style w:type="paragraph" w:styleId="18">
    <w:name w:val="List 2"/>
    <w:basedOn w:val="1"/>
    <w:qFormat/>
    <w:uiPriority w:val="0"/>
    <w:pPr>
      <w:ind w:left="100" w:leftChars="200" w:hanging="200" w:hangingChars="200"/>
    </w:pPr>
  </w:style>
  <w:style w:type="paragraph" w:styleId="19">
    <w:name w:val="Plain Text"/>
    <w:basedOn w:val="1"/>
    <w:next w:val="1"/>
    <w:link w:val="54"/>
    <w:qFormat/>
    <w:uiPriority w:val="0"/>
    <w:rPr>
      <w:rFonts w:ascii="宋体" w:hAnsi="Courier New"/>
      <w:szCs w:val="20"/>
    </w:rPr>
  </w:style>
  <w:style w:type="paragraph" w:styleId="20">
    <w:name w:val="Date"/>
    <w:basedOn w:val="1"/>
    <w:next w:val="1"/>
    <w:qFormat/>
    <w:uiPriority w:val="0"/>
    <w:pPr>
      <w:ind w:left="100"/>
    </w:pPr>
    <w:rPr>
      <w:sz w:val="28"/>
      <w:szCs w:val="20"/>
    </w:rPr>
  </w:style>
  <w:style w:type="paragraph" w:styleId="21">
    <w:name w:val="Balloon Text"/>
    <w:basedOn w:val="1"/>
    <w:link w:val="41"/>
    <w:qFormat/>
    <w:uiPriority w:val="99"/>
    <w:rPr>
      <w:sz w:val="18"/>
      <w:szCs w:val="18"/>
    </w:rPr>
  </w:style>
  <w:style w:type="paragraph" w:styleId="22">
    <w:name w:val="footer"/>
    <w:basedOn w:val="1"/>
    <w:link w:val="66"/>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25">
    <w:name w:val="List"/>
    <w:basedOn w:val="1"/>
    <w:qFormat/>
    <w:uiPriority w:val="0"/>
    <w:pPr>
      <w:ind w:left="200" w:hanging="200" w:hangingChars="200"/>
    </w:pPr>
    <w:rPr>
      <w:sz w:val="28"/>
    </w:rPr>
  </w:style>
  <w:style w:type="paragraph" w:styleId="26">
    <w:name w:val="Body Text Indent 3"/>
    <w:basedOn w:val="1"/>
    <w:link w:val="43"/>
    <w:qFormat/>
    <w:uiPriority w:val="0"/>
    <w:pPr>
      <w:spacing w:after="120"/>
      <w:ind w:left="420" w:leftChars="200"/>
    </w:pPr>
    <w:rPr>
      <w:sz w:val="16"/>
      <w:szCs w:val="16"/>
    </w:rPr>
  </w:style>
  <w:style w:type="paragraph" w:styleId="27">
    <w:name w:val="Body Text 2"/>
    <w:basedOn w:val="1"/>
    <w:qFormat/>
    <w:uiPriority w:val="0"/>
    <w:pPr>
      <w:spacing w:after="120" w:line="480" w:lineRule="auto"/>
    </w:p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link w:val="167"/>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0">
    <w:name w:val="annotation subject"/>
    <w:basedOn w:val="13"/>
    <w:next w:val="13"/>
    <w:link w:val="75"/>
    <w:qFormat/>
    <w:uiPriority w:val="0"/>
    <w:pPr>
      <w:spacing w:line="348" w:lineRule="auto"/>
    </w:pPr>
    <w:rPr>
      <w:b/>
      <w:bCs/>
      <w:szCs w:val="24"/>
    </w:rPr>
  </w:style>
  <w:style w:type="paragraph" w:styleId="31">
    <w:name w:val="Body Text First Indent"/>
    <w:basedOn w:val="15"/>
    <w:qFormat/>
    <w:uiPriority w:val="0"/>
    <w:pPr>
      <w:ind w:firstLine="420" w:firstLineChars="100"/>
    </w:pPr>
  </w:style>
  <w:style w:type="paragraph" w:styleId="32">
    <w:name w:val="Body Text First Indent 2"/>
    <w:basedOn w:val="16"/>
    <w:next w:val="1"/>
    <w:link w:val="172"/>
    <w:unhideWhenUsed/>
    <w:qFormat/>
    <w:uiPriority w:val="0"/>
    <w:pPr>
      <w:spacing w:line="240" w:lineRule="auto"/>
      <w:ind w:firstLine="420" w:firstLineChars="200"/>
    </w:pPr>
    <w:rPr>
      <w:rFonts w:ascii="Times New Roman" w:hAnsi="Times New Roman"/>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qFormat/>
    <w:uiPriority w:val="0"/>
  </w:style>
  <w:style w:type="character" w:styleId="37">
    <w:name w:val="FollowedHyperlink"/>
    <w:qFormat/>
    <w:uiPriority w:val="0"/>
    <w:rPr>
      <w:color w:val="800080"/>
      <w:u w:val="single"/>
    </w:rPr>
  </w:style>
  <w:style w:type="character" w:styleId="38">
    <w:name w:val="Emphasis"/>
    <w:qFormat/>
    <w:uiPriority w:val="20"/>
    <w:rPr>
      <w:color w:val="CC0000"/>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批注框文本 Char"/>
    <w:link w:val="21"/>
    <w:qFormat/>
    <w:uiPriority w:val="99"/>
    <w:rPr>
      <w:kern w:val="2"/>
      <w:sz w:val="18"/>
      <w:szCs w:val="18"/>
    </w:rPr>
  </w:style>
  <w:style w:type="character" w:customStyle="1" w:styleId="42">
    <w:name w:val="正文缩进 Char"/>
    <w:link w:val="9"/>
    <w:qFormat/>
    <w:uiPriority w:val="99"/>
    <w:rPr>
      <w:kern w:val="2"/>
      <w:sz w:val="21"/>
      <w:szCs w:val="24"/>
    </w:rPr>
  </w:style>
  <w:style w:type="character" w:customStyle="1" w:styleId="43">
    <w:name w:val="正文文本缩进 3 Char"/>
    <w:link w:val="26"/>
    <w:qFormat/>
    <w:uiPriority w:val="0"/>
    <w:rPr>
      <w:kern w:val="2"/>
      <w:sz w:val="16"/>
      <w:szCs w:val="16"/>
    </w:rPr>
  </w:style>
  <w:style w:type="character" w:customStyle="1" w:styleId="44">
    <w:name w:val="标题 4 Char"/>
    <w:link w:val="6"/>
    <w:qFormat/>
    <w:uiPriority w:val="9"/>
    <w:rPr>
      <w:rFonts w:ascii="Cambria" w:hAnsi="Cambria"/>
      <w:b/>
      <w:bCs/>
      <w:kern w:val="2"/>
      <w:sz w:val="28"/>
      <w:szCs w:val="28"/>
    </w:rPr>
  </w:style>
  <w:style w:type="character" w:customStyle="1" w:styleId="45">
    <w:name w:val="正文2 Char Char"/>
    <w:qFormat/>
    <w:uiPriority w:val="0"/>
    <w:rPr>
      <w:kern w:val="2"/>
      <w:sz w:val="24"/>
    </w:rPr>
  </w:style>
  <w:style w:type="character" w:customStyle="1" w:styleId="46">
    <w:name w:val="18"/>
    <w:basedOn w:val="35"/>
    <w:qFormat/>
    <w:uiPriority w:val="0"/>
    <w:rPr>
      <w:rFonts w:hint="eastAsia" w:ascii="宋体" w:hAnsi="宋体" w:eastAsia="宋体"/>
      <w:color w:val="000000"/>
      <w:sz w:val="24"/>
      <w:szCs w:val="24"/>
      <w:vertAlign w:val="superscript"/>
    </w:rPr>
  </w:style>
  <w:style w:type="character" w:customStyle="1" w:styleId="47">
    <w:name w:val="15"/>
    <w:basedOn w:val="35"/>
    <w:qFormat/>
    <w:uiPriority w:val="0"/>
    <w:rPr>
      <w:rFonts w:hint="eastAsia" w:ascii="宋体" w:hAnsi="宋体" w:eastAsia="宋体"/>
      <w:color w:val="000000"/>
      <w:sz w:val="22"/>
      <w:szCs w:val="22"/>
    </w:rPr>
  </w:style>
  <w:style w:type="character" w:customStyle="1" w:styleId="48">
    <w:name w:val="纯文本 Char1"/>
    <w:qFormat/>
    <w:uiPriority w:val="0"/>
    <w:rPr>
      <w:rFonts w:ascii="宋体" w:hAnsi="Courier New" w:eastAsia="宋体"/>
      <w:kern w:val="2"/>
      <w:sz w:val="21"/>
      <w:lang w:val="en-US" w:eastAsia="zh-CN"/>
    </w:rPr>
  </w:style>
  <w:style w:type="character" w:customStyle="1" w:styleId="49">
    <w:name w:val="Char Char Char"/>
    <w:qFormat/>
    <w:uiPriority w:val="0"/>
    <w:rPr>
      <w:rFonts w:ascii="宋体" w:hAnsi="Courier New" w:eastAsia="宋体"/>
      <w:kern w:val="2"/>
      <w:sz w:val="21"/>
      <w:lang w:val="en-US" w:eastAsia="zh-CN" w:bidi="ar-SA"/>
    </w:rPr>
  </w:style>
  <w:style w:type="character" w:customStyle="1" w:styleId="50">
    <w:name w:val="表正文 Char"/>
    <w:qFormat/>
    <w:uiPriority w:val="0"/>
    <w:rPr>
      <w:rFonts w:eastAsia="宋体"/>
      <w:kern w:val="2"/>
      <w:sz w:val="21"/>
      <w:szCs w:val="24"/>
      <w:lang w:val="en-US" w:eastAsia="zh-CN" w:bidi="ar-SA"/>
    </w:rPr>
  </w:style>
  <w:style w:type="character" w:customStyle="1" w:styleId="51">
    <w:name w:val="正文文本缩进 Char"/>
    <w:link w:val="16"/>
    <w:qFormat/>
    <w:uiPriority w:val="0"/>
    <w:rPr>
      <w:rFonts w:eastAsia="宋体"/>
      <w:kern w:val="2"/>
      <w:sz w:val="21"/>
      <w:szCs w:val="24"/>
      <w:lang w:val="en-US" w:eastAsia="zh-CN" w:bidi="ar-SA"/>
    </w:rPr>
  </w:style>
  <w:style w:type="character" w:customStyle="1" w:styleId="52">
    <w:name w:val="标题 5 Char"/>
    <w:link w:val="7"/>
    <w:qFormat/>
    <w:uiPriority w:val="0"/>
    <w:rPr>
      <w:b/>
      <w:bCs/>
      <w:sz w:val="24"/>
      <w:szCs w:val="28"/>
    </w:rPr>
  </w:style>
  <w:style w:type="character" w:customStyle="1" w:styleId="53">
    <w:name w:val="标题 6 Char"/>
    <w:link w:val="2"/>
    <w:qFormat/>
    <w:uiPriority w:val="0"/>
    <w:rPr>
      <w:rFonts w:ascii="Cambria" w:hAnsi="Cambria" w:eastAsia="宋体" w:cs="Times New Roman"/>
      <w:b/>
      <w:bCs/>
      <w:kern w:val="2"/>
      <w:sz w:val="24"/>
      <w:szCs w:val="24"/>
    </w:rPr>
  </w:style>
  <w:style w:type="character" w:customStyle="1" w:styleId="54">
    <w:name w:val="纯文本 Char"/>
    <w:link w:val="19"/>
    <w:qFormat/>
    <w:uiPriority w:val="0"/>
    <w:rPr>
      <w:rFonts w:ascii="宋体" w:hAnsi="Courier New" w:eastAsia="宋体"/>
      <w:kern w:val="2"/>
      <w:sz w:val="21"/>
      <w:lang w:val="en-US" w:eastAsia="zh-CN" w:bidi="ar-SA"/>
    </w:rPr>
  </w:style>
  <w:style w:type="character" w:customStyle="1" w:styleId="55">
    <w:name w:val="纯文本 Char3"/>
    <w:qFormat/>
    <w:uiPriority w:val="0"/>
    <w:rPr>
      <w:rFonts w:ascii="宋体" w:hAnsi="Courier New" w:eastAsia="宋体"/>
      <w:kern w:val="2"/>
      <w:sz w:val="21"/>
      <w:lang w:val="en-US" w:eastAsia="zh-CN" w:bidi="ar-SA"/>
    </w:rPr>
  </w:style>
  <w:style w:type="character" w:customStyle="1" w:styleId="56">
    <w:name w:val="NormalCharacter"/>
    <w:link w:val="57"/>
    <w:qFormat/>
    <w:uiPriority w:val="0"/>
    <w:rPr>
      <w:rFonts w:ascii="Tahoma" w:hAnsi="Tahoma"/>
      <w:kern w:val="0"/>
      <w:sz w:val="24"/>
      <w:szCs w:val="20"/>
    </w:rPr>
  </w:style>
  <w:style w:type="paragraph" w:customStyle="1" w:styleId="57">
    <w:name w:val="UserStyle_13"/>
    <w:basedOn w:val="1"/>
    <w:link w:val="56"/>
    <w:qFormat/>
    <w:uiPriority w:val="0"/>
    <w:pPr>
      <w:widowControl/>
      <w:spacing w:line="360" w:lineRule="auto"/>
      <w:ind w:firstLine="200" w:firstLineChars="200"/>
    </w:pPr>
    <w:rPr>
      <w:rFonts w:ascii="Tahoma" w:hAnsi="Tahoma"/>
      <w:kern w:val="0"/>
      <w:sz w:val="24"/>
      <w:szCs w:val="20"/>
    </w:rPr>
  </w:style>
  <w:style w:type="paragraph" w:customStyle="1" w:styleId="58">
    <w:name w:val="UserStyle_85"/>
    <w:basedOn w:val="1"/>
    <w:link w:val="56"/>
    <w:qFormat/>
    <w:uiPriority w:val="0"/>
    <w:pPr>
      <w:spacing w:line="240" w:lineRule="auto"/>
    </w:pPr>
    <w:rPr>
      <w:rFonts w:ascii="Tahoma" w:hAnsi="Tahoma"/>
      <w:kern w:val="0"/>
      <w:sz w:val="24"/>
      <w:szCs w:val="20"/>
    </w:rPr>
  </w:style>
  <w:style w:type="character" w:customStyle="1" w:styleId="59">
    <w:name w:val="正文2 Char"/>
    <w:link w:val="60"/>
    <w:qFormat/>
    <w:uiPriority w:val="0"/>
    <w:rPr>
      <w:kern w:val="2"/>
      <w:sz w:val="24"/>
    </w:rPr>
  </w:style>
  <w:style w:type="paragraph" w:customStyle="1" w:styleId="60">
    <w:name w:val="正文2"/>
    <w:basedOn w:val="1"/>
    <w:link w:val="59"/>
    <w:qFormat/>
    <w:uiPriority w:val="0"/>
    <w:pPr>
      <w:spacing w:before="156" w:line="360" w:lineRule="auto"/>
      <w:ind w:firstLine="510" w:firstLineChars="200"/>
    </w:pPr>
    <w:rPr>
      <w:sz w:val="24"/>
      <w:szCs w:val="20"/>
    </w:rPr>
  </w:style>
  <w:style w:type="character" w:customStyle="1" w:styleId="61">
    <w:name w:val="列出段落 Char"/>
    <w:link w:val="62"/>
    <w:qFormat/>
    <w:uiPriority w:val="34"/>
    <w:rPr>
      <w:rFonts w:ascii="Calibri" w:hAnsi="Calibri" w:eastAsia="宋体" w:cs="Times New Roman"/>
      <w:kern w:val="2"/>
      <w:sz w:val="21"/>
      <w:szCs w:val="22"/>
    </w:rPr>
  </w:style>
  <w:style w:type="paragraph" w:styleId="62">
    <w:name w:val="List Paragraph"/>
    <w:basedOn w:val="1"/>
    <w:link w:val="61"/>
    <w:qFormat/>
    <w:uiPriority w:val="34"/>
    <w:pPr>
      <w:spacing w:line="240" w:lineRule="auto"/>
      <w:ind w:firstLine="420" w:firstLineChars="200"/>
    </w:pPr>
    <w:rPr>
      <w:szCs w:val="22"/>
    </w:rPr>
  </w:style>
  <w:style w:type="character" w:customStyle="1" w:styleId="63">
    <w:name w:val="居中表格内容 Char"/>
    <w:link w:val="64"/>
    <w:qFormat/>
    <w:uiPriority w:val="0"/>
    <w:rPr>
      <w:rFonts w:cs="宋体"/>
      <w:color w:val="000000"/>
      <w:sz w:val="21"/>
      <w:szCs w:val="24"/>
    </w:rPr>
  </w:style>
  <w:style w:type="paragraph" w:customStyle="1" w:styleId="64">
    <w:name w:val="居中表格内容"/>
    <w:basedOn w:val="1"/>
    <w:next w:val="1"/>
    <w:link w:val="63"/>
    <w:qFormat/>
    <w:uiPriority w:val="0"/>
    <w:pPr>
      <w:widowControl/>
      <w:spacing w:line="240" w:lineRule="auto"/>
    </w:pPr>
    <w:rPr>
      <w:color w:val="000000"/>
      <w:kern w:val="0"/>
    </w:rPr>
  </w:style>
  <w:style w:type="character" w:customStyle="1" w:styleId="65">
    <w:name w:val="批注文字 Char"/>
    <w:link w:val="13"/>
    <w:qFormat/>
    <w:uiPriority w:val="0"/>
    <w:rPr>
      <w:rFonts w:ascii="Calibri" w:hAnsi="Calibri" w:eastAsia="宋体" w:cs="Times New Roman"/>
      <w:kern w:val="2"/>
      <w:sz w:val="21"/>
      <w:szCs w:val="22"/>
    </w:rPr>
  </w:style>
  <w:style w:type="character" w:customStyle="1" w:styleId="66">
    <w:name w:val="页脚 Char"/>
    <w:link w:val="22"/>
    <w:qFormat/>
    <w:uiPriority w:val="99"/>
    <w:rPr>
      <w:kern w:val="2"/>
      <w:sz w:val="18"/>
      <w:szCs w:val="18"/>
    </w:rPr>
  </w:style>
  <w:style w:type="character" w:customStyle="1" w:styleId="67">
    <w:name w:val="标题 3 Char"/>
    <w:link w:val="5"/>
    <w:qFormat/>
    <w:uiPriority w:val="9"/>
    <w:rPr>
      <w:b/>
      <w:bCs/>
      <w:kern w:val="2"/>
      <w:sz w:val="32"/>
      <w:szCs w:val="32"/>
    </w:rPr>
  </w:style>
  <w:style w:type="character" w:customStyle="1" w:styleId="68">
    <w:name w:val="正文加粗 字符"/>
    <w:link w:val="69"/>
    <w:qFormat/>
    <w:uiPriority w:val="0"/>
    <w:rPr>
      <w:rFonts w:ascii="微软雅黑" w:hAnsi="等线" w:eastAsia="微软雅黑"/>
      <w:b/>
      <w:kern w:val="2"/>
      <w:sz w:val="24"/>
      <w:szCs w:val="22"/>
    </w:rPr>
  </w:style>
  <w:style w:type="paragraph" w:customStyle="1" w:styleId="69">
    <w:name w:val="正文加粗"/>
    <w:basedOn w:val="1"/>
    <w:link w:val="68"/>
    <w:qFormat/>
    <w:uiPriority w:val="0"/>
    <w:pPr>
      <w:spacing w:line="360" w:lineRule="auto"/>
      <w:ind w:firstLine="480" w:firstLineChars="200"/>
      <w:jc w:val="left"/>
    </w:pPr>
    <w:rPr>
      <w:rFonts w:ascii="微软雅黑" w:hAnsi="等线" w:eastAsia="微软雅黑"/>
      <w:b/>
      <w:sz w:val="24"/>
      <w:szCs w:val="22"/>
    </w:rPr>
  </w:style>
  <w:style w:type="character" w:customStyle="1" w:styleId="70">
    <w:name w:val="列出段落 Char1"/>
    <w:qFormat/>
    <w:uiPriority w:val="0"/>
    <w:rPr>
      <w:rFonts w:ascii="Calibri" w:hAnsi="Calibri"/>
      <w:kern w:val="2"/>
      <w:sz w:val="21"/>
      <w:szCs w:val="22"/>
    </w:rPr>
  </w:style>
  <w:style w:type="character" w:customStyle="1" w:styleId="71">
    <w:name w:val="17"/>
    <w:basedOn w:val="35"/>
    <w:qFormat/>
    <w:uiPriority w:val="0"/>
    <w:rPr>
      <w:rFonts w:hint="default" w:ascii="Arial" w:hAnsi="Arial" w:cs="Arial"/>
      <w:color w:val="000000"/>
      <w:sz w:val="22"/>
      <w:szCs w:val="22"/>
    </w:rPr>
  </w:style>
  <w:style w:type="character" w:customStyle="1" w:styleId="72">
    <w:name w:val="font61"/>
    <w:basedOn w:val="35"/>
    <w:qFormat/>
    <w:uiPriority w:val="0"/>
    <w:rPr>
      <w:rFonts w:hint="eastAsia" w:ascii="宋体" w:hAnsi="宋体" w:eastAsia="宋体" w:cs="宋体"/>
      <w:color w:val="000000"/>
      <w:sz w:val="24"/>
      <w:szCs w:val="24"/>
      <w:u w:val="none"/>
    </w:rPr>
  </w:style>
  <w:style w:type="character" w:customStyle="1" w:styleId="73">
    <w:name w:val="纯文本 Char2"/>
    <w:qFormat/>
    <w:uiPriority w:val="0"/>
    <w:rPr>
      <w:rFonts w:ascii="宋体" w:hAnsi="Courier New" w:eastAsia="宋体" w:cs="Courier New"/>
      <w:sz w:val="21"/>
      <w:szCs w:val="21"/>
    </w:rPr>
  </w:style>
  <w:style w:type="character" w:customStyle="1" w:styleId="74">
    <w:name w:val="16"/>
    <w:basedOn w:val="35"/>
    <w:qFormat/>
    <w:uiPriority w:val="0"/>
    <w:rPr>
      <w:rFonts w:hint="eastAsia" w:ascii="宋体" w:hAnsi="宋体" w:eastAsia="宋体"/>
      <w:color w:val="000000"/>
      <w:sz w:val="24"/>
      <w:szCs w:val="24"/>
    </w:rPr>
  </w:style>
  <w:style w:type="character" w:customStyle="1" w:styleId="75">
    <w:name w:val="批注主题 Char"/>
    <w:link w:val="30"/>
    <w:qFormat/>
    <w:uiPriority w:val="0"/>
    <w:rPr>
      <w:rFonts w:ascii="Calibri" w:hAnsi="Calibri" w:eastAsia="宋体" w:cs="Times New Roman"/>
      <w:b/>
      <w:bCs/>
      <w:kern w:val="2"/>
      <w:sz w:val="21"/>
      <w:szCs w:val="24"/>
    </w:rPr>
  </w:style>
  <w:style w:type="character" w:customStyle="1" w:styleId="76">
    <w:name w:val="1.5倍行距 Char"/>
    <w:link w:val="77"/>
    <w:qFormat/>
    <w:uiPriority w:val="0"/>
    <w:rPr>
      <w:rFonts w:ascii="宋体" w:hAnsi="宋体"/>
      <w:kern w:val="2"/>
      <w:sz w:val="24"/>
      <w:szCs w:val="24"/>
    </w:rPr>
  </w:style>
  <w:style w:type="paragraph" w:customStyle="1" w:styleId="77">
    <w:name w:val="1.5倍行距"/>
    <w:basedOn w:val="1"/>
    <w:link w:val="76"/>
    <w:qFormat/>
    <w:uiPriority w:val="0"/>
    <w:pPr>
      <w:spacing w:line="360" w:lineRule="auto"/>
      <w:ind w:firstLine="480" w:firstLineChars="200"/>
    </w:pPr>
    <w:rPr>
      <w:rFonts w:ascii="宋体" w:hAnsi="宋体"/>
      <w:sz w:val="24"/>
    </w:rPr>
  </w:style>
  <w:style w:type="character" w:customStyle="1" w:styleId="78">
    <w:name w:val="样式4 Char"/>
    <w:link w:val="79"/>
    <w:qFormat/>
    <w:uiPriority w:val="0"/>
    <w:rPr>
      <w:rFonts w:ascii="Calibri" w:hAnsi="Calibri"/>
      <w:kern w:val="2"/>
      <w:sz w:val="24"/>
      <w:szCs w:val="22"/>
    </w:rPr>
  </w:style>
  <w:style w:type="paragraph" w:customStyle="1" w:styleId="79">
    <w:name w:val="样式4"/>
    <w:basedOn w:val="1"/>
    <w:link w:val="78"/>
    <w:qFormat/>
    <w:uiPriority w:val="0"/>
    <w:pPr>
      <w:spacing w:line="360" w:lineRule="auto"/>
    </w:pPr>
    <w:rPr>
      <w:sz w:val="24"/>
      <w:szCs w:val="22"/>
    </w:rPr>
  </w:style>
  <w:style w:type="character" w:customStyle="1" w:styleId="80">
    <w:name w:val="font21"/>
    <w:basedOn w:val="35"/>
    <w:qFormat/>
    <w:uiPriority w:val="0"/>
    <w:rPr>
      <w:rFonts w:hint="default" w:ascii="Times New Roman" w:hAnsi="Times New Roman" w:cs="Times New Roman"/>
      <w:color w:val="000000"/>
      <w:sz w:val="24"/>
      <w:szCs w:val="24"/>
      <w:u w:val="none"/>
    </w:rPr>
  </w:style>
  <w:style w:type="character" w:customStyle="1" w:styleId="81">
    <w:name w:val="正文首行缩进2字符 Char"/>
    <w:link w:val="82"/>
    <w:qFormat/>
    <w:uiPriority w:val="0"/>
    <w:rPr>
      <w:rFonts w:ascii="宋体" w:hAnsi="宋体" w:eastAsia="宋体" w:cs="Times New Roman"/>
      <w:kern w:val="2"/>
      <w:sz w:val="24"/>
      <w:szCs w:val="28"/>
    </w:rPr>
  </w:style>
  <w:style w:type="paragraph" w:customStyle="1" w:styleId="82">
    <w:name w:val="正文首行缩进2字符"/>
    <w:basedOn w:val="1"/>
    <w:link w:val="81"/>
    <w:qFormat/>
    <w:uiPriority w:val="0"/>
    <w:pPr>
      <w:spacing w:line="360" w:lineRule="auto"/>
      <w:ind w:firstLine="480" w:firstLineChars="200"/>
    </w:pPr>
    <w:rPr>
      <w:rFonts w:ascii="宋体" w:hAnsi="宋体"/>
      <w:sz w:val="24"/>
      <w:szCs w:val="28"/>
    </w:rPr>
  </w:style>
  <w:style w:type="paragraph" w:customStyle="1" w:styleId="83">
    <w:name w:val="cm4"/>
    <w:basedOn w:val="1"/>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4">
    <w:name w:val="修订1"/>
    <w:qFormat/>
    <w:uiPriority w:val="99"/>
    <w:rPr>
      <w:rFonts w:ascii="Calibri" w:hAnsi="Calibri" w:eastAsia="宋体" w:cs="Times New Roman"/>
      <w:kern w:val="2"/>
      <w:sz w:val="21"/>
      <w:szCs w:val="24"/>
      <w:lang w:val="en-US" w:eastAsia="zh-CN" w:bidi="ar-SA"/>
    </w:rPr>
  </w:style>
  <w:style w:type="paragraph" w:customStyle="1" w:styleId="85">
    <w:name w:val="reader-word-layer reader-word-s8-6 reader-word-s8-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纯文本1"/>
    <w:basedOn w:val="1"/>
    <w:qFormat/>
    <w:uiPriority w:val="99"/>
    <w:rPr>
      <w:rFonts w:ascii="宋体" w:hAnsi="Courier New"/>
    </w:rPr>
  </w:style>
  <w:style w:type="paragraph" w:customStyle="1" w:styleId="87">
    <w:name w:val="reader-word-layer reader-word-s9-7"/>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reader-word-layer reader-word-s19-3"/>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8-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1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段"/>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2">
    <w:name w:val="reader-word-layer reader-word-s1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19-19"/>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Char2"/>
    <w:basedOn w:val="1"/>
    <w:qFormat/>
    <w:uiPriority w:val="0"/>
    <w:rPr>
      <w:rFonts w:ascii="FangSong_GB2312" w:eastAsia="FangSong_GB2312"/>
      <w:b/>
      <w:sz w:val="32"/>
      <w:szCs w:val="32"/>
    </w:rPr>
  </w:style>
  <w:style w:type="paragraph" w:customStyle="1" w:styleId="96">
    <w:name w:val="reader-word-layer reader-word-s9-1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列表内容"/>
    <w:basedOn w:val="1"/>
    <w:next w:val="1"/>
    <w:qFormat/>
    <w:uiPriority w:val="0"/>
    <w:pPr>
      <w:widowControl/>
      <w:numPr>
        <w:ilvl w:val="0"/>
        <w:numId w:val="4"/>
      </w:numPr>
      <w:jc w:val="left"/>
    </w:pPr>
    <w:rPr>
      <w:kern w:val="0"/>
      <w:sz w:val="18"/>
    </w:rPr>
  </w:style>
  <w:style w:type="paragraph" w:customStyle="1" w:styleId="98">
    <w:name w:val="reader-word-layer reader-word-s19-16 reader-word-s1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列出段落1"/>
    <w:basedOn w:val="1"/>
    <w:qFormat/>
    <w:uiPriority w:val="34"/>
    <w:pPr>
      <w:spacing w:line="240" w:lineRule="auto"/>
      <w:ind w:firstLine="420" w:firstLineChars="200"/>
    </w:pPr>
  </w:style>
  <w:style w:type="paragraph" w:customStyle="1" w:styleId="100">
    <w:name w:val="reader-word-layer reader-word-s19-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正文 A"/>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2">
    <w:name w:val="reader-word-layer reader-word-s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reader-word-layer reader-word-s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19-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19-6"/>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正文1"/>
    <w:qFormat/>
    <w:uiPriority w:val="0"/>
    <w:pPr>
      <w:jc w:val="both"/>
    </w:pPr>
    <w:rPr>
      <w:rFonts w:ascii="Calibri" w:hAnsi="Calibri" w:eastAsia="宋体" w:cs="Times New Roman"/>
      <w:kern w:val="2"/>
      <w:sz w:val="21"/>
      <w:szCs w:val="21"/>
      <w:lang w:val="en-US" w:eastAsia="zh-CN" w:bidi="ar-SA"/>
    </w:rPr>
  </w:style>
  <w:style w:type="paragraph" w:customStyle="1" w:styleId="107">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8">
    <w:name w:val="reader-word-layer reader-word-s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List Paragraph1"/>
    <w:basedOn w:val="1"/>
    <w:qFormat/>
    <w:uiPriority w:val="0"/>
    <w:pPr>
      <w:spacing w:line="240" w:lineRule="auto"/>
      <w:ind w:firstLine="420" w:firstLineChars="200"/>
    </w:pPr>
    <w:rPr>
      <w:szCs w:val="22"/>
    </w:rPr>
  </w:style>
  <w:style w:type="paragraph" w:customStyle="1" w:styleId="110">
    <w:name w:val="reader-word-layer reader-word-s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reader-word-layer reader-word-s1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reader-word-layer reader-word-s1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reader-word-layer reader-word-s1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reader-word-layer reader-word-s1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9-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reader-word-layer reader-word-s19-15 reader-word-s19-19 reader-word-s19-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p0"/>
    <w:basedOn w:val="1"/>
    <w:qFormat/>
    <w:uiPriority w:val="0"/>
    <w:pPr>
      <w:widowControl/>
    </w:pPr>
    <w:rPr>
      <w:kern w:val="0"/>
      <w:szCs w:val="20"/>
    </w:rPr>
  </w:style>
  <w:style w:type="paragraph" w:customStyle="1" w:styleId="118">
    <w:name w:val="大转播车"/>
    <w:basedOn w:val="1"/>
    <w:qFormat/>
    <w:uiPriority w:val="0"/>
    <w:pPr>
      <w:shd w:val="clear" w:color="auto" w:fill="FFFFFF"/>
      <w:spacing w:line="300" w:lineRule="auto"/>
      <w:ind w:firstLine="485"/>
    </w:pPr>
    <w:rPr>
      <w:rFonts w:ascii="FangSong_GB2312" w:hAnsi="宋体" w:eastAsia="FangSong_GB2312"/>
      <w:sz w:val="24"/>
      <w:shd w:val="clear" w:color="auto" w:fill="FFFFFF"/>
    </w:rPr>
  </w:style>
  <w:style w:type="paragraph" w:customStyle="1" w:styleId="119">
    <w:name w:val="标书正文"/>
    <w:basedOn w:val="1"/>
    <w:qFormat/>
    <w:uiPriority w:val="0"/>
    <w:pPr>
      <w:spacing w:line="360" w:lineRule="auto"/>
      <w:ind w:firstLine="480" w:firstLineChars="200"/>
    </w:pPr>
    <w:rPr>
      <w:rFonts w:ascii="宋体" w:cs="宋体"/>
      <w:sz w:val="24"/>
    </w:rPr>
  </w:style>
  <w:style w:type="paragraph" w:customStyle="1" w:styleId="120">
    <w:name w:val="reader-word-layer reader-word-s1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reader-word-layer reader-word-s8-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2 Char Char Char"/>
    <w:basedOn w:val="1"/>
    <w:qFormat/>
    <w:uiPriority w:val="0"/>
    <w:rPr>
      <w:rFonts w:ascii="FangSong_GB2312" w:eastAsia="FangSong_GB2312"/>
      <w:b/>
      <w:sz w:val="32"/>
      <w:szCs w:val="32"/>
    </w:rPr>
  </w:style>
  <w:style w:type="paragraph" w:customStyle="1" w:styleId="123">
    <w:name w:val="reader-word-layer reader-word-s18-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方案正文"/>
    <w:basedOn w:val="1"/>
    <w:qFormat/>
    <w:uiPriority w:val="0"/>
    <w:pPr>
      <w:spacing w:line="360" w:lineRule="auto"/>
      <w:ind w:firstLine="200" w:firstLineChars="200"/>
    </w:pPr>
    <w:rPr>
      <w:sz w:val="24"/>
    </w:rPr>
  </w:style>
  <w:style w:type="paragraph" w:customStyle="1" w:styleId="125">
    <w:name w:val="标准中文版式_正文"/>
    <w:basedOn w:val="1"/>
    <w:qFormat/>
    <w:uiPriority w:val="0"/>
    <w:pPr>
      <w:spacing w:before="30" w:line="360" w:lineRule="auto"/>
      <w:ind w:firstLine="200" w:firstLineChars="200"/>
    </w:pPr>
    <w:rPr>
      <w:rFonts w:ascii="Arial" w:hAnsi="Arial"/>
      <w:sz w:val="24"/>
    </w:rPr>
  </w:style>
  <w:style w:type="paragraph" w:customStyle="1" w:styleId="126">
    <w:name w:val="_Style 10"/>
    <w:basedOn w:val="15"/>
    <w:next w:val="31"/>
    <w:qFormat/>
    <w:uiPriority w:val="0"/>
    <w:pPr>
      <w:ind w:firstLine="420" w:firstLineChars="100"/>
    </w:pPr>
    <w:rPr>
      <w:kern w:val="0"/>
      <w:sz w:val="20"/>
      <w:szCs w:val="21"/>
    </w:rPr>
  </w:style>
  <w:style w:type="paragraph" w:customStyle="1" w:styleId="127">
    <w:name w:val="reader-word-layer reader-word-s8-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reader-word-layer reader-word-s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正文01"/>
    <w:basedOn w:val="1"/>
    <w:qFormat/>
    <w:uiPriority w:val="0"/>
    <w:pPr>
      <w:spacing w:line="560" w:lineRule="exact"/>
      <w:ind w:firstLine="200" w:firstLineChars="200"/>
    </w:pPr>
    <w:rPr>
      <w:rFonts w:eastAsia="FangSong_GB2312"/>
      <w:color w:val="000000"/>
      <w:sz w:val="32"/>
      <w:szCs w:val="32"/>
    </w:rPr>
  </w:style>
  <w:style w:type="paragraph" w:customStyle="1" w:styleId="130">
    <w:name w:val="默认段落字体 Para Char Char Char Char Char Char Char Char Char1 Char Char Char Char"/>
    <w:basedOn w:val="1"/>
    <w:qFormat/>
    <w:uiPriority w:val="0"/>
    <w:rPr>
      <w:rFonts w:ascii="Tahoma" w:hAnsi="Tahoma"/>
      <w:sz w:val="24"/>
      <w:szCs w:val="20"/>
    </w:rPr>
  </w:style>
  <w:style w:type="paragraph" w:customStyle="1" w:styleId="131">
    <w:name w:val="reader-word-layer reader-word-s9-4 reader-word-s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3">
    <w:name w:val="reader-word-layer reader-word-s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35">
    <w:name w:val="reader-word-layer reader-word-s9-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reader-word-layer reader-word-s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reader-word-layer reader-word-s8-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reader-word-layer reader-word-s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reader-word-s8-8 reader-word-s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reader-word-layer reader-word-s1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2">
    <w:name w:val="reader-word-layer reader-word-s19-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reader-word-layer reader-word-s8-7"/>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reader-word-layer reader-word-s8-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正文段"/>
    <w:basedOn w:val="1"/>
    <w:qFormat/>
    <w:uiPriority w:val="0"/>
    <w:pPr>
      <w:widowControl/>
      <w:snapToGrid w:val="0"/>
      <w:spacing w:afterLines="50"/>
      <w:ind w:firstLine="200" w:firstLineChars="200"/>
    </w:pPr>
    <w:rPr>
      <w:kern w:val="0"/>
      <w:sz w:val="24"/>
      <w:szCs w:val="20"/>
    </w:rPr>
  </w:style>
  <w:style w:type="paragraph" w:customStyle="1" w:styleId="146">
    <w:name w:val="Char Char Char Char Char Char"/>
    <w:basedOn w:val="1"/>
    <w:qFormat/>
    <w:uiPriority w:val="0"/>
  </w:style>
  <w:style w:type="paragraph" w:customStyle="1" w:styleId="147">
    <w:name w:val="Default"/>
    <w:qFormat/>
    <w:uiPriority w:val="0"/>
    <w:pPr>
      <w:widowControl w:val="0"/>
      <w:autoSpaceDE w:val="0"/>
      <w:autoSpaceDN w:val="0"/>
      <w:adjustRightInd w:val="0"/>
    </w:pPr>
    <w:rPr>
      <w:rFonts w:ascii="FangSong_GB2312" w:hAnsi="Calibri" w:eastAsia="FangSong_GB2312" w:cs="FangSong_GB2312"/>
      <w:color w:val="000000"/>
      <w:sz w:val="24"/>
      <w:szCs w:val="24"/>
      <w:lang w:val="en-US" w:eastAsia="zh-CN" w:bidi="ar-SA"/>
    </w:rPr>
  </w:style>
  <w:style w:type="paragraph" w:customStyle="1" w:styleId="148">
    <w:name w:val="af17cgridlangnp1033langf"/>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49">
    <w:name w:val="reader-word-layer reader-word-s8-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reader-word-layer reader-word-s18-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MM Topic 3"/>
    <w:basedOn w:val="5"/>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2">
    <w:name w:val="reader-word-layer reader-word-s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Char Char6 Char Char Char Char"/>
    <w:basedOn w:val="1"/>
    <w:qFormat/>
    <w:uiPriority w:val="0"/>
  </w:style>
  <w:style w:type="paragraph" w:customStyle="1" w:styleId="154">
    <w:name w:val="reader-word-layer reader-word-s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6">
    <w:name w:val="reader-word-layer reader-word-s6-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reader-word-layer reader-word-s8-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Char Char Char1"/>
    <w:basedOn w:val="1"/>
    <w:qFormat/>
    <w:uiPriority w:val="0"/>
    <w:rPr>
      <w:szCs w:val="21"/>
    </w:rPr>
  </w:style>
  <w:style w:type="paragraph" w:customStyle="1" w:styleId="159">
    <w:name w:val="Char"/>
    <w:basedOn w:val="1"/>
    <w:qFormat/>
    <w:uiPriority w:val="0"/>
    <w:rPr>
      <w:szCs w:val="20"/>
    </w:rPr>
  </w:style>
  <w:style w:type="paragraph" w:customStyle="1" w:styleId="160">
    <w:name w:val="reader-word-layer reader-word-s19-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reader-word-layer reader-word-s9-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reader-word-layer reader-word-s1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Char1"/>
    <w:basedOn w:val="1"/>
    <w:qFormat/>
    <w:uiPriority w:val="0"/>
    <w:rPr>
      <w:szCs w:val="20"/>
    </w:rPr>
  </w:style>
  <w:style w:type="paragraph" w:customStyle="1" w:styleId="164">
    <w:name w:val="表内文字"/>
    <w:basedOn w:val="1"/>
    <w:qFormat/>
    <w:uiPriority w:val="0"/>
    <w:pPr>
      <w:snapToGrid w:val="0"/>
      <w:spacing w:before="50" w:after="50"/>
      <w:jc w:val="center"/>
    </w:pPr>
    <w:rPr>
      <w:rFonts w:ascii="宋体" w:hAnsi="宋体"/>
      <w:sz w:val="24"/>
      <w:szCs w:val="20"/>
    </w:rPr>
  </w:style>
  <w:style w:type="paragraph" w:customStyle="1" w:styleId="165">
    <w:name w:val="reader-word-layer reader-word-s19-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66">
    <w:name w:val="批注文字 Char1"/>
    <w:basedOn w:val="35"/>
    <w:qFormat/>
    <w:uiPriority w:val="99"/>
    <w:rPr>
      <w:rFonts w:ascii="Times New Roman" w:hAnsi="Times New Roman" w:eastAsia="宋体" w:cs="Times New Roman"/>
      <w:szCs w:val="24"/>
    </w:rPr>
  </w:style>
  <w:style w:type="character" w:customStyle="1" w:styleId="167">
    <w:name w:val="标题 Char"/>
    <w:basedOn w:val="35"/>
    <w:link w:val="29"/>
    <w:qFormat/>
    <w:uiPriority w:val="0"/>
    <w:rPr>
      <w:rFonts w:ascii="Arial" w:hAnsi="Arial" w:cs="Arial"/>
      <w:b/>
      <w:bCs/>
      <w:kern w:val="2"/>
      <w:sz w:val="28"/>
      <w:szCs w:val="32"/>
    </w:rPr>
  </w:style>
  <w:style w:type="character" w:customStyle="1" w:styleId="168">
    <w:name w:val="招标正文 字符"/>
    <w:link w:val="169"/>
    <w:qFormat/>
    <w:uiPriority w:val="0"/>
    <w:rPr>
      <w:rFonts w:ascii="宋体" w:hAnsi="宋体"/>
      <w:color w:val="000000"/>
      <w:sz w:val="24"/>
      <w:szCs w:val="21"/>
    </w:rPr>
  </w:style>
  <w:style w:type="paragraph" w:customStyle="1" w:styleId="169">
    <w:name w:val="招标正文"/>
    <w:basedOn w:val="145"/>
    <w:link w:val="168"/>
    <w:qFormat/>
    <w:uiPriority w:val="0"/>
    <w:pPr>
      <w:widowControl w:val="0"/>
      <w:adjustRightInd w:val="0"/>
      <w:spacing w:afterLines="0" w:line="360" w:lineRule="auto"/>
      <w:ind w:firstLine="480"/>
    </w:pPr>
    <w:rPr>
      <w:rFonts w:ascii="宋体" w:hAnsi="宋体"/>
      <w:color w:val="000000"/>
      <w:szCs w:val="21"/>
    </w:rPr>
  </w:style>
  <w:style w:type="character" w:customStyle="1" w:styleId="170">
    <w:name w:val="正文缩进 Char1"/>
    <w:qFormat/>
    <w:locked/>
    <w:uiPriority w:val="0"/>
    <w:rPr>
      <w:kern w:val="2"/>
      <w:sz w:val="21"/>
      <w:szCs w:val="24"/>
      <w:lang w:val="en-US" w:eastAsia="zh-CN" w:bidi="ar-SA"/>
    </w:rPr>
  </w:style>
  <w:style w:type="paragraph" w:customStyle="1" w:styleId="171">
    <w:name w:val="Table Paragraph"/>
    <w:basedOn w:val="1"/>
    <w:qFormat/>
    <w:uiPriority w:val="1"/>
    <w:pPr>
      <w:spacing w:line="240" w:lineRule="auto"/>
    </w:pPr>
    <w:rPr>
      <w:rFonts w:ascii="宋体" w:hAnsi="宋体" w:cs="宋体"/>
      <w:lang w:val="zh-CN" w:bidi="zh-CN"/>
    </w:rPr>
  </w:style>
  <w:style w:type="character" w:customStyle="1" w:styleId="172">
    <w:name w:val="正文首行缩进 2 Char"/>
    <w:basedOn w:val="51"/>
    <w:link w:val="32"/>
    <w:qFormat/>
    <w:uiPriority w:val="0"/>
    <w:rPr>
      <w:rFonts w:ascii="Times New Roman" w:hAnsi="Times New Roman"/>
    </w:rPr>
  </w:style>
  <w:style w:type="paragraph" w:customStyle="1" w:styleId="173">
    <w:name w:val="纯文本_0_0"/>
    <w:basedOn w:val="1"/>
    <w:link w:val="174"/>
    <w:unhideWhenUsed/>
    <w:qFormat/>
    <w:uiPriority w:val="0"/>
    <w:pPr>
      <w:spacing w:line="240" w:lineRule="auto"/>
    </w:pPr>
    <w:rPr>
      <w:rFonts w:ascii="宋体" w:hAnsi="Courier New"/>
      <w:szCs w:val="21"/>
    </w:rPr>
  </w:style>
  <w:style w:type="character" w:customStyle="1" w:styleId="174">
    <w:name w:val="纯文本 Char_0_0"/>
    <w:link w:val="173"/>
    <w:qFormat/>
    <w:uiPriority w:val="0"/>
    <w:rPr>
      <w:rFonts w:ascii="宋体" w:hAnsi="Courier New"/>
      <w:kern w:val="2"/>
      <w:sz w:val="21"/>
      <w:szCs w:val="21"/>
    </w:rPr>
  </w:style>
  <w:style w:type="paragraph" w:customStyle="1" w:styleId="175">
    <w:name w:val="纯文本2"/>
    <w:basedOn w:val="1"/>
    <w:qFormat/>
    <w:uiPriority w:val="0"/>
    <w:pPr>
      <w:adjustRightInd w:val="0"/>
      <w:spacing w:line="240" w:lineRule="auto"/>
      <w:textAlignment w:val="baseline"/>
    </w:pPr>
    <w:rPr>
      <w:rFonts w:ascii="宋体" w:hAnsi="Courier New" w:eastAsia="楷体_GB2312"/>
      <w:sz w:val="26"/>
      <w:szCs w:val="20"/>
    </w:rPr>
  </w:style>
  <w:style w:type="paragraph" w:customStyle="1" w:styleId="176">
    <w:name w:val="[Normal]"/>
    <w:qFormat/>
    <w:uiPriority w:val="0"/>
    <w:rPr>
      <w:rFonts w:ascii="宋体" w:hAnsi="宋体" w:eastAsia="宋体" w:cs="Times New Roman"/>
      <w:sz w:val="24"/>
      <w:szCs w:val="22"/>
      <w:lang w:val="zh-CN" w:eastAsia="zh-CN" w:bidi="ar-SA"/>
    </w:rPr>
  </w:style>
  <w:style w:type="character" w:customStyle="1" w:styleId="177">
    <w:name w:val="招标-主标题 字符"/>
    <w:link w:val="178"/>
    <w:qFormat/>
    <w:uiPriority w:val="0"/>
    <w:rPr>
      <w:rFonts w:ascii="宋体" w:hAnsi="宋体"/>
      <w:b/>
      <w:kern w:val="2"/>
      <w:sz w:val="32"/>
      <w:szCs w:val="22"/>
    </w:rPr>
  </w:style>
  <w:style w:type="paragraph" w:customStyle="1" w:styleId="178">
    <w:name w:val="招标-主标题"/>
    <w:basedOn w:val="1"/>
    <w:link w:val="177"/>
    <w:qFormat/>
    <w:uiPriority w:val="0"/>
    <w:pPr>
      <w:tabs>
        <w:tab w:val="left" w:pos="1620"/>
        <w:tab w:val="left" w:pos="1800"/>
        <w:tab w:val="left" w:pos="1980"/>
      </w:tabs>
      <w:spacing w:line="768" w:lineRule="auto"/>
      <w:jc w:val="center"/>
    </w:pPr>
    <w:rPr>
      <w:rFonts w:ascii="宋体" w:hAnsi="宋体"/>
      <w:b/>
      <w:sz w:val="32"/>
      <w:szCs w:val="22"/>
    </w:rPr>
  </w:style>
  <w:style w:type="paragraph" w:customStyle="1" w:styleId="179">
    <w:name w:val="PlainText"/>
    <w:basedOn w:val="1"/>
    <w:next w:val="1"/>
    <w:qFormat/>
    <w:uiPriority w:val="0"/>
    <w:pPr>
      <w:spacing w:line="240" w:lineRule="auto"/>
      <w:textAlignment w:val="baseline"/>
    </w:pPr>
    <w:rPr>
      <w:rFonts w:hint="eastAsia" w:ascii="宋体" w:hAnsi="Courier New"/>
      <w:sz w:val="20"/>
      <w:szCs w:val="20"/>
    </w:rPr>
  </w:style>
  <w:style w:type="paragraph" w:customStyle="1" w:styleId="180">
    <w:name w:val="正文缩进1"/>
    <w:basedOn w:val="1"/>
    <w:next w:val="16"/>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181">
    <w:name w:val="索引 11"/>
    <w:basedOn w:val="1"/>
    <w:next w:val="1"/>
    <w:qFormat/>
    <w:uiPriority w:val="99"/>
    <w:pPr>
      <w:spacing w:line="360" w:lineRule="auto"/>
    </w:pPr>
    <w:rPr>
      <w:rFonts w:ascii="FangSong_GB2312" w:hAnsi="Times New Roman" w:eastAsia="FangSong_GB2312"/>
      <w:sz w:val="24"/>
      <w:szCs w:val="20"/>
    </w:rPr>
  </w:style>
  <w:style w:type="paragraph" w:customStyle="1" w:styleId="18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83">
    <w:name w:val="font11"/>
    <w:basedOn w:val="3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01"/>
    <customShpInfo spid="_x0000_s4100"/>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53</Pages>
  <Words>2179</Words>
  <Characters>2762</Characters>
  <Lines>27</Lines>
  <Paragraphs>42</Paragraphs>
  <TotalTime>1</TotalTime>
  <ScaleCrop>false</ScaleCrop>
  <LinksUpToDate>false</LinksUpToDate>
  <CharactersWithSpaces>2849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2021-05-10T08:06:00Z</dcterms:created>
  <dc:creator>业务管理系统</dc:creator>
  <cp:lastModifiedBy>apple</cp:lastModifiedBy>
  <cp:lastPrinted>2022-11-15T00:55:00Z</cp:lastPrinted>
  <dcterms:modified xsi:type="dcterms:W3CDTF">2024-12-19T09:19:38Z</dcterms:modified>
  <dc:title>桐庐县疾病预防控制中心</dc:title>
  <cp:revision>385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d870a99660234a8fb90172387b521a55</vt:lpwstr>
  </property>
</Properties>
</file>