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C2E949">
      <w:pPr>
        <w:widowControl/>
        <w:spacing w:line="360" w:lineRule="auto"/>
        <w:jc w:val="center"/>
        <w:rPr>
          <w:rFonts w:hint="eastAsia" w:ascii="仿宋" w:hAnsi="仿宋" w:eastAsia="仿宋" w:cs="仿宋"/>
          <w:b/>
          <w:color w:val="auto"/>
          <w:kern w:val="2"/>
          <w:sz w:val="44"/>
          <w:szCs w:val="44"/>
          <w:lang w:val="en-US" w:eastAsia="zh-CN" w:bidi="ar-SA"/>
        </w:rPr>
      </w:pPr>
      <w:r>
        <w:rPr>
          <w:rFonts w:hint="eastAsia" w:ascii="仿宋" w:hAnsi="仿宋" w:eastAsia="仿宋" w:cs="仿宋"/>
          <w:b/>
          <w:color w:val="auto"/>
          <w:sz w:val="44"/>
          <w:szCs w:val="44"/>
          <w:lang w:val="en-US" w:eastAsia="zh-CN"/>
        </w:rPr>
        <w:t>诸暨市城市生活污水治理扩面提效项目（诸暨市暨阳街道污水改造工程-袁家村、江龙村；城中村纳厂提升改造工程-同乐上村、同乐下村、金三角村）设计采购项目</w:t>
      </w:r>
    </w:p>
    <w:p w14:paraId="7B033AC1">
      <w:pPr>
        <w:autoSpaceDE/>
        <w:autoSpaceDN/>
        <w:spacing w:line="360" w:lineRule="auto"/>
        <w:jc w:val="center"/>
        <w:rPr>
          <w:rFonts w:hint="eastAsia" w:ascii="仿宋" w:hAnsi="仿宋" w:eastAsia="仿宋" w:cs="仿宋"/>
          <w:b/>
          <w:color w:val="auto"/>
          <w:sz w:val="30"/>
          <w:szCs w:val="30"/>
          <w:lang w:eastAsia="zh-CN"/>
        </w:rPr>
      </w:pPr>
    </w:p>
    <w:p w14:paraId="38D77330">
      <w:pPr>
        <w:autoSpaceDE/>
        <w:autoSpaceDN/>
        <w:spacing w:line="360" w:lineRule="auto"/>
        <w:jc w:val="center"/>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lang w:val="en-US" w:eastAsia="zh-CN"/>
        </w:rPr>
        <w:t>项目</w:t>
      </w:r>
      <w:r>
        <w:rPr>
          <w:rFonts w:hint="eastAsia" w:ascii="仿宋" w:hAnsi="仿宋" w:eastAsia="仿宋" w:cs="仿宋"/>
          <w:b/>
          <w:color w:val="auto"/>
          <w:sz w:val="30"/>
          <w:szCs w:val="30"/>
          <w:lang w:eastAsia="zh-CN"/>
        </w:rPr>
        <w:t>编号：</w:t>
      </w:r>
      <w:r>
        <w:rPr>
          <w:rFonts w:hint="eastAsia" w:ascii="仿宋" w:hAnsi="仿宋" w:eastAsia="仿宋" w:cs="仿宋"/>
          <w:b/>
          <w:color w:val="auto"/>
          <w:sz w:val="30"/>
          <w:szCs w:val="30"/>
          <w:lang w:val="en-US" w:eastAsia="zh-CN"/>
        </w:rPr>
        <w:t>诸御达2025-02-01</w:t>
      </w:r>
      <w:r>
        <w:rPr>
          <w:rFonts w:hint="eastAsia" w:ascii="仿宋" w:hAnsi="仿宋" w:eastAsia="仿宋" w:cs="仿宋"/>
          <w:b/>
          <w:color w:val="auto"/>
          <w:sz w:val="30"/>
          <w:szCs w:val="30"/>
          <w:lang w:eastAsia="zh-CN"/>
        </w:rPr>
        <w:t>）</w:t>
      </w:r>
    </w:p>
    <w:p w14:paraId="7333B9AC">
      <w:pPr>
        <w:pageBreakBefore w:val="0"/>
        <w:kinsoku/>
        <w:wordWrap/>
        <w:overflowPunct/>
        <w:topLinePunct w:val="0"/>
        <w:autoSpaceDE/>
        <w:autoSpaceDN/>
        <w:bidi w:val="0"/>
        <w:snapToGrid/>
        <w:spacing w:line="300" w:lineRule="auto"/>
        <w:jc w:val="center"/>
        <w:rPr>
          <w:rFonts w:hint="eastAsia" w:ascii="仿宋" w:hAnsi="仿宋" w:eastAsia="仿宋" w:cs="仿宋"/>
          <w:color w:val="auto"/>
          <w:highlight w:val="none"/>
        </w:rPr>
      </w:pPr>
    </w:p>
    <w:p w14:paraId="3B287914">
      <w:pPr>
        <w:adjustRightInd/>
        <w:spacing w:line="360" w:lineRule="auto"/>
        <w:jc w:val="center"/>
        <w:rPr>
          <w:rFonts w:hint="eastAsia" w:ascii="仿宋" w:hAnsi="仿宋" w:eastAsia="仿宋" w:cs="仿宋"/>
          <w:b/>
          <w:bCs/>
          <w:color w:val="auto"/>
          <w:sz w:val="72"/>
          <w:szCs w:val="72"/>
        </w:rPr>
      </w:pPr>
    </w:p>
    <w:p w14:paraId="69642C1E">
      <w:pPr>
        <w:adjustRightInd/>
        <w:spacing w:line="360" w:lineRule="auto"/>
        <w:jc w:val="center"/>
        <w:rPr>
          <w:rFonts w:hint="eastAsia" w:ascii="仿宋" w:hAnsi="仿宋" w:eastAsia="仿宋" w:cs="仿宋"/>
          <w:b/>
          <w:bCs/>
          <w:color w:val="auto"/>
          <w:sz w:val="72"/>
          <w:szCs w:val="72"/>
        </w:rPr>
      </w:pPr>
    </w:p>
    <w:p w14:paraId="490FFC6C">
      <w:pPr>
        <w:adjustRightInd/>
        <w:spacing w:line="360" w:lineRule="auto"/>
        <w:jc w:val="center"/>
        <w:rPr>
          <w:rFonts w:ascii="仿宋" w:hAnsi="仿宋" w:eastAsia="仿宋" w:cs="仿宋"/>
          <w:b/>
          <w:bCs/>
          <w:color w:val="auto"/>
          <w:sz w:val="84"/>
          <w:szCs w:val="84"/>
        </w:rPr>
      </w:pPr>
      <w:r>
        <w:rPr>
          <w:rFonts w:hint="eastAsia" w:ascii="仿宋" w:hAnsi="仿宋" w:eastAsia="仿宋" w:cs="仿宋"/>
          <w:b/>
          <w:bCs/>
          <w:color w:val="auto"/>
          <w:sz w:val="72"/>
          <w:szCs w:val="72"/>
        </w:rPr>
        <w:t>招</w:t>
      </w:r>
      <w:r>
        <w:rPr>
          <w:rFonts w:hint="eastAsia" w:ascii="仿宋" w:hAnsi="仿宋" w:eastAsia="仿宋" w:cs="仿宋"/>
          <w:b/>
          <w:bCs/>
          <w:color w:val="auto"/>
          <w:sz w:val="72"/>
          <w:szCs w:val="72"/>
          <w:lang w:val="en-US" w:eastAsia="zh-CN"/>
        </w:rPr>
        <w:t xml:space="preserve"> </w:t>
      </w:r>
      <w:r>
        <w:rPr>
          <w:rFonts w:hint="eastAsia" w:ascii="仿宋" w:hAnsi="仿宋" w:eastAsia="仿宋" w:cs="仿宋"/>
          <w:b/>
          <w:bCs/>
          <w:color w:val="auto"/>
          <w:sz w:val="72"/>
          <w:szCs w:val="72"/>
        </w:rPr>
        <w:t>标</w:t>
      </w:r>
      <w:r>
        <w:rPr>
          <w:rFonts w:hint="eastAsia" w:ascii="仿宋" w:hAnsi="仿宋" w:eastAsia="仿宋" w:cs="仿宋"/>
          <w:b/>
          <w:bCs/>
          <w:color w:val="auto"/>
          <w:sz w:val="72"/>
          <w:szCs w:val="72"/>
          <w:lang w:val="en-US" w:eastAsia="zh-CN"/>
        </w:rPr>
        <w:t xml:space="preserve"> </w:t>
      </w:r>
      <w:r>
        <w:rPr>
          <w:rFonts w:hint="eastAsia" w:ascii="仿宋" w:hAnsi="仿宋" w:eastAsia="仿宋" w:cs="仿宋"/>
          <w:b/>
          <w:bCs/>
          <w:color w:val="auto"/>
          <w:sz w:val="72"/>
          <w:szCs w:val="72"/>
        </w:rPr>
        <w:t>文</w:t>
      </w:r>
      <w:r>
        <w:rPr>
          <w:rFonts w:hint="eastAsia" w:ascii="仿宋" w:hAnsi="仿宋" w:eastAsia="仿宋" w:cs="仿宋"/>
          <w:b/>
          <w:bCs/>
          <w:color w:val="auto"/>
          <w:sz w:val="72"/>
          <w:szCs w:val="72"/>
          <w:lang w:val="en-US" w:eastAsia="zh-CN"/>
        </w:rPr>
        <w:t xml:space="preserve"> </w:t>
      </w:r>
      <w:r>
        <w:rPr>
          <w:rFonts w:hint="eastAsia" w:ascii="仿宋" w:hAnsi="仿宋" w:eastAsia="仿宋" w:cs="仿宋"/>
          <w:b/>
          <w:bCs/>
          <w:color w:val="auto"/>
          <w:sz w:val="72"/>
          <w:szCs w:val="72"/>
        </w:rPr>
        <w:t>件</w:t>
      </w:r>
    </w:p>
    <w:p w14:paraId="7F287755">
      <w:pPr>
        <w:adjustRightInd/>
        <w:spacing w:line="360" w:lineRule="auto"/>
        <w:jc w:val="center"/>
        <w:rPr>
          <w:rFonts w:hint="eastAsia" w:ascii="仿宋" w:hAnsi="仿宋" w:eastAsia="仿宋" w:cs="仿宋"/>
          <w:color w:val="auto"/>
          <w:sz w:val="28"/>
          <w:szCs w:val="20"/>
        </w:rPr>
      </w:pPr>
      <w:r>
        <w:rPr>
          <w:rFonts w:hint="eastAsia" w:ascii="仿宋" w:hAnsi="仿宋" w:eastAsia="仿宋" w:cs="仿宋"/>
          <w:b/>
          <w:color w:val="auto"/>
          <w:sz w:val="44"/>
          <w:szCs w:val="44"/>
        </w:rPr>
        <w:t>（电子招投标）</w:t>
      </w:r>
    </w:p>
    <w:p w14:paraId="4B4D2861">
      <w:pPr>
        <w:pStyle w:val="17"/>
        <w:pageBreakBefore w:val="0"/>
        <w:kinsoku/>
        <w:wordWrap/>
        <w:overflowPunct/>
        <w:topLinePunct w:val="0"/>
        <w:bidi w:val="0"/>
        <w:snapToGrid/>
        <w:spacing w:line="300" w:lineRule="auto"/>
        <w:rPr>
          <w:rFonts w:hint="eastAsia" w:ascii="仿宋" w:hAnsi="仿宋" w:eastAsia="仿宋" w:cs="仿宋"/>
          <w:b/>
          <w:bCs/>
          <w:color w:val="auto"/>
          <w:w w:val="95"/>
          <w:kern w:val="0"/>
          <w:sz w:val="30"/>
          <w:szCs w:val="30"/>
          <w:highlight w:val="none"/>
        </w:rPr>
      </w:pPr>
    </w:p>
    <w:p w14:paraId="0A8C89A4">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643" w:firstLineChars="200"/>
        <w:textAlignment w:val="auto"/>
        <w:rPr>
          <w:rFonts w:hint="eastAsia" w:ascii="仿宋" w:hAnsi="仿宋" w:eastAsia="仿宋" w:cs="仿宋"/>
          <w:b/>
          <w:bCs/>
          <w:color w:val="auto"/>
          <w:w w:val="100"/>
          <w:kern w:val="0"/>
          <w:sz w:val="32"/>
          <w:szCs w:val="32"/>
          <w:highlight w:val="none"/>
        </w:rPr>
      </w:pPr>
    </w:p>
    <w:p w14:paraId="498E739A">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643" w:firstLineChars="200"/>
        <w:textAlignment w:val="auto"/>
        <w:rPr>
          <w:rFonts w:hint="eastAsia" w:ascii="仿宋" w:hAnsi="仿宋" w:eastAsia="仿宋" w:cs="仿宋"/>
          <w:b/>
          <w:bCs/>
          <w:color w:val="auto"/>
          <w:w w:val="100"/>
          <w:kern w:val="0"/>
          <w:sz w:val="32"/>
          <w:szCs w:val="32"/>
          <w:highlight w:val="none"/>
        </w:rPr>
      </w:pPr>
    </w:p>
    <w:p w14:paraId="7526F92A">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643" w:firstLineChars="200"/>
        <w:textAlignment w:val="auto"/>
        <w:rPr>
          <w:rFonts w:hint="eastAsia" w:ascii="仿宋" w:hAnsi="仿宋" w:eastAsia="仿宋" w:cs="仿宋"/>
          <w:b/>
          <w:bCs/>
          <w:color w:val="auto"/>
          <w:w w:val="100"/>
          <w:kern w:val="0"/>
          <w:sz w:val="32"/>
          <w:szCs w:val="32"/>
          <w:highlight w:val="none"/>
        </w:rPr>
      </w:pPr>
    </w:p>
    <w:p w14:paraId="4F163312">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643" w:firstLineChars="200"/>
        <w:textAlignment w:val="auto"/>
        <w:rPr>
          <w:rFonts w:hint="eastAsia" w:ascii="仿宋" w:hAnsi="仿宋" w:eastAsia="仿宋" w:cs="仿宋"/>
          <w:b/>
          <w:bCs/>
          <w:color w:val="auto"/>
          <w:w w:val="100"/>
          <w:kern w:val="0"/>
          <w:sz w:val="32"/>
          <w:szCs w:val="32"/>
          <w:highlight w:val="none"/>
        </w:rPr>
      </w:pPr>
    </w:p>
    <w:p w14:paraId="4BFF1F72">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964" w:firstLineChars="3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w w:val="100"/>
          <w:kern w:val="0"/>
          <w:sz w:val="32"/>
          <w:szCs w:val="32"/>
          <w:highlight w:val="none"/>
        </w:rPr>
        <w:t>采  购 单 位：</w:t>
      </w:r>
      <w:r>
        <w:rPr>
          <w:rFonts w:hint="eastAsia" w:ascii="仿宋" w:hAnsi="仿宋" w:eastAsia="仿宋" w:cs="仿宋"/>
          <w:b/>
          <w:bCs/>
          <w:color w:val="auto"/>
          <w:w w:val="100"/>
          <w:kern w:val="0"/>
          <w:sz w:val="32"/>
          <w:szCs w:val="32"/>
          <w:highlight w:val="none"/>
          <w:lang w:eastAsia="zh-CN"/>
        </w:rPr>
        <w:t>诸暨市暨阳排水管理有限公司</w:t>
      </w:r>
    </w:p>
    <w:p w14:paraId="3A7F4C92">
      <w:pPr>
        <w:keepNext w:val="0"/>
        <w:keepLines w:val="0"/>
        <w:pageBreakBefore w:val="0"/>
        <w:widowControl w:val="0"/>
        <w:kinsoku/>
        <w:wordWrap/>
        <w:overflowPunct/>
        <w:topLinePunct w:val="0"/>
        <w:bidi w:val="0"/>
        <w:snapToGrid/>
        <w:spacing w:line="360" w:lineRule="auto"/>
        <w:ind w:firstLine="964" w:firstLineChars="300"/>
        <w:jc w:val="both"/>
        <w:textAlignment w:val="auto"/>
        <w:rPr>
          <w:rFonts w:hint="eastAsia" w:ascii="仿宋" w:hAnsi="仿宋" w:eastAsia="仿宋" w:cs="仿宋"/>
          <w:b/>
          <w:bCs/>
          <w:color w:val="auto"/>
          <w:w w:val="100"/>
          <w:kern w:val="0"/>
          <w:sz w:val="32"/>
          <w:szCs w:val="32"/>
          <w:highlight w:val="none"/>
          <w:lang w:eastAsia="zh-CN"/>
        </w:rPr>
      </w:pPr>
      <w:r>
        <w:rPr>
          <w:rFonts w:hint="eastAsia" w:ascii="仿宋" w:hAnsi="仿宋" w:eastAsia="仿宋" w:cs="仿宋"/>
          <w:b/>
          <w:bCs/>
          <w:color w:val="auto"/>
          <w:w w:val="100"/>
          <w:kern w:val="0"/>
          <w:sz w:val="32"/>
          <w:szCs w:val="32"/>
          <w:highlight w:val="none"/>
        </w:rPr>
        <w:t>采购代理机构：浙江御达工程管理咨询有限公司</w:t>
      </w:r>
    </w:p>
    <w:p w14:paraId="2D7D38F2">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w w:val="95"/>
          <w:sz w:val="32"/>
          <w:szCs w:val="32"/>
          <w:highlight w:val="none"/>
        </w:rPr>
        <w:t>二〇二</w:t>
      </w:r>
      <w:r>
        <w:rPr>
          <w:rFonts w:hint="eastAsia" w:ascii="仿宋" w:hAnsi="仿宋" w:eastAsia="仿宋" w:cs="仿宋"/>
          <w:b/>
          <w:bCs/>
          <w:color w:val="auto"/>
          <w:w w:val="95"/>
          <w:sz w:val="32"/>
          <w:szCs w:val="32"/>
          <w:highlight w:val="none"/>
          <w:lang w:val="en-US" w:eastAsia="zh-CN"/>
        </w:rPr>
        <w:t>五</w:t>
      </w:r>
      <w:r>
        <w:rPr>
          <w:rFonts w:hint="eastAsia" w:ascii="仿宋" w:hAnsi="仿宋" w:eastAsia="仿宋" w:cs="仿宋"/>
          <w:b/>
          <w:bCs/>
          <w:color w:val="auto"/>
          <w:w w:val="95"/>
          <w:sz w:val="32"/>
          <w:szCs w:val="32"/>
          <w:highlight w:val="none"/>
        </w:rPr>
        <w:t>年</w:t>
      </w:r>
      <w:r>
        <w:rPr>
          <w:rFonts w:hint="eastAsia" w:ascii="仿宋" w:hAnsi="仿宋" w:eastAsia="仿宋" w:cs="仿宋"/>
          <w:b/>
          <w:bCs/>
          <w:color w:val="auto"/>
          <w:w w:val="95"/>
          <w:sz w:val="32"/>
          <w:szCs w:val="32"/>
          <w:highlight w:val="none"/>
          <w:lang w:val="en-US" w:eastAsia="zh-CN"/>
        </w:rPr>
        <w:t>二</w:t>
      </w:r>
      <w:r>
        <w:rPr>
          <w:rFonts w:hint="eastAsia" w:ascii="仿宋" w:hAnsi="仿宋" w:eastAsia="仿宋" w:cs="仿宋"/>
          <w:b/>
          <w:bCs/>
          <w:color w:val="auto"/>
          <w:w w:val="95"/>
          <w:sz w:val="32"/>
          <w:szCs w:val="32"/>
          <w:highlight w:val="none"/>
        </w:rPr>
        <w:t>月</w:t>
      </w:r>
    </w:p>
    <w:p w14:paraId="120B0108">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b/>
          <w:color w:val="auto"/>
          <w:sz w:val="44"/>
          <w:szCs w:val="44"/>
          <w:highlight w:val="none"/>
        </w:rPr>
        <w:sectPr>
          <w:headerReference r:id="rId4" w:type="first"/>
          <w:footerReference r:id="rId6" w:type="first"/>
          <w:headerReference r:id="rId3" w:type="default"/>
          <w:footerReference r:id="rId5" w:type="even"/>
          <w:pgSz w:w="11906" w:h="16838"/>
          <w:pgMar w:top="1474" w:right="1814" w:bottom="1474" w:left="1814" w:header="851" w:footer="907" w:gutter="0"/>
          <w:pgNumType w:start="0"/>
          <w:cols w:space="720" w:num="1"/>
          <w:docGrid w:type="lines" w:linePitch="312" w:charSpace="0"/>
        </w:sectPr>
      </w:pPr>
    </w:p>
    <w:p w14:paraId="5BBB2B8A">
      <w:pPr>
        <w:pageBreakBefore w:val="0"/>
        <w:kinsoku/>
        <w:wordWrap/>
        <w:overflowPunct/>
        <w:topLinePunct w:val="0"/>
        <w:bidi w:val="0"/>
        <w:snapToGrid/>
        <w:spacing w:line="30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5819C18E">
      <w:pPr>
        <w:pageBreakBefore w:val="0"/>
        <w:kinsoku/>
        <w:wordWrap/>
        <w:overflowPunct/>
        <w:topLinePunct w:val="0"/>
        <w:bidi w:val="0"/>
        <w:snapToGrid/>
        <w:spacing w:line="300" w:lineRule="auto"/>
        <w:jc w:val="both"/>
        <w:rPr>
          <w:rFonts w:hint="eastAsia" w:ascii="仿宋" w:hAnsi="仿宋" w:eastAsia="仿宋" w:cs="仿宋"/>
          <w:color w:val="auto"/>
          <w:highlight w:val="none"/>
        </w:rPr>
      </w:pPr>
    </w:p>
    <w:p w14:paraId="0685B14E">
      <w:pPr>
        <w:pageBreakBefore w:val="0"/>
        <w:kinsoku/>
        <w:wordWrap/>
        <w:overflowPunct/>
        <w:topLinePunct w:val="0"/>
        <w:bidi w:val="0"/>
        <w:snapToGrid/>
        <w:spacing w:line="30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第一章    招标公告</w:t>
      </w:r>
    </w:p>
    <w:p w14:paraId="68CFB75E">
      <w:pPr>
        <w:pageBreakBefore w:val="0"/>
        <w:kinsoku/>
        <w:wordWrap/>
        <w:overflowPunct/>
        <w:topLinePunct w:val="0"/>
        <w:bidi w:val="0"/>
        <w:snapToGrid/>
        <w:spacing w:line="30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第二章    投标须知</w:t>
      </w:r>
    </w:p>
    <w:p w14:paraId="0E1AE577">
      <w:pPr>
        <w:pageBreakBefore w:val="0"/>
        <w:kinsoku/>
        <w:wordWrap/>
        <w:overflowPunct/>
        <w:topLinePunct w:val="0"/>
        <w:bidi w:val="0"/>
        <w:snapToGrid/>
        <w:spacing w:line="30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第三章    评标办法及评分标准</w:t>
      </w:r>
    </w:p>
    <w:p w14:paraId="342B90C9">
      <w:pPr>
        <w:pageBreakBefore w:val="0"/>
        <w:kinsoku/>
        <w:wordWrap/>
        <w:overflowPunct/>
        <w:topLinePunct w:val="0"/>
        <w:bidi w:val="0"/>
        <w:snapToGrid/>
        <w:spacing w:line="30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第四章    </w:t>
      </w:r>
      <w:r>
        <w:rPr>
          <w:rFonts w:hint="eastAsia" w:ascii="仿宋" w:hAnsi="仿宋" w:eastAsia="仿宋" w:cs="仿宋"/>
          <w:b/>
          <w:color w:val="auto"/>
          <w:sz w:val="36"/>
          <w:szCs w:val="36"/>
          <w:highlight w:val="none"/>
          <w:lang w:val="en-US" w:eastAsia="zh-CN"/>
        </w:rPr>
        <w:t>采购</w:t>
      </w:r>
      <w:r>
        <w:rPr>
          <w:rFonts w:hint="eastAsia" w:ascii="仿宋" w:hAnsi="仿宋" w:eastAsia="仿宋" w:cs="仿宋"/>
          <w:b/>
          <w:color w:val="auto"/>
          <w:sz w:val="36"/>
          <w:szCs w:val="36"/>
          <w:highlight w:val="none"/>
        </w:rPr>
        <w:t>需求</w:t>
      </w:r>
    </w:p>
    <w:p w14:paraId="1EACA4D0">
      <w:pPr>
        <w:pageBreakBefore w:val="0"/>
        <w:kinsoku/>
        <w:wordWrap/>
        <w:overflowPunct/>
        <w:topLinePunct w:val="0"/>
        <w:bidi w:val="0"/>
        <w:snapToGrid/>
        <w:spacing w:line="30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第五章    采购合同</w:t>
      </w:r>
    </w:p>
    <w:p w14:paraId="09CE8C9B">
      <w:pPr>
        <w:pageBreakBefore w:val="0"/>
        <w:kinsoku/>
        <w:wordWrap/>
        <w:overflowPunct/>
        <w:topLinePunct w:val="0"/>
        <w:bidi w:val="0"/>
        <w:snapToGrid/>
        <w:spacing w:line="30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第六章    应提交的有关格式范例</w:t>
      </w:r>
    </w:p>
    <w:p w14:paraId="58174DEC">
      <w:pPr>
        <w:pageBreakBefore w:val="0"/>
        <w:kinsoku/>
        <w:wordWrap/>
        <w:overflowPunct/>
        <w:topLinePunct w:val="0"/>
        <w:bidi w:val="0"/>
        <w:snapToGrid/>
        <w:spacing w:line="300" w:lineRule="auto"/>
        <w:ind w:firstLine="482" w:firstLineChars="200"/>
        <w:jc w:val="center"/>
        <w:rPr>
          <w:rFonts w:hint="eastAsia" w:ascii="仿宋" w:hAnsi="仿宋" w:eastAsia="仿宋" w:cs="仿宋"/>
          <w:b/>
          <w:color w:val="auto"/>
          <w:sz w:val="24"/>
          <w:highlight w:val="none"/>
        </w:rPr>
      </w:pPr>
    </w:p>
    <w:p w14:paraId="5DF47328">
      <w:pPr>
        <w:pageBreakBefore w:val="0"/>
        <w:kinsoku/>
        <w:wordWrap/>
        <w:overflowPunct/>
        <w:topLinePunct w:val="0"/>
        <w:bidi w:val="0"/>
        <w:snapToGrid/>
        <w:spacing w:line="30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请各位投标人详细阅读各项条款</w:t>
      </w:r>
      <w:r>
        <w:rPr>
          <w:rFonts w:hint="eastAsia" w:ascii="仿宋" w:hAnsi="仿宋" w:eastAsia="仿宋" w:cs="仿宋"/>
          <w:b/>
          <w:color w:val="auto"/>
          <w:sz w:val="28"/>
          <w:szCs w:val="28"/>
          <w:highlight w:val="none"/>
          <w:lang w:eastAsia="zh-CN"/>
        </w:rPr>
        <w:t>）</w:t>
      </w:r>
    </w:p>
    <w:p w14:paraId="53B923E3">
      <w:pPr>
        <w:pageBreakBefore w:val="0"/>
        <w:kinsoku/>
        <w:wordWrap/>
        <w:overflowPunct/>
        <w:topLinePunct w:val="0"/>
        <w:bidi w:val="0"/>
        <w:snapToGrid/>
        <w:spacing w:line="300" w:lineRule="auto"/>
        <w:ind w:firstLine="1807" w:firstLineChars="500"/>
        <w:jc w:val="left"/>
        <w:rPr>
          <w:rFonts w:hint="eastAsia" w:ascii="仿宋" w:hAnsi="仿宋" w:eastAsia="仿宋" w:cs="仿宋"/>
          <w:b/>
          <w:color w:val="auto"/>
          <w:sz w:val="36"/>
          <w:szCs w:val="36"/>
          <w:highlight w:val="none"/>
        </w:rPr>
      </w:pPr>
    </w:p>
    <w:p w14:paraId="7C4D7838">
      <w:pPr>
        <w:pageBreakBefore w:val="0"/>
        <w:kinsoku/>
        <w:wordWrap/>
        <w:overflowPunct/>
        <w:topLinePunct w:val="0"/>
        <w:bidi w:val="0"/>
        <w:snapToGrid/>
        <w:spacing w:line="300" w:lineRule="auto"/>
        <w:rPr>
          <w:rStyle w:val="34"/>
          <w:rFonts w:hint="eastAsia" w:ascii="仿宋" w:hAnsi="仿宋" w:eastAsia="仿宋" w:cs="仿宋"/>
          <w:color w:val="auto"/>
          <w:sz w:val="30"/>
          <w:highlight w:val="none"/>
        </w:rPr>
      </w:pPr>
    </w:p>
    <w:p w14:paraId="30EA3B05">
      <w:pPr>
        <w:pageBreakBefore w:val="0"/>
        <w:kinsoku/>
        <w:wordWrap/>
        <w:overflowPunct/>
        <w:topLinePunct w:val="0"/>
        <w:bidi w:val="0"/>
        <w:snapToGrid/>
        <w:spacing w:line="300" w:lineRule="auto"/>
        <w:rPr>
          <w:rStyle w:val="34"/>
          <w:rFonts w:hint="eastAsia" w:ascii="仿宋" w:hAnsi="仿宋" w:eastAsia="仿宋" w:cs="仿宋"/>
          <w:color w:val="auto"/>
          <w:sz w:val="30"/>
          <w:highlight w:val="none"/>
        </w:rPr>
      </w:pPr>
    </w:p>
    <w:p w14:paraId="35F028A8">
      <w:pPr>
        <w:pageBreakBefore w:val="0"/>
        <w:kinsoku/>
        <w:wordWrap/>
        <w:overflowPunct/>
        <w:topLinePunct w:val="0"/>
        <w:bidi w:val="0"/>
        <w:snapToGrid/>
        <w:spacing w:line="300" w:lineRule="auto"/>
        <w:rPr>
          <w:rStyle w:val="34"/>
          <w:rFonts w:hint="eastAsia" w:ascii="仿宋" w:hAnsi="仿宋" w:eastAsia="仿宋" w:cs="仿宋"/>
          <w:color w:val="auto"/>
          <w:sz w:val="30"/>
          <w:highlight w:val="none"/>
        </w:rPr>
      </w:pPr>
    </w:p>
    <w:p w14:paraId="39F3110A">
      <w:pPr>
        <w:pageBreakBefore w:val="0"/>
        <w:kinsoku/>
        <w:wordWrap/>
        <w:overflowPunct/>
        <w:topLinePunct w:val="0"/>
        <w:bidi w:val="0"/>
        <w:snapToGrid/>
        <w:spacing w:line="300" w:lineRule="auto"/>
        <w:rPr>
          <w:rStyle w:val="34"/>
          <w:rFonts w:hint="eastAsia" w:ascii="仿宋" w:hAnsi="仿宋" w:eastAsia="仿宋" w:cs="仿宋"/>
          <w:color w:val="auto"/>
          <w:sz w:val="30"/>
          <w:highlight w:val="none"/>
        </w:rPr>
      </w:pPr>
    </w:p>
    <w:p w14:paraId="6FA85CDA">
      <w:pPr>
        <w:pStyle w:val="28"/>
        <w:pageBreakBefore w:val="0"/>
        <w:kinsoku/>
        <w:wordWrap/>
        <w:overflowPunct/>
        <w:topLinePunct w:val="0"/>
        <w:bidi w:val="0"/>
        <w:snapToGrid/>
        <w:spacing w:after="0" w:afterLines="0" w:line="300" w:lineRule="auto"/>
        <w:ind w:left="0" w:leftChars="0" w:firstLine="0" w:firstLineChars="0"/>
        <w:rPr>
          <w:rFonts w:hint="eastAsia" w:ascii="仿宋" w:hAnsi="仿宋" w:eastAsia="仿宋" w:cs="仿宋"/>
          <w:color w:val="auto"/>
          <w:highlight w:val="none"/>
        </w:rPr>
      </w:pPr>
    </w:p>
    <w:p w14:paraId="3D47D700">
      <w:pPr>
        <w:pStyle w:val="28"/>
        <w:pageBreakBefore w:val="0"/>
        <w:kinsoku/>
        <w:wordWrap/>
        <w:overflowPunct/>
        <w:topLinePunct w:val="0"/>
        <w:bidi w:val="0"/>
        <w:snapToGrid/>
        <w:spacing w:after="0" w:afterLines="0" w:line="300" w:lineRule="auto"/>
        <w:ind w:left="0" w:leftChars="0" w:firstLine="0" w:firstLineChars="0"/>
        <w:rPr>
          <w:rFonts w:hint="eastAsia" w:ascii="仿宋" w:hAnsi="仿宋" w:eastAsia="仿宋" w:cs="仿宋"/>
          <w:color w:val="auto"/>
          <w:highlight w:val="none"/>
        </w:rPr>
      </w:pPr>
    </w:p>
    <w:p w14:paraId="7B7FE2B7">
      <w:pPr>
        <w:pStyle w:val="28"/>
        <w:pageBreakBefore w:val="0"/>
        <w:kinsoku/>
        <w:wordWrap/>
        <w:overflowPunct/>
        <w:topLinePunct w:val="0"/>
        <w:bidi w:val="0"/>
        <w:snapToGrid/>
        <w:spacing w:after="0" w:afterLines="0" w:line="300" w:lineRule="auto"/>
        <w:ind w:left="0" w:leftChars="0" w:firstLine="0" w:firstLineChars="0"/>
        <w:rPr>
          <w:rFonts w:hint="eastAsia" w:ascii="仿宋" w:hAnsi="仿宋" w:eastAsia="仿宋" w:cs="仿宋"/>
          <w:color w:val="auto"/>
          <w:highlight w:val="none"/>
        </w:rPr>
      </w:pPr>
    </w:p>
    <w:p w14:paraId="65525BE5">
      <w:pPr>
        <w:pStyle w:val="4"/>
        <w:pageBreakBefore w:val="0"/>
        <w:kinsoku/>
        <w:wordWrap/>
        <w:overflowPunct/>
        <w:topLinePunct w:val="0"/>
        <w:bidi w:val="0"/>
        <w:snapToGrid/>
        <w:spacing w:before="0" w:beforeLines="0" w:after="0" w:afterLines="0" w:line="300" w:lineRule="auto"/>
        <w:jc w:val="center"/>
        <w:rPr>
          <w:rFonts w:hint="eastAsia" w:ascii="仿宋" w:hAnsi="仿宋" w:eastAsia="仿宋" w:cs="仿宋"/>
          <w:color w:val="auto"/>
          <w:sz w:val="36"/>
          <w:szCs w:val="36"/>
          <w:highlight w:val="none"/>
        </w:rPr>
        <w:sectPr>
          <w:pgSz w:w="11906" w:h="16838"/>
          <w:pgMar w:top="1474" w:right="1814" w:bottom="1474" w:left="1814" w:header="851" w:footer="907" w:gutter="0"/>
          <w:pgNumType w:start="0"/>
          <w:cols w:space="720" w:num="1"/>
          <w:docGrid w:type="lines" w:linePitch="312" w:charSpace="0"/>
        </w:sectPr>
      </w:pPr>
      <w:bookmarkStart w:id="0" w:name="_Toc125344501"/>
    </w:p>
    <w:p w14:paraId="4499A5FE">
      <w:pPr>
        <w:pStyle w:val="4"/>
        <w:pageBreakBefore w:val="0"/>
        <w:kinsoku/>
        <w:wordWrap/>
        <w:overflowPunct/>
        <w:topLinePunct w:val="0"/>
        <w:bidi w:val="0"/>
        <w:snapToGrid/>
        <w:spacing w:before="0" w:beforeLines="0" w:after="0" w:afterLines="0" w:line="300" w:lineRule="auto"/>
        <w:jc w:val="center"/>
        <w:textAlignment w:val="auto"/>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第一章  招标公告</w:t>
      </w:r>
      <w:bookmarkEnd w:id="0"/>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非政府采购</w:t>
      </w:r>
      <w:r>
        <w:rPr>
          <w:rFonts w:hint="eastAsia" w:ascii="仿宋" w:hAnsi="仿宋" w:eastAsia="仿宋" w:cs="仿宋"/>
          <w:color w:val="auto"/>
          <w:sz w:val="36"/>
          <w:szCs w:val="36"/>
          <w:highlight w:val="none"/>
          <w:lang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DD9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9286" w:type="dxa"/>
            <w:noWrap w:val="0"/>
            <w:vAlign w:val="top"/>
          </w:tcPr>
          <w:p w14:paraId="381D3D76">
            <w:pPr>
              <w:pStyle w:val="26"/>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项目概况</w:t>
            </w:r>
          </w:p>
          <w:p w14:paraId="77428A1A">
            <w:pPr>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u w:val="single"/>
                <w:lang w:val="en-US" w:eastAsia="zh-CN" w:bidi="ar-SA"/>
              </w:rPr>
              <w:t>诸暨市城市生活污水治理扩面提效项目（诸暨市暨阳街道污水改造工程-袁家村、江龙村；城中村纳厂提升改造工程-同乐上村、同乐下村、金三角村）设计采购项目</w:t>
            </w:r>
            <w:r>
              <w:rPr>
                <w:rFonts w:hint="eastAsia" w:ascii="仿宋" w:hAnsi="仿宋" w:eastAsia="仿宋" w:cs="仿宋"/>
                <w:color w:val="auto"/>
                <w:kern w:val="2"/>
                <w:sz w:val="24"/>
                <w:szCs w:val="24"/>
                <w:lang w:val="en-US" w:eastAsia="zh-CN" w:bidi="ar-SA"/>
              </w:rPr>
              <w:t>招标项目的潜在投标人应在乐采云平台（</w:t>
            </w:r>
            <w:r>
              <w:rPr>
                <w:rFonts w:hint="eastAsia" w:ascii="宋体" w:hAnsi="宋体" w:eastAsia="宋体" w:cs="宋体"/>
                <w:color w:val="auto"/>
                <w:sz w:val="24"/>
                <w:u w:val="single"/>
                <w:lang w:eastAsia="zh-CN"/>
              </w:rPr>
              <w:t>https://www.lecaiyun.com/</w:t>
            </w:r>
            <w:r>
              <w:rPr>
                <w:rFonts w:hint="eastAsia" w:ascii="仿宋" w:hAnsi="仿宋" w:eastAsia="仿宋" w:cs="仿宋"/>
                <w:color w:val="auto"/>
                <w:kern w:val="2"/>
                <w:sz w:val="24"/>
                <w:szCs w:val="24"/>
                <w:lang w:val="en-US" w:eastAsia="zh-CN" w:bidi="ar-SA"/>
              </w:rPr>
              <w:t>）获取（下载）招标文件，并于</w:t>
            </w:r>
            <w:r>
              <w:rPr>
                <w:rFonts w:hint="eastAsia" w:ascii="仿宋" w:hAnsi="仿宋" w:eastAsia="仿宋" w:cs="仿宋"/>
                <w:color w:val="auto"/>
                <w:kern w:val="2"/>
                <w:sz w:val="24"/>
                <w:szCs w:val="24"/>
                <w:u w:val="single"/>
                <w:lang w:val="en-US" w:eastAsia="zh-CN" w:bidi="ar-SA"/>
              </w:rPr>
              <w:t>2025年3月17日14:00</w:t>
            </w:r>
            <w:r>
              <w:rPr>
                <w:rFonts w:hint="eastAsia" w:ascii="仿宋" w:hAnsi="仿宋" w:eastAsia="仿宋" w:cs="仿宋"/>
                <w:color w:val="auto"/>
                <w:kern w:val="2"/>
                <w:sz w:val="24"/>
                <w:szCs w:val="24"/>
                <w:lang w:val="en-US" w:eastAsia="zh-CN" w:bidi="ar-SA"/>
              </w:rPr>
              <w:t>（北京时间）前递交（上传）投标文件。</w:t>
            </w:r>
          </w:p>
        </w:tc>
      </w:tr>
    </w:tbl>
    <w:p w14:paraId="0BE38B66">
      <w:pPr>
        <w:pStyle w:val="5"/>
        <w:pageBreakBefore w:val="0"/>
        <w:kinsoku/>
        <w:wordWrap/>
        <w:overflowPunct/>
        <w:topLinePunct w:val="0"/>
        <w:autoSpaceDE/>
        <w:autoSpaceDN/>
        <w:bidi w:val="0"/>
        <w:adjustRightInd/>
        <w:snapToGrid/>
        <w:spacing w:before="0" w:beforeLines="0" w:after="0" w:afterLines="0" w:line="360" w:lineRule="auto"/>
        <w:ind w:firstLine="482" w:firstLineChars="200"/>
        <w:textAlignment w:val="auto"/>
        <w:rPr>
          <w:rFonts w:hint="eastAsia" w:ascii="仿宋" w:hAnsi="仿宋" w:eastAsia="仿宋" w:cs="仿宋"/>
          <w:bCs w:val="0"/>
          <w:color w:val="auto"/>
          <w:kern w:val="0"/>
          <w:sz w:val="24"/>
          <w:szCs w:val="24"/>
          <w:highlight w:val="none"/>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Cs w:val="0"/>
          <w:color w:val="auto"/>
          <w:kern w:val="0"/>
          <w:sz w:val="24"/>
          <w:szCs w:val="24"/>
          <w:highlight w:val="none"/>
        </w:rPr>
        <w:t>一、项目基本情况</w:t>
      </w:r>
      <w:bookmarkEnd w:id="1"/>
      <w:bookmarkEnd w:id="2"/>
      <w:bookmarkEnd w:id="3"/>
      <w:bookmarkEnd w:id="4"/>
    </w:p>
    <w:p w14:paraId="6C8BD156">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采购组织类型：分散采购委托代理</w:t>
      </w:r>
    </w:p>
    <w:p w14:paraId="07E0B27A">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kern w:val="2"/>
          <w:sz w:val="24"/>
          <w:szCs w:val="24"/>
          <w:lang w:val="en-US" w:eastAsia="zh-CN" w:bidi="ar-SA"/>
        </w:rPr>
        <w:t>诸暨市城市生活污水治理扩面提效项目（诸暨市暨阳街道污水改造工程-袁家村、江龙村；城中村纳厂提升改造工程-同乐上村、同乐下村、金三角村）设计采购项目</w:t>
      </w:r>
    </w:p>
    <w:p w14:paraId="26EAD832">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项目编号：诸御达2025-02-01</w:t>
      </w:r>
    </w:p>
    <w:p w14:paraId="0C591A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最高限价：标项一105万元，标项二75万元。</w:t>
      </w:r>
    </w:p>
    <w:p w14:paraId="1FCC135C">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项目规模：</w:t>
      </w:r>
      <w:bookmarkEnd w:id="5"/>
      <w:bookmarkStart w:id="6" w:name="_Toc35393791"/>
      <w:bookmarkStart w:id="7" w:name="_Toc28359080"/>
      <w:bookmarkStart w:id="8" w:name="_Toc28359003"/>
      <w:bookmarkStart w:id="9" w:name="_Toc35393622"/>
      <w:r>
        <w:rPr>
          <w:rFonts w:hint="eastAsia" w:ascii="仿宋" w:hAnsi="仿宋" w:eastAsia="仿宋" w:cs="仿宋"/>
          <w:color w:val="auto"/>
          <w:kern w:val="2"/>
          <w:sz w:val="24"/>
          <w:szCs w:val="24"/>
          <w:lang w:val="en-US" w:eastAsia="zh-CN" w:bidi="ar-SA"/>
        </w:rPr>
        <w:t>诸暨市城市生活污水治理扩面提效项目（诸暨市暨阳街道污水改造工程-袁家村、江龙村；城中村纳厂提升改造工程-同乐上村、同乐下村、金三角村）设计采购项目，本项目分为二个标项，按折扣率招标，数量按实结算，各标项采购预算金额详见下表：</w:t>
      </w:r>
    </w:p>
    <w:tbl>
      <w:tblPr>
        <w:tblStyle w:val="30"/>
        <w:tblpPr w:leftFromText="180" w:rightFromText="180" w:vertAnchor="text" w:horzAnchor="page" w:tblpX="1777" w:tblpY="211"/>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688"/>
        <w:gridCol w:w="1545"/>
        <w:gridCol w:w="1800"/>
      </w:tblGrid>
      <w:tr w14:paraId="3CE1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1127" w:type="dxa"/>
            <w:noWrap w:val="0"/>
            <w:vAlign w:val="center"/>
          </w:tcPr>
          <w:p w14:paraId="63F42B65">
            <w:pPr>
              <w:keepNext w:val="0"/>
              <w:keepLines w:val="0"/>
              <w:pageBreakBefore w:val="0"/>
              <w:widowControl/>
              <w:kinsoku/>
              <w:wordWrap/>
              <w:overflowPunct/>
              <w:topLinePunct w:val="0"/>
              <w:bidi w:val="0"/>
              <w:adjustRightInd w:val="0"/>
              <w:snapToGrid w:val="0"/>
              <w:spacing w:line="400" w:lineRule="exact"/>
              <w:ind w:firstLine="240" w:firstLineChars="10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标项</w:t>
            </w:r>
          </w:p>
        </w:tc>
        <w:tc>
          <w:tcPr>
            <w:tcW w:w="4688" w:type="dxa"/>
            <w:noWrap w:val="0"/>
            <w:vAlign w:val="center"/>
          </w:tcPr>
          <w:p w14:paraId="0AF61C4E">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采购内容</w:t>
            </w:r>
          </w:p>
        </w:tc>
        <w:tc>
          <w:tcPr>
            <w:tcW w:w="1545" w:type="dxa"/>
            <w:noWrap w:val="0"/>
            <w:vAlign w:val="center"/>
          </w:tcPr>
          <w:p w14:paraId="1E6B35E4">
            <w:pPr>
              <w:keepNext w:val="0"/>
              <w:keepLines w:val="0"/>
              <w:pageBreakBefore w:val="0"/>
              <w:widowControl/>
              <w:kinsoku/>
              <w:wordWrap/>
              <w:overflowPunct/>
              <w:topLinePunct w:val="0"/>
              <w:bidi w:val="0"/>
              <w:adjustRightInd w:val="0"/>
              <w:snapToGrid w:val="0"/>
              <w:spacing w:line="400" w:lineRule="exact"/>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最高折扣率限价（%）</w:t>
            </w:r>
          </w:p>
        </w:tc>
        <w:tc>
          <w:tcPr>
            <w:tcW w:w="1800" w:type="dxa"/>
            <w:noWrap w:val="0"/>
            <w:vAlign w:val="center"/>
          </w:tcPr>
          <w:p w14:paraId="73E54D00">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预算总金额</w:t>
            </w:r>
          </w:p>
          <w:p w14:paraId="4238F8D6">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（万元）</w:t>
            </w:r>
          </w:p>
        </w:tc>
      </w:tr>
      <w:tr w14:paraId="52CD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trPr>
        <w:tc>
          <w:tcPr>
            <w:tcW w:w="1127" w:type="dxa"/>
            <w:noWrap w:val="0"/>
            <w:vAlign w:val="center"/>
          </w:tcPr>
          <w:p w14:paraId="09B9AD57">
            <w:pPr>
              <w:keepNext w:val="0"/>
              <w:keepLines w:val="0"/>
              <w:pageBreakBefore w:val="0"/>
              <w:widowControl/>
              <w:kinsoku/>
              <w:wordWrap/>
              <w:overflowPunct/>
              <w:topLinePunct w:val="0"/>
              <w:bidi w:val="0"/>
              <w:adjustRightInd w:val="0"/>
              <w:snapToGrid w:val="0"/>
              <w:spacing w:line="400" w:lineRule="exact"/>
              <w:ind w:firstLine="240" w:firstLineChars="100"/>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标项1</w:t>
            </w:r>
          </w:p>
        </w:tc>
        <w:tc>
          <w:tcPr>
            <w:tcW w:w="4688" w:type="dxa"/>
            <w:noWrap w:val="0"/>
            <w:vAlign w:val="center"/>
          </w:tcPr>
          <w:p w14:paraId="6418316A">
            <w:pPr>
              <w:tabs>
                <w:tab w:val="left" w:pos="142"/>
              </w:tabs>
              <w:snapToGrid w:val="0"/>
              <w:spacing w:line="40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诸暨市城市生活污水治理扩面提效项目-诸暨市暨阳街道污水改造工程-袁家村、江龙村</w:t>
            </w:r>
            <w:r>
              <w:rPr>
                <w:rFonts w:hint="eastAsia" w:ascii="仿宋" w:hAnsi="仿宋" w:eastAsia="仿宋" w:cs="仿宋"/>
                <w:color w:val="auto"/>
                <w:sz w:val="24"/>
                <w:szCs w:val="24"/>
                <w:lang w:eastAsia="zh-CN"/>
              </w:rPr>
              <w:t>图纸设计</w:t>
            </w:r>
            <w:r>
              <w:rPr>
                <w:rFonts w:hint="eastAsia" w:ascii="仿宋" w:hAnsi="仿宋" w:eastAsia="仿宋" w:cs="仿宋"/>
                <w:color w:val="auto"/>
                <w:sz w:val="24"/>
                <w:szCs w:val="24"/>
                <w:lang w:val="en-US" w:eastAsia="zh-CN"/>
              </w:rPr>
              <w:t>及前期调研工作。</w:t>
            </w:r>
          </w:p>
          <w:p w14:paraId="296F017F">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仿宋" w:hAnsi="仿宋" w:eastAsia="仿宋" w:cs="仿宋"/>
                <w:bCs/>
                <w:color w:val="auto"/>
                <w:sz w:val="24"/>
                <w:szCs w:val="24"/>
                <w:lang w:val="en-US" w:eastAsia="zh-CN"/>
              </w:rPr>
            </w:pPr>
          </w:p>
        </w:tc>
        <w:tc>
          <w:tcPr>
            <w:tcW w:w="1545" w:type="dxa"/>
            <w:vMerge w:val="restart"/>
            <w:noWrap w:val="0"/>
            <w:vAlign w:val="center"/>
          </w:tcPr>
          <w:p w14:paraId="12C3943C">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80.00%</w:t>
            </w:r>
          </w:p>
        </w:tc>
        <w:tc>
          <w:tcPr>
            <w:tcW w:w="1800" w:type="dxa"/>
            <w:noWrap w:val="0"/>
            <w:vAlign w:val="center"/>
          </w:tcPr>
          <w:p w14:paraId="25A85A61">
            <w:pPr>
              <w:keepNext w:val="0"/>
              <w:keepLines w:val="0"/>
              <w:pageBreakBefore w:val="0"/>
              <w:widowControl/>
              <w:kinsoku/>
              <w:wordWrap/>
              <w:overflowPunct/>
              <w:topLinePunct w:val="0"/>
              <w:bidi w:val="0"/>
              <w:adjustRightInd w:val="0"/>
              <w:snapToGrid w:val="0"/>
              <w:spacing w:line="4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105万元</w:t>
            </w:r>
          </w:p>
          <w:p w14:paraId="0CFD9F2C">
            <w:pPr>
              <w:keepNext w:val="0"/>
              <w:keepLines w:val="0"/>
              <w:pageBreakBefore w:val="0"/>
              <w:widowControl/>
              <w:kinsoku/>
              <w:wordWrap/>
              <w:overflowPunct/>
              <w:topLinePunct w:val="0"/>
              <w:bidi w:val="0"/>
              <w:adjustRightInd w:val="0"/>
              <w:snapToGrid w:val="0"/>
              <w:spacing w:line="400" w:lineRule="exact"/>
              <w:ind w:firstLine="600" w:firstLineChars="250"/>
              <w:jc w:val="center"/>
              <w:textAlignment w:val="auto"/>
              <w:rPr>
                <w:rFonts w:hint="eastAsia" w:ascii="仿宋" w:hAnsi="仿宋" w:eastAsia="仿宋" w:cs="仿宋"/>
                <w:bCs/>
                <w:color w:val="auto"/>
                <w:sz w:val="24"/>
                <w:szCs w:val="24"/>
                <w:lang w:val="en-US" w:eastAsia="zh-CN"/>
              </w:rPr>
            </w:pPr>
          </w:p>
        </w:tc>
      </w:tr>
      <w:tr w14:paraId="65F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exact"/>
        </w:trPr>
        <w:tc>
          <w:tcPr>
            <w:tcW w:w="1127" w:type="dxa"/>
            <w:noWrap w:val="0"/>
            <w:vAlign w:val="center"/>
          </w:tcPr>
          <w:p w14:paraId="0D9798FB">
            <w:pPr>
              <w:keepNext w:val="0"/>
              <w:keepLines w:val="0"/>
              <w:pageBreakBefore w:val="0"/>
              <w:widowControl/>
              <w:kinsoku/>
              <w:wordWrap/>
              <w:overflowPunct/>
              <w:topLinePunct w:val="0"/>
              <w:bidi w:val="0"/>
              <w:adjustRightInd w:val="0"/>
              <w:snapToGrid w:val="0"/>
              <w:spacing w:line="400" w:lineRule="exact"/>
              <w:ind w:firstLine="240" w:firstLineChars="100"/>
              <w:jc w:val="left"/>
              <w:textAlignment w:val="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标项2</w:t>
            </w:r>
          </w:p>
        </w:tc>
        <w:tc>
          <w:tcPr>
            <w:tcW w:w="4688" w:type="dxa"/>
            <w:noWrap w:val="0"/>
            <w:vAlign w:val="center"/>
          </w:tcPr>
          <w:p w14:paraId="098BAE07">
            <w:pPr>
              <w:tabs>
                <w:tab w:val="left" w:pos="142"/>
              </w:tabs>
              <w:snapToGrid w:val="0"/>
              <w:spacing w:line="400" w:lineRule="exact"/>
              <w:jc w:val="both"/>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2"/>
                <w:sz w:val="24"/>
                <w:szCs w:val="24"/>
                <w:lang w:val="en-US" w:eastAsia="zh-CN" w:bidi="ar-SA"/>
              </w:rPr>
              <w:t>诸暨市城市生活污水治理扩面提效项目-城中村纳厂提升改造工程-同乐上村、同乐下村、金三角村</w:t>
            </w:r>
            <w:r>
              <w:rPr>
                <w:rFonts w:hint="eastAsia" w:ascii="仿宋" w:hAnsi="仿宋" w:eastAsia="仿宋" w:cs="仿宋"/>
                <w:color w:val="auto"/>
                <w:sz w:val="24"/>
                <w:szCs w:val="24"/>
                <w:lang w:eastAsia="zh-CN"/>
              </w:rPr>
              <w:t>图纸设计</w:t>
            </w:r>
            <w:r>
              <w:rPr>
                <w:rFonts w:hint="eastAsia" w:ascii="仿宋" w:hAnsi="仿宋" w:eastAsia="仿宋" w:cs="仿宋"/>
                <w:color w:val="auto"/>
                <w:sz w:val="24"/>
                <w:szCs w:val="24"/>
                <w:lang w:val="en-US" w:eastAsia="zh-CN"/>
              </w:rPr>
              <w:t>及前期调研工作。</w:t>
            </w:r>
          </w:p>
        </w:tc>
        <w:tc>
          <w:tcPr>
            <w:tcW w:w="1545" w:type="dxa"/>
            <w:vMerge w:val="continue"/>
            <w:noWrap w:val="0"/>
            <w:vAlign w:val="center"/>
          </w:tcPr>
          <w:p w14:paraId="120AD175">
            <w:pPr>
              <w:keepNext w:val="0"/>
              <w:keepLines w:val="0"/>
              <w:pageBreakBefore w:val="0"/>
              <w:widowControl/>
              <w:kinsoku/>
              <w:wordWrap/>
              <w:overflowPunct/>
              <w:topLinePunct w:val="0"/>
              <w:bidi w:val="0"/>
              <w:adjustRightInd w:val="0"/>
              <w:snapToGrid w:val="0"/>
              <w:spacing w:line="400" w:lineRule="exact"/>
              <w:jc w:val="center"/>
              <w:textAlignment w:val="auto"/>
              <w:rPr>
                <w:rFonts w:hint="eastAsia" w:ascii="仿宋" w:hAnsi="仿宋" w:eastAsia="仿宋" w:cs="仿宋"/>
                <w:bCs/>
                <w:color w:val="auto"/>
                <w:sz w:val="24"/>
                <w:szCs w:val="24"/>
                <w:lang w:val="en-US" w:eastAsia="zh-CN"/>
              </w:rPr>
            </w:pPr>
          </w:p>
        </w:tc>
        <w:tc>
          <w:tcPr>
            <w:tcW w:w="1800" w:type="dxa"/>
            <w:noWrap w:val="0"/>
            <w:vAlign w:val="center"/>
          </w:tcPr>
          <w:p w14:paraId="61525DEC">
            <w:pPr>
              <w:keepNext w:val="0"/>
              <w:keepLines w:val="0"/>
              <w:pageBreakBefore w:val="0"/>
              <w:widowControl/>
              <w:kinsoku/>
              <w:wordWrap/>
              <w:overflowPunct/>
              <w:topLinePunct w:val="0"/>
              <w:bidi w:val="0"/>
              <w:adjustRightInd w:val="0"/>
              <w:snapToGrid w:val="0"/>
              <w:spacing w:line="400" w:lineRule="exact"/>
              <w:ind w:firstLine="480" w:firstLineChars="200"/>
              <w:jc w:val="both"/>
              <w:textAlignment w:val="auto"/>
              <w:rPr>
                <w:rFonts w:hint="eastAsia" w:ascii="仿宋" w:hAnsi="仿宋" w:eastAsia="仿宋" w:cs="仿宋"/>
                <w:bCs/>
                <w:color w:val="auto"/>
                <w:sz w:val="24"/>
                <w:szCs w:val="24"/>
                <w:lang w:val="en-US" w:eastAsia="zh-CN"/>
              </w:rPr>
            </w:pPr>
          </w:p>
          <w:p w14:paraId="2B2D1F09">
            <w:pPr>
              <w:keepNext w:val="0"/>
              <w:keepLines w:val="0"/>
              <w:pageBreakBefore w:val="0"/>
              <w:widowControl/>
              <w:kinsoku/>
              <w:wordWrap/>
              <w:overflowPunct/>
              <w:topLinePunct w:val="0"/>
              <w:bidi w:val="0"/>
              <w:adjustRightInd w:val="0"/>
              <w:snapToGrid w:val="0"/>
              <w:spacing w:line="400" w:lineRule="exact"/>
              <w:ind w:firstLine="480" w:firstLineChars="200"/>
              <w:jc w:val="both"/>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75万元</w:t>
            </w:r>
          </w:p>
          <w:p w14:paraId="6F4972F1">
            <w:pPr>
              <w:keepNext w:val="0"/>
              <w:keepLines w:val="0"/>
              <w:pageBreakBefore w:val="0"/>
              <w:widowControl/>
              <w:kinsoku/>
              <w:wordWrap/>
              <w:overflowPunct/>
              <w:topLinePunct w:val="0"/>
              <w:bidi w:val="0"/>
              <w:adjustRightInd w:val="0"/>
              <w:snapToGrid w:val="0"/>
              <w:spacing w:line="400" w:lineRule="exact"/>
              <w:ind w:firstLine="600" w:firstLineChars="250"/>
              <w:jc w:val="center"/>
              <w:textAlignment w:val="auto"/>
              <w:rPr>
                <w:rFonts w:hint="eastAsia" w:ascii="仿宋" w:hAnsi="仿宋" w:eastAsia="仿宋" w:cs="仿宋"/>
                <w:bCs/>
                <w:color w:val="auto"/>
                <w:sz w:val="24"/>
                <w:szCs w:val="24"/>
                <w:lang w:val="en-US" w:eastAsia="zh-CN"/>
              </w:rPr>
            </w:pPr>
          </w:p>
        </w:tc>
      </w:tr>
    </w:tbl>
    <w:p w14:paraId="2E84BB84">
      <w:pPr>
        <w:pageBreakBefore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
          <w:color w:val="auto"/>
          <w:sz w:val="24"/>
          <w:szCs w:val="24"/>
          <w:highlight w:val="none"/>
        </w:rPr>
      </w:pPr>
    </w:p>
    <w:p w14:paraId="4F5FC62A">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bookmarkEnd w:id="6"/>
      <w:bookmarkEnd w:id="7"/>
      <w:bookmarkEnd w:id="8"/>
      <w:bookmarkEnd w:id="9"/>
      <w:r>
        <w:rPr>
          <w:rFonts w:hint="eastAsia" w:ascii="仿宋" w:hAnsi="仿宋" w:eastAsia="仿宋" w:cs="仿宋"/>
          <w:b/>
          <w:color w:val="auto"/>
          <w:sz w:val="24"/>
          <w:szCs w:val="24"/>
          <w:highlight w:val="none"/>
        </w:rPr>
        <w:t>、投标人（供应商）资格要求：</w:t>
      </w:r>
    </w:p>
    <w:p w14:paraId="36C9CCD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rPr>
      </w:pPr>
      <w:bookmarkStart w:id="10" w:name="_Toc35393623"/>
      <w:bookmarkStart w:id="11" w:name="_Toc35393792"/>
      <w:r>
        <w:rPr>
          <w:rFonts w:hint="eastAsia" w:ascii="仿宋" w:hAnsi="仿宋" w:eastAsia="仿宋" w:cs="仿宋"/>
          <w:bCs/>
          <w:color w:val="auto"/>
          <w:sz w:val="24"/>
        </w:rPr>
        <w:t>1、符合《中华人民共和国政府采购法》第二十二条之供应商资格规定；</w:t>
      </w:r>
    </w:p>
    <w:p w14:paraId="1B20123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lang w:eastAsia="zh-CN"/>
        </w:rPr>
        <w:t>；</w:t>
      </w:r>
    </w:p>
    <w:p w14:paraId="0A84FB27">
      <w:pPr>
        <w:pStyle w:val="26"/>
        <w:keepNext w:val="0"/>
        <w:keepLines w:val="0"/>
        <w:pageBreakBefore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、本项目的特定资格要求：</w:t>
      </w:r>
      <w:r>
        <w:rPr>
          <w:rFonts w:hint="eastAsia" w:ascii="仿宋" w:hAnsi="仿宋" w:eastAsia="仿宋" w:cs="仿宋"/>
          <w:bCs/>
          <w:color w:val="auto"/>
          <w:sz w:val="24"/>
          <w:szCs w:val="24"/>
          <w:lang w:val="en-US" w:eastAsia="zh-CN"/>
        </w:rPr>
        <w:t>标项一</w:t>
      </w:r>
      <w:r>
        <w:rPr>
          <w:rFonts w:hint="eastAsia" w:ascii="仿宋" w:hAnsi="仿宋" w:eastAsia="仿宋" w:cs="仿宋"/>
          <w:bCs/>
          <w:color w:val="auto"/>
          <w:sz w:val="24"/>
          <w:lang w:val="en-US" w:eastAsia="zh-CN"/>
        </w:rPr>
        <w:t>、</w:t>
      </w:r>
      <w:r>
        <w:rPr>
          <w:rFonts w:hint="eastAsia" w:ascii="仿宋" w:hAnsi="仿宋" w:eastAsia="仿宋" w:cs="仿宋"/>
          <w:bCs/>
          <w:color w:val="auto"/>
          <w:sz w:val="24"/>
          <w:szCs w:val="24"/>
          <w:lang w:val="en-US" w:eastAsia="zh-CN"/>
        </w:rPr>
        <w:t>标项</w:t>
      </w:r>
      <w:r>
        <w:rPr>
          <w:rFonts w:hint="eastAsia" w:ascii="仿宋" w:hAnsi="仿宋" w:eastAsia="仿宋" w:cs="仿宋"/>
          <w:bCs/>
          <w:color w:val="auto"/>
          <w:sz w:val="24"/>
          <w:lang w:val="en-US" w:eastAsia="zh-CN"/>
        </w:rPr>
        <w:t>二</w:t>
      </w:r>
      <w:r>
        <w:rPr>
          <w:rFonts w:hint="eastAsia" w:ascii="仿宋" w:hAnsi="仿宋" w:eastAsia="仿宋" w:cs="仿宋"/>
          <w:color w:val="auto"/>
          <w:sz w:val="24"/>
          <w:szCs w:val="24"/>
          <w:highlight w:val="none"/>
        </w:rPr>
        <w:t>具有市政专业（道路、给水、排水）</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级及以上资质</w:t>
      </w:r>
      <w:r>
        <w:rPr>
          <w:rFonts w:hint="eastAsia" w:ascii="仿宋" w:hAnsi="仿宋" w:eastAsia="仿宋" w:cs="仿宋"/>
          <w:color w:val="auto"/>
          <w:lang w:eastAsia="zh-CN"/>
        </w:rPr>
        <w:t>；</w:t>
      </w:r>
    </w:p>
    <w:p w14:paraId="1086BF2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、本项目</w:t>
      </w:r>
      <w:r>
        <w:rPr>
          <w:rFonts w:hint="eastAsia" w:ascii="仿宋" w:hAnsi="仿宋" w:eastAsia="仿宋" w:cs="仿宋"/>
          <w:b w:val="0"/>
          <w:bCs/>
          <w:color w:val="auto"/>
          <w:sz w:val="24"/>
          <w:u w:val="none"/>
        </w:rPr>
        <w:t>不</w:t>
      </w:r>
      <w:r>
        <w:rPr>
          <w:rFonts w:hint="eastAsia" w:ascii="仿宋" w:hAnsi="仿宋" w:eastAsia="仿宋" w:cs="仿宋"/>
          <w:bCs/>
          <w:color w:val="auto"/>
          <w:sz w:val="24"/>
        </w:rPr>
        <w:t>接受联合体投标。</w:t>
      </w:r>
    </w:p>
    <w:p w14:paraId="592A97AD">
      <w:pPr>
        <w:pStyle w:val="5"/>
        <w:pageBreakBefore w:val="0"/>
        <w:kinsoku/>
        <w:wordWrap/>
        <w:overflowPunct/>
        <w:topLinePunct w:val="0"/>
        <w:bidi w:val="0"/>
        <w:snapToGrid/>
        <w:spacing w:before="0" w:beforeLines="0" w:after="0" w:afterLines="0" w:line="360" w:lineRule="auto"/>
        <w:ind w:firstLine="482" w:firstLineChars="200"/>
        <w:textAlignment w:val="auto"/>
        <w:rPr>
          <w:rFonts w:hint="eastAsia" w:ascii="仿宋" w:hAnsi="仿宋" w:eastAsia="仿宋" w:cs="仿宋"/>
          <w:bCs w:val="0"/>
          <w:color w:val="auto"/>
          <w:kern w:val="0"/>
          <w:sz w:val="24"/>
          <w:szCs w:val="24"/>
          <w:highlight w:val="none"/>
        </w:rPr>
      </w:pPr>
      <w:r>
        <w:rPr>
          <w:rFonts w:hint="eastAsia" w:ascii="仿宋" w:hAnsi="仿宋" w:eastAsia="仿宋" w:cs="仿宋"/>
          <w:bCs w:val="0"/>
          <w:color w:val="auto"/>
          <w:kern w:val="0"/>
          <w:sz w:val="24"/>
          <w:szCs w:val="24"/>
          <w:highlight w:val="none"/>
        </w:rPr>
        <w:t>三、获取招标文件</w:t>
      </w:r>
      <w:bookmarkEnd w:id="10"/>
      <w:bookmarkEnd w:id="11"/>
    </w:p>
    <w:p w14:paraId="4F0B3F68">
      <w:pPr>
        <w:pStyle w:val="26"/>
        <w:keepNext w:val="0"/>
        <w:keepLines w:val="0"/>
        <w:pageBreakBefore w:val="0"/>
        <w:widowControl/>
        <w:suppressLineNumbers w:val="0"/>
        <w:kinsoku/>
        <w:wordWrap/>
        <w:overflowPunct/>
        <w:topLinePunct w:val="0"/>
        <w:bidi w:val="0"/>
        <w:snapToGrid/>
        <w:spacing w:before="0" w:beforeLines="0" w:beforeAutospacing="0" w:after="0" w:afterLines="0" w:afterAutospacing="0" w:line="360" w:lineRule="auto"/>
        <w:ind w:left="0" w:right="0" w:firstLine="555"/>
        <w:textAlignment w:val="auto"/>
        <w:rPr>
          <w:rStyle w:val="32"/>
          <w:rFonts w:hint="eastAsia" w:ascii="仿宋" w:hAnsi="仿宋" w:eastAsia="仿宋" w:cs="仿宋"/>
          <w:b w:val="0"/>
          <w:color w:val="auto"/>
          <w:highlight w:val="none"/>
          <w:shd w:val="clear" w:color="auto" w:fill="FFFFFF"/>
        </w:rPr>
      </w:pPr>
      <w:r>
        <w:rPr>
          <w:rStyle w:val="32"/>
          <w:rFonts w:hint="eastAsia" w:ascii="仿宋" w:hAnsi="仿宋" w:eastAsia="仿宋" w:cs="仿宋"/>
          <w:b w:val="0"/>
          <w:color w:val="auto"/>
          <w:highlight w:val="none"/>
          <w:shd w:val="clear" w:color="auto" w:fill="FFFFFF"/>
        </w:rPr>
        <w:t>时间：</w:t>
      </w:r>
      <w:r>
        <w:rPr>
          <w:rFonts w:hint="eastAsia" w:hAnsi="宋体" w:cs="宋体"/>
          <w:color w:val="auto"/>
          <w:sz w:val="24"/>
          <w:u w:val="single"/>
          <w:lang w:val="en-US" w:eastAsia="zh-CN"/>
        </w:rPr>
        <w:t xml:space="preserve"> </w:t>
      </w:r>
      <w:r>
        <w:rPr>
          <w:rFonts w:hint="eastAsia" w:hAnsi="宋体" w:cs="宋体"/>
          <w:color w:val="auto"/>
          <w:sz w:val="24"/>
          <w:u w:val="single"/>
          <w:lang w:eastAsia="zh-CN"/>
        </w:rPr>
        <w:t>202</w:t>
      </w:r>
      <w:r>
        <w:rPr>
          <w:rFonts w:hint="eastAsia" w:hAnsi="宋体" w:cs="宋体"/>
          <w:color w:val="auto"/>
          <w:sz w:val="24"/>
          <w:u w:val="single"/>
          <w:lang w:val="en-US" w:eastAsia="zh-CN"/>
        </w:rPr>
        <w:t>5</w:t>
      </w:r>
      <w:r>
        <w:rPr>
          <w:rFonts w:hint="eastAsia" w:ascii="宋体" w:hAnsi="宋体" w:eastAsia="宋体" w:cs="宋体"/>
          <w:color w:val="auto"/>
          <w:sz w:val="24"/>
          <w:u w:val="single"/>
        </w:rPr>
        <w:t>年</w:t>
      </w:r>
      <w:r>
        <w:rPr>
          <w:rFonts w:hint="eastAsia" w:cs="宋体"/>
          <w:color w:val="auto"/>
          <w:sz w:val="24"/>
          <w:u w:val="single"/>
          <w:lang w:val="en-US" w:eastAsia="zh-CN"/>
        </w:rPr>
        <w:t>2</w:t>
      </w:r>
      <w:r>
        <w:rPr>
          <w:rFonts w:hint="eastAsia" w:ascii="宋体" w:hAnsi="宋体" w:eastAsia="宋体" w:cs="宋体"/>
          <w:color w:val="auto"/>
          <w:sz w:val="24"/>
          <w:u w:val="single"/>
        </w:rPr>
        <w:t>月</w:t>
      </w:r>
      <w:r>
        <w:rPr>
          <w:rFonts w:hint="eastAsia" w:cs="宋体"/>
          <w:color w:val="auto"/>
          <w:sz w:val="24"/>
          <w:u w:val="single"/>
          <w:lang w:val="en-US" w:eastAsia="zh-CN"/>
        </w:rPr>
        <w:t>25</w:t>
      </w:r>
      <w:r>
        <w:rPr>
          <w:rFonts w:hint="eastAsia" w:ascii="宋体" w:hAnsi="宋体" w:eastAsia="宋体" w:cs="宋体"/>
          <w:color w:val="auto"/>
          <w:sz w:val="24"/>
          <w:u w:val="single"/>
        </w:rPr>
        <w:t>日</w:t>
      </w:r>
      <w:r>
        <w:rPr>
          <w:rFonts w:hint="eastAsia" w:hAnsi="宋体" w:cs="宋体"/>
          <w:color w:val="auto"/>
          <w:sz w:val="24"/>
          <w:u w:val="single"/>
          <w:lang w:val="en-US" w:eastAsia="zh-CN"/>
        </w:rPr>
        <w:t xml:space="preserve"> </w:t>
      </w:r>
      <w:r>
        <w:rPr>
          <w:rFonts w:hint="eastAsia" w:ascii="宋体" w:hAnsi="宋体" w:eastAsia="宋体" w:cs="宋体"/>
          <w:color w:val="auto"/>
          <w:sz w:val="24"/>
          <w:u w:val="none"/>
        </w:rPr>
        <w:t>至</w:t>
      </w:r>
      <w:r>
        <w:rPr>
          <w:rFonts w:hint="eastAsia" w:hAnsi="宋体" w:cs="宋体"/>
          <w:color w:val="auto"/>
          <w:sz w:val="24"/>
          <w:u w:val="single"/>
          <w:lang w:eastAsia="zh-CN"/>
        </w:rPr>
        <w:t>202</w:t>
      </w:r>
      <w:r>
        <w:rPr>
          <w:rFonts w:hint="eastAsia" w:hAnsi="宋体" w:cs="宋体"/>
          <w:color w:val="auto"/>
          <w:sz w:val="24"/>
          <w:u w:val="single"/>
          <w:lang w:val="en-US" w:eastAsia="zh-CN"/>
        </w:rPr>
        <w:t>5</w:t>
      </w:r>
      <w:r>
        <w:rPr>
          <w:rFonts w:hint="eastAsia" w:ascii="宋体" w:hAnsi="宋体" w:eastAsia="宋体" w:cs="宋体"/>
          <w:color w:val="auto"/>
          <w:sz w:val="24"/>
          <w:u w:val="single"/>
        </w:rPr>
        <w:t>年</w:t>
      </w:r>
      <w:r>
        <w:rPr>
          <w:rFonts w:hint="eastAsia" w:cs="宋体"/>
          <w:color w:val="auto"/>
          <w:sz w:val="24"/>
          <w:u w:val="single"/>
          <w:lang w:val="en-US" w:eastAsia="zh-CN"/>
        </w:rPr>
        <w:t>3</w:t>
      </w:r>
      <w:r>
        <w:rPr>
          <w:rFonts w:hint="eastAsia" w:ascii="宋体" w:hAnsi="宋体" w:eastAsia="宋体" w:cs="宋体"/>
          <w:color w:val="auto"/>
          <w:sz w:val="24"/>
          <w:u w:val="single"/>
        </w:rPr>
        <w:t>月</w:t>
      </w:r>
      <w:r>
        <w:rPr>
          <w:rFonts w:hint="eastAsia" w:cs="宋体"/>
          <w:color w:val="auto"/>
          <w:sz w:val="24"/>
          <w:u w:val="single"/>
          <w:lang w:val="en-US" w:eastAsia="zh-CN"/>
        </w:rPr>
        <w:t>17</w:t>
      </w:r>
      <w:r>
        <w:rPr>
          <w:rFonts w:hint="eastAsia" w:ascii="宋体" w:hAnsi="宋体" w:eastAsia="宋体" w:cs="宋体"/>
          <w:color w:val="auto"/>
          <w:sz w:val="24"/>
          <w:u w:val="single"/>
        </w:rPr>
        <w:t>日</w:t>
      </w:r>
      <w:r>
        <w:rPr>
          <w:rStyle w:val="32"/>
          <w:rFonts w:hint="eastAsia" w:ascii="仿宋" w:hAnsi="仿宋" w:eastAsia="仿宋" w:cs="仿宋"/>
          <w:b w:val="0"/>
          <w:color w:val="auto"/>
          <w:highlight w:val="none"/>
          <w:shd w:val="clear" w:color="auto" w:fill="FFFFFF"/>
        </w:rPr>
        <w:t>，</w:t>
      </w:r>
      <w:r>
        <w:rPr>
          <w:rFonts w:hint="eastAsia" w:ascii="仿宋" w:hAnsi="仿宋" w:eastAsia="仿宋" w:cs="仿宋"/>
          <w:color w:val="auto"/>
          <w:sz w:val="24"/>
          <w:szCs w:val="24"/>
          <w:highlight w:val="none"/>
          <w:lang w:val="en-US" w:eastAsia="zh-CN" w:bidi="ar-SA"/>
        </w:rPr>
        <w:t>每天上午00:00至12:00，下午12:00至23:59（北京时间，线上获取法定节假日均可）。招标文件发布截止时间之后有潜在供应商提出要求获取招标文件的，允许获取。</w:t>
      </w:r>
    </w:p>
    <w:p w14:paraId="7CAF3C07">
      <w:pPr>
        <w:pStyle w:val="26"/>
        <w:pageBreakBefore w:val="0"/>
        <w:kinsoku/>
        <w:wordWrap/>
        <w:overflowPunct/>
        <w:topLinePunct w:val="0"/>
        <w:bidi w:val="0"/>
        <w:spacing w:before="0" w:beforeAutospacing="0" w:after="0" w:afterAutospacing="0" w:line="360" w:lineRule="auto"/>
        <w:ind w:firstLine="555"/>
        <w:textAlignment w:val="auto"/>
        <w:rPr>
          <w:rFonts w:hint="eastAsia" w:ascii="仿宋" w:hAnsi="仿宋" w:eastAsia="仿宋" w:cs="仿宋"/>
          <w:color w:val="auto"/>
          <w:szCs w:val="21"/>
          <w:highlight w:val="none"/>
          <w:lang w:val="en-US" w:eastAsia="zh-CN"/>
        </w:rPr>
      </w:pPr>
      <w:r>
        <w:rPr>
          <w:rStyle w:val="32"/>
          <w:rFonts w:hint="eastAsia" w:ascii="仿宋" w:hAnsi="仿宋" w:eastAsia="仿宋" w:cs="仿宋"/>
          <w:b w:val="0"/>
          <w:color w:val="auto"/>
          <w:highlight w:val="none"/>
          <w:shd w:val="clear" w:color="auto" w:fill="FFFFFF"/>
        </w:rPr>
        <w:t>地点</w:t>
      </w:r>
      <w:r>
        <w:rPr>
          <w:rFonts w:hint="eastAsia" w:ascii="仿宋" w:hAnsi="仿宋" w:eastAsia="仿宋" w:cs="仿宋"/>
          <w:color w:val="auto"/>
          <w:highlight w:val="none"/>
        </w:rPr>
        <w:t>（网址）</w:t>
      </w:r>
      <w:r>
        <w:rPr>
          <w:rStyle w:val="32"/>
          <w:rFonts w:hint="eastAsia" w:ascii="仿宋" w:hAnsi="仿宋" w:eastAsia="仿宋" w:cs="仿宋"/>
          <w:b w:val="0"/>
          <w:color w:val="auto"/>
          <w:highlight w:val="none"/>
          <w:shd w:val="clear" w:color="auto" w:fill="FFFFFF"/>
        </w:rPr>
        <w:t>：</w:t>
      </w:r>
      <w:r>
        <w:rPr>
          <w:rFonts w:hint="eastAsia" w:ascii="仿宋" w:hAnsi="仿宋" w:eastAsia="仿宋" w:cs="仿宋"/>
          <w:color w:val="auto"/>
          <w:szCs w:val="21"/>
          <w:highlight w:val="none"/>
          <w:lang w:val="en-US" w:eastAsia="zh-CN"/>
        </w:rPr>
        <w:t>乐采云平台</w:t>
      </w:r>
      <w:r>
        <w:rPr>
          <w:rFonts w:hint="eastAsia" w:ascii="宋体" w:hAnsi="宋体" w:eastAsia="宋体" w:cs="宋体"/>
          <w:color w:val="auto"/>
          <w:kern w:val="2"/>
          <w:sz w:val="24"/>
          <w:szCs w:val="21"/>
          <w:lang w:val="en-US" w:eastAsia="zh-CN" w:bidi="ar-SA"/>
        </w:rPr>
        <w:t>（https://www.lecaiyun.com/）</w:t>
      </w:r>
    </w:p>
    <w:p w14:paraId="29629AD8">
      <w:pPr>
        <w:pStyle w:val="26"/>
        <w:pageBreakBefore w:val="0"/>
        <w:kinsoku/>
        <w:wordWrap/>
        <w:overflowPunct/>
        <w:topLinePunct w:val="0"/>
        <w:bidi w:val="0"/>
        <w:snapToGrid/>
        <w:spacing w:before="0" w:beforeAutospacing="0" w:after="0" w:afterAutospacing="0" w:line="360" w:lineRule="auto"/>
        <w:ind w:firstLine="555"/>
        <w:textAlignment w:val="auto"/>
        <w:rPr>
          <w:rStyle w:val="32"/>
          <w:rFonts w:hint="eastAsia" w:ascii="仿宋" w:hAnsi="仿宋" w:eastAsia="仿宋" w:cs="仿宋"/>
          <w:b w:val="0"/>
          <w:color w:val="auto"/>
          <w:highlight w:val="none"/>
          <w:shd w:val="clear" w:color="auto" w:fill="FFFFFF"/>
        </w:rPr>
      </w:pPr>
      <w:r>
        <w:rPr>
          <w:rStyle w:val="32"/>
          <w:rFonts w:hint="eastAsia" w:ascii="仿宋" w:hAnsi="仿宋" w:eastAsia="仿宋" w:cs="仿宋"/>
          <w:b w:val="0"/>
          <w:color w:val="auto"/>
          <w:highlight w:val="none"/>
          <w:shd w:val="clear" w:color="auto" w:fill="FFFFFF"/>
        </w:rPr>
        <w:t>方式：潜在供应商登录</w:t>
      </w:r>
      <w:r>
        <w:rPr>
          <w:rStyle w:val="32"/>
          <w:rFonts w:hint="eastAsia" w:ascii="仿宋" w:hAnsi="仿宋" w:eastAsia="仿宋" w:cs="仿宋"/>
          <w:b w:val="0"/>
          <w:color w:val="auto"/>
          <w:highlight w:val="none"/>
          <w:shd w:val="clear" w:color="auto" w:fill="FFFFFF"/>
          <w:lang w:val="en-US" w:eastAsia="zh-CN"/>
        </w:rPr>
        <w:t>乐采</w:t>
      </w:r>
      <w:r>
        <w:rPr>
          <w:rStyle w:val="32"/>
          <w:rFonts w:hint="eastAsia" w:ascii="仿宋" w:hAnsi="仿宋" w:eastAsia="仿宋" w:cs="仿宋"/>
          <w:b w:val="0"/>
          <w:color w:val="auto"/>
          <w:highlight w:val="none"/>
          <w:shd w:val="clear" w:color="auto" w:fill="FFFFFF"/>
        </w:rPr>
        <w:t>云平台，在线申请获取招标文件。进入“项目采购”应用，在获取招标文件菜单中选择项目，申请获取招标文件（仅需浏览招标文件的供应商可点击“游客，浏览招标文件”直接下载招标文件浏览）。</w:t>
      </w:r>
    </w:p>
    <w:p w14:paraId="60B1F291">
      <w:pPr>
        <w:pStyle w:val="26"/>
        <w:pageBreakBefore w:val="0"/>
        <w:kinsoku/>
        <w:wordWrap/>
        <w:overflowPunct/>
        <w:topLinePunct w:val="0"/>
        <w:bidi w:val="0"/>
        <w:snapToGrid/>
        <w:spacing w:before="0" w:beforeLines="0" w:beforeAutospacing="0" w:after="0" w:afterLines="0" w:afterAutospacing="0" w:line="360" w:lineRule="auto"/>
        <w:ind w:firstLine="555"/>
        <w:textAlignment w:val="auto"/>
        <w:rPr>
          <w:rStyle w:val="32"/>
          <w:rFonts w:hint="eastAsia" w:ascii="仿宋" w:hAnsi="仿宋" w:eastAsia="仿宋" w:cs="仿宋"/>
          <w:b w:val="0"/>
          <w:color w:val="auto"/>
          <w:highlight w:val="none"/>
          <w:shd w:val="clear" w:color="auto" w:fill="FFFFFF"/>
        </w:rPr>
      </w:pPr>
      <w:r>
        <w:rPr>
          <w:rStyle w:val="32"/>
          <w:rFonts w:hint="eastAsia" w:ascii="仿宋" w:hAnsi="仿宋" w:eastAsia="仿宋" w:cs="仿宋"/>
          <w:b w:val="0"/>
          <w:color w:val="auto"/>
          <w:highlight w:val="none"/>
          <w:shd w:val="clear" w:color="auto" w:fill="FFFFFF"/>
        </w:rPr>
        <w:t>售价：0 元。</w:t>
      </w:r>
    </w:p>
    <w:p w14:paraId="7CEB6BF6">
      <w:pPr>
        <w:pStyle w:val="5"/>
        <w:pageBreakBefore w:val="0"/>
        <w:kinsoku/>
        <w:wordWrap/>
        <w:overflowPunct/>
        <w:topLinePunct w:val="0"/>
        <w:bidi w:val="0"/>
        <w:snapToGrid/>
        <w:spacing w:before="0" w:beforeLines="0" w:after="0" w:afterLines="0" w:line="360" w:lineRule="auto"/>
        <w:ind w:firstLine="482" w:firstLineChars="200"/>
        <w:textAlignment w:val="auto"/>
        <w:rPr>
          <w:rFonts w:hint="eastAsia" w:ascii="仿宋" w:hAnsi="仿宋" w:eastAsia="仿宋" w:cs="仿宋"/>
          <w:bCs w:val="0"/>
          <w:color w:val="auto"/>
          <w:kern w:val="0"/>
          <w:sz w:val="24"/>
          <w:szCs w:val="24"/>
          <w:highlight w:val="none"/>
        </w:rPr>
      </w:pPr>
      <w:bookmarkStart w:id="12" w:name="_Toc28359082"/>
      <w:bookmarkStart w:id="13" w:name="_Toc28359005"/>
      <w:bookmarkStart w:id="14" w:name="_Toc35393793"/>
      <w:bookmarkStart w:id="15" w:name="_Toc35393624"/>
      <w:r>
        <w:rPr>
          <w:rFonts w:hint="eastAsia" w:ascii="仿宋" w:hAnsi="仿宋" w:eastAsia="仿宋" w:cs="仿宋"/>
          <w:bCs w:val="0"/>
          <w:color w:val="auto"/>
          <w:kern w:val="0"/>
          <w:sz w:val="24"/>
          <w:szCs w:val="24"/>
          <w:highlight w:val="none"/>
        </w:rPr>
        <w:t>四、提交投标文件</w:t>
      </w:r>
      <w:bookmarkEnd w:id="12"/>
      <w:bookmarkEnd w:id="13"/>
      <w:r>
        <w:rPr>
          <w:rFonts w:hint="eastAsia" w:ascii="仿宋" w:hAnsi="仿宋" w:eastAsia="仿宋" w:cs="仿宋"/>
          <w:bCs w:val="0"/>
          <w:color w:val="auto"/>
          <w:kern w:val="0"/>
          <w:sz w:val="24"/>
          <w:szCs w:val="24"/>
          <w:highlight w:val="none"/>
        </w:rPr>
        <w:t>截止时间、开标时间和地点</w:t>
      </w:r>
      <w:bookmarkEnd w:id="14"/>
      <w:bookmarkEnd w:id="15"/>
    </w:p>
    <w:p w14:paraId="0E2E563C">
      <w:pPr>
        <w:pStyle w:val="26"/>
        <w:pageBreakBefore w:val="0"/>
        <w:kinsoku/>
        <w:wordWrap/>
        <w:overflowPunct/>
        <w:topLinePunct w:val="0"/>
        <w:bidi w:val="0"/>
        <w:snapToGrid/>
        <w:spacing w:before="0" w:beforeLines="0" w:beforeAutospacing="0" w:after="0" w:afterLines="0" w:afterAutospacing="0" w:line="360" w:lineRule="auto"/>
        <w:ind w:firstLine="480" w:firstLineChars="200"/>
        <w:textAlignment w:val="auto"/>
        <w:rPr>
          <w:rStyle w:val="32"/>
          <w:rFonts w:hint="eastAsia" w:ascii="仿宋" w:hAnsi="仿宋" w:eastAsia="仿宋" w:cs="仿宋"/>
          <w:b w:val="0"/>
          <w:color w:val="auto"/>
          <w:highlight w:val="none"/>
          <w:shd w:val="clear" w:color="auto" w:fill="FFFFFF"/>
        </w:rPr>
      </w:pPr>
      <w:r>
        <w:rPr>
          <w:rStyle w:val="32"/>
          <w:rFonts w:hint="eastAsia" w:ascii="仿宋" w:hAnsi="仿宋" w:eastAsia="仿宋" w:cs="仿宋"/>
          <w:b w:val="0"/>
          <w:color w:val="auto"/>
          <w:highlight w:val="none"/>
          <w:shd w:val="clear" w:color="auto" w:fill="FFFFFF"/>
        </w:rPr>
        <w:t>提交投标文件截止时间：</w:t>
      </w:r>
      <w:r>
        <w:rPr>
          <w:rFonts w:hint="eastAsia" w:ascii="仿宋" w:hAnsi="仿宋" w:eastAsia="仿宋" w:cs="仿宋"/>
          <w:color w:val="auto"/>
          <w:highlight w:val="none"/>
          <w:u w:val="single"/>
          <w:shd w:val="clear" w:color="auto" w:fill="FFFFFF"/>
          <w:lang w:eastAsia="zh-CN"/>
        </w:rPr>
        <w:t>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lang w:eastAsia="zh-CN"/>
        </w:rPr>
        <w:t>年</w:t>
      </w:r>
      <w:r>
        <w:rPr>
          <w:rFonts w:hint="eastAsia" w:ascii="仿宋" w:hAnsi="仿宋" w:eastAsia="仿宋" w:cs="仿宋"/>
          <w:color w:val="auto"/>
          <w:highlight w:val="none"/>
          <w:u w:val="single"/>
          <w:shd w:val="clear" w:color="auto" w:fill="FFFFFF"/>
          <w:lang w:val="en-US" w:eastAsia="zh-CN"/>
        </w:rPr>
        <w:t>3</w:t>
      </w:r>
      <w:r>
        <w:rPr>
          <w:rFonts w:hint="eastAsia" w:ascii="仿宋" w:hAnsi="仿宋" w:eastAsia="仿宋" w:cs="仿宋"/>
          <w:color w:val="auto"/>
          <w:highlight w:val="none"/>
          <w:u w:val="single"/>
          <w:shd w:val="clear" w:color="auto" w:fill="FFFFFF"/>
          <w:lang w:eastAsia="zh-CN"/>
        </w:rPr>
        <w:t>月</w:t>
      </w:r>
      <w:r>
        <w:rPr>
          <w:rFonts w:hint="eastAsia" w:ascii="仿宋" w:hAnsi="仿宋" w:eastAsia="仿宋" w:cs="仿宋"/>
          <w:color w:val="auto"/>
          <w:highlight w:val="none"/>
          <w:u w:val="single"/>
          <w:shd w:val="clear" w:color="auto" w:fill="FFFFFF"/>
          <w:lang w:val="en-US" w:eastAsia="zh-CN"/>
        </w:rPr>
        <w:t>17</w:t>
      </w:r>
      <w:r>
        <w:rPr>
          <w:rFonts w:hint="eastAsia" w:ascii="仿宋" w:hAnsi="仿宋" w:eastAsia="仿宋" w:cs="仿宋"/>
          <w:color w:val="auto"/>
          <w:highlight w:val="none"/>
          <w:u w:val="single"/>
          <w:shd w:val="clear" w:color="auto" w:fill="FFFFFF"/>
          <w:lang w:eastAsia="zh-CN"/>
        </w:rPr>
        <w:t>日</w:t>
      </w:r>
      <w:r>
        <w:rPr>
          <w:rFonts w:hint="eastAsia" w:ascii="仿宋" w:hAnsi="仿宋" w:eastAsia="仿宋" w:cs="仿宋"/>
          <w:color w:val="auto"/>
          <w:highlight w:val="none"/>
          <w:u w:val="single"/>
          <w:shd w:val="clear" w:color="auto" w:fill="FFFFFF"/>
          <w:lang w:val="en-US" w:eastAsia="zh-CN"/>
        </w:rPr>
        <w:t>14</w:t>
      </w:r>
      <w:r>
        <w:rPr>
          <w:rFonts w:hint="eastAsia" w:ascii="仿宋" w:hAnsi="仿宋" w:eastAsia="仿宋" w:cs="仿宋"/>
          <w:color w:val="auto"/>
          <w:highlight w:val="none"/>
          <w:u w:val="single"/>
          <w:shd w:val="clear" w:color="auto" w:fill="FFFFFF"/>
          <w:lang w:eastAsia="zh-CN"/>
        </w:rPr>
        <w:t>:</w:t>
      </w:r>
      <w:r>
        <w:rPr>
          <w:rFonts w:hint="eastAsia" w:ascii="仿宋" w:hAnsi="仿宋" w:eastAsia="仿宋" w:cs="仿宋"/>
          <w:color w:val="auto"/>
          <w:highlight w:val="none"/>
          <w:u w:val="single"/>
          <w:shd w:val="clear" w:color="auto" w:fill="FFFFFF"/>
          <w:lang w:val="en-US" w:eastAsia="zh-CN"/>
        </w:rPr>
        <w:t>0</w:t>
      </w:r>
      <w:r>
        <w:rPr>
          <w:rFonts w:hint="eastAsia" w:ascii="仿宋" w:hAnsi="仿宋" w:eastAsia="仿宋" w:cs="仿宋"/>
          <w:color w:val="auto"/>
          <w:highlight w:val="none"/>
          <w:u w:val="single"/>
          <w:shd w:val="clear" w:color="auto" w:fill="FFFFFF"/>
          <w:lang w:eastAsia="zh-CN"/>
        </w:rPr>
        <w:t>0</w:t>
      </w:r>
      <w:r>
        <w:rPr>
          <w:rStyle w:val="32"/>
          <w:rFonts w:hint="eastAsia" w:ascii="仿宋" w:hAnsi="仿宋" w:eastAsia="仿宋" w:cs="仿宋"/>
          <w:b w:val="0"/>
          <w:color w:val="auto"/>
          <w:highlight w:val="none"/>
          <w:shd w:val="clear" w:color="auto" w:fill="FFFFFF"/>
        </w:rPr>
        <w:t>（北京时间）</w:t>
      </w:r>
    </w:p>
    <w:p w14:paraId="242568A2">
      <w:pPr>
        <w:pStyle w:val="26"/>
        <w:pageBreakBefore w:val="0"/>
        <w:kinsoku/>
        <w:wordWrap/>
        <w:overflowPunct/>
        <w:topLinePunct w:val="0"/>
        <w:bidi w:val="0"/>
        <w:snapToGrid/>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rPr>
      </w:pPr>
      <w:r>
        <w:rPr>
          <w:rStyle w:val="32"/>
          <w:rFonts w:hint="eastAsia" w:ascii="仿宋" w:hAnsi="仿宋" w:eastAsia="仿宋" w:cs="仿宋"/>
          <w:b w:val="0"/>
          <w:color w:val="auto"/>
          <w:highlight w:val="none"/>
          <w:shd w:val="clear" w:color="auto" w:fill="FFFFFF"/>
        </w:rPr>
        <w:t>投标地点（网址）：</w:t>
      </w:r>
      <w:r>
        <w:rPr>
          <w:rFonts w:hint="eastAsia" w:ascii="仿宋" w:hAnsi="仿宋" w:eastAsia="仿宋" w:cs="仿宋"/>
          <w:color w:val="auto"/>
          <w:highlight w:val="none"/>
        </w:rPr>
        <w:t>投标人应于</w:t>
      </w:r>
      <w:r>
        <w:rPr>
          <w:rFonts w:hint="eastAsia" w:ascii="仿宋" w:hAnsi="仿宋" w:eastAsia="仿宋" w:cs="仿宋"/>
          <w:color w:val="auto"/>
          <w:highlight w:val="none"/>
          <w:u w:val="single"/>
          <w:shd w:val="clear" w:color="auto" w:fill="FFFFFF"/>
          <w:lang w:eastAsia="zh-CN"/>
        </w:rPr>
        <w:t>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lang w:eastAsia="zh-CN"/>
        </w:rPr>
        <w:t>年</w:t>
      </w:r>
      <w:r>
        <w:rPr>
          <w:rFonts w:hint="eastAsia" w:ascii="仿宋" w:hAnsi="仿宋" w:eastAsia="仿宋" w:cs="仿宋"/>
          <w:color w:val="auto"/>
          <w:highlight w:val="none"/>
          <w:u w:val="single"/>
          <w:shd w:val="clear" w:color="auto" w:fill="FFFFFF"/>
          <w:lang w:val="en-US" w:eastAsia="zh-CN"/>
        </w:rPr>
        <w:t>3</w:t>
      </w:r>
      <w:r>
        <w:rPr>
          <w:rFonts w:hint="eastAsia" w:ascii="仿宋" w:hAnsi="仿宋" w:eastAsia="仿宋" w:cs="仿宋"/>
          <w:color w:val="auto"/>
          <w:highlight w:val="none"/>
          <w:u w:val="single"/>
          <w:shd w:val="clear" w:color="auto" w:fill="FFFFFF"/>
          <w:lang w:eastAsia="zh-CN"/>
        </w:rPr>
        <w:t>月</w:t>
      </w:r>
      <w:r>
        <w:rPr>
          <w:rFonts w:hint="eastAsia" w:ascii="仿宋" w:hAnsi="仿宋" w:eastAsia="仿宋" w:cs="仿宋"/>
          <w:color w:val="auto"/>
          <w:highlight w:val="none"/>
          <w:u w:val="single"/>
          <w:shd w:val="clear" w:color="auto" w:fill="FFFFFF"/>
          <w:lang w:val="en-US" w:eastAsia="zh-CN"/>
        </w:rPr>
        <w:t>17</w:t>
      </w:r>
      <w:r>
        <w:rPr>
          <w:rFonts w:hint="eastAsia" w:ascii="仿宋" w:hAnsi="仿宋" w:eastAsia="仿宋" w:cs="仿宋"/>
          <w:color w:val="auto"/>
          <w:highlight w:val="none"/>
          <w:u w:val="single"/>
          <w:shd w:val="clear" w:color="auto" w:fill="FFFFFF"/>
          <w:lang w:eastAsia="zh-CN"/>
        </w:rPr>
        <w:t>日</w:t>
      </w:r>
      <w:r>
        <w:rPr>
          <w:rFonts w:hint="eastAsia" w:ascii="仿宋" w:hAnsi="仿宋" w:eastAsia="仿宋" w:cs="仿宋"/>
          <w:color w:val="auto"/>
          <w:highlight w:val="none"/>
          <w:u w:val="single"/>
          <w:shd w:val="clear" w:color="auto" w:fill="FFFFFF"/>
          <w:lang w:val="en-US" w:eastAsia="zh-CN"/>
        </w:rPr>
        <w:t>14</w:t>
      </w:r>
      <w:r>
        <w:rPr>
          <w:rFonts w:hint="eastAsia" w:ascii="仿宋" w:hAnsi="仿宋" w:eastAsia="仿宋" w:cs="仿宋"/>
          <w:color w:val="auto"/>
          <w:highlight w:val="none"/>
          <w:u w:val="single"/>
          <w:shd w:val="clear" w:color="auto" w:fill="FFFFFF"/>
          <w:lang w:eastAsia="zh-CN"/>
        </w:rPr>
        <w:t>:</w:t>
      </w:r>
      <w:r>
        <w:rPr>
          <w:rFonts w:hint="eastAsia" w:ascii="仿宋" w:hAnsi="仿宋" w:eastAsia="仿宋" w:cs="仿宋"/>
          <w:color w:val="auto"/>
          <w:highlight w:val="none"/>
          <w:u w:val="single"/>
          <w:shd w:val="clear" w:color="auto" w:fill="FFFFFF"/>
          <w:lang w:val="en-US" w:eastAsia="zh-CN"/>
        </w:rPr>
        <w:t>0</w:t>
      </w:r>
      <w:r>
        <w:rPr>
          <w:rFonts w:hint="eastAsia" w:ascii="仿宋" w:hAnsi="仿宋" w:eastAsia="仿宋" w:cs="仿宋"/>
          <w:color w:val="auto"/>
          <w:highlight w:val="none"/>
          <w:u w:val="single"/>
          <w:shd w:val="clear" w:color="auto" w:fill="FFFFFF"/>
          <w:lang w:eastAsia="zh-CN"/>
        </w:rPr>
        <w:t>0</w:t>
      </w:r>
      <w:r>
        <w:rPr>
          <w:rFonts w:hint="eastAsia" w:ascii="仿宋" w:hAnsi="仿宋" w:eastAsia="仿宋" w:cs="仿宋"/>
          <w:color w:val="auto"/>
          <w:highlight w:val="none"/>
        </w:rPr>
        <w:t>之前将电子投标文件上传到“</w:t>
      </w:r>
      <w:r>
        <w:rPr>
          <w:rFonts w:hint="eastAsia" w:ascii="仿宋" w:hAnsi="仿宋" w:eastAsia="仿宋" w:cs="仿宋"/>
          <w:color w:val="auto"/>
          <w:highlight w:val="none"/>
          <w:lang w:val="en-US" w:eastAsia="zh-CN"/>
        </w:rPr>
        <w:t>乐</w:t>
      </w:r>
      <w:r>
        <w:rPr>
          <w:rFonts w:hint="eastAsia" w:ascii="仿宋" w:hAnsi="仿宋" w:eastAsia="仿宋" w:cs="仿宋"/>
          <w:color w:val="auto"/>
          <w:highlight w:val="none"/>
        </w:rPr>
        <w:t>采云”平台</w:t>
      </w:r>
      <w:r>
        <w:rPr>
          <w:rFonts w:hint="eastAsia" w:ascii="宋体" w:hAnsi="宋体" w:eastAsia="宋体" w:cs="宋体"/>
          <w:color w:val="auto"/>
          <w:sz w:val="24"/>
          <w:u w:val="single"/>
          <w:lang w:eastAsia="zh-CN"/>
        </w:rPr>
        <w:t>（https://www.lecaiyun.com/）</w:t>
      </w:r>
      <w:r>
        <w:rPr>
          <w:rFonts w:hint="eastAsia" w:ascii="仿宋" w:hAnsi="仿宋" w:eastAsia="仿宋" w:cs="仿宋"/>
          <w:color w:val="auto"/>
          <w:highlight w:val="none"/>
        </w:rPr>
        <w:t>，逾期上传不予接收。</w:t>
      </w:r>
    </w:p>
    <w:p w14:paraId="74B0789B">
      <w:pPr>
        <w:pStyle w:val="26"/>
        <w:pageBreakBefore w:val="0"/>
        <w:kinsoku/>
        <w:wordWrap/>
        <w:overflowPunct/>
        <w:topLinePunct w:val="0"/>
        <w:bidi w:val="0"/>
        <w:snapToGrid/>
        <w:spacing w:before="0" w:beforeLines="0" w:beforeAutospacing="0" w:after="0" w:afterLines="0" w:afterAutospacing="0" w:line="360" w:lineRule="auto"/>
        <w:ind w:firstLine="480" w:firstLineChars="200"/>
        <w:textAlignment w:val="auto"/>
        <w:rPr>
          <w:rStyle w:val="32"/>
          <w:rFonts w:hint="eastAsia" w:ascii="仿宋" w:hAnsi="仿宋" w:eastAsia="仿宋" w:cs="仿宋"/>
          <w:b w:val="0"/>
          <w:color w:val="auto"/>
          <w:highlight w:val="none"/>
          <w:shd w:val="clear" w:color="auto" w:fill="FFFFFF"/>
        </w:rPr>
      </w:pPr>
      <w:r>
        <w:rPr>
          <w:rStyle w:val="32"/>
          <w:rFonts w:hint="eastAsia" w:ascii="仿宋" w:hAnsi="仿宋" w:eastAsia="仿宋" w:cs="仿宋"/>
          <w:b w:val="0"/>
          <w:color w:val="auto"/>
          <w:highlight w:val="none"/>
          <w:shd w:val="clear" w:color="auto" w:fill="FFFFFF"/>
        </w:rPr>
        <w:t>开标时间：</w:t>
      </w:r>
      <w:r>
        <w:rPr>
          <w:rFonts w:hint="eastAsia" w:ascii="仿宋" w:hAnsi="仿宋" w:eastAsia="仿宋" w:cs="仿宋"/>
          <w:color w:val="auto"/>
          <w:highlight w:val="none"/>
          <w:u w:val="single"/>
          <w:shd w:val="clear" w:color="auto" w:fill="FFFFFF"/>
          <w:lang w:eastAsia="zh-CN"/>
        </w:rPr>
        <w:t>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lang w:eastAsia="zh-CN"/>
        </w:rPr>
        <w:t>年</w:t>
      </w:r>
      <w:r>
        <w:rPr>
          <w:rFonts w:hint="eastAsia" w:ascii="仿宋" w:hAnsi="仿宋" w:eastAsia="仿宋" w:cs="仿宋"/>
          <w:color w:val="auto"/>
          <w:highlight w:val="none"/>
          <w:u w:val="single"/>
          <w:shd w:val="clear" w:color="auto" w:fill="FFFFFF"/>
          <w:lang w:val="en-US" w:eastAsia="zh-CN"/>
        </w:rPr>
        <w:t>3</w:t>
      </w:r>
      <w:r>
        <w:rPr>
          <w:rFonts w:hint="eastAsia" w:ascii="仿宋" w:hAnsi="仿宋" w:eastAsia="仿宋" w:cs="仿宋"/>
          <w:color w:val="auto"/>
          <w:highlight w:val="none"/>
          <w:u w:val="single"/>
          <w:shd w:val="clear" w:color="auto" w:fill="FFFFFF"/>
          <w:lang w:eastAsia="zh-CN"/>
        </w:rPr>
        <w:t>月</w:t>
      </w:r>
      <w:r>
        <w:rPr>
          <w:rFonts w:hint="eastAsia" w:ascii="仿宋" w:hAnsi="仿宋" w:eastAsia="仿宋" w:cs="仿宋"/>
          <w:color w:val="auto"/>
          <w:highlight w:val="none"/>
          <w:u w:val="single"/>
          <w:shd w:val="clear" w:color="auto" w:fill="FFFFFF"/>
          <w:lang w:val="en-US" w:eastAsia="zh-CN"/>
        </w:rPr>
        <w:t>17</w:t>
      </w:r>
      <w:r>
        <w:rPr>
          <w:rFonts w:hint="eastAsia" w:ascii="仿宋" w:hAnsi="仿宋" w:eastAsia="仿宋" w:cs="仿宋"/>
          <w:color w:val="auto"/>
          <w:highlight w:val="none"/>
          <w:u w:val="single"/>
          <w:shd w:val="clear" w:color="auto" w:fill="FFFFFF"/>
          <w:lang w:eastAsia="zh-CN"/>
        </w:rPr>
        <w:t>日</w:t>
      </w:r>
      <w:r>
        <w:rPr>
          <w:rFonts w:hint="eastAsia" w:ascii="仿宋" w:hAnsi="仿宋" w:eastAsia="仿宋" w:cs="仿宋"/>
          <w:color w:val="auto"/>
          <w:highlight w:val="none"/>
          <w:u w:val="single"/>
          <w:shd w:val="clear" w:color="auto" w:fill="FFFFFF"/>
          <w:lang w:val="en-US" w:eastAsia="zh-CN"/>
        </w:rPr>
        <w:t>14</w:t>
      </w:r>
      <w:r>
        <w:rPr>
          <w:rFonts w:hint="eastAsia" w:ascii="仿宋" w:hAnsi="仿宋" w:eastAsia="仿宋" w:cs="仿宋"/>
          <w:color w:val="auto"/>
          <w:highlight w:val="none"/>
          <w:u w:val="single"/>
          <w:shd w:val="clear" w:color="auto" w:fill="FFFFFF"/>
          <w:lang w:eastAsia="zh-CN"/>
        </w:rPr>
        <w:t>:</w:t>
      </w:r>
      <w:r>
        <w:rPr>
          <w:rFonts w:hint="eastAsia" w:ascii="仿宋" w:hAnsi="仿宋" w:eastAsia="仿宋" w:cs="仿宋"/>
          <w:color w:val="auto"/>
          <w:highlight w:val="none"/>
          <w:u w:val="single"/>
          <w:shd w:val="clear" w:color="auto" w:fill="FFFFFF"/>
          <w:lang w:val="en-US" w:eastAsia="zh-CN"/>
        </w:rPr>
        <w:t>0</w:t>
      </w:r>
      <w:r>
        <w:rPr>
          <w:rFonts w:hint="eastAsia" w:ascii="仿宋" w:hAnsi="仿宋" w:eastAsia="仿宋" w:cs="仿宋"/>
          <w:color w:val="auto"/>
          <w:highlight w:val="none"/>
          <w:u w:val="single"/>
          <w:shd w:val="clear" w:color="auto" w:fill="FFFFFF"/>
          <w:lang w:eastAsia="zh-CN"/>
        </w:rPr>
        <w:t>0</w:t>
      </w:r>
      <w:r>
        <w:rPr>
          <w:rStyle w:val="32"/>
          <w:rFonts w:hint="eastAsia" w:ascii="仿宋" w:hAnsi="仿宋" w:eastAsia="仿宋" w:cs="仿宋"/>
          <w:b w:val="0"/>
          <w:color w:val="auto"/>
          <w:highlight w:val="none"/>
          <w:shd w:val="clear" w:color="auto" w:fill="FFFFFF"/>
        </w:rPr>
        <w:t>（北京时间）</w:t>
      </w:r>
    </w:p>
    <w:p w14:paraId="5D9EF002">
      <w:pPr>
        <w:pStyle w:val="17"/>
        <w:pageBreakBefore w:val="0"/>
        <w:kinsoku/>
        <w:wordWrap/>
        <w:overflowPunct/>
        <w:topLinePunct w:val="0"/>
        <w:bidi w:val="0"/>
        <w:spacing w:line="360" w:lineRule="auto"/>
        <w:ind w:firstLine="480" w:firstLineChars="200"/>
        <w:textAlignment w:val="auto"/>
        <w:rPr>
          <w:rStyle w:val="32"/>
          <w:rFonts w:hint="eastAsia" w:ascii="仿宋" w:hAnsi="仿宋" w:eastAsia="仿宋" w:cs="仿宋"/>
          <w:b w:val="0"/>
          <w:color w:val="auto"/>
          <w:highlight w:val="none"/>
          <w:shd w:val="clear" w:color="auto" w:fill="FFFFFF"/>
        </w:rPr>
      </w:pPr>
      <w:r>
        <w:rPr>
          <w:rStyle w:val="32"/>
          <w:rFonts w:hint="eastAsia" w:ascii="仿宋" w:hAnsi="仿宋" w:eastAsia="仿宋" w:cs="仿宋"/>
          <w:b w:val="0"/>
          <w:color w:val="auto"/>
          <w:highlight w:val="none"/>
          <w:shd w:val="clear" w:color="auto" w:fill="FFFFFF"/>
        </w:rPr>
        <w:t>开标地点（网址）：</w:t>
      </w:r>
      <w:r>
        <w:rPr>
          <w:rFonts w:hint="eastAsia" w:ascii="仿宋" w:hAnsi="仿宋" w:eastAsia="仿宋" w:cs="仿宋"/>
          <w:color w:val="auto"/>
          <w:szCs w:val="21"/>
          <w:highlight w:val="none"/>
          <w:lang w:val="en-US" w:eastAsia="zh-CN"/>
        </w:rPr>
        <w:t>乐采云平台</w:t>
      </w:r>
      <w:r>
        <w:rPr>
          <w:rFonts w:hint="eastAsia" w:ascii="宋体" w:hAnsi="宋体" w:eastAsia="宋体" w:cs="宋体"/>
          <w:color w:val="auto"/>
          <w:sz w:val="24"/>
          <w:u w:val="single"/>
          <w:lang w:eastAsia="zh-CN"/>
        </w:rPr>
        <w:t>（https://www.lecaiyun.com/）</w:t>
      </w:r>
      <w:r>
        <w:rPr>
          <w:rFonts w:hint="eastAsia" w:ascii="仿宋" w:hAnsi="仿宋" w:eastAsia="仿宋" w:cs="仿宋"/>
          <w:color w:val="auto"/>
          <w:sz w:val="24"/>
        </w:rPr>
        <w:t>。所有投标人均须准时在“</w:t>
      </w:r>
      <w:r>
        <w:rPr>
          <w:rFonts w:hint="eastAsia" w:ascii="仿宋" w:hAnsi="仿宋" w:eastAsia="仿宋" w:cs="仿宋"/>
          <w:color w:val="auto"/>
          <w:sz w:val="24"/>
          <w:lang w:val="en-US" w:eastAsia="zh-CN"/>
        </w:rPr>
        <w:t>乐</w:t>
      </w:r>
      <w:r>
        <w:rPr>
          <w:rFonts w:hint="eastAsia" w:ascii="仿宋" w:hAnsi="仿宋" w:eastAsia="仿宋" w:cs="仿宋"/>
          <w:color w:val="auto"/>
          <w:sz w:val="24"/>
        </w:rPr>
        <w:t>采云平台”在线参加。</w:t>
      </w:r>
    </w:p>
    <w:p w14:paraId="0D90F8FF">
      <w:pPr>
        <w:pStyle w:val="5"/>
        <w:pageBreakBefore w:val="0"/>
        <w:kinsoku/>
        <w:wordWrap/>
        <w:overflowPunct/>
        <w:topLinePunct w:val="0"/>
        <w:bidi w:val="0"/>
        <w:snapToGrid/>
        <w:spacing w:before="0" w:beforeLines="0" w:after="0" w:afterLines="0" w:line="360" w:lineRule="auto"/>
        <w:ind w:firstLine="482" w:firstLineChars="200"/>
        <w:textAlignment w:val="auto"/>
        <w:rPr>
          <w:rFonts w:hint="eastAsia" w:ascii="仿宋" w:hAnsi="仿宋" w:eastAsia="仿宋" w:cs="仿宋"/>
          <w:bCs w:val="0"/>
          <w:color w:val="auto"/>
          <w:kern w:val="0"/>
          <w:sz w:val="24"/>
          <w:szCs w:val="24"/>
          <w:highlight w:val="none"/>
        </w:rPr>
      </w:pPr>
      <w:bookmarkStart w:id="16" w:name="_Toc28359084"/>
      <w:bookmarkStart w:id="17" w:name="_Toc35393794"/>
      <w:bookmarkStart w:id="18" w:name="_Toc28359007"/>
      <w:bookmarkStart w:id="19" w:name="_Toc35393625"/>
      <w:r>
        <w:rPr>
          <w:rFonts w:hint="eastAsia" w:ascii="仿宋" w:hAnsi="仿宋" w:eastAsia="仿宋" w:cs="仿宋"/>
          <w:bCs w:val="0"/>
          <w:color w:val="auto"/>
          <w:kern w:val="0"/>
          <w:sz w:val="24"/>
          <w:szCs w:val="24"/>
          <w:highlight w:val="none"/>
        </w:rPr>
        <w:t>五、公告期限</w:t>
      </w:r>
      <w:bookmarkEnd w:id="16"/>
      <w:bookmarkEnd w:id="17"/>
      <w:bookmarkEnd w:id="18"/>
      <w:bookmarkEnd w:id="19"/>
    </w:p>
    <w:p w14:paraId="7CEFD396">
      <w:pPr>
        <w:pageBreakBefore w:val="0"/>
        <w:kinsoku/>
        <w:wordWrap/>
        <w:overflowPunct/>
        <w:topLinePunct w:val="0"/>
        <w:bidi w:val="0"/>
        <w:snapToGrid/>
        <w:spacing w:line="360" w:lineRule="auto"/>
        <w:ind w:firstLine="480" w:firstLineChars="200"/>
        <w:textAlignment w:val="auto"/>
        <w:rPr>
          <w:rStyle w:val="32"/>
          <w:rFonts w:hint="eastAsia" w:ascii="仿宋" w:hAnsi="仿宋" w:eastAsia="仿宋" w:cs="仿宋"/>
          <w:b w:val="0"/>
          <w:color w:val="auto"/>
          <w:sz w:val="24"/>
          <w:szCs w:val="24"/>
          <w:highlight w:val="none"/>
          <w:shd w:val="clear" w:color="auto" w:fill="FFFFFF"/>
        </w:rPr>
      </w:pPr>
      <w:r>
        <w:rPr>
          <w:rStyle w:val="32"/>
          <w:rFonts w:hint="eastAsia" w:ascii="仿宋" w:hAnsi="仿宋" w:eastAsia="仿宋" w:cs="仿宋"/>
          <w:b w:val="0"/>
          <w:color w:val="auto"/>
          <w:sz w:val="24"/>
          <w:szCs w:val="24"/>
          <w:highlight w:val="none"/>
          <w:shd w:val="clear" w:color="auto" w:fill="FFFFFF"/>
        </w:rPr>
        <w:t>自本公告发布之日起5个工作日。</w:t>
      </w:r>
    </w:p>
    <w:p w14:paraId="112F5571">
      <w:pPr>
        <w:pStyle w:val="5"/>
        <w:pageBreakBefore w:val="0"/>
        <w:kinsoku/>
        <w:wordWrap/>
        <w:overflowPunct/>
        <w:topLinePunct w:val="0"/>
        <w:bidi w:val="0"/>
        <w:spacing w:before="0" w:after="0" w:line="360" w:lineRule="auto"/>
        <w:ind w:firstLine="482" w:firstLineChars="200"/>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六、其他补充事宜</w:t>
      </w:r>
    </w:p>
    <w:p w14:paraId="527DFEB5">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1、投标人应在开标截止时间10</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前以书面形式向采购代理机构提出质疑，逾期提出的，采购代理机构不予受理、答复。采购代理机构与采购人研究后，对认为有必要回答的问题，</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将在开标前将答疑内容以网上发布公告的形式通知所有投标人，投标人自行在网上查阅、下载答疑回复答疑内容是招标文件的组成部分。</w:t>
      </w:r>
    </w:p>
    <w:p w14:paraId="43667806">
      <w:pPr>
        <w:pageBreakBefore w:val="0"/>
        <w:kinsoku/>
        <w:wordWrap/>
        <w:overflowPunct/>
        <w:topLinePunct w:val="0"/>
        <w:autoSpaceDE/>
        <w:autoSpaceDN/>
        <w:bidi w:val="0"/>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2、其他事项</w:t>
      </w:r>
      <w:r>
        <w:rPr>
          <w:rFonts w:hint="eastAsia" w:ascii="仿宋" w:hAnsi="仿宋" w:eastAsia="仿宋" w:cs="仿宋"/>
          <w:b/>
          <w:bCs/>
          <w:color w:val="auto"/>
          <w:kern w:val="2"/>
          <w:sz w:val="24"/>
          <w:szCs w:val="24"/>
          <w:highlight w:val="none"/>
        </w:rPr>
        <w:t>：详见</w:t>
      </w:r>
      <w:r>
        <w:rPr>
          <w:rFonts w:hint="eastAsia" w:ascii="仿宋" w:hAnsi="仿宋" w:eastAsia="仿宋" w:cs="仿宋"/>
          <w:b/>
          <w:bCs/>
          <w:color w:val="auto"/>
          <w:sz w:val="24"/>
          <w:highlight w:val="none"/>
        </w:rPr>
        <w:t>招标文件。</w:t>
      </w:r>
    </w:p>
    <w:p w14:paraId="01F1E0CE">
      <w:pPr>
        <w:pageBreakBefore w:val="0"/>
        <w:kinsoku/>
        <w:wordWrap/>
        <w:overflowPunct/>
        <w:topLinePunct w:val="0"/>
        <w:autoSpaceDE/>
        <w:autoSpaceDN/>
        <w:bidi w:val="0"/>
        <w:spacing w:line="360" w:lineRule="auto"/>
        <w:ind w:firstLine="482" w:firstLineChars="200"/>
        <w:textAlignment w:val="auto"/>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七、投标保证金</w:t>
      </w:r>
    </w:p>
    <w:p w14:paraId="2F8A0B9E">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本项目免收投标保证金。</w:t>
      </w:r>
    </w:p>
    <w:p w14:paraId="1A2A8FA9">
      <w:pPr>
        <w:pageBreakBefore w:val="0"/>
        <w:kinsoku/>
        <w:wordWrap/>
        <w:overflowPunct/>
        <w:topLinePunct w:val="0"/>
        <w:autoSpaceDE/>
        <w:autoSpaceDN/>
        <w:bidi w:val="0"/>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八、其他注意事项</w:t>
      </w:r>
    </w:p>
    <w:p w14:paraId="0AFE8955">
      <w:pPr>
        <w:pStyle w:val="17"/>
        <w:pageBreakBefore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投标人应于开标时间前按照电子投标要求将电子加密标书上传到“</w:t>
      </w:r>
      <w:r>
        <w:rPr>
          <w:rFonts w:hint="eastAsia" w:ascii="仿宋" w:hAnsi="仿宋" w:eastAsia="仿宋" w:cs="仿宋"/>
          <w:b/>
          <w:color w:val="auto"/>
          <w:szCs w:val="24"/>
          <w:highlight w:val="none"/>
          <w:lang w:eastAsia="zh-CN"/>
        </w:rPr>
        <w:t>乐采云</w:t>
      </w:r>
      <w:r>
        <w:rPr>
          <w:rFonts w:hint="eastAsia" w:ascii="仿宋" w:hAnsi="仿宋" w:eastAsia="仿宋" w:cs="仿宋"/>
          <w:b/>
          <w:color w:val="auto"/>
          <w:szCs w:val="24"/>
          <w:highlight w:val="none"/>
        </w:rPr>
        <w:t>”平台，逾期或未上传成功的将导致无法投标或投标无</w:t>
      </w:r>
      <w:r>
        <w:rPr>
          <w:rFonts w:hint="eastAsia" w:ascii="仿宋" w:hAnsi="仿宋" w:eastAsia="仿宋" w:cs="仿宋"/>
          <w:b/>
          <w:color w:val="auto"/>
          <w:kern w:val="0"/>
          <w:szCs w:val="24"/>
          <w:highlight w:val="none"/>
        </w:rPr>
        <w:t>效。</w:t>
      </w:r>
      <w:r>
        <w:rPr>
          <w:rFonts w:hint="eastAsia" w:ascii="仿宋" w:hAnsi="仿宋" w:eastAsia="仿宋" w:cs="仿宋"/>
          <w:color w:val="auto"/>
          <w:szCs w:val="24"/>
          <w:highlight w:val="none"/>
        </w:rPr>
        <w:t>备注：为确保采购项目顺利实施，避免因</w:t>
      </w:r>
      <w:r>
        <w:rPr>
          <w:rFonts w:hint="eastAsia" w:ascii="仿宋" w:hAnsi="仿宋" w:eastAsia="仿宋" w:cs="仿宋"/>
          <w:color w:val="auto"/>
          <w:szCs w:val="24"/>
          <w:highlight w:val="none"/>
          <w:lang w:eastAsia="zh-CN"/>
        </w:rPr>
        <w:t>乐采云</w:t>
      </w:r>
      <w:r>
        <w:rPr>
          <w:rFonts w:hint="eastAsia" w:ascii="仿宋" w:hAnsi="仿宋" w:eastAsia="仿宋" w:cs="仿宋"/>
          <w:color w:val="auto"/>
          <w:szCs w:val="24"/>
          <w:highlight w:val="none"/>
        </w:rPr>
        <w:t>上电子投标文件解密失败导致投标方投标无效，投标方可在开标时间前将在</w:t>
      </w:r>
      <w:r>
        <w:rPr>
          <w:rFonts w:hint="eastAsia" w:ascii="仿宋" w:hAnsi="仿宋" w:eastAsia="仿宋" w:cs="仿宋"/>
          <w:color w:val="auto"/>
          <w:szCs w:val="24"/>
          <w:highlight w:val="none"/>
          <w:lang w:eastAsia="zh-CN"/>
        </w:rPr>
        <w:t>乐采云</w:t>
      </w:r>
      <w:r>
        <w:rPr>
          <w:rFonts w:hint="eastAsia" w:ascii="仿宋" w:hAnsi="仿宋" w:eastAsia="仿宋" w:cs="仿宋"/>
          <w:color w:val="auto"/>
          <w:szCs w:val="24"/>
          <w:highlight w:val="none"/>
        </w:rPr>
        <w:t>平台上最后生成的具备电子签章的备份加密投标文件（文件名后缀为备份文件四字的首字母）以电子邮件方式传送至</w:t>
      </w:r>
      <w:r>
        <w:rPr>
          <w:rFonts w:hint="eastAsia" w:ascii="仿宋" w:hAnsi="仿宋" w:eastAsia="仿宋" w:cs="仿宋"/>
          <w:color w:val="auto"/>
          <w:szCs w:val="24"/>
          <w:highlight w:val="none"/>
          <w:lang w:eastAsia="zh-CN"/>
        </w:rPr>
        <w:t>浙江御达工程管理咨询有限公司</w:t>
      </w:r>
      <w:r>
        <w:rPr>
          <w:rFonts w:hint="eastAsia" w:ascii="仿宋" w:hAnsi="仿宋" w:eastAsia="仿宋" w:cs="仿宋"/>
          <w:color w:val="auto"/>
          <w:szCs w:val="24"/>
          <w:highlight w:val="none"/>
        </w:rPr>
        <w:t>邮箱</w:t>
      </w:r>
      <w:r>
        <w:rPr>
          <w:rFonts w:hint="eastAsia" w:ascii="仿宋" w:hAnsi="仿宋" w:eastAsia="仿宋" w:cs="仿宋"/>
          <w:color w:val="auto"/>
          <w:szCs w:val="24"/>
          <w:highlight w:val="none"/>
          <w:lang w:val="en-US" w:eastAsia="zh-CN"/>
        </w:rPr>
        <w:t>709325220@qq.com</w:t>
      </w:r>
      <w:r>
        <w:rPr>
          <w:rFonts w:hint="eastAsia" w:ascii="仿宋" w:hAnsi="仿宋" w:eastAsia="仿宋" w:cs="仿宋"/>
          <w:color w:val="auto"/>
          <w:szCs w:val="24"/>
          <w:highlight w:val="none"/>
        </w:rPr>
        <w:t>传送的备份电子投标文件需打包压缩并加密，加密密码由投标方自行保管，如</w:t>
      </w:r>
      <w:r>
        <w:rPr>
          <w:rFonts w:hint="eastAsia" w:ascii="仿宋" w:hAnsi="仿宋" w:eastAsia="仿宋" w:cs="仿宋"/>
          <w:color w:val="auto"/>
          <w:szCs w:val="24"/>
          <w:highlight w:val="none"/>
          <w:lang w:eastAsia="zh-CN"/>
        </w:rPr>
        <w:t>乐采云</w:t>
      </w:r>
      <w:r>
        <w:rPr>
          <w:rFonts w:hint="eastAsia" w:ascii="仿宋" w:hAnsi="仿宋" w:eastAsia="仿宋" w:cs="仿宋"/>
          <w:color w:val="auto"/>
          <w:szCs w:val="24"/>
          <w:highlight w:val="none"/>
        </w:rPr>
        <w:t>上电子投标文件出现解密失败情况（开标后</w:t>
      </w:r>
      <w:r>
        <w:rPr>
          <w:rFonts w:hint="eastAsia" w:ascii="仿宋" w:hAnsi="仿宋" w:eastAsia="仿宋" w:cs="仿宋"/>
          <w:color w:val="auto"/>
          <w:szCs w:val="24"/>
          <w:highlight w:val="none"/>
          <w:lang w:eastAsia="zh-CN"/>
        </w:rPr>
        <w:t>30分钟</w:t>
      </w:r>
      <w:r>
        <w:rPr>
          <w:rFonts w:hint="eastAsia" w:ascii="仿宋" w:hAnsi="仿宋" w:eastAsia="仿宋" w:cs="仿宋"/>
          <w:color w:val="auto"/>
          <w:szCs w:val="24"/>
          <w:highlight w:val="none"/>
        </w:rPr>
        <w:t>内进行解密），投标方可按照自身意愿确认是否同意提供加密密码解密传送至</w:t>
      </w:r>
      <w:r>
        <w:rPr>
          <w:rFonts w:hint="eastAsia" w:ascii="仿宋" w:hAnsi="仿宋" w:eastAsia="仿宋" w:cs="仿宋"/>
          <w:color w:val="auto"/>
          <w:szCs w:val="24"/>
          <w:highlight w:val="none"/>
          <w:lang w:eastAsia="zh-CN"/>
        </w:rPr>
        <w:t>浙江御达工程管理咨询有限公司</w:t>
      </w:r>
      <w:r>
        <w:rPr>
          <w:rFonts w:hint="eastAsia" w:ascii="仿宋" w:hAnsi="仿宋" w:eastAsia="仿宋" w:cs="仿宋"/>
          <w:color w:val="auto"/>
          <w:szCs w:val="24"/>
          <w:highlight w:val="none"/>
        </w:rPr>
        <w:t>邮箱的备份文件，并以备份文件作为替代电子投标文件，如投标方未按照规定时间前按要求提供有效备份文件，同时</w:t>
      </w:r>
      <w:r>
        <w:rPr>
          <w:rFonts w:hint="eastAsia" w:ascii="仿宋" w:hAnsi="仿宋" w:eastAsia="仿宋" w:cs="仿宋"/>
          <w:color w:val="auto"/>
          <w:szCs w:val="24"/>
          <w:highlight w:val="none"/>
          <w:lang w:eastAsia="zh-CN"/>
        </w:rPr>
        <w:t>乐采云</w:t>
      </w:r>
      <w:r>
        <w:rPr>
          <w:rFonts w:hint="eastAsia" w:ascii="仿宋" w:hAnsi="仿宋" w:eastAsia="仿宋" w:cs="仿宋"/>
          <w:color w:val="auto"/>
          <w:szCs w:val="24"/>
          <w:highlight w:val="none"/>
        </w:rPr>
        <w:t>上投标文件解密失败的，将导致投标无效。</w:t>
      </w:r>
    </w:p>
    <w:p w14:paraId="2D7100CE">
      <w:pPr>
        <w:pStyle w:val="17"/>
        <w:pageBreakBefore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color w:val="auto"/>
          <w:szCs w:val="24"/>
          <w:highlight w:val="none"/>
          <w:u w:val="none"/>
        </w:rPr>
      </w:pPr>
      <w:r>
        <w:rPr>
          <w:rFonts w:hint="eastAsia" w:ascii="仿宋" w:hAnsi="仿宋" w:eastAsia="仿宋" w:cs="仿宋"/>
          <w:b/>
          <w:color w:val="auto"/>
          <w:kern w:val="0"/>
          <w:szCs w:val="24"/>
          <w:highlight w:val="none"/>
          <w:u w:val="none"/>
        </w:rPr>
        <w:t>投标方无需在开标当天到达开标现场对电子投标进行解密，可在公司办公场地在规定时间内对电子投标文件进行解密。</w:t>
      </w:r>
    </w:p>
    <w:p w14:paraId="2554B04E">
      <w:pPr>
        <w:pStyle w:val="17"/>
        <w:pageBreakBefore w:val="0"/>
        <w:kinsoku/>
        <w:wordWrap/>
        <w:overflowPunct/>
        <w:topLinePunct w:val="0"/>
        <w:bidi w:val="0"/>
        <w:adjustRightInd w:val="0"/>
        <w:snapToGrid/>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开标时间后</w:t>
      </w:r>
      <w:r>
        <w:rPr>
          <w:rFonts w:hint="eastAsia" w:ascii="仿宋" w:hAnsi="仿宋" w:eastAsia="仿宋" w:cs="仿宋"/>
          <w:b/>
          <w:color w:val="auto"/>
          <w:szCs w:val="24"/>
          <w:highlight w:val="none"/>
          <w:lang w:eastAsia="zh-CN"/>
        </w:rPr>
        <w:t>30分钟</w:t>
      </w:r>
      <w:r>
        <w:rPr>
          <w:rFonts w:hint="eastAsia" w:ascii="仿宋" w:hAnsi="仿宋" w:eastAsia="仿宋" w:cs="仿宋"/>
          <w:b/>
          <w:color w:val="auto"/>
          <w:szCs w:val="24"/>
          <w:highlight w:val="none"/>
        </w:rPr>
        <w:t>内供应商可以登录“</w:t>
      </w:r>
      <w:r>
        <w:rPr>
          <w:rFonts w:hint="eastAsia" w:ascii="仿宋" w:hAnsi="仿宋" w:eastAsia="仿宋" w:cs="仿宋"/>
          <w:b/>
          <w:color w:val="auto"/>
          <w:szCs w:val="24"/>
          <w:highlight w:val="none"/>
          <w:lang w:eastAsia="zh-CN"/>
        </w:rPr>
        <w:t>乐采云</w:t>
      </w:r>
      <w:r>
        <w:rPr>
          <w:rFonts w:hint="eastAsia" w:ascii="仿宋" w:hAnsi="仿宋" w:eastAsia="仿宋" w:cs="仿宋"/>
          <w:b/>
          <w:color w:val="auto"/>
          <w:szCs w:val="24"/>
          <w:highlight w:val="none"/>
        </w:rPr>
        <w:t>”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7248F436">
      <w:pPr>
        <w:pageBreakBefore w:val="0"/>
        <w:kinsoku/>
        <w:wordWrap/>
        <w:overflowPunct/>
        <w:topLinePunct w:val="0"/>
        <w:bidi w:val="0"/>
        <w:snapToGrid/>
        <w:spacing w:line="360" w:lineRule="auto"/>
        <w:ind w:firstLine="42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、业务咨询：</w:t>
      </w:r>
    </w:p>
    <w:p w14:paraId="38D25F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采购单位联系人：</w:t>
      </w:r>
      <w:r>
        <w:rPr>
          <w:rFonts w:hint="eastAsia" w:ascii="仿宋" w:hAnsi="仿宋" w:eastAsia="仿宋" w:cs="仿宋"/>
          <w:color w:val="auto"/>
          <w:sz w:val="24"/>
          <w:highlight w:val="none"/>
          <w:lang w:val="en-US" w:eastAsia="zh-CN"/>
        </w:rPr>
        <w:t xml:space="preserve">周晓江  </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工作电话</w:t>
      </w:r>
      <w:r>
        <w:rPr>
          <w:rFonts w:hint="eastAsia" w:ascii="仿宋" w:hAnsi="仿宋" w:eastAsia="仿宋" w:cs="仿宋"/>
          <w:color w:val="auto"/>
          <w:sz w:val="24"/>
          <w:highlight w:val="none"/>
          <w:lang w:eastAsia="zh-CN"/>
        </w:rPr>
        <w:t>：0575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89078068</w:t>
      </w:r>
    </w:p>
    <w:p w14:paraId="4A6DA9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单位地址：诸暨市</w:t>
      </w:r>
      <w:r>
        <w:rPr>
          <w:rFonts w:hint="eastAsia" w:ascii="仿宋" w:hAnsi="仿宋" w:eastAsia="仿宋" w:cs="仿宋"/>
          <w:color w:val="auto"/>
          <w:sz w:val="24"/>
          <w:highlight w:val="none"/>
          <w:lang w:val="en-US" w:eastAsia="zh-CN"/>
        </w:rPr>
        <w:t>陶朱街道</w:t>
      </w:r>
      <w:r>
        <w:rPr>
          <w:rFonts w:hint="eastAsia" w:ascii="仿宋" w:hAnsi="仿宋" w:eastAsia="仿宋" w:cs="仿宋"/>
          <w:color w:val="auto"/>
          <w:sz w:val="24"/>
          <w:highlight w:val="none"/>
          <w:lang w:eastAsia="zh-CN"/>
        </w:rPr>
        <w:t>环城北路228号</w:t>
      </w:r>
    </w:p>
    <w:p w14:paraId="485FC5C3">
      <w:pPr>
        <w:pStyle w:val="28"/>
        <w:pageBreakBefore w:val="0"/>
        <w:kinsoku/>
        <w:wordWrap/>
        <w:overflowPunct/>
        <w:topLinePunct w:val="0"/>
        <w:bidi w:val="0"/>
        <w:spacing w:line="360" w:lineRule="auto"/>
        <w:textAlignment w:val="auto"/>
        <w:rPr>
          <w:rFonts w:hint="eastAsia"/>
          <w:color w:val="auto"/>
          <w:lang w:eastAsia="zh-CN"/>
        </w:rPr>
      </w:pPr>
    </w:p>
    <w:p w14:paraId="3F47F75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代理机构联系人：</w:t>
      </w:r>
      <w:r>
        <w:rPr>
          <w:rFonts w:hint="eastAsia" w:ascii="仿宋" w:hAnsi="仿宋" w:eastAsia="仿宋" w:cs="仿宋"/>
          <w:color w:val="auto"/>
          <w:sz w:val="24"/>
          <w:highlight w:val="none"/>
          <w:lang w:val="en-US" w:eastAsia="zh-CN"/>
        </w:rPr>
        <w:t>蔡亚萍</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工作</w:t>
      </w:r>
      <w:r>
        <w:rPr>
          <w:rFonts w:hint="eastAsia" w:ascii="仿宋" w:hAnsi="仿宋" w:eastAsia="仿宋" w:cs="仿宋"/>
          <w:color w:val="auto"/>
          <w:sz w:val="24"/>
          <w:highlight w:val="none"/>
          <w:lang w:eastAsia="zh-CN"/>
        </w:rPr>
        <w:t>电话：</w:t>
      </w:r>
      <w:r>
        <w:rPr>
          <w:rFonts w:hint="eastAsia" w:ascii="仿宋" w:hAnsi="仿宋" w:eastAsia="仿宋" w:cs="仿宋"/>
          <w:color w:val="auto"/>
          <w:sz w:val="24"/>
          <w:highlight w:val="none"/>
          <w:lang w:val="en-US" w:eastAsia="zh-CN"/>
        </w:rPr>
        <w:t>18757506501</w:t>
      </w:r>
    </w:p>
    <w:p w14:paraId="583EE20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highlight w:val="none"/>
          <w:lang w:eastAsia="zh-CN"/>
        </w:rPr>
        <w:t>单位地址：</w:t>
      </w:r>
      <w:bookmarkStart w:id="20" w:name="_Toc125344503"/>
      <w:r>
        <w:rPr>
          <w:rFonts w:hint="eastAsia" w:ascii="仿宋" w:hAnsi="仿宋" w:eastAsia="仿宋" w:cs="仿宋"/>
          <w:color w:val="auto"/>
          <w:sz w:val="24"/>
          <w:highlight w:val="none"/>
          <w:lang w:eastAsia="zh-CN"/>
        </w:rPr>
        <w:t>诸暨市暨南街道暨南路21号乐家大厦3幢西单元9楼</w:t>
      </w:r>
      <w:r>
        <w:rPr>
          <w:rFonts w:hint="eastAsia" w:ascii="仿宋" w:hAnsi="仿宋" w:eastAsia="仿宋" w:cs="仿宋"/>
          <w:color w:val="auto"/>
          <w:sz w:val="24"/>
          <w:lang w:eastAsia="zh-CN"/>
        </w:rPr>
        <w:t xml:space="preserve"> </w:t>
      </w:r>
    </w:p>
    <w:p w14:paraId="259E25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027DBEC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诸暨市暨阳排水管理有限</w:t>
      </w:r>
      <w:r>
        <w:rPr>
          <w:rFonts w:hint="eastAsia" w:ascii="仿宋" w:hAnsi="仿宋" w:eastAsia="仿宋" w:cs="仿宋"/>
          <w:color w:val="auto"/>
          <w:sz w:val="24"/>
          <w:highlight w:val="none"/>
          <w:lang w:eastAsia="zh-CN"/>
        </w:rPr>
        <w:t>公司</w:t>
      </w:r>
    </w:p>
    <w:p w14:paraId="451FD3C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浙江御达工程管理咨询有限公司</w:t>
      </w:r>
    </w:p>
    <w:p w14:paraId="0F0F0EE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righ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二○二五年二月二十五日</w:t>
      </w:r>
    </w:p>
    <w:p w14:paraId="63E4D21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p>
    <w:p w14:paraId="201CAD92">
      <w:pPr>
        <w:keepNext w:val="0"/>
        <w:keepLines w:val="0"/>
        <w:pageBreakBefore w:val="0"/>
        <w:widowControl w:val="0"/>
        <w:kinsoku/>
        <w:wordWrap/>
        <w:overflowPunct/>
        <w:topLinePunct w:val="0"/>
        <w:autoSpaceDE w:val="0"/>
        <w:autoSpaceDN w:val="0"/>
        <w:bidi w:val="0"/>
        <w:adjustRightInd w:val="0"/>
        <w:snapToGrid w:val="0"/>
        <w:spacing w:line="360" w:lineRule="auto"/>
        <w:ind w:firstLine="482"/>
        <w:jc w:val="left"/>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rPr>
        <w:t>若对项目采购电子交易系统操作有疑问，可登录乐采云（https://www.lecaiyun.com/），点击右侧咨询小采，获取采小蜜智能服务管家帮助，或拨打乐采云服务热线95763获取热线服务帮助。</w:t>
      </w:r>
      <w:bookmarkStart w:id="32" w:name="_GoBack"/>
      <w:bookmarkEnd w:id="32"/>
    </w:p>
    <w:p w14:paraId="03EB1DDB">
      <w:pPr>
        <w:pageBreakBefore w:val="0"/>
        <w:kinsoku/>
        <w:wordWrap/>
        <w:overflowPunct/>
        <w:topLinePunct w:val="0"/>
        <w:bidi w:val="0"/>
        <w:snapToGrid/>
        <w:spacing w:line="300" w:lineRule="auto"/>
        <w:jc w:val="center"/>
        <w:rPr>
          <w:rFonts w:hint="eastAsia" w:ascii="仿宋" w:hAnsi="仿宋" w:eastAsia="仿宋" w:cs="仿宋"/>
          <w:b/>
          <w:bCs/>
          <w:color w:val="auto"/>
          <w:sz w:val="36"/>
          <w:szCs w:val="36"/>
          <w:highlight w:val="none"/>
        </w:rPr>
      </w:pPr>
    </w:p>
    <w:p w14:paraId="5E8B7CD8">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1F27F00B">
      <w:pPr>
        <w:pageBreakBefore w:val="0"/>
        <w:kinsoku/>
        <w:wordWrap/>
        <w:overflowPunct/>
        <w:topLinePunct w:val="0"/>
        <w:bidi w:val="0"/>
        <w:snapToGrid/>
        <w:spacing w:line="300" w:lineRule="auto"/>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第二章   投标须知</w:t>
      </w:r>
    </w:p>
    <w:p w14:paraId="25245BBD">
      <w:pPr>
        <w:pageBreakBefore w:val="0"/>
        <w:kinsoku/>
        <w:wordWrap/>
        <w:overflowPunct/>
        <w:topLinePunct w:val="0"/>
        <w:bidi w:val="0"/>
        <w:snapToGrid/>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前  附  表</w:t>
      </w:r>
    </w:p>
    <w:tbl>
      <w:tblPr>
        <w:tblStyle w:val="29"/>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14:paraId="70526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60AEBEC">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5BF3FC1">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内容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5E63D61">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说明与要求</w:t>
            </w:r>
          </w:p>
        </w:tc>
      </w:tr>
      <w:tr w14:paraId="2E6F3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8840B8F">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D8B4D93">
            <w:pPr>
              <w:pStyle w:val="17"/>
              <w:pageBreakBefore w:val="0"/>
              <w:kinsoku/>
              <w:wordWrap/>
              <w:overflowPunct/>
              <w:topLinePunct w:val="0"/>
              <w:bidi w:val="0"/>
              <w:snapToGrid/>
              <w:spacing w:line="360" w:lineRule="auto"/>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项目名称</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FAB5CE3">
            <w:pPr>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诸暨市城市生活污水治理扩面提效项目（诸暨市暨阳街道污水改造工程-袁家村、江龙村；城中村纳厂提升改造工程-同乐上村、同乐下村、金三角村）设计采购项目</w:t>
            </w:r>
          </w:p>
        </w:tc>
      </w:tr>
      <w:tr w14:paraId="4DAA5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DA7B1BA">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8179F60">
            <w:pPr>
              <w:pStyle w:val="17"/>
              <w:pageBreakBefore w:val="0"/>
              <w:kinsoku/>
              <w:wordWrap/>
              <w:overflowPunct/>
              <w:topLinePunct w:val="0"/>
              <w:bidi w:val="0"/>
              <w:snapToGrid/>
              <w:spacing w:line="360" w:lineRule="auto"/>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采购方式</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9574687">
            <w:pPr>
              <w:pStyle w:val="17"/>
              <w:pageBreakBefore w:val="0"/>
              <w:kinsoku/>
              <w:wordWrap/>
              <w:overflowPunct/>
              <w:topLinePunct w:val="0"/>
              <w:bidi w:val="0"/>
              <w:snapToGrid/>
              <w:spacing w:line="360" w:lineRule="auto"/>
              <w:ind w:right="-107" w:rightChars="-51"/>
              <w:rPr>
                <w:rFonts w:hint="eastAsia" w:ascii="仿宋" w:hAnsi="仿宋" w:eastAsia="仿宋" w:cs="仿宋"/>
                <w:color w:val="auto"/>
                <w:szCs w:val="24"/>
                <w:highlight w:val="none"/>
              </w:rPr>
            </w:pPr>
            <w:r>
              <w:rPr>
                <w:rFonts w:hint="eastAsia" w:ascii="仿宋" w:hAnsi="仿宋" w:eastAsia="仿宋" w:cs="仿宋"/>
                <w:color w:val="auto"/>
                <w:szCs w:val="24"/>
                <w:highlight w:val="none"/>
              </w:rPr>
              <w:t>公开招标</w:t>
            </w:r>
          </w:p>
        </w:tc>
      </w:tr>
      <w:tr w14:paraId="77922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BA62DF4">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143FB830">
            <w:pPr>
              <w:pStyle w:val="17"/>
              <w:pageBreakBefore w:val="0"/>
              <w:kinsoku/>
              <w:wordWrap/>
              <w:overflowPunct/>
              <w:topLinePunct w:val="0"/>
              <w:bidi w:val="0"/>
              <w:snapToGrid/>
              <w:spacing w:line="360" w:lineRule="auto"/>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评标办法</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0471FC4E">
            <w:pPr>
              <w:pStyle w:val="17"/>
              <w:pageBreakBefore w:val="0"/>
              <w:kinsoku/>
              <w:wordWrap/>
              <w:overflowPunct/>
              <w:topLinePunct w:val="0"/>
              <w:bidi w:val="0"/>
              <w:snapToGrid/>
              <w:spacing w:line="360" w:lineRule="auto"/>
              <w:ind w:right="-107" w:rightChars="-51"/>
              <w:rPr>
                <w:rFonts w:hint="eastAsia" w:ascii="仿宋" w:hAnsi="仿宋" w:eastAsia="仿宋" w:cs="仿宋"/>
                <w:color w:val="auto"/>
                <w:szCs w:val="24"/>
                <w:highlight w:val="none"/>
              </w:rPr>
            </w:pPr>
            <w:r>
              <w:rPr>
                <w:rFonts w:hint="eastAsia" w:ascii="仿宋" w:hAnsi="仿宋" w:eastAsia="仿宋" w:cs="仿宋"/>
                <w:color w:val="auto"/>
                <w:szCs w:val="24"/>
                <w:highlight w:val="none"/>
              </w:rPr>
              <w:t>综合评分法</w:t>
            </w:r>
          </w:p>
        </w:tc>
      </w:tr>
      <w:tr w14:paraId="56AB0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8198318">
            <w:pPr>
              <w:pStyle w:val="17"/>
              <w:pageBreakBefore w:val="0"/>
              <w:kinsoku/>
              <w:wordWrap/>
              <w:overflowPunct/>
              <w:topLinePunct w:val="0"/>
              <w:bidi w:val="0"/>
              <w:snapToGrid/>
              <w:spacing w:line="300" w:lineRule="auto"/>
              <w:jc w:val="center"/>
              <w:rPr>
                <w:rFonts w:hint="eastAsia" w:ascii="仿宋" w:hAnsi="仿宋" w:eastAsia="仿宋" w:cs="仿宋"/>
                <w:b/>
                <w:bCs/>
                <w:color w:val="auto"/>
                <w:kern w:val="0"/>
                <w:sz w:val="24"/>
                <w:szCs w:val="21"/>
                <w:highlight w:val="none"/>
                <w:lang w:val="en-US" w:eastAsia="zh-CN" w:bidi="ar-SA"/>
              </w:rPr>
            </w:pPr>
            <w:r>
              <w:rPr>
                <w:rFonts w:hint="eastAsia" w:ascii="仿宋" w:hAnsi="仿宋" w:eastAsia="仿宋" w:cs="仿宋"/>
                <w:b/>
                <w:bCs/>
                <w:color w:val="auto"/>
                <w:kern w:val="0"/>
                <w:sz w:val="24"/>
                <w:szCs w:val="21"/>
                <w:highlight w:val="none"/>
                <w:lang w:val="en-US" w:eastAsia="zh-CN" w:bidi="ar-SA"/>
              </w:rPr>
              <w:t>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D4C17B5">
            <w:pPr>
              <w:pStyle w:val="17"/>
              <w:pageBreakBefore w:val="0"/>
              <w:kinsoku/>
              <w:wordWrap/>
              <w:overflowPunct/>
              <w:topLinePunct w:val="0"/>
              <w:bidi w:val="0"/>
              <w:snapToGrid/>
              <w:spacing w:line="360" w:lineRule="auto"/>
              <w:jc w:val="center"/>
              <w:rPr>
                <w:rFonts w:hint="eastAsia" w:ascii="仿宋" w:hAnsi="仿宋" w:eastAsia="仿宋" w:cs="仿宋"/>
                <w:b/>
                <w:bCs/>
                <w:color w:val="auto"/>
                <w:kern w:val="0"/>
                <w:sz w:val="24"/>
                <w:szCs w:val="21"/>
                <w:highlight w:val="none"/>
                <w:lang w:val="en-US" w:eastAsia="zh-CN" w:bidi="ar-SA"/>
              </w:rPr>
            </w:pPr>
            <w:r>
              <w:rPr>
                <w:rFonts w:hint="eastAsia" w:ascii="仿宋" w:hAnsi="仿宋" w:eastAsia="仿宋" w:cs="仿宋"/>
                <w:b/>
                <w:bCs/>
                <w:color w:val="auto"/>
                <w:kern w:val="0"/>
                <w:sz w:val="24"/>
                <w:szCs w:val="21"/>
                <w:highlight w:val="none"/>
                <w:lang w:val="en-US" w:eastAsia="zh-CN" w:bidi="ar-SA"/>
              </w:rPr>
              <w:t>最高限价</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425A6C6">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本次</w:t>
            </w:r>
            <w:r>
              <w:rPr>
                <w:rFonts w:hint="eastAsia" w:ascii="仿宋" w:hAnsi="仿宋" w:eastAsia="仿宋" w:cs="仿宋"/>
                <w:b/>
                <w:bCs/>
                <w:color w:val="auto"/>
                <w:sz w:val="24"/>
                <w:szCs w:val="24"/>
                <w:lang w:val="en-US" w:eastAsia="zh-CN"/>
              </w:rPr>
              <w:t>项目按折扣招标，</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val="en-US" w:eastAsia="zh-CN"/>
              </w:rPr>
              <w:t>二个标项最高折扣率80.00%，</w:t>
            </w:r>
            <w:r>
              <w:rPr>
                <w:rFonts w:hint="eastAsia" w:ascii="仿宋" w:hAnsi="仿宋" w:eastAsia="仿宋" w:cs="仿宋"/>
                <w:b/>
                <w:bCs/>
                <w:color w:val="auto"/>
                <w:sz w:val="24"/>
                <w:szCs w:val="24"/>
              </w:rPr>
              <w:t>任何超过最高</w:t>
            </w:r>
            <w:r>
              <w:rPr>
                <w:rFonts w:hint="eastAsia" w:ascii="仿宋" w:hAnsi="仿宋" w:eastAsia="仿宋" w:cs="仿宋"/>
                <w:b/>
                <w:bCs/>
                <w:color w:val="auto"/>
                <w:sz w:val="24"/>
                <w:szCs w:val="24"/>
                <w:lang w:val="en-US" w:eastAsia="zh-CN"/>
              </w:rPr>
              <w:t>折扣率</w:t>
            </w:r>
            <w:r>
              <w:rPr>
                <w:rFonts w:hint="eastAsia" w:ascii="仿宋" w:hAnsi="仿宋" w:eastAsia="仿宋" w:cs="仿宋"/>
                <w:b/>
                <w:bCs/>
                <w:color w:val="auto"/>
                <w:sz w:val="24"/>
                <w:szCs w:val="24"/>
              </w:rPr>
              <w:t>的报价将被认定为无效报价。</w:t>
            </w:r>
          </w:p>
          <w:p w14:paraId="6CE0627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标项一 预算金额为人民币壹佰零伍万元整（¥1050000.00）；</w:t>
            </w:r>
          </w:p>
          <w:p w14:paraId="1516FDA7">
            <w:pPr>
              <w:spacing w:line="360" w:lineRule="auto"/>
              <w:rPr>
                <w:rFonts w:hint="eastAsia" w:ascii="仿宋" w:hAnsi="仿宋" w:eastAsia="仿宋" w:cs="仿宋"/>
                <w:color w:val="auto"/>
                <w:highlight w:val="none"/>
              </w:rPr>
            </w:pPr>
            <w:r>
              <w:rPr>
                <w:rFonts w:hint="eastAsia" w:ascii="仿宋" w:hAnsi="仿宋" w:eastAsia="仿宋" w:cs="仿宋"/>
                <w:b/>
                <w:bCs/>
                <w:color w:val="auto"/>
                <w:sz w:val="24"/>
                <w:szCs w:val="24"/>
              </w:rPr>
              <w:t>标项二 预算金额为人民币柒拾伍万元整（¥750000.00）。</w:t>
            </w:r>
          </w:p>
        </w:tc>
      </w:tr>
      <w:tr w14:paraId="21B2A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8013F9">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747567EC">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投标人（供应商）资格要求</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C16871B">
            <w:pPr>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详见招标公告。</w:t>
            </w:r>
          </w:p>
        </w:tc>
      </w:tr>
      <w:tr w14:paraId="7F675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CA89E9">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79ACD91">
            <w:pPr>
              <w:pStyle w:val="17"/>
              <w:pageBreakBefore w:val="0"/>
              <w:kinsoku/>
              <w:wordWrap/>
              <w:overflowPunct/>
              <w:topLinePunct w:val="0"/>
              <w:bidi w:val="0"/>
              <w:snapToGrid/>
              <w:spacing w:line="360" w:lineRule="auto"/>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是否接受联合体投标</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5084AA0">
            <w:pPr>
              <w:pStyle w:val="17"/>
              <w:pageBreakBefore w:val="0"/>
              <w:kinsoku/>
              <w:wordWrap/>
              <w:overflowPunct/>
              <w:topLinePunct w:val="0"/>
              <w:bidi w:val="0"/>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不</w:t>
            </w:r>
            <w:r>
              <w:rPr>
                <w:rFonts w:hint="eastAsia" w:ascii="仿宋" w:hAnsi="仿宋" w:eastAsia="仿宋" w:cs="仿宋"/>
                <w:color w:val="auto"/>
                <w:szCs w:val="24"/>
                <w:highlight w:val="none"/>
              </w:rPr>
              <w:t>接受。</w:t>
            </w:r>
          </w:p>
        </w:tc>
      </w:tr>
      <w:tr w14:paraId="2D453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3C8137E">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F330BA6">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标的划分</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C1532E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本次招标采购共分</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，投标人可以选择一个或多个</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rPr>
              <w:t>投标，采购人将分标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择定中标人。</w:t>
            </w:r>
          </w:p>
        </w:tc>
      </w:tr>
      <w:tr w14:paraId="7005C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C775E15">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0D8ACC57">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资格审查</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EB7A68B">
            <w:pPr>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供应商资格采用资格后审方式，以确定投标人是否具备投标资格。</w:t>
            </w:r>
          </w:p>
        </w:tc>
      </w:tr>
      <w:tr w14:paraId="08CE6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4" w:type="dxa"/>
            <w:tcBorders>
              <w:top w:val="single" w:color="auto" w:sz="4" w:space="0"/>
              <w:left w:val="single" w:color="auto" w:sz="4" w:space="0"/>
              <w:right w:val="single" w:color="auto" w:sz="4" w:space="0"/>
            </w:tcBorders>
            <w:noWrap w:val="0"/>
            <w:vAlign w:val="center"/>
          </w:tcPr>
          <w:p w14:paraId="2E8AA560">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9</w:t>
            </w:r>
          </w:p>
        </w:tc>
        <w:tc>
          <w:tcPr>
            <w:tcW w:w="1776" w:type="dxa"/>
            <w:tcBorders>
              <w:top w:val="single" w:color="auto" w:sz="4" w:space="0"/>
              <w:left w:val="single" w:color="auto" w:sz="4" w:space="0"/>
              <w:right w:val="single" w:color="auto" w:sz="4" w:space="0"/>
            </w:tcBorders>
            <w:noWrap w:val="0"/>
            <w:vAlign w:val="center"/>
          </w:tcPr>
          <w:p w14:paraId="08FC7AAA">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招标文件的</w:t>
            </w:r>
          </w:p>
          <w:p w14:paraId="0463A143">
            <w:pPr>
              <w:pStyle w:val="17"/>
              <w:pageBreakBefore w:val="0"/>
              <w:kinsoku/>
              <w:wordWrap/>
              <w:overflowPunct/>
              <w:topLinePunct w:val="0"/>
              <w:bidi w:val="0"/>
              <w:snapToGrid/>
              <w:spacing w:line="360" w:lineRule="auto"/>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获取</w:t>
            </w:r>
          </w:p>
        </w:tc>
        <w:tc>
          <w:tcPr>
            <w:tcW w:w="7589" w:type="dxa"/>
            <w:tcBorders>
              <w:top w:val="single" w:color="auto" w:sz="4" w:space="0"/>
              <w:left w:val="single" w:color="auto" w:sz="4" w:space="0"/>
              <w:right w:val="single" w:color="auto" w:sz="4" w:space="0"/>
            </w:tcBorders>
            <w:noWrap w:val="0"/>
            <w:vAlign w:val="center"/>
          </w:tcPr>
          <w:p w14:paraId="6CF5C80B">
            <w:pPr>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详见招标公告。</w:t>
            </w:r>
          </w:p>
        </w:tc>
      </w:tr>
      <w:tr w14:paraId="63461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2AE4AF0">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0FCD435">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C19CFB7">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本项目免收投标保证金。</w:t>
            </w:r>
          </w:p>
        </w:tc>
      </w:tr>
      <w:tr w14:paraId="255F4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57DA103">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23AA4D6">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E3829F6">
            <w:pPr>
              <w:pageBreakBefore w:val="0"/>
              <w:kinsoku/>
              <w:wordWrap/>
              <w:overflowPunct/>
              <w:topLinePunct w:val="0"/>
              <w:bidi w:val="0"/>
              <w:snapToGri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（1）营业执照复印件（加盖单位公章）；</w:t>
            </w:r>
            <w:r>
              <w:rPr>
                <w:rFonts w:hint="eastAsia" w:ascii="仿宋" w:hAnsi="仿宋" w:eastAsia="仿宋" w:cs="仿宋"/>
                <w:color w:val="auto"/>
                <w:sz w:val="24"/>
                <w:szCs w:val="24"/>
                <w:highlight w:val="none"/>
                <w:lang w:val="en-US" w:eastAsia="zh-CN"/>
              </w:rPr>
              <w:t xml:space="preserve"> </w:t>
            </w:r>
          </w:p>
          <w:p w14:paraId="55008FC8">
            <w:pPr>
              <w:pageBreakBefore w:val="0"/>
              <w:kinsoku/>
              <w:wordWrap/>
              <w:overflowPunct/>
              <w:topLinePunct w:val="0"/>
              <w:bidi w:val="0"/>
              <w:snapToGri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法定代表人授权委托书（投标人代表</w:t>
            </w:r>
            <w:r>
              <w:rPr>
                <w:rFonts w:hint="eastAsia" w:ascii="仿宋" w:hAnsi="仿宋" w:eastAsia="仿宋" w:cs="仿宋"/>
                <w:color w:val="auto"/>
                <w:sz w:val="24"/>
                <w:szCs w:val="24"/>
                <w:highlight w:val="none"/>
                <w:lang w:val="en-US" w:eastAsia="zh-CN"/>
              </w:rPr>
              <w:t>若为授权委托代表须提供</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法定代表人和被授权人身份证复印件加盖投标人公章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投标人代表</w:t>
            </w:r>
            <w:r>
              <w:rPr>
                <w:rFonts w:hint="eastAsia" w:ascii="仿宋" w:hAnsi="仿宋" w:eastAsia="仿宋" w:cs="仿宋"/>
                <w:color w:val="auto"/>
                <w:sz w:val="24"/>
                <w:szCs w:val="24"/>
                <w:highlight w:val="none"/>
                <w:lang w:val="en-US" w:eastAsia="zh-CN"/>
              </w:rPr>
              <w:t>若为</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仅须</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法人</w:t>
            </w:r>
            <w:r>
              <w:rPr>
                <w:rFonts w:hint="eastAsia" w:ascii="仿宋" w:hAnsi="仿宋" w:eastAsia="仿宋" w:cs="仿宋"/>
                <w:color w:val="auto"/>
                <w:sz w:val="24"/>
                <w:szCs w:val="24"/>
                <w:highlight w:val="none"/>
              </w:rPr>
              <w:t>身份证复印件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A97EF8A">
            <w:pPr>
              <w:pageBreakBefore w:val="0"/>
              <w:kinsoku/>
              <w:wordWrap/>
              <w:overflowPunct/>
              <w:topLinePunct w:val="0"/>
              <w:bidi w:val="0"/>
              <w:snapToGrid/>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提供自招标公告发布之日起至投标截止日内任意时间的“信用中国”网站（www.creditchina.gov.cn）、中国政府采购（www.ccgp.gov.cn）投标人信用查询网页截图。（以开标当日采购人或由采购人委托的评标委员会核实的查询结果为准）</w:t>
            </w:r>
            <w:r>
              <w:rPr>
                <w:rFonts w:hint="eastAsia" w:ascii="仿宋" w:hAnsi="仿宋" w:eastAsia="仿宋" w:cs="仿宋"/>
                <w:color w:val="auto"/>
                <w:sz w:val="24"/>
                <w:szCs w:val="24"/>
                <w:highlight w:val="none"/>
                <w:lang w:eastAsia="zh-CN"/>
              </w:rPr>
              <w:t>；</w:t>
            </w:r>
          </w:p>
          <w:p w14:paraId="3E22D538">
            <w:pPr>
              <w:pageBreakBefore w:val="0"/>
              <w:kinsoku/>
              <w:wordWrap/>
              <w:overflowPunct/>
              <w:topLinePunct w:val="0"/>
              <w:bidi w:val="0"/>
              <w:snapToGrid/>
              <w:spacing w:line="360" w:lineRule="auto"/>
              <w:jc w:val="left"/>
              <w:rPr>
                <w:rFonts w:hint="eastAsia" w:ascii="仿宋" w:hAnsi="仿宋" w:eastAsia="仿宋" w:cs="仿宋"/>
                <w:bCs/>
                <w:color w:val="auto"/>
                <w:sz w:val="24"/>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rPr>
              <w:t>本项目的特定资格要求</w:t>
            </w:r>
            <w:r>
              <w:rPr>
                <w:rFonts w:hint="eastAsia" w:ascii="仿宋" w:hAnsi="仿宋" w:eastAsia="仿宋" w:cs="仿宋"/>
                <w:color w:val="auto"/>
                <w:sz w:val="24"/>
                <w:szCs w:val="24"/>
                <w:lang w:eastAsia="zh-CN"/>
              </w:rPr>
              <w:t>：</w:t>
            </w:r>
            <w:r>
              <w:rPr>
                <w:rFonts w:hint="eastAsia" w:ascii="仿宋" w:hAnsi="仿宋" w:eastAsia="仿宋" w:cs="仿宋"/>
                <w:bCs/>
                <w:color w:val="auto"/>
                <w:sz w:val="24"/>
                <w:lang w:val="en-US" w:eastAsia="zh-CN"/>
              </w:rPr>
              <w:t>标项一、标项二</w:t>
            </w:r>
            <w:r>
              <w:rPr>
                <w:rFonts w:hint="eastAsia" w:ascii="仿宋" w:hAnsi="仿宋" w:eastAsia="仿宋" w:cs="仿宋"/>
                <w:color w:val="auto"/>
                <w:kern w:val="2"/>
                <w:sz w:val="24"/>
                <w:szCs w:val="24"/>
                <w:highlight w:val="none"/>
                <w:lang w:val="en-US" w:eastAsia="zh-CN"/>
              </w:rPr>
              <w:t>提供</w:t>
            </w:r>
            <w:r>
              <w:rPr>
                <w:rFonts w:hint="eastAsia" w:ascii="仿宋" w:hAnsi="仿宋" w:eastAsia="仿宋" w:cs="仿宋"/>
                <w:color w:val="auto"/>
                <w:sz w:val="24"/>
                <w:szCs w:val="24"/>
                <w:highlight w:val="none"/>
              </w:rPr>
              <w:t>具有市政专业（道路、给水、排水）</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级及以上资质</w:t>
            </w:r>
            <w:r>
              <w:rPr>
                <w:rFonts w:hint="eastAsia" w:ascii="仿宋" w:hAnsi="仿宋" w:eastAsia="仿宋" w:cs="仿宋"/>
                <w:color w:val="auto"/>
                <w:kern w:val="2"/>
                <w:sz w:val="24"/>
                <w:szCs w:val="24"/>
                <w:highlight w:val="none"/>
                <w:lang w:val="en-US" w:eastAsia="zh-CN"/>
              </w:rPr>
              <w:t>证书</w:t>
            </w:r>
            <w:r>
              <w:rPr>
                <w:rFonts w:hint="eastAsia" w:ascii="仿宋" w:hAnsi="仿宋" w:eastAsia="仿宋" w:cs="仿宋"/>
                <w:color w:val="auto"/>
                <w:kern w:val="2"/>
                <w:sz w:val="24"/>
                <w:szCs w:val="24"/>
                <w:highlight w:val="none"/>
                <w:lang w:eastAsia="zh-CN"/>
              </w:rPr>
              <w:t>复印件（加盖单位公章）</w:t>
            </w:r>
            <w:r>
              <w:rPr>
                <w:rFonts w:hint="eastAsia" w:ascii="仿宋" w:hAnsi="仿宋" w:eastAsia="仿宋" w:cs="仿宋"/>
                <w:color w:val="auto"/>
                <w:sz w:val="24"/>
                <w:szCs w:val="24"/>
                <w:highlight w:val="none"/>
                <w:lang w:eastAsia="zh-CN"/>
              </w:rPr>
              <w:t>；</w:t>
            </w:r>
          </w:p>
          <w:p w14:paraId="478B3E67">
            <w:pPr>
              <w:pStyle w:val="28"/>
              <w:ind w:left="0" w:leftChars="0" w:firstLine="0" w:firstLineChars="0"/>
              <w:rPr>
                <w:rFonts w:hint="eastAsia"/>
                <w:color w:val="auto"/>
                <w:lang w:eastAsia="zh-CN"/>
              </w:rPr>
            </w:pPr>
            <w:r>
              <w:rPr>
                <w:rFonts w:hint="eastAsia" w:ascii="仿宋" w:hAnsi="仿宋" w:eastAsia="仿宋" w:cs="仿宋"/>
                <w:b/>
                <w:bCs/>
                <w:color w:val="auto"/>
                <w:kern w:val="2"/>
                <w:sz w:val="24"/>
                <w:szCs w:val="24"/>
                <w:highlight w:val="none"/>
                <w:lang w:val="zh-CN" w:eastAsia="zh-CN" w:bidi="ar-SA"/>
              </w:rPr>
              <w:t>投标人未提供有效的资格证明文件的，视为投标人不具备招标文件中规定的资格要求，其投标无效。</w:t>
            </w:r>
          </w:p>
        </w:tc>
      </w:tr>
      <w:tr w14:paraId="40A2F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6012D28">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45AFD90">
            <w:pPr>
              <w:pageBreakBefore w:val="0"/>
              <w:kinsoku/>
              <w:wordWrap/>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7E3BBE4">
            <w:pPr>
              <w:pageBreakBefore w:val="0"/>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情况介绍；</w:t>
            </w:r>
          </w:p>
          <w:p w14:paraId="104EE2C6">
            <w:pPr>
              <w:pageBreakBefore w:val="0"/>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（2）相关资质证明或文件复印件（如需要，加盖单位公章）；</w:t>
            </w:r>
          </w:p>
          <w:p w14:paraId="511B93C3">
            <w:pPr>
              <w:pageBreakBefore w:val="0"/>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（3）成功案例和业绩证明（如有）；</w:t>
            </w:r>
          </w:p>
          <w:p w14:paraId="6CCE9E13">
            <w:pPr>
              <w:keepNext w:val="0"/>
              <w:keepLines w:val="0"/>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（4）对本项目总体要求的理解及投标方案描述，提供服务方案说明（如需要）；</w:t>
            </w:r>
          </w:p>
          <w:p w14:paraId="4C8EF4C6">
            <w:pPr>
              <w:keepNext w:val="0"/>
              <w:keepLines w:val="0"/>
              <w:pageBreakBefore w:val="0"/>
              <w:widowControl w:val="0"/>
              <w:kinsoku/>
              <w:wordWrap/>
              <w:overflowPunct/>
              <w:topLinePunct w:val="0"/>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（5）技术（服务）偏离表（格式见第六章）；</w:t>
            </w:r>
          </w:p>
          <w:p w14:paraId="0CDDC65E">
            <w:pPr>
              <w:keepNext w:val="0"/>
              <w:keepLines w:val="0"/>
              <w:pageBreakBefore w:val="0"/>
              <w:widowControl w:val="0"/>
              <w:kinsoku/>
              <w:wordWrap/>
              <w:overflowPunct/>
              <w:topLinePunct w:val="0"/>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（6）评分标准相对应的商务技术资料（按商务技术评分细则的顺序提供评分标准中相对应的商务技术资料）；</w:t>
            </w:r>
          </w:p>
          <w:p w14:paraId="5D7D08E8">
            <w:pPr>
              <w:keepNext w:val="0"/>
              <w:keepLines w:val="0"/>
              <w:pageBreakBefore w:val="0"/>
              <w:widowControl w:val="0"/>
              <w:kinsoku/>
              <w:wordWrap/>
              <w:overflowPunct/>
              <w:topLinePunct w:val="0"/>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（7）招标文件标明的影响投标人资格的其他证明文件（如实质性响应条款、相关承诺、特别约定内容等）（如需要）；</w:t>
            </w:r>
          </w:p>
          <w:p w14:paraId="04043C93">
            <w:pPr>
              <w:keepNext w:val="0"/>
              <w:keepLines w:val="0"/>
              <w:pageBreakBefore w:val="0"/>
              <w:widowControl w:val="0"/>
              <w:kinsoku/>
              <w:wordWrap/>
              <w:overflowPunct/>
              <w:topLinePunct w:val="0"/>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（8）投标人需要说明的其他文件和说明（格式自拟）。</w:t>
            </w:r>
          </w:p>
          <w:p w14:paraId="0D33B62A">
            <w:pPr>
              <w:pStyle w:val="17"/>
              <w:pageBreakBefore w:val="0"/>
              <w:kinsoku/>
              <w:wordWrap/>
              <w:overflowPunct/>
              <w:topLinePunct w:val="0"/>
              <w:bidi w:val="0"/>
              <w:snapToGrid/>
              <w:spacing w:line="360" w:lineRule="auto"/>
              <w:rPr>
                <w:rFonts w:hint="eastAsia" w:ascii="仿宋" w:hAnsi="仿宋" w:eastAsia="仿宋" w:cs="仿宋"/>
                <w:b/>
                <w:color w:val="auto"/>
                <w:szCs w:val="24"/>
                <w:highlight w:val="none"/>
              </w:rPr>
            </w:pPr>
            <w:r>
              <w:rPr>
                <w:rFonts w:hint="eastAsia" w:ascii="仿宋" w:hAnsi="仿宋" w:eastAsia="仿宋" w:cs="宋体"/>
                <w:b/>
                <w:bCs/>
                <w:i w:val="0"/>
                <w:iCs w:val="0"/>
                <w:color w:val="auto"/>
                <w:sz w:val="24"/>
                <w:szCs w:val="24"/>
                <w:highlight w:val="none"/>
                <w:lang w:val="en-US" w:eastAsia="zh-CN"/>
              </w:rPr>
              <w:t>注：投标人需按上述要求（包含但不限于）提供相应材料，投标人在“商务技术文件”中应对招标文件作实质性响应，该项内容将作为评标重</w:t>
            </w:r>
            <w:r>
              <w:rPr>
                <w:rFonts w:hint="eastAsia" w:ascii="仿宋" w:hAnsi="仿宋" w:eastAsia="仿宋" w:cs="仿宋"/>
                <w:b/>
                <w:bCs/>
                <w:color w:val="auto"/>
                <w:sz w:val="24"/>
                <w:szCs w:val="24"/>
                <w:highlight w:val="none"/>
              </w:rPr>
              <w:t>要指标。</w:t>
            </w:r>
          </w:p>
        </w:tc>
      </w:tr>
      <w:tr w14:paraId="79097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A57C9F8">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F55EF20">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报价文件</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CE1774E">
            <w:pPr>
              <w:pageBreakBefore w:val="0"/>
              <w:tabs>
                <w:tab w:val="left" w:pos="3870"/>
                <w:tab w:val="left" w:pos="4085"/>
              </w:tabs>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（1）投标函（格式见第六章）； </w:t>
            </w:r>
          </w:p>
          <w:p w14:paraId="5C46262A">
            <w:pPr>
              <w:pageBreakBefore w:val="0"/>
              <w:tabs>
                <w:tab w:val="left" w:pos="3870"/>
                <w:tab w:val="left" w:pos="4085"/>
              </w:tabs>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（2）开标一览表（格式见第六章）；</w:t>
            </w:r>
          </w:p>
          <w:p w14:paraId="26ADFA40">
            <w:pPr>
              <w:pageBreakBefore w:val="0"/>
              <w:tabs>
                <w:tab w:val="left" w:pos="3870"/>
                <w:tab w:val="left" w:pos="4085"/>
              </w:tabs>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（3）投标承诺书（格式见第六章）；</w:t>
            </w:r>
          </w:p>
          <w:p w14:paraId="3749F5AF">
            <w:pPr>
              <w:pageBreakBefore w:val="0"/>
              <w:tabs>
                <w:tab w:val="left" w:pos="3870"/>
                <w:tab w:val="left" w:pos="4085"/>
              </w:tabs>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（4）投标人需要说明的其他文件和说明（格式自拟）。</w:t>
            </w:r>
          </w:p>
          <w:p w14:paraId="7B0529F4">
            <w:pPr>
              <w:pageBreakBefore w:val="0"/>
              <w:tabs>
                <w:tab w:val="left" w:pos="3870"/>
                <w:tab w:val="left" w:pos="4085"/>
              </w:tabs>
              <w:kinsoku/>
              <w:wordWrap/>
              <w:overflowPunct/>
              <w:topLinePunct w:val="0"/>
              <w:bidi w:val="0"/>
              <w:snapToGrid/>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注：投标函、开标一览表必须加盖单位公章。</w:t>
            </w:r>
          </w:p>
        </w:tc>
      </w:tr>
      <w:tr w14:paraId="24CA7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6758A22">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A6F9FC4">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现场演示</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200A627F">
            <w:pPr>
              <w:pageBreakBefore w:val="0"/>
              <w:tabs>
                <w:tab w:val="left" w:pos="3870"/>
                <w:tab w:val="left" w:pos="4085"/>
              </w:tabs>
              <w:kinsoku/>
              <w:wordWrap/>
              <w:overflowPunct/>
              <w:topLinePunct w:val="0"/>
              <w:bidi w:val="0"/>
              <w:snapToGrid/>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按招标文件相关要求执行。</w:t>
            </w:r>
          </w:p>
        </w:tc>
      </w:tr>
      <w:tr w14:paraId="19E48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812C6C9">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01DCE7B">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投标样品</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7B0A11D">
            <w:pPr>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按招标文件相关要求执行。</w:t>
            </w:r>
          </w:p>
        </w:tc>
      </w:tr>
      <w:tr w14:paraId="38579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DFA7A3">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F0A46AD">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投标有效期</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9EF63E0">
            <w:pPr>
              <w:pStyle w:val="17"/>
              <w:pageBreakBefore w:val="0"/>
              <w:kinsoku/>
              <w:wordWrap/>
              <w:overflowPunct/>
              <w:topLinePunct w:val="0"/>
              <w:bidi w:val="0"/>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自投标截止日起90天。如采购代理机构认为必要，可延长投标有效期。</w:t>
            </w:r>
          </w:p>
        </w:tc>
      </w:tr>
      <w:tr w14:paraId="46216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F3217DF">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49C43D2">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1C67EA05">
            <w:pPr>
              <w:pStyle w:val="17"/>
              <w:pageBreakBefore w:val="0"/>
              <w:kinsoku/>
              <w:wordWrap/>
              <w:overflowPunct/>
              <w:topLinePunct w:val="0"/>
              <w:bidi w:val="0"/>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 w:val="24"/>
                <w:highlight w:val="none"/>
              </w:rPr>
              <w:t>《中标通知书》</w:t>
            </w:r>
            <w:r>
              <w:rPr>
                <w:rFonts w:hint="eastAsia" w:ascii="仿宋" w:hAnsi="仿宋" w:eastAsia="仿宋" w:cs="仿宋"/>
                <w:color w:val="auto"/>
                <w:szCs w:val="24"/>
              </w:rPr>
              <w:t>发出后30日内。</w:t>
            </w:r>
          </w:p>
        </w:tc>
      </w:tr>
      <w:tr w14:paraId="2A5A2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979824">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529CB3A">
            <w:pPr>
              <w:pStyle w:val="17"/>
              <w:pageBreakBefore w:val="0"/>
              <w:kinsoku/>
              <w:wordWrap/>
              <w:overflowPunct/>
              <w:topLinePunct w:val="0"/>
              <w:bidi w:val="0"/>
              <w:snapToGrid/>
              <w:spacing w:line="360" w:lineRule="auto"/>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转包与分包</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4B33F8C3">
            <w:pPr>
              <w:pStyle w:val="17"/>
              <w:pageBreakBefore w:val="0"/>
              <w:kinsoku/>
              <w:wordWrap/>
              <w:overflowPunct/>
              <w:topLinePunct w:val="0"/>
              <w:bidi w:val="0"/>
              <w:snapToGrid/>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本项目不允许转包和分包。</w:t>
            </w:r>
          </w:p>
        </w:tc>
      </w:tr>
      <w:tr w14:paraId="248A7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1CCD1B9">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19</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5B456050">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履约保证金</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3302A52A">
            <w:pPr>
              <w:pStyle w:val="17"/>
              <w:pageBreakBefore w:val="0"/>
              <w:kinsoku/>
              <w:wordWrap/>
              <w:overflowPunct/>
              <w:topLinePunct w:val="0"/>
              <w:bidi w:val="0"/>
              <w:snapToGrid/>
              <w:spacing w:line="360" w:lineRule="auto"/>
              <w:rPr>
                <w:rFonts w:hint="eastAsia" w:ascii="仿宋" w:hAnsi="仿宋" w:eastAsia="仿宋" w:cs="仿宋"/>
                <w:color w:val="auto"/>
                <w:szCs w:val="24"/>
                <w:highlight w:val="none"/>
              </w:rPr>
            </w:pPr>
            <w:r>
              <w:rPr>
                <w:rFonts w:hint="default" w:ascii="仿宋" w:hAnsi="仿宋" w:eastAsia="仿宋" w:cs="仿宋"/>
                <w:color w:val="auto"/>
                <w:kern w:val="2"/>
                <w:sz w:val="24"/>
                <w:szCs w:val="24"/>
                <w:highlight w:val="none"/>
                <w:lang w:val="en-US" w:eastAsia="zh-CN" w:bidi="ar-SA"/>
              </w:rPr>
              <w:t>按招标文件相关要求执行。</w:t>
            </w:r>
          </w:p>
        </w:tc>
      </w:tr>
      <w:tr w14:paraId="3B8A9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7782C70">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8402E71">
            <w:pPr>
              <w:pStyle w:val="17"/>
              <w:pageBreakBefore w:val="0"/>
              <w:kinsoku/>
              <w:wordWrap/>
              <w:overflowPunct/>
              <w:topLinePunct w:val="0"/>
              <w:bidi w:val="0"/>
              <w:snapToGrid/>
              <w:spacing w:line="360" w:lineRule="auto"/>
              <w:jc w:val="center"/>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投标文件递交截止时间</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地点</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491CF6A">
            <w:pPr>
              <w:pageBreakBefore w:val="0"/>
              <w:kinsoku/>
              <w:wordWrap/>
              <w:overflowPunct/>
              <w:topLinePunct w:val="0"/>
              <w:bidi w:val="0"/>
              <w:snapToGrid/>
              <w:spacing w:line="360" w:lineRule="auto"/>
              <w:rPr>
                <w:rFonts w:hint="default" w:ascii="仿宋" w:hAnsi="仿宋" w:eastAsia="仿宋" w:cs="仿宋"/>
                <w:color w:val="auto"/>
                <w:kern w:val="2"/>
                <w:sz w:val="24"/>
                <w:szCs w:val="24"/>
                <w:highlight w:val="none"/>
                <w:lang w:val="en-US"/>
              </w:rPr>
            </w:pPr>
            <w:r>
              <w:rPr>
                <w:rFonts w:hint="eastAsia" w:ascii="仿宋" w:hAnsi="仿宋" w:eastAsia="仿宋" w:cs="仿宋"/>
                <w:color w:val="auto"/>
                <w:sz w:val="24"/>
                <w:szCs w:val="24"/>
                <w:highlight w:val="none"/>
                <w:lang w:val="en-US" w:eastAsia="zh-CN"/>
              </w:rPr>
              <w:t>详见招标公告</w:t>
            </w:r>
          </w:p>
        </w:tc>
      </w:tr>
      <w:tr w14:paraId="57E81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73FEB6F">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28564135">
            <w:pPr>
              <w:pStyle w:val="17"/>
              <w:pageBreakBefore w:val="0"/>
              <w:kinsoku/>
              <w:wordWrap/>
              <w:overflowPunct/>
              <w:topLinePunct w:val="0"/>
              <w:bidi w:val="0"/>
              <w:snapToGrid/>
              <w:spacing w:line="36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开标时间</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52E2E948">
            <w:pPr>
              <w:pageBreakBefore w:val="0"/>
              <w:kinsoku/>
              <w:wordWrap/>
              <w:overflowPunct/>
              <w:topLinePunct w:val="0"/>
              <w:bidi w:val="0"/>
              <w:snapToGrid/>
              <w:spacing w:line="360" w:lineRule="auto"/>
              <w:rPr>
                <w:rFonts w:hint="default" w:ascii="仿宋" w:hAnsi="仿宋" w:eastAsia="仿宋" w:cs="仿宋"/>
                <w:color w:val="auto"/>
                <w:kern w:val="2"/>
                <w:sz w:val="24"/>
                <w:szCs w:val="24"/>
                <w:highlight w:val="none"/>
                <w:lang w:val="en-US"/>
              </w:rPr>
            </w:pPr>
            <w:r>
              <w:rPr>
                <w:rFonts w:hint="eastAsia" w:ascii="仿宋" w:hAnsi="仿宋" w:eastAsia="仿宋" w:cs="仿宋"/>
                <w:color w:val="auto"/>
                <w:sz w:val="24"/>
                <w:szCs w:val="24"/>
                <w:highlight w:val="none"/>
                <w:lang w:val="en-US" w:eastAsia="zh-CN"/>
              </w:rPr>
              <w:t>详见招标公告</w:t>
            </w:r>
          </w:p>
        </w:tc>
      </w:tr>
      <w:tr w14:paraId="4DA11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48E9EFF">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67C76E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color w:val="auto"/>
                <w:szCs w:val="24"/>
                <w:highlight w:val="none"/>
              </w:rPr>
            </w:pPr>
            <w:r>
              <w:rPr>
                <w:rFonts w:hint="eastAsia" w:ascii="仿宋" w:hAnsi="仿宋" w:eastAsia="仿宋" w:cs="仿宋"/>
                <w:b/>
                <w:color w:val="auto"/>
                <w:sz w:val="24"/>
                <w:highlight w:val="none"/>
              </w:rPr>
              <w:t xml:space="preserve">备份投标文件送达地点 </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6E50E1B8">
            <w:pPr>
              <w:pStyle w:val="17"/>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b/>
                <w:color w:val="auto"/>
                <w:sz w:val="24"/>
                <w:szCs w:val="24"/>
                <w:highlight w:val="none"/>
                <w:lang w:eastAsia="zh-CN"/>
              </w:rPr>
              <w:t>浙江御达工程管理咨询有限公司</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邮箱（</w:t>
            </w:r>
            <w:r>
              <w:rPr>
                <w:rFonts w:hint="eastAsia" w:ascii="仿宋" w:hAnsi="仿宋" w:eastAsia="仿宋" w:cs="仿宋"/>
                <w:b/>
                <w:color w:val="auto"/>
                <w:sz w:val="24"/>
                <w:szCs w:val="24"/>
                <w:highlight w:val="none"/>
                <w:lang w:eastAsia="zh-CN"/>
              </w:rPr>
              <w:fldChar w:fldCharType="begin"/>
            </w:r>
            <w:r>
              <w:rPr>
                <w:rFonts w:hint="eastAsia" w:ascii="仿宋" w:hAnsi="仿宋" w:eastAsia="仿宋" w:cs="仿宋"/>
                <w:b/>
                <w:color w:val="auto"/>
                <w:sz w:val="24"/>
                <w:szCs w:val="24"/>
                <w:highlight w:val="none"/>
                <w:lang w:eastAsia="zh-CN"/>
              </w:rPr>
              <w:instrText xml:space="preserve"> HYPERLINK "mailto:zjztb001@aliyun.com" </w:instrText>
            </w:r>
            <w:r>
              <w:rPr>
                <w:rFonts w:hint="eastAsia" w:ascii="仿宋" w:hAnsi="仿宋" w:eastAsia="仿宋" w:cs="仿宋"/>
                <w:b/>
                <w:color w:val="auto"/>
                <w:sz w:val="24"/>
                <w:szCs w:val="24"/>
                <w:highlight w:val="none"/>
                <w:lang w:eastAsia="zh-CN"/>
              </w:rPr>
              <w:fldChar w:fldCharType="separate"/>
            </w:r>
            <w:r>
              <w:rPr>
                <w:rFonts w:hint="eastAsia" w:ascii="仿宋" w:hAnsi="仿宋" w:eastAsia="仿宋" w:cs="仿宋"/>
                <w:b/>
                <w:color w:val="auto"/>
                <w:sz w:val="24"/>
                <w:szCs w:val="24"/>
                <w:highlight w:val="none"/>
                <w:lang w:val="en-US" w:eastAsia="zh-CN"/>
              </w:rPr>
              <w:t>709325220</w:t>
            </w:r>
            <w:r>
              <w:rPr>
                <w:rFonts w:hint="eastAsia" w:ascii="仿宋" w:hAnsi="仿宋" w:eastAsia="仿宋" w:cs="仿宋"/>
                <w:b/>
                <w:color w:val="auto"/>
                <w:sz w:val="24"/>
                <w:szCs w:val="24"/>
                <w:highlight w:val="none"/>
                <w:lang w:eastAsia="zh-CN"/>
              </w:rPr>
              <w:t>@qq.com</w:t>
            </w:r>
            <w:r>
              <w:rPr>
                <w:rFonts w:hint="eastAsia" w:ascii="仿宋" w:hAnsi="仿宋" w:eastAsia="仿宋" w:cs="仿宋"/>
                <w:b/>
                <w:color w:val="auto"/>
                <w:sz w:val="24"/>
                <w:szCs w:val="24"/>
                <w:highlight w:val="none"/>
                <w:lang w:eastAsia="zh-CN"/>
              </w:rPr>
              <w:fldChar w:fldCharType="end"/>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w:t>
            </w:r>
          </w:p>
        </w:tc>
      </w:tr>
      <w:tr w14:paraId="70176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5EE6915">
            <w:pPr>
              <w:pStyle w:val="17"/>
              <w:pageBreakBefore w:val="0"/>
              <w:kinsoku/>
              <w:wordWrap/>
              <w:overflowPunct/>
              <w:topLinePunct w:val="0"/>
              <w:bidi w:val="0"/>
              <w:snapToGrid/>
              <w:spacing w:line="300" w:lineRule="auto"/>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3</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3C1DB92A">
            <w:pPr>
              <w:pStyle w:val="17"/>
              <w:pageBreakBefore w:val="0"/>
              <w:kinsoku/>
              <w:wordWrap/>
              <w:overflowPunct/>
              <w:topLinePunct w:val="0"/>
              <w:bidi w:val="0"/>
              <w:snapToGrid/>
              <w:spacing w:line="360" w:lineRule="auto"/>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其他</w:t>
            </w:r>
          </w:p>
        </w:tc>
        <w:tc>
          <w:tcPr>
            <w:tcW w:w="7589" w:type="dxa"/>
            <w:tcBorders>
              <w:top w:val="single" w:color="auto" w:sz="4" w:space="0"/>
              <w:left w:val="single" w:color="auto" w:sz="4" w:space="0"/>
              <w:bottom w:val="single" w:color="auto" w:sz="4" w:space="0"/>
              <w:right w:val="single" w:color="auto" w:sz="4" w:space="0"/>
            </w:tcBorders>
            <w:noWrap w:val="0"/>
            <w:vAlign w:val="center"/>
          </w:tcPr>
          <w:p w14:paraId="78CF6809">
            <w:pPr>
              <w:keepNext w:val="0"/>
              <w:keepLines w:val="0"/>
              <w:pageBreakBefore w:val="0"/>
              <w:widowControl w:val="0"/>
              <w:shd w:val="clear" w:color="auto" w:fill="auto"/>
              <w:kinsoku/>
              <w:wordWrap/>
              <w:overflowPunct/>
              <w:topLinePunct w:val="0"/>
              <w:autoSpaceDE/>
              <w:autoSpaceDN/>
              <w:bidi w:val="0"/>
              <w:snapToGrid w:val="0"/>
              <w:spacing w:line="288" w:lineRule="auto"/>
              <w:jc w:val="left"/>
              <w:textAlignment w:val="auto"/>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特别提醒：</w:t>
            </w:r>
          </w:p>
          <w:p w14:paraId="4CB776D5">
            <w:pPr>
              <w:keepNext w:val="0"/>
              <w:keepLines w:val="0"/>
              <w:pageBreakBefore w:val="0"/>
              <w:widowControl w:val="0"/>
              <w:shd w:val="clear" w:color="auto" w:fill="auto"/>
              <w:kinsoku/>
              <w:wordWrap/>
              <w:overflowPunct/>
              <w:topLinePunct w:val="0"/>
              <w:autoSpaceDE/>
              <w:autoSpaceDN/>
              <w:bidi w:val="0"/>
              <w:snapToGrid w:val="0"/>
              <w:spacing w:line="288" w:lineRule="auto"/>
              <w:jc w:val="left"/>
              <w:textAlignment w:val="auto"/>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1、本项目招标代理费由中标方支付，具体收费标准按诸国资办(2021)5号关于印发《诸暨市国有企业货物和服务采购管理办法》的通知文件执行，收费基数为合同总金额，按差额定率累进法计算:</w:t>
            </w:r>
          </w:p>
          <w:p w14:paraId="14EA9802">
            <w:pPr>
              <w:keepNext w:val="0"/>
              <w:keepLines w:val="0"/>
              <w:pageBreakBefore w:val="0"/>
              <w:widowControl w:val="0"/>
              <w:numPr>
                <w:ilvl w:val="0"/>
                <w:numId w:val="0"/>
              </w:numPr>
              <w:shd w:val="clear" w:color="auto" w:fill="auto"/>
              <w:kinsoku/>
              <w:wordWrap/>
              <w:overflowPunct/>
              <w:topLinePunct w:val="0"/>
              <w:autoSpaceDE/>
              <w:autoSpaceDN/>
              <w:bidi w:val="0"/>
              <w:snapToGrid w:val="0"/>
              <w:spacing w:line="288" w:lineRule="auto"/>
              <w:jc w:val="left"/>
              <w:textAlignment w:val="auto"/>
              <w:rPr>
                <w:rFonts w:hint="eastAsia" w:ascii="宋体" w:hAnsi="宋体" w:eastAsia="宋体" w:cs="宋体"/>
                <w:b/>
                <w:color w:val="auto"/>
                <w:sz w:val="24"/>
                <w:szCs w:val="24"/>
                <w:highlight w:val="none"/>
              </w:rPr>
            </w:pPr>
            <w:r>
              <w:rPr>
                <w:rFonts w:hint="eastAsia" w:ascii="仿宋" w:hAnsi="仿宋" w:eastAsia="仿宋" w:cs="仿宋"/>
                <w:b/>
                <w:color w:val="auto"/>
                <w:sz w:val="24"/>
                <w:szCs w:val="24"/>
                <w:highlight w:val="none"/>
                <w:lang w:val="en-US" w:eastAsia="zh-CN" w:bidi="ar-SA"/>
              </w:rPr>
              <w:t>不足3000按3000收取</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843"/>
              <w:gridCol w:w="1843"/>
              <w:gridCol w:w="1844"/>
            </w:tblGrid>
            <w:tr w14:paraId="1BEB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39F1C8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金额(万元)</w:t>
                  </w:r>
                </w:p>
              </w:tc>
              <w:tc>
                <w:tcPr>
                  <w:tcW w:w="1843" w:type="dxa"/>
                </w:tcPr>
                <w:p w14:paraId="2E21422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货物招标</w:t>
                  </w:r>
                </w:p>
              </w:tc>
              <w:tc>
                <w:tcPr>
                  <w:tcW w:w="1843" w:type="dxa"/>
                </w:tcPr>
                <w:p w14:paraId="73BAD76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服务招标</w:t>
                  </w:r>
                </w:p>
              </w:tc>
              <w:tc>
                <w:tcPr>
                  <w:tcW w:w="1844" w:type="dxa"/>
                </w:tcPr>
                <w:p w14:paraId="4301474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工程招标</w:t>
                  </w:r>
                </w:p>
              </w:tc>
            </w:tr>
            <w:tr w14:paraId="4352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4EEC8B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100 以下</w:t>
                  </w:r>
                </w:p>
              </w:tc>
              <w:tc>
                <w:tcPr>
                  <w:tcW w:w="1843" w:type="dxa"/>
                </w:tcPr>
                <w:p w14:paraId="1EC2D9F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1.5%</w:t>
                  </w:r>
                </w:p>
              </w:tc>
              <w:tc>
                <w:tcPr>
                  <w:tcW w:w="1843" w:type="dxa"/>
                </w:tcPr>
                <w:p w14:paraId="0B9D495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1.5%</w:t>
                  </w:r>
                </w:p>
              </w:tc>
              <w:tc>
                <w:tcPr>
                  <w:tcW w:w="1844" w:type="dxa"/>
                </w:tcPr>
                <w:p w14:paraId="30C7392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1.0%</w:t>
                  </w:r>
                </w:p>
              </w:tc>
            </w:tr>
            <w:tr w14:paraId="060B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FC1496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100-500</w:t>
                  </w:r>
                </w:p>
              </w:tc>
              <w:tc>
                <w:tcPr>
                  <w:tcW w:w="1843" w:type="dxa"/>
                </w:tcPr>
                <w:p w14:paraId="58B58AD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1.1%</w:t>
                  </w:r>
                </w:p>
              </w:tc>
              <w:tc>
                <w:tcPr>
                  <w:tcW w:w="1843" w:type="dxa"/>
                </w:tcPr>
                <w:p w14:paraId="3F2FF0C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0.8%</w:t>
                  </w:r>
                </w:p>
              </w:tc>
              <w:tc>
                <w:tcPr>
                  <w:tcW w:w="1844" w:type="dxa"/>
                </w:tcPr>
                <w:p w14:paraId="3192D47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0.7%</w:t>
                  </w:r>
                </w:p>
              </w:tc>
            </w:tr>
            <w:tr w14:paraId="5F50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7A8C5EB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500-1000</w:t>
                  </w:r>
                </w:p>
              </w:tc>
              <w:tc>
                <w:tcPr>
                  <w:tcW w:w="1843" w:type="dxa"/>
                </w:tcPr>
                <w:p w14:paraId="15E711B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0.8%</w:t>
                  </w:r>
                </w:p>
              </w:tc>
              <w:tc>
                <w:tcPr>
                  <w:tcW w:w="1843" w:type="dxa"/>
                </w:tcPr>
                <w:p w14:paraId="13DEE4C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0.45%</w:t>
                  </w:r>
                </w:p>
              </w:tc>
              <w:tc>
                <w:tcPr>
                  <w:tcW w:w="1844" w:type="dxa"/>
                </w:tcPr>
                <w:p w14:paraId="5D75815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0.55 %</w:t>
                  </w:r>
                </w:p>
              </w:tc>
            </w:tr>
            <w:tr w14:paraId="568F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12F592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1000-5000</w:t>
                  </w:r>
                </w:p>
              </w:tc>
              <w:tc>
                <w:tcPr>
                  <w:tcW w:w="1843" w:type="dxa"/>
                </w:tcPr>
                <w:p w14:paraId="282E4E4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0.5%</w:t>
                  </w:r>
                </w:p>
              </w:tc>
              <w:tc>
                <w:tcPr>
                  <w:tcW w:w="1843" w:type="dxa"/>
                </w:tcPr>
                <w:p w14:paraId="01971E2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0.25%</w:t>
                  </w:r>
                </w:p>
              </w:tc>
              <w:tc>
                <w:tcPr>
                  <w:tcW w:w="1844" w:type="dxa"/>
                </w:tcPr>
                <w:p w14:paraId="0835248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0.35%</w:t>
                  </w:r>
                </w:p>
              </w:tc>
            </w:tr>
            <w:tr w14:paraId="46E4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EDDC90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5000-10000</w:t>
                  </w:r>
                </w:p>
              </w:tc>
              <w:tc>
                <w:tcPr>
                  <w:tcW w:w="1843" w:type="dxa"/>
                </w:tcPr>
                <w:p w14:paraId="2D09C35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0.25%</w:t>
                  </w:r>
                </w:p>
              </w:tc>
              <w:tc>
                <w:tcPr>
                  <w:tcW w:w="1843" w:type="dxa"/>
                </w:tcPr>
                <w:p w14:paraId="40BE361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0.1%</w:t>
                  </w:r>
                </w:p>
              </w:tc>
              <w:tc>
                <w:tcPr>
                  <w:tcW w:w="1844" w:type="dxa"/>
                </w:tcPr>
                <w:p w14:paraId="047882C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0.2%</w:t>
                  </w:r>
                </w:p>
              </w:tc>
            </w:tr>
            <w:tr w14:paraId="7456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3DED63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10000--100000</w:t>
                  </w:r>
                </w:p>
              </w:tc>
              <w:tc>
                <w:tcPr>
                  <w:tcW w:w="1843" w:type="dxa"/>
                </w:tcPr>
                <w:p w14:paraId="550F392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0.05%</w:t>
                  </w:r>
                </w:p>
              </w:tc>
              <w:tc>
                <w:tcPr>
                  <w:tcW w:w="1843" w:type="dxa"/>
                </w:tcPr>
                <w:p w14:paraId="0D3E7D5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0.05%</w:t>
                  </w:r>
                </w:p>
              </w:tc>
              <w:tc>
                <w:tcPr>
                  <w:tcW w:w="1844" w:type="dxa"/>
                </w:tcPr>
                <w:p w14:paraId="31877DB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0.05%</w:t>
                  </w:r>
                </w:p>
              </w:tc>
            </w:tr>
            <w:tr w14:paraId="506D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0D024E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1000000 以上</w:t>
                  </w:r>
                </w:p>
              </w:tc>
              <w:tc>
                <w:tcPr>
                  <w:tcW w:w="1843" w:type="dxa"/>
                </w:tcPr>
                <w:p w14:paraId="7366924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0.01%</w:t>
                  </w:r>
                </w:p>
              </w:tc>
              <w:tc>
                <w:tcPr>
                  <w:tcW w:w="1843" w:type="dxa"/>
                </w:tcPr>
                <w:p w14:paraId="41BC943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0.01%</w:t>
                  </w:r>
                </w:p>
              </w:tc>
              <w:tc>
                <w:tcPr>
                  <w:tcW w:w="1844" w:type="dxa"/>
                </w:tcPr>
                <w:p w14:paraId="2F63715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color w:val="auto"/>
                      <w:sz w:val="24"/>
                      <w:szCs w:val="24"/>
                      <w:highlight w:val="none"/>
                      <w:vertAlign w:val="baseline"/>
                    </w:rPr>
                  </w:pPr>
                  <w:r>
                    <w:rPr>
                      <w:rFonts w:hint="eastAsia"/>
                      <w:color w:val="auto"/>
                    </w:rPr>
                    <w:t>0.01%</w:t>
                  </w:r>
                </w:p>
              </w:tc>
            </w:tr>
          </w:tbl>
          <w:p w14:paraId="48491647">
            <w:pPr>
              <w:keepNext w:val="0"/>
              <w:keepLines w:val="0"/>
              <w:pageBreakBefore w:val="0"/>
              <w:widowControl w:val="0"/>
              <w:shd w:val="clear" w:color="auto" w:fill="auto"/>
              <w:kinsoku/>
              <w:wordWrap/>
              <w:overflowPunct/>
              <w:topLinePunct w:val="0"/>
              <w:autoSpaceDE/>
              <w:autoSpaceDN/>
              <w:bidi w:val="0"/>
              <w:snapToGrid w:val="0"/>
              <w:spacing w:line="288" w:lineRule="auto"/>
              <w:jc w:val="left"/>
              <w:textAlignment w:val="auto"/>
              <w:rPr>
                <w:rFonts w:hint="eastAsia"/>
                <w:color w:val="auto"/>
                <w:lang w:val="en-US" w:eastAsia="zh-CN"/>
              </w:rPr>
            </w:pPr>
            <w:r>
              <w:rPr>
                <w:rFonts w:hint="eastAsia" w:ascii="仿宋" w:hAnsi="仿宋" w:eastAsia="仿宋" w:cs="仿宋"/>
                <w:b/>
                <w:color w:val="auto"/>
                <w:sz w:val="24"/>
                <w:szCs w:val="24"/>
                <w:highlight w:val="none"/>
                <w:lang w:val="en-US" w:eastAsia="zh-CN" w:bidi="ar-SA"/>
              </w:rPr>
              <w:t>2、以上费用在领取中标通知书前付清。</w:t>
            </w:r>
          </w:p>
          <w:p w14:paraId="3A908B5B">
            <w:pPr>
              <w:pageBreakBefore w:val="0"/>
              <w:numPr>
                <w:ilvl w:val="0"/>
                <w:numId w:val="0"/>
              </w:numPr>
              <w:kinsoku/>
              <w:wordWrap/>
              <w:overflowPunct/>
              <w:topLinePunct w:val="0"/>
              <w:bidi w:val="0"/>
              <w:snapToGrid/>
              <w:spacing w:line="360" w:lineRule="auto"/>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3、代理费缴纳账户：浙江御达工程管理咨询有限公司，</w:t>
            </w:r>
          </w:p>
          <w:p w14:paraId="5BE3D5FA">
            <w:pPr>
              <w:pageBreakBefore w:val="0"/>
              <w:numPr>
                <w:ilvl w:val="0"/>
                <w:numId w:val="0"/>
              </w:numPr>
              <w:kinsoku/>
              <w:wordWrap/>
              <w:overflowPunct/>
              <w:topLinePunct w:val="0"/>
              <w:bidi w:val="0"/>
              <w:snapToGrid/>
              <w:spacing w:line="360" w:lineRule="auto"/>
              <w:ind w:firstLine="1446" w:firstLineChars="600"/>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开户行：中国建设银行股份有限公司诸暨江东支行，</w:t>
            </w:r>
          </w:p>
          <w:p w14:paraId="50FE890A">
            <w:pPr>
              <w:pageBreakBefore w:val="0"/>
              <w:numPr>
                <w:ilvl w:val="0"/>
                <w:numId w:val="0"/>
              </w:numPr>
              <w:kinsoku/>
              <w:wordWrap/>
              <w:overflowPunct/>
              <w:topLinePunct w:val="0"/>
              <w:bidi w:val="0"/>
              <w:snapToGrid/>
              <w:spacing w:line="360" w:lineRule="auto"/>
              <w:ind w:firstLine="1687" w:firstLineChars="7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bidi="ar-SA"/>
              </w:rPr>
              <w:t>账号：33050165635400000557。</w:t>
            </w:r>
          </w:p>
        </w:tc>
      </w:tr>
    </w:tbl>
    <w:p w14:paraId="2A72A7A8">
      <w:pPr>
        <w:pStyle w:val="5"/>
        <w:pageBreakBefore w:val="0"/>
        <w:widowControl w:val="0"/>
        <w:kinsoku/>
        <w:wordWrap/>
        <w:overflowPunct/>
        <w:topLinePunct w:val="0"/>
        <w:bidi w:val="0"/>
        <w:snapToGrid/>
        <w:spacing w:before="0" w:beforeLines="0" w:after="0" w:afterLines="0" w:line="264" w:lineRule="auto"/>
        <w:jc w:val="both"/>
        <w:textAlignment w:val="auto"/>
        <w:rPr>
          <w:rFonts w:hint="eastAsia" w:ascii="仿宋" w:hAnsi="仿宋" w:eastAsia="仿宋" w:cs="仿宋"/>
          <w:color w:val="auto"/>
          <w:sz w:val="28"/>
          <w:szCs w:val="28"/>
          <w:highlight w:val="none"/>
        </w:rPr>
      </w:pPr>
    </w:p>
    <w:p w14:paraId="425D8C9B">
      <w:pPr>
        <w:rPr>
          <w:rFonts w:hint="eastAsia" w:ascii="仿宋" w:hAnsi="仿宋" w:eastAsia="仿宋" w:cs="仿宋"/>
          <w:color w:val="auto"/>
          <w:sz w:val="28"/>
          <w:szCs w:val="28"/>
          <w:highlight w:val="none"/>
        </w:rPr>
      </w:pPr>
    </w:p>
    <w:p w14:paraId="1B28DD2D">
      <w:pPr>
        <w:pStyle w:val="5"/>
        <w:pageBreakBefore w:val="0"/>
        <w:widowControl w:val="0"/>
        <w:kinsoku/>
        <w:wordWrap/>
        <w:overflowPunct/>
        <w:topLinePunct w:val="0"/>
        <w:bidi w:val="0"/>
        <w:snapToGrid/>
        <w:spacing w:before="0" w:beforeLines="0" w:after="0" w:afterLines="0" w:line="264" w:lineRule="auto"/>
        <w:jc w:val="both"/>
        <w:textAlignment w:val="auto"/>
        <w:rPr>
          <w:rFonts w:hint="eastAsia" w:ascii="仿宋" w:hAnsi="仿宋" w:eastAsia="仿宋" w:cs="仿宋"/>
          <w:color w:val="auto"/>
          <w:sz w:val="28"/>
          <w:szCs w:val="28"/>
          <w:highlight w:val="none"/>
        </w:rPr>
      </w:pPr>
    </w:p>
    <w:p w14:paraId="259EE214">
      <w:pPr>
        <w:rPr>
          <w:rFonts w:hint="eastAsia" w:ascii="仿宋" w:hAnsi="仿宋" w:eastAsia="仿宋" w:cs="仿宋"/>
          <w:color w:val="auto"/>
          <w:sz w:val="28"/>
          <w:szCs w:val="28"/>
          <w:highlight w:val="none"/>
        </w:rPr>
      </w:pPr>
    </w:p>
    <w:p w14:paraId="252FBC5A">
      <w:pPr>
        <w:pStyle w:val="48"/>
        <w:rPr>
          <w:rFonts w:hint="eastAsia"/>
          <w:color w:val="auto"/>
        </w:rPr>
      </w:pPr>
    </w:p>
    <w:p w14:paraId="12AD77D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1B3CA91">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   则</w:t>
      </w:r>
      <w:bookmarkEnd w:id="20"/>
    </w:p>
    <w:p w14:paraId="0AB4DEAC">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适用范围</w:t>
      </w:r>
    </w:p>
    <w:p w14:paraId="5E0E469D">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本招标文件适用于本次所述项目的招标。</w:t>
      </w:r>
    </w:p>
    <w:p w14:paraId="57E40D10">
      <w:pPr>
        <w:pageBreakBefore w:val="0"/>
        <w:widowControl w:val="0"/>
        <w:kinsoku/>
        <w:wordWrap/>
        <w:overflowPunct/>
        <w:topLinePunct w:val="0"/>
        <w:bidi w:val="0"/>
        <w:snapToGrid/>
        <w:spacing w:line="36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39F46F2">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2.1“采购人”系指组织本次招标的采购单位。</w:t>
      </w:r>
    </w:p>
    <w:p w14:paraId="193E902C">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w:t>
      </w:r>
      <w:r>
        <w:rPr>
          <w:rFonts w:hint="eastAsia" w:ascii="仿宋" w:hAnsi="仿宋" w:eastAsia="仿宋" w:cs="仿宋"/>
          <w:color w:val="auto"/>
          <w:sz w:val="24"/>
          <w:highlight w:val="none"/>
          <w:lang w:eastAsia="zh-CN"/>
        </w:rPr>
        <w:t>浙江御达工程管理咨询有限公司</w:t>
      </w:r>
      <w:r>
        <w:rPr>
          <w:rFonts w:hint="eastAsia" w:ascii="仿宋" w:hAnsi="仿宋" w:eastAsia="仿宋" w:cs="仿宋"/>
          <w:color w:val="auto"/>
          <w:sz w:val="24"/>
          <w:highlight w:val="none"/>
        </w:rPr>
        <w:t>。</w:t>
      </w:r>
    </w:p>
    <w:p w14:paraId="1775DA0C">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2.3“投标人”系指向采购人和采购代理机构提交投标文件的供应商。</w:t>
      </w:r>
    </w:p>
    <w:p w14:paraId="6CB9525A">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2.4“货物”系指供方按招标文件规定，须向采购人提供的一切设备、保险、税 金、备品备件、工具、手册及其它有关技术资料和材料。</w:t>
      </w:r>
    </w:p>
    <w:p w14:paraId="00AC0818">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2.5“服务”系指招标文件规定投标人须承担的安装、调试、技术协助、校准、培训、技术指导以及其他类似的义务。</w:t>
      </w:r>
    </w:p>
    <w:p w14:paraId="4FE96375">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2.6“项目”系指投标人按招标文件规定向采购人提供的货物和服务。</w:t>
      </w:r>
    </w:p>
    <w:p w14:paraId="164ECC9D">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2.7“书面形式”包括信函、传真、电报等。</w:t>
      </w:r>
    </w:p>
    <w:p w14:paraId="449A2648">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2.8本招标文件所述设备品牌、型号是结合实际现有情况的推荐性参考方案，投标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也可根据招标文件</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36C6FF78">
      <w:pPr>
        <w:pageBreakBefore w:val="0"/>
        <w:widowControl w:val="0"/>
        <w:kinsoku/>
        <w:wordWrap/>
        <w:overflowPunct/>
        <w:topLinePunct w:val="0"/>
        <w:bidi w:val="0"/>
        <w:snapToGrid/>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3.采购方式</w:t>
      </w:r>
    </w:p>
    <w:p w14:paraId="287A6A58">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本次采购采用公开招标方式进行。</w:t>
      </w:r>
    </w:p>
    <w:p w14:paraId="6C62B291">
      <w:pPr>
        <w:pageBreakBefore w:val="0"/>
        <w:widowControl w:val="0"/>
        <w:kinsoku/>
        <w:wordWrap/>
        <w:overflowPunct/>
        <w:topLinePunct w:val="0"/>
        <w:bidi w:val="0"/>
        <w:snapToGrid/>
        <w:spacing w:line="36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4.投标人及投标委托有关说明</w:t>
      </w:r>
    </w:p>
    <w:p w14:paraId="651BDB18">
      <w:pPr>
        <w:pageBreakBefore w:val="0"/>
        <w:widowControl w:val="0"/>
        <w:kinsoku/>
        <w:wordWrap/>
        <w:overflowPunct/>
        <w:topLinePunct w:val="0"/>
        <w:bidi w:val="0"/>
        <w:snapToGrid w:val="0"/>
        <w:spacing w:line="360" w:lineRule="auto"/>
        <w:ind w:firstLine="482" w:firstLineChars="200"/>
        <w:jc w:val="left"/>
        <w:textAlignment w:val="auto"/>
        <w:outlineLvl w:val="1"/>
        <w:rPr>
          <w:rFonts w:hint="eastAsia" w:ascii="仿宋" w:hAnsi="仿宋" w:eastAsia="仿宋" w:cs="仿宋"/>
          <w:color w:val="auto"/>
          <w:sz w:val="24"/>
          <w:highlight w:val="none"/>
        </w:rPr>
      </w:pPr>
      <w:r>
        <w:rPr>
          <w:rFonts w:hint="eastAsia" w:ascii="仿宋" w:hAnsi="仿宋" w:eastAsia="仿宋" w:cs="仿宋"/>
          <w:b/>
          <w:bCs w:val="0"/>
          <w:color w:val="auto"/>
          <w:sz w:val="24"/>
          <w:highlight w:val="none"/>
        </w:rPr>
        <w:t>4.1授权委托人需提供授权委托书及双方身份证复印件。法定代表人只需提供身份证复印件。</w:t>
      </w:r>
    </w:p>
    <w:p w14:paraId="53FF21BB">
      <w:pPr>
        <w:pageBreakBefore w:val="0"/>
        <w:widowControl w:val="0"/>
        <w:kinsoku/>
        <w:wordWrap/>
        <w:overflowPunct/>
        <w:topLinePunct w:val="0"/>
        <w:bidi w:val="0"/>
        <w:snapToGrid/>
        <w:spacing w:line="360" w:lineRule="auto"/>
        <w:ind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5.投标费用</w:t>
      </w:r>
    </w:p>
    <w:p w14:paraId="3F608EC0">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投标人应自行承担获得招标文件和编制、提交投标文件所涉及的一切费用。不论投标结果如何，投标人均应自行承担所有与投标有关的全部费用。对中标人收取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代理服务费。</w:t>
      </w:r>
    </w:p>
    <w:p w14:paraId="5167EC04">
      <w:pPr>
        <w:pageBreakBefore w:val="0"/>
        <w:widowControl w:val="0"/>
        <w:kinsoku/>
        <w:wordWrap/>
        <w:overflowPunct/>
        <w:topLinePunct w:val="0"/>
        <w:bidi w:val="0"/>
        <w:snapToGrid/>
        <w:spacing w:line="36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6.特别说明：</w:t>
      </w:r>
    </w:p>
    <w:p w14:paraId="4A108C1F">
      <w:pPr>
        <w:pStyle w:val="17"/>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6.1投标人应仔细阅读招标文件的所有内容，按照招标文件的要求提交投标文件，并对所提供的全部资料的真实性承担法律责任。</w:t>
      </w:r>
    </w:p>
    <w:p w14:paraId="3B22E777">
      <w:pPr>
        <w:pStyle w:val="17"/>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AC15F24">
      <w:pPr>
        <w:pStyle w:val="17"/>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0F1A642">
      <w:pPr>
        <w:pStyle w:val="17"/>
        <w:pageBreakBefore w:val="0"/>
        <w:widowControl w:val="0"/>
        <w:kinsoku/>
        <w:wordWrap/>
        <w:overflowPunct/>
        <w:topLinePunct w:val="0"/>
        <w:bidi w:val="0"/>
        <w:snapToGrid/>
        <w:spacing w:line="36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6.4供应商在</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项目投标过程中应诚实守信，不弄虚作假，不隐瞒真实情况，不围标串标，不恶意质疑投诉。如违反上述要求，经核实后，供应商的投标将作废，将该供应商列入不良记录名单并在网上曝光，同时提请</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监督管理部门给予一定年限内禁止参加</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活动的处罚或其他处罚。</w:t>
      </w:r>
    </w:p>
    <w:p w14:paraId="4B21EA3A">
      <w:pPr>
        <w:pStyle w:val="17"/>
        <w:pageBreakBefore w:val="0"/>
        <w:widowControl w:val="0"/>
        <w:kinsoku/>
        <w:wordWrap/>
        <w:overflowPunct/>
        <w:topLinePunct w:val="0"/>
        <w:bidi w:val="0"/>
        <w:snapToGrid/>
        <w:spacing w:line="36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6.5本项目涉及采购货物必须是全新、未使用过的原装合格正品（包括零部件），如安装或配置了软件的，须为正版软件。</w:t>
      </w:r>
    </w:p>
    <w:p w14:paraId="4369186C">
      <w:pPr>
        <w:pStyle w:val="17"/>
        <w:pageBreakBefore w:val="0"/>
        <w:widowControl w:val="0"/>
        <w:kinsoku/>
        <w:wordWrap/>
        <w:overflowPunct/>
        <w:topLinePunct w:val="0"/>
        <w:bidi w:val="0"/>
        <w:snapToGrid/>
        <w:spacing w:line="36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6.6国产的货物及其有关服务必须符合中华人民共和国的设计和制造生产标准或行业标准。招标公告有其他要求的，亦应符合其要求。</w:t>
      </w:r>
    </w:p>
    <w:p w14:paraId="41199FA7">
      <w:pPr>
        <w:pStyle w:val="17"/>
        <w:pageBreakBefore w:val="0"/>
        <w:widowControl w:val="0"/>
        <w:kinsoku/>
        <w:wordWrap/>
        <w:overflowPunct/>
        <w:topLinePunct w:val="0"/>
        <w:bidi w:val="0"/>
        <w:snapToGrid/>
        <w:spacing w:line="36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F4A3762">
      <w:pPr>
        <w:pageBreakBefore w:val="0"/>
        <w:widowControl w:val="0"/>
        <w:kinsoku/>
        <w:wordWrap/>
        <w:overflowPunct/>
        <w:topLinePunct w:val="0"/>
        <w:bidi w:val="0"/>
        <w:snapToGrid/>
        <w:spacing w:line="36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7.质疑和投诉</w:t>
      </w:r>
    </w:p>
    <w:p w14:paraId="6B7EEF14">
      <w:pPr>
        <w:pStyle w:val="17"/>
        <w:pageBreakBefore w:val="0"/>
        <w:widowControl w:val="0"/>
        <w:kinsoku/>
        <w:wordWrap/>
        <w:overflowPunct/>
        <w:topLinePunct w:val="0"/>
        <w:bidi w:val="0"/>
        <w:snapToGrid/>
        <w:spacing w:line="360" w:lineRule="auto"/>
        <w:ind w:left="1"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7.1投标人认为招标文件、招标过程和中标结果使自己的合法权益受到损害的，应当在知道或者</w:t>
      </w:r>
      <w:r>
        <w:rPr>
          <w:rFonts w:hint="eastAsia" w:ascii="仿宋" w:hAnsi="仿宋" w:eastAsia="仿宋" w:cs="仿宋"/>
          <w:color w:val="auto"/>
          <w:highlight w:val="none"/>
        </w:rPr>
        <w:t>应知其权益受到损害之日起七个工作日内，以书面形式向采购人、采购代理机构提出质疑。投标人对采购人的质疑答复不满意或者采购人未在规定时间内作出答复的，可以在答复期满后十五个工作日内向采购监管部门投诉。逾期提出的，采购代理机构不予受理、答复。</w:t>
      </w:r>
    </w:p>
    <w:p w14:paraId="2F1AC4D3">
      <w:pPr>
        <w:pStyle w:val="17"/>
        <w:pageBreakBefore w:val="0"/>
        <w:widowControl w:val="0"/>
        <w:kinsoku/>
        <w:wordWrap/>
        <w:overflowPunct/>
        <w:topLinePunct w:val="0"/>
        <w:bidi w:val="0"/>
        <w:snapToGrid/>
        <w:spacing w:line="360" w:lineRule="auto"/>
        <w:ind w:left="1"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color w:val="auto"/>
          <w:highlight w:val="none"/>
        </w:rPr>
        <w:t>其来源或线索，便于有关单位调查、答复和处理。</w:t>
      </w:r>
    </w:p>
    <w:p w14:paraId="14127071">
      <w:pPr>
        <w:pStyle w:val="17"/>
        <w:pageBreakBefore w:val="0"/>
        <w:widowControl w:val="0"/>
        <w:kinsoku/>
        <w:wordWrap/>
        <w:overflowPunct/>
        <w:topLinePunct w:val="0"/>
        <w:bidi w:val="0"/>
        <w:snapToGrid/>
        <w:spacing w:line="360" w:lineRule="auto"/>
        <w:ind w:left="1"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7.3</w:t>
      </w:r>
      <w:r>
        <w:rPr>
          <w:rFonts w:hint="eastAsia" w:ascii="仿宋" w:hAnsi="仿宋" w:eastAsia="仿宋" w:cs="仿宋"/>
          <w:color w:val="auto"/>
          <w:szCs w:val="24"/>
          <w:highlight w:val="none"/>
        </w:rPr>
        <w:t>采购代理机构与采购人研究后，对认为有必要回答的问题，采购人和采购代理机构将补充（更正）以网上发布公告的形式通知所有投标人，补充（更正）是招标文件的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w:t>
      </w:r>
    </w:p>
    <w:p w14:paraId="35CC1A74">
      <w:pPr>
        <w:pStyle w:val="17"/>
        <w:pageBreakBefore w:val="0"/>
        <w:widowControl w:val="0"/>
        <w:kinsoku/>
        <w:wordWrap/>
        <w:overflowPunct/>
        <w:topLinePunct w:val="0"/>
        <w:bidi w:val="0"/>
        <w:snapToGrid/>
        <w:spacing w:line="360" w:lineRule="auto"/>
        <w:ind w:left="1"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7.4</w:t>
      </w:r>
      <w:r>
        <w:rPr>
          <w:rFonts w:hint="eastAsia" w:ascii="仿宋" w:hAnsi="仿宋" w:eastAsia="仿宋" w:cs="仿宋"/>
          <w:b/>
          <w:color w:val="auto"/>
          <w:highlight w:val="none"/>
          <w:u w:val="single"/>
        </w:rPr>
        <w:t>质疑供应商在收到该更正（补充）公告后应于1日内，以书面或传真形式（签署意见并加盖公章）向采购代理机构回函给予确认。过期未回复的，视为默认接受。</w:t>
      </w:r>
    </w:p>
    <w:p w14:paraId="1BCE0BB5">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8"/>
          <w:szCs w:val="28"/>
          <w:highlight w:val="none"/>
        </w:rPr>
      </w:pPr>
      <w:bookmarkStart w:id="21" w:name="_Toc125344504"/>
      <w:r>
        <w:rPr>
          <w:rFonts w:hint="eastAsia" w:ascii="仿宋" w:hAnsi="仿宋" w:eastAsia="仿宋" w:cs="仿宋"/>
          <w:color w:val="auto"/>
          <w:sz w:val="28"/>
          <w:szCs w:val="28"/>
          <w:highlight w:val="none"/>
        </w:rPr>
        <w:t>二、招标文件</w:t>
      </w:r>
      <w:bookmarkEnd w:id="21"/>
    </w:p>
    <w:p w14:paraId="41339FE7">
      <w:pPr>
        <w:pageBreakBefore w:val="0"/>
        <w:widowControl w:val="0"/>
        <w:kinsoku/>
        <w:wordWrap/>
        <w:overflowPunct/>
        <w:topLinePunct w:val="0"/>
        <w:bidi w:val="0"/>
        <w:snapToGrid/>
        <w:spacing w:line="360" w:lineRule="auto"/>
        <w:ind w:firstLine="354" w:firstLineChars="147"/>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8.招标文件的构成。</w:t>
      </w:r>
    </w:p>
    <w:p w14:paraId="16E75E03">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本招标文件由以下</w:t>
      </w:r>
      <w:r>
        <w:rPr>
          <w:rFonts w:hint="eastAsia" w:ascii="仿宋" w:hAnsi="仿宋" w:eastAsia="仿宋" w:cs="仿宋"/>
          <w:color w:val="auto"/>
          <w:sz w:val="24"/>
          <w:highlight w:val="none"/>
          <w:lang w:eastAsia="zh-CN"/>
        </w:rPr>
        <w:t>部分</w:t>
      </w:r>
      <w:r>
        <w:rPr>
          <w:rFonts w:hint="eastAsia" w:ascii="仿宋" w:hAnsi="仿宋" w:eastAsia="仿宋" w:cs="仿宋"/>
          <w:color w:val="auto"/>
          <w:sz w:val="24"/>
          <w:highlight w:val="none"/>
        </w:rPr>
        <w:t>组成：</w:t>
      </w:r>
    </w:p>
    <w:p w14:paraId="570C6AFF">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8.1招标公告；</w:t>
      </w:r>
    </w:p>
    <w:p w14:paraId="1C751F98">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8.2投标须知；</w:t>
      </w:r>
    </w:p>
    <w:p w14:paraId="2B7BB266">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8.3评标办法及评分标准；</w:t>
      </w:r>
    </w:p>
    <w:p w14:paraId="3C049661">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8.4采购需求；</w:t>
      </w:r>
    </w:p>
    <w:p w14:paraId="3B4A1CB6">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8.5应提交的有关格式范例；</w:t>
      </w:r>
    </w:p>
    <w:p w14:paraId="075A9F00">
      <w:pPr>
        <w:pageBreakBefore w:val="0"/>
        <w:widowControl w:val="0"/>
        <w:kinsoku/>
        <w:wordWrap/>
        <w:overflowPunct/>
        <w:topLinePunct w:val="0"/>
        <w:bidi w:val="0"/>
        <w:snapToGrid/>
        <w:spacing w:line="36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9.投标人的风险</w:t>
      </w:r>
    </w:p>
    <w:p w14:paraId="428CA332">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6CC9D284">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59777DCC">
      <w:pPr>
        <w:pageBreakBefore w:val="0"/>
        <w:widowControl w:val="0"/>
        <w:kinsoku/>
        <w:wordWrap/>
        <w:overflowPunct/>
        <w:topLinePunct w:val="0"/>
        <w:bidi w:val="0"/>
        <w:snapToGrid/>
        <w:spacing w:line="36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10.招标文件的澄清与修改 </w:t>
      </w:r>
    </w:p>
    <w:p w14:paraId="6565C867">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10.1</w:t>
      </w:r>
      <w:r>
        <w:rPr>
          <w:rFonts w:hint="eastAsia" w:ascii="仿宋" w:hAnsi="仿宋" w:eastAsia="仿宋" w:cs="仿宋"/>
          <w:bCs/>
          <w:color w:val="auto"/>
          <w:highlight w:val="none"/>
        </w:rPr>
        <w:t>投标人下载招标文件后，应认真阅读本招标文件的所有内容，发现其中有误或有不合理要求的，投标人必须按前附表规定的时间前以书面形式要求采购人澄清</w:t>
      </w:r>
      <w:r>
        <w:rPr>
          <w:rFonts w:hint="eastAsia" w:ascii="仿宋" w:hAnsi="仿宋" w:eastAsia="仿宋" w:cs="仿宋"/>
          <w:color w:val="auto"/>
          <w:highlight w:val="none"/>
        </w:rPr>
        <w:t>。逾期提出的，采购人将不予受理。</w:t>
      </w:r>
      <w:r>
        <w:rPr>
          <w:rFonts w:hint="eastAsia" w:ascii="仿宋" w:hAnsi="仿宋" w:eastAsia="仿宋" w:cs="仿宋"/>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。投标人可以通过</w:t>
      </w:r>
      <w:r>
        <w:rPr>
          <w:rFonts w:hint="eastAsia" w:ascii="仿宋" w:hAnsi="仿宋" w:eastAsia="仿宋" w:cs="仿宋"/>
          <w:color w:val="auto"/>
          <w:kern w:val="2"/>
          <w:sz w:val="24"/>
          <w:szCs w:val="24"/>
          <w:lang w:val="en-US" w:eastAsia="zh-CN" w:bidi="ar-SA"/>
        </w:rPr>
        <w:t>乐采云平台</w:t>
      </w:r>
      <w:r>
        <w:rPr>
          <w:rFonts w:hint="eastAsia" w:ascii="仿宋" w:hAnsi="仿宋" w:eastAsia="仿宋" w:cs="仿宋"/>
          <w:color w:val="auto"/>
          <w:szCs w:val="24"/>
          <w:highlight w:val="none"/>
        </w:rPr>
        <w:t>自行下载，以确认已阅知该澄清或修改内容，否则，由此导致的风险由投标人自行承担，采购人不承担任何责任。</w:t>
      </w:r>
    </w:p>
    <w:p w14:paraId="7865776C">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10.2</w:t>
      </w:r>
      <w:r>
        <w:rPr>
          <w:rFonts w:hint="eastAsia" w:ascii="仿宋" w:hAnsi="仿宋" w:eastAsia="仿宋" w:cs="仿宋"/>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641ECD0D">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1A370366">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10.4为使投标人在编制投标文件时，把补充公告内容进行研究，采购代理机构可以酌情推迟递交投标文件的截止时间。</w:t>
      </w:r>
    </w:p>
    <w:p w14:paraId="62CD00C1">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10.5投标人一旦参与本次招标活动，即被视为接受了本招标文件的所有内容，如有任何异议，均须在答疑截止时间前提出。</w:t>
      </w:r>
    </w:p>
    <w:p w14:paraId="0B71CC9E">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8"/>
          <w:szCs w:val="28"/>
          <w:highlight w:val="none"/>
        </w:rPr>
      </w:pPr>
      <w:bookmarkStart w:id="22" w:name="_Toc125344505"/>
      <w:r>
        <w:rPr>
          <w:rFonts w:hint="eastAsia" w:ascii="仿宋" w:hAnsi="仿宋" w:eastAsia="仿宋" w:cs="仿宋"/>
          <w:color w:val="auto"/>
          <w:sz w:val="28"/>
          <w:szCs w:val="28"/>
          <w:highlight w:val="none"/>
        </w:rPr>
        <w:t>三、投标文件编制</w:t>
      </w:r>
      <w:bookmarkEnd w:id="22"/>
      <w:r>
        <w:rPr>
          <w:rFonts w:hint="eastAsia" w:ascii="仿宋" w:hAnsi="仿宋" w:eastAsia="仿宋" w:cs="仿宋"/>
          <w:color w:val="auto"/>
          <w:sz w:val="28"/>
          <w:szCs w:val="28"/>
          <w:highlight w:val="none"/>
        </w:rPr>
        <w:t>和提交</w:t>
      </w:r>
    </w:p>
    <w:p w14:paraId="06DEA246">
      <w:pPr>
        <w:pageBreakBefore w:val="0"/>
        <w:widowControl w:val="0"/>
        <w:kinsoku/>
        <w:wordWrap/>
        <w:overflowPunct/>
        <w:topLinePunct w:val="0"/>
        <w:bidi w:val="0"/>
        <w:snapToGrid/>
        <w:spacing w:line="36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11.投标文件的组成</w:t>
      </w:r>
    </w:p>
    <w:p w14:paraId="3FD76660">
      <w:pPr>
        <w:pageBreakBefore w:val="0"/>
        <w:widowControl w:val="0"/>
        <w:kinsoku/>
        <w:wordWrap/>
        <w:overflowPunct/>
        <w:topLinePunct w:val="0"/>
        <w:bidi w:val="0"/>
        <w:snapToGrid/>
        <w:spacing w:line="36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投标文件由资格文件、商务技术文件、报价文件三部分组成。详见前附表。</w:t>
      </w:r>
    </w:p>
    <w:p w14:paraId="0F5D8C22">
      <w:pPr>
        <w:pageBreakBefore w:val="0"/>
        <w:widowControl w:val="0"/>
        <w:kinsoku/>
        <w:wordWrap/>
        <w:overflowPunct/>
        <w:topLinePunct w:val="0"/>
        <w:bidi w:val="0"/>
        <w:snapToGrid/>
        <w:spacing w:line="36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12.投标文件的语言及计量</w:t>
      </w:r>
    </w:p>
    <w:p w14:paraId="6F65D295">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14:paraId="6F7A7E07">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12.2投标计量单位，招标文件已有明确规定的，使用招标文件规定的计量单位；招标文件没有规定的，应采用中华人民共和国法定计量单位（货币单位：人民币元），否则视同未响应。</w:t>
      </w:r>
    </w:p>
    <w:p w14:paraId="572C3B41">
      <w:pPr>
        <w:pageBreakBefore w:val="0"/>
        <w:widowControl w:val="0"/>
        <w:kinsoku/>
        <w:wordWrap/>
        <w:overflowPunct/>
        <w:topLinePunct w:val="0"/>
        <w:bidi w:val="0"/>
        <w:snapToGrid/>
        <w:spacing w:line="36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13.投标报价</w:t>
      </w:r>
    </w:p>
    <w:p w14:paraId="2E64EE40">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13.1投标报价应按招标文件中相关附表格式填写。本项目的投标应以人民币计。</w:t>
      </w:r>
    </w:p>
    <w:p w14:paraId="4414A90E">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13.2投标报价应包括货款、标准附件、备品备件、专用工具、包装、运输、装卸、保险、税金、货到就位以及安装、调试、培训、保修等一切税金和费用。投标报价（包括单价、总价等）</w:t>
      </w:r>
      <w:r>
        <w:rPr>
          <w:rFonts w:hint="eastAsia" w:ascii="仿宋" w:hAnsi="仿宋" w:eastAsia="仿宋" w:cs="仿宋"/>
          <w:color w:val="auto"/>
          <w:highlight w:val="none"/>
          <w:lang w:val="en-US" w:eastAsia="zh-CN"/>
        </w:rPr>
        <w:t>均</w:t>
      </w:r>
      <w:r>
        <w:rPr>
          <w:rFonts w:hint="eastAsia" w:ascii="仿宋" w:hAnsi="仿宋" w:eastAsia="仿宋" w:cs="仿宋"/>
          <w:color w:val="auto"/>
          <w:highlight w:val="none"/>
        </w:rPr>
        <w:t>保留到小数点后两位（如：</w:t>
      </w:r>
      <w:r>
        <w:rPr>
          <w:rFonts w:hint="eastAsia" w:ascii="仿宋" w:hAnsi="仿宋" w:eastAsia="仿宋" w:cs="仿宋"/>
          <w:color w:val="auto"/>
          <w:highlight w:val="none"/>
          <w:lang w:val="en-US" w:eastAsia="zh-CN"/>
        </w:rPr>
        <w:t>100.00元</w:t>
      </w:r>
      <w:r>
        <w:rPr>
          <w:rFonts w:hint="eastAsia" w:ascii="仿宋" w:hAnsi="仿宋" w:eastAsia="仿宋" w:cs="仿宋"/>
          <w:color w:val="auto"/>
          <w:highlight w:val="none"/>
        </w:rPr>
        <w:t>）。投标人必须报有合理单价，其将作为设备增减的主要依据。如有漏项，视同已包含在其</w:t>
      </w:r>
      <w:r>
        <w:rPr>
          <w:rFonts w:hint="eastAsia" w:ascii="仿宋" w:hAnsi="仿宋" w:eastAsia="仿宋" w:cs="仿宋"/>
          <w:color w:val="auto"/>
          <w:highlight w:val="none"/>
          <w:lang w:val="en-US" w:eastAsia="zh-CN"/>
        </w:rPr>
        <w:t>他</w:t>
      </w:r>
      <w:r>
        <w:rPr>
          <w:rFonts w:hint="eastAsia" w:ascii="仿宋" w:hAnsi="仿宋" w:eastAsia="仿宋" w:cs="仿宋"/>
          <w:color w:val="auto"/>
          <w:highlight w:val="none"/>
        </w:rPr>
        <w:t>项目中，合同总价和单价</w:t>
      </w:r>
      <w:r>
        <w:rPr>
          <w:rFonts w:hint="eastAsia" w:ascii="仿宋" w:hAnsi="仿宋" w:eastAsia="仿宋" w:cs="仿宋"/>
          <w:color w:val="auto"/>
          <w:highlight w:val="none"/>
          <w:lang w:eastAsia="zh-CN"/>
        </w:rPr>
        <w:t>不作</w:t>
      </w:r>
      <w:r>
        <w:rPr>
          <w:rFonts w:hint="eastAsia" w:ascii="仿宋" w:hAnsi="仿宋" w:eastAsia="仿宋" w:cs="仿宋"/>
          <w:color w:val="auto"/>
          <w:highlight w:val="none"/>
        </w:rPr>
        <w:t>调整。</w:t>
      </w:r>
    </w:p>
    <w:p w14:paraId="202BFECB">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13.3投标文件只允许有一个报价，有选择的或有条件的报价将不予接受。</w:t>
      </w:r>
    </w:p>
    <w:p w14:paraId="713A6857">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13.4招标文件未列明，而投标人认为必需的费用也需列入报价。</w:t>
      </w:r>
    </w:p>
    <w:p w14:paraId="70396AAF">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13.5</w:t>
      </w:r>
      <w:r>
        <w:rPr>
          <w:rFonts w:hint="eastAsia" w:ascii="仿宋" w:hAnsi="仿宋" w:eastAsia="仿宋" w:cs="仿宋"/>
          <w:color w:val="auto"/>
          <w:szCs w:val="24"/>
          <w:highlight w:val="none"/>
        </w:rPr>
        <w:t>中标后，中标人所填写的单价在合同实施期间不因市场变化因素而变动，投标人在计算报价时应考虑一定的风险系数。</w:t>
      </w:r>
    </w:p>
    <w:p w14:paraId="33897507">
      <w:pPr>
        <w:pStyle w:val="17"/>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13.6投标人若有方案和报价未被唱标，应在开标时及时声明或提请采购代理机构宣读，否则是投标人自己的风险，采购代理机构对此不承担任何责任。</w:t>
      </w:r>
    </w:p>
    <w:p w14:paraId="2AD9207D">
      <w:pPr>
        <w:pStyle w:val="8"/>
        <w:pageBreakBefore w:val="0"/>
        <w:widowControl w:val="0"/>
        <w:tabs>
          <w:tab w:val="clear" w:pos="360"/>
        </w:tabs>
        <w:kinsoku/>
        <w:wordWrap/>
        <w:overflowPunct/>
        <w:topLinePunct w:val="0"/>
        <w:bidi w:val="0"/>
        <w:snapToGrid/>
        <w:spacing w:after="0" w:afterLines="0" w:line="360" w:lineRule="auto"/>
        <w:ind w:left="433" w:leftChars="206" w:firstLine="70" w:firstLineChars="29"/>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14.投标文件的有效期</w:t>
      </w:r>
    </w:p>
    <w:p w14:paraId="77B1A822">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14.1</w:t>
      </w:r>
      <w:r>
        <w:rPr>
          <w:rFonts w:hint="eastAsia" w:ascii="仿宋" w:hAnsi="仿宋" w:eastAsia="仿宋" w:cs="仿宋"/>
          <w:color w:val="auto"/>
          <w:szCs w:val="21"/>
          <w:highlight w:val="none"/>
        </w:rPr>
        <w:t>投标有效期为从投标截止之日算起的日历天数，</w:t>
      </w:r>
      <w:r>
        <w:rPr>
          <w:rFonts w:hint="eastAsia" w:ascii="仿宋" w:hAnsi="仿宋" w:eastAsia="仿宋" w:cs="仿宋"/>
          <w:color w:val="auto"/>
          <w:highlight w:val="none"/>
        </w:rPr>
        <w:t>自投标截止日起90天投标书应保持有效。如采购人认为必要，可延长投标有效期。有效期短于这个规定期限的投标将被拒绝。</w:t>
      </w:r>
    </w:p>
    <w:p w14:paraId="75DF3BAD">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14.2在特殊情况下，采购人可与投标人协商延长投标书的有效期，这种要求和答复均以书面形式进行。</w:t>
      </w:r>
    </w:p>
    <w:p w14:paraId="4FF3003D">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14.3投标人可拒绝接受延期要求，但其投标在原投标有效期满后不再有效。同意延长有效期的投标人不能修改投标文件。 </w:t>
      </w:r>
    </w:p>
    <w:p w14:paraId="057A56C6">
      <w:pPr>
        <w:pStyle w:val="17"/>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14.4中标人的投标文件自开标之日起至合同履行完毕止均应保持有效。</w:t>
      </w:r>
    </w:p>
    <w:p w14:paraId="4D94FE9C">
      <w:pPr>
        <w:pageBreakBefore w:val="0"/>
        <w:widowControl w:val="0"/>
        <w:kinsoku/>
        <w:wordWrap/>
        <w:overflowPunct/>
        <w:topLinePunct w:val="0"/>
        <w:bidi w:val="0"/>
        <w:snapToGrid/>
        <w:spacing w:line="360" w:lineRule="auto"/>
        <w:ind w:firstLine="482" w:firstLineChars="200"/>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15.投标保证金</w:t>
      </w:r>
    </w:p>
    <w:p w14:paraId="02401EA8">
      <w:pPr>
        <w:pageBreakBefore w:val="0"/>
        <w:widowControl w:val="0"/>
        <w:shd w:val="clear" w:color="auto" w:fill="auto"/>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15.1本项目免收投标保证金。</w:t>
      </w:r>
    </w:p>
    <w:p w14:paraId="3C2D3EBB">
      <w:pPr>
        <w:pageBreakBefore w:val="0"/>
        <w:widowControl w:val="0"/>
        <w:shd w:val="clear" w:color="auto" w:fill="auto"/>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15.2如投标人有下列情形之一的，应当按照本项目采购预算价2%的标准承担因此给采购单位造成的损失的赔偿责任及相应的法律责任：</w:t>
      </w:r>
    </w:p>
    <w:p w14:paraId="777A0517">
      <w:pPr>
        <w:pageBreakBefore w:val="0"/>
        <w:widowControl w:val="0"/>
        <w:shd w:val="clear" w:color="auto" w:fill="auto"/>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15.2.1投标人在投标有效期内撤回投标文件的；</w:t>
      </w:r>
    </w:p>
    <w:p w14:paraId="4DFB4A5D">
      <w:pPr>
        <w:pageBreakBefore w:val="0"/>
        <w:widowControl w:val="0"/>
        <w:shd w:val="clear" w:color="auto" w:fill="auto"/>
        <w:kinsoku/>
        <w:wordWrap/>
        <w:overflowPunct/>
        <w:topLinePunct w:val="0"/>
        <w:bidi w:val="0"/>
        <w:snapToGrid w:val="0"/>
        <w:spacing w:line="360" w:lineRule="auto"/>
        <w:ind w:firstLine="470" w:firstLineChars="196"/>
        <w:jc w:val="left"/>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15.2.2投标人在投标过程中弄虚作假，提供虚假材料的；</w:t>
      </w:r>
    </w:p>
    <w:p w14:paraId="36DD3C24">
      <w:pPr>
        <w:pageBreakBefore w:val="0"/>
        <w:widowControl w:val="0"/>
        <w:shd w:val="clear" w:color="auto" w:fill="auto"/>
        <w:kinsoku/>
        <w:wordWrap/>
        <w:overflowPunct/>
        <w:topLinePunct w:val="0"/>
        <w:bidi w:val="0"/>
        <w:snapToGrid w:val="0"/>
        <w:spacing w:line="360" w:lineRule="auto"/>
        <w:ind w:firstLine="470" w:firstLineChars="196"/>
        <w:jc w:val="left"/>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15.2.3中标人无正当理由在规定的时间内不与采购人签订合同的；</w:t>
      </w:r>
    </w:p>
    <w:p w14:paraId="4778A562">
      <w:pPr>
        <w:pageBreakBefore w:val="0"/>
        <w:widowControl w:val="0"/>
        <w:shd w:val="clear" w:color="auto" w:fill="auto"/>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15.2.4将中标项目转让给他人或者在投标文件中未说明且未经采购人同意，将中标项目分包给他人的；</w:t>
      </w:r>
    </w:p>
    <w:p w14:paraId="4CEF6945">
      <w:pPr>
        <w:pageBreakBefore w:val="0"/>
        <w:widowControl w:val="0"/>
        <w:shd w:val="clear" w:color="auto" w:fill="auto"/>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15.2.5其他严重扰乱招投标程序的；</w:t>
      </w:r>
    </w:p>
    <w:p w14:paraId="02B60AB2">
      <w:pPr>
        <w:pageBreakBefore w:val="0"/>
        <w:widowControl w:val="0"/>
        <w:shd w:val="clear" w:color="auto" w:fill="auto"/>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15.2.6向有关人员行贿或者采取其他不正当手段谋取中标的；</w:t>
      </w:r>
    </w:p>
    <w:p w14:paraId="48F05BAE">
      <w:pPr>
        <w:pageBreakBefore w:val="0"/>
        <w:widowControl w:val="0"/>
        <w:shd w:val="clear" w:color="auto" w:fill="auto"/>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15.2.7中标人无正当理由放弃中标的；</w:t>
      </w:r>
    </w:p>
    <w:p w14:paraId="346526B6">
      <w:pPr>
        <w:pageBreakBefore w:val="0"/>
        <w:widowControl w:val="0"/>
        <w:shd w:val="clear" w:color="auto" w:fill="auto"/>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15.2.8投标人质疑投诉提供虚假情况；</w:t>
      </w:r>
    </w:p>
    <w:p w14:paraId="1A591E76">
      <w:pPr>
        <w:pageBreakBefore w:val="0"/>
        <w:widowControl w:val="0"/>
        <w:shd w:val="clear" w:color="auto" w:fill="auto"/>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0"/>
          <w:highlight w:val="none"/>
          <w:lang w:val="en-US" w:eastAsia="zh-CN" w:bidi="ar-SA"/>
        </w:rPr>
      </w:pPr>
      <w:r>
        <w:rPr>
          <w:rFonts w:hint="eastAsia" w:ascii="仿宋" w:hAnsi="仿宋" w:eastAsia="仿宋" w:cs="仿宋"/>
          <w:color w:val="auto"/>
          <w:sz w:val="24"/>
          <w:szCs w:val="20"/>
          <w:highlight w:val="none"/>
          <w:lang w:val="en-US" w:eastAsia="zh-CN" w:bidi="ar-SA"/>
        </w:rPr>
        <w:t>15.2.9存在法律法规规定的其他损害采购人或采购单位利益或社会公共利益的情形的。</w:t>
      </w:r>
    </w:p>
    <w:p w14:paraId="72745335">
      <w:pPr>
        <w:pageBreakBefore w:val="0"/>
        <w:widowControl w:val="0"/>
        <w:kinsoku/>
        <w:wordWrap/>
        <w:overflowPunct/>
        <w:topLinePunct w:val="0"/>
        <w:bidi w:val="0"/>
        <w:snapToGrid/>
        <w:spacing w:line="360" w:lineRule="auto"/>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16.投标文件的制作</w:t>
      </w:r>
    </w:p>
    <w:p w14:paraId="559FAC5D">
      <w:pPr>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16.1投标人应按招标文件前附表规定的内容编制投标文件。</w:t>
      </w:r>
    </w:p>
    <w:p w14:paraId="38C1B4F1">
      <w:pPr>
        <w:pageBreakBefore w:val="0"/>
        <w:widowControl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p>
    <w:p w14:paraId="6E1896AE">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color w:val="auto"/>
          <w:highlight w:val="yellow"/>
          <w:u w:val="single"/>
          <w:lang w:eastAsia="zh-CN"/>
        </w:rPr>
      </w:pPr>
      <w:r>
        <w:rPr>
          <w:rFonts w:hint="eastAsia" w:ascii="仿宋" w:hAnsi="仿宋" w:eastAsia="仿宋" w:cs="仿宋"/>
          <w:color w:val="auto"/>
          <w:sz w:val="24"/>
          <w:szCs w:val="24"/>
          <w:highlight w:val="none"/>
        </w:rPr>
        <w:t>16.3投标文件须由投标人在规定位置盖章，投标人应写全称。</w:t>
      </w:r>
      <w:r>
        <w:rPr>
          <w:rFonts w:hint="eastAsia" w:ascii="仿宋" w:hAnsi="仿宋" w:eastAsia="仿宋" w:cs="仿宋"/>
          <w:b/>
          <w:color w:val="auto"/>
          <w:sz w:val="24"/>
          <w:szCs w:val="24"/>
          <w:highlight w:val="none"/>
        </w:rPr>
        <w:t>电子投标文件中所有加盖公章均采用CA签章。</w:t>
      </w:r>
    </w:p>
    <w:p w14:paraId="37379D45">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16.4投标文件不得涂改，若有修改错漏处，须加盖单位公章。投标文件因表达不清所引起的后果由投标人负责。</w:t>
      </w:r>
    </w:p>
    <w:p w14:paraId="70A5C753">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16.5投标人应认真阅读招标文件中所有的内容。</w:t>
      </w:r>
      <w:r>
        <w:rPr>
          <w:rFonts w:hint="eastAsia" w:ascii="仿宋" w:hAnsi="仿宋" w:eastAsia="仿宋" w:cs="仿宋"/>
          <w:b/>
          <w:color w:val="auto"/>
          <w:sz w:val="24"/>
          <w:szCs w:val="24"/>
          <w:highlight w:val="none"/>
        </w:rPr>
        <w:t>如果投标人编制的投标文件实质上不响应招标文件的要求，其投标文件将作无效标处理。</w:t>
      </w:r>
    </w:p>
    <w:p w14:paraId="7531C45C">
      <w:pPr>
        <w:keepNext w:val="0"/>
        <w:keepLines w:val="0"/>
        <w:pageBreakBefore w:val="0"/>
        <w:widowControl w:val="0"/>
        <w:kinsoku/>
        <w:wordWrap/>
        <w:overflowPunct/>
        <w:topLinePunct w:val="0"/>
        <w:bidi w:val="0"/>
        <w:snapToGrid/>
        <w:spacing w:line="360" w:lineRule="auto"/>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17.</w:t>
      </w:r>
      <w:r>
        <w:rPr>
          <w:rFonts w:hint="eastAsia" w:ascii="仿宋" w:hAnsi="仿宋" w:eastAsia="仿宋" w:cs="仿宋"/>
          <w:b/>
          <w:color w:val="auto"/>
          <w:sz w:val="24"/>
          <w:szCs w:val="24"/>
          <w:highlight w:val="none"/>
        </w:rPr>
        <w:t>投标文件的递交、修改和撤回</w:t>
      </w:r>
    </w:p>
    <w:p w14:paraId="647D5DC6">
      <w:pPr>
        <w:pStyle w:val="9"/>
        <w:keepNext w:val="0"/>
        <w:keepLines w:val="0"/>
        <w:pageBreakBefore w:val="0"/>
        <w:widowControl w:val="0"/>
        <w:shd w:val="clear" w:color="auto" w:fill="auto"/>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17.1投标人应将投标文件的资格文件、商务技术文件、报价文件分开制作。</w:t>
      </w:r>
      <w:r>
        <w:rPr>
          <w:rFonts w:hint="eastAsia" w:ascii="仿宋" w:hAnsi="仿宋" w:eastAsia="仿宋" w:cs="仿宋"/>
          <w:b/>
          <w:color w:val="auto"/>
          <w:sz w:val="24"/>
          <w:szCs w:val="24"/>
          <w:highlight w:val="none"/>
          <w:lang w:val="en-US" w:eastAsia="zh-CN" w:bidi="ar-SA"/>
        </w:rPr>
        <w:t>如投标文件商务技术标内容含有报价的内容，将被视作无效标处理。</w:t>
      </w:r>
    </w:p>
    <w:p w14:paraId="44AB6532">
      <w:pPr>
        <w:pStyle w:val="9"/>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17.</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color w:val="auto"/>
          <w:sz w:val="24"/>
          <w:szCs w:val="24"/>
          <w:highlight w:val="none"/>
        </w:rPr>
        <w:t>投标人应在开标前在“</w:t>
      </w:r>
      <w:r>
        <w:rPr>
          <w:rFonts w:hint="eastAsia" w:ascii="仿宋" w:hAnsi="仿宋" w:eastAsia="仿宋" w:cs="仿宋"/>
          <w:b/>
          <w:color w:val="auto"/>
          <w:sz w:val="24"/>
          <w:szCs w:val="24"/>
          <w:highlight w:val="none"/>
          <w:lang w:val="en-US" w:eastAsia="zh-CN"/>
        </w:rPr>
        <w:t>乐</w:t>
      </w:r>
      <w:r>
        <w:rPr>
          <w:rFonts w:hint="eastAsia" w:ascii="仿宋" w:hAnsi="仿宋" w:eastAsia="仿宋" w:cs="仿宋"/>
          <w:b/>
          <w:color w:val="auto"/>
          <w:sz w:val="24"/>
          <w:szCs w:val="24"/>
          <w:highlight w:val="none"/>
        </w:rPr>
        <w:t>采云”上自行加密上传电子投标文件，逾期上传或未按要求上传的投标文件将予以拒收。</w:t>
      </w:r>
    </w:p>
    <w:p w14:paraId="4CD489E0">
      <w:pPr>
        <w:pStyle w:val="9"/>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17.</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color w:val="auto"/>
          <w:sz w:val="24"/>
          <w:szCs w:val="24"/>
          <w:highlight w:val="none"/>
        </w:rPr>
        <w:t>投标人在投标截止时间之前，可以对已提交的投标文件进行修改或撤回，补充、修改的内容为投标文件的组成部分。</w:t>
      </w:r>
    </w:p>
    <w:p w14:paraId="3C8FC4BA">
      <w:pPr>
        <w:pStyle w:val="9"/>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投标截止时间后，投标人不得撤回、修改投标文件。</w:t>
      </w:r>
    </w:p>
    <w:p w14:paraId="065372FA">
      <w:pPr>
        <w:pStyle w:val="9"/>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不论投标人中标与否，投标人文件均不得撤回其投标。</w:t>
      </w:r>
    </w:p>
    <w:p w14:paraId="666B2306">
      <w:pPr>
        <w:pStyle w:val="9"/>
        <w:pageBreakBefore w:val="0"/>
        <w:widowControl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6</w:t>
      </w:r>
      <w:r>
        <w:rPr>
          <w:rFonts w:hint="eastAsia" w:ascii="仿宋" w:hAnsi="仿宋" w:eastAsia="仿宋" w:cs="仿宋"/>
          <w:b/>
          <w:color w:val="auto"/>
          <w:sz w:val="24"/>
          <w:szCs w:val="24"/>
          <w:highlight w:val="none"/>
        </w:rPr>
        <w:t>未按时解密的，视为投标文件撤回。</w:t>
      </w:r>
    </w:p>
    <w:p w14:paraId="04BA3E48">
      <w:pPr>
        <w:pageBreakBefore w:val="0"/>
        <w:widowControl w:val="0"/>
        <w:kinsoku/>
        <w:wordWrap/>
        <w:overflowPunct/>
        <w:topLinePunct w:val="0"/>
        <w:bidi w:val="0"/>
        <w:snapToGrid/>
        <w:spacing w:line="36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18.投标无效的情形</w:t>
      </w:r>
    </w:p>
    <w:p w14:paraId="486D43C4">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w:t>
      </w:r>
      <w:r>
        <w:rPr>
          <w:rFonts w:hint="eastAsia" w:ascii="仿宋" w:hAnsi="仿宋" w:eastAsia="仿宋" w:cs="仿宋"/>
          <w:color w:val="auto"/>
          <w:sz w:val="24"/>
          <w:szCs w:val="24"/>
          <w:highlight w:val="none"/>
          <w:lang w:eastAsia="zh-CN"/>
        </w:rPr>
        <w:t>撤销</w:t>
      </w:r>
      <w:r>
        <w:rPr>
          <w:rFonts w:hint="eastAsia" w:ascii="仿宋" w:hAnsi="仿宋" w:eastAsia="仿宋" w:cs="仿宋"/>
          <w:color w:val="auto"/>
          <w:sz w:val="24"/>
          <w:szCs w:val="24"/>
          <w:highlight w:val="none"/>
        </w:rPr>
        <w:t>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14:paraId="33FC3DD3">
      <w:pPr>
        <w:pStyle w:val="15"/>
        <w:pageBreakBefore w:val="0"/>
        <w:widowControl w:val="0"/>
        <w:kinsoku/>
        <w:wordWrap/>
        <w:overflowPunct/>
        <w:topLinePunct w:val="0"/>
        <w:bidi w:val="0"/>
        <w:snapToGrid/>
        <w:spacing w:after="0" w:afterLines="0" w:line="360" w:lineRule="auto"/>
        <w:ind w:left="0" w:leftChars="0"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18.1在符合性审查和资格性审查时，如发现下列情形之一的，投标文件将被视为无效投标：</w:t>
      </w:r>
    </w:p>
    <w:p w14:paraId="3D79F6CB">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18.1.1资格证明文件不全的，或者不符合招标文件标明的资格要求的；</w:t>
      </w:r>
    </w:p>
    <w:p w14:paraId="0EFEA406">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18.1.2未按照招标文件规定要求盖章；</w:t>
      </w:r>
    </w:p>
    <w:p w14:paraId="4BEA75C2">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18.1.3投标文件项目不齐全或者内容虚假的；</w:t>
      </w:r>
    </w:p>
    <w:p w14:paraId="669E3E80">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18.1.4投标文件的实质性内容未使用中文表述、意思表述不明确、前后矛盾或者使用计量单位不符合招标文件要求的；</w:t>
      </w:r>
    </w:p>
    <w:p w14:paraId="676E08E4">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18.1.5投标有效期、交货时间、质保期、售后服务承诺等条款不能满足招标文件要求的；</w:t>
      </w:r>
    </w:p>
    <w:p w14:paraId="7A56A3D8">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18.1.6投标文件的资格文件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商务技术标内容含有报价的内容；</w:t>
      </w:r>
    </w:p>
    <w:p w14:paraId="47573157">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18.1.7投标文件含有采购人不能接受的附加条件的；</w:t>
      </w:r>
    </w:p>
    <w:p w14:paraId="697ACF68">
      <w:pPr>
        <w:pageBreakBefore w:val="0"/>
        <w:widowControl w:val="0"/>
        <w:kinsoku/>
        <w:wordWrap/>
        <w:overflowPunct/>
        <w:topLinePunct w:val="0"/>
        <w:bidi w:val="0"/>
        <w:snapToGrid/>
        <w:spacing w:line="360" w:lineRule="auto"/>
        <w:ind w:left="420" w:firstLine="48" w:firstLineChars="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18.1.8不符合法律、法规或未实质性响应招标文件要求</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w:t>
      </w:r>
    </w:p>
    <w:p w14:paraId="2B0EE3CE">
      <w:pPr>
        <w:pStyle w:val="15"/>
        <w:pageBreakBefore w:val="0"/>
        <w:widowControl w:val="0"/>
        <w:kinsoku/>
        <w:wordWrap/>
        <w:overflowPunct/>
        <w:topLinePunct w:val="0"/>
        <w:bidi w:val="0"/>
        <w:snapToGrid/>
        <w:spacing w:after="0" w:after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18.2在商务技术评审时，如发现下列情形之一的，投标文件将被视为无效：</w:t>
      </w:r>
    </w:p>
    <w:p w14:paraId="4ACC9FF8">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18.2.1未提供或未如实提供投标货物的技术参数，或者投标文件标明的响应或偏离与事实不符或虚假投标的；</w:t>
      </w:r>
    </w:p>
    <w:p w14:paraId="701A19AC">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18.2.2明显不符合招标文件要求的规格型号、质量标准，或者与招标文件中标“★”的技术指标、主要功能项目发生实质性偏离的；</w:t>
      </w:r>
    </w:p>
    <w:p w14:paraId="68FBD3DF">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18.2.3允许偏离的技术、性能指标或者辅助功能项目发生负偏离达20项（含）以上的；</w:t>
      </w:r>
    </w:p>
    <w:p w14:paraId="67C847BD">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18.2.4投标技术方案不明确，存在一个或一个以上备选（替代）投标方案的；</w:t>
      </w:r>
    </w:p>
    <w:p w14:paraId="536E266A">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18.2.5</w:t>
      </w:r>
      <w:r>
        <w:rPr>
          <w:rFonts w:hint="eastAsia" w:ascii="仿宋" w:hAnsi="仿宋" w:eastAsia="仿宋" w:cs="仿宋"/>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75D2F4F9">
      <w:pPr>
        <w:pStyle w:val="15"/>
        <w:pageBreakBefore w:val="0"/>
        <w:widowControl w:val="0"/>
        <w:kinsoku/>
        <w:wordWrap/>
        <w:overflowPunct/>
        <w:topLinePunct w:val="0"/>
        <w:bidi w:val="0"/>
        <w:snapToGrid/>
        <w:spacing w:after="0" w:after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18.3在报价评审时，如发现下列情形之一的，投标文件将被视为无效：</w:t>
      </w:r>
    </w:p>
    <w:p w14:paraId="42C041EA">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14:paraId="1AFC83CF">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（2）投标报价超过招标文件中规定的最高限价的；</w:t>
      </w:r>
    </w:p>
    <w:p w14:paraId="0B6C8DCD">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6CA3E2F3">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（4）投标人不接受报价文件中修正后的报价的；</w:t>
      </w:r>
    </w:p>
    <w:p w14:paraId="3DE34DE2">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（5）投标报价具有选择性。</w:t>
      </w:r>
    </w:p>
    <w:p w14:paraId="33E387CA">
      <w:pPr>
        <w:pStyle w:val="15"/>
        <w:pageBreakBefore w:val="0"/>
        <w:widowControl w:val="0"/>
        <w:kinsoku/>
        <w:wordWrap/>
        <w:overflowPunct/>
        <w:topLinePunct w:val="0"/>
        <w:bidi w:val="0"/>
        <w:snapToGrid/>
        <w:spacing w:after="0" w:afterLines="0"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18.4符合招标文件明确规定的其他无效投标条款的。</w:t>
      </w:r>
    </w:p>
    <w:p w14:paraId="02D2C4CA">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8"/>
          <w:szCs w:val="28"/>
          <w:highlight w:val="none"/>
        </w:rPr>
      </w:pPr>
      <w:bookmarkStart w:id="23" w:name="_Toc125344507"/>
      <w:r>
        <w:rPr>
          <w:rFonts w:hint="eastAsia" w:ascii="仿宋" w:hAnsi="仿宋" w:eastAsia="仿宋" w:cs="仿宋"/>
          <w:color w:val="auto"/>
          <w:sz w:val="28"/>
          <w:szCs w:val="28"/>
          <w:highlight w:val="none"/>
        </w:rPr>
        <w:t>四、开  标</w:t>
      </w:r>
      <w:bookmarkEnd w:id="23"/>
    </w:p>
    <w:p w14:paraId="33C33D45">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19.</w:t>
      </w:r>
      <w:r>
        <w:rPr>
          <w:rFonts w:hint="eastAsia" w:ascii="仿宋" w:hAnsi="仿宋" w:eastAsia="仿宋" w:cs="仿宋"/>
          <w:b/>
          <w:color w:val="auto"/>
          <w:sz w:val="24"/>
          <w:highlight w:val="none"/>
        </w:rPr>
        <w:t>开标</w:t>
      </w:r>
    </w:p>
    <w:p w14:paraId="2C8F4430">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19.1采购代理机构将在前附表规定的时间、地点进行开标。无关人员不得进入开标现场。</w:t>
      </w:r>
    </w:p>
    <w:p w14:paraId="49C73045">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19.2本项目实行电子开评标，投标人无需前往开评标现场，只需在规定时间内在“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 xml:space="preserve">采云”平台上上传电子投标文件。 </w:t>
      </w:r>
    </w:p>
    <w:p w14:paraId="4D9149C6">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20.开标程序</w:t>
      </w:r>
    </w:p>
    <w:p w14:paraId="168ADC78">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20.1投标截止时间后的</w:t>
      </w:r>
      <w:r>
        <w:rPr>
          <w:rFonts w:hint="eastAsia" w:ascii="仿宋" w:hAnsi="仿宋" w:eastAsia="仿宋" w:cs="仿宋"/>
          <w:b/>
          <w:color w:val="auto"/>
          <w:sz w:val="24"/>
          <w:highlight w:val="none"/>
          <w:lang w:eastAsia="zh-CN"/>
        </w:rPr>
        <w:t>30分钟</w:t>
      </w:r>
      <w:r>
        <w:rPr>
          <w:rFonts w:hint="eastAsia" w:ascii="仿宋" w:hAnsi="仿宋" w:eastAsia="仿宋" w:cs="仿宋"/>
          <w:b/>
          <w:color w:val="auto"/>
          <w:sz w:val="24"/>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167987A6">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20.2评标委员会对投标人的资格和商务技术响应文件进行评审；</w:t>
      </w:r>
    </w:p>
    <w:p w14:paraId="4CE16F0E">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20.3对商务技术标有效的投标单位的投标报价在“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采云”平台上予以公开；</w:t>
      </w:r>
    </w:p>
    <w:p w14:paraId="61CCE144">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20.4评标委员会对商务技术标有效的投标单位进行投标报价评审，确定投标报价评审有效投标单位；</w:t>
      </w:r>
    </w:p>
    <w:p w14:paraId="46F00B81">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20.5对投标报价评审后有效的投标单位计算投标报价分和综合得分；</w:t>
      </w:r>
    </w:p>
    <w:p w14:paraId="28ACA1F2">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20.6确定预中标人。</w:t>
      </w:r>
    </w:p>
    <w:p w14:paraId="0B805BAA">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bookmarkStart w:id="24" w:name="_Toc125344508"/>
      <w:r>
        <w:rPr>
          <w:rFonts w:hint="eastAsia" w:ascii="仿宋" w:hAnsi="仿宋" w:eastAsia="仿宋" w:cs="仿宋"/>
          <w:b/>
          <w:color w:val="auto"/>
          <w:sz w:val="24"/>
          <w:highlight w:val="none"/>
        </w:rPr>
        <w:t>特别说明：</w:t>
      </w:r>
    </w:p>
    <w:p w14:paraId="5D9C106B">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乐</w:t>
      </w:r>
      <w:r>
        <w:rPr>
          <w:rFonts w:hint="eastAsia" w:ascii="仿宋" w:hAnsi="仿宋" w:eastAsia="仿宋" w:cs="仿宋"/>
          <w:b/>
          <w:color w:val="auto"/>
          <w:sz w:val="24"/>
          <w:highlight w:val="none"/>
        </w:rPr>
        <w:t>采云公司如对电子化开标及评审程序有调整的，按调整后的程序操作。</w:t>
      </w:r>
    </w:p>
    <w:p w14:paraId="7C71C248">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2、如中标单位投标文件和招标文件要求不一致，且评审过程中未发现的，履约应按有利于采购人的要求执行。</w:t>
      </w:r>
    </w:p>
    <w:p w14:paraId="422CAB13">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3、采购过程中出现以下情形，导致电子交易平台无法正常运行，或者无法保证电子交易的公平、公正和安全时，采购组织机构可中止电子交易活动：</w:t>
      </w:r>
    </w:p>
    <w:p w14:paraId="00FB507B">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（一）电子交易平台发生故障而无法登录访问的； </w:t>
      </w:r>
    </w:p>
    <w:p w14:paraId="4A0F60E0">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（二）电子交易平台应用或数据库出现错误，不能进行正常操作的；</w:t>
      </w:r>
    </w:p>
    <w:p w14:paraId="3FE3E35C">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（三）电子交易平台发现严重安全漏洞，有潜在泄密危险的；</w:t>
      </w:r>
    </w:p>
    <w:p w14:paraId="3CEDF00E">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（四）病毒发作导致不能进行正常操作的； </w:t>
      </w:r>
    </w:p>
    <w:p w14:paraId="0DAB63B4">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14:paraId="373D6DCE">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出现前款规定情形，不影响采购公平、公正性的，采购组织机构可以待上述情形消除后继续组织电子交易活动；影响或可能影响采购公平、公正性的，应当重新采购。</w:t>
      </w:r>
    </w:p>
    <w:p w14:paraId="630B2E54">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五、评　标</w:t>
      </w:r>
      <w:bookmarkEnd w:id="24"/>
    </w:p>
    <w:p w14:paraId="11E4F2F9">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组建评标委员会</w:t>
      </w:r>
    </w:p>
    <w:p w14:paraId="7513235A">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评标委员会按照有关规定组建。</w:t>
      </w:r>
    </w:p>
    <w:p w14:paraId="671A2F02">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22.评标原则</w:t>
      </w:r>
    </w:p>
    <w:p w14:paraId="65AC6A6F">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22.1评标委员会必须公平、公正、客观，不带任何倾向性和启发性；</w:t>
      </w:r>
    </w:p>
    <w:p w14:paraId="2E045557">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22.2不得向外界透露任何与评标有关的内容；</w:t>
      </w:r>
    </w:p>
    <w:p w14:paraId="64056FD1">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22.3任何单位和个人不得干扰、影响评标的正常进行；</w:t>
      </w:r>
    </w:p>
    <w:p w14:paraId="718D0C49">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22.4评标委员会及有关工作人员不得私下与投标人接触。</w:t>
      </w:r>
    </w:p>
    <w:p w14:paraId="690D8671">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E8DEC2B">
      <w:pPr>
        <w:pageBreakBefore w:val="0"/>
        <w:widowControl w:val="0"/>
        <w:kinsoku/>
        <w:wordWrap/>
        <w:overflowPunct/>
        <w:topLinePunct w:val="0"/>
        <w:bidi w:val="0"/>
        <w:snapToGrid/>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9A3F97">
      <w:pPr>
        <w:pageBreakBefore w:val="0"/>
        <w:widowControl w:val="0"/>
        <w:kinsoku/>
        <w:wordWrap/>
        <w:overflowPunct/>
        <w:topLinePunct w:val="0"/>
        <w:bidi w:val="0"/>
        <w:snapToGrid/>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1F6B11F3">
      <w:pPr>
        <w:pageBreakBefore w:val="0"/>
        <w:widowControl w:val="0"/>
        <w:kinsoku/>
        <w:wordWrap/>
        <w:overflowPunct/>
        <w:topLinePunct w:val="0"/>
        <w:bidi w:val="0"/>
        <w:snapToGrid/>
        <w:spacing w:line="360" w:lineRule="auto"/>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22.7</w:t>
      </w:r>
      <w:r>
        <w:rPr>
          <w:rFonts w:hint="eastAsia" w:ascii="仿宋" w:hAnsi="仿宋" w:eastAsia="仿宋" w:cs="仿宋"/>
          <w:color w:val="auto"/>
          <w:sz w:val="24"/>
          <w:highlight w:val="none"/>
        </w:rPr>
        <w:t>以联合体形式参加</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活动的，联合体各方不得再单独参加或者与其他供应商另外组成联合体参加同一合同项下的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活动。</w:t>
      </w:r>
    </w:p>
    <w:p w14:paraId="254C7E28">
      <w:pPr>
        <w:pageBreakBefore w:val="0"/>
        <w:widowControl w:val="0"/>
        <w:kinsoku/>
        <w:wordWrap/>
        <w:overflowPunct/>
        <w:topLinePunct w:val="0"/>
        <w:bidi w:val="0"/>
        <w:snapToGrid/>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22.8除单一来源采购以外，为采购项目提供整体设计、规范编制或者项目管理、监理、检测等服务的供应商，不得参加本采购项目。</w:t>
      </w:r>
    </w:p>
    <w:p w14:paraId="5D6BCCE6">
      <w:pPr>
        <w:pageBreakBefore w:val="0"/>
        <w:widowControl w:val="0"/>
        <w:kinsoku/>
        <w:wordWrap/>
        <w:overflowPunct/>
        <w:topLinePunct w:val="0"/>
        <w:bidi w:val="0"/>
        <w:snapToGrid/>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22.9单位负责人为同一人或者存在直接控股、管理关系的不同供应商，不得参加同一合同项下的</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活动。</w:t>
      </w:r>
    </w:p>
    <w:p w14:paraId="5C4D5CEA">
      <w:pPr>
        <w:pStyle w:val="17"/>
        <w:pageBreakBefore w:val="0"/>
        <w:widowControl w:val="0"/>
        <w:kinsoku/>
        <w:wordWrap/>
        <w:overflowPunct/>
        <w:topLinePunct w:val="0"/>
        <w:bidi w:val="0"/>
        <w:snapToGrid/>
        <w:spacing w:line="360" w:lineRule="auto"/>
        <w:ind w:left="2" w:leftChars="1"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7D8E5906">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59330095">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23.1资格审查</w:t>
      </w:r>
    </w:p>
    <w:p w14:paraId="154E6273">
      <w:pPr>
        <w:pageBreakBefore w:val="0"/>
        <w:widowControl w:val="0"/>
        <w:kinsoku/>
        <w:wordWrap/>
        <w:overflowPunct/>
        <w:topLinePunct w:val="0"/>
        <w:bidi w:val="0"/>
        <w:snapToGrid/>
        <w:spacing w:line="360" w:lineRule="auto"/>
        <w:ind w:firstLine="470" w:firstLineChars="196"/>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依据法律、法规和招标文件规定，采购人或采购人</w:t>
      </w:r>
      <w:r>
        <w:rPr>
          <w:rFonts w:hint="eastAsia" w:ascii="仿宋" w:hAnsi="仿宋" w:eastAsia="仿宋" w:cs="仿宋"/>
          <w:color w:val="auto"/>
          <w:sz w:val="24"/>
          <w:highlight w:val="none"/>
          <w:lang w:val="en-US" w:eastAsia="zh-CN"/>
        </w:rPr>
        <w:t>委托的代理机构</w:t>
      </w:r>
      <w:r>
        <w:rPr>
          <w:rFonts w:hint="eastAsia" w:ascii="仿宋" w:hAnsi="仿宋" w:eastAsia="仿宋" w:cs="仿宋"/>
          <w:color w:val="auto"/>
          <w:sz w:val="24"/>
          <w:highlight w:val="none"/>
        </w:rPr>
        <w:t>对投标人进行资格审查，以确定投标人是否具备投标资格。</w:t>
      </w:r>
    </w:p>
    <w:p w14:paraId="11A2A568">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highlight w:val="none"/>
        </w:rPr>
        <w:t>23.2形式审查</w:t>
      </w:r>
    </w:p>
    <w:p w14:paraId="2A89DF1E">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评标委员会对投标人的</w:t>
      </w:r>
      <w:r>
        <w:rPr>
          <w:rFonts w:hint="eastAsia" w:ascii="仿宋" w:hAnsi="仿宋" w:eastAsia="仿宋" w:cs="仿宋"/>
          <w:color w:val="auto"/>
          <w:sz w:val="24"/>
          <w:highlight w:val="none"/>
        </w:rPr>
        <w:t>投标文件的完整性、合法性等进行审查。</w:t>
      </w:r>
    </w:p>
    <w:p w14:paraId="4524AF72">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highlight w:val="none"/>
        </w:rPr>
        <w:t>23.3实质审查与比较</w:t>
      </w:r>
    </w:p>
    <w:p w14:paraId="68A5CBE0">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1BE188A8">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23.3.2评标委员会将根据投标人的投标文件进行审查、核对,如有疑问,将对投标人进行询标,投标人要向评标委员会澄清有关问题,并最终以“</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采云”在线询标或其他有效</w:t>
      </w:r>
      <w:r>
        <w:rPr>
          <w:rFonts w:hint="eastAsia" w:ascii="仿宋" w:hAnsi="仿宋" w:eastAsia="仿宋" w:cs="仿宋"/>
          <w:color w:val="auto"/>
          <w:sz w:val="24"/>
          <w:highlight w:val="none"/>
          <w:lang w:eastAsia="zh-CN"/>
        </w:rPr>
        <w:t>形式进行</w:t>
      </w:r>
      <w:r>
        <w:rPr>
          <w:rFonts w:hint="eastAsia" w:ascii="仿宋" w:hAnsi="仿宋" w:eastAsia="仿宋" w:cs="仿宋"/>
          <w:color w:val="auto"/>
          <w:sz w:val="24"/>
          <w:highlight w:val="none"/>
        </w:rPr>
        <w:t>答复。投标人代表拒绝澄清或者澄清的内容改变了投标文件的实质性内容的，评标委员会有权对该投标文件作出不利于投标人的评判。</w:t>
      </w:r>
    </w:p>
    <w:p w14:paraId="393FC93C">
      <w:pPr>
        <w:pStyle w:val="23"/>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23.3.3投标人应详细说明投标技术方案中产品的具体参数，不得照搬照抄招标文件的技术要求。否则，评标委员会有权认定为投标技术方案不合格响应，其相关分数予以扣减或作无效标处理。</w:t>
      </w:r>
    </w:p>
    <w:p w14:paraId="55C0AE09">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23.3.4如果投标文件实质不响应招标文件的各项要求，评标委员会将予以拒绝，并且不允许投标人通过修改或撤销其不符合要求的差异或保留，使之成为具有响应性的投标。</w:t>
      </w:r>
    </w:p>
    <w:p w14:paraId="380AC32A">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23.3.5各投标人的商务技术得分为所有评委的有效评分的算术平均数。</w:t>
      </w:r>
    </w:p>
    <w:p w14:paraId="6C1D7963">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23.3.6评标委员会完成评标后,评委对各部分得分汇总,计算出本项目最终得分。评标委员会按评标原则推荐中标候选人，同时起草评标报告。</w:t>
      </w:r>
    </w:p>
    <w:p w14:paraId="6B5C79D6">
      <w:pPr>
        <w:pStyle w:val="23"/>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23.3.7评标委员会对明显不合理的投标报价，有权要求投标人在规定时间内提交说明，投标人不能提供的或提供的材料不能说明问题的，评标委员会可以判定其投标无效。</w:t>
      </w:r>
    </w:p>
    <w:p w14:paraId="5C1D82BB">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7AEA4E9B">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EE72053">
      <w:pPr>
        <w:pageBreakBefore w:val="0"/>
        <w:widowControl w:val="0"/>
        <w:kinsoku/>
        <w:wordWrap/>
        <w:overflowPunct/>
        <w:topLinePunct w:val="0"/>
        <w:bidi w:val="0"/>
        <w:snapToGrid/>
        <w:spacing w:line="360" w:lineRule="auto"/>
        <w:ind w:firstLine="479" w:firstLineChars="199"/>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24.</w:t>
      </w:r>
      <w:r>
        <w:rPr>
          <w:rFonts w:hint="eastAsia" w:ascii="仿宋" w:hAnsi="仿宋" w:eastAsia="仿宋" w:cs="仿宋"/>
          <w:color w:val="auto"/>
          <w:sz w:val="24"/>
          <w:szCs w:val="24"/>
          <w:highlight w:val="none"/>
        </w:rPr>
        <w:t>如投标人或采购人有下列情形之一的，应按串通投标行为认定，禁止其一至三年内进入本市</w:t>
      </w:r>
      <w:r>
        <w:rPr>
          <w:rFonts w:hint="eastAsia" w:ascii="仿宋" w:hAnsi="仿宋" w:eastAsia="仿宋" w:cs="仿宋"/>
          <w:color w:val="auto"/>
          <w:sz w:val="24"/>
          <w:szCs w:val="24"/>
          <w:highlight w:val="none"/>
          <w:lang w:val="en-US" w:eastAsia="zh-CN"/>
        </w:rPr>
        <w:t>招投标</w:t>
      </w:r>
      <w:r>
        <w:rPr>
          <w:rFonts w:hint="eastAsia" w:ascii="仿宋" w:hAnsi="仿宋" w:eastAsia="仿宋" w:cs="仿宋"/>
          <w:color w:val="auto"/>
          <w:sz w:val="24"/>
          <w:szCs w:val="24"/>
          <w:highlight w:val="none"/>
        </w:rPr>
        <w:t>市场，情节严重的移送有关部门依法处理。</w:t>
      </w:r>
    </w:p>
    <w:p w14:paraId="1D17BEAD">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24.1不同投标人的投标文件由同一单位或人员编制； </w:t>
      </w:r>
    </w:p>
    <w:p w14:paraId="6FFC2F28">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24.2不同投标人委托同一单位或个人办理投标事宜；</w:t>
      </w:r>
    </w:p>
    <w:p w14:paraId="66B714A2">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24.3不同投标人的投标文件载明的项目管理或联系人员为同一人；</w:t>
      </w:r>
    </w:p>
    <w:p w14:paraId="3EBAD92C">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24.4不同投标人的投标文件异常一致或者投标报价呈规律性差异； </w:t>
      </w:r>
    </w:p>
    <w:p w14:paraId="1DF24EB8">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24.5不同投标人的投标文件遗留其他投标人不属于本投标人参加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必需的信息资料的；</w:t>
      </w:r>
    </w:p>
    <w:p w14:paraId="32183B27">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24.6不同投标人的授权代表为同一单位的工作人员的；   </w:t>
      </w:r>
    </w:p>
    <w:p w14:paraId="1EF25C51">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24.7采购响应截止时间后，采购人协助投标人撤换或更改投标文件的；</w:t>
      </w:r>
    </w:p>
    <w:p w14:paraId="62D1284E">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24.8采购人泄露有意向参加</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的投标人名称、数量等应当保密的事项的；</w:t>
      </w:r>
    </w:p>
    <w:p w14:paraId="78D7B5B2">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24.9不同投标人之间私下达成书面或口头协议，指定一家投标人中标或轮流中标的；</w:t>
      </w:r>
    </w:p>
    <w:p w14:paraId="5C513218">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24.10属于同一集团、协会、商会等组织成员的投标人按照该组织要求协同的投标；</w:t>
      </w:r>
    </w:p>
    <w:p w14:paraId="30AACDE6">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24.11投标人之间为谋取中标或者排斥特定投标人而采取的其他联合行动；</w:t>
      </w:r>
    </w:p>
    <w:p w14:paraId="279D494E">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24.12不同投标人与同一投标人联合投标的；</w:t>
      </w:r>
    </w:p>
    <w:p w14:paraId="681C379C">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24.13采购人（或采购代理机构）明示或者暗示投标人压低或者抬高投标报价；</w:t>
      </w:r>
    </w:p>
    <w:p w14:paraId="72F03D6C">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24.14采购人（或采购代理机构）明示或者暗示投标人为特定投标人中标提供方便；</w:t>
      </w:r>
    </w:p>
    <w:p w14:paraId="7694D291">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24.15采购人（或采购代理机构）与投标人为谋求特定投标人中标而采取的其他串通行为；</w:t>
      </w:r>
    </w:p>
    <w:p w14:paraId="615F715B">
      <w:pPr>
        <w:pageBreakBefore w:val="0"/>
        <w:widowControl w:val="0"/>
        <w:kinsoku/>
        <w:wordWrap/>
        <w:overflowPunct/>
        <w:topLinePunct w:val="0"/>
        <w:bidi w:val="0"/>
        <w:snapToGrid/>
        <w:spacing w:line="36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24.16法律法规或规章规定的其他串通行为。</w:t>
      </w:r>
    </w:p>
    <w:p w14:paraId="2C1AC68A">
      <w:pPr>
        <w:pageBreakBefore w:val="0"/>
        <w:widowControl w:val="0"/>
        <w:kinsoku/>
        <w:wordWrap/>
        <w:overflowPunct/>
        <w:topLinePunct w:val="0"/>
        <w:bidi w:val="0"/>
        <w:snapToGrid/>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25.投标文件的澄清</w:t>
      </w:r>
    </w:p>
    <w:p w14:paraId="27B32C5C">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对投标文件中含义不明确、同类问题表述不一致或者有明显文字错误的内容，评标委员会可以在“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3056865A">
      <w:pPr>
        <w:pStyle w:val="17"/>
        <w:pageBreakBefore w:val="0"/>
        <w:widowControl w:val="0"/>
        <w:kinsoku/>
        <w:wordWrap/>
        <w:overflowPunct/>
        <w:topLinePunct w:val="0"/>
        <w:bidi w:val="0"/>
        <w:snapToGrid/>
        <w:spacing w:line="360" w:lineRule="auto"/>
        <w:ind w:left="720" w:leftChars="228" w:hanging="241" w:hangingChars="1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26.错误修正</w:t>
      </w:r>
    </w:p>
    <w:p w14:paraId="451B5802">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投标文件报价出现前后不一致的，按照下列规定修正：</w:t>
      </w:r>
    </w:p>
    <w:p w14:paraId="68EDCE25">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26.1投标文件中开标一览表（报价表）内容与投标文件中相应内容不一致的，以开标一览表（报价表）为准。</w:t>
      </w:r>
    </w:p>
    <w:p w14:paraId="7D49F5FA">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26.2大写金额和小写金额不一致的，以大写金额为准。</w:t>
      </w:r>
    </w:p>
    <w:p w14:paraId="6BB63C2A">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26.3单价金额小数点或者百分比有明显错位的，以开标一览表的总价为准，并修改单价。</w:t>
      </w:r>
    </w:p>
    <w:p w14:paraId="56B3E695">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26.4总价金额与按单价汇总金额不一致的，以单价金额计算结果为准。</w:t>
      </w:r>
    </w:p>
    <w:p w14:paraId="0F1318E0">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w:t>
      </w:r>
    </w:p>
    <w:p w14:paraId="2DA69E74">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04BC4E50">
      <w:pPr>
        <w:pStyle w:val="23"/>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27.评标办法。</w:t>
      </w:r>
    </w:p>
    <w:p w14:paraId="270BA5F0">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本项目评标办法是综合评分法，具体评标内容及评分标准等详见《第三章：评标办法及评分标准》。</w:t>
      </w:r>
    </w:p>
    <w:p w14:paraId="7E7DE7F0">
      <w:pPr>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w:t>
      </w:r>
      <w:r>
        <w:rPr>
          <w:rFonts w:hint="eastAsia" w:ascii="仿宋" w:hAnsi="仿宋" w:eastAsia="仿宋" w:cs="仿宋"/>
          <w:b/>
          <w:bCs/>
          <w:color w:val="auto"/>
          <w:sz w:val="24"/>
          <w:highlight w:val="none"/>
        </w:rPr>
        <w:t>评标过程的保密</w:t>
      </w:r>
    </w:p>
    <w:p w14:paraId="6832797A">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5CA9D3F8">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75A3B599">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28.3中标人确定后，采购人不对未中标人就评标过程以及未能中标原因作出任何解释。未中标人不得向评标委员会或其他有关人员索问评标过程的情况和材料。</w:t>
      </w:r>
    </w:p>
    <w:p w14:paraId="1EEF3974">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8"/>
          <w:szCs w:val="28"/>
          <w:highlight w:val="none"/>
        </w:rPr>
      </w:pPr>
      <w:bookmarkStart w:id="25" w:name="_Toc125344509"/>
      <w:r>
        <w:rPr>
          <w:rFonts w:hint="eastAsia" w:ascii="仿宋" w:hAnsi="仿宋" w:eastAsia="仿宋" w:cs="仿宋"/>
          <w:color w:val="auto"/>
          <w:sz w:val="28"/>
          <w:szCs w:val="28"/>
          <w:highlight w:val="none"/>
        </w:rPr>
        <w:t>六、</w:t>
      </w:r>
      <w:bookmarkEnd w:id="25"/>
      <w:r>
        <w:rPr>
          <w:rFonts w:hint="eastAsia" w:ascii="仿宋" w:hAnsi="仿宋" w:eastAsia="仿宋" w:cs="仿宋"/>
          <w:color w:val="auto"/>
          <w:sz w:val="28"/>
          <w:szCs w:val="28"/>
          <w:highlight w:val="none"/>
        </w:rPr>
        <w:t>定标</w:t>
      </w:r>
    </w:p>
    <w:p w14:paraId="5DC397D7">
      <w:pPr>
        <w:pStyle w:val="23"/>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29.确定中标人。本项目由采购人确定中标人。</w:t>
      </w:r>
    </w:p>
    <w:p w14:paraId="36246EB5">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29.1采购人应当自收到评标报告之日起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6265BE6F">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29.2中标候选人无正当理由放弃中标成交或被取消中标资格的，上报</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lang w:eastAsia="zh-CN"/>
        </w:rPr>
        <w:t>招投标监管领导小组办公室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lang w:eastAsia="zh-CN"/>
        </w:rPr>
        <w:t>招投标监管领导小组办公室</w:t>
      </w:r>
      <w:r>
        <w:rPr>
          <w:rFonts w:hint="eastAsia" w:ascii="仿宋" w:hAnsi="仿宋" w:eastAsia="仿宋" w:cs="仿宋"/>
          <w:color w:val="auto"/>
          <w:sz w:val="24"/>
          <w:highlight w:val="none"/>
        </w:rPr>
        <w:t>将按《诸暨市招投标市场不良行为记录暂行规定》等有关法律、法规、制度进行处理。</w:t>
      </w:r>
      <w:r>
        <w:rPr>
          <w:rFonts w:hint="eastAsia" w:ascii="仿宋" w:hAnsi="仿宋" w:eastAsia="仿宋" w:cs="仿宋"/>
          <w:b/>
          <w:color w:val="auto"/>
          <w:sz w:val="24"/>
          <w:highlight w:val="none"/>
        </w:rPr>
        <w:t>此标的将另行组织采购</w:t>
      </w:r>
      <w:r>
        <w:rPr>
          <w:rFonts w:hint="eastAsia" w:ascii="仿宋" w:hAnsi="仿宋" w:eastAsia="仿宋" w:cs="仿宋"/>
          <w:color w:val="auto"/>
          <w:sz w:val="24"/>
          <w:highlight w:val="none"/>
        </w:rPr>
        <w:t>。</w:t>
      </w:r>
    </w:p>
    <w:p w14:paraId="5A72D363">
      <w:pPr>
        <w:pStyle w:val="23"/>
        <w:pageBreakBefore w:val="0"/>
        <w:widowControl w:val="0"/>
        <w:kinsoku/>
        <w:wordWrap/>
        <w:overflowPunct/>
        <w:topLinePunct w:val="0"/>
        <w:bidi w:val="0"/>
        <w:snapToGri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30.中标通知与中标结果公告</w:t>
      </w:r>
    </w:p>
    <w:p w14:paraId="5D9DA316">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30.1中标公示期满后，无异议的，采购人确认中标结果，</w:t>
      </w:r>
      <w:r>
        <w:rPr>
          <w:rFonts w:hint="eastAsia" w:ascii="仿宋" w:hAnsi="仿宋" w:eastAsia="仿宋" w:cs="仿宋"/>
          <w:color w:val="auto"/>
          <w:sz w:val="24"/>
          <w:highlight w:val="none"/>
          <w:lang w:eastAsia="zh-CN"/>
        </w:rPr>
        <w:t>浙江御达工程管理咨询有限公司</w:t>
      </w:r>
      <w:r>
        <w:rPr>
          <w:rFonts w:hint="eastAsia" w:ascii="仿宋" w:hAnsi="仿宋" w:eastAsia="仿宋" w:cs="仿宋"/>
          <w:color w:val="auto"/>
          <w:sz w:val="24"/>
          <w:highlight w:val="none"/>
        </w:rPr>
        <w:t>核发《中标通知书》。《中标通知书》一经发出即发生法律效力。</w:t>
      </w:r>
    </w:p>
    <w:p w14:paraId="2CD68F1B">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30.2中标结果将于公示期满后在相关网站以中标公告形式发布，中标人须在中标公告发布后到</w:t>
      </w:r>
      <w:r>
        <w:rPr>
          <w:rFonts w:hint="eastAsia" w:ascii="仿宋" w:hAnsi="仿宋" w:eastAsia="仿宋" w:cs="仿宋"/>
          <w:color w:val="auto"/>
          <w:sz w:val="24"/>
          <w:highlight w:val="none"/>
          <w:lang w:eastAsia="zh-CN"/>
        </w:rPr>
        <w:t>浙江御达工程管理咨询有限公司</w:t>
      </w:r>
      <w:r>
        <w:rPr>
          <w:rFonts w:hint="eastAsia" w:ascii="仿宋" w:hAnsi="仿宋" w:eastAsia="仿宋" w:cs="仿宋"/>
          <w:color w:val="auto"/>
          <w:sz w:val="24"/>
          <w:highlight w:val="none"/>
        </w:rPr>
        <w:t>领取书面通知。</w:t>
      </w:r>
    </w:p>
    <w:p w14:paraId="52B75967">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中标无效情形</w:t>
      </w:r>
    </w:p>
    <w:p w14:paraId="6F641E52">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中标人存在下列情形之一的，中标无效：</w:t>
      </w:r>
    </w:p>
    <w:p w14:paraId="603B6040">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31.1提供虚假材料谋取中标的；</w:t>
      </w:r>
    </w:p>
    <w:p w14:paraId="76DAD574">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31.2采取不正当手段诋毁、排挤其他投标人的；</w:t>
      </w:r>
    </w:p>
    <w:p w14:paraId="0023A9E6">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31.3与采购人、其他投标人恶意串通的；</w:t>
      </w:r>
    </w:p>
    <w:p w14:paraId="56C7644C">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31.4向采购人、采购代理机构行贿或者提供其他不正当利益的；</w:t>
      </w:r>
    </w:p>
    <w:p w14:paraId="1AFA8595">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31.5在招标过程中与采购人进行协商谈判；不按照招标文件和投标文件订立合同或者与采购人另行背离合同实质性内容的协议的；</w:t>
      </w:r>
    </w:p>
    <w:p w14:paraId="2324FC0B">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31.6拖延、拒签合同的；</w:t>
      </w:r>
    </w:p>
    <w:p w14:paraId="4B4E6878">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31.7存在法律、法规规定的其它损害采购人或采购单位利益或社会公共利益的情形的</w:t>
      </w:r>
      <w:r>
        <w:rPr>
          <w:rFonts w:hint="eastAsia" w:ascii="仿宋" w:hAnsi="仿宋" w:eastAsia="仿宋" w:cs="仿宋"/>
          <w:color w:val="auto"/>
          <w:sz w:val="24"/>
          <w:szCs w:val="24"/>
          <w:highlight w:val="none"/>
        </w:rPr>
        <w:t>。</w:t>
      </w:r>
    </w:p>
    <w:p w14:paraId="6FB78AD0">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32.重新招标</w:t>
      </w:r>
    </w:p>
    <w:p w14:paraId="04834860">
      <w:pPr>
        <w:pStyle w:val="23"/>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诸国资办〔2021〕5号文件有关事项的通知，通过公开招标方式进行采购的，经评审，只有两家单位符合采购条件，且采购文件公告期间无异议，专家组一致认为采购文件没有限制性、排他性条款的，可以继续开标。</w:t>
      </w:r>
    </w:p>
    <w:p w14:paraId="2AFE6A54">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七、授予合同</w:t>
      </w:r>
    </w:p>
    <w:p w14:paraId="0045DCC4">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33.签订合同</w:t>
      </w:r>
    </w:p>
    <w:p w14:paraId="371E7238">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.1中标人须在领取《中标通知书》后30天内，根据《中华人民共和国民法典》等有关规定，依据招标文件和投标文件的有关条款上门与相关采购人单位（即采购人）签订合同。</w:t>
      </w:r>
    </w:p>
    <w:p w14:paraId="6FDC1734">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.2招标文件、投标文件和《中标通知书》作为合同签订的依据和主要附件。合同签订时中标人须提供相应的</w:t>
      </w:r>
      <w:r>
        <w:rPr>
          <w:rFonts w:hint="eastAsia" w:ascii="仿宋" w:hAnsi="仿宋" w:eastAsia="仿宋" w:cs="仿宋"/>
          <w:bCs/>
          <w:color w:val="auto"/>
          <w:sz w:val="24"/>
          <w:highlight w:val="none"/>
        </w:rPr>
        <w:t>《中标通知书》复印件和售后服务承诺</w:t>
      </w:r>
      <w:r>
        <w:rPr>
          <w:rFonts w:hint="eastAsia" w:ascii="仿宋" w:hAnsi="仿宋" w:eastAsia="仿宋" w:cs="仿宋"/>
          <w:color w:val="auto"/>
          <w:sz w:val="24"/>
          <w:highlight w:val="none"/>
        </w:rPr>
        <w:t>给</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单位，以方便验收货物（或工程）。</w:t>
      </w:r>
    </w:p>
    <w:p w14:paraId="78CDB79F">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 合同一式四份，采购人单位和中标人各执一份、代理机构、国资部门各备案一份。</w:t>
      </w:r>
    </w:p>
    <w:p w14:paraId="022C86FF">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.4中标人和采购人单位不得擅自变更、中止或者终止合同，不得另外订立背离合同实质性内容的其</w:t>
      </w:r>
      <w:r>
        <w:rPr>
          <w:rFonts w:hint="eastAsia" w:ascii="仿宋" w:hAnsi="仿宋" w:eastAsia="仿宋" w:cs="仿宋"/>
          <w:color w:val="auto"/>
          <w:sz w:val="24"/>
          <w:highlight w:val="none"/>
          <w:lang w:val="en-US" w:eastAsia="zh-CN"/>
        </w:rPr>
        <w:t>他</w:t>
      </w:r>
      <w:r>
        <w:rPr>
          <w:rFonts w:hint="eastAsia" w:ascii="仿宋" w:hAnsi="仿宋" w:eastAsia="仿宋" w:cs="仿宋"/>
          <w:color w:val="auto"/>
          <w:sz w:val="24"/>
          <w:highlight w:val="none"/>
        </w:rPr>
        <w:t>协议。</w:t>
      </w:r>
    </w:p>
    <w:p w14:paraId="2F6095CE">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34.履约保证金</w:t>
      </w:r>
    </w:p>
    <w:p w14:paraId="3AB6912F">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34.1中标人在签订采购合同前，应按招标文件要求向采购人提交履约保证金，履约保证金作为中标人在履行合同服务承诺的保证。</w:t>
      </w:r>
    </w:p>
    <w:p w14:paraId="7753B87A">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34.2中标人应当以银行汇票或银行保函的形式提交。中标人在履行完合同约定事项后，采购人应及时退还履约保证金。履约保证金不计息。</w:t>
      </w:r>
    </w:p>
    <w:p w14:paraId="7A93280E">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34.3签订合同后，如中标人不按双方合同约定履约，则没收其全部履约保证金，履约保证金不足以赔偿损失的，按实际损失赔偿。</w:t>
      </w:r>
    </w:p>
    <w:p w14:paraId="6F379B97">
      <w:pPr>
        <w:pageBreakBefore w:val="0"/>
        <w:widowControl w:val="0"/>
        <w:kinsoku/>
        <w:wordWrap/>
        <w:overflowPunct/>
        <w:topLinePunct w:val="0"/>
        <w:bidi w:val="0"/>
        <w:snapToGrid/>
        <w:spacing w:line="36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35.合同备案</w:t>
      </w:r>
    </w:p>
    <w:p w14:paraId="7EF50D09">
      <w:pPr>
        <w:pageBreakBefore w:val="0"/>
        <w:widowControl w:val="0"/>
        <w:shd w:val="clear" w:color="auto" w:fill="auto"/>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bookmarkStart w:id="26" w:name="_Toc339459646"/>
      <w:bookmarkStart w:id="27" w:name="_Toc352165696"/>
      <w:bookmarkStart w:id="28" w:name="_Toc125344511"/>
      <w:r>
        <w:rPr>
          <w:rFonts w:hint="eastAsia" w:ascii="仿宋" w:hAnsi="仿宋" w:eastAsia="仿宋" w:cs="仿宋"/>
          <w:color w:val="auto"/>
          <w:sz w:val="24"/>
          <w:highlight w:val="none"/>
        </w:rPr>
        <w:t>采购人应当自采购合同签订之日起七个工作日内，按照有关规定进行备案。</w:t>
      </w:r>
    </w:p>
    <w:p w14:paraId="3FF1B0D2">
      <w:pPr>
        <w:pStyle w:val="17"/>
        <w:pageBreakBefore w:val="0"/>
        <w:widowControl w:val="0"/>
        <w:tabs>
          <w:tab w:val="left" w:pos="900"/>
        </w:tabs>
        <w:kinsoku/>
        <w:wordWrap/>
        <w:overflowPunct/>
        <w:topLinePunct w:val="0"/>
        <w:bidi w:val="0"/>
        <w:snapToGrid/>
        <w:spacing w:line="360" w:lineRule="auto"/>
        <w:jc w:val="center"/>
        <w:textAlignment w:val="auto"/>
        <w:rPr>
          <w:rFonts w:hint="eastAsia" w:ascii="仿宋" w:hAnsi="仿宋" w:eastAsia="仿宋" w:cs="仿宋"/>
          <w:b/>
          <w:color w:val="auto"/>
          <w:szCs w:val="24"/>
          <w:highlight w:val="none"/>
        </w:rPr>
      </w:pPr>
      <w:r>
        <w:rPr>
          <w:rFonts w:hint="eastAsia" w:ascii="仿宋" w:hAnsi="仿宋" w:eastAsia="仿宋" w:cs="仿宋"/>
          <w:color w:val="auto"/>
          <w:sz w:val="28"/>
          <w:szCs w:val="28"/>
          <w:highlight w:val="none"/>
        </w:rPr>
        <w:t>八、</w:t>
      </w:r>
      <w:r>
        <w:rPr>
          <w:rFonts w:hint="eastAsia" w:ascii="仿宋" w:hAnsi="仿宋" w:eastAsia="仿宋" w:cs="仿宋"/>
          <w:b/>
          <w:color w:val="auto"/>
          <w:szCs w:val="24"/>
          <w:highlight w:val="none"/>
        </w:rPr>
        <w:t>质疑和投诉</w:t>
      </w:r>
    </w:p>
    <w:p w14:paraId="25920860">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36.1开标过程中，投标人对开标有异议的，应当在“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采云”平台上及时提出，评审委员应对异常情况制作相关记录。</w:t>
      </w:r>
    </w:p>
    <w:p w14:paraId="2C4D1C3B">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30B373D7">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36.3质疑投诉的相关规定</w:t>
      </w:r>
    </w:p>
    <w:p w14:paraId="4868C9BD">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（一）质疑投诉递交的资料需为书面材料。质疑投诉书面材料需法人代表人（或负责人）或授权代表签字并加盖公章。</w:t>
      </w:r>
    </w:p>
    <w:p w14:paraId="7F63D7AB">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（二）质疑投诉属于以下情况之一的，将不予受理：</w:t>
      </w:r>
    </w:p>
    <w:p w14:paraId="0551B31A">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(1).质疑投诉人不是所投诉项目的参与者，或者与质疑投诉项目无任何利害关系。</w:t>
      </w:r>
    </w:p>
    <w:p w14:paraId="37030EB3">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(2).质疑投诉事项不具体，且未提供有效线索，难以查证。</w:t>
      </w:r>
    </w:p>
    <w:p w14:paraId="60970C27">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(3).未提供书面质疑或者质疑未加盖公章的；投诉人为法人或者其他组织，其投诉书未经法定代表人或者主要负责人签字并加盖公章的。</w:t>
      </w:r>
    </w:p>
    <w:p w14:paraId="7D66EC03">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(4).已超过招标文件规定质疑投诉提出期限的事项。</w:t>
      </w:r>
    </w:p>
    <w:p w14:paraId="6D337E43">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(5).投诉事项已作出处理决定，并且投诉人没有提出新的证据</w:t>
      </w:r>
    </w:p>
    <w:p w14:paraId="3E7A7670">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(6).质疑投诉的事项已经进入行政复议或者行政诉讼程序的；投诉事项应先提出质疑而没有提出质疑的。</w:t>
      </w:r>
    </w:p>
    <w:p w14:paraId="51599C68">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(7).不符合</w:t>
      </w:r>
      <w:r>
        <w:rPr>
          <w:rFonts w:hint="eastAsia" w:ascii="仿宋" w:hAnsi="仿宋" w:eastAsia="仿宋" w:cs="仿宋"/>
          <w:color w:val="auto"/>
          <w:sz w:val="24"/>
          <w:highlight w:val="none"/>
          <w:lang w:val="en-US" w:eastAsia="zh-CN"/>
        </w:rPr>
        <w:t>采购相关法律法规</w:t>
      </w:r>
      <w:r>
        <w:rPr>
          <w:rFonts w:hint="eastAsia" w:ascii="仿宋" w:hAnsi="仿宋" w:eastAsia="仿宋" w:cs="仿宋"/>
          <w:color w:val="auto"/>
          <w:sz w:val="24"/>
          <w:highlight w:val="none"/>
        </w:rPr>
        <w:t>等有关规定的投诉。</w:t>
      </w:r>
    </w:p>
    <w:p w14:paraId="1313027A">
      <w:pPr>
        <w:pStyle w:val="5"/>
        <w:pageBreakBefore w:val="0"/>
        <w:widowControl w:val="0"/>
        <w:kinsoku/>
        <w:wordWrap/>
        <w:overflowPunct/>
        <w:topLinePunct w:val="0"/>
        <w:bidi w:val="0"/>
        <w:snapToGrid/>
        <w:spacing w:before="0" w:beforeLines="0" w:after="0" w:afterLines="0" w:line="360" w:lineRule="auto"/>
        <w:ind w:firstLine="562"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良行为记录</w:t>
      </w:r>
      <w:bookmarkEnd w:id="26"/>
      <w:bookmarkEnd w:id="27"/>
    </w:p>
    <w:p w14:paraId="74F5E81E">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投标人在采购活动中出现下列违规行为的将记入</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lang w:eastAsia="zh-CN"/>
        </w:rPr>
        <w:t>招投标监管领导小组办公室采购</w:t>
      </w:r>
      <w:r>
        <w:rPr>
          <w:rFonts w:hint="eastAsia" w:ascii="仿宋" w:hAnsi="仿宋" w:eastAsia="仿宋" w:cs="仿宋"/>
          <w:color w:val="auto"/>
          <w:sz w:val="24"/>
          <w:highlight w:val="none"/>
        </w:rPr>
        <w:t>不良行为记录，并在记录时限内暂停其</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lang w:val="en-US" w:eastAsia="zh-CN"/>
        </w:rPr>
        <w:t>其</w:t>
      </w:r>
      <w:r>
        <w:rPr>
          <w:rFonts w:hint="eastAsia" w:ascii="仿宋" w:hAnsi="仿宋" w:eastAsia="仿宋" w:cs="仿宋"/>
          <w:color w:val="auto"/>
          <w:sz w:val="24"/>
          <w:highlight w:val="none"/>
          <w:lang w:eastAsia="zh-CN"/>
        </w:rPr>
        <w:t>下属公司采购</w:t>
      </w:r>
      <w:r>
        <w:rPr>
          <w:rFonts w:hint="eastAsia" w:ascii="仿宋" w:hAnsi="仿宋" w:eastAsia="仿宋" w:cs="仿宋"/>
          <w:color w:val="auto"/>
          <w:sz w:val="24"/>
          <w:highlight w:val="none"/>
        </w:rPr>
        <w:t>交易资格，同时不良行为在诸暨市公共资源交易中心网站公示。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755F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7" w:type="dxa"/>
            <w:noWrap w:val="0"/>
            <w:vAlign w:val="center"/>
          </w:tcPr>
          <w:p w14:paraId="610B73E9">
            <w:pPr>
              <w:pageBreakBefore w:val="0"/>
              <w:widowControl w:val="0"/>
              <w:kinsoku/>
              <w:wordWrap/>
              <w:overflowPunct/>
              <w:topLinePunct w:val="0"/>
              <w:bidi w:val="0"/>
              <w:snapToGrid/>
              <w:spacing w:line="264"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433" w:type="dxa"/>
            <w:noWrap w:val="0"/>
            <w:vAlign w:val="center"/>
          </w:tcPr>
          <w:p w14:paraId="2A61AFF5">
            <w:pPr>
              <w:pageBreakBefore w:val="0"/>
              <w:widowControl w:val="0"/>
              <w:kinsoku/>
              <w:wordWrap/>
              <w:overflowPunct/>
              <w:topLinePunct w:val="0"/>
              <w:bidi w:val="0"/>
              <w:snapToGrid/>
              <w:spacing w:line="264"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不良行为</w:t>
            </w:r>
          </w:p>
        </w:tc>
        <w:tc>
          <w:tcPr>
            <w:tcW w:w="1326" w:type="dxa"/>
            <w:noWrap w:val="0"/>
            <w:vAlign w:val="center"/>
          </w:tcPr>
          <w:p w14:paraId="48E182BE">
            <w:pPr>
              <w:pageBreakBefore w:val="0"/>
              <w:widowControl w:val="0"/>
              <w:kinsoku/>
              <w:wordWrap/>
              <w:overflowPunct/>
              <w:topLinePunct w:val="0"/>
              <w:bidi w:val="0"/>
              <w:snapToGrid/>
              <w:spacing w:line="264"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记录时限</w:t>
            </w:r>
          </w:p>
        </w:tc>
      </w:tr>
      <w:tr w14:paraId="3861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703282F7">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33" w:type="dxa"/>
            <w:noWrap w:val="0"/>
            <w:vAlign w:val="center"/>
          </w:tcPr>
          <w:p w14:paraId="2F499C12">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在招标采购过程中，与采购人进行协商谈判的</w:t>
            </w:r>
          </w:p>
        </w:tc>
        <w:tc>
          <w:tcPr>
            <w:tcW w:w="1326" w:type="dxa"/>
            <w:noWrap w:val="0"/>
            <w:vAlign w:val="center"/>
          </w:tcPr>
          <w:p w14:paraId="6AF5ECA4">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6个月</w:t>
            </w:r>
          </w:p>
        </w:tc>
      </w:tr>
      <w:tr w14:paraId="0AC2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004DFADA">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433" w:type="dxa"/>
            <w:noWrap w:val="0"/>
            <w:vAlign w:val="center"/>
          </w:tcPr>
          <w:p w14:paraId="0FF7F581">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投标有效期内撤回其投标文件的</w:t>
            </w:r>
          </w:p>
        </w:tc>
        <w:tc>
          <w:tcPr>
            <w:tcW w:w="1326" w:type="dxa"/>
            <w:noWrap w:val="0"/>
            <w:vAlign w:val="center"/>
          </w:tcPr>
          <w:p w14:paraId="3735A92A">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6个月</w:t>
            </w:r>
          </w:p>
        </w:tc>
      </w:tr>
      <w:tr w14:paraId="6D8B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96518C9">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433" w:type="dxa"/>
            <w:noWrap w:val="0"/>
            <w:vAlign w:val="center"/>
          </w:tcPr>
          <w:p w14:paraId="7A092561">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拒绝有关部门监督检查的</w:t>
            </w:r>
          </w:p>
        </w:tc>
        <w:tc>
          <w:tcPr>
            <w:tcW w:w="1326" w:type="dxa"/>
            <w:noWrap w:val="0"/>
            <w:vAlign w:val="center"/>
          </w:tcPr>
          <w:p w14:paraId="1A66B5E1">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6个月</w:t>
            </w:r>
          </w:p>
        </w:tc>
      </w:tr>
      <w:tr w14:paraId="65B1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1144F1FC">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433" w:type="dxa"/>
            <w:noWrap w:val="0"/>
            <w:vAlign w:val="center"/>
          </w:tcPr>
          <w:p w14:paraId="70EFF360">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不积极配合采购人做好标的验收工作的</w:t>
            </w:r>
          </w:p>
        </w:tc>
        <w:tc>
          <w:tcPr>
            <w:tcW w:w="1326" w:type="dxa"/>
            <w:noWrap w:val="0"/>
            <w:vAlign w:val="center"/>
          </w:tcPr>
          <w:p w14:paraId="07EA5190">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6个月</w:t>
            </w:r>
          </w:p>
        </w:tc>
      </w:tr>
      <w:tr w14:paraId="29C1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9BACD33">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433" w:type="dxa"/>
            <w:noWrap w:val="0"/>
            <w:vAlign w:val="center"/>
          </w:tcPr>
          <w:p w14:paraId="2C254BF9">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在有关部门的监督检查或考核中被通报批评或处以警告及以上处罚的</w:t>
            </w:r>
          </w:p>
        </w:tc>
        <w:tc>
          <w:tcPr>
            <w:tcW w:w="1326" w:type="dxa"/>
            <w:noWrap w:val="0"/>
            <w:vAlign w:val="center"/>
          </w:tcPr>
          <w:p w14:paraId="106B1E7E">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6个月</w:t>
            </w:r>
          </w:p>
        </w:tc>
      </w:tr>
      <w:tr w14:paraId="1B0B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0E60E3E">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433" w:type="dxa"/>
            <w:noWrap w:val="0"/>
            <w:vAlign w:val="center"/>
          </w:tcPr>
          <w:p w14:paraId="3BF05EDC">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不遵守投标会场纪律，无理取闹，扰乱交易秩序的</w:t>
            </w:r>
          </w:p>
        </w:tc>
        <w:tc>
          <w:tcPr>
            <w:tcW w:w="1326" w:type="dxa"/>
            <w:noWrap w:val="0"/>
            <w:vAlign w:val="center"/>
          </w:tcPr>
          <w:p w14:paraId="4C766AAA">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1年</w:t>
            </w:r>
          </w:p>
        </w:tc>
      </w:tr>
      <w:tr w14:paraId="58BC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011B8F42">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433" w:type="dxa"/>
            <w:noWrap w:val="0"/>
            <w:vAlign w:val="center"/>
          </w:tcPr>
          <w:p w14:paraId="14B44EA0">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中标后无正当理由放弃中标，或在规定时间内不与采购人签订</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合同，或在签订合同时提出附加条件或更改合同实质性内容，或拒不提交所要求的履约保证金的</w:t>
            </w:r>
          </w:p>
        </w:tc>
        <w:tc>
          <w:tcPr>
            <w:tcW w:w="1326" w:type="dxa"/>
            <w:noWrap w:val="0"/>
            <w:vAlign w:val="center"/>
          </w:tcPr>
          <w:p w14:paraId="1716A851">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1年</w:t>
            </w:r>
          </w:p>
        </w:tc>
      </w:tr>
      <w:tr w14:paraId="43E8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6740DA3B">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433" w:type="dxa"/>
            <w:noWrap w:val="0"/>
            <w:vAlign w:val="center"/>
          </w:tcPr>
          <w:p w14:paraId="415678AC">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虚假投诉、恶意投诉和不按程序、规定时间进行质疑投诉而影响采购工作正常进行或造成不良影响的</w:t>
            </w:r>
          </w:p>
        </w:tc>
        <w:tc>
          <w:tcPr>
            <w:tcW w:w="1326" w:type="dxa"/>
            <w:noWrap w:val="0"/>
            <w:vAlign w:val="center"/>
          </w:tcPr>
          <w:p w14:paraId="39F183BB">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1年</w:t>
            </w:r>
          </w:p>
        </w:tc>
      </w:tr>
      <w:tr w14:paraId="6146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7D9D0F2">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433" w:type="dxa"/>
            <w:noWrap w:val="0"/>
            <w:vAlign w:val="center"/>
          </w:tcPr>
          <w:p w14:paraId="62E3C457">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不按照与采购人订立的合同履行义务（包括提供标的、售后服务、技术支持等），严重违反合同规定和廉政合同要求的</w:t>
            </w:r>
          </w:p>
        </w:tc>
        <w:tc>
          <w:tcPr>
            <w:tcW w:w="1326" w:type="dxa"/>
            <w:noWrap w:val="0"/>
            <w:vAlign w:val="center"/>
          </w:tcPr>
          <w:p w14:paraId="06A0F18E">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1年</w:t>
            </w:r>
          </w:p>
        </w:tc>
      </w:tr>
      <w:tr w14:paraId="3AFF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5C7D372">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6433" w:type="dxa"/>
            <w:noWrap w:val="0"/>
            <w:vAlign w:val="center"/>
          </w:tcPr>
          <w:p w14:paraId="427B4B1B">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项目负责人不到位，或擅自变换项目负责人，或不认真履行职责造成采购人损失的</w:t>
            </w:r>
          </w:p>
        </w:tc>
        <w:tc>
          <w:tcPr>
            <w:tcW w:w="1326" w:type="dxa"/>
            <w:noWrap w:val="0"/>
            <w:vAlign w:val="center"/>
          </w:tcPr>
          <w:p w14:paraId="741D474E">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1年</w:t>
            </w:r>
          </w:p>
        </w:tc>
      </w:tr>
      <w:tr w14:paraId="39E0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25DAD0B1">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6433" w:type="dxa"/>
            <w:noWrap w:val="0"/>
            <w:vAlign w:val="center"/>
          </w:tcPr>
          <w:p w14:paraId="2E322E02">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14:paraId="2DE6D98A">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1年</w:t>
            </w:r>
          </w:p>
        </w:tc>
      </w:tr>
      <w:tr w14:paraId="6F6A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6861494">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6433" w:type="dxa"/>
            <w:noWrap w:val="0"/>
            <w:vAlign w:val="center"/>
          </w:tcPr>
          <w:p w14:paraId="767415D7">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与采购人、其他供应商或者采购代理机构相互串通的</w:t>
            </w:r>
          </w:p>
        </w:tc>
        <w:tc>
          <w:tcPr>
            <w:tcW w:w="1326" w:type="dxa"/>
            <w:noWrap w:val="0"/>
            <w:vAlign w:val="center"/>
          </w:tcPr>
          <w:p w14:paraId="774B5E0B">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2年</w:t>
            </w:r>
          </w:p>
        </w:tc>
      </w:tr>
      <w:tr w14:paraId="472C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6D49E694">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6433" w:type="dxa"/>
            <w:noWrap w:val="0"/>
            <w:vAlign w:val="center"/>
          </w:tcPr>
          <w:p w14:paraId="5C20DE61">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采取不正当手段排挤其他供应商，进行不公平竞争的</w:t>
            </w:r>
          </w:p>
        </w:tc>
        <w:tc>
          <w:tcPr>
            <w:tcW w:w="1326" w:type="dxa"/>
            <w:noWrap w:val="0"/>
            <w:vAlign w:val="center"/>
          </w:tcPr>
          <w:p w14:paraId="1F6C011D">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2年</w:t>
            </w:r>
          </w:p>
        </w:tc>
      </w:tr>
      <w:tr w14:paraId="798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79D785A">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6433" w:type="dxa"/>
            <w:noWrap w:val="0"/>
            <w:vAlign w:val="center"/>
          </w:tcPr>
          <w:p w14:paraId="13383E49">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中标后与采购人另行订立背离合同实质内容的协议的</w:t>
            </w:r>
          </w:p>
        </w:tc>
        <w:tc>
          <w:tcPr>
            <w:tcW w:w="1326" w:type="dxa"/>
            <w:noWrap w:val="0"/>
            <w:vAlign w:val="center"/>
          </w:tcPr>
          <w:p w14:paraId="351CD0F9">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2年</w:t>
            </w:r>
          </w:p>
        </w:tc>
      </w:tr>
      <w:tr w14:paraId="0A1A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A5C5A08">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6433" w:type="dxa"/>
            <w:noWrap w:val="0"/>
            <w:vAlign w:val="center"/>
          </w:tcPr>
          <w:p w14:paraId="3948322A">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事先有承诺，而事后违反承诺内容的</w:t>
            </w:r>
          </w:p>
        </w:tc>
        <w:tc>
          <w:tcPr>
            <w:tcW w:w="1326" w:type="dxa"/>
            <w:noWrap w:val="0"/>
            <w:vAlign w:val="center"/>
          </w:tcPr>
          <w:p w14:paraId="0A523A37">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2年</w:t>
            </w:r>
          </w:p>
        </w:tc>
      </w:tr>
      <w:tr w14:paraId="7243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C4E442E">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6433" w:type="dxa"/>
            <w:noWrap w:val="0"/>
            <w:vAlign w:val="center"/>
          </w:tcPr>
          <w:p w14:paraId="1E3A8B32">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将中标项目转包或违反规定进行分包的</w:t>
            </w:r>
          </w:p>
        </w:tc>
        <w:tc>
          <w:tcPr>
            <w:tcW w:w="1326" w:type="dxa"/>
            <w:noWrap w:val="0"/>
            <w:vAlign w:val="center"/>
          </w:tcPr>
          <w:p w14:paraId="16ED8888">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2年</w:t>
            </w:r>
          </w:p>
        </w:tc>
      </w:tr>
      <w:tr w14:paraId="71B2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0013C922">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6433" w:type="dxa"/>
            <w:noWrap w:val="0"/>
            <w:vAlign w:val="center"/>
          </w:tcPr>
          <w:p w14:paraId="549E9BBB">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提供虚假资料参加投标的</w:t>
            </w:r>
          </w:p>
        </w:tc>
        <w:tc>
          <w:tcPr>
            <w:tcW w:w="1326" w:type="dxa"/>
            <w:noWrap w:val="0"/>
            <w:vAlign w:val="center"/>
          </w:tcPr>
          <w:p w14:paraId="46636232">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3年</w:t>
            </w:r>
          </w:p>
        </w:tc>
      </w:tr>
      <w:tr w14:paraId="6536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3C45F215">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6433" w:type="dxa"/>
            <w:noWrap w:val="0"/>
            <w:vAlign w:val="center"/>
          </w:tcPr>
          <w:p w14:paraId="7DFDD458">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以他人名义投标或允许他人以自己名义投标，或者以其他方式弄虚作假的</w:t>
            </w:r>
          </w:p>
        </w:tc>
        <w:tc>
          <w:tcPr>
            <w:tcW w:w="1326" w:type="dxa"/>
            <w:noWrap w:val="0"/>
            <w:vAlign w:val="center"/>
          </w:tcPr>
          <w:p w14:paraId="3C7D78A1">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3年</w:t>
            </w:r>
          </w:p>
        </w:tc>
      </w:tr>
      <w:tr w14:paraId="53A2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47" w:type="dxa"/>
            <w:noWrap w:val="0"/>
            <w:vAlign w:val="center"/>
          </w:tcPr>
          <w:p w14:paraId="45413E0C">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6433" w:type="dxa"/>
            <w:noWrap w:val="0"/>
            <w:vAlign w:val="center"/>
          </w:tcPr>
          <w:p w14:paraId="4E4B4CC5">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未按照采购合同约定及时提供全部货物的，或无故拖延工期的</w:t>
            </w:r>
          </w:p>
        </w:tc>
        <w:tc>
          <w:tcPr>
            <w:tcW w:w="1326" w:type="dxa"/>
            <w:noWrap w:val="0"/>
            <w:vAlign w:val="center"/>
          </w:tcPr>
          <w:p w14:paraId="6259DEBE">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3年</w:t>
            </w:r>
          </w:p>
        </w:tc>
      </w:tr>
      <w:tr w14:paraId="3834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 w:type="dxa"/>
            <w:noWrap w:val="0"/>
            <w:vAlign w:val="center"/>
          </w:tcPr>
          <w:p w14:paraId="379E367D">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6433" w:type="dxa"/>
            <w:noWrap w:val="0"/>
            <w:vAlign w:val="center"/>
          </w:tcPr>
          <w:p w14:paraId="6727BF01">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无故不提供中标要求的型号、配置等产品的，或有拆换、调换、截留产品零部件和备品备件的行为的</w:t>
            </w:r>
          </w:p>
        </w:tc>
        <w:tc>
          <w:tcPr>
            <w:tcW w:w="1326" w:type="dxa"/>
            <w:noWrap w:val="0"/>
            <w:vAlign w:val="center"/>
          </w:tcPr>
          <w:p w14:paraId="26E0DD77">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3年</w:t>
            </w:r>
          </w:p>
        </w:tc>
      </w:tr>
      <w:tr w14:paraId="320B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25405A40">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6433" w:type="dxa"/>
            <w:noWrap w:val="0"/>
            <w:vAlign w:val="center"/>
          </w:tcPr>
          <w:p w14:paraId="0119E938">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为获取自身利益，向采购人及其他有利害关系的单位或个人提供不正当利益的</w:t>
            </w:r>
          </w:p>
        </w:tc>
        <w:tc>
          <w:tcPr>
            <w:tcW w:w="1326" w:type="dxa"/>
            <w:noWrap w:val="0"/>
            <w:vAlign w:val="center"/>
          </w:tcPr>
          <w:p w14:paraId="05D3D348">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3年</w:t>
            </w:r>
          </w:p>
        </w:tc>
      </w:tr>
      <w:tr w14:paraId="011A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FC2F4A0">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6433" w:type="dxa"/>
            <w:noWrap w:val="0"/>
            <w:vAlign w:val="center"/>
          </w:tcPr>
          <w:p w14:paraId="15EFA678">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提供假冒伪劣产品或走私物品的</w:t>
            </w:r>
          </w:p>
        </w:tc>
        <w:tc>
          <w:tcPr>
            <w:tcW w:w="1326" w:type="dxa"/>
            <w:noWrap w:val="0"/>
            <w:vAlign w:val="center"/>
          </w:tcPr>
          <w:p w14:paraId="0611EEC9">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5年</w:t>
            </w:r>
          </w:p>
        </w:tc>
      </w:tr>
      <w:tr w14:paraId="3369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D936771">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6433" w:type="dxa"/>
            <w:noWrap w:val="0"/>
            <w:vAlign w:val="center"/>
          </w:tcPr>
          <w:p w14:paraId="3E860F9C">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擅自变更、中止、终止或解除</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合同的</w:t>
            </w:r>
          </w:p>
        </w:tc>
        <w:tc>
          <w:tcPr>
            <w:tcW w:w="1326" w:type="dxa"/>
            <w:noWrap w:val="0"/>
            <w:vAlign w:val="center"/>
          </w:tcPr>
          <w:p w14:paraId="308D0460">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5年</w:t>
            </w:r>
          </w:p>
        </w:tc>
      </w:tr>
      <w:tr w14:paraId="0AEC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8D81E33">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6433" w:type="dxa"/>
            <w:noWrap w:val="0"/>
            <w:vAlign w:val="center"/>
          </w:tcPr>
          <w:p w14:paraId="159BA2A5">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向有关人员行贿或者提供不正当利益谋取中标的</w:t>
            </w:r>
          </w:p>
        </w:tc>
        <w:tc>
          <w:tcPr>
            <w:tcW w:w="1326" w:type="dxa"/>
            <w:noWrap w:val="0"/>
            <w:vAlign w:val="center"/>
          </w:tcPr>
          <w:p w14:paraId="613AD2E5">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5年</w:t>
            </w:r>
          </w:p>
        </w:tc>
      </w:tr>
      <w:tr w14:paraId="015A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670339C">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6433" w:type="dxa"/>
            <w:noWrap w:val="0"/>
            <w:vAlign w:val="center"/>
          </w:tcPr>
          <w:p w14:paraId="447D86F6">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活动期间，对管理机构、采购人、其他投标人、评标专家、中介机构等</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相关机构和人员，采取诋毁、诽谤、胁迫、暴力等不正当手段的</w:t>
            </w:r>
          </w:p>
        </w:tc>
        <w:tc>
          <w:tcPr>
            <w:tcW w:w="1326" w:type="dxa"/>
            <w:noWrap w:val="0"/>
            <w:vAlign w:val="center"/>
          </w:tcPr>
          <w:p w14:paraId="2CD0801D">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5年</w:t>
            </w:r>
          </w:p>
        </w:tc>
      </w:tr>
      <w:tr w14:paraId="088D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7D749301">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6433" w:type="dxa"/>
            <w:noWrap w:val="0"/>
            <w:vAlign w:val="center"/>
          </w:tcPr>
          <w:p w14:paraId="76ACAA78">
            <w:pPr>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lang w:eastAsia="zh-CN"/>
              </w:rPr>
              <w:t>招投标监管领导小组办公室</w:t>
            </w:r>
            <w:r>
              <w:rPr>
                <w:rFonts w:hint="eastAsia" w:ascii="仿宋" w:hAnsi="仿宋" w:eastAsia="仿宋" w:cs="仿宋"/>
                <w:color w:val="auto"/>
                <w:sz w:val="24"/>
                <w:highlight w:val="none"/>
              </w:rPr>
              <w:t>认定的其他违反</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管理的行为</w:t>
            </w:r>
          </w:p>
        </w:tc>
        <w:tc>
          <w:tcPr>
            <w:tcW w:w="1326" w:type="dxa"/>
            <w:noWrap w:val="0"/>
            <w:vAlign w:val="center"/>
          </w:tcPr>
          <w:p w14:paraId="665511C7">
            <w:pPr>
              <w:pageBreakBefore w:val="0"/>
              <w:widowControl w:val="0"/>
              <w:kinsoku/>
              <w:wordWrap/>
              <w:overflowPunct/>
              <w:topLinePunct w:val="0"/>
              <w:bidi w:val="0"/>
              <w:snapToGrid/>
              <w:spacing w:line="264"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酌情处理</w:t>
            </w:r>
          </w:p>
        </w:tc>
      </w:tr>
    </w:tbl>
    <w:p w14:paraId="753D8DC1">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十、解释</w:t>
      </w:r>
      <w:bookmarkEnd w:id="28"/>
    </w:p>
    <w:p w14:paraId="49A1844E">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37.本次招标活动接受诸暨市国资办、采购人招投标监管部门的监督。</w:t>
      </w:r>
    </w:p>
    <w:p w14:paraId="59499398">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38.本招</w:t>
      </w:r>
      <w:r>
        <w:rPr>
          <w:rFonts w:hint="eastAsia" w:ascii="仿宋" w:hAnsi="仿宋" w:eastAsia="仿宋" w:cs="仿宋"/>
          <w:color w:val="auto"/>
          <w:sz w:val="24"/>
          <w:highlight w:val="none"/>
        </w:rPr>
        <w:t>标文件的解释权属于采购人和</w:t>
      </w:r>
      <w:r>
        <w:rPr>
          <w:rFonts w:hint="eastAsia" w:ascii="仿宋" w:hAnsi="仿宋" w:eastAsia="仿宋" w:cs="仿宋"/>
          <w:color w:val="auto"/>
          <w:sz w:val="24"/>
          <w:szCs w:val="24"/>
          <w:highlight w:val="none"/>
          <w:lang w:eastAsia="zh-CN"/>
        </w:rPr>
        <w:t>浙江御达工程管理咨询有限公司</w:t>
      </w:r>
      <w:r>
        <w:rPr>
          <w:rFonts w:hint="eastAsia" w:ascii="仿宋" w:hAnsi="仿宋" w:eastAsia="仿宋" w:cs="仿宋"/>
          <w:color w:val="auto"/>
          <w:sz w:val="24"/>
          <w:highlight w:val="none"/>
        </w:rPr>
        <w:t>。</w:t>
      </w:r>
    </w:p>
    <w:p w14:paraId="3CB154BC">
      <w:pPr>
        <w:pageBreakBefore w:val="0"/>
        <w:kinsoku/>
        <w:wordWrap/>
        <w:overflowPunct/>
        <w:topLinePunct w:val="0"/>
        <w:bidi w:val="0"/>
        <w:snapToGrid/>
        <w:spacing w:line="300" w:lineRule="auto"/>
        <w:ind w:firstLine="480" w:firstLineChars="200"/>
        <w:rPr>
          <w:rFonts w:hint="eastAsia" w:ascii="仿宋" w:hAnsi="仿宋" w:eastAsia="仿宋" w:cs="仿宋"/>
          <w:color w:val="auto"/>
          <w:sz w:val="24"/>
          <w:highlight w:val="none"/>
        </w:rPr>
      </w:pPr>
    </w:p>
    <w:p w14:paraId="61FCACDF">
      <w:pPr>
        <w:pageBreakBefore w:val="0"/>
        <w:kinsoku/>
        <w:wordWrap/>
        <w:overflowPunct/>
        <w:topLinePunct w:val="0"/>
        <w:bidi w:val="0"/>
        <w:snapToGrid/>
        <w:spacing w:line="300" w:lineRule="auto"/>
        <w:jc w:val="center"/>
        <w:rPr>
          <w:rFonts w:hint="eastAsia" w:ascii="仿宋" w:hAnsi="仿宋" w:eastAsia="仿宋" w:cs="仿宋"/>
          <w:b/>
          <w:bCs/>
          <w:color w:val="auto"/>
          <w:sz w:val="36"/>
          <w:szCs w:val="28"/>
          <w:highlight w:val="none"/>
        </w:rPr>
        <w:sectPr>
          <w:footerReference r:id="rId8" w:type="first"/>
          <w:footerReference r:id="rId7" w:type="default"/>
          <w:pgSz w:w="11906" w:h="16838"/>
          <w:pgMar w:top="1474" w:right="1814" w:bottom="1474" w:left="1814" w:header="851" w:footer="907" w:gutter="0"/>
          <w:pgNumType w:fmt="decimal"/>
          <w:cols w:space="720" w:num="1"/>
          <w:docGrid w:type="lines" w:linePitch="312" w:charSpace="0"/>
        </w:sectPr>
      </w:pPr>
    </w:p>
    <w:p w14:paraId="2DD046A7">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6"/>
          <w:szCs w:val="28"/>
          <w:highlight w:val="none"/>
        </w:rPr>
        <w:t>第三章   评标办法及评分标准</w:t>
      </w:r>
    </w:p>
    <w:p w14:paraId="60C666B5">
      <w:pPr>
        <w:pStyle w:val="2"/>
        <w:keepNext w:val="0"/>
        <w:keepLines w:val="0"/>
        <w:pageBreakBefore w:val="0"/>
        <w:widowControl w:val="0"/>
        <w:kinsoku/>
        <w:wordWrap/>
        <w:overflowPunct/>
        <w:topLinePunct w:val="0"/>
        <w:bidi w:val="0"/>
        <w:adjustRightInd w:val="0"/>
        <w:snapToGrid/>
        <w:spacing w:after="0" w:afterLines="0" w:line="360" w:lineRule="auto"/>
        <w:ind w:left="0" w:leftChars="0" w:firstLine="480" w:firstLineChars="200"/>
        <w:textAlignment w:val="auto"/>
        <w:rPr>
          <w:rFonts w:hint="eastAsia" w:ascii="仿宋" w:hAnsi="仿宋" w:eastAsia="仿宋" w:cs="仿宋"/>
          <w:color w:val="auto"/>
          <w:sz w:val="24"/>
          <w:highlight w:val="none"/>
        </w:rPr>
      </w:pPr>
      <w:bookmarkStart w:id="29" w:name="_Toc125344513"/>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采用</w:t>
      </w:r>
      <w:r>
        <w:rPr>
          <w:rFonts w:hint="eastAsia" w:ascii="仿宋" w:hAnsi="仿宋" w:eastAsia="仿宋" w:cs="仿宋"/>
          <w:color w:val="auto"/>
          <w:sz w:val="24"/>
          <w:highlight w:val="none"/>
          <w:u w:val="single"/>
        </w:rPr>
        <w:t>　综合评分法　</w:t>
      </w:r>
      <w:r>
        <w:rPr>
          <w:rFonts w:hint="eastAsia" w:ascii="仿宋" w:hAnsi="仿宋" w:eastAsia="仿宋" w:cs="仿宋"/>
          <w:color w:val="auto"/>
          <w:sz w:val="24"/>
          <w:highlight w:val="none"/>
        </w:rPr>
        <w:t>。即在符合招标文件要求的前提下，择定最高得分者为第一中标候选人</w:t>
      </w:r>
      <w:r>
        <w:rPr>
          <w:rFonts w:hint="eastAsia" w:ascii="仿宋" w:hAnsi="仿宋" w:eastAsia="仿宋" w:cs="仿宋"/>
          <w:color w:val="auto"/>
          <w:sz w:val="24"/>
          <w:szCs w:val="24"/>
          <w:highlight w:val="none"/>
        </w:rPr>
        <w:t>，即预中标人。</w:t>
      </w:r>
    </w:p>
    <w:p w14:paraId="2ACE218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投标人为中标候选人。</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4D08698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评分办法</w:t>
      </w:r>
    </w:p>
    <w:p w14:paraId="5B186F12">
      <w:pPr>
        <w:keepNext w:val="0"/>
        <w:keepLines w:val="0"/>
        <w:pageBreakBefore w:val="0"/>
        <w:widowControl w:val="0"/>
        <w:kinsoku/>
        <w:wordWrap/>
        <w:overflowPunct/>
        <w:topLinePunct w:val="0"/>
        <w:bidi w:val="0"/>
        <w:adjustRightInd w:val="0"/>
        <w:snapToGrid/>
        <w:spacing w:line="360" w:lineRule="auto"/>
        <w:ind w:firstLine="240" w:firstLineChars="100"/>
        <w:textAlignment w:val="auto"/>
        <w:rPr>
          <w:rFonts w:hint="eastAsia" w:ascii="仿宋" w:hAnsi="仿宋" w:eastAsia="仿宋" w:cs="仿宋"/>
          <w:color w:val="auto"/>
          <w:sz w:val="24"/>
          <w:lang w:eastAsia="zh-CN"/>
        </w:rPr>
      </w:pPr>
      <w:r>
        <w:rPr>
          <w:rFonts w:hint="eastAsia" w:ascii="仿宋" w:hAnsi="仿宋" w:eastAsia="仿宋" w:cs="仿宋"/>
          <w:color w:val="auto"/>
          <w:sz w:val="24"/>
        </w:rPr>
        <w:t>（1）满分为100分。</w:t>
      </w:r>
      <w:r>
        <w:rPr>
          <w:rFonts w:hint="eastAsia" w:ascii="仿宋" w:hAnsi="仿宋" w:eastAsia="仿宋" w:cs="仿宋"/>
          <w:color w:val="auto"/>
          <w:sz w:val="24"/>
          <w:szCs w:val="24"/>
          <w:highlight w:val="none"/>
        </w:rPr>
        <w:t>总得分=</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技术得分+</w:t>
      </w:r>
      <w:r>
        <w:rPr>
          <w:rFonts w:hint="eastAsia" w:ascii="仿宋" w:hAnsi="仿宋" w:eastAsia="仿宋" w:cs="仿宋"/>
          <w:color w:val="auto"/>
          <w:sz w:val="24"/>
        </w:rPr>
        <w:t>报价得分</w:t>
      </w:r>
      <w:r>
        <w:rPr>
          <w:rFonts w:hint="eastAsia" w:ascii="仿宋" w:hAnsi="仿宋" w:eastAsia="仿宋" w:cs="仿宋"/>
          <w:color w:val="auto"/>
          <w:sz w:val="24"/>
          <w:lang w:eastAsia="zh-CN"/>
        </w:rPr>
        <w:t>。</w:t>
      </w:r>
    </w:p>
    <w:p w14:paraId="4878BDDC">
      <w:pPr>
        <w:keepNext w:val="0"/>
        <w:keepLines w:val="0"/>
        <w:pageBreakBefore w:val="0"/>
        <w:widowControl w:val="0"/>
        <w:kinsoku/>
        <w:wordWrap/>
        <w:overflowPunct/>
        <w:topLinePunct w:val="0"/>
        <w:bidi w:val="0"/>
        <w:adjustRightInd w:val="0"/>
        <w:snapToGrid/>
        <w:spacing w:line="360" w:lineRule="auto"/>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技术得分=</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技术评分，</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技术评分=所有评委的有效评分的算术平均数</w:t>
      </w:r>
      <w:r>
        <w:rPr>
          <w:rFonts w:hint="eastAsia" w:ascii="仿宋" w:hAnsi="仿宋" w:eastAsia="仿宋" w:cs="仿宋"/>
          <w:color w:val="auto"/>
          <w:sz w:val="24"/>
        </w:rPr>
        <w:t>。</w:t>
      </w:r>
    </w:p>
    <w:p w14:paraId="05AB86A3">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（3）报价得分</w:t>
      </w:r>
      <w:r>
        <w:rPr>
          <w:rFonts w:hint="eastAsia" w:ascii="仿宋" w:hAnsi="仿宋" w:eastAsia="仿宋" w:cs="仿宋"/>
          <w:color w:val="auto"/>
          <w:sz w:val="24"/>
          <w:szCs w:val="24"/>
          <w:highlight w:val="none"/>
        </w:rPr>
        <w:t>=（评标基准价/投标报价）*价格权值*100，评标基准价=</w:t>
      </w:r>
      <w:r>
        <w:rPr>
          <w:rFonts w:hint="eastAsia" w:ascii="仿宋" w:hAnsi="仿宋" w:eastAsia="仿宋" w:cs="仿宋"/>
          <w:color w:val="auto"/>
          <w:sz w:val="24"/>
        </w:rPr>
        <w:t>有效投标人的最低投标报价</w:t>
      </w: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p w14:paraId="2016CD74">
      <w:pPr>
        <w:keepNext w:val="0"/>
        <w:keepLines w:val="0"/>
        <w:pageBreakBefore w:val="0"/>
        <w:widowControl w:val="0"/>
        <w:kinsoku/>
        <w:wordWrap/>
        <w:overflowPunct/>
        <w:topLinePunct w:val="0"/>
        <w:bidi w:val="0"/>
        <w:adjustRightInd w:val="0"/>
        <w:snapToGrid/>
        <w:spacing w:line="360" w:lineRule="auto"/>
        <w:ind w:firstLine="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rPr>
        <w:t>（4）</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技术分评分细则</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标项1、2）</w:t>
      </w:r>
      <w:r>
        <w:rPr>
          <w:rFonts w:hint="eastAsia" w:ascii="仿宋" w:hAnsi="仿宋" w:eastAsia="仿宋" w:cs="仿宋"/>
          <w:color w:val="auto"/>
          <w:sz w:val="24"/>
        </w:rPr>
        <w:t>（</w:t>
      </w:r>
      <w:r>
        <w:rPr>
          <w:rFonts w:hint="eastAsia" w:ascii="仿宋" w:hAnsi="仿宋" w:eastAsia="仿宋" w:cs="仿宋"/>
          <w:color w:val="auto"/>
          <w:sz w:val="24"/>
          <w:lang w:val="en-US" w:eastAsia="zh-CN"/>
        </w:rPr>
        <w:t>80</w:t>
      </w:r>
      <w:r>
        <w:rPr>
          <w:rFonts w:hint="eastAsia" w:ascii="仿宋" w:hAnsi="仿宋" w:eastAsia="仿宋" w:cs="仿宋"/>
          <w:color w:val="auto"/>
          <w:sz w:val="24"/>
        </w:rPr>
        <w:t>分</w:t>
      </w:r>
      <w:r>
        <w:rPr>
          <w:rFonts w:hint="eastAsia" w:ascii="仿宋" w:hAnsi="仿宋" w:eastAsia="仿宋" w:cs="仿宋"/>
          <w:color w:val="auto"/>
          <w:sz w:val="24"/>
          <w:szCs w:val="24"/>
        </w:rPr>
        <w:t>）</w:t>
      </w:r>
    </w:p>
    <w:tbl>
      <w:tblPr>
        <w:tblStyle w:val="29"/>
        <w:tblpPr w:leftFromText="180" w:rightFromText="180" w:vertAnchor="text" w:horzAnchor="page" w:tblpX="885" w:tblpY="446"/>
        <w:tblOverlap w:val="never"/>
        <w:tblW w:w="103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982"/>
        <w:gridCol w:w="7915"/>
        <w:gridCol w:w="739"/>
      </w:tblGrid>
      <w:tr w14:paraId="60CA7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699" w:type="dxa"/>
            <w:noWrap w:val="0"/>
            <w:vAlign w:val="center"/>
          </w:tcPr>
          <w:p w14:paraId="51B6A42F">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982" w:type="dxa"/>
            <w:noWrap w:val="0"/>
            <w:vAlign w:val="center"/>
          </w:tcPr>
          <w:p w14:paraId="41ABDB9F">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宋体" w:hAnsi="宋体" w:eastAsia="宋体" w:cs="宋体"/>
                <w:b/>
                <w:bCs/>
                <w:color w:val="auto"/>
                <w:sz w:val="24"/>
                <w:szCs w:val="24"/>
                <w:highlight w:val="none"/>
                <w:lang w:val="en-US" w:eastAsia="zh-CN"/>
              </w:rPr>
              <w:t>项目</w:t>
            </w:r>
          </w:p>
        </w:tc>
        <w:tc>
          <w:tcPr>
            <w:tcW w:w="7915" w:type="dxa"/>
            <w:noWrap w:val="0"/>
            <w:vAlign w:val="center"/>
          </w:tcPr>
          <w:p w14:paraId="173E999B">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宋体" w:hAnsi="宋体" w:eastAsia="宋体" w:cs="宋体"/>
                <w:b/>
                <w:bCs/>
                <w:color w:val="auto"/>
                <w:sz w:val="24"/>
                <w:szCs w:val="24"/>
                <w:highlight w:val="none"/>
                <w:lang w:val="en-US" w:eastAsia="zh-CN"/>
              </w:rPr>
              <w:t>评分标准</w:t>
            </w:r>
          </w:p>
        </w:tc>
        <w:tc>
          <w:tcPr>
            <w:tcW w:w="739" w:type="dxa"/>
            <w:noWrap w:val="0"/>
            <w:vAlign w:val="center"/>
          </w:tcPr>
          <w:p w14:paraId="44245973">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分值</w:t>
            </w:r>
            <w:r>
              <w:rPr>
                <w:rFonts w:hint="eastAsia" w:ascii="宋体" w:hAnsi="宋体" w:eastAsia="宋体" w:cs="宋体"/>
                <w:b/>
                <w:bCs/>
                <w:color w:val="auto"/>
                <w:sz w:val="24"/>
                <w:szCs w:val="24"/>
                <w:highlight w:val="none"/>
                <w:lang w:val="en-US" w:eastAsia="zh-CN"/>
              </w:rPr>
              <w:t>范围</w:t>
            </w:r>
          </w:p>
        </w:tc>
      </w:tr>
      <w:tr w14:paraId="2710B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1" w:hRule="atLeast"/>
        </w:trPr>
        <w:tc>
          <w:tcPr>
            <w:tcW w:w="699" w:type="dxa"/>
            <w:noWrap w:val="0"/>
            <w:vAlign w:val="center"/>
          </w:tcPr>
          <w:p w14:paraId="39161D14">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w:t>
            </w:r>
          </w:p>
        </w:tc>
        <w:tc>
          <w:tcPr>
            <w:tcW w:w="982" w:type="dxa"/>
            <w:noWrap w:val="0"/>
            <w:vAlign w:val="center"/>
          </w:tcPr>
          <w:p w14:paraId="2A45510B">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企业</w:t>
            </w:r>
          </w:p>
          <w:p w14:paraId="64E2EB4C">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资信</w:t>
            </w:r>
          </w:p>
        </w:tc>
        <w:tc>
          <w:tcPr>
            <w:tcW w:w="7915" w:type="dxa"/>
            <w:noWrap w:val="0"/>
            <w:vAlign w:val="center"/>
          </w:tcPr>
          <w:p w14:paraId="53A510EE">
            <w:pPr>
              <w:autoSpaceDE w:val="0"/>
              <w:autoSpaceDN w:val="0"/>
              <w:spacing w:line="240" w:lineRule="auto"/>
              <w:ind w:firstLine="480" w:firstLineChars="200"/>
              <w:jc w:val="both"/>
              <w:rPr>
                <w:rFonts w:hint="eastAsia" w:ascii="仿宋" w:hAnsi="仿宋" w:eastAsia="仿宋" w:cs="仿宋"/>
                <w:strike/>
                <w:color w:val="auto"/>
                <w:kern w:val="0"/>
                <w:sz w:val="24"/>
                <w:szCs w:val="24"/>
              </w:rPr>
            </w:pPr>
            <w:r>
              <w:rPr>
                <w:rFonts w:hint="eastAsia" w:ascii="仿宋" w:hAnsi="仿宋" w:eastAsia="仿宋" w:cs="仿宋"/>
                <w:bCs/>
                <w:color w:val="auto"/>
                <w:kern w:val="0"/>
                <w:sz w:val="24"/>
                <w:szCs w:val="24"/>
              </w:rPr>
              <w:t>投标人具有质量管理体系认证、环境管理体系认证、职业健康安全管理体系认证，每提供一个有效证书得</w:t>
            </w:r>
            <w:r>
              <w:rPr>
                <w:rFonts w:hint="eastAsia" w:ascii="仿宋" w:hAnsi="仿宋" w:eastAsia="仿宋" w:cs="仿宋"/>
                <w:bCs/>
                <w:color w:val="auto"/>
                <w:kern w:val="0"/>
                <w:sz w:val="24"/>
                <w:szCs w:val="24"/>
                <w:lang w:val="en-US" w:eastAsia="zh-CN"/>
              </w:rPr>
              <w:t>1</w:t>
            </w:r>
            <w:r>
              <w:rPr>
                <w:rFonts w:hint="eastAsia" w:ascii="仿宋" w:hAnsi="仿宋" w:eastAsia="仿宋" w:cs="仿宋"/>
                <w:bCs/>
                <w:color w:val="auto"/>
                <w:kern w:val="0"/>
                <w:sz w:val="24"/>
                <w:szCs w:val="24"/>
              </w:rPr>
              <w:t>分，</w:t>
            </w:r>
            <w:r>
              <w:rPr>
                <w:rFonts w:hint="eastAsia" w:ascii="仿宋" w:hAnsi="仿宋" w:eastAsia="仿宋" w:cs="仿宋"/>
                <w:color w:val="auto"/>
                <w:kern w:val="0"/>
                <w:sz w:val="24"/>
                <w:szCs w:val="24"/>
              </w:rPr>
              <w:t>最高得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r>
              <w:rPr>
                <w:rFonts w:hint="eastAsia" w:ascii="仿宋" w:hAnsi="仿宋" w:eastAsia="仿宋" w:cs="仿宋"/>
                <w:b/>
                <w:bCs/>
                <w:color w:val="auto"/>
                <w:kern w:val="0"/>
                <w:sz w:val="24"/>
                <w:szCs w:val="24"/>
              </w:rPr>
              <w:t>注：需提供有效期内证书复制件并加盖投标人</w:t>
            </w:r>
            <w:r>
              <w:rPr>
                <w:rFonts w:hint="eastAsia" w:ascii="仿宋" w:hAnsi="仿宋" w:eastAsia="仿宋" w:cs="仿宋"/>
                <w:b/>
                <w:bCs/>
                <w:color w:val="auto"/>
                <w:kern w:val="0"/>
                <w:sz w:val="24"/>
                <w:szCs w:val="24"/>
                <w:lang w:val="en-US" w:eastAsia="zh-CN"/>
              </w:rPr>
              <w:t>公</w:t>
            </w:r>
            <w:r>
              <w:rPr>
                <w:rFonts w:hint="eastAsia" w:ascii="仿宋" w:hAnsi="仿宋" w:eastAsia="仿宋" w:cs="仿宋"/>
                <w:b/>
                <w:bCs/>
                <w:color w:val="auto"/>
                <w:kern w:val="0"/>
                <w:sz w:val="24"/>
                <w:szCs w:val="24"/>
              </w:rPr>
              <w:t>章，否则不得分。</w:t>
            </w:r>
            <w:r>
              <w:rPr>
                <w:rFonts w:hint="eastAsia" w:ascii="仿宋" w:hAnsi="仿宋" w:eastAsia="仿宋" w:cs="仿宋"/>
                <w:color w:val="auto"/>
                <w:kern w:val="0"/>
                <w:sz w:val="24"/>
                <w:szCs w:val="24"/>
              </w:rPr>
              <w:t>）</w:t>
            </w:r>
          </w:p>
        </w:tc>
        <w:tc>
          <w:tcPr>
            <w:tcW w:w="739" w:type="dxa"/>
            <w:noWrap w:val="0"/>
            <w:vAlign w:val="center"/>
          </w:tcPr>
          <w:p w14:paraId="7041765D">
            <w:pPr>
              <w:autoSpaceDE w:val="0"/>
              <w:autoSpaceDN w:val="0"/>
              <w:spacing w:line="240" w:lineRule="auto"/>
              <w:ind w:firstLine="0" w:firstLineChars="0"/>
              <w:jc w:val="center"/>
              <w:rPr>
                <w:rFonts w:hint="eastAsia" w:ascii="仿宋" w:hAnsi="仿宋" w:eastAsia="仿宋" w:cs="仿宋"/>
                <w:b/>
                <w:bCs/>
                <w:strike/>
                <w:color w:val="auto"/>
                <w:kern w:val="0"/>
                <w:sz w:val="24"/>
                <w:szCs w:val="24"/>
              </w:rPr>
            </w:pP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tc>
      </w:tr>
      <w:tr w14:paraId="6E71D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9" w:type="dxa"/>
            <w:noWrap w:val="0"/>
            <w:vAlign w:val="center"/>
          </w:tcPr>
          <w:p w14:paraId="48219F08">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w:t>
            </w:r>
          </w:p>
        </w:tc>
        <w:tc>
          <w:tcPr>
            <w:tcW w:w="982" w:type="dxa"/>
            <w:noWrap w:val="0"/>
            <w:vAlign w:val="center"/>
          </w:tcPr>
          <w:p w14:paraId="53FC2E20">
            <w:pPr>
              <w:autoSpaceDE w:val="0"/>
              <w:autoSpaceDN w:val="0"/>
              <w:spacing w:line="240" w:lineRule="auto"/>
              <w:ind w:firstLine="0" w:firstLineChars="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项目</w:t>
            </w:r>
          </w:p>
          <w:p w14:paraId="28EAEB0F">
            <w:pPr>
              <w:autoSpaceDE w:val="0"/>
              <w:autoSpaceDN w:val="0"/>
              <w:spacing w:line="240" w:lineRule="auto"/>
              <w:ind w:firstLine="0" w:firstLineChars="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业绩</w:t>
            </w:r>
          </w:p>
        </w:tc>
        <w:tc>
          <w:tcPr>
            <w:tcW w:w="7915" w:type="dxa"/>
            <w:noWrap w:val="0"/>
            <w:vAlign w:val="center"/>
          </w:tcPr>
          <w:p w14:paraId="43701374">
            <w:pPr>
              <w:autoSpaceDE w:val="0"/>
              <w:autoSpaceDN w:val="0"/>
              <w:spacing w:line="240" w:lineRule="auto"/>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投标人自20</w:t>
            </w:r>
            <w:r>
              <w:rPr>
                <w:rFonts w:hint="eastAsia" w:ascii="仿宋" w:hAnsi="仿宋" w:eastAsia="仿宋" w:cs="仿宋"/>
                <w:bCs/>
                <w:color w:val="auto"/>
                <w:kern w:val="0"/>
                <w:sz w:val="24"/>
                <w:szCs w:val="24"/>
                <w:lang w:val="en-US" w:eastAsia="zh-CN"/>
              </w:rPr>
              <w:t>21</w:t>
            </w:r>
            <w:r>
              <w:rPr>
                <w:rFonts w:hint="eastAsia" w:ascii="仿宋" w:hAnsi="仿宋" w:eastAsia="仿宋" w:cs="仿宋"/>
                <w:bCs/>
                <w:color w:val="auto"/>
                <w:kern w:val="0"/>
                <w:sz w:val="24"/>
                <w:szCs w:val="24"/>
              </w:rPr>
              <w:t>年1月1日至今（以合同签订时间为准），承担过同类</w:t>
            </w:r>
            <w:r>
              <w:rPr>
                <w:rFonts w:hint="eastAsia" w:ascii="仿宋" w:hAnsi="仿宋" w:eastAsia="仿宋" w:cs="仿宋"/>
                <w:bCs/>
                <w:color w:val="auto"/>
                <w:kern w:val="0"/>
                <w:sz w:val="24"/>
                <w:szCs w:val="24"/>
                <w:lang w:val="en-US" w:eastAsia="zh-CN"/>
              </w:rPr>
              <w:t>雨污分流</w:t>
            </w:r>
            <w:r>
              <w:rPr>
                <w:rFonts w:hint="eastAsia" w:ascii="仿宋" w:hAnsi="仿宋" w:eastAsia="仿宋" w:cs="仿宋"/>
                <w:bCs/>
                <w:color w:val="auto"/>
                <w:kern w:val="0"/>
                <w:sz w:val="24"/>
                <w:szCs w:val="24"/>
              </w:rPr>
              <w:t>项目业绩的，每提供1个业绩合同得</w:t>
            </w:r>
            <w:r>
              <w:rPr>
                <w:rFonts w:hint="eastAsia" w:ascii="仿宋" w:hAnsi="仿宋" w:eastAsia="仿宋" w:cs="仿宋"/>
                <w:bCs/>
                <w:color w:val="auto"/>
                <w:kern w:val="0"/>
                <w:sz w:val="24"/>
                <w:szCs w:val="24"/>
                <w:lang w:val="en-US" w:eastAsia="zh-CN"/>
              </w:rPr>
              <w:t>1</w:t>
            </w:r>
            <w:r>
              <w:rPr>
                <w:rFonts w:hint="eastAsia" w:ascii="仿宋" w:hAnsi="仿宋" w:eastAsia="仿宋" w:cs="仿宋"/>
                <w:bCs/>
                <w:color w:val="auto"/>
                <w:kern w:val="0"/>
                <w:sz w:val="24"/>
                <w:szCs w:val="24"/>
              </w:rPr>
              <w:t>分，最高得</w:t>
            </w:r>
            <w:r>
              <w:rPr>
                <w:rFonts w:hint="eastAsia" w:ascii="仿宋" w:hAnsi="仿宋" w:eastAsia="仿宋" w:cs="仿宋"/>
                <w:bCs/>
                <w:color w:val="auto"/>
                <w:kern w:val="0"/>
                <w:sz w:val="24"/>
                <w:szCs w:val="24"/>
                <w:lang w:val="en-US" w:eastAsia="zh-CN"/>
              </w:rPr>
              <w:t>2</w:t>
            </w:r>
            <w:r>
              <w:rPr>
                <w:rFonts w:hint="eastAsia" w:ascii="仿宋" w:hAnsi="仿宋" w:eastAsia="仿宋" w:cs="仿宋"/>
                <w:bCs/>
                <w:color w:val="auto"/>
                <w:kern w:val="0"/>
                <w:sz w:val="24"/>
                <w:szCs w:val="24"/>
              </w:rPr>
              <w:t>分。</w:t>
            </w:r>
          </w:p>
          <w:p w14:paraId="7D71E32D">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w:t>
            </w:r>
            <w:r>
              <w:rPr>
                <w:rFonts w:hint="eastAsia" w:ascii="仿宋" w:hAnsi="仿宋" w:eastAsia="仿宋" w:cs="仿宋"/>
                <w:b/>
                <w:bCs w:val="0"/>
                <w:color w:val="auto"/>
                <w:kern w:val="0"/>
                <w:sz w:val="24"/>
                <w:szCs w:val="24"/>
              </w:rPr>
              <w:t>注：同一个合同不得重复得分。需提供业绩合同</w:t>
            </w:r>
            <w:r>
              <w:rPr>
                <w:rFonts w:hint="eastAsia" w:ascii="仿宋" w:hAnsi="仿宋" w:eastAsia="仿宋" w:cs="仿宋"/>
                <w:b/>
                <w:bCs w:val="0"/>
                <w:color w:val="auto"/>
                <w:kern w:val="0"/>
                <w:sz w:val="24"/>
                <w:szCs w:val="24"/>
                <w:u w:val="none"/>
              </w:rPr>
              <w:t>（包括但不限于合同内容、双方签字盖章、签署时间；若合同内容不能体现相关信息的，还需提供合同业主盖章的证明材料）</w:t>
            </w:r>
            <w:r>
              <w:rPr>
                <w:rFonts w:hint="eastAsia" w:ascii="仿宋" w:hAnsi="仿宋" w:eastAsia="仿宋" w:cs="仿宋"/>
                <w:b/>
                <w:bCs w:val="0"/>
                <w:color w:val="auto"/>
                <w:kern w:val="0"/>
                <w:sz w:val="24"/>
                <w:szCs w:val="24"/>
                <w:u w:val="none"/>
                <w:lang w:eastAsia="zh-CN"/>
              </w:rPr>
              <w:t>复制件</w:t>
            </w:r>
            <w:r>
              <w:rPr>
                <w:rFonts w:hint="eastAsia" w:ascii="仿宋" w:hAnsi="仿宋" w:eastAsia="仿宋" w:cs="仿宋"/>
                <w:b/>
                <w:bCs w:val="0"/>
                <w:color w:val="auto"/>
                <w:kern w:val="0"/>
                <w:sz w:val="24"/>
                <w:szCs w:val="24"/>
                <w:u w:val="none"/>
              </w:rPr>
              <w:t>并加盖投标人</w:t>
            </w:r>
            <w:r>
              <w:rPr>
                <w:rFonts w:hint="eastAsia" w:ascii="仿宋" w:hAnsi="仿宋" w:eastAsia="仿宋" w:cs="仿宋"/>
                <w:b/>
                <w:bCs w:val="0"/>
                <w:color w:val="auto"/>
                <w:kern w:val="0"/>
                <w:sz w:val="24"/>
                <w:szCs w:val="24"/>
                <w:u w:val="none"/>
                <w:lang w:val="en-US" w:eastAsia="zh-CN"/>
              </w:rPr>
              <w:t>公</w:t>
            </w:r>
            <w:r>
              <w:rPr>
                <w:rFonts w:hint="eastAsia" w:ascii="仿宋" w:hAnsi="仿宋" w:eastAsia="仿宋" w:cs="仿宋"/>
                <w:b/>
                <w:bCs w:val="0"/>
                <w:color w:val="auto"/>
                <w:kern w:val="0"/>
                <w:sz w:val="24"/>
                <w:szCs w:val="24"/>
                <w:u w:val="none"/>
              </w:rPr>
              <w:t>章，否则</w:t>
            </w:r>
            <w:r>
              <w:rPr>
                <w:rFonts w:hint="eastAsia" w:ascii="仿宋" w:hAnsi="仿宋" w:eastAsia="仿宋" w:cs="仿宋"/>
                <w:b/>
                <w:bCs w:val="0"/>
                <w:color w:val="auto"/>
                <w:kern w:val="0"/>
                <w:sz w:val="24"/>
                <w:szCs w:val="24"/>
              </w:rPr>
              <w:t>不得分。</w:t>
            </w:r>
            <w:r>
              <w:rPr>
                <w:rFonts w:hint="eastAsia" w:ascii="仿宋" w:hAnsi="仿宋" w:eastAsia="仿宋" w:cs="仿宋"/>
                <w:color w:val="auto"/>
                <w:kern w:val="0"/>
                <w:sz w:val="24"/>
                <w:szCs w:val="24"/>
              </w:rPr>
              <w:t>）</w:t>
            </w:r>
          </w:p>
        </w:tc>
        <w:tc>
          <w:tcPr>
            <w:tcW w:w="739" w:type="dxa"/>
            <w:noWrap w:val="0"/>
            <w:vAlign w:val="center"/>
          </w:tcPr>
          <w:p w14:paraId="7DC5CA67">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w:t>
            </w:r>
            <w:r>
              <w:rPr>
                <w:rFonts w:hint="eastAsia" w:ascii="仿宋" w:hAnsi="仿宋" w:eastAsia="仿宋" w:cs="仿宋"/>
                <w:b/>
                <w:bCs/>
                <w:color w:val="auto"/>
                <w:kern w:val="0"/>
                <w:sz w:val="24"/>
                <w:szCs w:val="24"/>
              </w:rPr>
              <w:t>2分</w:t>
            </w:r>
          </w:p>
        </w:tc>
      </w:tr>
      <w:tr w14:paraId="33993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699" w:type="dxa"/>
            <w:vMerge w:val="restart"/>
            <w:noWrap w:val="0"/>
            <w:vAlign w:val="center"/>
          </w:tcPr>
          <w:p w14:paraId="51FD64AA">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3</w:t>
            </w:r>
          </w:p>
        </w:tc>
        <w:tc>
          <w:tcPr>
            <w:tcW w:w="982" w:type="dxa"/>
            <w:vMerge w:val="restart"/>
            <w:noWrap w:val="0"/>
            <w:vAlign w:val="center"/>
          </w:tcPr>
          <w:p w14:paraId="39AC744E">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拟派项目组人员情况</w:t>
            </w:r>
          </w:p>
        </w:tc>
        <w:tc>
          <w:tcPr>
            <w:tcW w:w="7915" w:type="dxa"/>
            <w:noWrap w:val="0"/>
            <w:vAlign w:val="center"/>
          </w:tcPr>
          <w:p w14:paraId="5BB86AF2">
            <w:pPr>
              <w:autoSpaceDE w:val="0"/>
              <w:autoSpaceDN w:val="0"/>
              <w:spacing w:line="240" w:lineRule="auto"/>
              <w:ind w:firstLine="0" w:firstLineChars="0"/>
              <w:jc w:val="both"/>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拟派项目负责人：</w:t>
            </w:r>
          </w:p>
          <w:p w14:paraId="5DDA092B">
            <w:pPr>
              <w:autoSpaceDE w:val="0"/>
              <w:autoSpaceDN w:val="0"/>
              <w:spacing w:line="24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拟派项目负责人为注册公用设备工程师（给排水专业）的得3分，同时具备高级工程师的得2分，本项目最高得5分。</w:t>
            </w:r>
          </w:p>
          <w:p w14:paraId="4488265E">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注：需提供相关证书</w:t>
            </w:r>
            <w:r>
              <w:rPr>
                <w:rFonts w:hint="eastAsia" w:ascii="仿宋" w:hAnsi="仿宋" w:eastAsia="仿宋" w:cs="仿宋"/>
                <w:b/>
                <w:bCs/>
                <w:color w:val="auto"/>
                <w:kern w:val="0"/>
                <w:sz w:val="24"/>
                <w:szCs w:val="24"/>
                <w:lang w:eastAsia="zh-CN"/>
              </w:rPr>
              <w:t>复制件</w:t>
            </w:r>
            <w:r>
              <w:rPr>
                <w:rFonts w:hint="eastAsia" w:ascii="仿宋" w:hAnsi="仿宋" w:eastAsia="仿宋" w:cs="仿宋"/>
                <w:b/>
                <w:bCs/>
                <w:color w:val="auto"/>
                <w:kern w:val="0"/>
                <w:sz w:val="24"/>
                <w:szCs w:val="24"/>
              </w:rPr>
              <w:t>以及投标人为其缴纳的</w:t>
            </w:r>
            <w:r>
              <w:rPr>
                <w:rFonts w:hint="eastAsia" w:ascii="仿宋" w:hAnsi="仿宋" w:eastAsia="仿宋" w:cs="仿宋"/>
                <w:b/>
                <w:bCs/>
                <w:color w:val="auto"/>
                <w:kern w:val="0"/>
                <w:sz w:val="24"/>
                <w:szCs w:val="24"/>
                <w:lang w:val="en-US" w:eastAsia="zh-CN"/>
              </w:rPr>
              <w:t>最近连续3个月</w:t>
            </w:r>
            <w:r>
              <w:rPr>
                <w:rFonts w:hint="eastAsia" w:ascii="仿宋" w:hAnsi="仿宋" w:eastAsia="仿宋" w:cs="仿宋"/>
                <w:b/>
                <w:bCs/>
                <w:color w:val="auto"/>
                <w:kern w:val="0"/>
                <w:sz w:val="24"/>
                <w:szCs w:val="24"/>
              </w:rPr>
              <w:t>社保证明(具有事业双重性质的单位人员社保情况需出具主管部门的意见，视同投标人缴纳</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如成员组中含退休人员的，需提供该人员的退休证明和聘用合同且该人员不得超过65周岁。）</w:t>
            </w:r>
            <w:r>
              <w:rPr>
                <w:rFonts w:hint="eastAsia" w:ascii="仿宋" w:hAnsi="仿宋" w:eastAsia="仿宋" w:cs="仿宋"/>
                <w:b/>
                <w:bCs/>
                <w:color w:val="auto"/>
                <w:kern w:val="0"/>
                <w:sz w:val="24"/>
                <w:szCs w:val="24"/>
              </w:rPr>
              <w:t>并加盖投标人</w:t>
            </w:r>
            <w:r>
              <w:rPr>
                <w:rFonts w:hint="eastAsia" w:ascii="仿宋" w:hAnsi="仿宋" w:eastAsia="仿宋" w:cs="仿宋"/>
                <w:b/>
                <w:bCs/>
                <w:color w:val="auto"/>
                <w:kern w:val="0"/>
                <w:sz w:val="24"/>
                <w:szCs w:val="24"/>
                <w:lang w:val="en-US" w:eastAsia="zh-CN"/>
              </w:rPr>
              <w:t>公</w:t>
            </w:r>
            <w:r>
              <w:rPr>
                <w:rFonts w:hint="eastAsia" w:ascii="仿宋" w:hAnsi="仿宋" w:eastAsia="仿宋" w:cs="仿宋"/>
                <w:b/>
                <w:bCs/>
                <w:color w:val="auto"/>
                <w:kern w:val="0"/>
                <w:sz w:val="24"/>
                <w:szCs w:val="24"/>
              </w:rPr>
              <w:t>章，否则不得分。</w:t>
            </w:r>
            <w:r>
              <w:rPr>
                <w:rFonts w:hint="eastAsia" w:ascii="仿宋" w:hAnsi="仿宋" w:eastAsia="仿宋" w:cs="仿宋"/>
                <w:color w:val="auto"/>
                <w:kern w:val="0"/>
                <w:sz w:val="24"/>
                <w:szCs w:val="24"/>
              </w:rPr>
              <w:t>）</w:t>
            </w:r>
          </w:p>
        </w:tc>
        <w:tc>
          <w:tcPr>
            <w:tcW w:w="739" w:type="dxa"/>
            <w:noWrap w:val="0"/>
            <w:vAlign w:val="center"/>
          </w:tcPr>
          <w:p w14:paraId="29D027C2">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0-5</w:t>
            </w:r>
            <w:r>
              <w:rPr>
                <w:rFonts w:hint="eastAsia" w:ascii="仿宋" w:hAnsi="仿宋" w:eastAsia="仿宋" w:cs="仿宋"/>
                <w:b/>
                <w:bCs/>
                <w:color w:val="auto"/>
                <w:kern w:val="0"/>
                <w:sz w:val="24"/>
                <w:szCs w:val="24"/>
              </w:rPr>
              <w:t>分</w:t>
            </w:r>
          </w:p>
        </w:tc>
      </w:tr>
      <w:tr w14:paraId="247AD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9" w:type="dxa"/>
            <w:vMerge w:val="continue"/>
            <w:noWrap w:val="0"/>
            <w:vAlign w:val="center"/>
          </w:tcPr>
          <w:p w14:paraId="33EBD7E5">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982" w:type="dxa"/>
            <w:vMerge w:val="continue"/>
            <w:noWrap w:val="0"/>
            <w:vAlign w:val="center"/>
          </w:tcPr>
          <w:p w14:paraId="40455036">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7915" w:type="dxa"/>
            <w:noWrap w:val="0"/>
            <w:vAlign w:val="center"/>
          </w:tcPr>
          <w:p w14:paraId="2C42B69F">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拟派项目组人员（</w:t>
            </w:r>
            <w:r>
              <w:rPr>
                <w:rFonts w:hint="eastAsia" w:ascii="宋体" w:hAnsi="宋体" w:eastAsia="宋体" w:cs="宋体"/>
                <w:b/>
                <w:bCs/>
                <w:color w:val="auto"/>
                <w:kern w:val="0"/>
                <w:sz w:val="24"/>
                <w:highlight w:val="none"/>
                <w:lang w:val="en-US" w:eastAsia="zh-CN"/>
              </w:rPr>
              <w:t>除项目负责人外）</w:t>
            </w:r>
            <w:r>
              <w:rPr>
                <w:rFonts w:hint="eastAsia" w:ascii="宋体" w:hAnsi="宋体" w:eastAsia="宋体" w:cs="宋体"/>
                <w:b/>
                <w:bCs/>
                <w:color w:val="auto"/>
                <w:kern w:val="0"/>
                <w:sz w:val="24"/>
                <w:highlight w:val="none"/>
                <w:lang w:eastAsia="zh-CN"/>
              </w:rPr>
              <w:t>：</w:t>
            </w:r>
          </w:p>
          <w:p w14:paraId="7116BBD1">
            <w:pPr>
              <w:autoSpaceDE w:val="0"/>
              <w:autoSpaceDN w:val="0"/>
              <w:spacing w:line="240" w:lineRule="auto"/>
              <w:ind w:firstLine="480" w:firstLineChars="200"/>
              <w:jc w:val="both"/>
              <w:rPr>
                <w:rFonts w:hint="eastAsia" w:ascii="仿宋" w:hAnsi="仿宋" w:eastAsia="仿宋" w:cs="仿宋"/>
                <w:bCs/>
                <w:color w:val="auto"/>
                <w:kern w:val="0"/>
                <w:sz w:val="24"/>
                <w:szCs w:val="24"/>
                <w:lang w:val="en-US" w:eastAsia="zh-CN"/>
              </w:rPr>
            </w:pPr>
            <w:r>
              <w:rPr>
                <w:rFonts w:hint="eastAsia" w:ascii="仿宋" w:hAnsi="仿宋" w:eastAsia="仿宋" w:cs="仿宋"/>
                <w:color w:val="auto"/>
                <w:kern w:val="0"/>
                <w:sz w:val="24"/>
                <w:szCs w:val="24"/>
              </w:rPr>
              <w:t>具备市政设计类（如给排水、结构、道路</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建筑、造价</w:t>
            </w:r>
            <w:r>
              <w:rPr>
                <w:rFonts w:hint="eastAsia" w:ascii="仿宋" w:hAnsi="仿宋" w:eastAsia="仿宋" w:cs="仿宋"/>
                <w:color w:val="auto"/>
                <w:kern w:val="0"/>
                <w:sz w:val="24"/>
                <w:szCs w:val="24"/>
              </w:rPr>
              <w:t>等）</w:t>
            </w:r>
            <w:r>
              <w:rPr>
                <w:rFonts w:hint="eastAsia" w:ascii="仿宋" w:hAnsi="仿宋" w:eastAsia="仿宋" w:cs="仿宋"/>
                <w:color w:val="auto"/>
                <w:kern w:val="0"/>
                <w:sz w:val="24"/>
                <w:szCs w:val="24"/>
                <w:lang w:val="en-US" w:eastAsia="zh-CN"/>
              </w:rPr>
              <w:t>中</w:t>
            </w:r>
            <w:r>
              <w:rPr>
                <w:rFonts w:hint="eastAsia" w:ascii="仿宋" w:hAnsi="仿宋" w:eastAsia="仿宋" w:cs="仿宋"/>
                <w:color w:val="auto"/>
                <w:kern w:val="0"/>
                <w:sz w:val="24"/>
                <w:szCs w:val="24"/>
              </w:rPr>
              <w:t>级及以上职称每一人得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本项最高得14分。</w:t>
            </w:r>
          </w:p>
          <w:p w14:paraId="41B21225">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
                <w:bCs/>
                <w:color w:val="auto"/>
                <w:kern w:val="0"/>
                <w:sz w:val="24"/>
                <w:szCs w:val="24"/>
              </w:rPr>
              <w:t>注：每人只计一次分值，不重复计分</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需提供人员相关证书</w:t>
            </w:r>
            <w:r>
              <w:rPr>
                <w:rFonts w:hint="eastAsia" w:ascii="仿宋" w:hAnsi="仿宋" w:eastAsia="仿宋" w:cs="仿宋"/>
                <w:b/>
                <w:bCs/>
                <w:color w:val="auto"/>
                <w:kern w:val="0"/>
                <w:sz w:val="24"/>
                <w:szCs w:val="24"/>
                <w:lang w:eastAsia="zh-CN"/>
              </w:rPr>
              <w:t>复制件</w:t>
            </w:r>
            <w:r>
              <w:rPr>
                <w:rFonts w:hint="eastAsia" w:ascii="仿宋" w:hAnsi="仿宋" w:eastAsia="仿宋" w:cs="仿宋"/>
                <w:b/>
                <w:bCs/>
                <w:color w:val="auto"/>
                <w:kern w:val="0"/>
                <w:sz w:val="24"/>
                <w:szCs w:val="24"/>
              </w:rPr>
              <w:t>以及投标人为其缴纳的</w:t>
            </w:r>
            <w:r>
              <w:rPr>
                <w:rFonts w:hint="eastAsia" w:ascii="仿宋" w:hAnsi="仿宋" w:eastAsia="仿宋" w:cs="仿宋"/>
                <w:b/>
                <w:bCs/>
                <w:color w:val="auto"/>
                <w:kern w:val="0"/>
                <w:sz w:val="24"/>
                <w:szCs w:val="24"/>
                <w:lang w:val="en-US" w:eastAsia="zh-CN"/>
              </w:rPr>
              <w:t>最近连续3个月</w:t>
            </w:r>
            <w:r>
              <w:rPr>
                <w:rFonts w:hint="eastAsia" w:ascii="仿宋" w:hAnsi="仿宋" w:eastAsia="仿宋" w:cs="仿宋"/>
                <w:b/>
                <w:bCs/>
                <w:color w:val="auto"/>
                <w:kern w:val="0"/>
                <w:sz w:val="24"/>
                <w:szCs w:val="24"/>
              </w:rPr>
              <w:t>社保证明(具有事业双重性质的单位人员社保情况需出具主管部门的意见，视同投标人缴纳</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如成员组中含退休人员的，需提供该人员的退休证明和聘用合同且该人员不得超过65周岁。）</w:t>
            </w:r>
            <w:r>
              <w:rPr>
                <w:rFonts w:hint="eastAsia" w:ascii="仿宋" w:hAnsi="仿宋" w:eastAsia="仿宋" w:cs="仿宋"/>
                <w:b/>
                <w:bCs/>
                <w:color w:val="auto"/>
                <w:kern w:val="0"/>
                <w:sz w:val="24"/>
                <w:szCs w:val="24"/>
              </w:rPr>
              <w:t>并加盖投标人</w:t>
            </w:r>
            <w:r>
              <w:rPr>
                <w:rFonts w:hint="eastAsia" w:ascii="仿宋" w:hAnsi="仿宋" w:eastAsia="仿宋" w:cs="仿宋"/>
                <w:b/>
                <w:bCs/>
                <w:color w:val="auto"/>
                <w:kern w:val="0"/>
                <w:sz w:val="24"/>
                <w:szCs w:val="24"/>
                <w:lang w:val="en-US" w:eastAsia="zh-CN"/>
              </w:rPr>
              <w:t>公</w:t>
            </w:r>
            <w:r>
              <w:rPr>
                <w:rFonts w:hint="eastAsia" w:ascii="仿宋" w:hAnsi="仿宋" w:eastAsia="仿宋" w:cs="仿宋"/>
                <w:b/>
                <w:bCs/>
                <w:color w:val="auto"/>
                <w:kern w:val="0"/>
                <w:sz w:val="24"/>
                <w:szCs w:val="24"/>
              </w:rPr>
              <w:t>章，不提供或提供不全不得分。</w:t>
            </w:r>
            <w:r>
              <w:rPr>
                <w:rFonts w:hint="eastAsia" w:ascii="仿宋" w:hAnsi="仿宋" w:eastAsia="仿宋" w:cs="仿宋"/>
                <w:color w:val="auto"/>
                <w:kern w:val="0"/>
                <w:sz w:val="24"/>
                <w:szCs w:val="24"/>
              </w:rPr>
              <w:t>）</w:t>
            </w:r>
          </w:p>
        </w:tc>
        <w:tc>
          <w:tcPr>
            <w:tcW w:w="739" w:type="dxa"/>
            <w:noWrap w:val="0"/>
            <w:vAlign w:val="center"/>
          </w:tcPr>
          <w:p w14:paraId="220E1D34">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0-14</w:t>
            </w:r>
            <w:r>
              <w:rPr>
                <w:rFonts w:hint="eastAsia" w:ascii="仿宋" w:hAnsi="仿宋" w:eastAsia="仿宋" w:cs="仿宋"/>
                <w:b/>
                <w:bCs/>
                <w:color w:val="auto"/>
                <w:kern w:val="0"/>
                <w:sz w:val="24"/>
                <w:szCs w:val="24"/>
              </w:rPr>
              <w:t>分</w:t>
            </w:r>
          </w:p>
        </w:tc>
      </w:tr>
      <w:tr w14:paraId="61B58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99" w:type="dxa"/>
            <w:noWrap w:val="0"/>
            <w:vAlign w:val="center"/>
          </w:tcPr>
          <w:p w14:paraId="738C2DA9">
            <w:pPr>
              <w:autoSpaceDE w:val="0"/>
              <w:autoSpaceDN w:val="0"/>
              <w:spacing w:line="240" w:lineRule="auto"/>
              <w:ind w:firstLine="0" w:firstLineChars="0"/>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4</w:t>
            </w:r>
          </w:p>
        </w:tc>
        <w:tc>
          <w:tcPr>
            <w:tcW w:w="982" w:type="dxa"/>
            <w:noWrap w:val="0"/>
            <w:vAlign w:val="center"/>
          </w:tcPr>
          <w:p w14:paraId="52D8D8A8">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lang w:val="en-US" w:eastAsia="zh-CN"/>
              </w:rPr>
              <w:t>项目了解及分析</w:t>
            </w:r>
          </w:p>
        </w:tc>
        <w:tc>
          <w:tcPr>
            <w:tcW w:w="7915" w:type="dxa"/>
            <w:noWrap w:val="0"/>
            <w:vAlign w:val="center"/>
          </w:tcPr>
          <w:p w14:paraId="50450505">
            <w:pPr>
              <w:autoSpaceDE w:val="0"/>
              <w:autoSpaceDN w:val="0"/>
              <w:spacing w:line="24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根据投标人对本项目的了解情况，针对项目现状调研、相关政策及相关规划等内容的理解由评审专家对内容的详实、全面性进行综合评分。</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1.内容完整全面、对项目现场情况分析到位、思路清晰的得 4-6分；</w:t>
            </w:r>
          </w:p>
          <w:p w14:paraId="662926B6">
            <w:pPr>
              <w:autoSpaceDE w:val="0"/>
              <w:autoSpaceDN w:val="0"/>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2.内容存在欠缺、对项目现场情况分析不到位，但相对完整、基本合理的得 2-4分；</w:t>
            </w:r>
          </w:p>
          <w:p w14:paraId="79FD746F">
            <w:pPr>
              <w:autoSpaceDE w:val="0"/>
              <w:autoSpaceDN w:val="0"/>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3.内容简陋、层次模糊的得 0-2分；</w:t>
            </w:r>
          </w:p>
          <w:p w14:paraId="722D592E">
            <w:pPr>
              <w:autoSpaceDE w:val="0"/>
              <w:autoSpaceDN w:val="0"/>
              <w:spacing w:line="240" w:lineRule="auto"/>
              <w:ind w:firstLine="0" w:firstLineChars="0"/>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4.未提供相关内容阐述或不符合项目的不得分。</w:t>
            </w:r>
          </w:p>
        </w:tc>
        <w:tc>
          <w:tcPr>
            <w:tcW w:w="739" w:type="dxa"/>
            <w:noWrap w:val="0"/>
            <w:vAlign w:val="center"/>
          </w:tcPr>
          <w:p w14:paraId="27D9282B">
            <w:pPr>
              <w:autoSpaceDE w:val="0"/>
              <w:autoSpaceDN w:val="0"/>
              <w:spacing w:line="240" w:lineRule="auto"/>
              <w:ind w:firstLine="0" w:firstLineChars="0"/>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31E08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trPr>
        <w:tc>
          <w:tcPr>
            <w:tcW w:w="699" w:type="dxa"/>
            <w:vMerge w:val="restart"/>
            <w:noWrap w:val="0"/>
            <w:vAlign w:val="center"/>
          </w:tcPr>
          <w:p w14:paraId="6061BD17">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5</w:t>
            </w:r>
          </w:p>
        </w:tc>
        <w:tc>
          <w:tcPr>
            <w:tcW w:w="982" w:type="dxa"/>
            <w:vMerge w:val="restart"/>
            <w:noWrap w:val="0"/>
            <w:vAlign w:val="center"/>
          </w:tcPr>
          <w:p w14:paraId="367E6C55">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技术方案</w:t>
            </w:r>
          </w:p>
        </w:tc>
        <w:tc>
          <w:tcPr>
            <w:tcW w:w="7915" w:type="dxa"/>
            <w:noWrap w:val="0"/>
            <w:vAlign w:val="center"/>
          </w:tcPr>
          <w:p w14:paraId="6428EA8A">
            <w:pPr>
              <w:autoSpaceDE w:val="0"/>
              <w:autoSpaceDN w:val="0"/>
              <w:spacing w:line="24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计方案：设计方案必须充分体现项目需求和建设目标（包括工艺适用，按设计方案能否达到要求，直接建设成本低等）、内容结构主次分明、方案全面合理、具有完整性、合理性、可操性、务实性进行综合评分。</w:t>
            </w:r>
          </w:p>
          <w:p w14:paraId="3DD8BF57">
            <w:pPr>
              <w:autoSpaceDE w:val="0"/>
              <w:autoSpaceDN w:val="0"/>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1.阐述详细，内容全面、合理、清晰，可行性强的得4-6分；</w:t>
            </w:r>
          </w:p>
          <w:p w14:paraId="0D8D7007">
            <w:pPr>
              <w:autoSpaceDE w:val="0"/>
              <w:autoSpaceDN w:val="0"/>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2.阐述较为详细，内容较为全面、合理、清晰，具有一定可行性的得2-4分；</w:t>
            </w:r>
          </w:p>
          <w:p w14:paraId="49774E2E">
            <w:pPr>
              <w:autoSpaceDE w:val="0"/>
              <w:autoSpaceDN w:val="0"/>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3.阐述较为粗略，内容不够全面、欠缺合理性，可行性较弱的得0-2分；</w:t>
            </w:r>
          </w:p>
          <w:p w14:paraId="292E5FF1">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4.未提供相关内容阐述或不符合项目的不得分。</w:t>
            </w:r>
          </w:p>
        </w:tc>
        <w:tc>
          <w:tcPr>
            <w:tcW w:w="739" w:type="dxa"/>
            <w:noWrap w:val="0"/>
            <w:vAlign w:val="center"/>
          </w:tcPr>
          <w:p w14:paraId="3DCE0B68">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62AFC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99" w:type="dxa"/>
            <w:vMerge w:val="continue"/>
            <w:noWrap w:val="0"/>
            <w:vAlign w:val="center"/>
          </w:tcPr>
          <w:p w14:paraId="375F2457">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982" w:type="dxa"/>
            <w:vMerge w:val="continue"/>
            <w:noWrap w:val="0"/>
            <w:vAlign w:val="center"/>
          </w:tcPr>
          <w:p w14:paraId="2A5C9BB4">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7915" w:type="dxa"/>
            <w:noWrap w:val="0"/>
            <w:vAlign w:val="center"/>
          </w:tcPr>
          <w:p w14:paraId="49241534">
            <w:pPr>
              <w:autoSpaceDE w:val="0"/>
              <w:autoSpaceDN w:val="0"/>
              <w:spacing w:line="24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根据投标人对污水管网及终端实施重要及关键节点的分析以及提出的针对性技术处理措施的全面性、合理性进行综合评分。</w:t>
            </w:r>
          </w:p>
          <w:p w14:paraId="4ADC07AB">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1.阐述详细，内容全面、合理、清晰，可行性强的得4-6分；</w:t>
            </w:r>
          </w:p>
          <w:p w14:paraId="0FF975B7">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2.阐述较为详细，内容较为全面、合理、清晰，具有一定可行性的得2-4分；</w:t>
            </w:r>
          </w:p>
          <w:p w14:paraId="11A2C991">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3.阐述较为粗略，内容不够全面、欠缺合理性，可行性较弱的得0-2分；</w:t>
            </w:r>
          </w:p>
          <w:p w14:paraId="2D8FA74F">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4.未提供相关内容阐述或不符合项目的不得分。</w:t>
            </w:r>
          </w:p>
        </w:tc>
        <w:tc>
          <w:tcPr>
            <w:tcW w:w="739" w:type="dxa"/>
            <w:noWrap w:val="0"/>
            <w:vAlign w:val="center"/>
          </w:tcPr>
          <w:p w14:paraId="454C75D8">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w:t>
            </w:r>
            <w:r>
              <w:rPr>
                <w:rFonts w:hint="eastAsia" w:ascii="仿宋" w:hAnsi="仿宋" w:eastAsia="仿宋" w:cs="仿宋"/>
                <w:b/>
                <w:bCs/>
                <w:color w:val="auto"/>
                <w:kern w:val="0"/>
                <w:sz w:val="24"/>
                <w:szCs w:val="24"/>
              </w:rPr>
              <w:t>6分</w:t>
            </w:r>
          </w:p>
        </w:tc>
      </w:tr>
      <w:tr w14:paraId="5BDE3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699" w:type="dxa"/>
            <w:vMerge w:val="continue"/>
            <w:noWrap w:val="0"/>
            <w:vAlign w:val="center"/>
          </w:tcPr>
          <w:p w14:paraId="28835A09">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982" w:type="dxa"/>
            <w:vMerge w:val="continue"/>
            <w:noWrap w:val="0"/>
            <w:vAlign w:val="center"/>
          </w:tcPr>
          <w:p w14:paraId="3EDF0636">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7915" w:type="dxa"/>
            <w:noWrap w:val="0"/>
            <w:vAlign w:val="center"/>
          </w:tcPr>
          <w:p w14:paraId="0F0E264D">
            <w:pPr>
              <w:autoSpaceDE w:val="0"/>
              <w:autoSpaceDN w:val="0"/>
              <w:spacing w:line="24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根据投标人提供的对污水管网和终端施工期间交通组织等施工实施措施的全面性、合理性、可行性进行综合评价。</w:t>
            </w:r>
          </w:p>
          <w:p w14:paraId="02F32657">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1.阐述详细，内容全面、合理、清晰，可行性强的得4-6分；</w:t>
            </w:r>
          </w:p>
          <w:p w14:paraId="01D61368">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2.阐述较为详细，内容较为全面、合理、清晰，具有一定可行性的得2-4分；</w:t>
            </w:r>
          </w:p>
          <w:p w14:paraId="518D7292">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3.阐述较为粗略，内容不够全面、欠缺合理性，可行性较弱的得0-2分；</w:t>
            </w:r>
          </w:p>
          <w:p w14:paraId="4E350758">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4.未提供相关内容阐述或不符合项目的不得分。</w:t>
            </w:r>
          </w:p>
        </w:tc>
        <w:tc>
          <w:tcPr>
            <w:tcW w:w="739" w:type="dxa"/>
            <w:noWrap w:val="0"/>
            <w:vAlign w:val="center"/>
          </w:tcPr>
          <w:p w14:paraId="2681A567">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1EED2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trPr>
        <w:tc>
          <w:tcPr>
            <w:tcW w:w="699" w:type="dxa"/>
            <w:vMerge w:val="restart"/>
            <w:noWrap w:val="0"/>
            <w:vAlign w:val="center"/>
          </w:tcPr>
          <w:p w14:paraId="4C204C36">
            <w:pPr>
              <w:autoSpaceDE w:val="0"/>
              <w:autoSpaceDN w:val="0"/>
              <w:spacing w:line="240" w:lineRule="auto"/>
              <w:ind w:firstLine="0" w:firstLineChars="0"/>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6</w:t>
            </w:r>
          </w:p>
        </w:tc>
        <w:tc>
          <w:tcPr>
            <w:tcW w:w="982" w:type="dxa"/>
            <w:vMerge w:val="restart"/>
            <w:noWrap w:val="0"/>
            <w:vAlign w:val="center"/>
          </w:tcPr>
          <w:p w14:paraId="5CE70889">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宋体" w:hAnsi="宋体" w:eastAsia="宋体" w:cs="宋体"/>
                <w:b/>
                <w:bCs/>
                <w:color w:val="auto"/>
                <w:sz w:val="24"/>
                <w:szCs w:val="24"/>
                <w:highlight w:val="none"/>
                <w:lang w:val="en-US" w:eastAsia="zh-CN"/>
              </w:rPr>
              <w:t>服务方案</w:t>
            </w:r>
          </w:p>
        </w:tc>
        <w:tc>
          <w:tcPr>
            <w:tcW w:w="7915" w:type="dxa"/>
            <w:noWrap w:val="0"/>
            <w:vAlign w:val="center"/>
          </w:tcPr>
          <w:p w14:paraId="1B64B7C7">
            <w:pPr>
              <w:autoSpaceDE w:val="0"/>
              <w:autoSpaceDN w:val="0"/>
              <w:spacing w:line="24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根据投标人提供的对本项目组织实施是否具有完备的管理组织、实施规范，包括组织架构设立是否完善、管理组织运作机制（包括内部校审制度等）是否明确合理、可行进行综合评分。</w:t>
            </w:r>
          </w:p>
          <w:p w14:paraId="677B62F8">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1.管理组织设立完善，运作机制明确，合理可行的得4-6分；</w:t>
            </w:r>
          </w:p>
          <w:p w14:paraId="37AF323F">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2.管理组织设立或运作机制有欠缺，但基本合理可行的得2-4分；</w:t>
            </w:r>
          </w:p>
          <w:p w14:paraId="25C0C47B">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3.管理组织设立或运作机制粗略、不够明确，欠缺合理性、可行性较弱的得0-2分；</w:t>
            </w:r>
          </w:p>
          <w:p w14:paraId="11DCBB55">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4.无相关内容阐述或不符合项目的不得分。</w:t>
            </w:r>
          </w:p>
        </w:tc>
        <w:tc>
          <w:tcPr>
            <w:tcW w:w="739" w:type="dxa"/>
            <w:noWrap w:val="0"/>
            <w:vAlign w:val="center"/>
          </w:tcPr>
          <w:p w14:paraId="65B3EDBC">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07ED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trPr>
        <w:tc>
          <w:tcPr>
            <w:tcW w:w="699" w:type="dxa"/>
            <w:vMerge w:val="continue"/>
            <w:noWrap w:val="0"/>
            <w:vAlign w:val="center"/>
          </w:tcPr>
          <w:p w14:paraId="6C798272">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982" w:type="dxa"/>
            <w:vMerge w:val="continue"/>
            <w:noWrap w:val="0"/>
            <w:vAlign w:val="center"/>
          </w:tcPr>
          <w:p w14:paraId="2423B207">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7915" w:type="dxa"/>
            <w:noWrap w:val="0"/>
            <w:vAlign w:val="center"/>
          </w:tcPr>
          <w:p w14:paraId="70BC162A">
            <w:pPr>
              <w:autoSpaceDE w:val="0"/>
              <w:autoSpaceDN w:val="0"/>
              <w:spacing w:line="24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根据投标人提供对本项目的质量保障方案（包括设计进度计划、设计质量保证措施、关键部位的技术措施、相应的人力及物力的投入安排等情况）是否详细明确、合理可行进行综合评分。</w:t>
            </w:r>
          </w:p>
          <w:p w14:paraId="416D9CCE">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1.内容详细明确，措施合理可行，总体能够充分保证项目质量的得4-6分；</w:t>
            </w:r>
          </w:p>
          <w:p w14:paraId="229B1885">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2.内容较为详细明确，措施较为合理可行，总体较能够保证项目质量的得2-4分；</w:t>
            </w:r>
          </w:p>
          <w:p w14:paraId="1C9C27EE">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3.内容较为粗略，措施针对性、可行性较弱，总体保证项目质量较弱的得0-2分；</w:t>
            </w:r>
          </w:p>
          <w:p w14:paraId="0BE334D1">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4.未提供相关内容阐述或不符合项目的不得分。</w:t>
            </w:r>
          </w:p>
        </w:tc>
        <w:tc>
          <w:tcPr>
            <w:tcW w:w="739" w:type="dxa"/>
            <w:noWrap w:val="0"/>
            <w:vAlign w:val="center"/>
          </w:tcPr>
          <w:p w14:paraId="12D24C4F">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1250E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trPr>
        <w:tc>
          <w:tcPr>
            <w:tcW w:w="699" w:type="dxa"/>
            <w:vMerge w:val="continue"/>
            <w:noWrap w:val="0"/>
            <w:vAlign w:val="center"/>
          </w:tcPr>
          <w:p w14:paraId="7FE34B98">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982" w:type="dxa"/>
            <w:vMerge w:val="continue"/>
            <w:noWrap w:val="0"/>
            <w:vAlign w:val="center"/>
          </w:tcPr>
          <w:p w14:paraId="3B049DA2">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7915" w:type="dxa"/>
            <w:noWrap w:val="0"/>
            <w:vAlign w:val="center"/>
          </w:tcPr>
          <w:p w14:paraId="5917CE07">
            <w:pPr>
              <w:autoSpaceDE w:val="0"/>
              <w:autoSpaceDN w:val="0"/>
              <w:spacing w:line="24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根据投标人提供对本项目的前期对接、设计过程及项目实施中与各方沟通协调的措施的合理性、可行性进行综合评分。</w:t>
            </w:r>
          </w:p>
          <w:p w14:paraId="60A0A691">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1.阐述详细，内容全面、合理、清晰，可行性强的得4-6分；</w:t>
            </w:r>
          </w:p>
          <w:p w14:paraId="54543A31">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2.阐述较为详细，内容较为全面、合理、清晰，具有一定可行性的得2-4分；</w:t>
            </w:r>
          </w:p>
          <w:p w14:paraId="66FD4C7D">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3.阐述较为粗略，内容不够全面、欠缺合理性，可行性较弱的得0-2分；</w:t>
            </w:r>
          </w:p>
          <w:p w14:paraId="771C8E2C">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4.未提供相关内容阐述或不符合项目的不得分。</w:t>
            </w:r>
          </w:p>
        </w:tc>
        <w:tc>
          <w:tcPr>
            <w:tcW w:w="739" w:type="dxa"/>
            <w:noWrap w:val="0"/>
            <w:vAlign w:val="center"/>
          </w:tcPr>
          <w:p w14:paraId="00F66B76">
            <w:pPr>
              <w:autoSpaceDE w:val="0"/>
              <w:autoSpaceDN w:val="0"/>
              <w:spacing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0-6</w:t>
            </w:r>
            <w:r>
              <w:rPr>
                <w:rFonts w:hint="eastAsia" w:ascii="仿宋" w:hAnsi="仿宋" w:eastAsia="仿宋" w:cs="仿宋"/>
                <w:b/>
                <w:bCs/>
                <w:color w:val="auto"/>
                <w:kern w:val="0"/>
                <w:sz w:val="24"/>
                <w:szCs w:val="24"/>
              </w:rPr>
              <w:t>分</w:t>
            </w:r>
          </w:p>
        </w:tc>
      </w:tr>
      <w:tr w14:paraId="20BDC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trPr>
        <w:tc>
          <w:tcPr>
            <w:tcW w:w="699" w:type="dxa"/>
            <w:vMerge w:val="continue"/>
            <w:noWrap w:val="0"/>
            <w:vAlign w:val="center"/>
          </w:tcPr>
          <w:p w14:paraId="0866A2CC">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982" w:type="dxa"/>
            <w:vMerge w:val="continue"/>
            <w:noWrap w:val="0"/>
            <w:vAlign w:val="center"/>
          </w:tcPr>
          <w:p w14:paraId="070CA180">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7915" w:type="dxa"/>
            <w:noWrap w:val="0"/>
            <w:vAlign w:val="center"/>
          </w:tcPr>
          <w:p w14:paraId="57A286C2">
            <w:pPr>
              <w:autoSpaceDE w:val="0"/>
              <w:autoSpaceDN w:val="0"/>
              <w:spacing w:line="24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根据投标人提供的对采购单位投资项目对工程设计阶段控制造价措施方案等全面性、合理性和有效性进行综合比较与评分。</w:t>
            </w:r>
          </w:p>
          <w:p w14:paraId="268D62FC">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1.阐述详细，内容全面、合理、清晰，可行性强的得3-5分；</w:t>
            </w:r>
          </w:p>
          <w:p w14:paraId="0BD57756">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2.阐述较为详细，内容较为全面、合理、清晰，具有一定可行性的得1-3分；</w:t>
            </w:r>
          </w:p>
          <w:p w14:paraId="3795D285">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3.阐述较为粗略，内容不够全面、欠缺合理性，可行性较弱的得0-1分；</w:t>
            </w:r>
          </w:p>
          <w:p w14:paraId="0CF30B8E">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4.未提供相关内容阐述或不符合项目的不得分。</w:t>
            </w:r>
          </w:p>
        </w:tc>
        <w:tc>
          <w:tcPr>
            <w:tcW w:w="739" w:type="dxa"/>
            <w:noWrap w:val="0"/>
            <w:vAlign w:val="center"/>
          </w:tcPr>
          <w:p w14:paraId="07C776EF">
            <w:pPr>
              <w:autoSpaceDE w:val="0"/>
              <w:autoSpaceDN w:val="0"/>
              <w:spacing w:line="240" w:lineRule="auto"/>
              <w:ind w:firstLine="0" w:firstLineChars="0"/>
              <w:jc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0-5分</w:t>
            </w:r>
          </w:p>
        </w:tc>
      </w:tr>
      <w:tr w14:paraId="5E84A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trPr>
        <w:tc>
          <w:tcPr>
            <w:tcW w:w="699" w:type="dxa"/>
            <w:vMerge w:val="continue"/>
            <w:noWrap w:val="0"/>
            <w:vAlign w:val="center"/>
          </w:tcPr>
          <w:p w14:paraId="26E77A77">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982" w:type="dxa"/>
            <w:vMerge w:val="continue"/>
            <w:noWrap w:val="0"/>
            <w:vAlign w:val="center"/>
          </w:tcPr>
          <w:p w14:paraId="74440E0F">
            <w:pPr>
              <w:autoSpaceDE w:val="0"/>
              <w:autoSpaceDN w:val="0"/>
              <w:spacing w:line="240" w:lineRule="auto"/>
              <w:ind w:firstLine="0" w:firstLineChars="0"/>
              <w:jc w:val="center"/>
              <w:rPr>
                <w:rFonts w:hint="eastAsia" w:ascii="仿宋" w:hAnsi="仿宋" w:eastAsia="仿宋" w:cs="仿宋"/>
                <w:b/>
                <w:bCs/>
                <w:color w:val="auto"/>
                <w:kern w:val="0"/>
                <w:sz w:val="24"/>
                <w:szCs w:val="24"/>
              </w:rPr>
            </w:pPr>
          </w:p>
        </w:tc>
        <w:tc>
          <w:tcPr>
            <w:tcW w:w="7915" w:type="dxa"/>
            <w:noWrap w:val="0"/>
            <w:vAlign w:val="center"/>
          </w:tcPr>
          <w:p w14:paraId="7DA8E781">
            <w:pPr>
              <w:autoSpaceDE w:val="0"/>
              <w:autoSpaceDN w:val="0"/>
              <w:spacing w:line="24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根据投标人针对本项目从业人员廉政及保密制度、档案管理制度是否明确合理、可行进行综合评分。</w:t>
            </w:r>
          </w:p>
          <w:p w14:paraId="60CC1818">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1.阐述详细，内容全面、合理、清晰，可行性强的得3-5分；</w:t>
            </w:r>
          </w:p>
          <w:p w14:paraId="04D162A2">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2.阐述较为详细，内容较为全面、合理、清晰，具有一定可行性的得1-3分；</w:t>
            </w:r>
          </w:p>
          <w:p w14:paraId="16FE1E5D">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3.阐述较为粗略，内容不够全面、欠缺合理性，可行性较弱的得0-1分；</w:t>
            </w:r>
          </w:p>
          <w:p w14:paraId="5065A88E">
            <w:pPr>
              <w:autoSpaceDE w:val="0"/>
              <w:autoSpaceDN w:val="0"/>
              <w:spacing w:line="24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4.未提供相关内容阐述或不符合项目的不得分。</w:t>
            </w:r>
          </w:p>
        </w:tc>
        <w:tc>
          <w:tcPr>
            <w:tcW w:w="739" w:type="dxa"/>
            <w:noWrap w:val="0"/>
            <w:vAlign w:val="center"/>
          </w:tcPr>
          <w:p w14:paraId="34DF323D">
            <w:pPr>
              <w:autoSpaceDE w:val="0"/>
              <w:autoSpaceDN w:val="0"/>
              <w:spacing w:line="240" w:lineRule="auto"/>
              <w:ind w:firstLine="0" w:firstLineChars="0"/>
              <w:jc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0-5分</w:t>
            </w:r>
          </w:p>
        </w:tc>
      </w:tr>
      <w:tr w14:paraId="31C8E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699" w:type="dxa"/>
            <w:noWrap w:val="0"/>
            <w:vAlign w:val="center"/>
          </w:tcPr>
          <w:p w14:paraId="6730C97D">
            <w:pPr>
              <w:autoSpaceDE w:val="0"/>
              <w:autoSpaceDN w:val="0"/>
              <w:spacing w:line="240" w:lineRule="auto"/>
              <w:ind w:firstLine="0" w:firstLineChars="0"/>
              <w:jc w:val="center"/>
              <w:rPr>
                <w:rFonts w:hint="eastAsia" w:ascii="仿宋" w:hAnsi="仿宋" w:eastAsia="仿宋" w:cs="仿宋"/>
                <w:b/>
                <w:bCs/>
                <w:strike/>
                <w:dstrike w:val="0"/>
                <w:color w:val="auto"/>
                <w:kern w:val="0"/>
                <w:sz w:val="24"/>
                <w:szCs w:val="24"/>
                <w:lang w:eastAsia="zh-CN"/>
              </w:rPr>
            </w:pPr>
            <w:r>
              <w:rPr>
                <w:rFonts w:hint="eastAsia" w:ascii="仿宋" w:hAnsi="仿宋" w:eastAsia="仿宋" w:cs="仿宋"/>
                <w:b/>
                <w:bCs/>
                <w:strike w:val="0"/>
                <w:dstrike w:val="0"/>
                <w:color w:val="auto"/>
                <w:kern w:val="0"/>
                <w:sz w:val="24"/>
                <w:szCs w:val="24"/>
                <w:lang w:val="en-US" w:eastAsia="zh-CN"/>
              </w:rPr>
              <w:t>7</w:t>
            </w:r>
          </w:p>
        </w:tc>
        <w:tc>
          <w:tcPr>
            <w:tcW w:w="982" w:type="dxa"/>
            <w:noWrap w:val="0"/>
            <w:vAlign w:val="center"/>
          </w:tcPr>
          <w:p w14:paraId="00EA5A06">
            <w:pPr>
              <w:autoSpaceDE w:val="0"/>
              <w:autoSpaceDN w:val="0"/>
              <w:spacing w:line="240" w:lineRule="auto"/>
              <w:ind w:firstLine="0" w:firstLineChars="0"/>
              <w:jc w:val="left"/>
              <w:rPr>
                <w:rFonts w:hint="eastAsia" w:ascii="仿宋" w:hAnsi="仿宋" w:eastAsia="仿宋" w:cs="仿宋"/>
                <w:b/>
                <w:bCs/>
                <w:strike/>
                <w:dstrike w:val="0"/>
                <w:color w:val="auto"/>
                <w:kern w:val="0"/>
                <w:sz w:val="24"/>
                <w:szCs w:val="24"/>
              </w:rPr>
            </w:pPr>
            <w:r>
              <w:rPr>
                <w:rFonts w:hint="eastAsia" w:ascii="宋体" w:hAnsi="宋体" w:eastAsia="宋体" w:cs="宋体"/>
                <w:b/>
                <w:bCs/>
                <w:color w:val="auto"/>
                <w:sz w:val="24"/>
                <w:szCs w:val="24"/>
                <w:highlight w:val="none"/>
                <w:lang w:val="en-US" w:eastAsia="zh-CN"/>
              </w:rPr>
              <w:t>售后服务响应方案</w:t>
            </w:r>
          </w:p>
        </w:tc>
        <w:tc>
          <w:tcPr>
            <w:tcW w:w="7915" w:type="dxa"/>
            <w:noWrap w:val="0"/>
            <w:vAlign w:val="center"/>
          </w:tcPr>
          <w:p w14:paraId="5DF918DB">
            <w:pPr>
              <w:autoSpaceDE w:val="0"/>
              <w:autoSpaceDN w:val="0"/>
              <w:spacing w:line="240" w:lineRule="auto"/>
              <w:ind w:firstLine="480" w:firstLineChars="200"/>
              <w:jc w:val="left"/>
              <w:rPr>
                <w:rFonts w:hint="eastAsia" w:ascii="仿宋" w:hAnsi="仿宋" w:eastAsia="仿宋" w:cs="仿宋"/>
                <w:bCs/>
                <w:strike w:val="0"/>
                <w:dstrike w:val="0"/>
                <w:color w:val="auto"/>
                <w:kern w:val="0"/>
                <w:sz w:val="24"/>
                <w:szCs w:val="24"/>
              </w:rPr>
            </w:pPr>
            <w:r>
              <w:rPr>
                <w:rFonts w:hint="eastAsia" w:ascii="仿宋" w:hAnsi="仿宋" w:eastAsia="仿宋" w:cs="仿宋"/>
                <w:bCs/>
                <w:strike w:val="0"/>
                <w:dstrike w:val="0"/>
                <w:color w:val="auto"/>
                <w:kern w:val="0"/>
                <w:sz w:val="24"/>
                <w:szCs w:val="24"/>
              </w:rPr>
              <w:t>为保障本项目实施过程中能够具有良好的理解和沟通能力，根据投标人的售后服务响应方案（包括服务承诺、响应时间、对拟投入的技术人员制定具体服务工作计划，确保技术人员到位等相应的保障措施）是否详细明确、合理可行进行综合评分。</w:t>
            </w:r>
          </w:p>
          <w:p w14:paraId="145A7CC9">
            <w:pPr>
              <w:autoSpaceDE w:val="0"/>
              <w:autoSpaceDN w:val="0"/>
              <w:spacing w:line="240" w:lineRule="auto"/>
              <w:ind w:firstLine="0" w:firstLineChars="0"/>
              <w:jc w:val="left"/>
              <w:rPr>
                <w:rFonts w:hint="eastAsia" w:ascii="仿宋" w:hAnsi="仿宋" w:eastAsia="仿宋" w:cs="仿宋"/>
                <w:bCs/>
                <w:strike w:val="0"/>
                <w:dstrike w:val="0"/>
                <w:color w:val="auto"/>
                <w:kern w:val="0"/>
                <w:sz w:val="24"/>
                <w:szCs w:val="24"/>
              </w:rPr>
            </w:pPr>
            <w:r>
              <w:rPr>
                <w:rFonts w:hint="eastAsia" w:ascii="仿宋" w:hAnsi="仿宋" w:eastAsia="仿宋" w:cs="仿宋"/>
                <w:bCs/>
                <w:strike w:val="0"/>
                <w:dstrike w:val="0"/>
                <w:color w:val="auto"/>
                <w:kern w:val="0"/>
                <w:sz w:val="24"/>
                <w:szCs w:val="24"/>
              </w:rPr>
              <w:t>1.方案阐述详细，有明确、合理可行的承诺及措施，能够充分保证及时有效服务响应的得2-4分；</w:t>
            </w:r>
          </w:p>
          <w:p w14:paraId="1D98CD0E">
            <w:pPr>
              <w:autoSpaceDE w:val="0"/>
              <w:autoSpaceDN w:val="0"/>
              <w:spacing w:line="240" w:lineRule="auto"/>
              <w:ind w:firstLine="0" w:firstLineChars="0"/>
              <w:jc w:val="left"/>
              <w:rPr>
                <w:rFonts w:hint="eastAsia" w:ascii="仿宋" w:hAnsi="仿宋" w:eastAsia="仿宋" w:cs="仿宋"/>
                <w:bCs/>
                <w:strike w:val="0"/>
                <w:dstrike w:val="0"/>
                <w:color w:val="auto"/>
                <w:kern w:val="0"/>
                <w:sz w:val="24"/>
                <w:szCs w:val="24"/>
              </w:rPr>
            </w:pPr>
            <w:r>
              <w:rPr>
                <w:rFonts w:hint="eastAsia" w:ascii="仿宋" w:hAnsi="仿宋" w:eastAsia="仿宋" w:cs="仿宋"/>
                <w:bCs/>
                <w:strike w:val="0"/>
                <w:dstrike w:val="0"/>
                <w:color w:val="auto"/>
                <w:kern w:val="0"/>
                <w:sz w:val="24"/>
                <w:szCs w:val="24"/>
              </w:rPr>
              <w:t>2.方案阐述较为详细，有较合理可行的承诺及措施，能较好的保障及时有效服务响应的得1-2分；</w:t>
            </w:r>
          </w:p>
          <w:p w14:paraId="5892B69C">
            <w:pPr>
              <w:autoSpaceDE w:val="0"/>
              <w:autoSpaceDN w:val="0"/>
              <w:spacing w:line="240" w:lineRule="auto"/>
              <w:ind w:firstLine="0" w:firstLineChars="0"/>
              <w:jc w:val="left"/>
              <w:rPr>
                <w:rFonts w:hint="eastAsia" w:ascii="仿宋" w:hAnsi="仿宋" w:eastAsia="仿宋" w:cs="仿宋"/>
                <w:bCs/>
                <w:strike w:val="0"/>
                <w:dstrike w:val="0"/>
                <w:color w:val="auto"/>
                <w:kern w:val="0"/>
                <w:sz w:val="24"/>
                <w:szCs w:val="24"/>
              </w:rPr>
            </w:pPr>
            <w:r>
              <w:rPr>
                <w:rFonts w:hint="eastAsia" w:ascii="仿宋" w:hAnsi="仿宋" w:eastAsia="仿宋" w:cs="仿宋"/>
                <w:bCs/>
                <w:strike w:val="0"/>
                <w:dstrike w:val="0"/>
                <w:color w:val="auto"/>
                <w:kern w:val="0"/>
                <w:sz w:val="24"/>
                <w:szCs w:val="24"/>
              </w:rPr>
              <w:t>3.方案阐述较为粗略，内容存在缺陷、合理可行性欠缺，总体服务响应保障能力较为一般的得0-1分；</w:t>
            </w:r>
          </w:p>
          <w:p w14:paraId="6C7431A9">
            <w:pPr>
              <w:autoSpaceDE w:val="0"/>
              <w:autoSpaceDN w:val="0"/>
              <w:spacing w:line="240" w:lineRule="auto"/>
              <w:ind w:firstLine="0" w:firstLineChars="0"/>
              <w:jc w:val="left"/>
              <w:rPr>
                <w:rFonts w:hint="eastAsia" w:ascii="仿宋" w:hAnsi="仿宋" w:eastAsia="仿宋" w:cs="仿宋"/>
                <w:bCs/>
                <w:strike w:val="0"/>
                <w:dstrike w:val="0"/>
                <w:color w:val="auto"/>
                <w:kern w:val="0"/>
                <w:sz w:val="24"/>
                <w:szCs w:val="24"/>
              </w:rPr>
            </w:pPr>
            <w:r>
              <w:rPr>
                <w:rFonts w:hint="eastAsia" w:ascii="仿宋" w:hAnsi="仿宋" w:eastAsia="仿宋" w:cs="仿宋"/>
                <w:bCs/>
                <w:strike w:val="0"/>
                <w:dstrike w:val="0"/>
                <w:color w:val="auto"/>
                <w:kern w:val="0"/>
                <w:sz w:val="24"/>
                <w:szCs w:val="24"/>
              </w:rPr>
              <w:t>4.未提供相关内容阐述或不符合项目的不得分。</w:t>
            </w:r>
          </w:p>
          <w:p w14:paraId="306DF5C1">
            <w:pPr>
              <w:autoSpaceDE w:val="0"/>
              <w:autoSpaceDN w:val="0"/>
              <w:spacing w:line="240" w:lineRule="auto"/>
              <w:ind w:firstLine="0" w:firstLineChars="0"/>
              <w:jc w:val="left"/>
              <w:rPr>
                <w:rFonts w:hint="eastAsia" w:ascii="仿宋" w:hAnsi="仿宋" w:eastAsia="仿宋" w:cs="仿宋"/>
                <w:bCs/>
                <w:strike w:val="0"/>
                <w:dstrike w:val="0"/>
                <w:color w:val="auto"/>
                <w:kern w:val="0"/>
                <w:sz w:val="24"/>
                <w:szCs w:val="24"/>
              </w:rPr>
            </w:pPr>
            <w:r>
              <w:rPr>
                <w:rFonts w:hint="eastAsia" w:ascii="仿宋" w:hAnsi="仿宋" w:eastAsia="仿宋" w:cs="仿宋"/>
                <w:b/>
                <w:bCs w:val="0"/>
                <w:strike w:val="0"/>
                <w:dstrike w:val="0"/>
                <w:color w:val="auto"/>
                <w:kern w:val="0"/>
                <w:sz w:val="24"/>
                <w:szCs w:val="24"/>
                <w:lang w:eastAsia="zh-CN"/>
              </w:rPr>
              <w:t>（</w:t>
            </w:r>
            <w:r>
              <w:rPr>
                <w:rFonts w:hint="eastAsia" w:ascii="仿宋" w:hAnsi="仿宋" w:eastAsia="仿宋" w:cs="仿宋"/>
                <w:b/>
                <w:bCs w:val="0"/>
                <w:strike w:val="0"/>
                <w:dstrike w:val="0"/>
                <w:color w:val="auto"/>
                <w:kern w:val="0"/>
                <w:sz w:val="24"/>
                <w:szCs w:val="24"/>
              </w:rPr>
              <w:t>注：承诺函自拟，内容包含①接受采购单位及设计任务发布人的督查；②如违反承诺，接受包括但不限于取消中标资格、记入不良行为等处理。</w:t>
            </w:r>
            <w:r>
              <w:rPr>
                <w:rFonts w:hint="eastAsia" w:ascii="仿宋" w:hAnsi="仿宋" w:eastAsia="仿宋" w:cs="仿宋"/>
                <w:b/>
                <w:bCs w:val="0"/>
                <w:strike w:val="0"/>
                <w:dstrike w:val="0"/>
                <w:color w:val="auto"/>
                <w:kern w:val="0"/>
                <w:sz w:val="24"/>
                <w:szCs w:val="24"/>
                <w:lang w:eastAsia="zh-CN"/>
              </w:rPr>
              <w:t>）</w:t>
            </w:r>
          </w:p>
        </w:tc>
        <w:tc>
          <w:tcPr>
            <w:tcW w:w="739" w:type="dxa"/>
            <w:noWrap w:val="0"/>
            <w:vAlign w:val="center"/>
          </w:tcPr>
          <w:p w14:paraId="33B2FE27">
            <w:pPr>
              <w:autoSpaceDE w:val="0"/>
              <w:autoSpaceDN w:val="0"/>
              <w:spacing w:line="240" w:lineRule="auto"/>
              <w:ind w:firstLine="0" w:firstLineChars="0"/>
              <w:jc w:val="center"/>
              <w:rPr>
                <w:rFonts w:hint="eastAsia" w:ascii="仿宋" w:hAnsi="仿宋" w:eastAsia="仿宋" w:cs="仿宋"/>
                <w:b/>
                <w:bCs/>
                <w:strike w:val="0"/>
                <w:dstrike w:val="0"/>
                <w:color w:val="auto"/>
                <w:kern w:val="0"/>
                <w:sz w:val="24"/>
                <w:szCs w:val="24"/>
              </w:rPr>
            </w:pPr>
            <w:r>
              <w:rPr>
                <w:rFonts w:hint="eastAsia" w:ascii="仿宋" w:hAnsi="仿宋" w:eastAsia="仿宋" w:cs="仿宋"/>
                <w:b/>
                <w:bCs/>
                <w:strike w:val="0"/>
                <w:dstrike w:val="0"/>
                <w:color w:val="auto"/>
                <w:kern w:val="0"/>
                <w:sz w:val="24"/>
                <w:szCs w:val="24"/>
                <w:lang w:val="en-US" w:eastAsia="zh-CN"/>
              </w:rPr>
              <w:t>0-4</w:t>
            </w:r>
            <w:r>
              <w:rPr>
                <w:rFonts w:hint="eastAsia" w:ascii="仿宋" w:hAnsi="仿宋" w:eastAsia="仿宋" w:cs="仿宋"/>
                <w:b/>
                <w:bCs/>
                <w:strike w:val="0"/>
                <w:dstrike w:val="0"/>
                <w:color w:val="auto"/>
                <w:kern w:val="0"/>
                <w:sz w:val="24"/>
                <w:szCs w:val="24"/>
              </w:rPr>
              <w:t>分</w:t>
            </w:r>
          </w:p>
        </w:tc>
      </w:tr>
    </w:tbl>
    <w:p w14:paraId="73E1C59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1" w:firstLineChars="1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（5）本次评审通过资格审查和符合性评审的单位全部入围进行报价评审。</w:t>
      </w:r>
    </w:p>
    <w:p w14:paraId="5244E7B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（6</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特别说明</w:t>
      </w:r>
    </w:p>
    <w:p w14:paraId="25D6C52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1" w:firstLineChars="1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1.本项目二个标项均采用同一商务技术评分细则，按标项1到标项2的先后顺序依次进行评审；</w:t>
      </w:r>
    </w:p>
    <w:p w14:paraId="309B524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41" w:firstLineChars="1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投标人可以选择单个或多个标项投标，各标项有效投标人三家及以上时每个投标人只能中一个标项，中标后自动退出后续标项的评审。若后续标项不足三家有效投标人时所有有效投标人均进入后续标项的评审程序，此时一个投标人允许中标多个标项。</w:t>
      </w:r>
    </w:p>
    <w:p w14:paraId="7759FAF5">
      <w:pPr>
        <w:spacing w:line="360" w:lineRule="auto"/>
        <w:ind w:firstLine="482" w:firstLineChars="200"/>
        <w:rPr>
          <w:rFonts w:hint="eastAsia" w:ascii="仿宋" w:hAnsi="仿宋" w:eastAsia="仿宋" w:cs="仿宋"/>
          <w:b/>
          <w:bCs/>
          <w:color w:val="auto"/>
          <w:sz w:val="24"/>
          <w:szCs w:val="24"/>
          <w:highlight w:val="none"/>
          <w:u w:val="single"/>
          <w:lang w:val="en-US" w:eastAsia="zh-CN"/>
        </w:rPr>
      </w:pPr>
    </w:p>
    <w:p w14:paraId="18F1129D">
      <w:pPr>
        <w:pStyle w:val="4"/>
        <w:keepNext/>
        <w:keepLines/>
        <w:pageBreakBefore w:val="0"/>
        <w:widowControl w:val="0"/>
        <w:kinsoku/>
        <w:wordWrap/>
        <w:overflowPunct/>
        <w:topLinePunct w:val="0"/>
        <w:autoSpaceDE w:val="0"/>
        <w:autoSpaceDN w:val="0"/>
        <w:bidi w:val="0"/>
        <w:adjustRightInd w:val="0"/>
        <w:snapToGrid/>
        <w:spacing w:before="0" w:beforeLines="0" w:after="0" w:afterLines="0" w:line="300" w:lineRule="auto"/>
        <w:jc w:val="center"/>
        <w:textAlignment w:val="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color w:val="auto"/>
          <w:sz w:val="36"/>
          <w:szCs w:val="36"/>
          <w:highlight w:val="none"/>
        </w:rPr>
        <w:t>第四章   采购需求</w:t>
      </w:r>
    </w:p>
    <w:bookmarkEnd w:id="29"/>
    <w:p w14:paraId="15D91764">
      <w:pPr>
        <w:pStyle w:val="52"/>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仿宋" w:hAnsi="仿宋" w:eastAsia="仿宋" w:cs="仿宋"/>
          <w:b w:val="0"/>
          <w:bCs/>
          <w:snapToGrid w:val="0"/>
          <w:color w:val="auto"/>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（一）项目概况</w:t>
      </w:r>
    </w:p>
    <w:p w14:paraId="343CFAAB">
      <w:pPr>
        <w:keepNext w:val="0"/>
        <w:keepLines w:val="0"/>
        <w:pageBreakBefore w:val="0"/>
        <w:widowControl w:val="0"/>
        <w:kinsoku/>
        <w:wordWrap/>
        <w:overflowPunct/>
        <w:topLinePunct w:val="0"/>
        <w:bidi w:val="0"/>
        <w:spacing w:line="360" w:lineRule="auto"/>
        <w:ind w:firstLine="472" w:firstLineChars="196"/>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1、项目规模：</w:t>
      </w:r>
      <w:r>
        <w:rPr>
          <w:rFonts w:hint="eastAsia" w:ascii="仿宋" w:hAnsi="仿宋" w:eastAsia="仿宋" w:cs="仿宋"/>
          <w:b w:val="0"/>
          <w:bCs w:val="0"/>
          <w:color w:val="auto"/>
          <w:sz w:val="24"/>
          <w:szCs w:val="24"/>
          <w:highlight w:val="none"/>
          <w:lang w:val="en-US" w:eastAsia="zh-CN"/>
        </w:rPr>
        <w:t>诸暨市城市生活污水治理扩面提效项目（诸暨市暨阳街道污水改造工程-袁家村、江龙村；城中村纳厂提升改造工程-同乐上村、同乐下村、金三角村）</w:t>
      </w:r>
      <w:r>
        <w:rPr>
          <w:rFonts w:hint="eastAsia" w:ascii="仿宋" w:hAnsi="仿宋" w:eastAsia="仿宋" w:cs="仿宋"/>
          <w:color w:val="auto"/>
          <w:sz w:val="24"/>
          <w:szCs w:val="24"/>
          <w:lang w:eastAsia="zh-CN"/>
        </w:rPr>
        <w:t>图纸设计</w:t>
      </w:r>
      <w:r>
        <w:rPr>
          <w:rFonts w:hint="eastAsia" w:ascii="仿宋" w:hAnsi="仿宋" w:eastAsia="仿宋" w:cs="仿宋"/>
          <w:color w:val="auto"/>
          <w:sz w:val="24"/>
          <w:szCs w:val="24"/>
          <w:lang w:val="en-US" w:eastAsia="zh-CN"/>
        </w:rPr>
        <w:t>及前期调研工作。</w:t>
      </w:r>
    </w:p>
    <w:p w14:paraId="2523DC97">
      <w:pPr>
        <w:keepNext w:val="0"/>
        <w:keepLines w:val="0"/>
        <w:pageBreakBefore w:val="0"/>
        <w:widowControl w:val="0"/>
        <w:kinsoku/>
        <w:wordWrap/>
        <w:overflowPunct/>
        <w:topLinePunct w:val="0"/>
        <w:bidi w:val="0"/>
        <w:spacing w:line="36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标项一：</w:t>
      </w:r>
      <w:r>
        <w:rPr>
          <w:rFonts w:hint="eastAsia" w:ascii="仿宋" w:hAnsi="仿宋" w:eastAsia="仿宋" w:cs="仿宋"/>
          <w:color w:val="auto"/>
          <w:kern w:val="2"/>
          <w:sz w:val="24"/>
          <w:szCs w:val="24"/>
          <w:lang w:val="en-US" w:eastAsia="zh-CN" w:bidi="ar-SA"/>
        </w:rPr>
        <w:t>诸暨市城市生活污水治理扩面提效项目-诸暨市暨阳街道污水改造工程-袁家村、江龙村，</w:t>
      </w:r>
      <w:r>
        <w:rPr>
          <w:rFonts w:hint="eastAsia" w:ascii="仿宋" w:hAnsi="仿宋" w:eastAsia="仿宋" w:cs="仿宋"/>
          <w:bCs/>
          <w:color w:val="auto"/>
          <w:sz w:val="24"/>
          <w:szCs w:val="24"/>
          <w:highlight w:val="none"/>
          <w:lang w:val="en-US" w:eastAsia="zh-CN"/>
        </w:rPr>
        <w:t>设计服务费最高预算金额为</w:t>
      </w:r>
      <w:r>
        <w:rPr>
          <w:rFonts w:hint="eastAsia" w:ascii="仿宋" w:hAnsi="仿宋" w:eastAsia="仿宋" w:cs="仿宋"/>
          <w:bCs/>
          <w:color w:val="auto"/>
          <w:sz w:val="24"/>
          <w:szCs w:val="24"/>
          <w:highlight w:val="none"/>
        </w:rPr>
        <w:t>人民币</w:t>
      </w:r>
      <w:r>
        <w:rPr>
          <w:rFonts w:hint="eastAsia" w:ascii="仿宋" w:hAnsi="仿宋" w:eastAsia="仿宋" w:cs="仿宋"/>
          <w:bCs/>
          <w:color w:val="auto"/>
          <w:sz w:val="24"/>
          <w:szCs w:val="24"/>
          <w:highlight w:val="none"/>
          <w:lang w:val="en-US" w:eastAsia="zh-CN"/>
        </w:rPr>
        <w:t>壹佰零伍</w:t>
      </w:r>
      <w:r>
        <w:rPr>
          <w:rFonts w:hint="eastAsia" w:ascii="仿宋" w:hAnsi="仿宋" w:eastAsia="仿宋" w:cs="仿宋"/>
          <w:bCs/>
          <w:color w:val="auto"/>
          <w:sz w:val="24"/>
          <w:szCs w:val="24"/>
          <w:highlight w:val="none"/>
        </w:rPr>
        <w:t>万元整（¥</w:t>
      </w:r>
      <w:r>
        <w:rPr>
          <w:rFonts w:hint="eastAsia" w:ascii="仿宋" w:hAnsi="仿宋" w:eastAsia="仿宋" w:cs="仿宋"/>
          <w:bCs/>
          <w:color w:val="auto"/>
          <w:sz w:val="24"/>
          <w:szCs w:val="24"/>
          <w:highlight w:val="none"/>
          <w:lang w:val="en-US" w:eastAsia="zh-CN"/>
        </w:rPr>
        <w:t>105</w:t>
      </w:r>
      <w:r>
        <w:rPr>
          <w:rFonts w:hint="eastAsia" w:ascii="仿宋" w:hAnsi="仿宋" w:eastAsia="仿宋" w:cs="仿宋"/>
          <w:bCs/>
          <w:color w:val="auto"/>
          <w:sz w:val="24"/>
          <w:szCs w:val="24"/>
          <w:highlight w:val="none"/>
        </w:rPr>
        <w:t>0000.00）</w:t>
      </w:r>
      <w:r>
        <w:rPr>
          <w:rFonts w:hint="eastAsia" w:ascii="仿宋" w:hAnsi="仿宋" w:eastAsia="仿宋" w:cs="仿宋"/>
          <w:bCs/>
          <w:color w:val="auto"/>
          <w:sz w:val="24"/>
          <w:szCs w:val="24"/>
          <w:highlight w:val="none"/>
          <w:lang w:val="en-US" w:eastAsia="zh-CN"/>
        </w:rPr>
        <w:t>，按折扣招标</w:t>
      </w:r>
      <w:r>
        <w:rPr>
          <w:rFonts w:hint="eastAsia" w:ascii="仿宋" w:hAnsi="仿宋" w:eastAsia="仿宋" w:cs="仿宋"/>
          <w:bCs/>
          <w:color w:val="auto"/>
          <w:sz w:val="24"/>
          <w:szCs w:val="24"/>
          <w:highlight w:val="none"/>
        </w:rPr>
        <w:t>。</w:t>
      </w:r>
    </w:p>
    <w:p w14:paraId="7F3475ED">
      <w:pPr>
        <w:keepNext w:val="0"/>
        <w:keepLines w:val="0"/>
        <w:pageBreakBefore w:val="0"/>
        <w:widowControl w:val="0"/>
        <w:kinsoku/>
        <w:wordWrap/>
        <w:overflowPunct/>
        <w:topLinePunct w:val="0"/>
        <w:bidi w:val="0"/>
        <w:spacing w:line="360" w:lineRule="auto"/>
        <w:ind w:firstLine="470" w:firstLineChars="196"/>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标项二：</w:t>
      </w:r>
      <w:r>
        <w:rPr>
          <w:rFonts w:hint="eastAsia" w:ascii="仿宋" w:hAnsi="仿宋" w:eastAsia="仿宋" w:cs="仿宋"/>
          <w:color w:val="auto"/>
          <w:kern w:val="2"/>
          <w:sz w:val="24"/>
          <w:szCs w:val="24"/>
          <w:lang w:val="en-US" w:eastAsia="zh-CN" w:bidi="ar-SA"/>
        </w:rPr>
        <w:t>诸暨市城市生活污水治理扩面提效项目-城中村纳厂提升改造工程-同乐上村、同乐下村、金三角村，</w:t>
      </w:r>
      <w:r>
        <w:rPr>
          <w:rFonts w:hint="eastAsia" w:ascii="仿宋" w:hAnsi="仿宋" w:eastAsia="仿宋" w:cs="仿宋"/>
          <w:bCs/>
          <w:color w:val="auto"/>
          <w:sz w:val="24"/>
          <w:szCs w:val="24"/>
          <w:highlight w:val="none"/>
          <w:lang w:val="en-US" w:eastAsia="zh-CN"/>
        </w:rPr>
        <w:t>设计服务费最高预算金额为</w:t>
      </w:r>
      <w:r>
        <w:rPr>
          <w:rFonts w:hint="eastAsia" w:ascii="仿宋" w:hAnsi="仿宋" w:eastAsia="仿宋" w:cs="仿宋"/>
          <w:bCs/>
          <w:color w:val="auto"/>
          <w:sz w:val="24"/>
          <w:szCs w:val="24"/>
          <w:highlight w:val="none"/>
        </w:rPr>
        <w:t>人民币</w:t>
      </w:r>
      <w:r>
        <w:rPr>
          <w:rFonts w:hint="eastAsia" w:ascii="仿宋" w:hAnsi="仿宋" w:eastAsia="仿宋" w:cs="仿宋"/>
          <w:bCs/>
          <w:color w:val="auto"/>
          <w:sz w:val="24"/>
          <w:szCs w:val="24"/>
          <w:highlight w:val="none"/>
          <w:lang w:val="en-US" w:eastAsia="zh-CN"/>
        </w:rPr>
        <w:t>柒拾伍</w:t>
      </w:r>
      <w:r>
        <w:rPr>
          <w:rFonts w:hint="eastAsia" w:ascii="仿宋" w:hAnsi="仿宋" w:eastAsia="仿宋" w:cs="仿宋"/>
          <w:bCs/>
          <w:color w:val="auto"/>
          <w:sz w:val="24"/>
          <w:szCs w:val="24"/>
          <w:highlight w:val="none"/>
        </w:rPr>
        <w:t>万元整（¥</w:t>
      </w:r>
      <w:r>
        <w:rPr>
          <w:rFonts w:hint="eastAsia" w:ascii="仿宋" w:hAnsi="仿宋" w:eastAsia="仿宋" w:cs="仿宋"/>
          <w:bCs/>
          <w:color w:val="auto"/>
          <w:sz w:val="24"/>
          <w:szCs w:val="24"/>
          <w:highlight w:val="none"/>
          <w:lang w:val="en-US" w:eastAsia="zh-CN"/>
        </w:rPr>
        <w:t>75</w:t>
      </w:r>
      <w:r>
        <w:rPr>
          <w:rFonts w:hint="eastAsia" w:ascii="仿宋" w:hAnsi="仿宋" w:eastAsia="仿宋" w:cs="仿宋"/>
          <w:bCs/>
          <w:color w:val="auto"/>
          <w:sz w:val="24"/>
          <w:szCs w:val="24"/>
          <w:highlight w:val="none"/>
        </w:rPr>
        <w:t>0000.00）</w:t>
      </w:r>
      <w:r>
        <w:rPr>
          <w:rFonts w:hint="eastAsia" w:ascii="仿宋" w:hAnsi="仿宋" w:eastAsia="仿宋" w:cs="仿宋"/>
          <w:bCs/>
          <w:color w:val="auto"/>
          <w:sz w:val="24"/>
          <w:szCs w:val="24"/>
          <w:highlight w:val="none"/>
          <w:lang w:val="en-US" w:eastAsia="zh-CN"/>
        </w:rPr>
        <w:t>，按折扣招标</w:t>
      </w:r>
      <w:r>
        <w:rPr>
          <w:rFonts w:hint="eastAsia" w:ascii="仿宋" w:hAnsi="仿宋" w:eastAsia="仿宋" w:cs="仿宋"/>
          <w:bCs/>
          <w:color w:val="auto"/>
          <w:sz w:val="24"/>
          <w:szCs w:val="24"/>
          <w:highlight w:val="none"/>
        </w:rPr>
        <w:t>。</w:t>
      </w:r>
    </w:p>
    <w:p w14:paraId="6379A424">
      <w:pPr>
        <w:keepNext w:val="0"/>
        <w:keepLines w:val="0"/>
        <w:pageBreakBefore w:val="0"/>
        <w:widowControl w:val="0"/>
        <w:kinsoku/>
        <w:wordWrap/>
        <w:overflowPunct/>
        <w:topLinePunct w:val="0"/>
        <w:bidi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highlight w:val="none"/>
          <w:lang w:val="en-US" w:eastAsia="zh-CN"/>
        </w:rPr>
        <w:t>采购内容</w:t>
      </w:r>
    </w:p>
    <w:p w14:paraId="032B0D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本工程设计范围</w:t>
      </w:r>
    </w:p>
    <w:p w14:paraId="5C4F35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采购范围：工程的方案设计（含估算编制）、初步设计（含概算编制）、施工图设计（含概算调整）、设计调整，以及工程勘察配合、排查和测量配合、报批配合、施工配合、验收配合、结算配合等其他相关服务，直至工程竣工验收</w:t>
      </w:r>
      <w:r>
        <w:rPr>
          <w:rFonts w:hint="eastAsia" w:ascii="仿宋" w:hAnsi="仿宋" w:eastAsia="仿宋" w:cs="仿宋"/>
          <w:b w:val="0"/>
          <w:bCs w:val="0"/>
          <w:color w:val="auto"/>
          <w:sz w:val="24"/>
          <w:szCs w:val="24"/>
          <w:highlight w:val="none"/>
          <w:lang w:val="en-US" w:eastAsia="zh-CN"/>
        </w:rPr>
        <w:t>及工程结算审计完成等</w:t>
      </w:r>
      <w:r>
        <w:rPr>
          <w:rFonts w:hint="eastAsia" w:ascii="仿宋" w:hAnsi="仿宋" w:eastAsia="仿宋" w:cs="仿宋"/>
          <w:b w:val="0"/>
          <w:bCs w:val="0"/>
          <w:color w:val="auto"/>
          <w:sz w:val="24"/>
          <w:szCs w:val="24"/>
          <w:highlight w:val="none"/>
        </w:rPr>
        <w:t>。</w:t>
      </w:r>
    </w:p>
    <w:p w14:paraId="6B4E6D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设计内容主要包括但不限于：</w:t>
      </w:r>
      <w:r>
        <w:rPr>
          <w:rFonts w:hint="eastAsia" w:ascii="仿宋" w:hAnsi="仿宋" w:eastAsia="仿宋" w:cs="仿宋"/>
          <w:color w:val="auto"/>
          <w:sz w:val="24"/>
          <w:szCs w:val="24"/>
        </w:rPr>
        <w:t>完成本项目的</w:t>
      </w:r>
      <w:r>
        <w:rPr>
          <w:rFonts w:hint="eastAsia" w:ascii="仿宋" w:hAnsi="仿宋" w:eastAsia="仿宋" w:cs="仿宋"/>
          <w:color w:val="auto"/>
          <w:sz w:val="24"/>
          <w:szCs w:val="24"/>
          <w:lang w:val="en-US" w:eastAsia="zh-CN"/>
        </w:rPr>
        <w:t>前期调研工作及</w:t>
      </w:r>
      <w:r>
        <w:rPr>
          <w:rFonts w:hint="eastAsia" w:ascii="仿宋" w:hAnsi="仿宋" w:eastAsia="仿宋" w:cs="仿宋"/>
          <w:bCs/>
          <w:color w:val="auto"/>
          <w:sz w:val="24"/>
          <w:szCs w:val="24"/>
        </w:rPr>
        <w:t>工程可行性研究报告编制</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报批</w:t>
      </w:r>
      <w:r>
        <w:rPr>
          <w:rFonts w:hint="eastAsia" w:ascii="仿宋" w:hAnsi="仿宋" w:eastAsia="仿宋" w:cs="仿宋"/>
          <w:bCs/>
          <w:color w:val="auto"/>
          <w:sz w:val="24"/>
          <w:szCs w:val="24"/>
          <w:lang w:eastAsia="zh-CN"/>
        </w:rPr>
        <w:t>；</w:t>
      </w:r>
      <w:r>
        <w:rPr>
          <w:rFonts w:hint="eastAsia" w:ascii="仿宋" w:hAnsi="仿宋" w:eastAsia="仿宋" w:cs="仿宋"/>
          <w:b w:val="0"/>
          <w:bCs w:val="0"/>
          <w:color w:val="auto"/>
          <w:sz w:val="24"/>
          <w:szCs w:val="24"/>
          <w:highlight w:val="none"/>
        </w:rPr>
        <w:t>污水主管网及雨污分流等设计内容，积极做好与建设方及相关单位的沟通与协作，后续实施过程提供相应技术配合服务等。</w:t>
      </w:r>
    </w:p>
    <w:p w14:paraId="3C4691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）设计文件须达到国家规定的设计文件编制深度要求，符合《工程建设标准强制性条文》、</w:t>
      </w:r>
      <w:r>
        <w:rPr>
          <w:rFonts w:hint="eastAsia" w:ascii="仿宋" w:hAnsi="仿宋" w:eastAsia="仿宋" w:cs="仿宋"/>
          <w:b w:val="0"/>
          <w:bCs w:val="0"/>
          <w:color w:val="auto"/>
          <w:sz w:val="24"/>
          <w:szCs w:val="24"/>
          <w:highlight w:val="none"/>
          <w:lang w:val="en-US" w:eastAsia="zh-CN"/>
        </w:rPr>
        <w:t>诸暨</w:t>
      </w:r>
      <w:r>
        <w:rPr>
          <w:rFonts w:hint="eastAsia" w:ascii="仿宋" w:hAnsi="仿宋" w:eastAsia="仿宋" w:cs="仿宋"/>
          <w:b w:val="0"/>
          <w:bCs w:val="0"/>
          <w:color w:val="auto"/>
          <w:sz w:val="24"/>
          <w:szCs w:val="24"/>
          <w:highlight w:val="none"/>
        </w:rPr>
        <w:t>市相关其他规定等设计标准、规范、规程、定额和办法等的要求，并且通过施工图审查及完成备案。</w:t>
      </w:r>
    </w:p>
    <w:p w14:paraId="58D44F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设计服务内容及要求</w:t>
      </w:r>
    </w:p>
    <w:p w14:paraId="2C45D6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1总体要求</w:t>
      </w:r>
    </w:p>
    <w:p w14:paraId="47B740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（1）工程设计应遵守国家有关法律法规，必须符合工程建设强制性标准，标准和内容必须按照本工程项目的有关要求。</w:t>
      </w:r>
    </w:p>
    <w:p w14:paraId="35DC35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（2）工程设计应在其排查报告的基础上，坚持节约资源、确保安全、提高质量利于运行和降低造价的原则，进行全面细致的方案比选，确保设计结果技术可行、经济合理。</w:t>
      </w:r>
    </w:p>
    <w:p w14:paraId="635AD5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）满足现行国家各类相关法规，规范、技术规定、条例和标准的要求，同时须考虑各排水单元的实际条件，符合发改、规划、水务等各主管部门送审要求。在此基础上</w:t>
      </w:r>
      <w:r>
        <w:rPr>
          <w:rFonts w:hint="eastAsia" w:ascii="仿宋" w:hAnsi="仿宋" w:eastAsia="仿宋" w:cs="仿宋"/>
          <w:b w:val="0"/>
          <w:bCs w:val="0"/>
          <w:color w:val="auto"/>
          <w:sz w:val="24"/>
          <w:szCs w:val="24"/>
          <w:highlight w:val="none"/>
          <w:lang w:val="en-US" w:eastAsia="zh-CN"/>
        </w:rPr>
        <w:t>投标单位</w:t>
      </w:r>
      <w:r>
        <w:rPr>
          <w:rFonts w:hint="eastAsia" w:ascii="仿宋" w:hAnsi="仿宋" w:eastAsia="仿宋" w:cs="仿宋"/>
          <w:b w:val="0"/>
          <w:bCs w:val="0"/>
          <w:color w:val="auto"/>
          <w:sz w:val="24"/>
          <w:szCs w:val="24"/>
          <w:highlight w:val="none"/>
        </w:rPr>
        <w:t>应结合自己丰富的经验和最新的设计理念的发展趋势，开拓创新，力争在形式及内容上有所突破和创新。</w:t>
      </w:r>
      <w:r>
        <w:rPr>
          <w:rFonts w:hint="eastAsia" w:ascii="仿宋" w:hAnsi="仿宋" w:eastAsia="仿宋" w:cs="仿宋"/>
          <w:bCs/>
          <w:color w:val="auto"/>
          <w:sz w:val="24"/>
          <w:szCs w:val="24"/>
        </w:rPr>
        <w:t>认真研究相似规模工程的主要特色</w:t>
      </w:r>
      <w:r>
        <w:rPr>
          <w:rFonts w:hint="eastAsia" w:ascii="仿宋" w:hAnsi="仿宋" w:eastAsia="仿宋" w:cs="仿宋"/>
          <w:bCs/>
          <w:color w:val="auto"/>
          <w:sz w:val="24"/>
          <w:szCs w:val="24"/>
          <w:lang w:eastAsia="zh-CN"/>
        </w:rPr>
        <w:t>，</w:t>
      </w:r>
      <w:r>
        <w:rPr>
          <w:rFonts w:hint="eastAsia" w:ascii="仿宋" w:hAnsi="仿宋" w:eastAsia="仿宋" w:cs="仿宋"/>
          <w:b w:val="0"/>
          <w:bCs w:val="0"/>
          <w:color w:val="auto"/>
          <w:sz w:val="24"/>
          <w:szCs w:val="24"/>
          <w:highlight w:val="none"/>
        </w:rPr>
        <w:t>在经验、资料及数据的基础上，以最佳的格局配置，对本项目进行设计。</w:t>
      </w:r>
    </w:p>
    <w:p w14:paraId="4C189E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在其工作范围内应确保其各自独立准备的全部设计文件在中国境内外都没有且也不会侵犯任何第三方的知识产权（包括但不限于著作权、商标权、专利权）或专有技术或商业秘密；</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如果在其设计文件中使用或包含任何其他人的知识产权或专有技术或商业秘密，应保证已经获得权利人的合法、有效、充分的授权；采购人拥有</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所提交的全部设计文件的使用权和受益权，并使用于招标项目。</w:t>
      </w:r>
    </w:p>
    <w:p w14:paraId="6F336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）方案设计：</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根据排查结果对需要施工的项目进行方案设计，设计方案经采购人同意后再进行下一步设计（设计深度符合《市政公用工程设计文件编制深度规划》（2013年版））。</w:t>
      </w:r>
    </w:p>
    <w:p w14:paraId="597308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施工图设计阶段设计要求</w:t>
      </w:r>
    </w:p>
    <w:p w14:paraId="17F0B8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（1）基本要求</w:t>
      </w:r>
    </w:p>
    <w:p w14:paraId="20314F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1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①</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施工图设计图纸和相应说明文件要完整，内容、深度要符合国家和建设部的规定，文字说明、图纸要准确清晰，整个文件必须经过严格校审。</w:t>
      </w:r>
    </w:p>
    <w:p w14:paraId="756929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2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②</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依据的规程、规范及相关文件：针对项目的实际情况，列出应遵循的标准、规程和规范，并提出工程各部分实施时需要注意的问题和突发情况的处理方式。</w:t>
      </w:r>
    </w:p>
    <w:p w14:paraId="20706F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3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③</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需配合采购人进行各有关项目报批、项目审查和施工图审查工作，提供审查用的技术资料，进行必要的汇报解释，以及根据审查意见做不超出范围的修改补充，直至满足工程建设需要。</w:t>
      </w:r>
    </w:p>
    <w:p w14:paraId="1E2661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4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④</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服从采购人的安排，确保工程设计的编制进度和质量。</w:t>
      </w:r>
    </w:p>
    <w:p w14:paraId="250EA3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5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⑤</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负责工程实施过程中的施工配合工作、必要的完善修改工作。</w:t>
      </w:r>
    </w:p>
    <w:p w14:paraId="755E2E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6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⑥</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需派人参与并指导项目各个环节的验收工作，以及工程试运行、调试等工作。</w:t>
      </w:r>
    </w:p>
    <w:p w14:paraId="0478DC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7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⑦</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需根据工程验收需要，出具相应的总结和验收报告书等文件。</w:t>
      </w:r>
    </w:p>
    <w:p w14:paraId="5458F0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设计技术要求</w:t>
      </w:r>
    </w:p>
    <w:p w14:paraId="252D36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sz w:val="24"/>
          <w:szCs w:val="24"/>
          <w:highlight w:val="none"/>
        </w:rPr>
        <w:t>设计先进合理，技术安全可靠。</w:t>
      </w:r>
    </w:p>
    <w:p w14:paraId="2880F3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2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②</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工程总概算科学准确，工程造价与运行成本经济合理。</w:t>
      </w:r>
    </w:p>
    <w:p w14:paraId="0AE38A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3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③</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保证设计质量、配合工程实施、提供优质服务的措施得力。</w:t>
      </w:r>
    </w:p>
    <w:p w14:paraId="3DC24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4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④</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设计结果必须符合国家规范和标准及采购人有关要求。若设计结果达不到国家规范和标准及采购人有关要求必须重新设计。</w:t>
      </w:r>
    </w:p>
    <w:p w14:paraId="6CAEE7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5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⑤</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工程招标、施工过程中如需调整，经采购人确认后</w:t>
      </w: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应做好配合工作，出具相关联系单。</w:t>
      </w:r>
    </w:p>
    <w:p w14:paraId="3EE24C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3、质量要求：合格，符合相关法律法规及行业规范、标准等要求。</w:t>
      </w:r>
    </w:p>
    <w:p w14:paraId="4DA84851">
      <w:pPr>
        <w:keepNext w:val="0"/>
        <w:keepLines w:val="0"/>
        <w:pageBreakBefore w:val="0"/>
        <w:widowControl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highlight w:val="none"/>
        </w:rPr>
        <w:t>设计依据</w:t>
      </w:r>
      <w:r>
        <w:rPr>
          <w:rFonts w:hint="eastAsia" w:ascii="仿宋" w:hAnsi="仿宋" w:eastAsia="仿宋" w:cs="仿宋"/>
          <w:b/>
          <w:bCs/>
          <w:color w:val="auto"/>
          <w:kern w:val="0"/>
          <w:sz w:val="24"/>
          <w:szCs w:val="24"/>
          <w:highlight w:val="none"/>
          <w:u w:val="none"/>
          <w:lang w:val="en-US" w:eastAsia="zh-CN" w:bidi="ar-SA"/>
        </w:rPr>
        <w:t>（包括但不限于）</w:t>
      </w:r>
    </w:p>
    <w:p w14:paraId="6039F23B">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 本工程项目的使用功能设计要求。</w:t>
      </w:r>
    </w:p>
    <w:p w14:paraId="602EC6A9">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绍兴市</w:t>
      </w:r>
      <w:r>
        <w:rPr>
          <w:rFonts w:hint="eastAsia" w:ascii="仿宋" w:hAnsi="仿宋" w:eastAsia="仿宋" w:cs="仿宋"/>
          <w:color w:val="auto"/>
          <w:kern w:val="0"/>
          <w:sz w:val="24"/>
          <w:szCs w:val="24"/>
        </w:rPr>
        <w:t>最新的污水零直排排查成果。</w:t>
      </w:r>
    </w:p>
    <w:p w14:paraId="239BBF46">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 现行国家、行业等标准及</w:t>
      </w:r>
      <w:r>
        <w:rPr>
          <w:rFonts w:hint="eastAsia" w:ascii="仿宋" w:hAnsi="仿宋" w:eastAsia="仿宋" w:cs="仿宋"/>
          <w:color w:val="auto"/>
          <w:kern w:val="0"/>
          <w:sz w:val="24"/>
          <w:szCs w:val="24"/>
          <w:lang w:val="en-US" w:eastAsia="zh-CN"/>
        </w:rPr>
        <w:t>绍兴</w:t>
      </w:r>
      <w:r>
        <w:rPr>
          <w:rFonts w:hint="eastAsia" w:ascii="仿宋" w:hAnsi="仿宋" w:eastAsia="仿宋" w:cs="仿宋"/>
          <w:color w:val="auto"/>
          <w:kern w:val="0"/>
          <w:sz w:val="24"/>
          <w:szCs w:val="24"/>
        </w:rPr>
        <w:t>地区雨污水设计相关规范等要求。</w:t>
      </w:r>
    </w:p>
    <w:p w14:paraId="63F930D1">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①《中华人民共和国环境保护法》（2015年）；</w:t>
      </w:r>
    </w:p>
    <w:p w14:paraId="7B61D59C">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2 \* GB3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②</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《中华人民共和国城乡规划法》（2015年）；</w:t>
      </w:r>
    </w:p>
    <w:p w14:paraId="5869C7CF">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3 \* GB3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③</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《中华人民共和国水污染防治法》（2018年修正）；</w:t>
      </w:r>
    </w:p>
    <w:p w14:paraId="06BD0DAD">
      <w:pPr>
        <w:pStyle w:val="17"/>
        <w:keepNext w:val="0"/>
        <w:keepLines w:val="0"/>
        <w:pageBreakBefore w:val="0"/>
        <w:widowControl w:val="0"/>
        <w:kinsoku/>
        <w:wordWrap/>
        <w:overflowPunct/>
        <w:topLinePunct w:val="0"/>
        <w:bidi w:val="0"/>
        <w:adjustRightInd w:val="0"/>
        <w:snapToGrid w:val="0"/>
        <w:spacing w:line="360" w:lineRule="auto"/>
        <w:ind w:left="437" w:leftChars="208"/>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4 \* GB3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④</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《浙江省“污水零直排区”建设行动方案》、《</w:t>
      </w:r>
      <w:r>
        <w:rPr>
          <w:rFonts w:hint="eastAsia" w:ascii="仿宋" w:hAnsi="仿宋" w:eastAsia="仿宋" w:cs="仿宋"/>
          <w:color w:val="auto"/>
          <w:kern w:val="0"/>
          <w:sz w:val="24"/>
          <w:szCs w:val="24"/>
          <w:lang w:eastAsia="zh-CN"/>
        </w:rPr>
        <w:t>绍兴市</w:t>
      </w:r>
      <w:r>
        <w:rPr>
          <w:rFonts w:hint="eastAsia" w:ascii="仿宋" w:hAnsi="仿宋" w:eastAsia="仿宋" w:cs="仿宋"/>
          <w:color w:val="auto"/>
          <w:kern w:val="0"/>
          <w:sz w:val="24"/>
          <w:szCs w:val="24"/>
        </w:rPr>
        <w:t>“污水零直排区”建设行动总体方案》；</w:t>
      </w:r>
    </w:p>
    <w:p w14:paraId="0E2596BE">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5 \* GB3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⑤</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《室内外排水设计规范》（GB5014-2016）；</w:t>
      </w:r>
    </w:p>
    <w:p w14:paraId="4A3A66E0">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⑥《给水排水构筑物结构设计规范》(GB50069-2016)；</w:t>
      </w:r>
    </w:p>
    <w:p w14:paraId="78BFF8E0">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⑦《城市工程管线综合规划规范》（GB50289-2016）</w:t>
      </w:r>
    </w:p>
    <w:p w14:paraId="03F110F4">
      <w:pPr>
        <w:pStyle w:val="17"/>
        <w:keepNext w:val="0"/>
        <w:keepLines w:val="0"/>
        <w:pageBreakBefore w:val="0"/>
        <w:widowControl w:val="0"/>
        <w:kinsoku/>
        <w:wordWrap/>
        <w:overflowPunct/>
        <w:topLinePunct w:val="0"/>
        <w:bidi w:val="0"/>
        <w:adjustRightInd w:val="0"/>
        <w:snapToGrid w:val="0"/>
        <w:spacing w:line="360" w:lineRule="auto"/>
        <w:ind w:firstLine="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⑧其他相关规范、技术标准。</w:t>
      </w:r>
    </w:p>
    <w:p w14:paraId="18BC8FEF">
      <w:pPr>
        <w:keepNext w:val="0"/>
        <w:keepLines w:val="0"/>
        <w:pageBreakBefore w:val="0"/>
        <w:widowControl w:val="0"/>
        <w:kinsoku/>
        <w:wordWrap/>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highlight w:val="none"/>
          <w:lang w:val="en-US" w:eastAsia="zh-CN"/>
        </w:rPr>
        <w:t>其他</w:t>
      </w:r>
      <w:r>
        <w:rPr>
          <w:rFonts w:hint="eastAsia" w:ascii="仿宋" w:hAnsi="仿宋" w:eastAsia="仿宋" w:cs="仿宋"/>
          <w:b/>
          <w:color w:val="auto"/>
          <w:sz w:val="24"/>
          <w:szCs w:val="24"/>
          <w:highlight w:val="none"/>
        </w:rPr>
        <w:t>要求</w:t>
      </w:r>
    </w:p>
    <w:p w14:paraId="1DBEAF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1、如有因成果编制不明，需要</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现场说明或出具资料补充的，</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必须予以配合，否则采购人有权按合同约定对</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进行处罚。</w:t>
      </w:r>
    </w:p>
    <w:p w14:paraId="15590C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负责必须对项目成果错误进行及时更正，不得以任何形式的原因及理由要求增加费用。</w:t>
      </w:r>
    </w:p>
    <w:p w14:paraId="2C3D5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3、本次设计所有成果，归采购人所有。未经采购人许可，</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不得向第三方提供或泄露，否则将承担相应的法律责任。</w:t>
      </w:r>
    </w:p>
    <w:p w14:paraId="3E85A3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必须对收集的基础资料及所有成果承担安全、保密责任。</w:t>
      </w:r>
    </w:p>
    <w:p w14:paraId="68B78E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应保证提供服务过程中不会侵犯任何第三方的知识产权。</w:t>
      </w:r>
    </w:p>
    <w:p w14:paraId="04C081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6、若审查过程中发现设计有缺项漏项的部分，</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须无条件配合采购人进行修改完善。</w:t>
      </w:r>
    </w:p>
    <w:p w14:paraId="599F91C3">
      <w:pPr>
        <w:keepNext w:val="0"/>
        <w:keepLines w:val="0"/>
        <w:pageBreakBefore w:val="0"/>
        <w:widowControl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项目进度要求</w:t>
      </w:r>
    </w:p>
    <w:p w14:paraId="07A6392A">
      <w:pPr>
        <w:keepNext w:val="0"/>
        <w:keepLines w:val="0"/>
        <w:pageBreakBefore w:val="0"/>
        <w:widowControl w:val="0"/>
        <w:kinsoku/>
        <w:wordWrap/>
        <w:overflowPunct/>
        <w:topLinePunct w:val="0"/>
        <w:bidi w:val="0"/>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初步设计</w:t>
      </w:r>
      <w:r>
        <w:rPr>
          <w:rFonts w:hint="eastAsia" w:ascii="仿宋" w:hAnsi="仿宋" w:eastAsia="仿宋" w:cs="仿宋"/>
          <w:bCs/>
          <w:color w:val="auto"/>
          <w:sz w:val="24"/>
          <w:szCs w:val="24"/>
          <w:highlight w:val="none"/>
          <w:u w:val="single"/>
          <w:lang w:val="en-US" w:eastAsia="zh-CN"/>
        </w:rPr>
        <w:t>20</w:t>
      </w:r>
      <w:r>
        <w:rPr>
          <w:rFonts w:hint="eastAsia" w:ascii="仿宋" w:hAnsi="仿宋" w:eastAsia="仿宋" w:cs="仿宋"/>
          <w:bCs/>
          <w:color w:val="auto"/>
          <w:sz w:val="24"/>
          <w:szCs w:val="24"/>
          <w:highlight w:val="none"/>
        </w:rPr>
        <w:t>个日历天内完成，初步设计评审通过后</w:t>
      </w:r>
      <w:r>
        <w:rPr>
          <w:rFonts w:hint="eastAsia" w:ascii="仿宋" w:hAnsi="仿宋" w:eastAsia="仿宋" w:cs="仿宋"/>
          <w:bCs/>
          <w:color w:val="auto"/>
          <w:sz w:val="24"/>
          <w:szCs w:val="24"/>
          <w:highlight w:val="none"/>
          <w:u w:val="single"/>
          <w:lang w:val="en-US" w:eastAsia="zh-CN"/>
        </w:rPr>
        <w:t>10</w:t>
      </w:r>
      <w:r>
        <w:rPr>
          <w:rFonts w:hint="eastAsia" w:ascii="仿宋" w:hAnsi="仿宋" w:eastAsia="仿宋" w:cs="仿宋"/>
          <w:bCs/>
          <w:color w:val="auto"/>
          <w:sz w:val="24"/>
          <w:szCs w:val="24"/>
          <w:highlight w:val="none"/>
        </w:rPr>
        <w:t>个日历天内完成施工图设计。</w:t>
      </w:r>
    </w:p>
    <w:p w14:paraId="5F750A55">
      <w:pPr>
        <w:keepNext w:val="0"/>
        <w:keepLines w:val="0"/>
        <w:pageBreakBefore w:val="0"/>
        <w:widowControl w:val="0"/>
        <w:kinsoku/>
        <w:wordWrap/>
        <w:overflowPunct/>
        <w:topLinePunct w:val="0"/>
        <w:bidi w:val="0"/>
        <w:spacing w:line="360" w:lineRule="auto"/>
        <w:ind w:firstLine="470" w:firstLineChars="196"/>
        <w:rPr>
          <w:rFonts w:hint="eastAsia" w:ascii="仿宋" w:hAnsi="仿宋" w:eastAsia="仿宋" w:cs="仿宋"/>
          <w:bCs/>
          <w:color w:val="auto"/>
          <w:sz w:val="24"/>
          <w:szCs w:val="24"/>
          <w:highlight w:val="yellow"/>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在报批或评审过程中按要求进行调整、完善时间：不超过3个日历天。</w:t>
      </w:r>
    </w:p>
    <w:p w14:paraId="16402FA4">
      <w:pPr>
        <w:keepNext w:val="0"/>
        <w:keepLines w:val="0"/>
        <w:pageBreakBefore w:val="0"/>
        <w:widowControl w:val="0"/>
        <w:kinsoku/>
        <w:wordWrap/>
        <w:overflowPunct/>
        <w:topLinePunct w:val="0"/>
        <w:bidi w:val="0"/>
        <w:spacing w:line="360" w:lineRule="auto"/>
        <w:ind w:firstLine="470" w:firstLineChars="196"/>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3、服务期限：合同签订后至工程结算审计完成。</w:t>
      </w:r>
    </w:p>
    <w:p w14:paraId="265EE67E">
      <w:pPr>
        <w:keepNext w:val="0"/>
        <w:keepLines w:val="0"/>
        <w:pageBreakBefore w:val="0"/>
        <w:widowControl w:val="0"/>
        <w:kinsoku/>
        <w:wordWrap/>
        <w:overflowPunct/>
        <w:topLinePunct w:val="0"/>
        <w:bidi w:val="0"/>
        <w:spacing w:line="360" w:lineRule="auto"/>
        <w:ind w:firstLine="470" w:firstLineChars="196"/>
        <w:rPr>
          <w:rFonts w:hint="eastAsia" w:ascii="仿宋" w:hAnsi="仿宋" w:eastAsia="仿宋" w:cs="仿宋"/>
          <w:bCs/>
          <w:color w:val="auto"/>
          <w:sz w:val="24"/>
          <w:szCs w:val="24"/>
          <w:highlight w:val="yellow"/>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最终根据项目业主的要求为准。</w:t>
      </w:r>
    </w:p>
    <w:p w14:paraId="0EF7CEFC">
      <w:pPr>
        <w:pStyle w:val="17"/>
        <w:keepNext w:val="0"/>
        <w:keepLines w:val="0"/>
        <w:pageBreakBefore w:val="0"/>
        <w:widowControl w:val="0"/>
        <w:kinsoku/>
        <w:wordWrap/>
        <w:overflowPunct/>
        <w:topLinePunct w:val="0"/>
        <w:bidi w:val="0"/>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项目成果</w:t>
      </w:r>
    </w:p>
    <w:p w14:paraId="570539C7">
      <w:pPr>
        <w:pStyle w:val="17"/>
        <w:keepNext w:val="0"/>
        <w:keepLines w:val="0"/>
        <w:pageBreakBefore w:val="0"/>
        <w:widowControl w:val="0"/>
        <w:kinsoku/>
        <w:wordWrap/>
        <w:overflowPunct/>
        <w:topLinePunct w:val="0"/>
        <w:bidi w:val="0"/>
        <w:adjustRightInd w:val="0"/>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完成本项目的实施后，根据采购人的要求，提供书面及电子版本的成果文件。</w:t>
      </w:r>
    </w:p>
    <w:p w14:paraId="340EBF83">
      <w:pPr>
        <w:pStyle w:val="17"/>
        <w:keepNext w:val="0"/>
        <w:keepLines w:val="0"/>
        <w:pageBreakBefore w:val="0"/>
        <w:widowControl w:val="0"/>
        <w:kinsoku/>
        <w:wordWrap/>
        <w:overflowPunct/>
        <w:topLinePunct w:val="0"/>
        <w:bidi w:val="0"/>
        <w:adjustRightInd w:val="0"/>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在项目实施过程中，要求中标人根据采购人的要求，即时出具成果报告，以便采购人安排其它工作。</w:t>
      </w:r>
    </w:p>
    <w:p w14:paraId="6B9AE48D">
      <w:pPr>
        <w:pStyle w:val="17"/>
        <w:keepNext w:val="0"/>
        <w:keepLines w:val="0"/>
        <w:pageBreakBefore w:val="0"/>
        <w:widowControl w:val="0"/>
        <w:kinsoku/>
        <w:wordWrap/>
        <w:overflowPunct/>
        <w:topLinePunct w:val="0"/>
        <w:bidi w:val="0"/>
        <w:adjustRightInd w:val="0"/>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在项目全部实施完成后，出具完整的最终书面资料。</w:t>
      </w:r>
    </w:p>
    <w:p w14:paraId="6AB6E52E">
      <w:pPr>
        <w:pStyle w:val="17"/>
        <w:keepNext w:val="0"/>
        <w:keepLines w:val="0"/>
        <w:pageBreakBefore w:val="0"/>
        <w:widowControl w:val="0"/>
        <w:kinsoku/>
        <w:wordWrap/>
        <w:overflowPunct/>
        <w:topLinePunct w:val="0"/>
        <w:bidi w:val="0"/>
        <w:adjustRightInd w:val="0"/>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书面资料数量：根据采购人需求数量提供。</w:t>
      </w:r>
    </w:p>
    <w:p w14:paraId="6DCAD5E0">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项目</w:t>
      </w:r>
      <w:r>
        <w:rPr>
          <w:rFonts w:hint="eastAsia" w:ascii="仿宋" w:hAnsi="仿宋" w:eastAsia="仿宋" w:cs="仿宋"/>
          <w:b/>
          <w:bCs/>
          <w:color w:val="auto"/>
          <w:sz w:val="24"/>
          <w:szCs w:val="24"/>
          <w:lang w:val="en-US" w:eastAsia="zh-CN"/>
        </w:rPr>
        <w:t>前期调研</w:t>
      </w:r>
      <w:r>
        <w:rPr>
          <w:rFonts w:hint="eastAsia" w:ascii="仿宋" w:hAnsi="仿宋" w:eastAsia="仿宋" w:cs="仿宋"/>
          <w:b/>
          <w:bCs/>
          <w:color w:val="auto"/>
          <w:sz w:val="24"/>
          <w:szCs w:val="24"/>
        </w:rPr>
        <w:t>服务、设计费</w:t>
      </w:r>
    </w:p>
    <w:p w14:paraId="10FCABA1">
      <w:pPr>
        <w:pStyle w:val="17"/>
        <w:keepNext w:val="0"/>
        <w:keepLines w:val="0"/>
        <w:pageBreakBefore w:val="0"/>
        <w:widowControl w:val="0"/>
        <w:kinsoku/>
        <w:wordWrap/>
        <w:overflowPunct/>
        <w:topLinePunct w:val="0"/>
        <w:bidi w:val="0"/>
        <w:adjustRightInd w:val="0"/>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1、项目前期调研</w:t>
      </w:r>
      <w:r>
        <w:rPr>
          <w:rFonts w:hint="eastAsia" w:ascii="仿宋" w:hAnsi="仿宋" w:eastAsia="仿宋" w:cs="仿宋"/>
          <w:color w:val="auto"/>
          <w:sz w:val="24"/>
          <w:szCs w:val="24"/>
        </w:rPr>
        <w:t>服务、设计费应为承包完成本项目所规定内容的全部工作所发生的一切费用，包括但不限于以下费用：完成本项目的</w:t>
      </w:r>
      <w:r>
        <w:rPr>
          <w:rFonts w:hint="eastAsia" w:ascii="仿宋" w:hAnsi="仿宋" w:eastAsia="仿宋" w:cs="仿宋"/>
          <w:color w:val="auto"/>
          <w:sz w:val="24"/>
          <w:szCs w:val="24"/>
          <w:lang w:val="en-US" w:eastAsia="zh-CN"/>
        </w:rPr>
        <w:t>前期调研工作及</w:t>
      </w:r>
      <w:r>
        <w:rPr>
          <w:rFonts w:hint="eastAsia" w:ascii="仿宋" w:hAnsi="仿宋" w:eastAsia="仿宋" w:cs="仿宋"/>
          <w:bCs/>
          <w:color w:val="auto"/>
          <w:sz w:val="24"/>
          <w:szCs w:val="24"/>
        </w:rPr>
        <w:t>工程可行性研究报告编制</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报批，</w:t>
      </w:r>
      <w:r>
        <w:rPr>
          <w:rFonts w:hint="eastAsia" w:ascii="仿宋" w:hAnsi="仿宋" w:eastAsia="仿宋" w:cs="仿宋"/>
          <w:color w:val="auto"/>
          <w:sz w:val="24"/>
          <w:szCs w:val="24"/>
        </w:rPr>
        <w:t>完成本次设计工作所需的方案、初步设计、施工图设计、设计的修改和确认、设计交流、图纸会审、图纸资料费、管理费、调查费、差旅费、利润、税金及政策性文件规定的各项应有费用以及办理其他相关手续所产生的费用，并承担一切风险责任。</w:t>
      </w:r>
    </w:p>
    <w:p w14:paraId="7697DC92">
      <w:pPr>
        <w:pStyle w:val="17"/>
        <w:keepNext w:val="0"/>
        <w:keepLines w:val="0"/>
        <w:pageBreakBefore w:val="0"/>
        <w:widowControl w:val="0"/>
        <w:kinsoku/>
        <w:wordWrap/>
        <w:overflowPunct/>
        <w:topLinePunct w:val="0"/>
        <w:bidi w:val="0"/>
        <w:adjustRightInd w:val="0"/>
        <w:snapToGrid w:val="0"/>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highlight w:val="none"/>
        </w:rPr>
        <w:t>以《工程勘察设计收费标准》（2002 年修订本），按中标折扣和</w:t>
      </w:r>
      <w:r>
        <w:rPr>
          <w:rFonts w:hint="eastAsia" w:ascii="仿宋" w:hAnsi="仿宋" w:eastAsia="仿宋" w:cs="仿宋"/>
          <w:b/>
          <w:bCs/>
          <w:color w:val="auto"/>
          <w:sz w:val="24"/>
          <w:szCs w:val="24"/>
        </w:rPr>
        <w:t>经审定后的招标控制价</w:t>
      </w:r>
      <w:r>
        <w:rPr>
          <w:rFonts w:hint="eastAsia" w:ascii="仿宋" w:hAnsi="仿宋" w:eastAsia="仿宋" w:cs="仿宋"/>
          <w:b/>
          <w:bCs/>
          <w:color w:val="auto"/>
          <w:sz w:val="24"/>
          <w:szCs w:val="24"/>
          <w:highlight w:val="none"/>
        </w:rPr>
        <w:t>（设计费取费基数）结算服务费。标</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额不超预算。</w:t>
      </w:r>
    </w:p>
    <w:p w14:paraId="58C1115C">
      <w:pPr>
        <w:pStyle w:val="17"/>
        <w:keepNext w:val="0"/>
        <w:keepLines w:val="0"/>
        <w:pageBreakBefore w:val="0"/>
        <w:widowControl w:val="0"/>
        <w:kinsoku/>
        <w:wordWrap/>
        <w:overflowPunct/>
        <w:topLinePunct w:val="0"/>
        <w:bidi w:val="0"/>
        <w:adjustRightInd w:val="0"/>
        <w:snapToGrid w:val="0"/>
        <w:spacing w:line="360" w:lineRule="auto"/>
        <w:ind w:firstLine="482"/>
        <w:rPr>
          <w:rFonts w:hint="eastAsia" w:ascii="仿宋" w:hAnsi="仿宋" w:eastAsia="仿宋" w:cs="仿宋"/>
          <w:color w:val="auto"/>
          <w:sz w:val="24"/>
          <w:szCs w:val="24"/>
        </w:rPr>
      </w:pPr>
      <w:bookmarkStart w:id="30" w:name="_Toc21951"/>
      <w:r>
        <w:rPr>
          <w:rFonts w:hint="eastAsia" w:ascii="仿宋" w:hAnsi="仿宋" w:eastAsia="仿宋" w:cs="仿宋"/>
          <w:b/>
          <w:bCs/>
          <w:color w:val="auto"/>
          <w:sz w:val="24"/>
          <w:szCs w:val="24"/>
        </w:rPr>
        <w:t>基本设计收费=工程设计收费基价×（专业调整系数1.0）×（工程复杂程度调整系数</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），附加调整系数</w:t>
      </w:r>
      <w:r>
        <w:rPr>
          <w:rFonts w:hint="eastAsia" w:ascii="仿宋" w:hAnsi="仿宋" w:eastAsia="仿宋" w:cs="仿宋"/>
          <w:b/>
          <w:bCs/>
          <w:strike w:val="0"/>
          <w:dstrike w:val="0"/>
          <w:color w:val="auto"/>
          <w:sz w:val="24"/>
          <w:szCs w:val="24"/>
          <w:lang w:val="en-US" w:eastAsia="zh-CN"/>
        </w:rPr>
        <w:t xml:space="preserve"> </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（以上系数为定值，在费用结算时不做调整）</w:t>
      </w:r>
    </w:p>
    <w:p w14:paraId="60A00B9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rPr>
        <w:t>本项目最终设计收费=基本设计收费×中标折扣，无保底费用。</w:t>
      </w:r>
    </w:p>
    <w:p w14:paraId="5ABC0CE9">
      <w:pPr>
        <w:keepNext w:val="0"/>
        <w:keepLines w:val="0"/>
        <w:pageBreakBefore w:val="0"/>
        <w:widowControl w:val="0"/>
        <w:kinsoku/>
        <w:wordWrap/>
        <w:overflowPunct/>
        <w:topLinePunct w:val="0"/>
        <w:bidi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highlight w:val="none"/>
          <w:lang w:val="en-US" w:eastAsia="zh-CN"/>
        </w:rPr>
        <w:t>中标人</w:t>
      </w:r>
      <w:r>
        <w:rPr>
          <w:rFonts w:hint="eastAsia" w:ascii="仿宋" w:hAnsi="仿宋" w:eastAsia="仿宋" w:cs="仿宋"/>
          <w:b/>
          <w:bCs/>
          <w:color w:val="auto"/>
          <w:sz w:val="24"/>
          <w:szCs w:val="24"/>
          <w:highlight w:val="none"/>
        </w:rPr>
        <w:t>承担的主要工作内容及责任：</w:t>
      </w:r>
    </w:p>
    <w:p w14:paraId="1885F9F7">
      <w:pPr>
        <w:keepNext w:val="0"/>
        <w:keepLines w:val="0"/>
        <w:pageBreakBefore w:val="0"/>
        <w:widowControl w:val="0"/>
        <w:kinsoku/>
        <w:wordWrap/>
        <w:overflowPunct/>
        <w:topLinePunct w:val="0"/>
        <w:bidi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中标人应按国家规定的技术规范、标准进行设计，按规定的内容、时间及份数向</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交付设计文件并对提交的设计文件的质量负责。</w:t>
      </w:r>
    </w:p>
    <w:p w14:paraId="577DD465">
      <w:pPr>
        <w:keepNext w:val="0"/>
        <w:keepLines w:val="0"/>
        <w:pageBreakBefore w:val="0"/>
        <w:widowControl w:val="0"/>
        <w:kinsoku/>
        <w:wordWrap/>
        <w:overflowPunct/>
        <w:topLinePunct w:val="0"/>
        <w:bidi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中标人确保</w:t>
      </w:r>
      <w:r>
        <w:rPr>
          <w:rFonts w:hint="eastAsia" w:ascii="仿宋" w:hAnsi="仿宋" w:eastAsia="仿宋" w:cs="仿宋"/>
          <w:b w:val="0"/>
          <w:bCs/>
          <w:color w:val="auto"/>
          <w:sz w:val="24"/>
          <w:szCs w:val="24"/>
          <w:highlight w:val="none"/>
          <w:lang w:val="en-US" w:eastAsia="zh-CN"/>
        </w:rPr>
        <w:t>在</w:t>
      </w:r>
      <w:r>
        <w:rPr>
          <w:rFonts w:hint="eastAsia" w:ascii="仿宋" w:hAnsi="仿宋" w:eastAsia="仿宋" w:cs="仿宋"/>
          <w:b w:val="0"/>
          <w:bCs/>
          <w:color w:val="auto"/>
          <w:sz w:val="24"/>
          <w:szCs w:val="24"/>
          <w:highlight w:val="none"/>
        </w:rPr>
        <w:t>规定时间提交设计成果。</w:t>
      </w:r>
    </w:p>
    <w:p w14:paraId="10587AD5">
      <w:pPr>
        <w:keepNext w:val="0"/>
        <w:keepLines w:val="0"/>
        <w:pageBreakBefore w:val="0"/>
        <w:widowControl w:val="0"/>
        <w:kinsoku/>
        <w:wordWrap/>
        <w:overflowPunct/>
        <w:topLinePunct w:val="0"/>
        <w:bidi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中标人对设计文件出现的遗漏或错误负责修改或补充。由于中标人设计错误造成工程质量事故损失，中标人除负责采取补救措施外，应免收损失部分的设计费，并根据损失程度向</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支付赔偿金，赔偿金数额由三方商定，最多与免收的设计费金额相等。</w:t>
      </w:r>
    </w:p>
    <w:p w14:paraId="625C6A16">
      <w:pPr>
        <w:keepNext w:val="0"/>
        <w:keepLines w:val="0"/>
        <w:pageBreakBefore w:val="0"/>
        <w:widowControl w:val="0"/>
        <w:kinsoku/>
        <w:wordWrap/>
        <w:overflowPunct/>
        <w:topLinePunct w:val="0"/>
        <w:bidi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中标人</w:t>
      </w:r>
      <w:r>
        <w:rPr>
          <w:rFonts w:hint="eastAsia" w:ascii="仿宋" w:hAnsi="仿宋" w:eastAsia="仿宋" w:cs="仿宋"/>
          <w:b w:val="0"/>
          <w:bCs/>
          <w:color w:val="auto"/>
          <w:sz w:val="24"/>
          <w:szCs w:val="24"/>
          <w:highlight w:val="none"/>
        </w:rPr>
        <w:t>交付设计文件后，按规定参加有关上级部门的设计审查，并根据审查结论负责不超出原定范围的内容做必要调整补充，所需费用由</w:t>
      </w:r>
      <w:r>
        <w:rPr>
          <w:rFonts w:hint="eastAsia" w:ascii="仿宋" w:hAnsi="仿宋" w:eastAsia="仿宋" w:cs="仿宋"/>
          <w:b w:val="0"/>
          <w:bCs/>
          <w:color w:val="auto"/>
          <w:sz w:val="24"/>
          <w:szCs w:val="24"/>
          <w:highlight w:val="none"/>
          <w:lang w:val="en-US" w:eastAsia="zh-CN"/>
        </w:rPr>
        <w:t>中标人</w:t>
      </w:r>
      <w:r>
        <w:rPr>
          <w:rFonts w:hint="eastAsia" w:ascii="仿宋" w:hAnsi="仿宋" w:eastAsia="仿宋" w:cs="仿宋"/>
          <w:b w:val="0"/>
          <w:bCs/>
          <w:color w:val="auto"/>
          <w:sz w:val="24"/>
          <w:szCs w:val="24"/>
          <w:highlight w:val="none"/>
        </w:rPr>
        <w:t>负责。</w:t>
      </w:r>
    </w:p>
    <w:p w14:paraId="7FF36CB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中标人服务质量差，设计内容出错导致承包人损失的，中标人需承担相应部分设计费扣除处罚，如果工程设计变更导致工程造价超过原定造价的10%，中标人需承担相应部分设计费扣除处罚外，还需承担相应责任及处罚，情节严重的采购人可直接解除合同，由此造成的一切后果由中标人承担。</w:t>
      </w:r>
    </w:p>
    <w:p w14:paraId="129E3693">
      <w:pPr>
        <w:keepNext w:val="0"/>
        <w:keepLines w:val="0"/>
        <w:pageBreakBefore w:val="0"/>
        <w:widowControl w:val="0"/>
        <w:numPr>
          <w:ilvl w:val="0"/>
          <w:numId w:val="0"/>
        </w:numPr>
        <w:kinsoku/>
        <w:wordWrap/>
        <w:overflowPunct/>
        <w:topLinePunct w:val="0"/>
        <w:autoSpaceDE w:val="0"/>
        <w:autoSpaceDN w:val="0"/>
        <w:bidi w:val="0"/>
        <w:snapToGrid w:val="0"/>
        <w:spacing w:line="360" w:lineRule="auto"/>
        <w:textAlignment w:val="bottom"/>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bidi="ar-SA"/>
        </w:rPr>
        <w:t>（九）</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售后服务</w:t>
      </w:r>
      <w:bookmarkEnd w:id="30"/>
    </w:p>
    <w:p w14:paraId="56AA8E90">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color w:val="auto"/>
          <w:sz w:val="24"/>
          <w:szCs w:val="24"/>
        </w:rPr>
      </w:pPr>
      <w:r>
        <w:rPr>
          <w:rFonts w:hint="eastAsia" w:ascii="仿宋" w:hAnsi="仿宋" w:eastAsia="仿宋" w:cs="仿宋"/>
          <w:bCs/>
          <w:color w:val="auto"/>
          <w:sz w:val="24"/>
          <w:szCs w:val="24"/>
        </w:rPr>
        <w:t>1.</w:t>
      </w:r>
      <w:r>
        <w:rPr>
          <w:rFonts w:hint="eastAsia" w:ascii="仿宋" w:hAnsi="仿宋" w:eastAsia="仿宋" w:cs="仿宋"/>
          <w:b w:val="0"/>
          <w:bCs w:val="0"/>
          <w:color w:val="auto"/>
          <w:sz w:val="24"/>
          <w:szCs w:val="24"/>
          <w:highlight w:val="none"/>
        </w:rPr>
        <w:t>成交供应商</w:t>
      </w:r>
      <w:r>
        <w:rPr>
          <w:rFonts w:hint="eastAsia" w:ascii="仿宋" w:hAnsi="仿宋" w:eastAsia="仿宋" w:cs="仿宋"/>
          <w:bCs/>
          <w:color w:val="auto"/>
          <w:sz w:val="24"/>
          <w:szCs w:val="24"/>
        </w:rPr>
        <w:t>负</w:t>
      </w:r>
      <w:r>
        <w:rPr>
          <w:rFonts w:hint="eastAsia" w:ascii="仿宋" w:hAnsi="仿宋" w:eastAsia="仿宋" w:cs="仿宋"/>
          <w:color w:val="auto"/>
          <w:sz w:val="24"/>
          <w:szCs w:val="24"/>
        </w:rPr>
        <w:t>责免费对项目成果错误进行及时更正、并对按规定进行调整或补充。</w:t>
      </w:r>
    </w:p>
    <w:p w14:paraId="7ACBB616">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val="0"/>
          <w:bCs w:val="0"/>
          <w:color w:val="auto"/>
          <w:sz w:val="24"/>
          <w:szCs w:val="24"/>
          <w:highlight w:val="none"/>
        </w:rPr>
        <w:t>成交供应商</w:t>
      </w:r>
      <w:r>
        <w:rPr>
          <w:rFonts w:hint="eastAsia" w:ascii="仿宋" w:hAnsi="仿宋" w:eastAsia="仿宋" w:cs="仿宋"/>
          <w:color w:val="auto"/>
          <w:sz w:val="24"/>
          <w:szCs w:val="24"/>
        </w:rPr>
        <w:t>能提供快速的售后服务响应，提供7*24小时技术服务，如在使用过程中发生问题，</w:t>
      </w:r>
      <w:r>
        <w:rPr>
          <w:rFonts w:hint="eastAsia" w:ascii="仿宋" w:hAnsi="仿宋" w:eastAsia="仿宋" w:cs="仿宋"/>
          <w:b w:val="0"/>
          <w:bCs w:val="0"/>
          <w:color w:val="auto"/>
          <w:sz w:val="24"/>
          <w:szCs w:val="24"/>
          <w:highlight w:val="none"/>
        </w:rPr>
        <w:t>成交供应商</w:t>
      </w:r>
      <w:r>
        <w:rPr>
          <w:rFonts w:hint="eastAsia" w:ascii="仿宋" w:hAnsi="仿宋" w:eastAsia="仿宋" w:cs="仿宋"/>
          <w:color w:val="auto"/>
          <w:sz w:val="24"/>
          <w:szCs w:val="24"/>
        </w:rPr>
        <w:t>在接到采购人通知后在24小时内到达现场。</w:t>
      </w:r>
    </w:p>
    <w:p w14:paraId="75065BE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3.合同签署后，</w:t>
      </w:r>
      <w:r>
        <w:rPr>
          <w:rFonts w:hint="eastAsia" w:ascii="仿宋" w:hAnsi="仿宋" w:eastAsia="仿宋" w:cs="仿宋"/>
          <w:b w:val="0"/>
          <w:bCs w:val="0"/>
          <w:color w:val="auto"/>
          <w:sz w:val="24"/>
          <w:szCs w:val="24"/>
          <w:highlight w:val="none"/>
        </w:rPr>
        <w:t>成交供应商</w:t>
      </w:r>
      <w:r>
        <w:rPr>
          <w:rFonts w:hint="eastAsia" w:ascii="仿宋" w:hAnsi="仿宋" w:eastAsia="仿宋" w:cs="仿宋"/>
          <w:color w:val="auto"/>
          <w:sz w:val="24"/>
          <w:szCs w:val="24"/>
        </w:rPr>
        <w:t>无特殊情况未经采购人同意不得变更设计资料及</w:t>
      </w:r>
      <w:r>
        <w:rPr>
          <w:rFonts w:hint="eastAsia" w:ascii="仿宋" w:hAnsi="仿宋" w:eastAsia="仿宋" w:cs="仿宋"/>
          <w:color w:val="auto"/>
          <w:kern w:val="1"/>
          <w:sz w:val="24"/>
          <w:szCs w:val="24"/>
        </w:rPr>
        <w:t>设计</w:t>
      </w:r>
      <w:r>
        <w:rPr>
          <w:rFonts w:hint="eastAsia" w:ascii="仿宋" w:hAnsi="仿宋" w:eastAsia="仿宋" w:cs="仿宋"/>
          <w:color w:val="auto"/>
          <w:sz w:val="24"/>
          <w:szCs w:val="24"/>
        </w:rPr>
        <w:t>文件交付的时间，每延误一天，处以</w:t>
      </w:r>
      <w:r>
        <w:rPr>
          <w:rFonts w:hint="eastAsia" w:ascii="仿宋" w:hAnsi="仿宋" w:eastAsia="仿宋" w:cs="仿宋"/>
          <w:color w:val="auto"/>
          <w:kern w:val="1"/>
          <w:sz w:val="24"/>
          <w:szCs w:val="24"/>
        </w:rPr>
        <w:t>设计</w:t>
      </w:r>
      <w:r>
        <w:rPr>
          <w:rFonts w:hint="eastAsia" w:ascii="仿宋" w:hAnsi="仿宋" w:eastAsia="仿宋" w:cs="仿宋"/>
          <w:color w:val="auto"/>
          <w:sz w:val="24"/>
          <w:szCs w:val="24"/>
        </w:rPr>
        <w:t>费的2%作为违约金。</w:t>
      </w:r>
    </w:p>
    <w:p w14:paraId="7E6D179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4.成果在通过最终评审前，须按采购人要求修改（不限次数），确保通过最终评审。</w:t>
      </w:r>
    </w:p>
    <w:p w14:paraId="2D837281">
      <w:pPr>
        <w:keepNext w:val="0"/>
        <w:keepLines w:val="0"/>
        <w:pageBreakBefore w:val="0"/>
        <w:widowControl w:val="0"/>
        <w:kinsoku/>
        <w:wordWrap/>
        <w:overflowPunct/>
        <w:topLinePunct w:val="0"/>
        <w:bidi w:val="0"/>
        <w:snapToGrid w:val="0"/>
        <w:spacing w:line="360" w:lineRule="auto"/>
        <w:ind w:firstLine="442"/>
        <w:rPr>
          <w:rFonts w:hint="eastAsia" w:ascii="仿宋" w:hAnsi="仿宋" w:eastAsia="仿宋" w:cs="仿宋"/>
          <w:color w:val="auto"/>
          <w:sz w:val="24"/>
          <w:szCs w:val="24"/>
        </w:rPr>
      </w:pPr>
      <w:r>
        <w:rPr>
          <w:rFonts w:hint="eastAsia" w:ascii="仿宋" w:hAnsi="仿宋" w:eastAsia="仿宋" w:cs="仿宋"/>
          <w:color w:val="auto"/>
          <w:kern w:val="1"/>
          <w:sz w:val="24"/>
          <w:szCs w:val="24"/>
        </w:rPr>
        <w:t>5</w:t>
      </w:r>
      <w:r>
        <w:rPr>
          <w:rFonts w:hint="eastAsia" w:ascii="仿宋" w:hAnsi="仿宋" w:eastAsia="仿宋" w:cs="仿宋"/>
          <w:color w:val="auto"/>
          <w:sz w:val="24"/>
          <w:szCs w:val="24"/>
        </w:rPr>
        <w:t>.</w:t>
      </w:r>
      <w:r>
        <w:rPr>
          <w:rFonts w:hint="eastAsia" w:ascii="仿宋" w:hAnsi="仿宋" w:eastAsia="仿宋" w:cs="仿宋"/>
          <w:color w:val="auto"/>
          <w:kern w:val="1"/>
          <w:sz w:val="24"/>
          <w:szCs w:val="24"/>
        </w:rPr>
        <w:t>本项目所需相关资料均由采购人协助</w:t>
      </w:r>
      <w:r>
        <w:rPr>
          <w:rFonts w:hint="eastAsia" w:ascii="仿宋" w:hAnsi="仿宋" w:eastAsia="仿宋" w:cs="仿宋"/>
          <w:b w:val="0"/>
          <w:bCs w:val="0"/>
          <w:color w:val="auto"/>
          <w:sz w:val="24"/>
          <w:szCs w:val="24"/>
          <w:highlight w:val="none"/>
        </w:rPr>
        <w:t>供应商</w:t>
      </w:r>
      <w:r>
        <w:rPr>
          <w:rFonts w:hint="eastAsia" w:ascii="仿宋" w:hAnsi="仿宋" w:eastAsia="仿宋" w:cs="仿宋"/>
          <w:color w:val="auto"/>
          <w:kern w:val="1"/>
          <w:sz w:val="24"/>
          <w:szCs w:val="24"/>
        </w:rPr>
        <w:t>获取。</w:t>
      </w:r>
    </w:p>
    <w:p w14:paraId="0D7C83F2">
      <w:pPr>
        <w:keepNext w:val="0"/>
        <w:keepLines w:val="0"/>
        <w:pageBreakBefore w:val="0"/>
        <w:widowControl w:val="0"/>
        <w:kinsoku/>
        <w:wordWrap/>
        <w:overflowPunct/>
        <w:topLinePunct w:val="0"/>
        <w:bidi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十）、</w:t>
      </w:r>
      <w:r>
        <w:rPr>
          <w:rFonts w:hint="eastAsia" w:ascii="仿宋" w:hAnsi="仿宋" w:eastAsia="仿宋" w:cs="仿宋"/>
          <w:b/>
          <w:bCs/>
          <w:color w:val="auto"/>
          <w:sz w:val="24"/>
          <w:szCs w:val="24"/>
        </w:rPr>
        <w:t>履约保证金及付款方式</w:t>
      </w:r>
    </w:p>
    <w:p w14:paraId="4476FE57">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履约保证金：</w:t>
      </w:r>
      <w:r>
        <w:rPr>
          <w:rFonts w:hint="eastAsia" w:ascii="仿宋" w:hAnsi="仿宋" w:eastAsia="仿宋" w:cs="仿宋"/>
          <w:bCs/>
          <w:color w:val="auto"/>
          <w:sz w:val="24"/>
          <w:szCs w:val="24"/>
        </w:rPr>
        <w:t>合同签订之日起</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个工作日内，</w:t>
      </w:r>
      <w:r>
        <w:rPr>
          <w:rFonts w:hint="eastAsia" w:ascii="仿宋" w:hAnsi="仿宋" w:eastAsia="仿宋" w:cs="仿宋"/>
          <w:bCs/>
          <w:color w:val="auto"/>
          <w:sz w:val="24"/>
          <w:szCs w:val="24"/>
          <w:lang w:val="en-US" w:eastAsia="zh-CN"/>
        </w:rPr>
        <w:t>各标项</w:t>
      </w:r>
      <w:r>
        <w:rPr>
          <w:rFonts w:hint="eastAsia" w:ascii="仿宋" w:hAnsi="仿宋" w:eastAsia="仿宋" w:cs="仿宋"/>
          <w:bCs/>
          <w:color w:val="auto"/>
          <w:sz w:val="24"/>
          <w:szCs w:val="24"/>
        </w:rPr>
        <w:t>中标人须向采购人缴纳</w:t>
      </w:r>
      <w:r>
        <w:rPr>
          <w:rFonts w:hint="eastAsia" w:ascii="仿宋" w:hAnsi="仿宋" w:eastAsia="仿宋" w:cs="仿宋"/>
          <w:bCs/>
          <w:color w:val="auto"/>
          <w:sz w:val="24"/>
          <w:szCs w:val="24"/>
          <w:lang w:val="en-US" w:eastAsia="zh-CN"/>
        </w:rPr>
        <w:t>采购预算</w:t>
      </w:r>
      <w:r>
        <w:rPr>
          <w:rFonts w:hint="eastAsia" w:ascii="仿宋" w:hAnsi="仿宋" w:eastAsia="仿宋" w:cs="仿宋"/>
          <w:bCs/>
          <w:color w:val="auto"/>
          <w:sz w:val="24"/>
          <w:szCs w:val="24"/>
        </w:rPr>
        <w:t>金额</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%的履约保证金</w:t>
      </w:r>
      <w:r>
        <w:rPr>
          <w:rFonts w:hint="eastAsia" w:ascii="仿宋" w:hAnsi="仿宋" w:eastAsia="仿宋" w:cs="仿宋"/>
          <w:bCs/>
          <w:color w:val="auto"/>
          <w:sz w:val="24"/>
          <w:szCs w:val="24"/>
          <w:lang w:eastAsia="zh-CN"/>
        </w:rPr>
        <w:t>，履约保证金采用银行汇票或银行保函的</w:t>
      </w:r>
      <w:r>
        <w:rPr>
          <w:rFonts w:hint="eastAsia" w:ascii="仿宋" w:hAnsi="仿宋" w:eastAsia="仿宋" w:cs="仿宋"/>
          <w:bCs/>
          <w:color w:val="auto"/>
          <w:sz w:val="24"/>
          <w:szCs w:val="24"/>
          <w:lang w:val="en-US" w:eastAsia="zh-CN"/>
        </w:rPr>
        <w:t>形式缴纳</w:t>
      </w:r>
      <w:r>
        <w:rPr>
          <w:rFonts w:hint="eastAsia" w:ascii="仿宋" w:hAnsi="仿宋" w:eastAsia="仿宋" w:cs="仿宋"/>
          <w:b/>
          <w:bCs/>
          <w:color w:val="auto"/>
          <w:sz w:val="24"/>
          <w:szCs w:val="24"/>
          <w:lang w:val="en-US" w:eastAsia="zh-CN"/>
        </w:rPr>
        <w:t>，</w:t>
      </w:r>
      <w:r>
        <w:rPr>
          <w:rFonts w:hint="eastAsia" w:ascii="仿宋" w:hAnsi="仿宋" w:eastAsia="仿宋" w:cs="仿宋"/>
          <w:bCs/>
          <w:color w:val="auto"/>
          <w:sz w:val="24"/>
          <w:szCs w:val="24"/>
        </w:rPr>
        <w:t>中标人</w:t>
      </w:r>
      <w:r>
        <w:rPr>
          <w:rFonts w:hint="eastAsia" w:ascii="仿宋" w:hAnsi="仿宋" w:eastAsia="仿宋" w:cs="仿宋"/>
          <w:color w:val="auto"/>
          <w:sz w:val="24"/>
          <w:szCs w:val="24"/>
        </w:rPr>
        <w:t>能够正确履行合同所规定的全部义务，待项目验收合格</w:t>
      </w:r>
      <w:r>
        <w:rPr>
          <w:rFonts w:hint="eastAsia" w:ascii="仿宋" w:hAnsi="仿宋" w:eastAsia="仿宋" w:cs="仿宋"/>
          <w:color w:val="auto"/>
          <w:sz w:val="24"/>
          <w:szCs w:val="24"/>
          <w:lang w:val="en-US" w:eastAsia="zh-CN"/>
        </w:rPr>
        <w:t>且项目结算审计完成</w:t>
      </w:r>
      <w:r>
        <w:rPr>
          <w:rFonts w:hint="eastAsia" w:ascii="仿宋" w:hAnsi="仿宋" w:eastAsia="仿宋" w:cs="仿宋"/>
          <w:color w:val="auto"/>
          <w:sz w:val="24"/>
          <w:szCs w:val="24"/>
        </w:rPr>
        <w:t>后15天内</w:t>
      </w:r>
      <w:r>
        <w:rPr>
          <w:rFonts w:hint="eastAsia" w:ascii="仿宋" w:hAnsi="仿宋" w:eastAsia="仿宋" w:cs="仿宋"/>
          <w:bCs/>
          <w:color w:val="auto"/>
          <w:sz w:val="24"/>
          <w:szCs w:val="24"/>
        </w:rPr>
        <w:t>无息退还；</w:t>
      </w:r>
      <w:r>
        <w:rPr>
          <w:rFonts w:hint="eastAsia" w:ascii="仿宋" w:hAnsi="仿宋" w:eastAsia="仿宋" w:cs="仿宋"/>
          <w:color w:val="auto"/>
          <w:sz w:val="24"/>
          <w:szCs w:val="24"/>
        </w:rPr>
        <w:t>如果中标人未能按合同约定全面履行义务，</w:t>
      </w:r>
      <w:r>
        <w:rPr>
          <w:rFonts w:hint="eastAsia" w:ascii="仿宋" w:hAnsi="仿宋" w:eastAsia="仿宋" w:cs="仿宋"/>
          <w:color w:val="auto"/>
          <w:sz w:val="24"/>
          <w:szCs w:val="24"/>
          <w:lang w:val="en-US" w:eastAsia="zh-CN"/>
        </w:rPr>
        <w:t>导致项目设计图纸出现重大变更、影响项目正常推进，</w:t>
      </w:r>
      <w:r>
        <w:rPr>
          <w:rFonts w:hint="eastAsia" w:ascii="仿宋" w:hAnsi="仿宋" w:eastAsia="仿宋" w:cs="仿宋"/>
          <w:color w:val="auto"/>
          <w:sz w:val="24"/>
          <w:szCs w:val="24"/>
        </w:rPr>
        <w:t>那么采购人有权从履约保证金中取得补偿或赔偿，同时不影响采购人要求中标人承担合同约定的超过履约保证金的违约责任的权利。</w:t>
      </w:r>
    </w:p>
    <w:p w14:paraId="69E33A5E">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付款方式：</w:t>
      </w:r>
    </w:p>
    <w:p w14:paraId="5115EF0A">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1)、初步设计</w:t>
      </w:r>
      <w:r>
        <w:rPr>
          <w:rFonts w:hint="eastAsia" w:ascii="仿宋" w:hAnsi="仿宋" w:eastAsia="仿宋" w:cs="仿宋"/>
          <w:color w:val="auto"/>
          <w:sz w:val="24"/>
          <w:szCs w:val="24"/>
          <w:highlight w:val="none"/>
        </w:rPr>
        <w:t>完成通过，施工图设计完成提交全部施工图成果文件且通过相关部门审核通过后</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天内支付合同价的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p w14:paraId="5E39E922">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所有工程项目施工进度推进至</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0%时，经采购人确认后1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天内</w:t>
      </w:r>
      <w:r>
        <w:rPr>
          <w:rFonts w:hint="eastAsia" w:ascii="仿宋" w:hAnsi="仿宋" w:eastAsia="仿宋" w:cs="仿宋"/>
          <w:color w:val="auto"/>
          <w:sz w:val="24"/>
          <w:szCs w:val="24"/>
          <w:highlight w:val="none"/>
          <w:lang w:val="en-US" w:eastAsia="zh-CN"/>
        </w:rPr>
        <w:t>再</w:t>
      </w:r>
      <w:r>
        <w:rPr>
          <w:rFonts w:hint="eastAsia" w:ascii="仿宋" w:hAnsi="仿宋" w:eastAsia="仿宋" w:cs="仿宋"/>
          <w:color w:val="auto"/>
          <w:sz w:val="24"/>
          <w:szCs w:val="24"/>
          <w:highlight w:val="none"/>
        </w:rPr>
        <w:t>支付合同价的30%；</w:t>
      </w:r>
    </w:p>
    <w:p w14:paraId="28D74F17">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3）、所有工程项目竣工验收完成后，付完全部余款。</w:t>
      </w:r>
    </w:p>
    <w:p w14:paraId="4FE85BF8">
      <w:pPr>
        <w:keepNext w:val="0"/>
        <w:keepLines w:val="0"/>
        <w:pageBreakBefore w:val="0"/>
        <w:widowControl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十一</w:t>
      </w:r>
      <w:r>
        <w:rPr>
          <w:rFonts w:hint="eastAsia" w:ascii="仿宋" w:hAnsi="仿宋" w:eastAsia="仿宋" w:cs="仿宋"/>
          <w:b/>
          <w:bCs/>
          <w:color w:val="auto"/>
          <w:sz w:val="24"/>
          <w:szCs w:val="24"/>
        </w:rPr>
        <w:t>）最高限价</w:t>
      </w:r>
    </w:p>
    <w:p w14:paraId="2A4DB9CB">
      <w:pPr>
        <w:keepNext w:val="0"/>
        <w:keepLines w:val="0"/>
        <w:pageBreakBefore w:val="0"/>
        <w:widowControl w:val="0"/>
        <w:kinsoku/>
        <w:wordWrap/>
        <w:overflowPunct/>
        <w:topLinePunct w:val="0"/>
        <w:bidi w:val="0"/>
        <w:snapToGrid w:val="0"/>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本次</w:t>
      </w:r>
      <w:r>
        <w:rPr>
          <w:rFonts w:hint="eastAsia" w:ascii="仿宋" w:hAnsi="仿宋" w:eastAsia="仿宋" w:cs="仿宋"/>
          <w:b/>
          <w:bCs/>
          <w:color w:val="auto"/>
          <w:sz w:val="24"/>
          <w:szCs w:val="24"/>
          <w:lang w:val="en-US" w:eastAsia="zh-CN"/>
        </w:rPr>
        <w:t>项目按折扣招标，</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val="en-US" w:eastAsia="zh-CN"/>
        </w:rPr>
        <w:t>二个标项最高折扣率80.00%，</w:t>
      </w:r>
      <w:r>
        <w:rPr>
          <w:rFonts w:hint="eastAsia" w:ascii="仿宋" w:hAnsi="仿宋" w:eastAsia="仿宋" w:cs="仿宋"/>
          <w:b/>
          <w:bCs/>
          <w:color w:val="auto"/>
          <w:sz w:val="24"/>
          <w:szCs w:val="24"/>
        </w:rPr>
        <w:t>任何超过最高</w:t>
      </w:r>
      <w:r>
        <w:rPr>
          <w:rFonts w:hint="eastAsia" w:ascii="仿宋" w:hAnsi="仿宋" w:eastAsia="仿宋" w:cs="仿宋"/>
          <w:b/>
          <w:bCs/>
          <w:color w:val="auto"/>
          <w:sz w:val="24"/>
          <w:szCs w:val="24"/>
          <w:lang w:val="en-US" w:eastAsia="zh-CN"/>
        </w:rPr>
        <w:t>折扣率</w:t>
      </w:r>
      <w:r>
        <w:rPr>
          <w:rFonts w:hint="eastAsia" w:ascii="仿宋" w:hAnsi="仿宋" w:eastAsia="仿宋" w:cs="仿宋"/>
          <w:b/>
          <w:bCs/>
          <w:color w:val="auto"/>
          <w:sz w:val="24"/>
          <w:szCs w:val="24"/>
        </w:rPr>
        <w:t>的报价将被认定为无效报价</w:t>
      </w:r>
      <w:r>
        <w:rPr>
          <w:rFonts w:hint="eastAsia" w:ascii="仿宋" w:hAnsi="仿宋" w:eastAsia="仿宋" w:cs="仿宋"/>
          <w:b/>
          <w:bCs/>
          <w:color w:val="auto"/>
          <w:sz w:val="24"/>
          <w:szCs w:val="24"/>
          <w:lang w:eastAsia="zh-CN"/>
        </w:rPr>
        <w:t>，</w:t>
      </w:r>
      <w:r>
        <w:rPr>
          <w:rFonts w:hint="eastAsia" w:ascii="仿宋" w:hAnsi="仿宋" w:eastAsia="仿宋" w:cs="仿宋"/>
          <w:b/>
          <w:bCs w:val="0"/>
          <w:color w:val="auto"/>
          <w:sz w:val="24"/>
          <w:szCs w:val="24"/>
          <w:highlight w:val="none"/>
        </w:rPr>
        <w:t>报价包含了与本项目设计服务相关的一切费用</w:t>
      </w:r>
      <w:r>
        <w:rPr>
          <w:rFonts w:hint="eastAsia" w:ascii="仿宋" w:hAnsi="仿宋" w:eastAsia="仿宋" w:cs="仿宋"/>
          <w:b/>
          <w:bCs/>
          <w:color w:val="auto"/>
          <w:sz w:val="24"/>
          <w:szCs w:val="24"/>
        </w:rPr>
        <w:t>。</w:t>
      </w:r>
    </w:p>
    <w:p w14:paraId="3A873445">
      <w:pPr>
        <w:keepNext w:val="0"/>
        <w:keepLines w:val="0"/>
        <w:pageBreakBefore w:val="0"/>
        <w:widowControl w:val="0"/>
        <w:kinsoku/>
        <w:wordWrap/>
        <w:overflowPunct/>
        <w:topLinePunct w:val="0"/>
        <w:bidi w:val="0"/>
        <w:spacing w:line="360" w:lineRule="auto"/>
        <w:ind w:firstLine="472" w:firstLineChars="196"/>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color w:val="auto"/>
          <w:sz w:val="24"/>
          <w:szCs w:val="24"/>
          <w:lang w:val="en-US" w:eastAsia="zh-CN"/>
        </w:rPr>
        <w:t>标项一 预算金额</w:t>
      </w:r>
      <w:r>
        <w:rPr>
          <w:rFonts w:hint="eastAsia" w:ascii="仿宋" w:hAnsi="仿宋" w:eastAsia="仿宋" w:cs="仿宋"/>
          <w:b/>
          <w:bCs w:val="0"/>
          <w:color w:val="auto"/>
          <w:sz w:val="24"/>
          <w:szCs w:val="24"/>
          <w:highlight w:val="none"/>
          <w:lang w:val="en-US" w:eastAsia="zh-CN"/>
        </w:rPr>
        <w:t>为</w:t>
      </w:r>
      <w:r>
        <w:rPr>
          <w:rFonts w:hint="eastAsia" w:ascii="仿宋" w:hAnsi="仿宋" w:eastAsia="仿宋" w:cs="仿宋"/>
          <w:b/>
          <w:bCs w:val="0"/>
          <w:color w:val="auto"/>
          <w:sz w:val="24"/>
          <w:szCs w:val="24"/>
          <w:highlight w:val="none"/>
        </w:rPr>
        <w:t>人民币</w:t>
      </w:r>
      <w:r>
        <w:rPr>
          <w:rFonts w:hint="eastAsia" w:ascii="仿宋" w:hAnsi="仿宋" w:eastAsia="仿宋" w:cs="仿宋"/>
          <w:b/>
          <w:bCs w:val="0"/>
          <w:color w:val="auto"/>
          <w:sz w:val="24"/>
          <w:szCs w:val="24"/>
          <w:highlight w:val="none"/>
          <w:lang w:val="en-US" w:eastAsia="zh-CN"/>
        </w:rPr>
        <w:t>壹佰零伍</w:t>
      </w:r>
      <w:r>
        <w:rPr>
          <w:rFonts w:hint="eastAsia" w:ascii="仿宋" w:hAnsi="仿宋" w:eastAsia="仿宋" w:cs="仿宋"/>
          <w:b/>
          <w:bCs w:val="0"/>
          <w:color w:val="auto"/>
          <w:sz w:val="24"/>
          <w:szCs w:val="24"/>
          <w:highlight w:val="none"/>
        </w:rPr>
        <w:t>万元整（¥</w:t>
      </w:r>
      <w:r>
        <w:rPr>
          <w:rFonts w:hint="eastAsia" w:ascii="仿宋" w:hAnsi="仿宋" w:eastAsia="仿宋" w:cs="仿宋"/>
          <w:b/>
          <w:bCs w:val="0"/>
          <w:color w:val="auto"/>
          <w:sz w:val="24"/>
          <w:szCs w:val="24"/>
          <w:highlight w:val="none"/>
          <w:lang w:val="en-US" w:eastAsia="zh-CN"/>
        </w:rPr>
        <w:t>105</w:t>
      </w:r>
      <w:r>
        <w:rPr>
          <w:rFonts w:hint="eastAsia" w:ascii="仿宋" w:hAnsi="仿宋" w:eastAsia="仿宋" w:cs="仿宋"/>
          <w:b/>
          <w:bCs w:val="0"/>
          <w:color w:val="auto"/>
          <w:sz w:val="24"/>
          <w:szCs w:val="24"/>
          <w:highlight w:val="none"/>
        </w:rPr>
        <w:t>0000.00）</w:t>
      </w:r>
      <w:r>
        <w:rPr>
          <w:rFonts w:hint="eastAsia" w:ascii="仿宋" w:hAnsi="仿宋" w:eastAsia="仿宋" w:cs="仿宋"/>
          <w:b/>
          <w:bCs w:val="0"/>
          <w:color w:val="auto"/>
          <w:sz w:val="24"/>
          <w:szCs w:val="24"/>
          <w:highlight w:val="none"/>
          <w:lang w:eastAsia="zh-CN"/>
        </w:rPr>
        <w:t>；</w:t>
      </w:r>
    </w:p>
    <w:p w14:paraId="7F409CD7">
      <w:pPr>
        <w:keepNext w:val="0"/>
        <w:keepLines w:val="0"/>
        <w:pageBreakBefore w:val="0"/>
        <w:widowControl w:val="0"/>
        <w:kinsoku/>
        <w:wordWrap/>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lang w:val="en-US" w:eastAsia="zh-CN"/>
        </w:rPr>
        <w:t>标项二 预算金额</w:t>
      </w:r>
      <w:r>
        <w:rPr>
          <w:rFonts w:hint="eastAsia" w:ascii="仿宋" w:hAnsi="仿宋" w:eastAsia="仿宋" w:cs="仿宋"/>
          <w:b/>
          <w:bCs w:val="0"/>
          <w:color w:val="auto"/>
          <w:sz w:val="24"/>
          <w:szCs w:val="24"/>
          <w:highlight w:val="none"/>
          <w:lang w:val="en-US" w:eastAsia="zh-CN"/>
        </w:rPr>
        <w:t>为</w:t>
      </w:r>
      <w:r>
        <w:rPr>
          <w:rFonts w:hint="eastAsia" w:ascii="仿宋" w:hAnsi="仿宋" w:eastAsia="仿宋" w:cs="仿宋"/>
          <w:b/>
          <w:bCs w:val="0"/>
          <w:color w:val="auto"/>
          <w:sz w:val="24"/>
          <w:szCs w:val="24"/>
          <w:highlight w:val="none"/>
        </w:rPr>
        <w:t>人民币</w:t>
      </w:r>
      <w:r>
        <w:rPr>
          <w:rFonts w:hint="eastAsia" w:ascii="仿宋" w:hAnsi="仿宋" w:eastAsia="仿宋" w:cs="仿宋"/>
          <w:b/>
          <w:bCs w:val="0"/>
          <w:color w:val="auto"/>
          <w:sz w:val="24"/>
          <w:szCs w:val="24"/>
          <w:highlight w:val="none"/>
          <w:lang w:val="en-US" w:eastAsia="zh-CN"/>
        </w:rPr>
        <w:t>柒拾伍</w:t>
      </w:r>
      <w:r>
        <w:rPr>
          <w:rFonts w:hint="eastAsia" w:ascii="仿宋" w:hAnsi="仿宋" w:eastAsia="仿宋" w:cs="仿宋"/>
          <w:b/>
          <w:bCs w:val="0"/>
          <w:color w:val="auto"/>
          <w:sz w:val="24"/>
          <w:szCs w:val="24"/>
          <w:highlight w:val="none"/>
        </w:rPr>
        <w:t>万元整（¥</w:t>
      </w:r>
      <w:r>
        <w:rPr>
          <w:rFonts w:hint="eastAsia" w:ascii="仿宋" w:hAnsi="仿宋" w:eastAsia="仿宋" w:cs="仿宋"/>
          <w:b/>
          <w:bCs w:val="0"/>
          <w:color w:val="auto"/>
          <w:sz w:val="24"/>
          <w:szCs w:val="24"/>
          <w:highlight w:val="none"/>
          <w:lang w:val="en-US" w:eastAsia="zh-CN"/>
        </w:rPr>
        <w:t>75</w:t>
      </w:r>
      <w:r>
        <w:rPr>
          <w:rFonts w:hint="eastAsia" w:ascii="仿宋" w:hAnsi="仿宋" w:eastAsia="仿宋" w:cs="仿宋"/>
          <w:b/>
          <w:bCs w:val="0"/>
          <w:color w:val="auto"/>
          <w:sz w:val="24"/>
          <w:szCs w:val="24"/>
          <w:highlight w:val="none"/>
        </w:rPr>
        <w:t>0000.00）。</w:t>
      </w:r>
    </w:p>
    <w:p w14:paraId="068599B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firstLine="480" w:firstLineChars="200"/>
        <w:textAlignment w:val="bottom"/>
        <w:outlineLvl w:val="1"/>
        <w:rPr>
          <w:rFonts w:hint="eastAsia" w:ascii="仿宋" w:hAnsi="仿宋" w:eastAsia="仿宋" w:cs="仿宋"/>
          <w:color w:val="000000"/>
          <w:sz w:val="24"/>
          <w:szCs w:val="24"/>
          <w:lang w:val="zh-CN" w:eastAsia="zh-Hans"/>
        </w:rPr>
      </w:pPr>
      <w:r>
        <w:rPr>
          <w:rFonts w:hint="eastAsia" w:ascii="仿宋" w:hAnsi="仿宋" w:eastAsia="仿宋" w:cs="仿宋"/>
          <w:b w:val="0"/>
          <w:bCs w:val="0"/>
          <w:color w:val="000000"/>
          <w:sz w:val="24"/>
          <w:szCs w:val="24"/>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3A5816">
      <w:pPr>
        <w:rPr>
          <w:rFonts w:hint="eastAsia" w:ascii="仿宋" w:hAnsi="仿宋" w:eastAsia="仿宋" w:cs="仿宋"/>
          <w:b/>
          <w:bCs/>
          <w:color w:val="auto"/>
          <w:sz w:val="24"/>
          <w:szCs w:val="24"/>
          <w:highlight w:val="none"/>
        </w:rPr>
      </w:pPr>
    </w:p>
    <w:p w14:paraId="0C887242">
      <w:pPr>
        <w:rPr>
          <w:rFonts w:hint="eastAsia" w:ascii="仿宋" w:hAnsi="仿宋" w:eastAsia="仿宋" w:cs="仿宋"/>
          <w:b/>
          <w:bCs/>
          <w:color w:val="auto"/>
          <w:sz w:val="24"/>
          <w:szCs w:val="24"/>
          <w:highlight w:val="none"/>
        </w:rPr>
      </w:pPr>
    </w:p>
    <w:p w14:paraId="63E2E311">
      <w:pPr>
        <w:pageBreakBefore w:val="0"/>
        <w:kinsoku/>
        <w:wordWrap/>
        <w:overflowPunct/>
        <w:topLinePunct w:val="0"/>
        <w:autoSpaceDE/>
        <w:autoSpaceDN/>
        <w:bidi w:val="0"/>
        <w:snapToGrid/>
        <w:spacing w:line="312"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textWrapping"/>
      </w:r>
    </w:p>
    <w:p w14:paraId="75E3A92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EEBE7F7">
      <w:pPr>
        <w:pageBreakBefore w:val="0"/>
        <w:kinsoku/>
        <w:wordWrap/>
        <w:overflowPunct/>
        <w:topLinePunct w:val="0"/>
        <w:autoSpaceDE/>
        <w:autoSpaceDN/>
        <w:bidi w:val="0"/>
        <w:snapToGrid/>
        <w:spacing w:line="312" w:lineRule="auto"/>
        <w:jc w:val="center"/>
        <w:textAlignment w:val="auto"/>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36"/>
          <w:szCs w:val="36"/>
          <w:highlight w:val="none"/>
          <w:lang w:val="en-US" w:eastAsia="zh-CN"/>
        </w:rPr>
        <w:t>第五章 采购合同（模板）</w:t>
      </w:r>
    </w:p>
    <w:p w14:paraId="2F2E8EAE">
      <w:pPr>
        <w:jc w:val="center"/>
        <w:rPr>
          <w:rFonts w:hint="eastAsia" w:ascii="仿宋" w:hAnsi="仿宋" w:eastAsia="仿宋" w:cs="仿宋"/>
          <w:color w:val="auto"/>
          <w:sz w:val="24"/>
          <w:highlight w:val="none"/>
        </w:rPr>
      </w:pPr>
    </w:p>
    <w:p w14:paraId="3A962822">
      <w:pPr>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该合同模板与招标文件中实质性内容不相符部分，以招标文件规定为准，在签订前相应调整。</w:t>
      </w:r>
      <w:r>
        <w:rPr>
          <w:rFonts w:hint="eastAsia" w:ascii="仿宋" w:hAnsi="仿宋" w:eastAsia="仿宋" w:cs="仿宋"/>
          <w:b/>
          <w:bCs/>
          <w:color w:val="auto"/>
          <w:sz w:val="24"/>
          <w:highlight w:val="none"/>
          <w:lang w:eastAsia="zh-CN"/>
        </w:rPr>
        <w:t>）</w:t>
      </w:r>
    </w:p>
    <w:p w14:paraId="4A8B94C1">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14:paraId="6A18E1D1">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14:paraId="33BE683F">
      <w:pPr>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3DF70FE4">
      <w:pPr>
        <w:spacing w:line="480" w:lineRule="auto"/>
        <w:jc w:val="both"/>
        <w:rPr>
          <w:rFonts w:hint="eastAsia" w:ascii="仿宋" w:hAnsi="仿宋" w:eastAsia="仿宋" w:cs="仿宋"/>
          <w:b/>
          <w:color w:val="auto"/>
          <w:sz w:val="24"/>
          <w:highlight w:val="none"/>
        </w:rPr>
      </w:pPr>
    </w:p>
    <w:p w14:paraId="696995B3">
      <w:pPr>
        <w:spacing w:line="480" w:lineRule="auto"/>
        <w:jc w:val="both"/>
        <w:rPr>
          <w:rFonts w:hint="eastAsia" w:ascii="仿宋" w:hAnsi="仿宋" w:eastAsia="仿宋" w:cs="仿宋"/>
          <w:b/>
          <w:color w:val="auto"/>
          <w:sz w:val="24"/>
          <w:highlight w:val="none"/>
        </w:rPr>
      </w:pPr>
    </w:p>
    <w:p w14:paraId="23196FE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A058FDF">
      <w:pPr>
        <w:pStyle w:val="101"/>
        <w:rPr>
          <w:rFonts w:hint="eastAsia" w:ascii="仿宋" w:hAnsi="仿宋" w:eastAsia="仿宋" w:cs="仿宋"/>
          <w:color w:val="auto"/>
          <w:highlight w:val="none"/>
        </w:rPr>
      </w:pPr>
    </w:p>
    <w:p w14:paraId="6EC3A2D1">
      <w:pPr>
        <w:pStyle w:val="101"/>
        <w:rPr>
          <w:rFonts w:hint="eastAsia" w:ascii="仿宋" w:hAnsi="仿宋" w:eastAsia="仿宋" w:cs="仿宋"/>
          <w:color w:val="auto"/>
          <w:highlight w:val="none"/>
        </w:rPr>
      </w:pPr>
    </w:p>
    <w:p w14:paraId="002B2C64">
      <w:pPr>
        <w:pStyle w:val="101"/>
        <w:ind w:firstLine="56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14:paraId="678D1CB4">
      <w:pPr>
        <w:pStyle w:val="101"/>
        <w:rPr>
          <w:rFonts w:hint="eastAsia" w:ascii="仿宋" w:hAnsi="仿宋" w:eastAsia="仿宋" w:cs="仿宋"/>
          <w:color w:val="auto"/>
          <w:highlight w:val="none"/>
        </w:rPr>
      </w:pPr>
    </w:p>
    <w:p w14:paraId="501380CF">
      <w:pPr>
        <w:pStyle w:val="101"/>
        <w:rPr>
          <w:rFonts w:hint="eastAsia" w:ascii="仿宋" w:hAnsi="仿宋" w:eastAsia="仿宋" w:cs="仿宋"/>
          <w:color w:val="auto"/>
          <w:highlight w:val="none"/>
        </w:rPr>
      </w:pPr>
    </w:p>
    <w:p w14:paraId="6D901FB8">
      <w:pPr>
        <w:spacing w:before="120" w:beforeLines="0" w:line="22" w:lineRule="atLeast"/>
        <w:rPr>
          <w:rFonts w:hint="eastAsia" w:ascii="仿宋" w:hAnsi="仿宋" w:eastAsia="仿宋" w:cs="仿宋"/>
          <w:color w:val="auto"/>
          <w:sz w:val="24"/>
          <w:highlight w:val="none"/>
        </w:rPr>
      </w:pPr>
    </w:p>
    <w:p w14:paraId="79D89DEB">
      <w:pPr>
        <w:spacing w:before="120" w:beforeLines="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4AA3A82">
      <w:pPr>
        <w:pStyle w:val="102"/>
        <w:spacing w:before="120" w:beforeLines="0" w:line="22" w:lineRule="atLeast"/>
        <w:rPr>
          <w:rFonts w:hint="eastAsia" w:ascii="仿宋" w:hAnsi="仿宋" w:eastAsia="仿宋" w:cs="仿宋"/>
          <w:color w:val="auto"/>
          <w:szCs w:val="24"/>
          <w:highlight w:val="none"/>
        </w:rPr>
      </w:pPr>
    </w:p>
    <w:p w14:paraId="6A10130F">
      <w:pPr>
        <w:pStyle w:val="102"/>
        <w:spacing w:before="120" w:beforeLines="0" w:line="22" w:lineRule="atLeast"/>
        <w:rPr>
          <w:rFonts w:hint="eastAsia" w:ascii="仿宋" w:hAnsi="仿宋" w:eastAsia="仿宋" w:cs="仿宋"/>
          <w:color w:val="auto"/>
          <w:szCs w:val="24"/>
          <w:highlight w:val="none"/>
        </w:rPr>
      </w:pPr>
    </w:p>
    <w:p w14:paraId="4A7D727D">
      <w:pPr>
        <w:rPr>
          <w:rFonts w:hint="eastAsia" w:ascii="仿宋" w:hAnsi="仿宋" w:eastAsia="仿宋" w:cs="仿宋"/>
          <w:color w:val="auto"/>
          <w:sz w:val="24"/>
          <w:highlight w:val="none"/>
        </w:rPr>
      </w:pPr>
    </w:p>
    <w:p w14:paraId="66190408">
      <w:pPr>
        <w:spacing w:before="120" w:beforeLines="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17D0841">
      <w:pPr>
        <w:spacing w:before="120" w:beforeLines="0" w:line="22" w:lineRule="atLeast"/>
        <w:rPr>
          <w:rFonts w:hint="eastAsia" w:ascii="仿宋" w:hAnsi="仿宋" w:eastAsia="仿宋" w:cs="仿宋"/>
          <w:color w:val="auto"/>
          <w:sz w:val="24"/>
          <w:highlight w:val="none"/>
        </w:rPr>
      </w:pPr>
    </w:p>
    <w:p w14:paraId="6675155F">
      <w:pPr>
        <w:spacing w:before="120" w:beforeLines="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45076D3">
      <w:pPr>
        <w:spacing w:before="120" w:beforeLines="0" w:line="22" w:lineRule="atLeast"/>
        <w:rPr>
          <w:rFonts w:hint="eastAsia" w:ascii="仿宋" w:hAnsi="仿宋" w:eastAsia="仿宋" w:cs="仿宋"/>
          <w:color w:val="auto"/>
          <w:sz w:val="24"/>
          <w:highlight w:val="none"/>
        </w:rPr>
      </w:pPr>
    </w:p>
    <w:p w14:paraId="3CB0EAFB">
      <w:pPr>
        <w:spacing w:before="120" w:beforeLines="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0FEEB2E">
      <w:pPr>
        <w:spacing w:before="120" w:beforeLines="0" w:line="22" w:lineRule="atLeast"/>
        <w:rPr>
          <w:rFonts w:hint="eastAsia" w:ascii="仿宋" w:hAnsi="仿宋" w:eastAsia="仿宋" w:cs="仿宋"/>
          <w:color w:val="auto"/>
          <w:sz w:val="24"/>
          <w:highlight w:val="none"/>
        </w:rPr>
      </w:pPr>
    </w:p>
    <w:p w14:paraId="1DCF9345">
      <w:pPr>
        <w:spacing w:before="120" w:beforeLines="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C69B10C">
      <w:pPr>
        <w:widowControl/>
        <w:jc w:val="left"/>
        <w:rPr>
          <w:rFonts w:hint="eastAsia" w:ascii="仿宋" w:hAnsi="仿宋" w:eastAsia="仿宋" w:cs="仿宋"/>
          <w:color w:val="auto"/>
          <w:kern w:val="0"/>
          <w:sz w:val="24"/>
          <w:highlight w:val="none"/>
        </w:rPr>
        <w:sectPr>
          <w:headerReference r:id="rId9" w:type="default"/>
          <w:footerReference r:id="rId10" w:type="default"/>
          <w:pgSz w:w="11907" w:h="16840"/>
          <w:pgMar w:top="1474" w:right="1814" w:bottom="1474" w:left="1814" w:header="851" w:footer="907" w:gutter="0"/>
          <w:pgBorders>
            <w:top w:val="none" w:sz="0" w:space="0"/>
            <w:left w:val="none" w:sz="0" w:space="0"/>
            <w:bottom w:val="none" w:sz="0" w:space="0"/>
            <w:right w:val="none" w:sz="0" w:space="0"/>
          </w:pgBorders>
          <w:pgNumType w:fmt="decimal"/>
          <w:cols w:space="720" w:num="1"/>
          <w:docGrid w:linePitch="286" w:charSpace="0"/>
        </w:sectPr>
      </w:pPr>
    </w:p>
    <w:p w14:paraId="28496F7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（项目名称）经</w:t>
      </w:r>
      <w:r>
        <w:rPr>
          <w:rFonts w:hint="eastAsia" w:ascii="仿宋" w:hAnsi="仿宋" w:eastAsia="仿宋" w:cs="仿宋"/>
          <w:color w:val="auto"/>
          <w:sz w:val="24"/>
          <w:szCs w:val="24"/>
        </w:rPr>
        <w:t>浙江御达工程管理咨询有限公司</w:t>
      </w:r>
      <w:r>
        <w:rPr>
          <w:rFonts w:hint="eastAsia" w:ascii="仿宋" w:hAnsi="仿宋" w:eastAsia="仿宋" w:cs="仿宋"/>
          <w:color w:val="auto"/>
          <w:sz w:val="24"/>
          <w:szCs w:val="24"/>
          <w:highlight w:val="none"/>
        </w:rPr>
        <w:t>以招标文件（编号：</w:t>
      </w:r>
      <w:r>
        <w:rPr>
          <w:rFonts w:hint="eastAsia" w:ascii="仿宋" w:hAnsi="仿宋" w:eastAsia="仿宋" w:cs="仿宋"/>
          <w:color w:val="auto"/>
          <w:sz w:val="24"/>
          <w:szCs w:val="24"/>
          <w:highlight w:val="none"/>
          <w:u w:val="single"/>
          <w:lang w:val="en-US" w:eastAsia="zh-CN"/>
        </w:rPr>
        <w:t>诸御达2025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号）进行公开招标。甲方确定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（乙方）为中标人。甲、乙双方依据《中华人民共和国民法典》，在平等自愿的基础上，同意按照下面的条款和条件，签署本合同。</w:t>
      </w:r>
    </w:p>
    <w:p w14:paraId="29823D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u w:val="single"/>
        </w:rPr>
      </w:pPr>
      <w:bookmarkStart w:id="31" w:name="_Toc331685783"/>
      <w:r>
        <w:rPr>
          <w:rFonts w:hint="eastAsia" w:ascii="仿宋" w:hAnsi="仿宋" w:eastAsia="仿宋" w:cs="仿宋"/>
          <w:b/>
          <w:bCs/>
          <w:color w:val="auto"/>
          <w:sz w:val="24"/>
          <w:szCs w:val="24"/>
          <w:highlight w:val="none"/>
        </w:rPr>
        <w:t>（一）项目采购依据</w:t>
      </w:r>
    </w:p>
    <w:p w14:paraId="4C56DDFE">
      <w:pPr>
        <w:keepNext w:val="0"/>
        <w:keepLines w:val="0"/>
        <w:pageBreakBefore w:val="0"/>
        <w:widowControl w:val="0"/>
        <w:kinsoku/>
        <w:wordWrap/>
        <w:overflowPunct/>
        <w:topLinePunct w:val="0"/>
        <w:autoSpaceDE/>
        <w:autoSpaceDN/>
        <w:bidi w:val="0"/>
        <w:adjustRightInd w:val="0"/>
        <w:snapToGrid/>
        <w:spacing w:line="288" w:lineRule="auto"/>
        <w:ind w:firstLine="54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z w:val="24"/>
          <w:szCs w:val="24"/>
          <w:highlight w:val="none"/>
          <w:lang w:val="en-US" w:eastAsia="zh-CN"/>
        </w:rPr>
        <w:t>国企</w:t>
      </w:r>
      <w:r>
        <w:rPr>
          <w:rFonts w:hint="eastAsia" w:ascii="仿宋" w:hAnsi="仿宋" w:eastAsia="仿宋" w:cs="仿宋"/>
          <w:color w:val="auto"/>
          <w:sz w:val="24"/>
          <w:szCs w:val="24"/>
          <w:highlight w:val="none"/>
        </w:rPr>
        <w:t>采购预算执行确认书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15"/>
          <w:sz w:val="24"/>
          <w:szCs w:val="24"/>
          <w:highlight w:val="none"/>
          <w:lang w:val="en-US" w:eastAsia="zh-CN"/>
        </w:rPr>
        <w:t>采购项目审批表。</w:t>
      </w:r>
      <w:r>
        <w:rPr>
          <w:rFonts w:hint="eastAsia" w:ascii="仿宋" w:hAnsi="仿宋" w:eastAsia="仿宋" w:cs="仿宋"/>
          <w:color w:val="auto"/>
          <w:sz w:val="24"/>
          <w:szCs w:val="24"/>
          <w:highlight w:val="none"/>
        </w:rPr>
        <w:t xml:space="preserve"> </w:t>
      </w:r>
    </w:p>
    <w:p w14:paraId="31A4DC0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（二）下列文件构成本合同的组成部分</w:t>
      </w:r>
    </w:p>
    <w:p w14:paraId="139E5CFA">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以下文件为本合同的组成部分，应该认为是一个整体，彼此相互解释，相互补充。</w:t>
      </w:r>
    </w:p>
    <w:p w14:paraId="6C61A43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 本合同书</w:t>
      </w:r>
    </w:p>
    <w:p w14:paraId="5E07588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 中标通知书</w:t>
      </w:r>
    </w:p>
    <w:p w14:paraId="54AC702C">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 询标承诺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p w14:paraId="125F11EC">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 投标文件</w:t>
      </w:r>
    </w:p>
    <w:p w14:paraId="7A481B50">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 招标文件</w:t>
      </w:r>
    </w:p>
    <w:p w14:paraId="43D0958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（三）合同</w:t>
      </w:r>
      <w:r>
        <w:rPr>
          <w:rFonts w:hint="eastAsia" w:ascii="仿宋" w:hAnsi="仿宋" w:eastAsia="仿宋" w:cs="仿宋"/>
          <w:b/>
          <w:bCs/>
          <w:color w:val="auto"/>
          <w:sz w:val="24"/>
          <w:szCs w:val="24"/>
          <w:highlight w:val="none"/>
          <w:lang w:val="en-US" w:eastAsia="zh-CN"/>
        </w:rPr>
        <w:t>内容及金额</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036"/>
        <w:gridCol w:w="2004"/>
        <w:gridCol w:w="1260"/>
        <w:gridCol w:w="1440"/>
      </w:tblGrid>
      <w:tr w14:paraId="0143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center"/>
          </w:tcPr>
          <w:p w14:paraId="1D6A5B8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名称</w:t>
            </w:r>
          </w:p>
        </w:tc>
        <w:tc>
          <w:tcPr>
            <w:tcW w:w="3036" w:type="dxa"/>
            <w:noWrap w:val="0"/>
            <w:vAlign w:val="center"/>
          </w:tcPr>
          <w:p w14:paraId="4EECF87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2004" w:type="dxa"/>
            <w:noWrap w:val="0"/>
            <w:vAlign w:val="center"/>
          </w:tcPr>
          <w:p w14:paraId="0E64BF3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1260" w:type="dxa"/>
            <w:noWrap w:val="0"/>
            <w:vAlign w:val="center"/>
          </w:tcPr>
          <w:p w14:paraId="18B4D37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40" w:type="dxa"/>
            <w:noWrap w:val="0"/>
            <w:vAlign w:val="center"/>
          </w:tcPr>
          <w:p w14:paraId="403D273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34E7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4D4B457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3036" w:type="dxa"/>
            <w:noWrap w:val="0"/>
            <w:vAlign w:val="top"/>
          </w:tcPr>
          <w:p w14:paraId="1E10C28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2004" w:type="dxa"/>
            <w:noWrap w:val="0"/>
            <w:vAlign w:val="top"/>
          </w:tcPr>
          <w:p w14:paraId="244C71F2">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260" w:type="dxa"/>
            <w:noWrap w:val="0"/>
            <w:vAlign w:val="top"/>
          </w:tcPr>
          <w:p w14:paraId="551068B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440" w:type="dxa"/>
            <w:noWrap w:val="0"/>
            <w:vAlign w:val="top"/>
          </w:tcPr>
          <w:p w14:paraId="327913C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r>
      <w:tr w14:paraId="5017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702BD01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3036" w:type="dxa"/>
            <w:noWrap w:val="0"/>
            <w:vAlign w:val="top"/>
          </w:tcPr>
          <w:p w14:paraId="62D4C59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2004" w:type="dxa"/>
            <w:noWrap w:val="0"/>
            <w:vAlign w:val="top"/>
          </w:tcPr>
          <w:p w14:paraId="5BD6471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260" w:type="dxa"/>
            <w:noWrap w:val="0"/>
            <w:vAlign w:val="top"/>
          </w:tcPr>
          <w:p w14:paraId="04994A3B">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440" w:type="dxa"/>
            <w:noWrap w:val="0"/>
            <w:vAlign w:val="top"/>
          </w:tcPr>
          <w:p w14:paraId="78E031D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r>
      <w:tr w14:paraId="255B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7D11BA8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3036" w:type="dxa"/>
            <w:noWrap w:val="0"/>
            <w:vAlign w:val="top"/>
          </w:tcPr>
          <w:p w14:paraId="7E5A978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2004" w:type="dxa"/>
            <w:noWrap w:val="0"/>
            <w:vAlign w:val="top"/>
          </w:tcPr>
          <w:p w14:paraId="06AF5FC5">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260" w:type="dxa"/>
            <w:noWrap w:val="0"/>
            <w:vAlign w:val="top"/>
          </w:tcPr>
          <w:p w14:paraId="0891893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440" w:type="dxa"/>
            <w:noWrap w:val="0"/>
            <w:vAlign w:val="top"/>
          </w:tcPr>
          <w:p w14:paraId="64B7824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r>
    </w:tbl>
    <w:p w14:paraId="46C02F2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（具体标的服务内容可根据实际修改）</w:t>
      </w:r>
    </w:p>
    <w:p w14:paraId="5818A28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（四）合同总价</w:t>
      </w:r>
    </w:p>
    <w:p w14:paraId="26C57B0A">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E00B0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（五）合同价款的支付</w:t>
      </w:r>
    </w:p>
    <w:p w14:paraId="4A07B32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1.本合同中甲乙双方之间所发生的一切费用以人民币进行结算。</w:t>
      </w:r>
    </w:p>
    <w:p w14:paraId="06D5F654">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2.支付方式：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2D2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0FAECB5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付款次数</w:t>
            </w:r>
          </w:p>
        </w:tc>
        <w:tc>
          <w:tcPr>
            <w:tcW w:w="1985" w:type="dxa"/>
            <w:noWrap w:val="0"/>
            <w:vAlign w:val="center"/>
          </w:tcPr>
          <w:p w14:paraId="1494B5C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约定支付条件</w:t>
            </w:r>
          </w:p>
        </w:tc>
        <w:tc>
          <w:tcPr>
            <w:tcW w:w="4394" w:type="dxa"/>
            <w:noWrap w:val="0"/>
            <w:vAlign w:val="center"/>
          </w:tcPr>
          <w:p w14:paraId="7C06C91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1413" w:type="dxa"/>
            <w:noWrap w:val="0"/>
            <w:vAlign w:val="center"/>
          </w:tcPr>
          <w:p w14:paraId="3A0C1DB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6268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393C2B2B">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5" w:type="dxa"/>
            <w:noWrap w:val="0"/>
            <w:vAlign w:val="center"/>
          </w:tcPr>
          <w:p w14:paraId="2D6DF8F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4394" w:type="dxa"/>
            <w:noWrap w:val="0"/>
            <w:vAlign w:val="center"/>
          </w:tcPr>
          <w:p w14:paraId="563B163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413" w:type="dxa"/>
            <w:noWrap w:val="0"/>
            <w:vAlign w:val="center"/>
          </w:tcPr>
          <w:p w14:paraId="46419FBB">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r>
      <w:tr w14:paraId="6167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764F346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5" w:type="dxa"/>
            <w:noWrap w:val="0"/>
            <w:vAlign w:val="center"/>
          </w:tcPr>
          <w:p w14:paraId="69F81122">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4394" w:type="dxa"/>
            <w:noWrap w:val="0"/>
            <w:vAlign w:val="center"/>
          </w:tcPr>
          <w:p w14:paraId="21F142A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413" w:type="dxa"/>
            <w:noWrap w:val="0"/>
            <w:vAlign w:val="center"/>
          </w:tcPr>
          <w:p w14:paraId="59B5863B">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r>
      <w:tr w14:paraId="3109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07B07571">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5" w:type="dxa"/>
            <w:noWrap w:val="0"/>
            <w:vAlign w:val="center"/>
          </w:tcPr>
          <w:p w14:paraId="4BF14A7E">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p>
        </w:tc>
        <w:tc>
          <w:tcPr>
            <w:tcW w:w="4394" w:type="dxa"/>
            <w:noWrap w:val="0"/>
            <w:vAlign w:val="center"/>
          </w:tcPr>
          <w:p w14:paraId="3AB08A2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c>
          <w:tcPr>
            <w:tcW w:w="1413" w:type="dxa"/>
            <w:noWrap w:val="0"/>
            <w:vAlign w:val="center"/>
          </w:tcPr>
          <w:p w14:paraId="2225700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p>
        </w:tc>
      </w:tr>
    </w:tbl>
    <w:p w14:paraId="407351A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3.甲方应付合同款至以下乙方指定的银行账户：</w:t>
      </w:r>
    </w:p>
    <w:p w14:paraId="4F5D36D4">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p w14:paraId="1332F47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4983AEA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47C1D52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（六）履约保证金</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u w:val="single"/>
          <w:lang w:val="en-US" w:eastAsia="zh-CN"/>
        </w:rPr>
        <w:t xml:space="preserve"> 合同签订之日起10个工作日内，中标人须向采购人缴纳采购预算金额1%的履约保证金，采用银行汇票或银行保函的形式缴纳，中标人能够正确履行合同所规定的全部义务，待项目验收合格且项目结算审计完成后15天内无息退还 </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u w:val="none"/>
          <w:lang w:val="en-US" w:eastAsia="zh-CN"/>
        </w:rPr>
        <w:t>如果中标人未能按合同约定全面履行义务，导致项目设计图纸出现重大变更、影响项目正常推进，那么采购人有权从履约保证金中取得补偿或赔偿，同时不影响采购人要求中标人承担合同约定的超过履约保证金的违约责任的权利。</w:t>
      </w:r>
    </w:p>
    <w:p w14:paraId="422C85F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（七）服务要求</w:t>
      </w:r>
    </w:p>
    <w:p w14:paraId="30729054">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服务期内，乙方应在充分了解甲方现有环境基础上，提供规范化、高质量的服务</w:t>
      </w:r>
      <w:r>
        <w:rPr>
          <w:rFonts w:hint="eastAsia" w:ascii="仿宋" w:hAnsi="仿宋" w:eastAsia="仿宋" w:cs="仿宋"/>
          <w:color w:val="auto"/>
          <w:sz w:val="24"/>
          <w:szCs w:val="24"/>
          <w:highlight w:val="none"/>
          <w:lang w:eastAsia="zh-CN"/>
        </w:rPr>
        <w:t>。</w:t>
      </w:r>
    </w:p>
    <w:p w14:paraId="4F9DDD1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具体服务内容与要求</w:t>
      </w:r>
      <w:r>
        <w:rPr>
          <w:rFonts w:hint="eastAsia" w:ascii="仿宋" w:hAnsi="仿宋" w:eastAsia="仿宋" w:cs="仿宋"/>
          <w:color w:val="auto"/>
          <w:sz w:val="24"/>
          <w:szCs w:val="24"/>
          <w:highlight w:val="none"/>
          <w:lang w:val="en-US" w:eastAsia="zh-CN"/>
        </w:rPr>
        <w:t>按照招标文件第四章采购需求的附件内容填写</w:t>
      </w:r>
      <w:r>
        <w:rPr>
          <w:rFonts w:hint="eastAsia" w:ascii="仿宋" w:hAnsi="仿宋" w:eastAsia="仿宋" w:cs="仿宋"/>
          <w:color w:val="auto"/>
          <w:sz w:val="24"/>
          <w:szCs w:val="24"/>
          <w:highlight w:val="none"/>
        </w:rPr>
        <w:t>。</w:t>
      </w:r>
    </w:p>
    <w:p w14:paraId="2151612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具体服务内容</w:t>
      </w:r>
      <w:r>
        <w:rPr>
          <w:rFonts w:hint="eastAsia" w:ascii="仿宋" w:hAnsi="仿宋" w:eastAsia="仿宋" w:cs="仿宋"/>
          <w:color w:val="auto"/>
          <w:sz w:val="24"/>
          <w:szCs w:val="24"/>
          <w:highlight w:val="none"/>
          <w:lang w:eastAsia="zh-CN"/>
        </w:rPr>
        <w:t>：</w:t>
      </w:r>
    </w:p>
    <w:p w14:paraId="7DC0A103">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履行期限：</w:t>
      </w:r>
    </w:p>
    <w:p w14:paraId="7FAD8B0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履行地点：</w:t>
      </w:r>
    </w:p>
    <w:p w14:paraId="72B0847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（八）服务人员</w:t>
      </w:r>
    </w:p>
    <w:p w14:paraId="6E604D6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3BD4674">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乙方应派出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6209529">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甲乙双方指定代表，作为履行本合同服务事宜的主要联系人。</w:t>
      </w:r>
    </w:p>
    <w:p w14:paraId="79320FE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504D374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2268C35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（九）服务考核</w:t>
      </w:r>
    </w:p>
    <w:p w14:paraId="0CFDAAF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甲方对乙方服务质量进行客观评估，具体考核办法（如有）作为合同附件。</w:t>
      </w:r>
    </w:p>
    <w:p w14:paraId="11498411">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项目完成后，乙方应及时向甲方发出书面履约完成通知，甲方在收到乙方履约完成通知后，按相关规定组织验收。验收小组完成验收后应出具验收书，验收书应包括每一项技术、服务、安全等标准的履约情况。</w:t>
      </w:r>
    </w:p>
    <w:p w14:paraId="459C58F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（十）违约责任</w:t>
      </w:r>
    </w:p>
    <w:p w14:paraId="562876D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%计收。但违约金的最高限额为合同价的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%。一周按 7 天计算，不足 7 天按一周计算。如果达到最高限额，甲方有权解除合同。</w:t>
      </w:r>
    </w:p>
    <w:p w14:paraId="7CA3DF61">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项目结束时验收不合格，乙方应在收到甲方通知后</w:t>
      </w:r>
      <w:r>
        <w:rPr>
          <w:rFonts w:hint="eastAsia" w:ascii="仿宋" w:hAnsi="仿宋" w:eastAsia="仿宋" w:cs="仿宋"/>
          <w:color w:val="auto"/>
          <w:sz w:val="24"/>
          <w:szCs w:val="24"/>
          <w:highlight w:val="none"/>
          <w:u w:val="single"/>
        </w:rPr>
        <w:t xml:space="preserve"> 7 </w:t>
      </w:r>
      <w:r>
        <w:rPr>
          <w:rFonts w:hint="eastAsia" w:ascii="仿宋" w:hAnsi="仿宋" w:eastAsia="仿宋" w:cs="仿宋"/>
          <w:color w:val="auto"/>
          <w:sz w:val="24"/>
          <w:szCs w:val="24"/>
          <w:highlight w:val="none"/>
        </w:rPr>
        <w:t>日内退还甲方已支付的合同款，逾期退还合同款的，每日按未退还金额的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%支付违约金。</w:t>
      </w:r>
    </w:p>
    <w:p w14:paraId="2F0A92F9">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其他违约条款双方协商确定：</w:t>
      </w:r>
      <w:r>
        <w:rPr>
          <w:rFonts w:hint="eastAsia" w:ascii="仿宋" w:hAnsi="仿宋" w:eastAsia="仿宋" w:cs="仿宋"/>
          <w:color w:val="auto"/>
          <w:sz w:val="24"/>
          <w:szCs w:val="24"/>
          <w:highlight w:val="none"/>
          <w:u w:val="single"/>
        </w:rPr>
        <w:t>如甲方未按约定支付款项的，应向乙方支付逾期利息，利率为合同订立时1年期贷款市场报价利率。</w:t>
      </w:r>
    </w:p>
    <w:p w14:paraId="7BBBD81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（十一）解决争议的方法</w:t>
      </w:r>
    </w:p>
    <w:p w14:paraId="394637A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因合同履行中发生的争议，可通过合同当事人双方友好协商解决。如自协商开始之起 15 日内得不到解决，双方应将争议提交采购监管部门调解。调解不成的，可向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诸暨市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人民法院起诉</w:t>
      </w:r>
      <w:r>
        <w:rPr>
          <w:rFonts w:hint="eastAsia" w:ascii="仿宋" w:hAnsi="仿宋" w:eastAsia="仿宋" w:cs="仿宋"/>
          <w:color w:val="auto"/>
          <w:sz w:val="24"/>
          <w:szCs w:val="24"/>
          <w:highlight w:val="none"/>
        </w:rPr>
        <w:t>。诉讼费用除人民法院另有裁决外，应由败诉方负担。</w:t>
      </w:r>
    </w:p>
    <w:p w14:paraId="31F193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（十二）违约解除合同</w:t>
      </w:r>
    </w:p>
    <w:p w14:paraId="21EA481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1.在乙方违约的情况下，甲方可向乙方发出书面通知，部分或全部终止合同,同时保留向乙方追诉的权利：</w:t>
      </w:r>
    </w:p>
    <w:p w14:paraId="2F87D631">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乙方未能在合同规定的限期或甲方同意延长的限期内，提供全部或部分标的物的；</w:t>
      </w:r>
    </w:p>
    <w:p w14:paraId="2D511079">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乙方未能履行合同规定</w:t>
      </w:r>
      <w:r>
        <w:rPr>
          <w:rFonts w:hint="eastAsia" w:ascii="仿宋" w:hAnsi="仿宋" w:eastAsia="仿宋" w:cs="仿宋"/>
          <w:color w:val="auto"/>
          <w:sz w:val="24"/>
          <w:szCs w:val="24"/>
          <w:highlight w:val="none"/>
          <w:lang w:eastAsia="zh-CN"/>
        </w:rPr>
        <w:t>的其他</w:t>
      </w:r>
      <w:r>
        <w:rPr>
          <w:rFonts w:hint="eastAsia" w:ascii="仿宋" w:hAnsi="仿宋" w:eastAsia="仿宋" w:cs="仿宋"/>
          <w:color w:val="auto"/>
          <w:sz w:val="24"/>
          <w:szCs w:val="24"/>
          <w:highlight w:val="none"/>
        </w:rPr>
        <w:t>主要义务的；</w:t>
      </w:r>
    </w:p>
    <w:p w14:paraId="481341D0">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甲方认为乙方在本合同履行过程中有腐败和欺诈等行为的。</w:t>
      </w:r>
    </w:p>
    <w:p w14:paraId="60906094">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2.甲方解除合同的，合同于甲方发出书面解除合同通知书送达乙方之日起解除。乙方应在合同解除后</w:t>
      </w:r>
      <w:r>
        <w:rPr>
          <w:rFonts w:hint="eastAsia" w:ascii="仿宋" w:hAnsi="仿宋" w:eastAsia="仿宋" w:cs="仿宋"/>
          <w:color w:val="auto"/>
          <w:sz w:val="24"/>
          <w:szCs w:val="24"/>
          <w:highlight w:val="none"/>
          <w:u w:val="single"/>
        </w:rPr>
        <w:t xml:space="preserve"> 7 </w:t>
      </w:r>
      <w:r>
        <w:rPr>
          <w:rFonts w:hint="eastAsia" w:ascii="仿宋" w:hAnsi="仿宋" w:eastAsia="仿宋" w:cs="仿宋"/>
          <w:color w:val="auto"/>
          <w:sz w:val="24"/>
          <w:szCs w:val="24"/>
          <w:highlight w:val="none"/>
        </w:rPr>
        <w:t>日内退还甲方已支付的合同款，逾期退还合同款的，每日按未退还金额的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%支付违约金。</w:t>
      </w:r>
    </w:p>
    <w:p w14:paraId="297D90D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（十三）破产终止合同</w:t>
      </w:r>
    </w:p>
    <w:p w14:paraId="3B3D19E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或无清偿能力时，甲方经报监督管理部门审批同意后，可在任何时候以书面通知乙方，提出终止合同而不给乙方补偿。该合同的终止将不损害或不影响甲方已经采取或将要采取任何行动或补救措施的权利。</w:t>
      </w:r>
    </w:p>
    <w:p w14:paraId="0C64302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（十四）转让和分包</w:t>
      </w:r>
    </w:p>
    <w:p w14:paraId="3D212FE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1.采购合同不能转让。</w:t>
      </w:r>
    </w:p>
    <w:p w14:paraId="27BE6760">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2.本项目内容</w:t>
      </w:r>
      <w:r>
        <w:rPr>
          <w:rFonts w:hint="eastAsia" w:ascii="仿宋" w:hAnsi="仿宋" w:eastAsia="仿宋" w:cs="仿宋"/>
          <w:color w:val="auto"/>
          <w:sz w:val="24"/>
          <w:szCs w:val="24"/>
          <w:highlight w:val="none"/>
          <w:u w:val="single"/>
        </w:rPr>
        <w:t>不</w:t>
      </w:r>
      <w:r>
        <w:rPr>
          <w:rFonts w:hint="eastAsia" w:ascii="仿宋" w:hAnsi="仿宋" w:eastAsia="仿宋" w:cs="仿宋"/>
          <w:color w:val="auto"/>
          <w:sz w:val="24"/>
          <w:szCs w:val="24"/>
          <w:highlight w:val="none"/>
        </w:rPr>
        <w:t>允许分包（按照招标文件要求）。</w:t>
      </w:r>
    </w:p>
    <w:p w14:paraId="2E217D1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（十五）合同变更、解除</w:t>
      </w:r>
    </w:p>
    <w:p w14:paraId="4AEF8891">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甲方和乙方都不得擅自中止或终止本合同，但合同继续履行将损害国家和社会公共利益的除外。不得擅自变更本合同，如必须对合同条款进行改动时，当事人双方须共同签署书面文件，</w:t>
      </w:r>
      <w:r>
        <w:rPr>
          <w:rFonts w:hint="eastAsia" w:ascii="仿宋" w:hAnsi="仿宋" w:eastAsia="仿宋" w:cs="仿宋"/>
          <w:color w:val="auto"/>
          <w:sz w:val="24"/>
          <w:szCs w:val="24"/>
          <w:highlight w:val="none"/>
          <w:lang w:eastAsia="zh-CN"/>
        </w:rPr>
        <w:t>作为</w:t>
      </w:r>
      <w:r>
        <w:rPr>
          <w:rFonts w:hint="eastAsia" w:ascii="仿宋" w:hAnsi="仿宋" w:eastAsia="仿宋" w:cs="仿宋"/>
          <w:color w:val="auto"/>
          <w:sz w:val="24"/>
          <w:szCs w:val="24"/>
          <w:highlight w:val="none"/>
        </w:rPr>
        <w:t>合同的补充，并报监督管理部门批准和备案。</w:t>
      </w:r>
    </w:p>
    <w:p w14:paraId="6A2F410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（十六）通知</w:t>
      </w:r>
    </w:p>
    <w:p w14:paraId="02FCED4D">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本合同任何一方给另一方的通知，都应以书面形式发送，而另一方也应以书面形式确认并发送到对方明确的地址。</w:t>
      </w:r>
    </w:p>
    <w:p w14:paraId="206797D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（十七）计量单位</w:t>
      </w:r>
    </w:p>
    <w:p w14:paraId="6CB719E3">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除技术规范中另有规定外，计量单位均使用国家法定计量单位。</w:t>
      </w:r>
    </w:p>
    <w:p w14:paraId="524319C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（十八）不可抗力</w:t>
      </w:r>
    </w:p>
    <w:p w14:paraId="43F011E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1.如果双方中任何一方遭遇法律规定的不可抗力，致使合同履行受阻时，履行合同的期限应予延长，延长的期限应相当于不可抗力所影响的时间。</w:t>
      </w:r>
    </w:p>
    <w:p w14:paraId="6E15357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2.受事故影响的一方应在不可抗力的事故发生后尽快书面形式通知另一方，并在事故发生后合同规定时间内，将有关部门出具的证明文件送达另一方。</w:t>
      </w:r>
    </w:p>
    <w:p w14:paraId="56F9AC2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3.不可抗力使合同的某些内容有变更必要的，双方应通过协商达成进一步履行合同的协议，因不可抗力致使合同不能履行的，合同终止。</w:t>
      </w:r>
    </w:p>
    <w:p w14:paraId="3C7973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（十九）合同解释</w:t>
      </w:r>
    </w:p>
    <w:p w14:paraId="56D0D9A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本合同应按照《中华人民共和国民法典》等进行解释。</w:t>
      </w:r>
    </w:p>
    <w:p w14:paraId="22E2D63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（二十）合同的生效及其他</w:t>
      </w:r>
    </w:p>
    <w:p w14:paraId="38BA842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采购项目的采购合同内容的确定应以招标文件和投标文件为基础，不得违背其实质性内容。</w:t>
      </w:r>
    </w:p>
    <w:p w14:paraId="734DE521">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合同将在双方签字盖章后开始生效。授权代表签署的应附法定代表人授权书。</w:t>
      </w:r>
    </w:p>
    <w:p w14:paraId="575FFEF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（二十一）合同附件（如有）</w:t>
      </w:r>
    </w:p>
    <w:p w14:paraId="64D7AF5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（二十二）合同份数</w:t>
      </w:r>
    </w:p>
    <w:p w14:paraId="058BFB7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lang w:val="en-US" w:eastAsia="zh-CN"/>
        </w:rPr>
        <w:t>六</w:t>
      </w:r>
      <w:r>
        <w:rPr>
          <w:rFonts w:hint="eastAsia" w:ascii="仿宋" w:hAnsi="仿宋" w:eastAsia="仿宋" w:cs="仿宋"/>
          <w:color w:val="auto"/>
          <w:sz w:val="24"/>
          <w:szCs w:val="24"/>
          <w:highlight w:val="none"/>
        </w:rPr>
        <w:t>份，具同等法律效力。</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554"/>
      </w:tblGrid>
      <w:tr w14:paraId="067E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865" w:type="dxa"/>
            <w:noWrap w:val="0"/>
            <w:vAlign w:val="center"/>
          </w:tcPr>
          <w:p w14:paraId="0136F12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4554" w:type="dxa"/>
            <w:noWrap w:val="0"/>
            <w:vAlign w:val="center"/>
          </w:tcPr>
          <w:p w14:paraId="26B438A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r>
      <w:tr w14:paraId="0C99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4" w:hRule="atLeast"/>
          <w:jc w:val="center"/>
        </w:trPr>
        <w:tc>
          <w:tcPr>
            <w:tcW w:w="4865" w:type="dxa"/>
            <w:noWrap w:val="0"/>
            <w:vAlign w:val="top"/>
          </w:tcPr>
          <w:p w14:paraId="63E94F34">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4BB493F5">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281F99ED">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3FB52355">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160F96D9">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7E175885">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14:paraId="6854A1C7">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4F1B384D">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4F198090">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7097DCCD">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    号：</w:t>
            </w:r>
          </w:p>
          <w:p w14:paraId="6FE20959">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p>
        </w:tc>
        <w:tc>
          <w:tcPr>
            <w:tcW w:w="4554" w:type="dxa"/>
            <w:noWrap w:val="0"/>
            <w:vAlign w:val="top"/>
          </w:tcPr>
          <w:p w14:paraId="23906D11">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0D9C385B">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3AA76B32">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0E0EA3BC">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109B6744">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769F5B67">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14:paraId="212E9ED2">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31E74D48">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5307D27D">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1F8C901F">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    号：</w:t>
            </w:r>
          </w:p>
          <w:p w14:paraId="06B8B4F8">
            <w:pPr>
              <w:pageBreakBefore w:val="0"/>
              <w:kinsoku/>
              <w:wordWrap/>
              <w:overflowPunct/>
              <w:topLinePunct w:val="0"/>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p>
        </w:tc>
      </w:tr>
    </w:tbl>
    <w:p w14:paraId="46D840C9">
      <w:pPr>
        <w:shd w:val="clear" w:color="auto" w:fill="auto"/>
        <w:jc w:val="center"/>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rPr>
        <w:t>（注：在正式签约时，双方可以根据上述</w:t>
      </w:r>
      <w:r>
        <w:rPr>
          <w:rFonts w:hint="eastAsia" w:ascii="仿宋" w:hAnsi="仿宋" w:eastAsia="仿宋" w:cs="仿宋"/>
          <w:b/>
          <w:color w:val="auto"/>
          <w:sz w:val="24"/>
          <w:szCs w:val="24"/>
          <w:highlight w:val="none"/>
          <w:lang w:val="en-US" w:eastAsia="zh-CN"/>
        </w:rPr>
        <w:t>精神</w:t>
      </w:r>
      <w:r>
        <w:rPr>
          <w:rFonts w:hint="eastAsia" w:ascii="仿宋" w:hAnsi="仿宋" w:eastAsia="仿宋" w:cs="仿宋"/>
          <w:b/>
          <w:color w:val="auto"/>
          <w:sz w:val="24"/>
          <w:szCs w:val="24"/>
          <w:highlight w:val="none"/>
        </w:rPr>
        <w:t>应拟定更为详尽的合同书）</w:t>
      </w:r>
    </w:p>
    <w:p w14:paraId="712C05C6">
      <w:pPr>
        <w:pStyle w:val="101"/>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bookmarkEnd w:id="31"/>
    <w:p w14:paraId="7CB784FE">
      <w:pPr>
        <w:pageBreakBefore w:val="0"/>
        <w:kinsoku/>
        <w:wordWrap/>
        <w:overflowPunct/>
        <w:topLinePunct w:val="0"/>
        <w:bidi w:val="0"/>
        <w:snapToGrid/>
        <w:spacing w:line="300" w:lineRule="auto"/>
        <w:jc w:val="center"/>
        <w:rPr>
          <w:rFonts w:hint="eastAsia" w:ascii="仿宋" w:hAnsi="仿宋" w:eastAsia="仿宋" w:cs="仿宋"/>
          <w:b/>
          <w:bCs/>
          <w:color w:val="auto"/>
          <w:sz w:val="44"/>
          <w:szCs w:val="44"/>
          <w:highlight w:val="none"/>
        </w:rPr>
      </w:pPr>
      <w:r>
        <w:rPr>
          <w:rFonts w:hint="eastAsia" w:ascii="宋体" w:hAnsi="宋体" w:eastAsia="宋体" w:cs="宋体"/>
          <w:b/>
          <w:color w:val="auto"/>
          <w:sz w:val="21"/>
          <w:szCs w:val="21"/>
          <w:highlight w:val="none"/>
        </w:rPr>
        <w:br w:type="page"/>
      </w:r>
      <w:r>
        <w:rPr>
          <w:rFonts w:hint="eastAsia" w:ascii="仿宋" w:hAnsi="仿宋" w:eastAsia="仿宋" w:cs="仿宋"/>
          <w:b/>
          <w:bCs/>
          <w:color w:val="auto"/>
          <w:sz w:val="44"/>
          <w:szCs w:val="44"/>
          <w:highlight w:val="none"/>
        </w:rPr>
        <w:t>第六章  应提交的有关格式范例</w:t>
      </w:r>
    </w:p>
    <w:p w14:paraId="49A99B14">
      <w:pPr>
        <w:widowControl/>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0440D04B">
      <w:pPr>
        <w:pageBreakBefore w:val="0"/>
        <w:widowControl/>
        <w:tabs>
          <w:tab w:val="left" w:pos="450"/>
          <w:tab w:val="left" w:pos="8280"/>
        </w:tabs>
        <w:kinsoku/>
        <w:wordWrap/>
        <w:overflowPunct/>
        <w:topLinePunct w:val="0"/>
        <w:bidi w:val="0"/>
        <w:snapToGrid/>
        <w:spacing w:line="300" w:lineRule="auto"/>
        <w:ind w:firstLine="480"/>
        <w:jc w:val="center"/>
        <w:rPr>
          <w:rFonts w:hint="eastAsia" w:ascii="仿宋" w:hAnsi="仿宋" w:eastAsia="仿宋" w:cs="仿宋"/>
          <w:color w:val="auto"/>
          <w:sz w:val="32"/>
          <w:szCs w:val="32"/>
          <w:highlight w:val="none"/>
        </w:rPr>
      </w:pPr>
    </w:p>
    <w:p w14:paraId="245FE0F3">
      <w:pPr>
        <w:pageBreakBefore w:val="0"/>
        <w:widowControl/>
        <w:tabs>
          <w:tab w:val="left" w:pos="450"/>
          <w:tab w:val="left" w:pos="2520"/>
          <w:tab w:val="left" w:pos="8280"/>
        </w:tabs>
        <w:kinsoku/>
        <w:wordWrap/>
        <w:overflowPunct/>
        <w:topLinePunct w:val="0"/>
        <w:bidi w:val="0"/>
        <w:snapToGrid/>
        <w:spacing w:line="300" w:lineRule="auto"/>
        <w:ind w:firstLine="4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一、封面格式</w:t>
      </w:r>
    </w:p>
    <w:p w14:paraId="7DC2A934">
      <w:pPr>
        <w:pageBreakBefore w:val="0"/>
        <w:widowControl/>
        <w:tabs>
          <w:tab w:val="left" w:pos="8280"/>
        </w:tabs>
        <w:kinsoku/>
        <w:wordWrap/>
        <w:overflowPunct/>
        <w:topLinePunct w:val="0"/>
        <w:bidi w:val="0"/>
        <w:snapToGrid/>
        <w:spacing w:line="300" w:lineRule="auto"/>
        <w:ind w:firstLine="480"/>
        <w:jc w:val="center"/>
        <w:rPr>
          <w:rFonts w:hint="eastAsia" w:ascii="仿宋" w:hAnsi="仿宋" w:eastAsia="仿宋" w:cs="仿宋"/>
          <w:b/>
          <w:color w:val="auto"/>
          <w:sz w:val="32"/>
          <w:szCs w:val="32"/>
          <w:highlight w:val="none"/>
        </w:rPr>
      </w:pPr>
    </w:p>
    <w:p w14:paraId="04D020B7">
      <w:pPr>
        <w:pageBreakBefore w:val="0"/>
        <w:widowControl/>
        <w:tabs>
          <w:tab w:val="left" w:pos="8280"/>
        </w:tabs>
        <w:kinsoku/>
        <w:wordWrap/>
        <w:overflowPunct/>
        <w:topLinePunct w:val="0"/>
        <w:bidi w:val="0"/>
        <w:snapToGrid/>
        <w:spacing w:line="300" w:lineRule="auto"/>
        <w:ind w:firstLine="48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资格文件或</w:t>
      </w:r>
      <w:r>
        <w:rPr>
          <w:rFonts w:hint="eastAsia" w:ascii="仿宋" w:hAnsi="仿宋" w:eastAsia="仿宋" w:cs="仿宋"/>
          <w:b/>
          <w:color w:val="auto"/>
          <w:sz w:val="32"/>
          <w:szCs w:val="32"/>
          <w:highlight w:val="none"/>
        </w:rPr>
        <w:t>商务技术文件或报价文件</w:t>
      </w:r>
    </w:p>
    <w:p w14:paraId="5CF1B07E">
      <w:pPr>
        <w:pageBreakBefore w:val="0"/>
        <w:widowControl/>
        <w:tabs>
          <w:tab w:val="left" w:pos="275"/>
          <w:tab w:val="left" w:pos="8280"/>
        </w:tabs>
        <w:kinsoku/>
        <w:wordWrap/>
        <w:overflowPunct/>
        <w:topLinePunct w:val="0"/>
        <w:bidi w:val="0"/>
        <w:snapToGrid/>
        <w:spacing w:line="300" w:lineRule="auto"/>
        <w:ind w:firstLine="48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4C7E8246">
      <w:pPr>
        <w:pageBreakBefore w:val="0"/>
        <w:widowControl/>
        <w:tabs>
          <w:tab w:val="left" w:pos="275"/>
          <w:tab w:val="left" w:pos="8280"/>
        </w:tabs>
        <w:kinsoku/>
        <w:wordWrap/>
        <w:overflowPunct/>
        <w:topLinePunct w:val="0"/>
        <w:bidi w:val="0"/>
        <w:snapToGrid/>
        <w:spacing w:line="300" w:lineRule="auto"/>
        <w:jc w:val="left"/>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rPr>
        <w:t xml:space="preserve">                                      </w:t>
      </w:r>
    </w:p>
    <w:p w14:paraId="2D1993B2">
      <w:pPr>
        <w:pageBreakBefore w:val="0"/>
        <w:widowControl/>
        <w:tabs>
          <w:tab w:val="left" w:pos="275"/>
          <w:tab w:val="left" w:pos="8280"/>
        </w:tabs>
        <w:kinsoku/>
        <w:wordWrap/>
        <w:overflowPunct/>
        <w:topLinePunct w:val="0"/>
        <w:bidi w:val="0"/>
        <w:snapToGrid/>
        <w:spacing w:line="300" w:lineRule="auto"/>
        <w:ind w:firstLine="472" w:firstLineChars="147"/>
        <w:jc w:val="left"/>
        <w:rPr>
          <w:rFonts w:hint="eastAsia" w:ascii="仿宋" w:hAnsi="仿宋" w:eastAsia="仿宋" w:cs="仿宋"/>
          <w:b/>
          <w:color w:val="auto"/>
          <w:sz w:val="32"/>
          <w:szCs w:val="32"/>
          <w:highlight w:val="none"/>
        </w:rPr>
      </w:pPr>
    </w:p>
    <w:p w14:paraId="497CB621">
      <w:pPr>
        <w:pageBreakBefore w:val="0"/>
        <w:widowControl/>
        <w:tabs>
          <w:tab w:val="left" w:pos="275"/>
          <w:tab w:val="left" w:pos="8280"/>
        </w:tabs>
        <w:kinsoku/>
        <w:wordWrap/>
        <w:overflowPunct/>
        <w:topLinePunct w:val="0"/>
        <w:bidi w:val="0"/>
        <w:snapToGrid/>
        <w:spacing w:line="300" w:lineRule="auto"/>
        <w:jc w:val="left"/>
        <w:rPr>
          <w:rFonts w:hint="eastAsia" w:ascii="仿宋" w:hAnsi="仿宋" w:eastAsia="仿宋" w:cs="仿宋"/>
          <w:b/>
          <w:color w:val="auto"/>
          <w:sz w:val="36"/>
          <w:szCs w:val="36"/>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rPr>
        <w:t xml:space="preserve">   </w:t>
      </w:r>
    </w:p>
    <w:p w14:paraId="61F1E73D">
      <w:pPr>
        <w:pageBreakBefore w:val="0"/>
        <w:widowControl/>
        <w:tabs>
          <w:tab w:val="left" w:pos="765"/>
          <w:tab w:val="left" w:pos="8280"/>
        </w:tabs>
        <w:kinsoku/>
        <w:wordWrap/>
        <w:overflowPunct/>
        <w:topLinePunct w:val="0"/>
        <w:bidi w:val="0"/>
        <w:snapToGrid/>
        <w:spacing w:line="300" w:lineRule="auto"/>
        <w:ind w:firstLine="48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162A396E">
      <w:pPr>
        <w:pageBreakBefore w:val="0"/>
        <w:widowControl/>
        <w:tabs>
          <w:tab w:val="left" w:pos="765"/>
          <w:tab w:val="left" w:pos="8280"/>
        </w:tabs>
        <w:kinsoku/>
        <w:wordWrap/>
        <w:overflowPunct/>
        <w:topLinePunct w:val="0"/>
        <w:bidi w:val="0"/>
        <w:snapToGrid/>
        <w:spacing w:line="300" w:lineRule="auto"/>
        <w:jc w:val="left"/>
        <w:rPr>
          <w:rFonts w:hint="eastAsia" w:ascii="仿宋" w:hAnsi="仿宋" w:eastAsia="仿宋" w:cs="仿宋"/>
          <w:b/>
          <w:color w:val="auto"/>
          <w:sz w:val="36"/>
          <w:szCs w:val="36"/>
          <w:highlight w:val="none"/>
          <w:u w:val="single"/>
        </w:rPr>
      </w:pPr>
      <w:r>
        <w:rPr>
          <w:rFonts w:hint="eastAsia" w:ascii="仿宋" w:hAnsi="仿宋" w:eastAsia="仿宋" w:cs="仿宋"/>
          <w:b/>
          <w:color w:val="auto"/>
          <w:sz w:val="32"/>
          <w:szCs w:val="32"/>
          <w:highlight w:val="none"/>
        </w:rPr>
        <w:t>投标人：</w:t>
      </w:r>
      <w:r>
        <w:rPr>
          <w:rFonts w:hint="eastAsia" w:ascii="仿宋" w:hAnsi="仿宋" w:eastAsia="仿宋" w:cs="仿宋"/>
          <w:b/>
          <w:color w:val="auto"/>
          <w:sz w:val="32"/>
          <w:szCs w:val="32"/>
          <w:highlight w:val="none"/>
          <w:u w:val="single"/>
        </w:rPr>
        <w:t xml:space="preserve">           （</w:t>
      </w:r>
      <w:r>
        <w:rPr>
          <w:rFonts w:hint="eastAsia" w:ascii="仿宋" w:hAnsi="仿宋" w:eastAsia="仿宋" w:cs="宋体"/>
          <w:b/>
          <w:color w:val="auto"/>
          <w:sz w:val="32"/>
          <w:szCs w:val="32"/>
          <w:highlight w:val="none"/>
          <w:u w:val="single"/>
        </w:rPr>
        <w:t>盖单位公章</w:t>
      </w:r>
      <w:r>
        <w:rPr>
          <w:rFonts w:hint="eastAsia" w:ascii="仿宋" w:hAnsi="仿宋" w:eastAsia="仿宋" w:cs="仿宋"/>
          <w:b/>
          <w:color w:val="auto"/>
          <w:sz w:val="32"/>
          <w:szCs w:val="32"/>
          <w:highlight w:val="none"/>
          <w:u w:val="single"/>
        </w:rPr>
        <w:t xml:space="preserve">）              </w:t>
      </w:r>
    </w:p>
    <w:p w14:paraId="690C2E6D">
      <w:pPr>
        <w:pageBreakBefore w:val="0"/>
        <w:widowControl/>
        <w:tabs>
          <w:tab w:val="left" w:pos="8280"/>
        </w:tabs>
        <w:kinsoku/>
        <w:wordWrap/>
        <w:overflowPunct/>
        <w:topLinePunct w:val="0"/>
        <w:bidi w:val="0"/>
        <w:snapToGrid/>
        <w:spacing w:line="300" w:lineRule="auto"/>
        <w:ind w:firstLine="480"/>
        <w:jc w:val="center"/>
        <w:rPr>
          <w:rFonts w:hint="eastAsia" w:ascii="仿宋" w:hAnsi="仿宋" w:eastAsia="仿宋" w:cs="仿宋"/>
          <w:b/>
          <w:color w:val="auto"/>
          <w:sz w:val="32"/>
          <w:szCs w:val="32"/>
          <w:highlight w:val="none"/>
        </w:rPr>
      </w:pPr>
    </w:p>
    <w:p w14:paraId="4CC3BBB2">
      <w:pPr>
        <w:pageBreakBefore w:val="0"/>
        <w:widowControl/>
        <w:tabs>
          <w:tab w:val="left" w:pos="8280"/>
        </w:tabs>
        <w:kinsoku/>
        <w:wordWrap/>
        <w:overflowPunct/>
        <w:topLinePunct w:val="0"/>
        <w:bidi w:val="0"/>
        <w:snapToGrid/>
        <w:spacing w:line="300" w:lineRule="auto"/>
        <w:ind w:firstLine="480"/>
        <w:jc w:val="center"/>
        <w:rPr>
          <w:rFonts w:hint="eastAsia" w:ascii="仿宋" w:hAnsi="仿宋" w:eastAsia="仿宋" w:cs="仿宋"/>
          <w:b/>
          <w:color w:val="auto"/>
          <w:sz w:val="32"/>
          <w:szCs w:val="32"/>
          <w:highlight w:val="none"/>
        </w:rPr>
      </w:pPr>
    </w:p>
    <w:p w14:paraId="600A007D">
      <w:pPr>
        <w:pageBreakBefore w:val="0"/>
        <w:widowControl/>
        <w:tabs>
          <w:tab w:val="left" w:pos="350"/>
          <w:tab w:val="left" w:pos="8280"/>
        </w:tabs>
        <w:kinsoku/>
        <w:wordWrap/>
        <w:overflowPunct/>
        <w:topLinePunct w:val="0"/>
        <w:bidi w:val="0"/>
        <w:snapToGrid/>
        <w:spacing w:line="30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日期：      </w:t>
      </w: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32"/>
          <w:szCs w:val="32"/>
          <w:highlight w:val="none"/>
        </w:rPr>
        <w:t>年</w:t>
      </w: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32"/>
          <w:szCs w:val="32"/>
          <w:highlight w:val="none"/>
        </w:rPr>
        <w:t>月</w:t>
      </w: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32"/>
          <w:szCs w:val="32"/>
          <w:highlight w:val="none"/>
        </w:rPr>
        <w:t>日</w:t>
      </w:r>
    </w:p>
    <w:p w14:paraId="3D6AE24B">
      <w:pPr>
        <w:pageBreakBefore w:val="0"/>
        <w:widowControl/>
        <w:tabs>
          <w:tab w:val="left" w:pos="350"/>
          <w:tab w:val="left" w:pos="8280"/>
        </w:tabs>
        <w:kinsoku/>
        <w:wordWrap/>
        <w:overflowPunct/>
        <w:topLinePunct w:val="0"/>
        <w:bidi w:val="0"/>
        <w:snapToGrid/>
        <w:spacing w:line="300" w:lineRule="auto"/>
        <w:ind w:firstLine="480"/>
        <w:jc w:val="left"/>
        <w:rPr>
          <w:rFonts w:hint="eastAsia" w:ascii="仿宋" w:hAnsi="仿宋" w:eastAsia="仿宋" w:cs="仿宋"/>
          <w:b/>
          <w:color w:val="auto"/>
          <w:sz w:val="32"/>
          <w:szCs w:val="32"/>
          <w:highlight w:val="none"/>
        </w:rPr>
      </w:pPr>
    </w:p>
    <w:p w14:paraId="2269E2B0">
      <w:pPr>
        <w:pStyle w:val="5"/>
        <w:pageBreakBefore w:val="0"/>
        <w:kinsoku/>
        <w:wordWrap/>
        <w:overflowPunct/>
        <w:topLinePunct w:val="0"/>
        <w:bidi w:val="0"/>
        <w:snapToGrid/>
        <w:spacing w:before="0" w:beforeLines="0" w:after="0" w:afterLines="0" w:line="300" w:lineRule="auto"/>
        <w:jc w:val="center"/>
        <w:rPr>
          <w:rFonts w:hint="eastAsia" w:ascii="仿宋" w:hAnsi="仿宋" w:eastAsia="仿宋" w:cs="仿宋"/>
          <w:b w:val="0"/>
          <w:color w:val="auto"/>
          <w:highlight w:val="none"/>
        </w:rPr>
      </w:pPr>
    </w:p>
    <w:p w14:paraId="5DDDD5E6">
      <w:pPr>
        <w:pageBreakBefore w:val="0"/>
        <w:kinsoku/>
        <w:wordWrap/>
        <w:overflowPunct/>
        <w:topLinePunct w:val="0"/>
        <w:bidi w:val="0"/>
        <w:snapToGrid/>
        <w:spacing w:line="300" w:lineRule="auto"/>
        <w:rPr>
          <w:rFonts w:hint="eastAsia" w:ascii="仿宋" w:hAnsi="仿宋" w:eastAsia="仿宋" w:cs="仿宋"/>
          <w:color w:val="auto"/>
          <w:highlight w:val="none"/>
        </w:rPr>
      </w:pPr>
    </w:p>
    <w:p w14:paraId="574002CB">
      <w:pPr>
        <w:pageBreakBefore w:val="0"/>
        <w:kinsoku/>
        <w:wordWrap/>
        <w:overflowPunct/>
        <w:topLinePunct w:val="0"/>
        <w:bidi w:val="0"/>
        <w:snapToGrid/>
        <w:spacing w:line="300" w:lineRule="auto"/>
        <w:rPr>
          <w:rFonts w:hint="eastAsia" w:ascii="仿宋" w:hAnsi="仿宋" w:eastAsia="仿宋" w:cs="仿宋"/>
          <w:color w:val="auto"/>
          <w:highlight w:val="none"/>
        </w:rPr>
      </w:pPr>
    </w:p>
    <w:p w14:paraId="37A75EC2">
      <w:pPr>
        <w:pageBreakBefore w:val="0"/>
        <w:kinsoku/>
        <w:wordWrap/>
        <w:overflowPunct/>
        <w:topLinePunct w:val="0"/>
        <w:bidi w:val="0"/>
        <w:snapToGrid/>
        <w:spacing w:line="300" w:lineRule="auto"/>
        <w:rPr>
          <w:rFonts w:hint="eastAsia" w:ascii="仿宋" w:hAnsi="仿宋" w:eastAsia="仿宋" w:cs="仿宋"/>
          <w:color w:val="auto"/>
          <w:highlight w:val="none"/>
        </w:rPr>
      </w:pPr>
    </w:p>
    <w:p w14:paraId="216CFAD8">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b/>
          <w:bCs w:val="0"/>
          <w:color w:val="auto"/>
          <w:highlight w:val="none"/>
        </w:rPr>
      </w:pPr>
      <w:r>
        <w:rPr>
          <w:rFonts w:hint="eastAsia" w:ascii="仿宋" w:hAnsi="仿宋" w:eastAsia="仿宋" w:cs="仿宋"/>
          <w:b/>
          <w:bCs w:val="0"/>
          <w:color w:val="auto"/>
          <w:highlight w:val="none"/>
        </w:rPr>
        <w:t>二、投标函（格式）</w:t>
      </w:r>
    </w:p>
    <w:p w14:paraId="3278374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z w:val="24"/>
          <w:szCs w:val="24"/>
          <w:highlight w:val="none"/>
          <w:lang w:eastAsia="zh-CN"/>
        </w:rPr>
        <w:t>浙江御达工程管理咨询有限公司</w:t>
      </w:r>
    </w:p>
    <w:p w14:paraId="2CC7EF07">
      <w:pPr>
        <w:keepNext w:val="0"/>
        <w:keepLines w:val="0"/>
        <w:pageBreakBefore w:val="0"/>
        <w:widowControl w:val="0"/>
        <w:kinsoku/>
        <w:wordWrap/>
        <w:overflowPunct/>
        <w:topLinePunct w:val="0"/>
        <w:autoSpaceDE w:val="0"/>
        <w:autoSpaceDN w:val="0"/>
        <w:bidi w:val="0"/>
        <w:adjustRightInd w:val="0"/>
        <w:snapToGrid/>
        <w:spacing w:line="360" w:lineRule="auto"/>
        <w:ind w:firstLine="384"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根据贵方</w:t>
      </w:r>
      <w:r>
        <w:rPr>
          <w:rFonts w:hint="eastAsia" w:ascii="仿宋" w:hAnsi="仿宋" w:eastAsia="仿宋" w:cs="仿宋"/>
          <w:color w:val="auto"/>
          <w:spacing w:val="8"/>
          <w:sz w:val="24"/>
          <w:szCs w:val="24"/>
          <w:highlight w:val="none"/>
          <w:u w:val="single"/>
        </w:rPr>
        <w:t xml:space="preserve">    </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single"/>
        </w:rPr>
        <w:t xml:space="preserve">  项目的</w:t>
      </w:r>
      <w:r>
        <w:rPr>
          <w:rFonts w:hint="eastAsia" w:ascii="仿宋" w:hAnsi="仿宋" w:eastAsia="仿宋" w:cs="仿宋"/>
          <w:color w:val="auto"/>
          <w:spacing w:val="8"/>
          <w:sz w:val="24"/>
          <w:szCs w:val="24"/>
          <w:highlight w:val="none"/>
        </w:rPr>
        <w:t>招标文件（编号：</w:t>
      </w:r>
      <w:r>
        <w:rPr>
          <w:rFonts w:hint="eastAsia" w:ascii="仿宋" w:hAnsi="仿宋" w:eastAsia="仿宋" w:cs="仿宋"/>
          <w:color w:val="auto"/>
          <w:spacing w:val="8"/>
          <w:sz w:val="24"/>
          <w:szCs w:val="24"/>
          <w:highlight w:val="none"/>
          <w:lang w:val="en-US" w:eastAsia="zh-CN"/>
        </w:rPr>
        <w:t>诸御达</w:t>
      </w:r>
      <w:r>
        <w:rPr>
          <w:rFonts w:hint="eastAsia" w:ascii="仿宋" w:hAnsi="仿宋" w:eastAsia="仿宋" w:cs="仿宋"/>
          <w:color w:val="auto"/>
          <w:spacing w:val="8"/>
          <w:sz w:val="24"/>
          <w:szCs w:val="24"/>
          <w:highlight w:val="none"/>
          <w:lang w:eastAsia="zh-CN"/>
        </w:rPr>
        <w:t>20</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rPr>
        <w:t xml:space="preserve">-**-**）有关要求， </w:t>
      </w:r>
      <w:r>
        <w:rPr>
          <w:rFonts w:hint="eastAsia" w:ascii="仿宋" w:hAnsi="仿宋" w:eastAsia="仿宋" w:cs="仿宋"/>
          <w:color w:val="auto"/>
          <w:spacing w:val="8"/>
          <w:sz w:val="24"/>
          <w:szCs w:val="24"/>
          <w:highlight w:val="none"/>
          <w:u w:val="single"/>
        </w:rPr>
        <w:t xml:space="preserve">   　　（投标人全称）       </w:t>
      </w:r>
      <w:r>
        <w:rPr>
          <w:rFonts w:hint="eastAsia" w:ascii="仿宋" w:hAnsi="仿宋" w:eastAsia="仿宋" w:cs="仿宋"/>
          <w:color w:val="auto"/>
          <w:spacing w:val="8"/>
          <w:sz w:val="24"/>
          <w:szCs w:val="24"/>
          <w:highlight w:val="none"/>
        </w:rPr>
        <w:t>授权</w:t>
      </w:r>
      <w:r>
        <w:rPr>
          <w:rFonts w:hint="eastAsia" w:ascii="仿宋" w:hAnsi="仿宋" w:eastAsia="仿宋" w:cs="仿宋"/>
          <w:color w:val="auto"/>
          <w:spacing w:val="8"/>
          <w:sz w:val="24"/>
          <w:szCs w:val="24"/>
          <w:highlight w:val="none"/>
          <w:u w:val="single"/>
        </w:rPr>
        <w:t xml:space="preserve">     （委托代理人姓名）   </w:t>
      </w:r>
      <w:r>
        <w:rPr>
          <w:rFonts w:hint="eastAsia" w:ascii="仿宋" w:hAnsi="仿宋" w:eastAsia="仿宋" w:cs="仿宋"/>
          <w:color w:val="auto"/>
          <w:sz w:val="24"/>
          <w:szCs w:val="24"/>
          <w:highlight w:val="none"/>
        </w:rPr>
        <w:t>为全权代表，参加贵方组织的招标采购活动，并进行投标。为此：</w:t>
      </w:r>
    </w:p>
    <w:p w14:paraId="0778A2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1、我方已详细研读了全部招标文件，包括修改文件（如有的话）以及全部参考资料和有关附件等，</w:t>
      </w:r>
      <w:r>
        <w:rPr>
          <w:rFonts w:hint="eastAsia" w:ascii="仿宋" w:hAnsi="仿宋" w:eastAsia="仿宋" w:cs="仿宋"/>
          <w:bCs/>
          <w:color w:val="auto"/>
          <w:sz w:val="24"/>
          <w:szCs w:val="24"/>
          <w:highlight w:val="none"/>
        </w:rPr>
        <w:t>完全理解并接受招标文件的各项规定和要求，对招标文件的合理性、合法性不再有异议。</w:t>
      </w:r>
    </w:p>
    <w:p w14:paraId="3431FC52">
      <w:pPr>
        <w:keepNext w:val="0"/>
        <w:keepLines w:val="0"/>
        <w:pageBreakBefore w:val="0"/>
        <w:widowControl w:val="0"/>
        <w:tabs>
          <w:tab w:val="left" w:pos="900"/>
        </w:tabs>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2、我方承诺本投标文件在开标之日起至投标有效期满均具有约束力，并严格遵守投标文件中的承诺。</w:t>
      </w:r>
    </w:p>
    <w:p w14:paraId="06B3F30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3、我方承诺已经具备招标文件中规定的参加本项目的供应商资格条件。</w:t>
      </w:r>
    </w:p>
    <w:p w14:paraId="535A79A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4、我方严格按照招标文件的规定报价，并提供招标文件规定的全部投标文件。</w:t>
      </w:r>
    </w:p>
    <w:p w14:paraId="3263D23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5、如我方中标，投标文件将作为本项目合同的组成部分，直到合同履行完毕均保持有效，我方将按招标文件及</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法律、法规的规定履行合同责任和义务。</w:t>
      </w:r>
    </w:p>
    <w:p w14:paraId="4E5A87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6、我方完全理解贵方不一定接受最低价的投标。</w:t>
      </w:r>
    </w:p>
    <w:p w14:paraId="3841E6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7、我方同意向贵方提供任何与该项投标有关的一切数据或资料。若贵方需要，我方愿意提供我方作出的一切承诺的证明材料。</w:t>
      </w:r>
    </w:p>
    <w:p w14:paraId="66DEA43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8、与本次投标有关的一切正式往来通讯，请寄：</w:t>
      </w:r>
    </w:p>
    <w:p w14:paraId="32329254">
      <w:pPr>
        <w:keepNext w:val="0"/>
        <w:keepLines w:val="0"/>
        <w:pageBreakBefore w:val="0"/>
        <w:widowControl w:val="0"/>
        <w:kinsoku/>
        <w:wordWrap/>
        <w:overflowPunct/>
        <w:topLinePunct w:val="0"/>
        <w:autoSpaceDE w:val="0"/>
        <w:autoSpaceDN w:val="0"/>
        <w:bidi w:val="0"/>
        <w:adjustRightInd w:val="0"/>
        <w:snapToGrid/>
        <w:spacing w:line="360" w:lineRule="auto"/>
        <w:ind w:firstLine="425"/>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single"/>
        </w:rPr>
        <w:t xml:space="preserve">                     </w:t>
      </w:r>
    </w:p>
    <w:p w14:paraId="19D241D7">
      <w:pPr>
        <w:keepNext w:val="0"/>
        <w:keepLines w:val="0"/>
        <w:pageBreakBefore w:val="0"/>
        <w:widowControl w:val="0"/>
        <w:kinsoku/>
        <w:wordWrap/>
        <w:overflowPunct/>
        <w:topLinePunct w:val="0"/>
        <w:autoSpaceDE w:val="0"/>
        <w:autoSpaceDN w:val="0"/>
        <w:bidi w:val="0"/>
        <w:adjustRightInd w:val="0"/>
        <w:snapToGrid/>
        <w:spacing w:line="360" w:lineRule="auto"/>
        <w:ind w:firstLine="425"/>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p>
    <w:p w14:paraId="045FF69E">
      <w:pPr>
        <w:keepNext w:val="0"/>
        <w:keepLines w:val="0"/>
        <w:pageBreakBefore w:val="0"/>
        <w:widowControl w:val="0"/>
        <w:kinsoku/>
        <w:wordWrap/>
        <w:overflowPunct/>
        <w:topLinePunct w:val="0"/>
        <w:autoSpaceDE w:val="0"/>
        <w:autoSpaceDN w:val="0"/>
        <w:bidi w:val="0"/>
        <w:adjustRightInd w:val="0"/>
        <w:snapToGrid/>
        <w:spacing w:line="360" w:lineRule="auto"/>
        <w:ind w:firstLine="425"/>
        <w:textAlignment w:val="auto"/>
        <w:rPr>
          <w:rFonts w:hint="eastAsia" w:ascii="仿宋" w:hAnsi="仿宋" w:eastAsia="仿宋" w:cs="仿宋"/>
          <w:color w:val="auto"/>
          <w:sz w:val="28"/>
          <w:szCs w:val="28"/>
          <w:highlight w:val="none"/>
        </w:rPr>
      </w:pPr>
    </w:p>
    <w:p w14:paraId="7919DAD1">
      <w:pPr>
        <w:keepNext w:val="0"/>
        <w:keepLines w:val="0"/>
        <w:pageBreakBefore w:val="0"/>
        <w:widowControl w:val="0"/>
        <w:kinsoku/>
        <w:wordWrap/>
        <w:overflowPunct/>
        <w:topLinePunct w:val="0"/>
        <w:autoSpaceDE w:val="0"/>
        <w:autoSpaceDN w:val="0"/>
        <w:bidi w:val="0"/>
        <w:adjustRightInd w:val="0"/>
        <w:snapToGrid/>
        <w:spacing w:line="360" w:lineRule="auto"/>
        <w:ind w:firstLine="42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olor w:val="auto"/>
          <w:sz w:val="28"/>
          <w:szCs w:val="28"/>
          <w:highlight w:val="none"/>
        </w:rPr>
        <w:t>投标人全称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（盖单位公章）       </w:t>
      </w:r>
    </w:p>
    <w:p w14:paraId="2B81C14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8"/>
          <w:szCs w:val="28"/>
          <w:highlight w:val="none"/>
          <w:u w:val="single"/>
        </w:rPr>
      </w:pPr>
    </w:p>
    <w:p w14:paraId="7ADD1D41">
      <w:pPr>
        <w:keepNext w:val="0"/>
        <w:keepLines w:val="0"/>
        <w:pageBreakBefore w:val="0"/>
        <w:widowControl w:val="0"/>
        <w:kinsoku/>
        <w:wordWrap/>
        <w:overflowPunct/>
        <w:topLinePunct w:val="0"/>
        <w:autoSpaceDE w:val="0"/>
        <w:autoSpaceDN w:val="0"/>
        <w:bidi w:val="0"/>
        <w:adjustRightInd w:val="0"/>
        <w:snapToGrid/>
        <w:spacing w:line="360" w:lineRule="auto"/>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ECA60E2">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p>
    <w:p w14:paraId="29C599C4">
      <w:pPr>
        <w:pStyle w:val="5"/>
        <w:pageBreakBefore w:val="0"/>
        <w:widowControl w:val="0"/>
        <w:kinsoku/>
        <w:wordWrap/>
        <w:overflowPunct/>
        <w:topLinePunct w:val="0"/>
        <w:bidi w:val="0"/>
        <w:snapToGrid/>
        <w:spacing w:before="0" w:beforeLines="0" w:after="0" w:afterLines="0" w:line="360" w:lineRule="auto"/>
        <w:jc w:val="center"/>
        <w:textAlignment w:val="auto"/>
        <w:rPr>
          <w:rFonts w:hint="eastAsia" w:ascii="仿宋" w:hAnsi="仿宋" w:eastAsia="仿宋" w:cs="仿宋"/>
          <w:b/>
          <w:bCs w:val="0"/>
          <w:color w:val="auto"/>
          <w:highlight w:val="none"/>
        </w:rPr>
      </w:pPr>
      <w:r>
        <w:rPr>
          <w:rFonts w:hint="eastAsia" w:ascii="仿宋" w:hAnsi="仿宋" w:eastAsia="仿宋" w:cs="仿宋"/>
          <w:b/>
          <w:bCs w:val="0"/>
          <w:color w:val="auto"/>
          <w:highlight w:val="none"/>
        </w:rPr>
        <w:t>三、授权委托书（格式）</w:t>
      </w:r>
    </w:p>
    <w:p w14:paraId="6D0C6957">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z w:val="24"/>
          <w:szCs w:val="24"/>
          <w:highlight w:val="none"/>
          <w:lang w:eastAsia="zh-CN"/>
        </w:rPr>
        <w:t>浙江御达工程管理咨询有限公司</w:t>
      </w:r>
    </w:p>
    <w:p w14:paraId="680DF866">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(投标人名称)　　　</w:t>
      </w:r>
      <w:r>
        <w:rPr>
          <w:rFonts w:hint="eastAsia" w:ascii="仿宋" w:hAnsi="仿宋" w:eastAsia="仿宋" w:cs="仿宋"/>
          <w:color w:val="auto"/>
          <w:sz w:val="24"/>
          <w:szCs w:val="24"/>
          <w:highlight w:val="none"/>
        </w:rPr>
        <w:t>的法定代表人，现授权委托本单位在职职工</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，以我方的名义参加贵中心组织的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的投标活动，并代表我方全权办理针对上述项目的投标、开标、评标、签约等具体事务和签署相关文件。</w:t>
      </w:r>
    </w:p>
    <w:p w14:paraId="19CD0B9E">
      <w:pPr>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我方对被授权人的签名事项负全部责任。</w:t>
      </w:r>
    </w:p>
    <w:p w14:paraId="42DB0600">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47CBE847">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被授权人无转委托权，特此委托。</w:t>
      </w:r>
    </w:p>
    <w:p w14:paraId="6D9E60BC">
      <w:pPr>
        <w:spacing w:line="420" w:lineRule="exact"/>
        <w:ind w:firstLine="472" w:firstLineChars="196"/>
        <w:rPr>
          <w:rFonts w:hint="eastAsia" w:ascii="仿宋" w:hAnsi="仿宋" w:eastAsia="仿宋"/>
          <w:b/>
          <w:bCs w:val="0"/>
          <w:i/>
          <w:color w:val="auto"/>
          <w:sz w:val="24"/>
          <w:szCs w:val="24"/>
          <w:highlight w:val="none"/>
          <w:u w:val="single"/>
        </w:rPr>
      </w:pPr>
    </w:p>
    <w:p w14:paraId="66FDD36E">
      <w:pPr>
        <w:spacing w:line="420" w:lineRule="exact"/>
        <w:ind w:firstLine="472" w:firstLineChars="196"/>
        <w:rPr>
          <w:rFonts w:hint="eastAsia" w:ascii="仿宋" w:hAnsi="仿宋" w:eastAsia="仿宋"/>
          <w:b/>
          <w:bCs w:val="0"/>
          <w:i/>
          <w:color w:val="auto"/>
          <w:sz w:val="24"/>
          <w:szCs w:val="24"/>
          <w:highlight w:val="none"/>
          <w:u w:val="single"/>
        </w:rPr>
      </w:pPr>
      <w:r>
        <w:rPr>
          <w:rFonts w:hint="eastAsia" w:ascii="仿宋" w:hAnsi="仿宋" w:eastAsia="仿宋"/>
          <w:b/>
          <w:bCs w:val="0"/>
          <w:i/>
          <w:color w:val="auto"/>
          <w:sz w:val="24"/>
          <w:szCs w:val="24"/>
          <w:highlight w:val="none"/>
          <w:u w:val="single"/>
        </w:rPr>
        <w:t>注：《授权委托书》须后附法定代表人和被授权人的身份证（正反面）复印件（加盖单位公章）。</w:t>
      </w:r>
    </w:p>
    <w:p w14:paraId="16BB39A4">
      <w:pPr>
        <w:pageBreakBefore w:val="0"/>
        <w:kinsoku/>
        <w:wordWrap/>
        <w:overflowPunct/>
        <w:topLinePunct w:val="0"/>
        <w:bidi w:val="0"/>
        <w:snapToGrid/>
        <w:spacing w:line="300" w:lineRule="auto"/>
        <w:rPr>
          <w:rFonts w:hint="eastAsia" w:ascii="仿宋" w:hAnsi="仿宋" w:eastAsia="仿宋"/>
          <w:color w:val="auto"/>
          <w:sz w:val="24"/>
          <w:szCs w:val="24"/>
          <w:highlight w:val="none"/>
        </w:rPr>
      </w:pPr>
    </w:p>
    <w:p w14:paraId="2B9BF1FE">
      <w:pPr>
        <w:pageBreakBefore w:val="0"/>
        <w:kinsoku/>
        <w:wordWrap/>
        <w:overflowPunct/>
        <w:topLinePunct w:val="0"/>
        <w:bidi w:val="0"/>
        <w:snapToGrid/>
        <w:spacing w:line="300" w:lineRule="auto"/>
        <w:ind w:firstLine="2640" w:firstLineChars="1100"/>
        <w:rPr>
          <w:rFonts w:hint="eastAsia" w:ascii="仿宋" w:hAnsi="仿宋" w:eastAsia="仿宋"/>
          <w:color w:val="auto"/>
          <w:sz w:val="24"/>
          <w:szCs w:val="24"/>
          <w:highlight w:val="none"/>
        </w:rPr>
      </w:pPr>
    </w:p>
    <w:p w14:paraId="71396528">
      <w:pPr>
        <w:pageBreakBefore w:val="0"/>
        <w:kinsoku/>
        <w:wordWrap/>
        <w:overflowPunct/>
        <w:topLinePunct w:val="0"/>
        <w:bidi w:val="0"/>
        <w:snapToGrid/>
        <w:spacing w:line="300" w:lineRule="auto"/>
        <w:ind w:firstLine="2640" w:firstLineChars="1100"/>
        <w:rPr>
          <w:rFonts w:hint="eastAsia" w:ascii="仿宋" w:hAnsi="仿宋" w:eastAsia="仿宋"/>
          <w:color w:val="auto"/>
          <w:sz w:val="24"/>
          <w:szCs w:val="24"/>
          <w:highlight w:val="none"/>
        </w:rPr>
      </w:pPr>
    </w:p>
    <w:p w14:paraId="7F429669">
      <w:pPr>
        <w:pageBreakBefore w:val="0"/>
        <w:kinsoku/>
        <w:wordWrap/>
        <w:overflowPunct/>
        <w:topLinePunct w:val="0"/>
        <w:bidi w:val="0"/>
        <w:snapToGrid/>
        <w:spacing w:line="300" w:lineRule="auto"/>
        <w:ind w:firstLine="2640" w:firstLineChars="1100"/>
        <w:rPr>
          <w:rFonts w:hint="eastAsia" w:ascii="仿宋" w:hAnsi="仿宋" w:eastAsia="仿宋"/>
          <w:color w:val="auto"/>
          <w:sz w:val="24"/>
          <w:szCs w:val="24"/>
          <w:highlight w:val="none"/>
        </w:rPr>
      </w:pPr>
    </w:p>
    <w:p w14:paraId="37117429">
      <w:pPr>
        <w:pageBreakBefore w:val="0"/>
        <w:kinsoku/>
        <w:wordWrap/>
        <w:overflowPunct/>
        <w:topLinePunct w:val="0"/>
        <w:bidi w:val="0"/>
        <w:snapToGrid/>
        <w:spacing w:line="300" w:lineRule="auto"/>
        <w:ind w:firstLine="1960" w:firstLineChars="700"/>
        <w:rPr>
          <w:rFonts w:hint="eastAsia" w:ascii="仿宋" w:hAnsi="仿宋" w:eastAsia="仿宋" w:cs="仿宋"/>
          <w:color w:val="auto"/>
          <w:sz w:val="28"/>
          <w:szCs w:val="28"/>
          <w:highlight w:val="none"/>
          <w:lang w:val="en-US" w:eastAsia="zh-CN"/>
        </w:rPr>
      </w:pPr>
      <w:r>
        <w:rPr>
          <w:rFonts w:hint="eastAsia" w:ascii="仿宋" w:hAnsi="仿宋" w:eastAsia="仿宋"/>
          <w:color w:val="auto"/>
          <w:sz w:val="28"/>
          <w:szCs w:val="28"/>
          <w:highlight w:val="none"/>
        </w:rPr>
        <w:t>投标人全称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（盖单位公章）</w:t>
      </w:r>
      <w:r>
        <w:rPr>
          <w:rFonts w:hint="eastAsia" w:ascii="仿宋" w:hAnsi="仿宋" w:eastAsia="仿宋" w:cs="仿宋"/>
          <w:color w:val="auto"/>
          <w:sz w:val="28"/>
          <w:szCs w:val="28"/>
          <w:highlight w:val="none"/>
          <w:u w:val="single"/>
          <w:lang w:val="en-US" w:eastAsia="zh-CN"/>
        </w:rPr>
        <w:t xml:space="preserve">    </w:t>
      </w:r>
    </w:p>
    <w:p w14:paraId="550ACF9B">
      <w:pPr>
        <w:pageBreakBefore w:val="0"/>
        <w:kinsoku/>
        <w:wordWrap/>
        <w:overflowPunct/>
        <w:topLinePunct w:val="0"/>
        <w:bidi w:val="0"/>
        <w:snapToGrid/>
        <w:spacing w:line="300" w:lineRule="auto"/>
        <w:rPr>
          <w:rFonts w:hint="eastAsia" w:ascii="仿宋" w:hAnsi="仿宋" w:eastAsia="仿宋" w:cs="仿宋"/>
          <w:color w:val="auto"/>
          <w:sz w:val="28"/>
          <w:szCs w:val="28"/>
          <w:highlight w:val="none"/>
        </w:rPr>
      </w:pPr>
    </w:p>
    <w:p w14:paraId="4EB14EBB">
      <w:pPr>
        <w:pageBreakBefore w:val="0"/>
        <w:kinsoku/>
        <w:wordWrap/>
        <w:overflowPunct/>
        <w:topLinePunct w:val="0"/>
        <w:bidi w:val="0"/>
        <w:snapToGrid/>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A9F17EE">
      <w:pPr>
        <w:spacing w:line="420" w:lineRule="exact"/>
        <w:rPr>
          <w:rFonts w:hint="eastAsia" w:ascii="仿宋" w:hAnsi="仿宋" w:eastAsia="仿宋"/>
          <w:b/>
          <w:bCs/>
          <w:i/>
          <w:color w:val="auto"/>
          <w:spacing w:val="-6"/>
          <w:sz w:val="24"/>
          <w:szCs w:val="24"/>
          <w:highlight w:val="none"/>
          <w:u w:val="single"/>
        </w:rPr>
      </w:pPr>
    </w:p>
    <w:p w14:paraId="179D8F6A">
      <w:pPr>
        <w:spacing w:line="420" w:lineRule="exact"/>
        <w:rPr>
          <w:rFonts w:ascii="仿宋" w:hAnsi="仿宋" w:eastAsia="仿宋"/>
          <w:b/>
          <w:i/>
          <w:color w:val="auto"/>
          <w:sz w:val="24"/>
          <w:szCs w:val="24"/>
          <w:highlight w:val="none"/>
          <w:u w:val="single"/>
        </w:rPr>
      </w:pPr>
      <w:r>
        <w:rPr>
          <w:rFonts w:hint="eastAsia" w:ascii="仿宋" w:hAnsi="仿宋" w:eastAsia="仿宋"/>
          <w:b/>
          <w:bCs/>
          <w:i/>
          <w:color w:val="auto"/>
          <w:spacing w:val="-6"/>
          <w:sz w:val="24"/>
          <w:szCs w:val="24"/>
          <w:highlight w:val="none"/>
          <w:u w:val="single"/>
        </w:rPr>
        <w:t>说明：</w:t>
      </w:r>
    </w:p>
    <w:p w14:paraId="0495BB1D">
      <w:pPr>
        <w:spacing w:line="420" w:lineRule="exact"/>
        <w:rPr>
          <w:rFonts w:ascii="仿宋" w:hAnsi="仿宋" w:eastAsia="仿宋" w:cs="Times New Roman"/>
          <w:bCs/>
          <w:i/>
          <w:color w:val="auto"/>
          <w:sz w:val="24"/>
          <w:highlight w:val="none"/>
          <w:u w:val="single"/>
        </w:rPr>
        <w:sectPr>
          <w:pgSz w:w="11905" w:h="16838"/>
          <w:pgMar w:top="1474" w:right="1814" w:bottom="1474" w:left="1814" w:header="850" w:footer="907"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仿宋" w:hAnsi="仿宋" w:eastAsia="仿宋"/>
          <w:bCs/>
          <w:i/>
          <w:color w:val="auto"/>
          <w:sz w:val="24"/>
          <w:szCs w:val="24"/>
          <w:highlight w:val="none"/>
          <w:u w:val="single"/>
        </w:rPr>
        <w:t>1、</w:t>
      </w:r>
      <w:r>
        <w:rPr>
          <w:rFonts w:ascii="仿宋" w:hAnsi="仿宋" w:eastAsia="仿宋"/>
          <w:bCs/>
          <w:i/>
          <w:color w:val="auto"/>
          <w:sz w:val="24"/>
          <w:szCs w:val="24"/>
          <w:highlight w:val="none"/>
          <w:u w:val="single"/>
        </w:rPr>
        <w:t>投标人代表为法定代表人的，只需提供法定代表人身份证（正反面）复印件（加盖单位公章）。</w:t>
      </w:r>
      <w:r>
        <w:rPr>
          <w:rFonts w:hint="eastAsia" w:ascii="仿宋" w:hAnsi="仿宋" w:eastAsia="仿宋"/>
          <w:bCs/>
          <w:i/>
          <w:color w:val="auto"/>
          <w:sz w:val="24"/>
          <w:szCs w:val="24"/>
          <w:highlight w:val="none"/>
          <w:u w:val="single"/>
        </w:rPr>
        <w:t>2、</w:t>
      </w:r>
      <w:r>
        <w:rPr>
          <w:rFonts w:ascii="仿宋" w:hAnsi="仿宋" w:eastAsia="仿宋"/>
          <w:bCs/>
          <w:i/>
          <w:color w:val="auto"/>
          <w:sz w:val="24"/>
          <w:highlight w:val="none"/>
          <w:u w:val="single"/>
        </w:rPr>
        <w:t>投标人代表不是法定代表人的，</w:t>
      </w:r>
      <w:r>
        <w:rPr>
          <w:rFonts w:hint="eastAsia" w:ascii="仿宋" w:hAnsi="仿宋" w:eastAsia="仿宋" w:cs="Times New Roman"/>
          <w:bCs/>
          <w:i/>
          <w:color w:val="auto"/>
          <w:sz w:val="24"/>
          <w:highlight w:val="none"/>
          <w:u w:val="single"/>
          <w:lang w:val="en-US" w:eastAsia="zh-CN"/>
        </w:rPr>
        <w:t>应当</w:t>
      </w:r>
      <w:r>
        <w:rPr>
          <w:rFonts w:hint="eastAsia" w:ascii="仿宋" w:hAnsi="仿宋" w:eastAsia="仿宋" w:cs="Times New Roman"/>
          <w:bCs/>
          <w:i/>
          <w:color w:val="auto"/>
          <w:sz w:val="24"/>
          <w:highlight w:val="none"/>
          <w:u w:val="single"/>
        </w:rPr>
        <w:t>按本格式要求编制、提交《授权委托书》</w:t>
      </w:r>
      <w:r>
        <w:rPr>
          <w:rFonts w:ascii="仿宋" w:hAnsi="仿宋" w:eastAsia="仿宋" w:cs="Times New Roman"/>
          <w:bCs/>
          <w:i/>
          <w:color w:val="auto"/>
          <w:sz w:val="24"/>
          <w:highlight w:val="none"/>
          <w:u w:val="single"/>
        </w:rPr>
        <w:t>。</w:t>
      </w:r>
    </w:p>
    <w:p w14:paraId="5D89E845">
      <w:pPr>
        <w:pStyle w:val="5"/>
        <w:keepNext/>
        <w:keepLines/>
        <w:pageBreakBefore w:val="0"/>
        <w:widowControl w:val="0"/>
        <w:kinsoku/>
        <w:wordWrap/>
        <w:overflowPunct/>
        <w:topLinePunct w:val="0"/>
        <w:autoSpaceDE/>
        <w:autoSpaceDN/>
        <w:bidi w:val="0"/>
        <w:adjustRightInd/>
        <w:snapToGrid/>
        <w:spacing w:before="0" w:beforeLines="0" w:after="0" w:afterLines="0" w:line="300" w:lineRule="auto"/>
        <w:jc w:val="center"/>
        <w:textAlignment w:val="auto"/>
        <w:rPr>
          <w:rFonts w:hint="eastAsia" w:ascii="仿宋" w:hAnsi="仿宋" w:eastAsia="仿宋" w:cs="仿宋"/>
          <w:b/>
          <w:bCs w:val="0"/>
          <w:color w:val="auto"/>
          <w:sz w:val="28"/>
          <w:highlight w:val="none"/>
        </w:rPr>
      </w:pPr>
      <w:r>
        <w:rPr>
          <w:rFonts w:hint="eastAsia" w:ascii="仿宋" w:hAnsi="仿宋" w:eastAsia="仿宋" w:cs="仿宋"/>
          <w:b/>
          <w:bCs w:val="0"/>
          <w:color w:val="auto"/>
          <w:sz w:val="36"/>
          <w:szCs w:val="36"/>
          <w:highlight w:val="none"/>
        </w:rPr>
        <w:t>四、开标一览表（格式）</w:t>
      </w:r>
    </w:p>
    <w:p w14:paraId="16F8C106">
      <w:pPr>
        <w:pStyle w:val="5"/>
        <w:spacing w:before="0" w:after="312" w:afterLines="100" w:line="500" w:lineRule="exact"/>
        <w:jc w:val="center"/>
        <w:rPr>
          <w:rFonts w:hint="eastAsia" w:ascii="仿宋" w:hAnsi="仿宋" w:eastAsia="仿宋" w:cs="仿宋"/>
          <w:b/>
          <w:bCs w:val="0"/>
          <w:color w:val="auto"/>
          <w:sz w:val="28"/>
          <w:highlight w:val="none"/>
        </w:rPr>
      </w:pPr>
      <w:r>
        <w:rPr>
          <w:rFonts w:hint="eastAsia" w:ascii="仿宋" w:hAnsi="仿宋" w:eastAsia="仿宋" w:cs="仿宋"/>
          <w:color w:val="auto"/>
          <w:sz w:val="28"/>
          <w:szCs w:val="28"/>
        </w:rPr>
        <w:t>1、开标一览表（</w:t>
      </w:r>
      <w:r>
        <w:rPr>
          <w:rFonts w:hint="eastAsia" w:ascii="仿宋" w:hAnsi="仿宋" w:eastAsia="仿宋" w:cs="仿宋"/>
          <w:color w:val="auto"/>
          <w:sz w:val="28"/>
          <w:szCs w:val="28"/>
          <w:u w:val="single"/>
        </w:rPr>
        <w:t>标项1</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rPr>
        <w:t>）</w:t>
      </w:r>
    </w:p>
    <w:p w14:paraId="5D3B51FB">
      <w:pPr>
        <w:pageBreakBefore w:val="0"/>
        <w:kinsoku/>
        <w:wordWrap/>
        <w:overflowPunct/>
        <w:topLinePunct w:val="0"/>
        <w:autoSpaceDE/>
        <w:autoSpaceDN/>
        <w:bidi w:val="0"/>
        <w:snapToGrid/>
        <w:spacing w:line="300" w:lineRule="auto"/>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项目名称：</w:t>
      </w:r>
    </w:p>
    <w:p w14:paraId="0B2FE21B">
      <w:pPr>
        <w:pageBreakBefore w:val="0"/>
        <w:kinsoku/>
        <w:wordWrap/>
        <w:overflowPunct/>
        <w:topLinePunct w:val="0"/>
        <w:autoSpaceDE/>
        <w:autoSpaceDN/>
        <w:bidi w:val="0"/>
        <w:snapToGrid/>
        <w:spacing w:line="300" w:lineRule="auto"/>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项目编号：诸御达 20**-**-**</w:t>
      </w:r>
    </w:p>
    <w:p w14:paraId="58AEF820">
      <w:pPr>
        <w:pageBreakBefore w:val="0"/>
        <w:kinsoku/>
        <w:wordWrap/>
        <w:overflowPunct/>
        <w:topLinePunct w:val="0"/>
        <w:autoSpaceDE/>
        <w:autoSpaceDN/>
        <w:bidi w:val="0"/>
        <w:snapToGrid/>
        <w:spacing w:line="300" w:lineRule="auto"/>
        <w:jc w:val="both"/>
        <w:rPr>
          <w:rFonts w:hint="eastAsia" w:ascii="仿宋" w:hAnsi="仿宋" w:eastAsia="仿宋" w:cs="仿宋"/>
          <w:color w:val="auto"/>
          <w:kern w:val="0"/>
          <w:sz w:val="24"/>
          <w:szCs w:val="24"/>
          <w:lang w:val="en-US" w:eastAsia="zh-CN" w:bidi="ar-SA"/>
        </w:rPr>
      </w:pPr>
    </w:p>
    <w:tbl>
      <w:tblPr>
        <w:tblStyle w:val="2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14:paraId="172F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noWrap w:val="0"/>
            <w:vAlign w:val="center"/>
          </w:tcPr>
          <w:p w14:paraId="57360C13">
            <w:pPr>
              <w:pageBreakBefore w:val="0"/>
              <w:kinsoku/>
              <w:wordWrap/>
              <w:overflowPunct/>
              <w:topLinePunct w:val="0"/>
              <w:autoSpaceDE/>
              <w:autoSpaceDN/>
              <w:bidi w:val="0"/>
              <w:snapToGrid/>
              <w:spacing w:line="300" w:lineRule="auto"/>
              <w:ind w:firstLine="240" w:firstLineChars="1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标项</w:t>
            </w:r>
          </w:p>
        </w:tc>
        <w:tc>
          <w:tcPr>
            <w:tcW w:w="3402" w:type="dxa"/>
            <w:vMerge w:val="restart"/>
            <w:noWrap w:val="0"/>
            <w:vAlign w:val="center"/>
          </w:tcPr>
          <w:p w14:paraId="0531A2BC">
            <w:pPr>
              <w:pageBreakBefore w:val="0"/>
              <w:kinsoku/>
              <w:wordWrap/>
              <w:overflowPunct/>
              <w:topLinePunct w:val="0"/>
              <w:autoSpaceDE/>
              <w:autoSpaceDN/>
              <w:bidi w:val="0"/>
              <w:snapToGrid/>
              <w:spacing w:line="300" w:lineRule="auto"/>
              <w:ind w:firstLine="960" w:firstLineChars="4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标项内容</w:t>
            </w:r>
          </w:p>
        </w:tc>
        <w:tc>
          <w:tcPr>
            <w:tcW w:w="5268" w:type="dxa"/>
            <w:gridSpan w:val="2"/>
            <w:noWrap w:val="0"/>
            <w:vAlign w:val="center"/>
          </w:tcPr>
          <w:p w14:paraId="3E722D0A">
            <w:pPr>
              <w:pageBreakBefore w:val="0"/>
              <w:kinsoku/>
              <w:wordWrap/>
              <w:overflowPunct/>
              <w:topLinePunct w:val="0"/>
              <w:autoSpaceDE/>
              <w:autoSpaceDN/>
              <w:bidi w:val="0"/>
              <w:snapToGrid/>
              <w:spacing w:line="300" w:lineRule="auto"/>
              <w:ind w:firstLine="1920" w:firstLineChars="8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投标报价（%）</w:t>
            </w:r>
          </w:p>
        </w:tc>
      </w:tr>
      <w:tr w14:paraId="1D99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60" w:type="dxa"/>
            <w:vMerge w:val="continue"/>
            <w:noWrap w:val="0"/>
            <w:vAlign w:val="center"/>
          </w:tcPr>
          <w:p w14:paraId="366667B4">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p>
        </w:tc>
        <w:tc>
          <w:tcPr>
            <w:tcW w:w="3402" w:type="dxa"/>
            <w:vMerge w:val="continue"/>
            <w:noWrap w:val="0"/>
            <w:vAlign w:val="center"/>
          </w:tcPr>
          <w:p w14:paraId="5D5A8BD0">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p>
        </w:tc>
        <w:tc>
          <w:tcPr>
            <w:tcW w:w="1791" w:type="dxa"/>
            <w:noWrap w:val="0"/>
            <w:vAlign w:val="center"/>
          </w:tcPr>
          <w:p w14:paraId="3E792C12">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小写</w:t>
            </w:r>
          </w:p>
        </w:tc>
        <w:tc>
          <w:tcPr>
            <w:tcW w:w="3477" w:type="dxa"/>
            <w:noWrap w:val="0"/>
            <w:vAlign w:val="center"/>
          </w:tcPr>
          <w:p w14:paraId="784EAC93">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大写</w:t>
            </w:r>
          </w:p>
        </w:tc>
      </w:tr>
      <w:tr w14:paraId="4FF6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60" w:type="dxa"/>
            <w:noWrap w:val="0"/>
            <w:vAlign w:val="center"/>
          </w:tcPr>
          <w:p w14:paraId="597260E4">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8"/>
                <w:szCs w:val="28"/>
                <w:u w:val="none"/>
              </w:rPr>
              <w:t>标项1</w:t>
            </w:r>
          </w:p>
        </w:tc>
        <w:tc>
          <w:tcPr>
            <w:tcW w:w="3402" w:type="dxa"/>
            <w:noWrap w:val="0"/>
            <w:vAlign w:val="center"/>
          </w:tcPr>
          <w:p w14:paraId="696C45E7">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p>
        </w:tc>
        <w:tc>
          <w:tcPr>
            <w:tcW w:w="1791" w:type="dxa"/>
            <w:noWrap w:val="0"/>
            <w:vAlign w:val="center"/>
          </w:tcPr>
          <w:p w14:paraId="659C2B80">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_____%</w:t>
            </w:r>
          </w:p>
        </w:tc>
        <w:tc>
          <w:tcPr>
            <w:tcW w:w="3477" w:type="dxa"/>
            <w:noWrap w:val="0"/>
            <w:vAlign w:val="center"/>
          </w:tcPr>
          <w:p w14:paraId="346309D5">
            <w:pPr>
              <w:pageBreakBefore w:val="0"/>
              <w:kinsoku/>
              <w:wordWrap/>
              <w:overflowPunct/>
              <w:topLinePunct w:val="0"/>
              <w:autoSpaceDE/>
              <w:autoSpaceDN/>
              <w:bidi w:val="0"/>
              <w:snapToGrid/>
              <w:spacing w:line="300" w:lineRule="auto"/>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百分之_____</w:t>
            </w:r>
          </w:p>
        </w:tc>
      </w:tr>
    </w:tbl>
    <w:p w14:paraId="2991A276">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hint="eastAsia" w:ascii="仿宋" w:hAnsi="仿宋" w:eastAsia="仿宋"/>
          <w:color w:val="auto"/>
          <w:sz w:val="24"/>
          <w:szCs w:val="24"/>
          <w:highlight w:val="none"/>
          <w:lang w:val="en-US" w:eastAsia="zh-CN"/>
        </w:rPr>
      </w:pPr>
      <w:r>
        <w:rPr>
          <w:rFonts w:hint="eastAsia" w:ascii="仿宋" w:hAnsi="仿宋" w:eastAsia="仿宋" w:cs="仿宋"/>
          <w:color w:val="auto"/>
          <w:sz w:val="28"/>
          <w:highlight w:val="none"/>
        </w:rPr>
        <w:t xml:space="preserve"> </w:t>
      </w:r>
      <w:r>
        <w:rPr>
          <w:rFonts w:hint="eastAsia" w:ascii="仿宋" w:hAnsi="仿宋" w:eastAsia="仿宋"/>
          <w:color w:val="auto"/>
          <w:sz w:val="24"/>
          <w:szCs w:val="24"/>
          <w:highlight w:val="none"/>
          <w:lang w:val="en-US" w:eastAsia="zh-CN"/>
        </w:rPr>
        <w:t>注：本项目按折扣招标，最高折扣限价为80%，任何超过最高限价的报价将被认定为无效报价。</w:t>
      </w:r>
    </w:p>
    <w:p w14:paraId="675E56D7">
      <w:pPr>
        <w:pageBreakBefore w:val="0"/>
        <w:kinsoku/>
        <w:wordWrap/>
        <w:overflowPunct/>
        <w:topLinePunct w:val="0"/>
        <w:bidi w:val="0"/>
        <w:snapToGrid/>
        <w:spacing w:line="300" w:lineRule="auto"/>
        <w:ind w:firstLine="240" w:firstLineChars="100"/>
        <w:rPr>
          <w:rFonts w:hint="eastAsia" w:ascii="仿宋" w:hAnsi="仿宋" w:eastAsia="仿宋" w:cs="仿宋"/>
          <w:color w:val="auto"/>
          <w:sz w:val="28"/>
          <w:highlight w:val="none"/>
        </w:rPr>
      </w:pPr>
      <w:r>
        <w:rPr>
          <w:rFonts w:hint="eastAsia" w:ascii="仿宋" w:hAnsi="仿宋" w:eastAsia="仿宋"/>
          <w:color w:val="auto"/>
          <w:sz w:val="24"/>
          <w:szCs w:val="24"/>
          <w:highlight w:val="none"/>
        </w:rPr>
        <w:t>说明:此表在不改变格式要求的情况下，投标人可根据项目实际情况自行调整</w:t>
      </w:r>
      <w:r>
        <w:rPr>
          <w:rFonts w:hint="eastAsia" w:ascii="仿宋" w:hAnsi="仿宋" w:eastAsia="仿宋"/>
          <w:color w:val="auto"/>
          <w:sz w:val="24"/>
          <w:szCs w:val="24"/>
          <w:highlight w:val="none"/>
          <w:lang w:eastAsia="zh-CN"/>
        </w:rPr>
        <w:t>。</w:t>
      </w:r>
      <w:r>
        <w:rPr>
          <w:rFonts w:hint="eastAsia" w:ascii="仿宋" w:hAnsi="仿宋" w:eastAsia="仿宋" w:cs="仿宋"/>
          <w:color w:val="auto"/>
          <w:sz w:val="28"/>
          <w:highlight w:val="none"/>
        </w:rPr>
        <w:t xml:space="preserve">     </w:t>
      </w:r>
    </w:p>
    <w:p w14:paraId="245119CD">
      <w:pPr>
        <w:pageBreakBefore w:val="0"/>
        <w:kinsoku/>
        <w:wordWrap/>
        <w:overflowPunct/>
        <w:topLinePunct w:val="0"/>
        <w:bidi w:val="0"/>
        <w:snapToGrid/>
        <w:spacing w:line="300" w:lineRule="auto"/>
        <w:ind w:firstLine="280" w:firstLineChars="100"/>
        <w:rPr>
          <w:rFonts w:hint="eastAsia" w:ascii="仿宋" w:hAnsi="仿宋" w:eastAsia="仿宋" w:cs="仿宋"/>
          <w:color w:val="auto"/>
          <w:sz w:val="28"/>
          <w:highlight w:val="none"/>
        </w:rPr>
      </w:pPr>
    </w:p>
    <w:p w14:paraId="34F90F0F">
      <w:pPr>
        <w:pageBreakBefore w:val="0"/>
        <w:kinsoku/>
        <w:wordWrap/>
        <w:overflowPunct/>
        <w:topLinePunct w:val="0"/>
        <w:bidi w:val="0"/>
        <w:snapToGrid/>
        <w:spacing w:line="300" w:lineRule="auto"/>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投标人全称：</w:t>
      </w:r>
      <w:r>
        <w:rPr>
          <w:rFonts w:hint="eastAsia" w:ascii="仿宋" w:hAnsi="仿宋" w:eastAsia="仿宋" w:cs="仿宋"/>
          <w:color w:val="auto"/>
          <w:sz w:val="28"/>
          <w:highlight w:val="none"/>
          <w:u w:val="single"/>
        </w:rPr>
        <w:t xml:space="preserve">           　　（盖单位公章） </w:t>
      </w:r>
      <w:r>
        <w:rPr>
          <w:rFonts w:hint="eastAsia" w:ascii="仿宋" w:hAnsi="仿宋" w:eastAsia="仿宋" w:cs="仿宋"/>
          <w:color w:val="auto"/>
          <w:sz w:val="28"/>
          <w:highlight w:val="none"/>
        </w:rPr>
        <w:t xml:space="preserve">          </w:t>
      </w:r>
    </w:p>
    <w:p w14:paraId="27B27F5D">
      <w:pPr>
        <w:pageBreakBefore w:val="0"/>
        <w:kinsoku/>
        <w:wordWrap/>
        <w:overflowPunct/>
        <w:topLinePunct w:val="0"/>
        <w:bidi w:val="0"/>
        <w:snapToGrid/>
        <w:spacing w:line="300" w:lineRule="auto"/>
        <w:rPr>
          <w:rFonts w:hint="eastAsia" w:ascii="仿宋" w:hAnsi="仿宋" w:eastAsia="仿宋" w:cs="仿宋"/>
          <w:color w:val="auto"/>
          <w:sz w:val="28"/>
          <w:highlight w:val="none"/>
        </w:rPr>
      </w:pPr>
    </w:p>
    <w:p w14:paraId="51DD495A">
      <w:pPr>
        <w:pageBreakBefore w:val="0"/>
        <w:kinsoku/>
        <w:wordWrap/>
        <w:overflowPunct/>
        <w:topLinePunct w:val="0"/>
        <w:bidi w:val="0"/>
        <w:snapToGrid/>
        <w:spacing w:line="300" w:lineRule="auto"/>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日</w:t>
      </w:r>
    </w:p>
    <w:p w14:paraId="6F66A05F">
      <w:pPr>
        <w:pStyle w:val="28"/>
        <w:pageBreakBefore w:val="0"/>
        <w:kinsoku/>
        <w:wordWrap/>
        <w:overflowPunct/>
        <w:topLinePunct w:val="0"/>
        <w:bidi w:val="0"/>
        <w:snapToGrid/>
        <w:spacing w:after="0" w:afterLines="0" w:line="300" w:lineRule="auto"/>
        <w:ind w:left="0" w:leftChars="0" w:firstLine="0" w:firstLineChars="0"/>
        <w:rPr>
          <w:rFonts w:hint="eastAsia" w:ascii="仿宋" w:hAnsi="仿宋" w:eastAsia="仿宋" w:cs="仿宋"/>
          <w:color w:val="auto"/>
          <w:highlight w:val="none"/>
        </w:rPr>
      </w:pPr>
    </w:p>
    <w:p w14:paraId="3749D755">
      <w:pPr>
        <w:pageBreakBefore w:val="0"/>
        <w:kinsoku/>
        <w:wordWrap/>
        <w:overflowPunct/>
        <w:topLinePunct w:val="0"/>
        <w:bidi w:val="0"/>
        <w:snapToGrid/>
        <w:spacing w:line="300" w:lineRule="auto"/>
        <w:jc w:val="center"/>
        <w:rPr>
          <w:rFonts w:hint="eastAsia" w:ascii="仿宋" w:hAnsi="仿宋" w:eastAsia="仿宋" w:cs="仿宋"/>
          <w:b/>
          <w:color w:val="auto"/>
          <w:sz w:val="36"/>
          <w:szCs w:val="36"/>
          <w:highlight w:val="none"/>
        </w:rPr>
      </w:pPr>
    </w:p>
    <w:p w14:paraId="71FE7385">
      <w:pPr>
        <w:pageBreakBefore w:val="0"/>
        <w:kinsoku/>
        <w:wordWrap/>
        <w:overflowPunct/>
        <w:topLinePunct w:val="0"/>
        <w:bidi w:val="0"/>
        <w:snapToGrid/>
        <w:spacing w:line="300" w:lineRule="auto"/>
        <w:jc w:val="center"/>
        <w:rPr>
          <w:rFonts w:hint="eastAsia" w:ascii="仿宋" w:hAnsi="仿宋" w:eastAsia="仿宋" w:cs="仿宋"/>
          <w:b/>
          <w:color w:val="auto"/>
          <w:sz w:val="36"/>
          <w:szCs w:val="36"/>
          <w:highlight w:val="none"/>
        </w:rPr>
      </w:pPr>
    </w:p>
    <w:p w14:paraId="48EBCCFA">
      <w:pPr>
        <w:pageBreakBefore w:val="0"/>
        <w:kinsoku/>
        <w:wordWrap/>
        <w:overflowPunct/>
        <w:topLinePunct w:val="0"/>
        <w:bidi w:val="0"/>
        <w:snapToGrid/>
        <w:spacing w:line="300" w:lineRule="auto"/>
        <w:jc w:val="center"/>
        <w:rPr>
          <w:rFonts w:hint="eastAsia" w:ascii="仿宋" w:hAnsi="仿宋" w:eastAsia="仿宋" w:cs="仿宋"/>
          <w:b/>
          <w:color w:val="auto"/>
          <w:sz w:val="36"/>
          <w:szCs w:val="36"/>
          <w:highlight w:val="none"/>
        </w:rPr>
      </w:pPr>
    </w:p>
    <w:p w14:paraId="7084F5BC">
      <w:pPr>
        <w:pageBreakBefore w:val="0"/>
        <w:kinsoku/>
        <w:wordWrap/>
        <w:overflowPunct/>
        <w:topLinePunct w:val="0"/>
        <w:bidi w:val="0"/>
        <w:snapToGrid/>
        <w:spacing w:line="300" w:lineRule="auto"/>
        <w:jc w:val="center"/>
        <w:rPr>
          <w:rFonts w:hint="eastAsia" w:ascii="仿宋" w:hAnsi="仿宋" w:eastAsia="仿宋" w:cs="仿宋"/>
          <w:b/>
          <w:color w:val="auto"/>
          <w:sz w:val="36"/>
          <w:szCs w:val="36"/>
          <w:highlight w:val="none"/>
        </w:rPr>
      </w:pPr>
    </w:p>
    <w:p w14:paraId="65861CA5">
      <w:pPr>
        <w:pageBreakBefore w:val="0"/>
        <w:kinsoku/>
        <w:wordWrap/>
        <w:overflowPunct/>
        <w:topLinePunct w:val="0"/>
        <w:bidi w:val="0"/>
        <w:snapToGrid/>
        <w:spacing w:line="300" w:lineRule="auto"/>
        <w:jc w:val="center"/>
        <w:rPr>
          <w:rFonts w:hint="eastAsia" w:ascii="仿宋" w:hAnsi="仿宋" w:eastAsia="仿宋" w:cs="仿宋"/>
          <w:b/>
          <w:color w:val="auto"/>
          <w:sz w:val="36"/>
          <w:szCs w:val="36"/>
          <w:highlight w:val="none"/>
        </w:rPr>
      </w:pPr>
    </w:p>
    <w:p w14:paraId="2790BDA5">
      <w:pPr>
        <w:pageBreakBefore w:val="0"/>
        <w:kinsoku/>
        <w:wordWrap/>
        <w:overflowPunct/>
        <w:topLinePunct w:val="0"/>
        <w:bidi w:val="0"/>
        <w:snapToGrid/>
        <w:spacing w:line="300" w:lineRule="auto"/>
        <w:jc w:val="center"/>
        <w:rPr>
          <w:rFonts w:hint="eastAsia" w:ascii="仿宋" w:hAnsi="仿宋" w:eastAsia="仿宋" w:cs="仿宋"/>
          <w:b/>
          <w:color w:val="auto"/>
          <w:sz w:val="36"/>
          <w:szCs w:val="36"/>
          <w:highlight w:val="none"/>
        </w:rPr>
      </w:pPr>
    </w:p>
    <w:p w14:paraId="3EDD3764">
      <w:pPr>
        <w:pageBreakBefore w:val="0"/>
        <w:kinsoku/>
        <w:wordWrap/>
        <w:overflowPunct/>
        <w:topLinePunct w:val="0"/>
        <w:bidi w:val="0"/>
        <w:snapToGrid/>
        <w:spacing w:line="300" w:lineRule="auto"/>
        <w:jc w:val="center"/>
        <w:rPr>
          <w:rFonts w:hint="eastAsia" w:ascii="仿宋" w:hAnsi="仿宋" w:eastAsia="仿宋" w:cs="仿宋"/>
          <w:b/>
          <w:color w:val="auto"/>
          <w:sz w:val="36"/>
          <w:szCs w:val="36"/>
          <w:highlight w:val="none"/>
        </w:rPr>
      </w:pPr>
    </w:p>
    <w:p w14:paraId="1FBCE631">
      <w:pPr>
        <w:pageBreakBefore w:val="0"/>
        <w:kinsoku/>
        <w:wordWrap/>
        <w:overflowPunct/>
        <w:topLinePunct w:val="0"/>
        <w:bidi w:val="0"/>
        <w:snapToGrid/>
        <w:spacing w:line="300" w:lineRule="auto"/>
        <w:jc w:val="center"/>
        <w:rPr>
          <w:rFonts w:hint="eastAsia" w:ascii="仿宋" w:hAnsi="仿宋" w:eastAsia="仿宋" w:cs="仿宋"/>
          <w:color w:val="auto"/>
          <w:sz w:val="36"/>
          <w:szCs w:val="36"/>
          <w:highlight w:val="none"/>
        </w:rPr>
      </w:pPr>
      <w:r>
        <w:rPr>
          <w:rFonts w:hint="eastAsia" w:ascii="仿宋" w:hAnsi="仿宋" w:eastAsia="仿宋" w:cs="仿宋"/>
          <w:b/>
          <w:bCs w:val="0"/>
          <w:color w:val="auto"/>
          <w:sz w:val="36"/>
          <w:szCs w:val="36"/>
          <w:highlight w:val="none"/>
        </w:rPr>
        <w:t>五、投标承诺书（格式）</w:t>
      </w:r>
    </w:p>
    <w:p w14:paraId="2534DC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我公司已详细阅读了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诸御达 20**-**-**</w:t>
      </w:r>
      <w:r>
        <w:rPr>
          <w:rFonts w:hint="eastAsia" w:ascii="仿宋" w:hAnsi="仿宋" w:eastAsia="仿宋" w:cs="仿宋"/>
          <w:color w:val="auto"/>
          <w:sz w:val="24"/>
          <w:szCs w:val="24"/>
          <w:highlight w:val="none"/>
        </w:rPr>
        <w:t>）招标文件，现参加该项目投标，并就有关事项作出如下承诺：</w:t>
      </w:r>
    </w:p>
    <w:p w14:paraId="1423BB4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一、我公司在该项目招投标及合同履约过程中，不会出现以下行为，否则我公司愿意接受该行为被记录为不良行为，并在不良行为记录时限内放弃在</w:t>
      </w:r>
      <w:r>
        <w:rPr>
          <w:rFonts w:hint="eastAsia" w:ascii="仿宋" w:hAnsi="仿宋" w:eastAsia="仿宋" w:cs="仿宋"/>
          <w:color w:val="auto"/>
          <w:sz w:val="24"/>
          <w:szCs w:val="24"/>
          <w:highlight w:val="none"/>
          <w:lang w:val="en-US" w:eastAsia="zh-CN"/>
        </w:rPr>
        <w:t>采购单位</w:t>
      </w:r>
      <w:r>
        <w:rPr>
          <w:rFonts w:hint="eastAsia" w:ascii="仿宋" w:hAnsi="仿宋" w:eastAsia="仿宋" w:cs="仿宋"/>
          <w:color w:val="auto"/>
          <w:sz w:val="24"/>
          <w:szCs w:val="24"/>
          <w:highlight w:val="none"/>
          <w:lang w:eastAsia="zh-CN"/>
        </w:rPr>
        <w:t>及下属公司</w:t>
      </w:r>
      <w:r>
        <w:rPr>
          <w:rFonts w:hint="eastAsia" w:ascii="仿宋" w:hAnsi="仿宋" w:eastAsia="仿宋" w:cs="仿宋"/>
          <w:color w:val="auto"/>
          <w:sz w:val="24"/>
          <w:szCs w:val="24"/>
          <w:highlight w:val="none"/>
        </w:rPr>
        <w:t>投标的资格。</w:t>
      </w:r>
    </w:p>
    <w:p w14:paraId="24FABDC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（1）已报名但无故放弃投标(开标前已有书面说明并证实的除外)一年内累计3次以上的；</w:t>
      </w:r>
    </w:p>
    <w:p w14:paraId="25BEAE5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（2）在招标采购过程中，与采购人进行协商谈判的；</w:t>
      </w:r>
    </w:p>
    <w:p w14:paraId="7B4497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（3）投标有效期内撤回其投标文件的；</w:t>
      </w:r>
    </w:p>
    <w:p w14:paraId="566D571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（4）拒绝有关部门监督检查或提供虚假情况的；</w:t>
      </w:r>
    </w:p>
    <w:p w14:paraId="2591F83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（5）不积极配合采购单位做好标的验收工作的；</w:t>
      </w:r>
    </w:p>
    <w:p w14:paraId="04900BC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（6）在有关部门的监督检查或考核中被通报批评或处以警告及以上处罚的；</w:t>
      </w:r>
    </w:p>
    <w:p w14:paraId="7483C37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（7）不遵守投标会场纪律，无理取闹，扰乱交易秩序的；</w:t>
      </w:r>
    </w:p>
    <w:p w14:paraId="46515A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（8）中标后无正当理由放弃中标，或不与采购人签订</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合同，或在签订合同时提出附加条件或更改合同实质性内容，或拒不提交所要求的履约保证金的；</w:t>
      </w:r>
    </w:p>
    <w:p w14:paraId="44E379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（9）虚假投诉、恶意投诉或未按层级和相关程序逐级质疑、投诉而影响采购工作正常进行或造成不良影响的；</w:t>
      </w:r>
    </w:p>
    <w:p w14:paraId="2AE404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（10）不按照与采购人订立的合同履行义务（包括提供标的、售后服务、技术支持等），严重违反合同规定和廉政合同要求的；</w:t>
      </w:r>
    </w:p>
    <w:p w14:paraId="39186E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（11）项目负责人不到位，或擅自变换项目负责人，或不认真履行职责造成采购人损失的；</w:t>
      </w:r>
    </w:p>
    <w:p w14:paraId="48A5C0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（12）发生经营状况重大变化以及重要担保、重大合同纠纷或诉讼、信用等级和资质变化等可能影响履约能力的重大事项，未及时向市公共资源交易中心提供书面报告，因而造成采购人损失的；</w:t>
      </w:r>
    </w:p>
    <w:p w14:paraId="3DDB24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（13）与采购人、其他供应商或者采购代理机构相互串通的；</w:t>
      </w:r>
    </w:p>
    <w:p w14:paraId="39BA842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（14）采取不正当手段排挤其他供应商，进行不公平竞争的；</w:t>
      </w:r>
    </w:p>
    <w:p w14:paraId="7FA5B9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（15）中标后与采购人另行订立背离合同实质内容的协议的；</w:t>
      </w:r>
    </w:p>
    <w:p w14:paraId="7510A38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（16）事先有承诺，而事后违反承诺内容的；</w:t>
      </w:r>
    </w:p>
    <w:p w14:paraId="41701C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（17）将中标项目转包或违反规定进行分包的；</w:t>
      </w:r>
    </w:p>
    <w:p w14:paraId="4DE7B26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（18）以他人名义投标或允许他人以自己名义投标，或者以其他方式弄虚作假的；</w:t>
      </w:r>
    </w:p>
    <w:p w14:paraId="70D258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（19）未按照采购合同约定及时提供全部货物的，或无故拖延工期的；</w:t>
      </w:r>
    </w:p>
    <w:p w14:paraId="709921C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（20）无故不提供中标要求的型号、配置等产品的，或有拆换、调换、截留产品零部件和备品备件的行为的；</w:t>
      </w:r>
    </w:p>
    <w:p w14:paraId="748B35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（21）为获取自身利益，向采购人及其他有利害关系的单位或个人提供不正当利益的；</w:t>
      </w:r>
    </w:p>
    <w:p w14:paraId="1C2877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（22）提供假冒伪劣产品或走私物品的；</w:t>
      </w:r>
    </w:p>
    <w:p w14:paraId="6F84001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（23）擅自变更、中止、终止或解除</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合同的；</w:t>
      </w:r>
    </w:p>
    <w:p w14:paraId="6F92B8D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（24）向有关人员行贿或者提供不正当利益谋取中标的；</w:t>
      </w:r>
    </w:p>
    <w:p w14:paraId="0DA92B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（25）在</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活动期间，对管理机构、采购人、其他投标人、评标专家、中介机构等</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相关机构和人员，采取诋毁、诽谤、胁迫、暴力等不正当手段的；</w:t>
      </w:r>
    </w:p>
    <w:p w14:paraId="6BF327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en-US" w:eastAsia="zh-CN"/>
        </w:rPr>
        <w:t>采购单位</w:t>
      </w:r>
      <w:r>
        <w:rPr>
          <w:rFonts w:hint="eastAsia" w:ascii="仿宋" w:hAnsi="仿宋" w:eastAsia="仿宋" w:cs="仿宋"/>
          <w:color w:val="auto"/>
          <w:sz w:val="24"/>
          <w:szCs w:val="24"/>
          <w:highlight w:val="none"/>
          <w:lang w:eastAsia="zh-CN"/>
        </w:rPr>
        <w:t>招投标监管领导小组办公室</w:t>
      </w:r>
      <w:r>
        <w:rPr>
          <w:rFonts w:hint="eastAsia" w:ascii="仿宋" w:hAnsi="仿宋" w:eastAsia="仿宋" w:cs="仿宋"/>
          <w:color w:val="auto"/>
          <w:sz w:val="24"/>
          <w:szCs w:val="24"/>
          <w:highlight w:val="none"/>
        </w:rPr>
        <w:t>认定的其他违反</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管理的行为。</w:t>
      </w:r>
    </w:p>
    <w:p w14:paraId="199982D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w:t>
      </w:r>
      <w:r>
        <w:rPr>
          <w:rFonts w:hint="eastAsia" w:ascii="仿宋" w:hAnsi="仿宋" w:eastAsia="仿宋" w:cs="仿宋"/>
          <w:color w:val="auto"/>
          <w:sz w:val="24"/>
          <w:szCs w:val="24"/>
          <w:highlight w:val="none"/>
          <w:lang w:eastAsia="zh-CN"/>
        </w:rPr>
        <w:t>记</w:t>
      </w:r>
      <w:r>
        <w:rPr>
          <w:rFonts w:hint="eastAsia" w:ascii="仿宋" w:hAnsi="仿宋" w:eastAsia="仿宋" w:cs="仿宋"/>
          <w:color w:val="auto"/>
          <w:sz w:val="24"/>
          <w:szCs w:val="24"/>
          <w:highlight w:val="none"/>
        </w:rPr>
        <w:t>为不良行为的，记录时限应从上次记录时限截止日起算。</w:t>
      </w:r>
    </w:p>
    <w:p w14:paraId="133C214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据采购</w:t>
      </w:r>
      <w:r>
        <w:rPr>
          <w:rFonts w:hint="eastAsia" w:ascii="仿宋" w:hAnsi="仿宋" w:eastAsia="仿宋" w:cs="仿宋"/>
          <w:color w:val="auto"/>
          <w:sz w:val="24"/>
          <w:szCs w:val="24"/>
          <w:highlight w:val="none"/>
          <w:lang w:val="en-US" w:eastAsia="zh-CN"/>
        </w:rPr>
        <w:t>相关法律法规作出</w:t>
      </w:r>
      <w:r>
        <w:rPr>
          <w:rFonts w:hint="eastAsia" w:ascii="仿宋" w:hAnsi="仿宋" w:eastAsia="仿宋" w:cs="仿宋"/>
          <w:color w:val="auto"/>
          <w:sz w:val="24"/>
          <w:szCs w:val="24"/>
          <w:highlight w:val="none"/>
        </w:rPr>
        <w:t>的处罚决定。</w:t>
      </w:r>
    </w:p>
    <w:p w14:paraId="56ED57E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三、我公司及其他利害关系人如对该项目的中标公示有异议，将在采购文件规定的公示期限内提出符合以下条件的有效质疑，否则我公司愿意接受相关部门不予受理的决定。</w:t>
      </w:r>
    </w:p>
    <w:p w14:paraId="2703AFE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1、质疑人须为采购响应人和其他利害关系人；</w:t>
      </w:r>
    </w:p>
    <w:p w14:paraId="67444A4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2、投诉时，应当递交质疑书，质疑书应当包括下列内容：</w:t>
      </w:r>
    </w:p>
    <w:p w14:paraId="7528069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（1）质疑人的名称、地址及有效联系方式；</w:t>
      </w:r>
    </w:p>
    <w:p w14:paraId="557505E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（2）被质疑人的名称、地址及联系方式；</w:t>
      </w:r>
    </w:p>
    <w:p w14:paraId="2BFB02C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（3）质疑事项的基本事实；</w:t>
      </w:r>
    </w:p>
    <w:p w14:paraId="3068113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（4）相关请求及主张；</w:t>
      </w:r>
    </w:p>
    <w:p w14:paraId="697E37C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（5）有效线索和相关证明材料；</w:t>
      </w:r>
    </w:p>
    <w:p w14:paraId="5752E1E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（6）质疑人是法人的，质疑书必须由其法定代表人或者授权代表签字并加盖公章；其他组织或者个人质疑的，质疑书必须由其主要负责人或者质疑人本人签字，并附有效身份证明复印件。</w:t>
      </w:r>
    </w:p>
    <w:p w14:paraId="2CDBD374">
      <w:pPr>
        <w:keepNext w:val="0"/>
        <w:keepLines w:val="0"/>
        <w:pageBreakBefore w:val="0"/>
        <w:widowControl w:val="0"/>
        <w:kinsoku/>
        <w:wordWrap/>
        <w:overflowPunct/>
        <w:topLinePunct w:val="0"/>
        <w:autoSpaceDE w:val="0"/>
        <w:autoSpaceDN w:val="0"/>
        <w:bidi w:val="0"/>
        <w:adjustRightInd w:val="0"/>
        <w:snapToGrid/>
        <w:spacing w:line="360" w:lineRule="auto"/>
        <w:ind w:firstLine="964" w:firstLineChars="400"/>
        <w:textAlignment w:val="auto"/>
        <w:rPr>
          <w:rFonts w:hint="eastAsia" w:ascii="仿宋" w:hAnsi="仿宋" w:eastAsia="仿宋" w:cs="仿宋"/>
          <w:b/>
          <w:color w:val="auto"/>
          <w:sz w:val="24"/>
          <w:szCs w:val="24"/>
          <w:highlight w:val="none"/>
        </w:rPr>
      </w:pPr>
    </w:p>
    <w:p w14:paraId="3DFA45ED">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hint="eastAsia" w:ascii="仿宋" w:hAnsi="仿宋" w:eastAsia="仿宋" w:cs="仿宋"/>
          <w:color w:val="auto"/>
          <w:sz w:val="24"/>
          <w:szCs w:val="24"/>
          <w:highlight w:val="none"/>
        </w:rPr>
      </w:pPr>
    </w:p>
    <w:p w14:paraId="316677F5">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hint="eastAsia" w:ascii="仿宋" w:hAnsi="仿宋" w:eastAsia="仿宋" w:cs="仿宋"/>
          <w:color w:val="auto"/>
          <w:sz w:val="24"/>
          <w:szCs w:val="24"/>
          <w:highlight w:val="none"/>
        </w:rPr>
      </w:pPr>
    </w:p>
    <w:p w14:paraId="69E7464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sz w:val="28"/>
          <w:szCs w:val="28"/>
          <w:highlight w:val="none"/>
          <w:u w:val="single"/>
        </w:rPr>
        <w:t xml:space="preserve">         （盖单位公章）               </w:t>
      </w:r>
      <w:r>
        <w:rPr>
          <w:rFonts w:hint="eastAsia" w:ascii="仿宋" w:hAnsi="仿宋" w:eastAsia="仿宋" w:cs="仿宋"/>
          <w:color w:val="auto"/>
          <w:sz w:val="28"/>
          <w:szCs w:val="28"/>
          <w:highlight w:val="none"/>
        </w:rPr>
        <w:t xml:space="preserve">      </w:t>
      </w:r>
    </w:p>
    <w:p w14:paraId="5D0C32A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8"/>
          <w:szCs w:val="28"/>
          <w:highlight w:val="none"/>
        </w:rPr>
      </w:pPr>
    </w:p>
    <w:p w14:paraId="59DA76B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5230F9C">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0740FE6B">
      <w:pPr>
        <w:pageBreakBefore w:val="0"/>
        <w:kinsoku/>
        <w:wordWrap/>
        <w:overflowPunct/>
        <w:topLinePunct w:val="0"/>
        <w:bidi w:val="0"/>
        <w:snapToGrid/>
        <w:spacing w:line="30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六、</w:t>
      </w:r>
      <w:r>
        <w:rPr>
          <w:rFonts w:hint="eastAsia" w:ascii="仿宋" w:hAnsi="仿宋" w:eastAsia="仿宋"/>
          <w:b/>
          <w:bCs/>
          <w:color w:val="auto"/>
          <w:sz w:val="32"/>
          <w:szCs w:val="32"/>
        </w:rPr>
        <w:t>技术</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服务</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偏离表</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60"/>
        <w:gridCol w:w="2762"/>
        <w:gridCol w:w="1557"/>
      </w:tblGrid>
      <w:tr w14:paraId="3201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11B611D0">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2960" w:type="dxa"/>
            <w:noWrap w:val="0"/>
            <w:vAlign w:val="center"/>
          </w:tcPr>
          <w:p w14:paraId="635E507F">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招标文件</w:t>
            </w:r>
          </w:p>
          <w:p w14:paraId="7B59B268">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规范要求</w:t>
            </w:r>
          </w:p>
        </w:tc>
        <w:tc>
          <w:tcPr>
            <w:tcW w:w="2762" w:type="dxa"/>
            <w:noWrap w:val="0"/>
            <w:vAlign w:val="center"/>
          </w:tcPr>
          <w:p w14:paraId="0464C0B4">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w:t>
            </w:r>
          </w:p>
          <w:p w14:paraId="49C7D6E0">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对应规范</w:t>
            </w:r>
          </w:p>
        </w:tc>
        <w:tc>
          <w:tcPr>
            <w:tcW w:w="1557" w:type="dxa"/>
            <w:noWrap w:val="0"/>
            <w:vAlign w:val="center"/>
          </w:tcPr>
          <w:p w14:paraId="194C3486">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偏离情况</w:t>
            </w:r>
          </w:p>
        </w:tc>
      </w:tr>
      <w:tr w14:paraId="0319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1D7C9A77">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46653234">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307A1C92">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15E54C30">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4D69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3FEAA5A5">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7C0FE94E">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0FA509A4">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1F0B7BF9">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0031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5005D6A3">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2A1EF63F">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7A75541B">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7B04BB4F">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75F9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1D142D89">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5AE83F71">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3BCEBA65">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0F6C6C5D">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001B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550FF4C1">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392221F3">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77B47840">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65F3A744">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2332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39B1DFA6">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6BCCF8F6">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69407C19">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7D672F19">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7DAD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2E9AAE2C">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74CC4901">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2C0C3C32">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10FF283D">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1D35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4F2C1E40">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47559208">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0F82A469">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4AE2D869">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4595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1E8419E0">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390FFAEE">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534E1302">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05958805">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r w14:paraId="388E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noWrap w:val="0"/>
            <w:vAlign w:val="center"/>
          </w:tcPr>
          <w:p w14:paraId="50F5597A">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960" w:type="dxa"/>
            <w:noWrap w:val="0"/>
            <w:vAlign w:val="center"/>
          </w:tcPr>
          <w:p w14:paraId="0E0DB823">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2762" w:type="dxa"/>
            <w:noWrap w:val="0"/>
            <w:vAlign w:val="center"/>
          </w:tcPr>
          <w:p w14:paraId="645B6E1F">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c>
          <w:tcPr>
            <w:tcW w:w="1557" w:type="dxa"/>
            <w:noWrap w:val="0"/>
            <w:vAlign w:val="center"/>
          </w:tcPr>
          <w:p w14:paraId="07B489C4">
            <w:pPr>
              <w:pStyle w:val="17"/>
              <w:pageBreakBefore w:val="0"/>
              <w:kinsoku/>
              <w:wordWrap/>
              <w:overflowPunct/>
              <w:topLinePunct w:val="0"/>
              <w:bidi w:val="0"/>
              <w:snapToGrid/>
              <w:spacing w:line="300" w:lineRule="auto"/>
              <w:jc w:val="center"/>
              <w:rPr>
                <w:rFonts w:hint="eastAsia" w:ascii="仿宋" w:hAnsi="仿宋" w:eastAsia="仿宋" w:cs="仿宋"/>
                <w:color w:val="auto"/>
                <w:szCs w:val="24"/>
                <w:highlight w:val="none"/>
              </w:rPr>
            </w:pPr>
          </w:p>
        </w:tc>
      </w:tr>
    </w:tbl>
    <w:p w14:paraId="339B09B1">
      <w:pPr>
        <w:pStyle w:val="17"/>
        <w:pageBreakBefore w:val="0"/>
        <w:kinsoku/>
        <w:wordWrap/>
        <w:overflowPunct/>
        <w:topLinePunct w:val="0"/>
        <w:bidi w:val="0"/>
        <w:snapToGrid/>
        <w:spacing w:line="30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w:t>
      </w:r>
    </w:p>
    <w:p w14:paraId="50276921">
      <w:pPr>
        <w:pStyle w:val="17"/>
        <w:pageBreakBefore w:val="0"/>
        <w:kinsoku/>
        <w:wordWrap/>
        <w:overflowPunct/>
        <w:topLinePunct w:val="0"/>
        <w:bidi w:val="0"/>
        <w:snapToGrid/>
        <w:spacing w:line="30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此表须与招标文件“采购需求”相应标项内的所有技术规格（含技术、功能、配置、附加必备条件、售后服务、安装、验收、付款方式等）相比较且一一对应真实逐条填列，并在“偏离情况”栏注明“正偏离”、“负偏离”或“无偏离”。</w:t>
      </w:r>
    </w:p>
    <w:p w14:paraId="1ED383E9">
      <w:pPr>
        <w:pStyle w:val="17"/>
        <w:pageBreakBefore w:val="0"/>
        <w:kinsoku/>
        <w:wordWrap/>
        <w:overflowPunct/>
        <w:topLinePunct w:val="0"/>
        <w:bidi w:val="0"/>
        <w:snapToGrid/>
        <w:spacing w:line="30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2、投标人递交的技术规格书中必须真实逐条列明，否则由投标人自行承担相关风险。</w:t>
      </w:r>
    </w:p>
    <w:p w14:paraId="20D5A26E">
      <w:pPr>
        <w:pStyle w:val="17"/>
        <w:pageBreakBefore w:val="0"/>
        <w:kinsoku/>
        <w:wordWrap/>
        <w:overflowPunct/>
        <w:topLinePunct w:val="0"/>
        <w:bidi w:val="0"/>
        <w:snapToGrid/>
        <w:spacing w:line="30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3、此表在不改变格式的情况下可自行制作。</w:t>
      </w:r>
    </w:p>
    <w:p w14:paraId="68C0C8C2">
      <w:pPr>
        <w:pStyle w:val="17"/>
        <w:pageBreakBefore w:val="0"/>
        <w:kinsoku/>
        <w:wordWrap/>
        <w:overflowPunct/>
        <w:topLinePunct w:val="0"/>
        <w:bidi w:val="0"/>
        <w:snapToGrid/>
        <w:spacing w:line="30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4、此表置于技术标书中。</w:t>
      </w:r>
    </w:p>
    <w:p w14:paraId="085A607B">
      <w:pPr>
        <w:pageBreakBefore w:val="0"/>
        <w:kinsoku/>
        <w:wordWrap/>
        <w:overflowPunct/>
        <w:topLinePunct w:val="0"/>
        <w:bidi w:val="0"/>
        <w:snapToGrid/>
        <w:spacing w:line="300" w:lineRule="auto"/>
        <w:rPr>
          <w:rFonts w:hint="eastAsia" w:ascii="仿宋" w:hAnsi="仿宋" w:eastAsia="仿宋" w:cs="仿宋"/>
          <w:color w:val="auto"/>
          <w:sz w:val="28"/>
          <w:highlight w:val="none"/>
        </w:rPr>
      </w:pPr>
    </w:p>
    <w:p w14:paraId="4F943E34">
      <w:pPr>
        <w:pageBreakBefore w:val="0"/>
        <w:kinsoku/>
        <w:wordWrap/>
        <w:overflowPunct/>
        <w:topLinePunct w:val="0"/>
        <w:bidi w:val="0"/>
        <w:snapToGrid/>
        <w:spacing w:line="30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投标人全称：</w:t>
      </w:r>
      <w:r>
        <w:rPr>
          <w:rFonts w:hint="eastAsia" w:ascii="仿宋" w:hAnsi="仿宋" w:eastAsia="仿宋" w:cs="仿宋"/>
          <w:color w:val="auto"/>
          <w:sz w:val="28"/>
          <w:highlight w:val="none"/>
          <w:u w:val="single"/>
        </w:rPr>
        <w:t xml:space="preserve">         （盖单位公章）            </w:t>
      </w:r>
      <w:r>
        <w:rPr>
          <w:rFonts w:hint="eastAsia" w:ascii="仿宋" w:hAnsi="仿宋" w:eastAsia="仿宋" w:cs="仿宋"/>
          <w:color w:val="auto"/>
          <w:sz w:val="28"/>
          <w:highlight w:val="none"/>
        </w:rPr>
        <w:t xml:space="preserve">      </w:t>
      </w:r>
    </w:p>
    <w:p w14:paraId="22742178">
      <w:pPr>
        <w:pageBreakBefore w:val="0"/>
        <w:kinsoku/>
        <w:wordWrap/>
        <w:overflowPunct/>
        <w:topLinePunct w:val="0"/>
        <w:bidi w:val="0"/>
        <w:snapToGrid/>
        <w:spacing w:line="300" w:lineRule="auto"/>
        <w:rPr>
          <w:rFonts w:hint="eastAsia" w:ascii="仿宋" w:hAnsi="仿宋" w:eastAsia="仿宋" w:cs="仿宋"/>
          <w:color w:val="auto"/>
          <w:highlight w:val="none"/>
        </w:rPr>
      </w:pPr>
    </w:p>
    <w:p w14:paraId="230D3F29">
      <w:pPr>
        <w:pageBreakBefore w:val="0"/>
        <w:kinsoku/>
        <w:wordWrap/>
        <w:overflowPunct/>
        <w:topLinePunct w:val="0"/>
        <w:bidi w:val="0"/>
        <w:snapToGrid/>
        <w:spacing w:line="300" w:lineRule="auto"/>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日</w:t>
      </w:r>
    </w:p>
    <w:p w14:paraId="39A560F2">
      <w:pP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6D641CCD">
      <w:pPr>
        <w:pStyle w:val="2"/>
        <w:numPr>
          <w:ilvl w:val="0"/>
          <w:numId w:val="0"/>
        </w:numPr>
        <w:ind w:left="0" w:leftChars="0" w:firstLine="0" w:firstLineChars="0"/>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七、投标人需要说明的其他文件和说明（格式自拟）</w:t>
      </w:r>
    </w:p>
    <w:p w14:paraId="262E2DA8">
      <w:pPr>
        <w:pStyle w:val="28"/>
        <w:rPr>
          <w:rFonts w:hint="eastAsia"/>
          <w:color w:val="auto"/>
        </w:rPr>
      </w:pPr>
    </w:p>
    <w:sectPr>
      <w:headerReference r:id="rId11" w:type="default"/>
      <w:footerReference r:id="rId12" w:type="default"/>
      <w:pgSz w:w="11906" w:h="16838"/>
      <w:pgMar w:top="1474" w:right="1814" w:bottom="1474" w:left="1814" w:header="851" w:footer="907"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4AA0">
    <w:pPr>
      <w:pStyle w:val="20"/>
      <w:framePr w:wrap="around" w:vAnchor="text" w:hAnchor="margin" w:xAlign="center" w:y="1"/>
      <w:rPr>
        <w:rStyle w:val="33"/>
      </w:rPr>
    </w:pPr>
    <w:r>
      <w:fldChar w:fldCharType="begin"/>
    </w:r>
    <w:r>
      <w:rPr>
        <w:rStyle w:val="33"/>
      </w:rPr>
      <w:instrText xml:space="preserve">PAGE  </w:instrText>
    </w:r>
    <w:r>
      <w:fldChar w:fldCharType="separate"/>
    </w:r>
    <w:r>
      <w:fldChar w:fldCharType="end"/>
    </w:r>
  </w:p>
  <w:p w14:paraId="4B0FC60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A7E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4F99">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EE60C4">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44EE60C4">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1910">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97FCD">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4A297FC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A0E0">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94700C8">
                          <w:pPr>
                            <w:pStyle w:val="20"/>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494700C8">
                    <w:pPr>
                      <w:pStyle w:val="20"/>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A80FD">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C59EF">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14:paraId="430C59EF">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D166">
    <w:pPr>
      <w:pStyle w:val="21"/>
      <w:jc w:val="both"/>
      <w:rPr>
        <w:u w:val="none"/>
      </w:rPr>
    </w:pPr>
    <w:r>
      <w:rPr>
        <w:rFonts w:hint="eastAsia"/>
        <w:u w:val="none"/>
        <w:lang w:eastAsia="zh-CN"/>
      </w:rPr>
      <w:t>浙江御达工程管理咨询有限公司</w:t>
    </w:r>
    <w:r>
      <w:rPr>
        <w:rFonts w:hint="eastAsia"/>
        <w:u w:val="none"/>
        <w:lang w:val="en-US" w:eastAsia="zh-CN"/>
      </w:rPr>
      <w:t xml:space="preserve">                                                       </w:t>
    </w:r>
    <w:r>
      <w:rPr>
        <w:rFonts w:hint="eastAsia"/>
        <w:u w:val="none"/>
      </w:rPr>
      <w:t>招标文件</w:t>
    </w:r>
    <w:r>
      <w:rPr>
        <w:rFonts w:hint="eastAsia"/>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1C408">
    <w:pPr>
      <w:pStyle w:val="21"/>
      <w:jc w:val="left"/>
      <w:rPr>
        <w:rFonts w:hint="default" w:eastAsia="??"/>
        <w:lang w:val="en-US" w:eastAsia="zh-CN"/>
      </w:rPr>
    </w:pPr>
    <w:r>
      <w:rPr>
        <w:rFonts w:hint="eastAsia"/>
      </w:rPr>
      <w:t>浙江御达工程管理咨询有限公司</w:t>
    </w:r>
    <w:r>
      <w:rPr>
        <w:rFonts w:hint="eastAsia"/>
        <w:lang w:val="en-US" w:eastAsia="zh-CN"/>
      </w:rPr>
      <w:t xml:space="preserve">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9B6F">
    <w:pPr>
      <w:pStyle w:val="21"/>
      <w:jc w:val="both"/>
    </w:pPr>
    <w:r>
      <w:rPr>
        <w:rFonts w:hint="eastAsia"/>
        <w:u w:val="none"/>
        <w:lang w:eastAsia="zh-CN"/>
      </w:rPr>
      <w:t>浙江御达工程管理咨询有限公司</w:t>
    </w:r>
    <w:r>
      <w:rPr>
        <w:rFonts w:hint="eastAsia"/>
        <w:u w:val="none"/>
        <w:lang w:val="en-US" w:eastAsia="zh-CN"/>
      </w:rPr>
      <w:t xml:space="preserve">                                                       </w:t>
    </w:r>
    <w:r>
      <w:rPr>
        <w:rFonts w:hint="eastAsia"/>
        <w:u w:val="none"/>
      </w:rPr>
      <w:t>招标文件</w:t>
    </w:r>
    <w:r>
      <w:rPr>
        <w:rFonts w:hint="eastAsia"/>
        <w:u w:val="non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A78E">
    <w:pPr>
      <w:pStyle w:val="21"/>
    </w:pPr>
  </w:p>
  <w:p w14:paraId="3E87EDA9">
    <w:pPr>
      <w:pStyle w:val="21"/>
      <w:jc w:val="both"/>
    </w:pPr>
    <w:r>
      <w:rPr>
        <w:rFonts w:hint="eastAsia"/>
        <w:lang w:eastAsia="zh-CN"/>
      </w:rPr>
      <w:t>浙江御达工程管理咨询有限公司</w:t>
    </w:r>
    <w:r>
      <w:rPr>
        <w:rFonts w:hint="eastAsia"/>
        <w:lang w:val="en-US" w:eastAsia="zh-CN"/>
      </w:rPr>
      <w:t xml:space="preserve">                                                      </w:t>
    </w:r>
    <w:r>
      <w:rPr>
        <w:rFonts w:hint="eastAsia"/>
      </w:rPr>
      <w:t>招标文件</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93"/>
      <w:suff w:val="nothing"/>
      <w:lvlText w:val="%1　"/>
      <w:lvlJc w:val="left"/>
      <w:rPr>
        <w:rFonts w:hint="eastAsia" w:ascii="黑体" w:hAnsi="Times New Roman" w:eastAsia="黑体" w:cs="Times New Roman"/>
        <w:b w:val="0"/>
        <w:i w:val="0"/>
        <w:sz w:val="21"/>
        <w:szCs w:val="21"/>
      </w:rPr>
    </w:lvl>
    <w:lvl w:ilvl="1" w:tentative="0">
      <w:start w:val="1"/>
      <w:numFmt w:val="decimal"/>
      <w:pStyle w:val="97"/>
      <w:suff w:val="nothing"/>
      <w:lvlText w:val="%1.%2　"/>
      <w:lvlJc w:val="left"/>
      <w:pPr>
        <w:ind w:left="567"/>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1F82835"/>
    <w:rsid w:val="02F21535"/>
    <w:rsid w:val="053D0B6E"/>
    <w:rsid w:val="054E693A"/>
    <w:rsid w:val="07016466"/>
    <w:rsid w:val="07E15671"/>
    <w:rsid w:val="093F1451"/>
    <w:rsid w:val="097C6A3A"/>
    <w:rsid w:val="0B9F6417"/>
    <w:rsid w:val="0BB36D4B"/>
    <w:rsid w:val="0BFB3705"/>
    <w:rsid w:val="0C6A2280"/>
    <w:rsid w:val="0CDF7E08"/>
    <w:rsid w:val="0D420A34"/>
    <w:rsid w:val="0DFD7B16"/>
    <w:rsid w:val="0EB53D50"/>
    <w:rsid w:val="0F2A570A"/>
    <w:rsid w:val="0F832B4D"/>
    <w:rsid w:val="0FFB608E"/>
    <w:rsid w:val="1021779E"/>
    <w:rsid w:val="102405B1"/>
    <w:rsid w:val="105317FC"/>
    <w:rsid w:val="10A849EB"/>
    <w:rsid w:val="14113A3C"/>
    <w:rsid w:val="1461752E"/>
    <w:rsid w:val="17151CD4"/>
    <w:rsid w:val="17622F69"/>
    <w:rsid w:val="184E2D57"/>
    <w:rsid w:val="19614AFC"/>
    <w:rsid w:val="1AB1581F"/>
    <w:rsid w:val="1AC14D5E"/>
    <w:rsid w:val="1AC612CA"/>
    <w:rsid w:val="1B3B6ACD"/>
    <w:rsid w:val="1C9B0E6C"/>
    <w:rsid w:val="1CD37A8D"/>
    <w:rsid w:val="1D7279BB"/>
    <w:rsid w:val="1D94745E"/>
    <w:rsid w:val="1DC3061A"/>
    <w:rsid w:val="1E6F3A27"/>
    <w:rsid w:val="204F4116"/>
    <w:rsid w:val="206C2914"/>
    <w:rsid w:val="217E4AAC"/>
    <w:rsid w:val="22793127"/>
    <w:rsid w:val="24D8197F"/>
    <w:rsid w:val="25CA3D5E"/>
    <w:rsid w:val="2ABC4498"/>
    <w:rsid w:val="2B366FE8"/>
    <w:rsid w:val="2BA56CDA"/>
    <w:rsid w:val="2BCD7297"/>
    <w:rsid w:val="2BE710A1"/>
    <w:rsid w:val="2C02237E"/>
    <w:rsid w:val="2C797382"/>
    <w:rsid w:val="2CE64319"/>
    <w:rsid w:val="2D761596"/>
    <w:rsid w:val="2DAB5F13"/>
    <w:rsid w:val="2E517DFC"/>
    <w:rsid w:val="2E5410D8"/>
    <w:rsid w:val="2F00717A"/>
    <w:rsid w:val="2F3E605A"/>
    <w:rsid w:val="300F6E18"/>
    <w:rsid w:val="31AF2603"/>
    <w:rsid w:val="31D7121A"/>
    <w:rsid w:val="335B265F"/>
    <w:rsid w:val="34E81DC3"/>
    <w:rsid w:val="3518676F"/>
    <w:rsid w:val="35574356"/>
    <w:rsid w:val="35977EFB"/>
    <w:rsid w:val="36E7289C"/>
    <w:rsid w:val="38BB5D8F"/>
    <w:rsid w:val="3A145757"/>
    <w:rsid w:val="3ADA2588"/>
    <w:rsid w:val="3B211745"/>
    <w:rsid w:val="3B5D2D51"/>
    <w:rsid w:val="3BF666E9"/>
    <w:rsid w:val="3C50264B"/>
    <w:rsid w:val="3C5A0C8E"/>
    <w:rsid w:val="3D0B23EE"/>
    <w:rsid w:val="3E966871"/>
    <w:rsid w:val="3EC346B4"/>
    <w:rsid w:val="3ECE1DC3"/>
    <w:rsid w:val="3F736409"/>
    <w:rsid w:val="3FF74E08"/>
    <w:rsid w:val="409C0F23"/>
    <w:rsid w:val="40B3559D"/>
    <w:rsid w:val="434C69C0"/>
    <w:rsid w:val="43B23E55"/>
    <w:rsid w:val="43BFEBD5"/>
    <w:rsid w:val="43C62E06"/>
    <w:rsid w:val="445D368E"/>
    <w:rsid w:val="46603363"/>
    <w:rsid w:val="46A83551"/>
    <w:rsid w:val="48765D71"/>
    <w:rsid w:val="49547D15"/>
    <w:rsid w:val="4B1270D0"/>
    <w:rsid w:val="4B845FC3"/>
    <w:rsid w:val="4BC535EC"/>
    <w:rsid w:val="4BF20AE4"/>
    <w:rsid w:val="4BFE49FD"/>
    <w:rsid w:val="4CC75213"/>
    <w:rsid w:val="4D9D2733"/>
    <w:rsid w:val="4F293F36"/>
    <w:rsid w:val="4F7524D0"/>
    <w:rsid w:val="509F054C"/>
    <w:rsid w:val="51E21FAA"/>
    <w:rsid w:val="51F0655E"/>
    <w:rsid w:val="53870D4D"/>
    <w:rsid w:val="5428375C"/>
    <w:rsid w:val="5441014C"/>
    <w:rsid w:val="54480313"/>
    <w:rsid w:val="54D059CE"/>
    <w:rsid w:val="55A346EA"/>
    <w:rsid w:val="566C0E1B"/>
    <w:rsid w:val="56F049FE"/>
    <w:rsid w:val="58694A68"/>
    <w:rsid w:val="58CC4324"/>
    <w:rsid w:val="591250FF"/>
    <w:rsid w:val="59D9224D"/>
    <w:rsid w:val="5A4237C2"/>
    <w:rsid w:val="5B336962"/>
    <w:rsid w:val="5B91147E"/>
    <w:rsid w:val="5C1D44E7"/>
    <w:rsid w:val="5D022F8B"/>
    <w:rsid w:val="5D2E6280"/>
    <w:rsid w:val="5DAF0651"/>
    <w:rsid w:val="5E6E4807"/>
    <w:rsid w:val="5F474FBC"/>
    <w:rsid w:val="601B4AB1"/>
    <w:rsid w:val="60B7433C"/>
    <w:rsid w:val="61E64C2D"/>
    <w:rsid w:val="62373DEA"/>
    <w:rsid w:val="629519A7"/>
    <w:rsid w:val="63C20EEC"/>
    <w:rsid w:val="65BE5268"/>
    <w:rsid w:val="661B7F38"/>
    <w:rsid w:val="66C34148"/>
    <w:rsid w:val="66F75934"/>
    <w:rsid w:val="6704102E"/>
    <w:rsid w:val="67175196"/>
    <w:rsid w:val="67661F1A"/>
    <w:rsid w:val="68E23963"/>
    <w:rsid w:val="69EC0D53"/>
    <w:rsid w:val="6A21549F"/>
    <w:rsid w:val="6AA33E09"/>
    <w:rsid w:val="6AD63A6F"/>
    <w:rsid w:val="6B49662D"/>
    <w:rsid w:val="6C4808D1"/>
    <w:rsid w:val="6D043BE6"/>
    <w:rsid w:val="6DE43679"/>
    <w:rsid w:val="6EBF7E0D"/>
    <w:rsid w:val="6EF15BE2"/>
    <w:rsid w:val="6F8E10DB"/>
    <w:rsid w:val="7084648B"/>
    <w:rsid w:val="71F710BC"/>
    <w:rsid w:val="724A715C"/>
    <w:rsid w:val="72CF1271"/>
    <w:rsid w:val="73AF77C1"/>
    <w:rsid w:val="747B7C8C"/>
    <w:rsid w:val="74D00885"/>
    <w:rsid w:val="7613129A"/>
    <w:rsid w:val="766617FE"/>
    <w:rsid w:val="76BD2FB2"/>
    <w:rsid w:val="788A2DBE"/>
    <w:rsid w:val="7AE528BD"/>
    <w:rsid w:val="7B5A3FCE"/>
    <w:rsid w:val="7BAD414E"/>
    <w:rsid w:val="7C80044E"/>
    <w:rsid w:val="7CB41C1D"/>
    <w:rsid w:val="7CF64D8F"/>
    <w:rsid w:val="7DFD20AA"/>
    <w:rsid w:val="7F5543ED"/>
    <w:rsid w:val="7F6E7F34"/>
    <w:rsid w:val="7FC56CB6"/>
    <w:rsid w:val="7FE02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link w:val="37"/>
    <w:qFormat/>
    <w:uiPriority w:val="0"/>
    <w:pPr>
      <w:keepNext/>
      <w:keepLines/>
      <w:spacing w:before="340" w:beforeLines="0" w:after="330" w:afterLines="0" w:line="576" w:lineRule="auto"/>
      <w:outlineLvl w:val="0"/>
    </w:pPr>
    <w:rPr>
      <w:rFonts w:ascii="Times New Roman" w:hAnsi="Times New Roman" w:eastAsia="宋体" w:cs="Times New Roman"/>
      <w:b/>
      <w:color w:val="000000"/>
      <w:kern w:val="44"/>
      <w:sz w:val="44"/>
      <w:szCs w:val="21"/>
    </w:rPr>
  </w:style>
  <w:style w:type="paragraph" w:styleId="5">
    <w:name w:val="heading 2"/>
    <w:basedOn w:val="1"/>
    <w:next w:val="1"/>
    <w:link w:val="38"/>
    <w:qFormat/>
    <w:uiPriority w:val="0"/>
    <w:pPr>
      <w:keepNext/>
      <w:keepLines/>
      <w:autoSpaceDE/>
      <w:autoSpaceDN/>
      <w:adjustRightInd/>
      <w:spacing w:before="260" w:beforeLines="0" w:after="260" w:afterLines="0" w:line="413" w:lineRule="auto"/>
      <w:outlineLvl w:val="1"/>
    </w:pPr>
    <w:rPr>
      <w:rFonts w:ascii="Arial" w:hAnsi="Arial" w:eastAsia="黑体" w:cs="Times New Roman"/>
      <w:b/>
      <w:bCs/>
      <w:sz w:val="32"/>
      <w:szCs w:val="32"/>
    </w:rPr>
  </w:style>
  <w:style w:type="paragraph" w:styleId="6">
    <w:name w:val="heading 3"/>
    <w:basedOn w:val="1"/>
    <w:next w:val="1"/>
    <w:qFormat/>
    <w:uiPriority w:val="0"/>
    <w:pPr>
      <w:spacing w:before="20" w:beforeLines="0" w:after="20" w:afterLines="0" w:line="240" w:lineRule="auto"/>
      <w:ind w:left="0" w:firstLine="400" w:firstLineChars="200"/>
      <w:jc w:val="left"/>
      <w:outlineLvl w:val="2"/>
    </w:pPr>
    <w:rPr>
      <w:rFonts w:ascii="宋体" w:hAnsi="宋体" w:eastAsia="宋体" w:cs="宋体"/>
      <w:b/>
      <w:bCs/>
      <w:sz w:val="24"/>
      <w:szCs w:val="28"/>
      <w:lang w:val="zh-CN" w:bidi="zh-CN"/>
    </w:rPr>
  </w:style>
  <w:style w:type="paragraph" w:styleId="7">
    <w:name w:val="heading 4"/>
    <w:basedOn w:val="1"/>
    <w:next w:val="1"/>
    <w:qFormat/>
    <w:uiPriority w:val="0"/>
    <w:pPr>
      <w:keepNext/>
      <w:keepLines/>
      <w:widowControl w:val="0"/>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kern w:val="0"/>
      <w:sz w:val="28"/>
      <w:szCs w:val="20"/>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afterLines="0"/>
      <w:ind w:left="420" w:leftChars="200"/>
    </w:pPr>
  </w:style>
  <w:style w:type="paragraph" w:styleId="8">
    <w:name w:val="List Number"/>
    <w:basedOn w:val="1"/>
    <w:qFormat/>
    <w:uiPriority w:val="0"/>
    <w:pPr>
      <w:widowControl/>
      <w:tabs>
        <w:tab w:val="left" w:pos="360"/>
        <w:tab w:val="left" w:pos="720"/>
      </w:tabs>
      <w:autoSpaceDE/>
      <w:autoSpaceDN/>
      <w:adjustRightInd/>
      <w:spacing w:after="156" w:afterLines="50"/>
      <w:ind w:left="360" w:hanging="360"/>
      <w:jc w:val="left"/>
    </w:pPr>
    <w:rPr>
      <w:color w:val="auto"/>
      <w:sz w:val="24"/>
      <w:szCs w:val="20"/>
    </w:rPr>
  </w:style>
  <w:style w:type="paragraph" w:styleId="9">
    <w:name w:val="Normal Indent"/>
    <w:basedOn w:val="1"/>
    <w:next w:val="1"/>
    <w:link w:val="39"/>
    <w:qFormat/>
    <w:uiPriority w:val="0"/>
    <w:pPr>
      <w:autoSpaceDE/>
      <w:autoSpaceDN/>
      <w:adjustRightInd/>
      <w:ind w:firstLine="420"/>
    </w:pPr>
    <w:rPr>
      <w:rFonts w:ascii="Times New Roman" w:hAnsi="Times New Roman" w:eastAsia="宋体" w:cs="Times New Roman"/>
      <w:szCs w:val="20"/>
    </w:rPr>
  </w:style>
  <w:style w:type="paragraph" w:styleId="10">
    <w:name w:val="index 5"/>
    <w:basedOn w:val="1"/>
    <w:next w:val="1"/>
    <w:qFormat/>
    <w:uiPriority w:val="0"/>
    <w:pPr>
      <w:ind w:left="800" w:leftChars="800"/>
    </w:pPr>
  </w:style>
  <w:style w:type="paragraph" w:styleId="11">
    <w:name w:val="toa heading"/>
    <w:basedOn w:val="1"/>
    <w:next w:val="1"/>
    <w:qFormat/>
    <w:uiPriority w:val="0"/>
    <w:pPr>
      <w:spacing w:before="120" w:beforeLines="0"/>
    </w:pPr>
    <w:rPr>
      <w:rFonts w:ascii="Arial" w:hAnsi="Arial" w:cs="Arial"/>
      <w:color w:val="auto"/>
      <w:sz w:val="24"/>
      <w:szCs w:val="24"/>
    </w:rPr>
  </w:style>
  <w:style w:type="paragraph" w:styleId="12">
    <w:name w:val="annotation text"/>
    <w:basedOn w:val="1"/>
    <w:qFormat/>
    <w:uiPriority w:val="0"/>
    <w:pPr>
      <w:jc w:val="left"/>
    </w:pPr>
  </w:style>
  <w:style w:type="paragraph" w:styleId="13">
    <w:name w:val="Body Text 3"/>
    <w:basedOn w:val="1"/>
    <w:qFormat/>
    <w:uiPriority w:val="0"/>
    <w:pPr>
      <w:spacing w:after="120" w:afterLines="0"/>
    </w:pPr>
    <w:rPr>
      <w:sz w:val="16"/>
      <w:szCs w:val="16"/>
    </w:rPr>
  </w:style>
  <w:style w:type="paragraph" w:styleId="14">
    <w:name w:val="Body Text"/>
    <w:basedOn w:val="1"/>
    <w:link w:val="40"/>
    <w:qFormat/>
    <w:uiPriority w:val="0"/>
    <w:pPr>
      <w:spacing w:after="120" w:afterLines="0"/>
    </w:pPr>
    <w:rPr>
      <w:rFonts w:ascii="Times New Roman" w:hAnsi="Times New Roman" w:eastAsia="宋体" w:cs="Times New Roman"/>
      <w:color w:val="000000"/>
      <w:kern w:val="0"/>
      <w:szCs w:val="21"/>
    </w:rPr>
  </w:style>
  <w:style w:type="paragraph" w:styleId="15">
    <w:name w:val="Body Text Indent"/>
    <w:basedOn w:val="1"/>
    <w:next w:val="1"/>
    <w:link w:val="36"/>
    <w:qFormat/>
    <w:uiPriority w:val="0"/>
    <w:pPr>
      <w:spacing w:after="120" w:afterLines="0"/>
      <w:ind w:left="420" w:leftChars="200"/>
    </w:pPr>
    <w:rPr>
      <w:rFonts w:ascii="Times New Roman" w:hAnsi="Times New Roman" w:eastAsia="宋体" w:cs="Times New Roman"/>
      <w:color w:val="000000"/>
      <w:kern w:val="0"/>
      <w:szCs w:val="21"/>
    </w:rPr>
  </w:style>
  <w:style w:type="paragraph" w:styleId="16">
    <w:name w:val="List Number 3"/>
    <w:basedOn w:val="1"/>
    <w:qFormat/>
    <w:uiPriority w:val="0"/>
    <w:pPr>
      <w:tabs>
        <w:tab w:val="left" w:pos="1200"/>
      </w:tabs>
      <w:ind w:left="1200" w:leftChars="400" w:hanging="360" w:hangingChars="200"/>
    </w:pPr>
  </w:style>
  <w:style w:type="paragraph" w:styleId="17">
    <w:name w:val="Plain Text"/>
    <w:basedOn w:val="1"/>
    <w:next w:val="9"/>
    <w:link w:val="41"/>
    <w:qFormat/>
    <w:uiPriority w:val="0"/>
    <w:pPr>
      <w:autoSpaceDE/>
      <w:autoSpaceDN/>
      <w:adjustRightInd/>
    </w:pPr>
    <w:rPr>
      <w:rFonts w:ascii="Times New Roman" w:hAnsi="Times New Roman" w:eastAsia="宋体" w:cs="Times New Roman"/>
      <w:sz w:val="24"/>
      <w:szCs w:val="20"/>
    </w:rPr>
  </w:style>
  <w:style w:type="paragraph" w:styleId="18">
    <w:name w:val="Date"/>
    <w:basedOn w:val="1"/>
    <w:next w:val="1"/>
    <w:link w:val="42"/>
    <w:qFormat/>
    <w:uiPriority w:val="0"/>
    <w:pPr>
      <w:ind w:left="100" w:leftChars="2500"/>
    </w:pPr>
    <w:rPr>
      <w:rFonts w:ascii="Times New Roman" w:hAnsi="Times New Roman" w:eastAsia="宋体" w:cs="Times New Roman"/>
      <w:color w:val="000000"/>
      <w:kern w:val="0"/>
      <w:szCs w:val="21"/>
    </w:rPr>
  </w:style>
  <w:style w:type="paragraph" w:styleId="19">
    <w:name w:val="Balloon Text"/>
    <w:basedOn w:val="1"/>
    <w:link w:val="43"/>
    <w:qFormat/>
    <w:uiPriority w:val="0"/>
    <w:rPr>
      <w:rFonts w:ascii="Times New Roman" w:hAnsi="Times New Roman" w:eastAsia="宋体" w:cs="Times New Roman"/>
      <w:color w:val="000000"/>
      <w:kern w:val="0"/>
      <w:sz w:val="18"/>
      <w:szCs w:val="18"/>
    </w:rPr>
  </w:style>
  <w:style w:type="paragraph" w:styleId="20">
    <w:name w:val="footer"/>
    <w:basedOn w:val="1"/>
    <w:link w:val="44"/>
    <w:qFormat/>
    <w:uiPriority w:val="0"/>
    <w:pPr>
      <w:tabs>
        <w:tab w:val="center" w:pos="4153"/>
        <w:tab w:val="right" w:pos="8306"/>
      </w:tabs>
      <w:snapToGrid w:val="0"/>
      <w:jc w:val="left"/>
    </w:pPr>
    <w:rPr>
      <w:rFonts w:ascii="Times New Roman" w:hAnsi="Times New Roman" w:eastAsia="宋体" w:cs="Times New Roman"/>
      <w:color w:val="000000"/>
      <w:kern w:val="0"/>
      <w:sz w:val="18"/>
      <w:szCs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rFonts w:eastAsia="??"/>
      <w:sz w:val="18"/>
      <w:szCs w:val="28"/>
    </w:rPr>
  </w:style>
  <w:style w:type="paragraph" w:styleId="22">
    <w:name w:val="toc 6"/>
    <w:basedOn w:val="1"/>
    <w:next w:val="1"/>
    <w:qFormat/>
    <w:uiPriority w:val="0"/>
    <w:pPr>
      <w:ind w:left="2100" w:leftChars="1000"/>
    </w:pPr>
  </w:style>
  <w:style w:type="paragraph" w:styleId="23">
    <w:name w:val="Body Text Indent 3"/>
    <w:basedOn w:val="1"/>
    <w:link w:val="46"/>
    <w:qFormat/>
    <w:uiPriority w:val="0"/>
    <w:pPr>
      <w:autoSpaceDE/>
      <w:autoSpaceDN/>
      <w:adjustRightInd/>
      <w:ind w:firstLine="435"/>
    </w:pPr>
    <w:rPr>
      <w:rFonts w:ascii="Times New Roman" w:hAnsi="Times New Roman" w:eastAsia="宋体" w:cs="Times New Roman"/>
      <w:szCs w:val="24"/>
    </w:rPr>
  </w:style>
  <w:style w:type="paragraph" w:styleId="24">
    <w:name w:val="index 7"/>
    <w:basedOn w:val="1"/>
    <w:next w:val="1"/>
    <w:qFormat/>
    <w:uiPriority w:val="0"/>
    <w:pPr>
      <w:ind w:left="1200" w:leftChars="1200"/>
    </w:pPr>
  </w:style>
  <w:style w:type="paragraph" w:styleId="25">
    <w:name w:val="Body Text 2"/>
    <w:basedOn w:val="1"/>
    <w:link w:val="47"/>
    <w:qFormat/>
    <w:uiPriority w:val="0"/>
    <w:pPr>
      <w:spacing w:after="120" w:afterLines="0" w:line="480" w:lineRule="auto"/>
    </w:pPr>
    <w:rPr>
      <w:rFonts w:ascii="Times New Roman" w:hAnsi="Times New Roman" w:eastAsia="宋体" w:cs="Times New Roman"/>
      <w:color w:val="000000"/>
      <w:kern w:val="0"/>
      <w:szCs w:val="21"/>
    </w:rPr>
  </w:style>
  <w:style w:type="paragraph" w:styleId="26">
    <w:name w:val="Normal (Web)"/>
    <w:basedOn w:val="1"/>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paragraph" w:styleId="27">
    <w:name w:val="Body Text First Indent"/>
    <w:basedOn w:val="14"/>
    <w:next w:val="22"/>
    <w:qFormat/>
    <w:uiPriority w:val="0"/>
    <w:pPr>
      <w:spacing w:line="312" w:lineRule="auto"/>
      <w:ind w:firstLine="420"/>
    </w:pPr>
    <w:rPr>
      <w:szCs w:val="24"/>
    </w:rPr>
  </w:style>
  <w:style w:type="paragraph" w:styleId="28">
    <w:name w:val="Body Text First Indent 2"/>
    <w:basedOn w:val="15"/>
    <w:next w:val="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Hyperlink"/>
    <w:basedOn w:val="31"/>
    <w:qFormat/>
    <w:uiPriority w:val="0"/>
    <w:rPr>
      <w:color w:val="0000FF"/>
      <w:u w:val="single"/>
    </w:rPr>
  </w:style>
  <w:style w:type="character" w:styleId="35">
    <w:name w:val="annotation reference"/>
    <w:basedOn w:val="31"/>
    <w:qFormat/>
    <w:uiPriority w:val="0"/>
    <w:rPr>
      <w:rFonts w:ascii="Calibri" w:hAnsi="Calibri" w:eastAsia="宋体" w:cs="Times New Roman"/>
      <w:sz w:val="21"/>
      <w:szCs w:val="21"/>
    </w:rPr>
  </w:style>
  <w:style w:type="character" w:customStyle="1" w:styleId="36">
    <w:name w:val="正文文本缩进 Char"/>
    <w:basedOn w:val="31"/>
    <w:link w:val="15"/>
    <w:qFormat/>
    <w:uiPriority w:val="0"/>
    <w:rPr>
      <w:rFonts w:ascii="Times New Roman" w:hAnsi="Times New Roman" w:eastAsia="宋体" w:cs="Times New Roman"/>
      <w:color w:val="000000"/>
      <w:kern w:val="0"/>
      <w:szCs w:val="21"/>
    </w:rPr>
  </w:style>
  <w:style w:type="character" w:customStyle="1" w:styleId="37">
    <w:name w:val="标题 1 Char"/>
    <w:basedOn w:val="31"/>
    <w:link w:val="4"/>
    <w:qFormat/>
    <w:uiPriority w:val="0"/>
    <w:rPr>
      <w:rFonts w:ascii="Times New Roman" w:hAnsi="Times New Roman" w:eastAsia="宋体" w:cs="Times New Roman"/>
      <w:b/>
      <w:color w:val="000000"/>
      <w:kern w:val="44"/>
      <w:sz w:val="44"/>
      <w:szCs w:val="21"/>
    </w:rPr>
  </w:style>
  <w:style w:type="character" w:customStyle="1" w:styleId="38">
    <w:name w:val="标题 2 Char"/>
    <w:basedOn w:val="31"/>
    <w:link w:val="5"/>
    <w:qFormat/>
    <w:uiPriority w:val="0"/>
    <w:rPr>
      <w:rFonts w:ascii="Arial" w:hAnsi="Arial" w:eastAsia="黑体" w:cs="Times New Roman"/>
      <w:b/>
      <w:bCs/>
      <w:sz w:val="32"/>
      <w:szCs w:val="32"/>
    </w:rPr>
  </w:style>
  <w:style w:type="character" w:customStyle="1" w:styleId="39">
    <w:name w:val="正文缩进 Char"/>
    <w:basedOn w:val="31"/>
    <w:link w:val="9"/>
    <w:qFormat/>
    <w:uiPriority w:val="0"/>
    <w:rPr>
      <w:rFonts w:ascii="Times New Roman" w:hAnsi="Times New Roman" w:eastAsia="宋体" w:cs="Times New Roman"/>
      <w:szCs w:val="20"/>
    </w:rPr>
  </w:style>
  <w:style w:type="character" w:customStyle="1" w:styleId="40">
    <w:name w:val="正文文本 Char"/>
    <w:basedOn w:val="31"/>
    <w:link w:val="14"/>
    <w:qFormat/>
    <w:uiPriority w:val="0"/>
    <w:rPr>
      <w:rFonts w:ascii="Times New Roman" w:hAnsi="Times New Roman" w:eastAsia="宋体" w:cs="Times New Roman"/>
      <w:color w:val="000000"/>
      <w:kern w:val="0"/>
      <w:szCs w:val="21"/>
    </w:rPr>
  </w:style>
  <w:style w:type="character" w:customStyle="1" w:styleId="41">
    <w:name w:val="纯文本 Char1"/>
    <w:basedOn w:val="31"/>
    <w:link w:val="17"/>
    <w:qFormat/>
    <w:uiPriority w:val="0"/>
    <w:rPr>
      <w:rFonts w:ascii="Times New Roman" w:hAnsi="Times New Roman" w:eastAsia="宋体" w:cs="Times New Roman"/>
      <w:sz w:val="24"/>
      <w:szCs w:val="20"/>
    </w:rPr>
  </w:style>
  <w:style w:type="character" w:customStyle="1" w:styleId="42">
    <w:name w:val="日期 Char"/>
    <w:basedOn w:val="31"/>
    <w:link w:val="18"/>
    <w:qFormat/>
    <w:uiPriority w:val="0"/>
    <w:rPr>
      <w:rFonts w:ascii="Times New Roman" w:hAnsi="Times New Roman" w:eastAsia="宋体" w:cs="Times New Roman"/>
      <w:color w:val="000000"/>
      <w:kern w:val="0"/>
      <w:szCs w:val="21"/>
    </w:rPr>
  </w:style>
  <w:style w:type="character" w:customStyle="1" w:styleId="43">
    <w:name w:val="批注框文本 Char"/>
    <w:basedOn w:val="31"/>
    <w:link w:val="19"/>
    <w:qFormat/>
    <w:uiPriority w:val="0"/>
    <w:rPr>
      <w:rFonts w:ascii="Times New Roman" w:hAnsi="Times New Roman" w:eastAsia="宋体" w:cs="Times New Roman"/>
      <w:color w:val="000000"/>
      <w:kern w:val="0"/>
      <w:sz w:val="18"/>
      <w:szCs w:val="18"/>
    </w:rPr>
  </w:style>
  <w:style w:type="character" w:customStyle="1" w:styleId="44">
    <w:name w:val="页脚 Char"/>
    <w:basedOn w:val="31"/>
    <w:link w:val="20"/>
    <w:qFormat/>
    <w:uiPriority w:val="0"/>
    <w:rPr>
      <w:rFonts w:ascii="Times New Roman" w:hAnsi="Times New Roman" w:eastAsia="宋体" w:cs="Times New Roman"/>
      <w:color w:val="000000"/>
      <w:kern w:val="0"/>
      <w:sz w:val="18"/>
      <w:szCs w:val="18"/>
    </w:rPr>
  </w:style>
  <w:style w:type="character" w:customStyle="1" w:styleId="45">
    <w:name w:val="页眉 Char1"/>
    <w:link w:val="21"/>
    <w:qFormat/>
    <w:uiPriority w:val="0"/>
    <w:rPr>
      <w:rFonts w:eastAsia="??"/>
      <w:sz w:val="18"/>
      <w:szCs w:val="28"/>
    </w:rPr>
  </w:style>
  <w:style w:type="character" w:customStyle="1" w:styleId="46">
    <w:name w:val="正文文本缩进 3 Char"/>
    <w:basedOn w:val="31"/>
    <w:link w:val="23"/>
    <w:qFormat/>
    <w:uiPriority w:val="0"/>
    <w:rPr>
      <w:rFonts w:ascii="Times New Roman" w:hAnsi="Times New Roman" w:eastAsia="宋体" w:cs="Times New Roman"/>
      <w:szCs w:val="24"/>
    </w:rPr>
  </w:style>
  <w:style w:type="character" w:customStyle="1" w:styleId="47">
    <w:name w:val="正文文本 2 Char"/>
    <w:basedOn w:val="31"/>
    <w:link w:val="25"/>
    <w:qFormat/>
    <w:uiPriority w:val="0"/>
    <w:rPr>
      <w:rFonts w:ascii="Times New Roman" w:hAnsi="Times New Roman" w:eastAsia="宋体" w:cs="Times New Roman"/>
      <w:color w:val="000000"/>
      <w:kern w:val="0"/>
      <w:szCs w:val="21"/>
    </w:rPr>
  </w:style>
  <w:style w:type="paragraph" w:customStyle="1" w:styleId="48">
    <w:name w:val="Body Text First Indent 2"/>
    <w:basedOn w:val="4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49">
    <w:name w:val="Body Text Indent"/>
    <w:basedOn w:val="1"/>
    <w:next w:val="1"/>
    <w:qFormat/>
    <w:uiPriority w:val="0"/>
    <w:pPr>
      <w:spacing w:after="120" w:afterLines="0"/>
      <w:ind w:left="420" w:leftChars="200"/>
    </w:pPr>
    <w:rPr>
      <w:color w:val="000000"/>
      <w:sz w:val="21"/>
      <w:szCs w:val="21"/>
    </w:rPr>
  </w:style>
  <w:style w:type="paragraph" w:customStyle="1" w:styleId="5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51">
    <w:name w:val="样式 正文首行缩进 2 + Arial"/>
    <w:basedOn w:val="1"/>
    <w:next w:val="1"/>
    <w:qFormat/>
    <w:uiPriority w:val="0"/>
    <w:pPr>
      <w:spacing w:after="120" w:afterLines="0" w:line="320" w:lineRule="atLeast"/>
      <w:ind w:firstLine="200" w:firstLineChars="200"/>
    </w:pPr>
    <w:rPr>
      <w:rFonts w:ascii="Arial" w:hAnsi="Arial"/>
      <w:kern w:val="0"/>
    </w:rPr>
  </w:style>
  <w:style w:type="paragraph" w:customStyle="1" w:styleId="52">
    <w:name w:val="表格文字"/>
    <w:basedOn w:val="53"/>
    <w:next w:val="14"/>
    <w:qFormat/>
    <w:uiPriority w:val="0"/>
    <w:pPr>
      <w:adjustRightInd w:val="0"/>
      <w:spacing w:line="420" w:lineRule="atLeast"/>
      <w:textAlignment w:val="baseline"/>
    </w:pPr>
    <w:rPr>
      <w:szCs w:val="24"/>
    </w:rPr>
  </w:style>
  <w:style w:type="paragraph" w:customStyle="1" w:styleId="53">
    <w:name w:val="表格文字（两侧对齐）"/>
    <w:basedOn w:val="1"/>
    <w:qFormat/>
    <w:uiPriority w:val="0"/>
    <w:pPr>
      <w:snapToGrid w:val="0"/>
    </w:pPr>
    <w:rPr>
      <w:sz w:val="20"/>
      <w:szCs w:val="24"/>
    </w:rPr>
  </w:style>
  <w:style w:type="character" w:customStyle="1" w:styleId="54">
    <w:name w:val="bookmark-item"/>
    <w:basedOn w:val="31"/>
    <w:qFormat/>
    <w:uiPriority w:val="0"/>
  </w:style>
  <w:style w:type="character" w:customStyle="1" w:styleId="55">
    <w:name w:val="正文文字2 Char"/>
    <w:link w:val="56"/>
    <w:qFormat/>
    <w:uiPriority w:val="0"/>
    <w:rPr>
      <w:rFonts w:ascii="Arial" w:hAnsi="Times New Roman" w:eastAsia="黑体" w:cs="Times New Roman"/>
      <w:kern w:val="0"/>
      <w:sz w:val="20"/>
      <w:szCs w:val="20"/>
    </w:rPr>
  </w:style>
  <w:style w:type="paragraph" w:customStyle="1" w:styleId="56">
    <w:name w:val="正文文字2"/>
    <w:basedOn w:val="14"/>
    <w:next w:val="8"/>
    <w:link w:val="55"/>
    <w:qFormat/>
    <w:uiPriority w:val="0"/>
    <w:pPr>
      <w:autoSpaceDE/>
      <w:autoSpaceDN/>
      <w:spacing w:after="60" w:afterLines="0" w:line="360" w:lineRule="atLeast"/>
      <w:ind w:left="72" w:right="72"/>
      <w:jc w:val="center"/>
      <w:textAlignment w:val="baseline"/>
    </w:pPr>
    <w:rPr>
      <w:rFonts w:ascii="Arial" w:hAnsi="Times New Roman" w:eastAsia="黑体" w:cs="Times New Roman"/>
      <w:kern w:val="0"/>
      <w:sz w:val="20"/>
      <w:szCs w:val="20"/>
    </w:rPr>
  </w:style>
  <w:style w:type="character" w:customStyle="1" w:styleId="57">
    <w:name w:val="font71"/>
    <w:basedOn w:val="31"/>
    <w:qFormat/>
    <w:uiPriority w:val="0"/>
    <w:rPr>
      <w:rFonts w:hint="eastAsia" w:ascii="宋体" w:hAnsi="宋体" w:eastAsia="宋体" w:cs="宋体"/>
      <w:color w:val="FF0000"/>
      <w:kern w:val="2"/>
      <w:sz w:val="18"/>
      <w:szCs w:val="18"/>
      <w:u w:val="none"/>
    </w:rPr>
  </w:style>
  <w:style w:type="character" w:customStyle="1" w:styleId="58">
    <w:name w:val="font61"/>
    <w:qFormat/>
    <w:uiPriority w:val="0"/>
    <w:rPr>
      <w:rFonts w:hint="eastAsia" w:ascii="宋体" w:hAnsi="宋体" w:eastAsia="宋体" w:cs="宋体"/>
      <w:color w:val="FF0000"/>
      <w:kern w:val="2"/>
      <w:sz w:val="18"/>
      <w:szCs w:val="18"/>
      <w:u w:val="none"/>
    </w:rPr>
  </w:style>
  <w:style w:type="character" w:customStyle="1" w:styleId="59">
    <w:name w:val="NormalCharacter"/>
    <w:qFormat/>
    <w:uiPriority w:val="0"/>
  </w:style>
  <w:style w:type="character" w:customStyle="1" w:styleId="60">
    <w:name w:val="页眉 Char"/>
    <w:basedOn w:val="31"/>
    <w:qFormat/>
    <w:uiPriority w:val="0"/>
    <w:rPr>
      <w:rFonts w:ascii="Times New Roman" w:hAnsi="Times New Roman" w:eastAsia="宋体" w:cs="Times New Roman"/>
      <w:color w:val="000000"/>
      <w:kern w:val="0"/>
      <w:sz w:val="18"/>
      <w:szCs w:val="18"/>
    </w:rPr>
  </w:style>
  <w:style w:type="character" w:customStyle="1" w:styleId="61">
    <w:name w:val="font81"/>
    <w:qFormat/>
    <w:uiPriority w:val="0"/>
    <w:rPr>
      <w:rFonts w:hint="eastAsia" w:ascii="宋体" w:hAnsi="宋体" w:eastAsia="宋体" w:cs="宋体"/>
      <w:color w:val="FFC000"/>
      <w:kern w:val="2"/>
      <w:sz w:val="18"/>
      <w:szCs w:val="18"/>
      <w:u w:val="none"/>
    </w:rPr>
  </w:style>
  <w:style w:type="character" w:customStyle="1" w:styleId="62">
    <w:name w:val="font31"/>
    <w:qFormat/>
    <w:uiPriority w:val="0"/>
    <w:rPr>
      <w:rFonts w:hint="default" w:ascii="仿宋_GB2312" w:eastAsia="仿宋_GB2312" w:cs="仿宋_GB2312"/>
      <w:color w:val="000000"/>
      <w:sz w:val="20"/>
      <w:szCs w:val="20"/>
      <w:u w:val="none"/>
      <w:vertAlign w:val="superscript"/>
    </w:rPr>
  </w:style>
  <w:style w:type="character" w:customStyle="1" w:styleId="63">
    <w:name w:val="font51"/>
    <w:qFormat/>
    <w:uiPriority w:val="0"/>
    <w:rPr>
      <w:rFonts w:hint="eastAsia" w:ascii="宋体" w:hAnsi="宋体" w:eastAsia="宋体" w:cs="宋体"/>
      <w:color w:val="FFC000"/>
      <w:kern w:val="2"/>
      <w:sz w:val="18"/>
      <w:szCs w:val="18"/>
      <w:u w:val="none"/>
    </w:rPr>
  </w:style>
  <w:style w:type="character" w:customStyle="1" w:styleId="64">
    <w:name w:val="page number"/>
    <w:qFormat/>
    <w:uiPriority w:val="0"/>
  </w:style>
  <w:style w:type="character" w:customStyle="1" w:styleId="65">
    <w:name w:val="font21"/>
    <w:qFormat/>
    <w:uiPriority w:val="0"/>
    <w:rPr>
      <w:rFonts w:hint="eastAsia" w:ascii="宋体" w:hAnsi="宋体" w:eastAsia="宋体" w:cs="宋体"/>
      <w:b/>
      <w:color w:val="000000"/>
      <w:kern w:val="2"/>
      <w:sz w:val="24"/>
      <w:szCs w:val="24"/>
      <w:u w:val="none"/>
    </w:rPr>
  </w:style>
  <w:style w:type="character" w:customStyle="1" w:styleId="66">
    <w:name w:val="font101"/>
    <w:qFormat/>
    <w:uiPriority w:val="0"/>
    <w:rPr>
      <w:rFonts w:hint="eastAsia" w:ascii="宋体" w:hAnsi="宋体" w:eastAsia="宋体" w:cs="宋体"/>
      <w:color w:val="FFCC00"/>
      <w:kern w:val="2"/>
      <w:sz w:val="18"/>
      <w:szCs w:val="18"/>
      <w:u w:val="none"/>
    </w:rPr>
  </w:style>
  <w:style w:type="character" w:customStyle="1" w:styleId="67">
    <w:name w:val="font11"/>
    <w:basedOn w:val="31"/>
    <w:qFormat/>
    <w:uiPriority w:val="0"/>
    <w:rPr>
      <w:rFonts w:hint="eastAsia" w:ascii="宋体" w:hAnsi="宋体" w:eastAsia="宋体" w:cs="宋体"/>
      <w:color w:val="000000"/>
      <w:sz w:val="21"/>
      <w:szCs w:val="21"/>
      <w:u w:val="none"/>
    </w:rPr>
  </w:style>
  <w:style w:type="character" w:customStyle="1" w:styleId="68">
    <w:name w:val="标题 1 字符"/>
    <w:qFormat/>
    <w:uiPriority w:val="0"/>
    <w:rPr>
      <w:rFonts w:ascii="??" w:hAnsi="??" w:eastAsia="??" w:cs="宋体"/>
      <w:b/>
      <w:kern w:val="36"/>
      <w:sz w:val="32"/>
      <w:szCs w:val="28"/>
    </w:rPr>
  </w:style>
  <w:style w:type="character" w:customStyle="1" w:styleId="69">
    <w:name w:val="font91"/>
    <w:qFormat/>
    <w:uiPriority w:val="0"/>
    <w:rPr>
      <w:rFonts w:hint="eastAsia" w:ascii="宋体" w:hAnsi="宋体" w:eastAsia="宋体" w:cs="宋体"/>
      <w:color w:val="FF0000"/>
      <w:kern w:val="2"/>
      <w:sz w:val="18"/>
      <w:szCs w:val="18"/>
      <w:u w:val="none"/>
    </w:rPr>
  </w:style>
  <w:style w:type="character" w:customStyle="1" w:styleId="70">
    <w:name w:val="font112"/>
    <w:qFormat/>
    <w:uiPriority w:val="0"/>
    <w:rPr>
      <w:rFonts w:hint="eastAsia" w:ascii="宋体" w:hAnsi="宋体" w:eastAsia="宋体" w:cs="宋体"/>
      <w:color w:val="FFC000"/>
      <w:kern w:val="2"/>
      <w:sz w:val="18"/>
      <w:szCs w:val="18"/>
      <w:u w:val="none"/>
    </w:rPr>
  </w:style>
  <w:style w:type="character" w:customStyle="1" w:styleId="71">
    <w:name w:val="纯文本 Char"/>
    <w:basedOn w:val="31"/>
    <w:qFormat/>
    <w:uiPriority w:val="0"/>
    <w:rPr>
      <w:rFonts w:ascii="宋体" w:hAnsi="Courier New" w:eastAsia="宋体" w:cs="Courier New"/>
      <w:color w:val="000000"/>
      <w:kern w:val="0"/>
      <w:szCs w:val="21"/>
    </w:rPr>
  </w:style>
  <w:style w:type="character" w:customStyle="1" w:styleId="72">
    <w:name w:val="font01"/>
    <w:basedOn w:val="31"/>
    <w:qFormat/>
    <w:uiPriority w:val="0"/>
    <w:rPr>
      <w:rFonts w:hint="default" w:ascii="Times New Roman" w:hAnsi="Times New Roman" w:cs="Times New Roman"/>
      <w:color w:val="000000"/>
      <w:sz w:val="21"/>
      <w:szCs w:val="21"/>
      <w:u w:val="none"/>
    </w:rPr>
  </w:style>
  <w:style w:type="paragraph" w:customStyle="1" w:styleId="73">
    <w:name w:val="reader-word-layer reader-word-s1-16"/>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4">
    <w:name w:val="!我的正文 Ctr+Q"/>
    <w:basedOn w:val="1"/>
    <w:qFormat/>
    <w:uiPriority w:val="0"/>
    <w:pPr>
      <w:adjustRightInd w:val="0"/>
      <w:snapToGrid w:val="0"/>
      <w:spacing w:line="360" w:lineRule="auto"/>
      <w:ind w:firstLine="480" w:firstLineChars="200"/>
    </w:pPr>
    <w:rPr>
      <w:rFonts w:ascii="Arial" w:hAnsi="Arial"/>
      <w:kern w:val="0"/>
      <w:sz w:val="24"/>
      <w:szCs w:val="21"/>
    </w:rPr>
  </w:style>
  <w:style w:type="paragraph" w:customStyle="1" w:styleId="75">
    <w:name w:val="表格"/>
    <w:basedOn w:val="1"/>
    <w:qFormat/>
    <w:uiPriority w:val="0"/>
    <w:pPr>
      <w:jc w:val="center"/>
      <w:textAlignment w:val="center"/>
    </w:pPr>
    <w:rPr>
      <w:rFonts w:ascii="华文细黑" w:hAnsi="华文细黑"/>
      <w:kern w:val="0"/>
      <w:sz w:val="20"/>
      <w:szCs w:val="20"/>
    </w:rPr>
  </w:style>
  <w:style w:type="paragraph" w:customStyle="1" w:styleId="76">
    <w:name w:val="Other|1"/>
    <w:basedOn w:val="1"/>
    <w:qFormat/>
    <w:uiPriority w:val="0"/>
    <w:pPr>
      <w:wordWrap w:val="0"/>
      <w:spacing w:line="437" w:lineRule="auto"/>
      <w:ind w:firstLine="200" w:firstLineChars="200"/>
    </w:pPr>
    <w:rPr>
      <w:rFonts w:ascii="宋体" w:hAnsi="宋体" w:cs="宋体"/>
      <w:sz w:val="26"/>
      <w:szCs w:val="26"/>
      <w:lang w:val="zh-TW" w:eastAsia="zh-TW" w:bidi="zh-TW"/>
    </w:rPr>
  </w:style>
  <w:style w:type="paragraph" w:customStyle="1" w:styleId="77">
    <w:name w:val="彩色列表 - 强调文字颜色 11"/>
    <w:basedOn w:val="1"/>
    <w:qFormat/>
    <w:uiPriority w:val="0"/>
    <w:pPr>
      <w:ind w:firstLine="420" w:firstLineChars="200"/>
    </w:pPr>
  </w:style>
  <w:style w:type="paragraph" w:customStyle="1" w:styleId="78">
    <w:name w:val="正文首行缩进 21"/>
    <w:basedOn w:val="79"/>
    <w:qFormat/>
    <w:uiPriority w:val="0"/>
    <w:pPr>
      <w:ind w:firstLine="420"/>
    </w:pPr>
    <w:rPr>
      <w:rFonts w:ascii="Times New Roman" w:hAnsi="Times New Roman" w:eastAsia="宋体" w:cs="宋体"/>
    </w:rPr>
  </w:style>
  <w:style w:type="paragraph" w:customStyle="1" w:styleId="79">
    <w:name w:val="正文文本缩进1"/>
    <w:basedOn w:val="1"/>
    <w:next w:val="1"/>
    <w:qFormat/>
    <w:uiPriority w:val="0"/>
    <w:pPr>
      <w:ind w:left="420" w:leftChars="200"/>
    </w:pPr>
    <w:rPr>
      <w:color w:val="000000"/>
      <w:szCs w:val="21"/>
    </w:rPr>
  </w:style>
  <w:style w:type="paragraph" w:customStyle="1" w:styleId="80">
    <w:name w:val="p0"/>
    <w:next w:val="24"/>
    <w:qFormat/>
    <w:uiPriority w:val="0"/>
    <w:pPr>
      <w:snapToGrid w:val="0"/>
    </w:pPr>
    <w:rPr>
      <w:rFonts w:ascii="Times New Roman" w:hAnsi="Times New Roman" w:eastAsia="宋体" w:cs="Times New Roman"/>
      <w:sz w:val="21"/>
      <w:szCs w:val="21"/>
      <w:lang w:val="en-US" w:eastAsia="zh-CN" w:bidi="ar-SA"/>
    </w:rPr>
  </w:style>
  <w:style w:type="paragraph" w:customStyle="1" w:styleId="81">
    <w:name w:val="Normal"/>
    <w:qFormat/>
    <w:uiPriority w:val="0"/>
    <w:rPr>
      <w:rFonts w:ascii="Times New Roman" w:hAnsi="Times New Roman" w:eastAsia="Times New Roman" w:cs="Times New Roman"/>
      <w:sz w:val="24"/>
      <w:szCs w:val="24"/>
      <w:lang w:val="en-US" w:eastAsia="zh-CN" w:bidi="ar-SA"/>
    </w:rPr>
  </w:style>
  <w:style w:type="paragraph" w:customStyle="1" w:styleId="82">
    <w:name w:val="Default"/>
    <w:next w:val="83"/>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8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列出段落1"/>
    <w:basedOn w:val="1"/>
    <w:qFormat/>
    <w:uiPriority w:val="0"/>
    <w:pPr>
      <w:spacing w:line="413" w:lineRule="auto"/>
      <w:ind w:left="420" w:firstLine="420" w:firstLineChars="200"/>
      <w:jc w:val="left"/>
    </w:pPr>
    <w:rPr>
      <w:rFonts w:ascii="Calibri" w:hAnsi="Calibri" w:eastAsia="宋体" w:cs="宋体"/>
      <w:sz w:val="28"/>
    </w:rPr>
  </w:style>
  <w:style w:type="paragraph" w:customStyle="1" w:styleId="8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88">
    <w:name w:val="正文文本首行缩进 21"/>
    <w:basedOn w:val="79"/>
    <w:qFormat/>
    <w:uiPriority w:val="0"/>
    <w:pPr>
      <w:spacing w:after="120" w:afterLines="0"/>
      <w:ind w:left="420" w:leftChars="200" w:firstLine="420"/>
    </w:pPr>
    <w:rPr>
      <w:rFonts w:cs="宋体"/>
    </w:rPr>
  </w:style>
  <w:style w:type="paragraph" w:customStyle="1" w:styleId="89">
    <w:name w:val="标准正文"/>
    <w:basedOn w:val="1"/>
    <w:qFormat/>
    <w:uiPriority w:val="0"/>
    <w:pPr>
      <w:spacing w:after="156" w:afterLines="50"/>
      <w:ind w:firstLine="200" w:firstLineChars="200"/>
    </w:pPr>
    <w:rPr>
      <w:rFonts w:eastAsia="宋体"/>
      <w:sz w:val="24"/>
      <w:szCs w:val="21"/>
    </w:rPr>
  </w:style>
  <w:style w:type="paragraph" w:customStyle="1" w:styleId="90">
    <w:name w:val="Table Paragraph"/>
    <w:basedOn w:val="1"/>
    <w:qFormat/>
    <w:uiPriority w:val="0"/>
    <w:pPr>
      <w:jc w:val="left"/>
    </w:pPr>
    <w:rPr>
      <w:rFonts w:ascii="等线" w:hAnsi="等线" w:eastAsia="等线"/>
      <w:kern w:val="0"/>
      <w:sz w:val="22"/>
      <w:szCs w:val="22"/>
      <w:lang w:eastAsia="en-US"/>
    </w:rPr>
  </w:style>
  <w:style w:type="paragraph" w:customStyle="1" w:styleId="91">
    <w:name w:val="正文文本1"/>
    <w:basedOn w:val="1"/>
    <w:qFormat/>
    <w:uiPriority w:val="0"/>
    <w:pPr>
      <w:shd w:val="clear" w:color="auto" w:fill="FFFFFF"/>
      <w:spacing w:line="360" w:lineRule="auto"/>
      <w:jc w:val="left"/>
    </w:pPr>
    <w:rPr>
      <w:rFonts w:ascii="黑体" w:hAnsi="黑体" w:eastAsia="黑体" w:cs="黑体"/>
      <w:sz w:val="22"/>
      <w:szCs w:val="22"/>
      <w:lang w:val="zh-CN" w:bidi="zh-CN"/>
    </w:rPr>
  </w:style>
  <w:style w:type="paragraph" w:customStyle="1" w:styleId="92">
    <w:name w:val="List Paragraph"/>
    <w:basedOn w:val="1"/>
    <w:next w:val="1"/>
    <w:qFormat/>
    <w:uiPriority w:val="0"/>
    <w:pPr>
      <w:autoSpaceDE/>
      <w:autoSpaceDN/>
      <w:adjustRightInd/>
      <w:ind w:firstLine="420" w:firstLineChars="200"/>
    </w:pPr>
    <w:rPr>
      <w:rFonts w:ascii="Calibri" w:hAnsi="Calibri"/>
      <w:color w:val="auto"/>
      <w:sz w:val="20"/>
      <w:szCs w:val="22"/>
    </w:rPr>
  </w:style>
  <w:style w:type="paragraph" w:customStyle="1" w:styleId="93">
    <w:name w:val="章标题"/>
    <w:next w:val="87"/>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94">
    <w:name w:val="jd-正文1"/>
    <w:basedOn w:val="1"/>
    <w:qFormat/>
    <w:uiPriority w:val="0"/>
    <w:pPr>
      <w:widowControl/>
      <w:spacing w:line="360" w:lineRule="auto"/>
      <w:ind w:firstLine="482" w:firstLineChars="200"/>
    </w:pPr>
    <w:rPr>
      <w:rFonts w:ascii="宋体" w:hAnsi="宋体" w:cs="宋体"/>
      <w:sz w:val="24"/>
      <w:szCs w:val="20"/>
    </w:rPr>
  </w:style>
  <w:style w:type="paragraph" w:customStyle="1" w:styleId="95">
    <w:name w:val="正文段"/>
    <w:basedOn w:val="1"/>
    <w:next w:val="10"/>
    <w:qFormat/>
    <w:uiPriority w:val="0"/>
    <w:pPr>
      <w:widowControl/>
      <w:autoSpaceDE/>
      <w:autoSpaceDN/>
      <w:adjustRightInd/>
      <w:snapToGrid w:val="0"/>
      <w:spacing w:after="156" w:afterLines="50"/>
      <w:ind w:firstLine="200" w:firstLineChars="200"/>
    </w:pPr>
    <w:rPr>
      <w:color w:val="auto"/>
      <w:sz w:val="24"/>
      <w:szCs w:val="20"/>
    </w:rPr>
  </w:style>
  <w:style w:type="paragraph" w:customStyle="1" w:styleId="96">
    <w:name w:val="index 5"/>
    <w:basedOn w:val="1"/>
    <w:next w:val="1"/>
    <w:qFormat/>
    <w:uiPriority w:val="0"/>
    <w:pPr>
      <w:ind w:left="800" w:leftChars="800"/>
    </w:pPr>
  </w:style>
  <w:style w:type="paragraph" w:customStyle="1" w:styleId="97">
    <w:name w:val="一级条标题"/>
    <w:next w:val="87"/>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98">
    <w:name w:val="Table caption|1"/>
    <w:basedOn w:val="1"/>
    <w:qFormat/>
    <w:uiPriority w:val="0"/>
    <w:pPr>
      <w:widowControl w:val="0"/>
      <w:shd w:val="clear" w:color="auto" w:fill="auto"/>
      <w:spacing w:line="463" w:lineRule="auto"/>
      <w:ind w:firstLine="400"/>
    </w:pPr>
    <w:rPr>
      <w:sz w:val="20"/>
      <w:szCs w:val="20"/>
      <w:u w:val="none"/>
      <w:shd w:val="clear" w:color="auto" w:fill="auto"/>
      <w:lang w:val="zh-TW" w:eastAsia="zh-TW" w:bidi="zh-TW"/>
    </w:rPr>
  </w:style>
  <w:style w:type="paragraph" w:styleId="99">
    <w:name w:val="No Spacing"/>
    <w:qFormat/>
    <w:uiPriority w:val="0"/>
    <w:rPr>
      <w:rFonts w:ascii="Calibri" w:hAnsi="Calibri" w:eastAsia="宋体" w:cs="Times New Roman"/>
      <w:sz w:val="22"/>
      <w:szCs w:val="22"/>
      <w:lang w:val="en-US" w:eastAsia="en-US" w:bidi="ar-SA"/>
    </w:rPr>
  </w:style>
  <w:style w:type="paragraph" w:customStyle="1" w:styleId="100">
    <w:name w:val="Body text|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101">
    <w:name w:val="Normal Indent"/>
    <w:basedOn w:val="1"/>
    <w:next w:val="1"/>
    <w:qFormat/>
    <w:uiPriority w:val="0"/>
    <w:pPr>
      <w:widowControl/>
      <w:snapToGrid w:val="0"/>
      <w:spacing w:line="480" w:lineRule="exact"/>
      <w:ind w:firstLine="567"/>
    </w:pPr>
    <w:rPr>
      <w:rFonts w:ascii="宋体" w:eastAsia="宋体"/>
      <w:snapToGrid w:val="0"/>
      <w:color w:val="000000"/>
      <w:kern w:val="28"/>
      <w:sz w:val="28"/>
      <w:lang w:val="en-US" w:eastAsia="zh-CN"/>
    </w:rPr>
  </w:style>
  <w:style w:type="paragraph" w:customStyle="1" w:styleId="102">
    <w:name w:val="索引 11"/>
    <w:basedOn w:val="1"/>
    <w:next w:val="1"/>
    <w:qFormat/>
    <w:uiPriority w:val="99"/>
    <w:pPr>
      <w:adjustRightInd/>
      <w:spacing w:line="360" w:lineRule="auto"/>
    </w:pPr>
    <w:rPr>
      <w:rFonts w:ascii="仿宋_GB2312" w:eastAsia="仿宋_GB2312"/>
      <w:sz w:val="24"/>
      <w:szCs w:val="20"/>
    </w:rPr>
  </w:style>
  <w:style w:type="paragraph" w:customStyle="1" w:styleId="103">
    <w:name w:val="纯文本_0_0"/>
    <w:basedOn w:val="104"/>
    <w:qFormat/>
    <w:uiPriority w:val="99"/>
    <w:rPr>
      <w:rFonts w:ascii="宋体" w:hAnsi="Courier New"/>
      <w:szCs w:val="20"/>
    </w:rPr>
  </w:style>
  <w:style w:type="paragraph" w:customStyle="1" w:styleId="104">
    <w:name w:val="正文_1_0"/>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22994</Words>
  <Characters>24450</Characters>
  <Lines>219</Lines>
  <Paragraphs>61</Paragraphs>
  <TotalTime>96</TotalTime>
  <ScaleCrop>false</ScaleCrop>
  <LinksUpToDate>false</LinksUpToDate>
  <CharactersWithSpaces>24860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2020-02-25T16:07:00Z</dcterms:created>
  <dc:creator>Lenovo</dc:creator>
  <cp:lastModifiedBy>=</cp:lastModifiedBy>
  <cp:lastPrinted>2025-02-12T05:13:00Z</cp:lastPrinted>
  <dcterms:modified xsi:type="dcterms:W3CDTF">2025-02-24T09:01:39Z</dcterms:modified>
  <dc:title>2022年园林设施零星建设及维修—春节布展（2023）采购项目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CA6ED7335C8A46758FA791ECAA945324_13</vt:lpwstr>
  </property>
  <property fmtid="{D5CDD505-2E9C-101B-9397-08002B2CF9AE}" pid="4" name="KSOTemplateDocerSaveRecord">
    <vt:lpwstr>eyJoZGlkIjoiOGRkZWUyMWJiMjdiZDEyODAxOGE4Nzg5ZTU5MjM3MTMiLCJ1c2VySWQiOiI2NDUxNTI1NjAifQ==</vt:lpwstr>
  </property>
</Properties>
</file>