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8771C">
      <w:pPr>
        <w:spacing w:line="360" w:lineRule="auto"/>
        <w:jc w:val="center"/>
        <w:rPr>
          <w:rFonts w:cs="仿宋_GB2312" w:asciiTheme="majorEastAsia" w:hAnsiTheme="majorEastAsia" w:eastAsiaTheme="majorEastAsia"/>
          <w:color w:val="auto"/>
          <w:sz w:val="48"/>
          <w:szCs w:val="48"/>
          <w:highlight w:val="none"/>
        </w:rPr>
      </w:pPr>
    </w:p>
    <w:p w14:paraId="4D90BD36">
      <w:pPr>
        <w:spacing w:line="360" w:lineRule="auto"/>
        <w:jc w:val="center"/>
        <w:rPr>
          <w:rFonts w:hint="eastAsia" w:cs="仿宋_GB2312" w:asciiTheme="majorEastAsia" w:hAnsiTheme="majorEastAsia" w:eastAsiaTheme="majorEastAsia"/>
          <w:color w:val="auto"/>
          <w:sz w:val="48"/>
          <w:szCs w:val="48"/>
          <w:highlight w:val="none"/>
        </w:rPr>
      </w:pPr>
      <w:r>
        <w:rPr>
          <w:rFonts w:hint="eastAsia" w:cs="仿宋_GB2312" w:asciiTheme="majorEastAsia" w:hAnsiTheme="majorEastAsia" w:eastAsiaTheme="majorEastAsia"/>
          <w:color w:val="auto"/>
          <w:sz w:val="48"/>
          <w:szCs w:val="48"/>
          <w:highlight w:val="none"/>
        </w:rPr>
        <w:t xml:space="preserve"> </w:t>
      </w:r>
    </w:p>
    <w:p w14:paraId="66818BB1">
      <w:pPr>
        <w:spacing w:line="360" w:lineRule="auto"/>
        <w:jc w:val="center"/>
        <w:rPr>
          <w:rFonts w:hint="eastAsia" w:cs="仿宋_GB2312" w:asciiTheme="majorEastAsia" w:hAnsiTheme="majorEastAsia" w:eastAsiaTheme="majorEastAsia"/>
          <w:color w:val="auto"/>
          <w:sz w:val="48"/>
          <w:szCs w:val="48"/>
          <w:highlight w:val="none"/>
          <w:u w:val="single"/>
          <w:lang w:eastAsia="zh-CN"/>
        </w:rPr>
      </w:pPr>
      <w:r>
        <w:rPr>
          <w:rFonts w:hint="eastAsia" w:cs="仿宋_GB2312" w:asciiTheme="majorEastAsia" w:hAnsiTheme="majorEastAsia" w:eastAsiaTheme="majorEastAsia"/>
          <w:color w:val="auto"/>
          <w:sz w:val="48"/>
          <w:szCs w:val="48"/>
          <w:highlight w:val="none"/>
          <w:u w:val="single"/>
          <w:lang w:eastAsia="zh-CN"/>
        </w:rPr>
        <w:t>奉化区FH61-01-51地块建设项目</w:t>
      </w:r>
    </w:p>
    <w:p w14:paraId="2622D5A2">
      <w:pPr>
        <w:spacing w:line="360" w:lineRule="auto"/>
        <w:jc w:val="center"/>
        <w:rPr>
          <w:rFonts w:hint="eastAsia" w:cs="仿宋_GB2312" w:asciiTheme="majorEastAsia" w:hAnsiTheme="majorEastAsia" w:eastAsiaTheme="majorEastAsia"/>
          <w:color w:val="auto"/>
          <w:sz w:val="48"/>
          <w:szCs w:val="48"/>
          <w:highlight w:val="none"/>
          <w:lang w:eastAsia="zh-CN"/>
        </w:rPr>
      </w:pPr>
      <w:r>
        <w:rPr>
          <w:rFonts w:hint="eastAsia" w:cs="仿宋_GB2312" w:asciiTheme="majorEastAsia" w:hAnsiTheme="majorEastAsia" w:eastAsiaTheme="majorEastAsia"/>
          <w:color w:val="auto"/>
          <w:sz w:val="48"/>
          <w:szCs w:val="48"/>
          <w:highlight w:val="none"/>
          <w:u w:val="single"/>
          <w:lang w:eastAsia="zh-CN"/>
        </w:rPr>
        <w:t>桩基检测项目</w:t>
      </w:r>
    </w:p>
    <w:p w14:paraId="4821E59E">
      <w:pPr>
        <w:spacing w:line="360" w:lineRule="auto"/>
        <w:jc w:val="center"/>
        <w:rPr>
          <w:rFonts w:hint="eastAsia" w:cs="仿宋_GB2312" w:asciiTheme="majorEastAsia" w:hAnsiTheme="majorEastAsia" w:eastAsiaTheme="majorEastAsia"/>
          <w:color w:val="auto"/>
          <w:sz w:val="48"/>
          <w:szCs w:val="48"/>
          <w:highlight w:val="none"/>
        </w:rPr>
      </w:pPr>
    </w:p>
    <w:p w14:paraId="782A9366">
      <w:pPr>
        <w:spacing w:line="360" w:lineRule="auto"/>
        <w:jc w:val="center"/>
        <w:rPr>
          <w:rFonts w:cs="仿宋_GB2312" w:asciiTheme="majorEastAsia" w:hAnsiTheme="majorEastAsia" w:eastAsiaTheme="majorEastAsia"/>
          <w:color w:val="auto"/>
          <w:sz w:val="48"/>
          <w:szCs w:val="48"/>
          <w:highlight w:val="none"/>
        </w:rPr>
      </w:pPr>
      <w:r>
        <w:rPr>
          <w:rFonts w:hint="eastAsia" w:cs="仿宋_GB2312" w:asciiTheme="majorEastAsia" w:hAnsiTheme="majorEastAsia" w:eastAsiaTheme="majorEastAsia"/>
          <w:color w:val="auto"/>
          <w:sz w:val="48"/>
          <w:szCs w:val="48"/>
          <w:highlight w:val="none"/>
        </w:rPr>
        <w:t>招标文件</w:t>
      </w:r>
    </w:p>
    <w:p w14:paraId="765DA9AA">
      <w:pPr>
        <w:spacing w:line="360" w:lineRule="auto"/>
        <w:jc w:val="center"/>
        <w:rPr>
          <w:rFonts w:cs="仿宋_GB2312" w:asciiTheme="majorEastAsia" w:hAnsiTheme="majorEastAsia" w:eastAsiaTheme="majorEastAsia"/>
          <w:b/>
          <w:color w:val="auto"/>
          <w:sz w:val="44"/>
          <w:szCs w:val="44"/>
          <w:highlight w:val="none"/>
        </w:rPr>
      </w:pPr>
      <w:r>
        <w:rPr>
          <w:rFonts w:cs="仿宋_GB2312" w:asciiTheme="majorEastAsia" w:hAnsiTheme="majorEastAsia" w:eastAsiaTheme="majorEastAsia"/>
          <w:b/>
          <w:color w:val="auto"/>
          <w:sz w:val="44"/>
          <w:szCs w:val="44"/>
          <w:highlight w:val="none"/>
        </w:rPr>
        <w:t xml:space="preserve"> （电子招投标）</w:t>
      </w:r>
    </w:p>
    <w:p w14:paraId="5C4B754F">
      <w:pPr>
        <w:snapToGrid w:val="0"/>
        <w:spacing w:line="360" w:lineRule="auto"/>
        <w:jc w:val="center"/>
        <w:rPr>
          <w:rFonts w:cs="仿宋_GB2312" w:asciiTheme="majorEastAsia" w:hAnsiTheme="majorEastAsia" w:eastAsiaTheme="majorEastAsia"/>
          <w:color w:val="auto"/>
          <w:sz w:val="30"/>
          <w:szCs w:val="30"/>
          <w:highlight w:val="none"/>
        </w:rPr>
      </w:pPr>
      <w:r>
        <w:rPr>
          <w:rFonts w:hint="eastAsia" w:cs="仿宋_GB2312" w:asciiTheme="majorEastAsia" w:hAnsiTheme="majorEastAsia" w:eastAsiaTheme="majorEastAsia"/>
          <w:color w:val="auto"/>
          <w:sz w:val="30"/>
          <w:szCs w:val="30"/>
          <w:highlight w:val="none"/>
        </w:rPr>
        <w:t>编号</w:t>
      </w:r>
      <w:r>
        <w:rPr>
          <w:rFonts w:cs="仿宋_GB2312" w:asciiTheme="majorEastAsia" w:hAnsiTheme="majorEastAsia" w:eastAsiaTheme="majorEastAsia"/>
          <w:color w:val="auto"/>
          <w:sz w:val="30"/>
          <w:szCs w:val="30"/>
          <w:highlight w:val="none"/>
        </w:rPr>
        <w:t>:</w:t>
      </w:r>
      <w:r>
        <w:rPr>
          <w:rFonts w:asciiTheme="majorEastAsia" w:hAnsiTheme="majorEastAsia" w:eastAsiaTheme="majorEastAsia"/>
          <w:color w:val="auto"/>
          <w:highlight w:val="none"/>
        </w:rPr>
        <w:t xml:space="preserve"> </w:t>
      </w:r>
      <w:r>
        <w:rPr>
          <w:rFonts w:hint="eastAsia" w:cs="仿宋_GB2312" w:asciiTheme="majorEastAsia" w:hAnsiTheme="majorEastAsia" w:eastAsiaTheme="majorEastAsia"/>
          <w:color w:val="auto"/>
          <w:sz w:val="30"/>
          <w:szCs w:val="30"/>
          <w:highlight w:val="none"/>
          <w:lang w:eastAsia="zh-CN"/>
        </w:rPr>
        <w:t>FHGQZB(202</w:t>
      </w:r>
      <w:r>
        <w:rPr>
          <w:rFonts w:hint="eastAsia" w:cs="仿宋_GB2312" w:asciiTheme="majorEastAsia" w:hAnsiTheme="majorEastAsia" w:eastAsiaTheme="majorEastAsia"/>
          <w:color w:val="auto"/>
          <w:sz w:val="30"/>
          <w:szCs w:val="30"/>
          <w:highlight w:val="none"/>
          <w:lang w:val="en-US" w:eastAsia="zh-CN"/>
        </w:rPr>
        <w:t>5</w:t>
      </w:r>
      <w:r>
        <w:rPr>
          <w:rFonts w:hint="eastAsia" w:cs="仿宋_GB2312" w:asciiTheme="majorEastAsia" w:hAnsiTheme="majorEastAsia" w:eastAsiaTheme="majorEastAsia"/>
          <w:color w:val="auto"/>
          <w:sz w:val="30"/>
          <w:szCs w:val="30"/>
          <w:highlight w:val="none"/>
          <w:lang w:eastAsia="zh-CN"/>
        </w:rPr>
        <w:t>)</w:t>
      </w:r>
      <w:r>
        <w:rPr>
          <w:rFonts w:hint="eastAsia" w:cs="仿宋_GB2312" w:asciiTheme="majorEastAsia" w:hAnsiTheme="majorEastAsia" w:eastAsiaTheme="majorEastAsia"/>
          <w:color w:val="auto"/>
          <w:sz w:val="30"/>
          <w:szCs w:val="30"/>
          <w:highlight w:val="none"/>
          <w:lang w:val="en-US" w:eastAsia="zh-CN"/>
        </w:rPr>
        <w:t>030</w:t>
      </w:r>
      <w:r>
        <w:rPr>
          <w:rFonts w:cs="仿宋_GB2312" w:asciiTheme="majorEastAsia" w:hAnsiTheme="majorEastAsia" w:eastAsiaTheme="majorEastAsia"/>
          <w:color w:val="auto"/>
          <w:sz w:val="30"/>
          <w:szCs w:val="30"/>
          <w:highlight w:val="none"/>
        </w:rPr>
        <w:t>D</w:t>
      </w:r>
    </w:p>
    <w:p w14:paraId="78089B59">
      <w:pPr>
        <w:spacing w:line="360" w:lineRule="auto"/>
        <w:rPr>
          <w:rFonts w:cs="仿宋_GB2312" w:asciiTheme="majorEastAsia" w:hAnsiTheme="majorEastAsia" w:eastAsiaTheme="majorEastAsia"/>
          <w:color w:val="auto"/>
          <w:sz w:val="28"/>
          <w:szCs w:val="20"/>
          <w:highlight w:val="none"/>
        </w:rPr>
      </w:pPr>
    </w:p>
    <w:p w14:paraId="06539B7C">
      <w:pPr>
        <w:spacing w:line="360" w:lineRule="auto"/>
        <w:jc w:val="center"/>
        <w:rPr>
          <w:rFonts w:cs="仿宋_GB2312" w:asciiTheme="majorEastAsia" w:hAnsiTheme="majorEastAsia" w:eastAsiaTheme="majorEastAsia"/>
          <w:b/>
          <w:color w:val="auto"/>
          <w:sz w:val="44"/>
          <w:szCs w:val="44"/>
          <w:highlight w:val="none"/>
        </w:rPr>
      </w:pPr>
      <w:r>
        <w:rPr>
          <w:rFonts w:cs="仿宋_GB2312" w:asciiTheme="majorEastAsia" w:hAnsiTheme="majorEastAsia" w:eastAsiaTheme="majorEastAsia"/>
          <w:b/>
          <w:color w:val="auto"/>
          <w:sz w:val="44"/>
          <w:szCs w:val="44"/>
          <w:highlight w:val="none"/>
        </w:rPr>
        <w:t xml:space="preserve"> </w:t>
      </w:r>
    </w:p>
    <w:p w14:paraId="0DF635E4">
      <w:pPr>
        <w:spacing w:line="360" w:lineRule="auto"/>
        <w:jc w:val="center"/>
        <w:rPr>
          <w:rFonts w:cs="仿宋_GB2312" w:asciiTheme="majorEastAsia" w:hAnsiTheme="majorEastAsia" w:eastAsiaTheme="majorEastAsia"/>
          <w:b/>
          <w:color w:val="auto"/>
          <w:sz w:val="44"/>
          <w:szCs w:val="44"/>
          <w:highlight w:val="none"/>
        </w:rPr>
      </w:pPr>
    </w:p>
    <w:p w14:paraId="53229C6F">
      <w:pPr>
        <w:spacing w:line="360" w:lineRule="auto"/>
        <w:jc w:val="center"/>
        <w:rPr>
          <w:rFonts w:cs="仿宋_GB2312" w:asciiTheme="majorEastAsia" w:hAnsiTheme="majorEastAsia" w:eastAsiaTheme="majorEastAsia"/>
          <w:color w:val="auto"/>
          <w:sz w:val="24"/>
          <w:highlight w:val="none"/>
        </w:rPr>
      </w:pPr>
    </w:p>
    <w:p w14:paraId="04154994">
      <w:pPr>
        <w:spacing w:line="360" w:lineRule="auto"/>
        <w:jc w:val="center"/>
        <w:rPr>
          <w:rFonts w:cs="仿宋_GB2312" w:asciiTheme="majorEastAsia" w:hAnsiTheme="majorEastAsia" w:eastAsiaTheme="majorEastAsia"/>
          <w:color w:val="auto"/>
          <w:sz w:val="24"/>
          <w:highlight w:val="none"/>
        </w:rPr>
      </w:pPr>
    </w:p>
    <w:p w14:paraId="0E555CF1">
      <w:pPr>
        <w:spacing w:line="360" w:lineRule="auto"/>
        <w:rPr>
          <w:rFonts w:cs="仿宋_GB2312" w:asciiTheme="majorEastAsia" w:hAnsiTheme="majorEastAsia" w:eastAsiaTheme="majorEastAsia"/>
          <w:color w:val="auto"/>
          <w:sz w:val="32"/>
          <w:szCs w:val="32"/>
          <w:highlight w:val="none"/>
        </w:rPr>
      </w:pPr>
    </w:p>
    <w:p w14:paraId="6CDABECA">
      <w:pPr>
        <w:snapToGrid w:val="0"/>
        <w:spacing w:line="360" w:lineRule="auto"/>
        <w:ind w:firstLine="960" w:firstLineChars="300"/>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采</w:t>
      </w:r>
      <w:r>
        <w:rPr>
          <w:rFonts w:hint="eastAsia" w:cs="仿宋_GB2312" w:asciiTheme="majorEastAsia" w:hAnsiTheme="majorEastAsia" w:eastAsiaTheme="majorEastAsia"/>
          <w:color w:val="auto"/>
          <w:sz w:val="32"/>
          <w:szCs w:val="32"/>
          <w:highlight w:val="none"/>
          <w:lang w:val="en-US" w:eastAsia="zh-CN"/>
        </w:rPr>
        <w:t xml:space="preserve">   </w:t>
      </w:r>
      <w:r>
        <w:rPr>
          <w:rFonts w:hint="eastAsia" w:cs="仿宋_GB2312" w:asciiTheme="majorEastAsia" w:hAnsiTheme="majorEastAsia" w:eastAsiaTheme="majorEastAsia"/>
          <w:color w:val="auto"/>
          <w:sz w:val="32"/>
          <w:szCs w:val="32"/>
          <w:highlight w:val="none"/>
        </w:rPr>
        <w:t>购</w:t>
      </w:r>
      <w:r>
        <w:rPr>
          <w:rFonts w:hint="eastAsia" w:cs="仿宋_GB2312" w:asciiTheme="majorEastAsia" w:hAnsiTheme="majorEastAsia" w:eastAsiaTheme="majorEastAsia"/>
          <w:color w:val="auto"/>
          <w:sz w:val="32"/>
          <w:szCs w:val="32"/>
          <w:highlight w:val="none"/>
          <w:lang w:val="en-US" w:eastAsia="zh-CN"/>
        </w:rPr>
        <w:t xml:space="preserve">   </w:t>
      </w:r>
      <w:r>
        <w:rPr>
          <w:rFonts w:hint="eastAsia" w:cs="仿宋_GB2312" w:asciiTheme="majorEastAsia" w:hAnsiTheme="majorEastAsia" w:eastAsiaTheme="majorEastAsia"/>
          <w:color w:val="auto"/>
          <w:sz w:val="32"/>
          <w:szCs w:val="32"/>
          <w:highlight w:val="none"/>
        </w:rPr>
        <w:t>人：</w:t>
      </w:r>
      <w:r>
        <w:rPr>
          <w:rFonts w:hint="eastAsia" w:cs="仿宋_GB2312" w:asciiTheme="majorEastAsia" w:hAnsiTheme="majorEastAsia" w:eastAsiaTheme="majorEastAsia"/>
          <w:color w:val="auto"/>
          <w:sz w:val="32"/>
          <w:szCs w:val="32"/>
          <w:highlight w:val="none"/>
          <w:lang w:eastAsia="zh-CN"/>
        </w:rPr>
        <w:t>宁波名新置业有限公司</w:t>
      </w:r>
      <w:r>
        <w:rPr>
          <w:rFonts w:cs="仿宋_GB2312" w:asciiTheme="majorEastAsia" w:hAnsiTheme="majorEastAsia" w:eastAsiaTheme="majorEastAsia"/>
          <w:color w:val="auto"/>
          <w:sz w:val="32"/>
          <w:szCs w:val="32"/>
          <w:highlight w:val="none"/>
        </w:rPr>
        <w:t xml:space="preserve"> </w:t>
      </w:r>
    </w:p>
    <w:p w14:paraId="604AE64E">
      <w:pPr>
        <w:spacing w:line="360" w:lineRule="auto"/>
        <w:ind w:firstLine="960" w:firstLineChars="300"/>
        <w:rPr>
          <w:rFonts w:hint="default" w:cs="仿宋_GB2312" w:asciiTheme="majorEastAsia" w:hAnsiTheme="majorEastAsia" w:eastAsiaTheme="majorEastAsia"/>
          <w:bCs/>
          <w:color w:val="auto"/>
          <w:sz w:val="32"/>
          <w:szCs w:val="32"/>
          <w:highlight w:val="none"/>
          <w:lang w:val="en-US" w:eastAsia="zh-CN"/>
        </w:rPr>
      </w:pPr>
      <w:r>
        <w:rPr>
          <w:rFonts w:hint="eastAsia" w:cs="仿宋_GB2312" w:asciiTheme="majorEastAsia" w:hAnsiTheme="majorEastAsia" w:eastAsiaTheme="majorEastAsia"/>
          <w:bCs/>
          <w:color w:val="auto"/>
          <w:sz w:val="32"/>
          <w:szCs w:val="32"/>
          <w:highlight w:val="none"/>
        </w:rPr>
        <w:t>采购代理机构：</w:t>
      </w:r>
      <w:r>
        <w:rPr>
          <w:rFonts w:hint="eastAsia" w:cs="仿宋_GB2312" w:asciiTheme="majorEastAsia" w:hAnsiTheme="majorEastAsia" w:eastAsiaTheme="majorEastAsia"/>
          <w:bCs/>
          <w:color w:val="auto"/>
          <w:sz w:val="32"/>
          <w:szCs w:val="32"/>
          <w:highlight w:val="none"/>
          <w:lang w:val="en-US" w:eastAsia="zh-CN"/>
        </w:rPr>
        <w:t>宁波锦业工程咨询管理有限公司</w:t>
      </w:r>
    </w:p>
    <w:p w14:paraId="52A65D8C">
      <w:pPr>
        <w:snapToGrid w:val="0"/>
        <w:spacing w:line="360" w:lineRule="auto"/>
        <w:jc w:val="center"/>
        <w:rPr>
          <w:rFonts w:cs="仿宋_GB2312" w:asciiTheme="majorEastAsia" w:hAnsiTheme="majorEastAsia" w:eastAsiaTheme="majorEastAsia"/>
          <w:bCs/>
          <w:color w:val="auto"/>
          <w:sz w:val="32"/>
          <w:szCs w:val="32"/>
          <w:highlight w:val="none"/>
        </w:rPr>
      </w:pPr>
    </w:p>
    <w:p w14:paraId="1C4345C4">
      <w:pPr>
        <w:snapToGrid w:val="0"/>
        <w:spacing w:line="360" w:lineRule="auto"/>
        <w:jc w:val="center"/>
        <w:rPr>
          <w:rFonts w:cs="仿宋_GB2312" w:asciiTheme="majorEastAsia" w:hAnsiTheme="majorEastAsia" w:eastAsiaTheme="majorEastAsia"/>
          <w:bCs/>
          <w:color w:val="auto"/>
          <w:sz w:val="32"/>
          <w:szCs w:val="32"/>
          <w:highlight w:val="none"/>
        </w:rPr>
      </w:pPr>
      <w:r>
        <w:rPr>
          <w:rFonts w:hint="eastAsia" w:cs="仿宋_GB2312" w:asciiTheme="majorEastAsia" w:hAnsiTheme="majorEastAsia" w:eastAsiaTheme="majorEastAsia"/>
          <w:bCs/>
          <w:color w:val="auto"/>
          <w:sz w:val="32"/>
          <w:szCs w:val="32"/>
          <w:highlight w:val="none"/>
        </w:rPr>
        <w:t>二零二</w:t>
      </w:r>
      <w:r>
        <w:rPr>
          <w:rFonts w:hint="eastAsia" w:cs="仿宋_GB2312" w:asciiTheme="majorEastAsia" w:hAnsiTheme="majorEastAsia" w:eastAsiaTheme="majorEastAsia"/>
          <w:bCs/>
          <w:color w:val="auto"/>
          <w:sz w:val="32"/>
          <w:szCs w:val="32"/>
          <w:highlight w:val="none"/>
          <w:lang w:val="en-US" w:eastAsia="zh-CN"/>
        </w:rPr>
        <w:t>五</w:t>
      </w:r>
      <w:r>
        <w:rPr>
          <w:rFonts w:hint="eastAsia" w:cs="仿宋_GB2312" w:asciiTheme="majorEastAsia" w:hAnsiTheme="majorEastAsia" w:eastAsiaTheme="majorEastAsia"/>
          <w:bCs/>
          <w:color w:val="auto"/>
          <w:sz w:val="32"/>
          <w:szCs w:val="32"/>
          <w:highlight w:val="none"/>
        </w:rPr>
        <w:t>年</w:t>
      </w:r>
      <w:r>
        <w:rPr>
          <w:rFonts w:hint="eastAsia" w:cs="仿宋_GB2312" w:asciiTheme="majorEastAsia" w:hAnsiTheme="majorEastAsia" w:eastAsiaTheme="majorEastAsia"/>
          <w:bCs/>
          <w:color w:val="auto"/>
          <w:sz w:val="32"/>
          <w:szCs w:val="32"/>
          <w:highlight w:val="none"/>
          <w:lang w:val="en-US" w:eastAsia="zh-CN"/>
        </w:rPr>
        <w:t>二</w:t>
      </w:r>
      <w:r>
        <w:rPr>
          <w:rFonts w:hint="eastAsia" w:cs="仿宋_GB2312" w:asciiTheme="majorEastAsia" w:hAnsiTheme="majorEastAsia" w:eastAsiaTheme="majorEastAsia"/>
          <w:bCs/>
          <w:color w:val="auto"/>
          <w:sz w:val="32"/>
          <w:szCs w:val="32"/>
          <w:highlight w:val="none"/>
        </w:rPr>
        <w:t>月</w:t>
      </w:r>
    </w:p>
    <w:p w14:paraId="46FDF6EC">
      <w:pPr>
        <w:spacing w:line="360" w:lineRule="auto"/>
        <w:jc w:val="center"/>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br w:type="page"/>
      </w:r>
      <w:bookmarkStart w:id="0" w:name="_Hlt67893495"/>
      <w:bookmarkEnd w:id="0"/>
    </w:p>
    <w:p w14:paraId="46178D81">
      <w:pPr>
        <w:spacing w:line="360" w:lineRule="auto"/>
        <w:jc w:val="center"/>
        <w:rPr>
          <w:rFonts w:cs="仿宋_GB2312" w:asciiTheme="majorEastAsia" w:hAnsiTheme="majorEastAsia" w:eastAsiaTheme="majorEastAsia"/>
          <w:color w:val="auto"/>
          <w:sz w:val="24"/>
          <w:highlight w:val="none"/>
        </w:rPr>
      </w:pPr>
    </w:p>
    <w:p w14:paraId="66A5C975">
      <w:pPr>
        <w:spacing w:line="360" w:lineRule="auto"/>
        <w:jc w:val="center"/>
        <w:rPr>
          <w:rFonts w:cs="仿宋_GB2312" w:asciiTheme="majorEastAsia" w:hAnsiTheme="majorEastAsia" w:eastAsiaTheme="majorEastAsia"/>
          <w:b/>
          <w:color w:val="auto"/>
          <w:sz w:val="48"/>
          <w:szCs w:val="48"/>
          <w:highlight w:val="none"/>
        </w:rPr>
      </w:pPr>
      <w:r>
        <w:rPr>
          <w:rFonts w:hint="eastAsia" w:cs="仿宋_GB2312" w:asciiTheme="majorEastAsia" w:hAnsiTheme="majorEastAsia" w:eastAsiaTheme="majorEastAsia"/>
          <w:b/>
          <w:color w:val="auto"/>
          <w:sz w:val="48"/>
          <w:szCs w:val="48"/>
          <w:highlight w:val="none"/>
        </w:rPr>
        <w:t>目</w:t>
      </w:r>
      <w:r>
        <w:rPr>
          <w:rFonts w:cs="仿宋_GB2312" w:asciiTheme="majorEastAsia" w:hAnsiTheme="majorEastAsia" w:eastAsiaTheme="majorEastAsia"/>
          <w:b/>
          <w:color w:val="auto"/>
          <w:sz w:val="48"/>
          <w:szCs w:val="48"/>
          <w:highlight w:val="none"/>
        </w:rPr>
        <w:t xml:space="preserve">  </w:t>
      </w:r>
      <w:r>
        <w:rPr>
          <w:rFonts w:hint="eastAsia" w:cs="仿宋_GB2312" w:asciiTheme="majorEastAsia" w:hAnsiTheme="majorEastAsia" w:eastAsiaTheme="majorEastAsia"/>
          <w:b/>
          <w:color w:val="auto"/>
          <w:sz w:val="48"/>
          <w:szCs w:val="48"/>
          <w:highlight w:val="none"/>
        </w:rPr>
        <w:t>录</w:t>
      </w:r>
    </w:p>
    <w:p w14:paraId="27E21B45">
      <w:pPr>
        <w:spacing w:line="360" w:lineRule="auto"/>
        <w:rPr>
          <w:rFonts w:cs="仿宋_GB2312" w:asciiTheme="majorEastAsia" w:hAnsiTheme="majorEastAsia" w:eastAsiaTheme="majorEastAsia"/>
          <w:color w:val="auto"/>
          <w:sz w:val="32"/>
          <w:szCs w:val="32"/>
          <w:highlight w:val="none"/>
        </w:rPr>
      </w:pPr>
    </w:p>
    <w:p w14:paraId="247EBA77">
      <w:pP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第一部分      招标公告</w:t>
      </w:r>
    </w:p>
    <w:p w14:paraId="63119AFA">
      <w:pP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第二部分      投标须知</w:t>
      </w:r>
    </w:p>
    <w:p w14:paraId="033B9FEC">
      <w:pP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第三部分      采购需求</w:t>
      </w:r>
    </w:p>
    <w:p w14:paraId="2FDCA8C9">
      <w:pP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第四部分      评标办法</w:t>
      </w:r>
    </w:p>
    <w:p w14:paraId="7C38C724">
      <w:pP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第五部分      拟签订的合同文本</w:t>
      </w:r>
    </w:p>
    <w:p w14:paraId="18926EFA">
      <w:pP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第六部分      应提交的有关格式范例</w:t>
      </w:r>
    </w:p>
    <w:p w14:paraId="6A1C396E">
      <w:pPr>
        <w:spacing w:line="360" w:lineRule="auto"/>
        <w:ind w:firstLine="549" w:firstLineChars="229"/>
        <w:rPr>
          <w:rFonts w:cs="仿宋" w:asciiTheme="majorEastAsia" w:hAnsiTheme="majorEastAsia" w:eastAsiaTheme="majorEastAsia"/>
          <w:color w:val="auto"/>
          <w:sz w:val="24"/>
          <w:highlight w:val="none"/>
        </w:rPr>
      </w:pPr>
      <w:bookmarkStart w:id="1" w:name="_Hlt91233176"/>
      <w:bookmarkEnd w:id="1"/>
      <w:bookmarkStart w:id="2" w:name="_Toc91899869"/>
    </w:p>
    <w:p w14:paraId="1DF19EC7">
      <w:pPr>
        <w:spacing w:line="360" w:lineRule="auto"/>
        <w:ind w:firstLine="549" w:firstLineChars="229"/>
        <w:rPr>
          <w:rFonts w:cs="仿宋" w:asciiTheme="majorEastAsia" w:hAnsiTheme="majorEastAsia" w:eastAsiaTheme="majorEastAsia"/>
          <w:color w:val="auto"/>
          <w:sz w:val="24"/>
          <w:highlight w:val="none"/>
        </w:rPr>
      </w:pPr>
    </w:p>
    <w:p w14:paraId="4860437B">
      <w:pPr>
        <w:spacing w:line="360" w:lineRule="auto"/>
        <w:ind w:firstLine="549" w:firstLineChars="229"/>
        <w:rPr>
          <w:rFonts w:cs="仿宋" w:asciiTheme="majorEastAsia" w:hAnsiTheme="majorEastAsia" w:eastAsiaTheme="majorEastAsia"/>
          <w:color w:val="auto"/>
          <w:sz w:val="24"/>
          <w:highlight w:val="none"/>
        </w:rPr>
      </w:pPr>
    </w:p>
    <w:p w14:paraId="78DB3519">
      <w:pPr>
        <w:spacing w:line="360" w:lineRule="auto"/>
        <w:ind w:firstLine="549" w:firstLineChars="229"/>
        <w:rPr>
          <w:rFonts w:cs="仿宋" w:asciiTheme="majorEastAsia" w:hAnsiTheme="majorEastAsia" w:eastAsiaTheme="majorEastAsia"/>
          <w:color w:val="auto"/>
          <w:sz w:val="24"/>
          <w:highlight w:val="none"/>
        </w:rPr>
      </w:pPr>
    </w:p>
    <w:p w14:paraId="1F4D075E">
      <w:pPr>
        <w:spacing w:line="360" w:lineRule="auto"/>
        <w:ind w:firstLine="549" w:firstLineChars="229"/>
        <w:rPr>
          <w:rFonts w:cs="仿宋" w:asciiTheme="majorEastAsia" w:hAnsiTheme="majorEastAsia" w:eastAsiaTheme="majorEastAsia"/>
          <w:color w:val="auto"/>
          <w:sz w:val="24"/>
          <w:highlight w:val="none"/>
        </w:rPr>
      </w:pPr>
    </w:p>
    <w:p w14:paraId="3B17DD30">
      <w:pPr>
        <w:spacing w:line="360" w:lineRule="auto"/>
        <w:ind w:firstLine="549" w:firstLineChars="229"/>
        <w:rPr>
          <w:rFonts w:cs="仿宋" w:asciiTheme="majorEastAsia" w:hAnsiTheme="majorEastAsia" w:eastAsiaTheme="majorEastAsia"/>
          <w:color w:val="auto"/>
          <w:sz w:val="24"/>
          <w:highlight w:val="none"/>
        </w:rPr>
      </w:pPr>
    </w:p>
    <w:p w14:paraId="05905827">
      <w:pPr>
        <w:spacing w:line="360" w:lineRule="auto"/>
        <w:ind w:firstLine="549" w:firstLineChars="229"/>
        <w:rPr>
          <w:rFonts w:cs="仿宋" w:asciiTheme="majorEastAsia" w:hAnsiTheme="majorEastAsia" w:eastAsiaTheme="majorEastAsia"/>
          <w:color w:val="auto"/>
          <w:sz w:val="24"/>
          <w:highlight w:val="none"/>
        </w:rPr>
      </w:pPr>
    </w:p>
    <w:p w14:paraId="603BBB15">
      <w:pPr>
        <w:spacing w:line="360" w:lineRule="auto"/>
        <w:ind w:firstLine="549" w:firstLineChars="229"/>
        <w:rPr>
          <w:rFonts w:cs="仿宋" w:asciiTheme="majorEastAsia" w:hAnsiTheme="majorEastAsia" w:eastAsiaTheme="majorEastAsia"/>
          <w:color w:val="auto"/>
          <w:sz w:val="24"/>
          <w:highlight w:val="none"/>
        </w:rPr>
      </w:pPr>
    </w:p>
    <w:p w14:paraId="0500D171">
      <w:pPr>
        <w:spacing w:line="360" w:lineRule="auto"/>
        <w:ind w:firstLine="549" w:firstLineChars="229"/>
        <w:rPr>
          <w:rFonts w:cs="仿宋" w:asciiTheme="majorEastAsia" w:hAnsiTheme="majorEastAsia" w:eastAsiaTheme="majorEastAsia"/>
          <w:color w:val="auto"/>
          <w:sz w:val="24"/>
          <w:highlight w:val="none"/>
        </w:rPr>
      </w:pPr>
    </w:p>
    <w:p w14:paraId="13A89472">
      <w:pPr>
        <w:spacing w:line="360" w:lineRule="auto"/>
        <w:ind w:firstLine="549" w:firstLineChars="229"/>
        <w:rPr>
          <w:rFonts w:cs="仿宋" w:asciiTheme="majorEastAsia" w:hAnsiTheme="majorEastAsia" w:eastAsiaTheme="majorEastAsia"/>
          <w:color w:val="auto"/>
          <w:sz w:val="24"/>
          <w:highlight w:val="none"/>
        </w:rPr>
      </w:pPr>
    </w:p>
    <w:p w14:paraId="38F98D97">
      <w:pPr>
        <w:spacing w:line="360" w:lineRule="auto"/>
        <w:ind w:firstLine="549" w:firstLineChars="229"/>
        <w:rPr>
          <w:rFonts w:cs="仿宋" w:asciiTheme="majorEastAsia" w:hAnsiTheme="majorEastAsia" w:eastAsiaTheme="majorEastAsia"/>
          <w:color w:val="auto"/>
          <w:sz w:val="24"/>
          <w:highlight w:val="none"/>
        </w:rPr>
      </w:pPr>
    </w:p>
    <w:p w14:paraId="53F29412">
      <w:pPr>
        <w:spacing w:line="360" w:lineRule="auto"/>
        <w:ind w:firstLine="549" w:firstLineChars="229"/>
        <w:rPr>
          <w:rFonts w:cs="仿宋" w:asciiTheme="majorEastAsia" w:hAnsiTheme="majorEastAsia" w:eastAsiaTheme="majorEastAsia"/>
          <w:color w:val="auto"/>
          <w:sz w:val="24"/>
          <w:highlight w:val="none"/>
        </w:rPr>
      </w:pPr>
    </w:p>
    <w:p w14:paraId="6D52A3B2">
      <w:pPr>
        <w:spacing w:line="360" w:lineRule="auto"/>
        <w:ind w:firstLine="549" w:firstLineChars="229"/>
        <w:rPr>
          <w:rFonts w:cs="仿宋" w:asciiTheme="majorEastAsia" w:hAnsiTheme="majorEastAsia" w:eastAsiaTheme="majorEastAsia"/>
          <w:color w:val="auto"/>
          <w:sz w:val="24"/>
          <w:highlight w:val="none"/>
        </w:rPr>
      </w:pPr>
    </w:p>
    <w:p w14:paraId="29CE4B39">
      <w:pPr>
        <w:spacing w:line="360" w:lineRule="auto"/>
        <w:rPr>
          <w:rFonts w:cs="仿宋" w:asciiTheme="majorEastAsia" w:hAnsiTheme="majorEastAsia" w:eastAsiaTheme="majorEastAsia"/>
          <w:color w:val="auto"/>
          <w:sz w:val="24"/>
          <w:highlight w:val="none"/>
        </w:rPr>
      </w:pPr>
    </w:p>
    <w:p w14:paraId="2BA3E8E6">
      <w:pPr>
        <w:spacing w:line="360" w:lineRule="auto"/>
        <w:jc w:val="center"/>
        <w:outlineLvl w:val="0"/>
        <w:rPr>
          <w:rFonts w:cs="仿宋" w:asciiTheme="majorEastAsia" w:hAnsiTheme="majorEastAsia" w:eastAsiaTheme="majorEastAsia"/>
          <w:b/>
          <w:color w:val="auto"/>
          <w:sz w:val="36"/>
          <w:szCs w:val="20"/>
          <w:highlight w:val="none"/>
        </w:rPr>
      </w:pPr>
      <w:bookmarkStart w:id="3" w:name="第一部分"/>
      <w:r>
        <w:rPr>
          <w:rFonts w:hint="eastAsia" w:cs="仿宋" w:asciiTheme="majorEastAsia" w:hAnsiTheme="majorEastAsia" w:eastAsiaTheme="majorEastAsia"/>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cs="仿宋" w:asciiTheme="majorEastAsia" w:hAnsiTheme="majorEastAsia" w:eastAsiaTheme="majorEastAsia"/>
          <w:b/>
          <w:color w:val="auto"/>
          <w:sz w:val="36"/>
          <w:szCs w:val="20"/>
          <w:highlight w:val="none"/>
        </w:rPr>
        <w:t>第一部分 招标公告</w:t>
      </w:r>
    </w:p>
    <w:p w14:paraId="14381B7E">
      <w:pPr>
        <w:pBdr>
          <w:top w:val="single" w:color="auto" w:sz="4" w:space="1"/>
          <w:left w:val="single" w:color="auto" w:sz="4" w:space="4"/>
          <w:bottom w:val="single" w:color="auto" w:sz="4" w:space="1"/>
          <w:right w:val="single" w:color="auto" w:sz="4" w:space="4"/>
        </w:pBd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项目概况</w:t>
      </w:r>
    </w:p>
    <w:p w14:paraId="58BC2FB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cs="仿宋" w:asciiTheme="majorEastAsia" w:hAnsiTheme="majorEastAsia" w:eastAsiaTheme="majorEastAsia"/>
          <w:b w:val="0"/>
          <w:bCs/>
          <w:color w:val="auto"/>
          <w:kern w:val="2"/>
          <w:sz w:val="24"/>
          <w:szCs w:val="20"/>
          <w:highlight w:val="none"/>
          <w:lang w:val="en-US" w:eastAsia="zh-CN" w:bidi="ar-SA"/>
        </w:rPr>
      </w:pPr>
      <w:r>
        <w:rPr>
          <w:rFonts w:hint="eastAsia" w:cs="仿宋" w:asciiTheme="majorEastAsia" w:hAnsiTheme="majorEastAsia" w:eastAsiaTheme="majorEastAsia"/>
          <w:color w:val="auto"/>
          <w:sz w:val="24"/>
          <w:highlight w:val="none"/>
          <w:u w:val="single"/>
          <w:lang w:eastAsia="zh-CN"/>
        </w:rPr>
        <w:t>奉化区FH61-01-51地块建设项目桩基检测项目</w:t>
      </w:r>
      <w:r>
        <w:rPr>
          <w:rFonts w:hint="eastAsia" w:cs="仿宋" w:asciiTheme="majorEastAsia" w:hAnsiTheme="majorEastAsia" w:eastAsiaTheme="majorEastAsia"/>
          <w:color w:val="auto"/>
          <w:sz w:val="24"/>
          <w:highlight w:val="none"/>
        </w:rPr>
        <w:t>招标项目</w:t>
      </w:r>
      <w:r>
        <w:rPr>
          <w:rFonts w:hint="eastAsia" w:cs="仿宋" w:asciiTheme="majorEastAsia" w:hAnsiTheme="majorEastAsia" w:eastAsiaTheme="majorEastAsia"/>
          <w:b w:val="0"/>
          <w:bCs/>
          <w:color w:val="auto"/>
          <w:kern w:val="2"/>
          <w:sz w:val="24"/>
          <w:szCs w:val="20"/>
          <w:highlight w:val="none"/>
          <w:lang w:val="en-US" w:eastAsia="zh-CN" w:bidi="ar-SA"/>
        </w:rPr>
        <w:t>的潜在供应商应在乐采云平台（</w:t>
      </w:r>
      <w:r>
        <w:rPr>
          <w:rFonts w:hint="eastAsia" w:cs="仿宋" w:asciiTheme="majorEastAsia" w:hAnsiTheme="majorEastAsia" w:eastAsiaTheme="majorEastAsia"/>
          <w:b w:val="0"/>
          <w:bCs/>
          <w:color w:val="auto"/>
          <w:kern w:val="2"/>
          <w:sz w:val="24"/>
          <w:szCs w:val="20"/>
          <w:highlight w:val="none"/>
          <w:lang w:val="en-US" w:eastAsia="zh-CN" w:bidi="ar-SA"/>
        </w:rPr>
        <w:fldChar w:fldCharType="begin"/>
      </w:r>
      <w:r>
        <w:rPr>
          <w:rFonts w:hint="eastAsia" w:cs="仿宋" w:asciiTheme="majorEastAsia" w:hAnsiTheme="majorEastAsia" w:eastAsiaTheme="majorEastAsia"/>
          <w:b w:val="0"/>
          <w:bCs/>
          <w:color w:val="auto"/>
          <w:kern w:val="2"/>
          <w:sz w:val="24"/>
          <w:szCs w:val="20"/>
          <w:highlight w:val="none"/>
          <w:lang w:val="en-US" w:eastAsia="zh-CN" w:bidi="ar-SA"/>
        </w:rPr>
        <w:instrText xml:space="preserve"> HYPERLINK "https://www.zcygov.cn/）获取（下载）招标文件，并于2022年00月00日14点30分00秒" </w:instrText>
      </w:r>
      <w:r>
        <w:rPr>
          <w:rFonts w:hint="eastAsia" w:cs="仿宋" w:asciiTheme="majorEastAsia" w:hAnsiTheme="majorEastAsia" w:eastAsiaTheme="majorEastAsia"/>
          <w:b w:val="0"/>
          <w:bCs/>
          <w:color w:val="auto"/>
          <w:kern w:val="2"/>
          <w:sz w:val="24"/>
          <w:szCs w:val="20"/>
          <w:highlight w:val="none"/>
          <w:lang w:val="en-US" w:eastAsia="zh-CN" w:bidi="ar-SA"/>
        </w:rPr>
        <w:fldChar w:fldCharType="separate"/>
      </w:r>
      <w:r>
        <w:rPr>
          <w:rFonts w:hint="eastAsia" w:cs="仿宋" w:asciiTheme="majorEastAsia" w:hAnsiTheme="majorEastAsia" w:eastAsiaTheme="majorEastAsia"/>
          <w:b w:val="0"/>
          <w:bCs/>
          <w:color w:val="auto"/>
          <w:kern w:val="2"/>
          <w:sz w:val="24"/>
          <w:szCs w:val="20"/>
          <w:highlight w:val="none"/>
          <w:lang w:val="en-US" w:eastAsia="zh-CN" w:bidi="ar-SA"/>
        </w:rPr>
        <w:t>https://www.lecaiyun.com/）获取（下载）招标文件，并于2025年03月12日09点00分00秒</w:t>
      </w:r>
      <w:r>
        <w:rPr>
          <w:rFonts w:hint="eastAsia" w:cs="仿宋" w:asciiTheme="majorEastAsia" w:hAnsiTheme="majorEastAsia" w:eastAsiaTheme="majorEastAsia"/>
          <w:b w:val="0"/>
          <w:bCs/>
          <w:color w:val="auto"/>
          <w:kern w:val="2"/>
          <w:sz w:val="24"/>
          <w:szCs w:val="20"/>
          <w:highlight w:val="none"/>
          <w:lang w:val="en-US" w:eastAsia="zh-CN" w:bidi="ar-SA"/>
        </w:rPr>
        <w:fldChar w:fldCharType="end"/>
      </w:r>
      <w:r>
        <w:rPr>
          <w:rFonts w:hint="eastAsia" w:cs="仿宋" w:asciiTheme="majorEastAsia" w:hAnsiTheme="majorEastAsia" w:eastAsiaTheme="majorEastAsia"/>
          <w:b w:val="0"/>
          <w:bCs/>
          <w:color w:val="auto"/>
          <w:kern w:val="2"/>
          <w:sz w:val="24"/>
          <w:szCs w:val="20"/>
          <w:highlight w:val="none"/>
          <w:lang w:val="en-US" w:eastAsia="zh-CN" w:bidi="ar-SA"/>
        </w:rPr>
        <w:t>（北京时间）前递交（上传）投标文件。</w:t>
      </w:r>
    </w:p>
    <w:p w14:paraId="3BD42A7F">
      <w:pP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一、项目基本情况                                            </w:t>
      </w:r>
    </w:p>
    <w:p w14:paraId="1BF8CC90">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项目编号：</w:t>
      </w:r>
      <w:r>
        <w:rPr>
          <w:rFonts w:hint="eastAsia" w:cs="仿宋" w:asciiTheme="majorEastAsia" w:hAnsiTheme="majorEastAsia" w:eastAsiaTheme="majorEastAsia"/>
          <w:color w:val="auto"/>
          <w:sz w:val="24"/>
          <w:highlight w:val="none"/>
          <w:lang w:eastAsia="zh-CN"/>
        </w:rPr>
        <w:t>FHGQZB(202</w:t>
      </w:r>
      <w:r>
        <w:rPr>
          <w:rFonts w:hint="eastAsia" w:cs="仿宋" w:asciiTheme="majorEastAsia" w:hAnsiTheme="majorEastAsia" w:eastAsiaTheme="majorEastAsia"/>
          <w:color w:val="auto"/>
          <w:sz w:val="24"/>
          <w:highlight w:val="none"/>
          <w:lang w:val="en-US" w:eastAsia="zh-CN"/>
        </w:rPr>
        <w:t>5</w:t>
      </w: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lang w:val="en-US" w:eastAsia="zh-CN"/>
        </w:rPr>
        <w:t>030</w:t>
      </w:r>
      <w:r>
        <w:rPr>
          <w:rFonts w:cs="仿宋" w:asciiTheme="majorEastAsia" w:hAnsiTheme="majorEastAsia" w:eastAsiaTheme="majorEastAsia"/>
          <w:color w:val="auto"/>
          <w:sz w:val="24"/>
          <w:highlight w:val="none"/>
        </w:rPr>
        <w:t>D</w:t>
      </w:r>
    </w:p>
    <w:p w14:paraId="267ADC42">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 xml:space="preserve"> 项目名称：</w:t>
      </w:r>
      <w:r>
        <w:rPr>
          <w:rFonts w:hint="eastAsia" w:cs="仿宋" w:asciiTheme="majorEastAsia" w:hAnsiTheme="majorEastAsia" w:eastAsiaTheme="majorEastAsia"/>
          <w:b/>
          <w:color w:val="auto"/>
          <w:sz w:val="24"/>
          <w:highlight w:val="none"/>
          <w:lang w:eastAsia="zh-CN"/>
        </w:rPr>
        <w:t>奉化区FH61-01-51地块建设项目桩基检测项目</w:t>
      </w:r>
    </w:p>
    <w:p w14:paraId="656C837D">
      <w:pPr>
        <w:spacing w:line="360" w:lineRule="auto"/>
        <w:rPr>
          <w:rFonts w:hint="default" w:cs="仿宋" w:asciiTheme="majorEastAsia" w:hAnsiTheme="majorEastAsia" w:eastAsiaTheme="majorEastAsia"/>
          <w:color w:val="auto"/>
          <w:sz w:val="24"/>
          <w:highlight w:val="none"/>
          <w:lang w:val="en-US"/>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b/>
          <w:color w:val="auto"/>
          <w:sz w:val="24"/>
          <w:highlight w:val="none"/>
        </w:rPr>
        <w:t xml:space="preserve"> 预算金额（元）：</w:t>
      </w:r>
      <w:r>
        <w:rPr>
          <w:rFonts w:hint="eastAsia" w:cs="仿宋" w:asciiTheme="majorEastAsia" w:hAnsiTheme="majorEastAsia" w:eastAsiaTheme="majorEastAsia"/>
          <w:b/>
          <w:color w:val="auto"/>
          <w:sz w:val="24"/>
          <w:highlight w:val="none"/>
          <w:lang w:val="en-US" w:eastAsia="zh-CN"/>
        </w:rPr>
        <w:t>1920255</w:t>
      </w:r>
    </w:p>
    <w:p w14:paraId="0B73C944">
      <w:pPr>
        <w:spacing w:line="360" w:lineRule="auto"/>
        <w:ind w:firstLine="48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最高限价（元）：</w:t>
      </w:r>
      <w:r>
        <w:rPr>
          <w:rFonts w:hint="eastAsia" w:cs="仿宋" w:asciiTheme="majorEastAsia" w:hAnsiTheme="majorEastAsia" w:eastAsiaTheme="majorEastAsia"/>
          <w:b/>
          <w:color w:val="auto"/>
          <w:sz w:val="24"/>
          <w:highlight w:val="none"/>
          <w:lang w:val="en-US" w:eastAsia="zh-CN"/>
        </w:rPr>
        <w:t>1920255</w:t>
      </w:r>
      <w:r>
        <w:rPr>
          <w:rFonts w:hint="eastAsia" w:cs="仿宋" w:asciiTheme="majorEastAsia" w:hAnsiTheme="majorEastAsia" w:eastAsiaTheme="majorEastAsia"/>
          <w:color w:val="auto"/>
          <w:sz w:val="24"/>
          <w:highlight w:val="none"/>
        </w:rPr>
        <w:t xml:space="preserve">  </w:t>
      </w:r>
    </w:p>
    <w:p w14:paraId="0F98E98B">
      <w:pPr>
        <w:pStyle w:val="5"/>
        <w:spacing w:line="360" w:lineRule="auto"/>
        <w:ind w:firstLine="480"/>
        <w:rPr>
          <w:rFonts w:cs="仿宋" w:asciiTheme="majorEastAsia" w:hAnsiTheme="majorEastAsia" w:eastAsiaTheme="majorEastAsia"/>
          <w:bCs/>
          <w:snapToGrid/>
          <w:color w:val="auto"/>
          <w:kern w:val="2"/>
          <w:sz w:val="24"/>
          <w:szCs w:val="24"/>
          <w:highlight w:val="none"/>
        </w:rPr>
      </w:pPr>
      <w:r>
        <w:rPr>
          <w:rFonts w:hint="eastAsia" w:cs="仿宋" w:asciiTheme="majorEastAsia" w:hAnsiTheme="majorEastAsia" w:eastAsiaTheme="majorEastAsia"/>
          <w:b/>
          <w:color w:val="auto"/>
          <w:sz w:val="24"/>
          <w:highlight w:val="none"/>
        </w:rPr>
        <w:t>采购需求：</w:t>
      </w:r>
      <w:r>
        <w:rPr>
          <w:rFonts w:hint="eastAsia" w:cs="仿宋" w:asciiTheme="majorEastAsia" w:hAnsiTheme="majorEastAsia" w:eastAsiaTheme="majorEastAsia"/>
          <w:color w:val="auto"/>
          <w:sz w:val="24"/>
          <w:highlight w:val="none"/>
          <w:u w:val="single"/>
        </w:rPr>
        <w:t>奉化区FH61-01-51地块建设项目桩基检测项目</w:t>
      </w:r>
      <w:r>
        <w:rPr>
          <w:rFonts w:hint="eastAsia" w:cs="仿宋" w:asciiTheme="majorEastAsia" w:hAnsiTheme="majorEastAsia" w:eastAsiaTheme="majorEastAsia"/>
          <w:bCs/>
          <w:snapToGrid/>
          <w:color w:val="auto"/>
          <w:kern w:val="2"/>
          <w:sz w:val="24"/>
          <w:szCs w:val="24"/>
          <w:highlight w:val="none"/>
          <w:lang w:eastAsia="zh-CN"/>
        </w:rPr>
        <w:t>，</w:t>
      </w:r>
      <w:r>
        <w:rPr>
          <w:rFonts w:hint="eastAsia" w:cs="仿宋" w:asciiTheme="majorEastAsia" w:hAnsiTheme="majorEastAsia" w:eastAsiaTheme="majorEastAsia"/>
          <w:bCs/>
          <w:snapToGrid/>
          <w:color w:val="auto"/>
          <w:kern w:val="2"/>
          <w:sz w:val="24"/>
          <w:szCs w:val="24"/>
          <w:highlight w:val="none"/>
        </w:rPr>
        <w:t>详见招标文件第三部分采购需求。</w:t>
      </w:r>
    </w:p>
    <w:p w14:paraId="62346203">
      <w:pPr>
        <w:pStyle w:val="42"/>
        <w:ind w:firstLine="482"/>
        <w:outlineLvl w:val="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highlight w:val="none"/>
        </w:rPr>
        <w:t>合同履约期限：</w:t>
      </w:r>
      <w:r>
        <w:rPr>
          <w:rFonts w:hint="eastAsia" w:cs="仿宋" w:asciiTheme="majorEastAsia" w:hAnsiTheme="majorEastAsia" w:eastAsiaTheme="majorEastAsia"/>
          <w:b w:val="0"/>
          <w:bCs/>
          <w:color w:val="auto"/>
          <w:highlight w:val="none"/>
        </w:rPr>
        <w:t>详见招标文件第三部分采购需求</w:t>
      </w:r>
      <w:r>
        <w:rPr>
          <w:rFonts w:hint="eastAsia" w:cs="仿宋" w:asciiTheme="majorEastAsia" w:hAnsiTheme="majorEastAsia" w:eastAsiaTheme="majorEastAsia"/>
          <w:b w:val="0"/>
          <w:bCs/>
          <w:color w:val="auto"/>
          <w:highlight w:val="none"/>
          <w:lang w:eastAsia="zh-CN"/>
        </w:rPr>
        <w:t>。</w:t>
      </w:r>
      <w:r>
        <w:rPr>
          <w:rFonts w:cs="仿宋" w:asciiTheme="majorEastAsia" w:hAnsiTheme="majorEastAsia" w:eastAsiaTheme="majorEastAsia"/>
          <w:color w:val="auto"/>
          <w:highlight w:val="none"/>
        </w:rPr>
        <w:t xml:space="preserve"> </w:t>
      </w:r>
    </w:p>
    <w:p w14:paraId="0955C724">
      <w:pPr>
        <w:pStyle w:val="5"/>
        <w:spacing w:line="360" w:lineRule="auto"/>
        <w:ind w:firstLine="48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本项目接受联合体投标：</w:t>
      </w:r>
      <w:r>
        <w:rPr>
          <w:rFonts w:hint="eastAsia" w:ascii="MS Gothic" w:hAnsi="MS Gothic" w:eastAsia="MS Gothic" w:cs="MS Gothic"/>
          <w:color w:val="auto"/>
          <w:kern w:val="0"/>
          <w:sz w:val="24"/>
          <w:highlight w:val="none"/>
        </w:rPr>
        <w:t>☐</w:t>
      </w:r>
      <w:r>
        <w:rPr>
          <w:rFonts w:hint="eastAsia" w:cs="仿宋" w:asciiTheme="majorEastAsia" w:hAnsiTheme="majorEastAsia" w:eastAsiaTheme="majorEastAsia"/>
          <w:b/>
          <w:color w:val="auto"/>
          <w:sz w:val="24"/>
          <w:highlight w:val="none"/>
        </w:rPr>
        <w:t>是，</w:t>
      </w:r>
      <w:r>
        <w:rPr>
          <w:rFonts w:hint="eastAsia" w:cs="仿宋" w:asciiTheme="majorEastAsia" w:hAnsiTheme="majorEastAsia" w:eastAsiaTheme="majorEastAsia"/>
          <w:color w:val="auto"/>
          <w:kern w:val="0"/>
          <w:sz w:val="24"/>
          <w:highlight w:val="none"/>
        </w:rPr>
        <w:t xml:space="preserve"> </w:t>
      </w:r>
      <w:r>
        <w:rPr>
          <w:rFonts w:hint="eastAsia" w:cs="仿宋" w:asciiTheme="majorEastAsia" w:hAnsiTheme="majorEastAsia" w:eastAsiaTheme="majorEastAsia"/>
          <w:color w:val="auto"/>
          <w:kern w:val="0"/>
          <w:sz w:val="24"/>
          <w:highlight w:val="none"/>
        </w:rPr>
        <w:sym w:font="Wingdings" w:char="F0FE"/>
      </w:r>
      <w:r>
        <w:rPr>
          <w:rFonts w:hint="eastAsia" w:cs="仿宋" w:asciiTheme="majorEastAsia" w:hAnsiTheme="majorEastAsia" w:eastAsiaTheme="majorEastAsia"/>
          <w:b/>
          <w:color w:val="auto"/>
          <w:sz w:val="24"/>
          <w:highlight w:val="none"/>
        </w:rPr>
        <w:t>否</w:t>
      </w:r>
      <w:r>
        <w:rPr>
          <w:rFonts w:hint="eastAsia" w:cs="仿宋" w:asciiTheme="majorEastAsia" w:hAnsiTheme="majorEastAsia" w:eastAsiaTheme="majorEastAsia"/>
          <w:color w:val="auto"/>
          <w:kern w:val="0"/>
          <w:sz w:val="24"/>
          <w:highlight w:val="none"/>
        </w:rPr>
        <w:t>。</w:t>
      </w:r>
    </w:p>
    <w:p w14:paraId="75970FD6">
      <w:pP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二、申请人的资格要求：</w:t>
      </w:r>
    </w:p>
    <w:p w14:paraId="28D51A85">
      <w:pPr>
        <w:spacing w:line="360" w:lineRule="auto"/>
        <w:ind w:firstLine="480"/>
        <w:rPr>
          <w:rFonts w:cs="仿宋" w:asciiTheme="majorEastAsia" w:hAnsiTheme="majorEastAsia" w:eastAsiaTheme="majorEastAsia"/>
          <w:snapToGrid w:val="0"/>
          <w:color w:val="auto"/>
          <w:kern w:val="28"/>
          <w:sz w:val="24"/>
          <w:szCs w:val="20"/>
          <w:highlight w:val="none"/>
        </w:rPr>
      </w:pPr>
      <w:r>
        <w:rPr>
          <w:rFonts w:hint="eastAsia" w:cs="仿宋" w:asciiTheme="majorEastAsia" w:hAnsiTheme="majorEastAsia" w:eastAsiaTheme="maj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8C2BDFA">
      <w:pPr>
        <w:spacing w:line="360" w:lineRule="auto"/>
        <w:rPr>
          <w:rFonts w:cs="仿宋" w:asciiTheme="majorEastAsia" w:hAnsiTheme="majorEastAsia" w:eastAsiaTheme="majorEastAsia"/>
          <w:snapToGrid w:val="0"/>
          <w:color w:val="auto"/>
          <w:kern w:val="28"/>
          <w:sz w:val="24"/>
          <w:szCs w:val="20"/>
          <w:highlight w:val="none"/>
        </w:rPr>
      </w:pPr>
      <w:r>
        <w:rPr>
          <w:rFonts w:hint="eastAsia" w:cs="仿宋" w:asciiTheme="majorEastAsia" w:hAnsiTheme="majorEastAsia" w:eastAsiaTheme="majorEastAsia"/>
          <w:snapToGrid w:val="0"/>
          <w:color w:val="auto"/>
          <w:kern w:val="28"/>
          <w:sz w:val="24"/>
          <w:szCs w:val="20"/>
          <w:highlight w:val="none"/>
        </w:rPr>
        <w:t xml:space="preserve">    2.落实政府采购政策需满足的资格要求：</w:t>
      </w:r>
    </w:p>
    <w:p w14:paraId="31115AEF">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rPr>
        <w:sym w:font="Wingdings" w:char="F0FE"/>
      </w:r>
      <w:r>
        <w:rPr>
          <w:rFonts w:hint="eastAsia" w:cs="仿宋" w:asciiTheme="majorEastAsia" w:hAnsiTheme="majorEastAsia" w:eastAsiaTheme="majorEastAsia"/>
          <w:color w:val="auto"/>
          <w:sz w:val="24"/>
          <w:highlight w:val="none"/>
        </w:rPr>
        <w:t>无；</w:t>
      </w:r>
    </w:p>
    <w:p w14:paraId="77027876">
      <w:pPr>
        <w:spacing w:line="360" w:lineRule="auto"/>
        <w:ind w:firstLine="480" w:firstLineChars="200"/>
        <w:rPr>
          <w:rFonts w:hint="eastAsia" w:cs="仿宋" w:asciiTheme="majorEastAsia" w:hAnsiTheme="majorEastAsia" w:eastAsiaTheme="majorEastAsia"/>
          <w:color w:val="auto"/>
          <w:sz w:val="24"/>
          <w:highlight w:val="none"/>
          <w:lang w:eastAsia="zh-CN"/>
        </w:rPr>
      </w:pPr>
      <w:r>
        <w:rPr>
          <w:rFonts w:hint="eastAsia" w:cs="仿宋" w:asciiTheme="majorEastAsia" w:hAnsiTheme="majorEastAsia" w:eastAsiaTheme="majorEastAsia"/>
          <w:color w:val="auto"/>
          <w:sz w:val="24"/>
          <w:highlight w:val="none"/>
        </w:rPr>
        <w:t>3.本项目的特定资格要求：具备省级及以上建设主管部门核发的建设工程地基基础检测资质，检测能力中包含本次招标的全部检测内容并满足现行标准</w:t>
      </w:r>
      <w:r>
        <w:rPr>
          <w:rFonts w:hint="eastAsia" w:cs="仿宋" w:asciiTheme="majorEastAsia" w:hAnsiTheme="majorEastAsia" w:eastAsiaTheme="majorEastAsia"/>
          <w:color w:val="auto"/>
          <w:sz w:val="24"/>
          <w:highlight w:val="none"/>
          <w:lang w:eastAsia="zh-CN"/>
        </w:rPr>
        <w:t>。</w:t>
      </w:r>
    </w:p>
    <w:p w14:paraId="0DF3FE72">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FDC6B27">
      <w:pP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三、获取招标文件 </w:t>
      </w:r>
    </w:p>
    <w:p w14:paraId="361C581A">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时间：</w:t>
      </w:r>
      <w:r>
        <w:rPr>
          <w:rFonts w:hint="eastAsia" w:cs="仿宋" w:asciiTheme="majorEastAsia" w:hAnsiTheme="majorEastAsia" w:eastAsiaTheme="majorEastAsia"/>
          <w:color w:val="auto"/>
          <w:sz w:val="24"/>
          <w:highlight w:val="none"/>
          <w:lang w:val="en-US" w:eastAsia="zh-CN"/>
        </w:rPr>
        <w:t>2025年02月19日</w:t>
      </w:r>
      <w:r>
        <w:rPr>
          <w:rFonts w:hint="eastAsia" w:cs="仿宋" w:asciiTheme="majorEastAsia" w:hAnsiTheme="majorEastAsia" w:eastAsiaTheme="majorEastAsia"/>
          <w:color w:val="auto"/>
          <w:sz w:val="24"/>
          <w:highlight w:val="none"/>
        </w:rPr>
        <w:t>至</w:t>
      </w:r>
      <w:r>
        <w:rPr>
          <w:rFonts w:hint="eastAsia" w:cs="仿宋" w:asciiTheme="majorEastAsia" w:hAnsiTheme="majorEastAsia" w:eastAsiaTheme="majorEastAsia"/>
          <w:color w:val="auto"/>
          <w:sz w:val="24"/>
          <w:highlight w:val="none"/>
          <w:u w:val="single"/>
        </w:rPr>
        <w:t>202</w:t>
      </w:r>
      <w:r>
        <w:rPr>
          <w:rFonts w:hint="eastAsia" w:cs="仿宋" w:asciiTheme="majorEastAsia" w:hAnsiTheme="majorEastAsia" w:eastAsiaTheme="majorEastAsia"/>
          <w:color w:val="auto"/>
          <w:sz w:val="24"/>
          <w:highlight w:val="none"/>
          <w:u w:val="single"/>
          <w:lang w:val="en-US" w:eastAsia="zh-CN"/>
        </w:rPr>
        <w:t>5</w:t>
      </w:r>
      <w:r>
        <w:rPr>
          <w:rFonts w:hint="eastAsia" w:cs="仿宋" w:asciiTheme="majorEastAsia" w:hAnsiTheme="majorEastAsia" w:eastAsiaTheme="majorEastAsia"/>
          <w:color w:val="auto"/>
          <w:sz w:val="24"/>
          <w:highlight w:val="none"/>
          <w:u w:val="single"/>
        </w:rPr>
        <w:t>年</w:t>
      </w:r>
      <w:r>
        <w:rPr>
          <w:rFonts w:hint="eastAsia" w:cs="仿宋" w:asciiTheme="majorEastAsia" w:hAnsiTheme="majorEastAsia" w:eastAsiaTheme="majorEastAsia"/>
          <w:color w:val="auto"/>
          <w:sz w:val="24"/>
          <w:highlight w:val="none"/>
          <w:u w:val="single"/>
          <w:lang w:val="en-US" w:eastAsia="zh-CN"/>
        </w:rPr>
        <w:t>02</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26</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rPr>
        <w:t>，每天上午00:00至12:00 ，下午12:00至23:59（北京时间）。</w:t>
      </w:r>
    </w:p>
    <w:p w14:paraId="6DC54B71">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地点（网址）：</w:t>
      </w:r>
      <w:r>
        <w:rPr>
          <w:rFonts w:hint="eastAsia" w:cs="仿宋" w:asciiTheme="majorEastAsia" w:hAnsiTheme="majorEastAsia" w:eastAsiaTheme="majorEastAsia"/>
          <w:color w:val="auto"/>
          <w:sz w:val="24"/>
          <w:highlight w:val="none"/>
          <w:lang w:eastAsia="zh-CN"/>
        </w:rPr>
        <w:t>乐采云</w:t>
      </w:r>
      <w:r>
        <w:rPr>
          <w:rFonts w:hint="eastAsia" w:cs="仿宋" w:asciiTheme="majorEastAsia" w:hAnsiTheme="majorEastAsia" w:eastAsiaTheme="majorEastAsia"/>
          <w:color w:val="auto"/>
          <w:sz w:val="24"/>
          <w:highlight w:val="none"/>
        </w:rPr>
        <w:t>平台（</w:t>
      </w:r>
      <w:r>
        <w:rPr>
          <w:rFonts w:hint="eastAsia" w:cs="仿宋" w:asciiTheme="majorEastAsia" w:hAnsiTheme="majorEastAsia" w:eastAsiaTheme="majorEastAsia"/>
          <w:color w:val="auto"/>
          <w:sz w:val="24"/>
          <w:highlight w:val="none"/>
          <w:lang w:eastAsia="zh-CN"/>
        </w:rPr>
        <w:t>https://www.lecaiyun.com/</w:t>
      </w:r>
      <w:r>
        <w:rPr>
          <w:rFonts w:hint="eastAsia" w:cs="仿宋" w:asciiTheme="majorEastAsia" w:hAnsiTheme="majorEastAsia" w:eastAsiaTheme="majorEastAsia"/>
          <w:color w:val="auto"/>
          <w:sz w:val="24"/>
          <w:highlight w:val="none"/>
        </w:rPr>
        <w:t>）。</w:t>
      </w:r>
    </w:p>
    <w:p w14:paraId="5219185F">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方式：</w:t>
      </w:r>
      <w:r>
        <w:rPr>
          <w:rFonts w:hint="eastAsia" w:cs="仿宋" w:asciiTheme="majorEastAsia" w:hAnsiTheme="majorEastAsia" w:eastAsiaTheme="majorEastAsia"/>
          <w:color w:val="auto"/>
          <w:sz w:val="24"/>
          <w:highlight w:val="none"/>
        </w:rPr>
        <w:t>供应商登录</w:t>
      </w:r>
      <w:r>
        <w:rPr>
          <w:rFonts w:hint="eastAsia" w:cs="仿宋" w:asciiTheme="majorEastAsia" w:hAnsiTheme="majorEastAsia" w:eastAsiaTheme="majorEastAsia"/>
          <w:color w:val="auto"/>
          <w:sz w:val="24"/>
          <w:highlight w:val="none"/>
          <w:lang w:eastAsia="zh-CN"/>
        </w:rPr>
        <w:t>乐采云</w:t>
      </w:r>
      <w:r>
        <w:rPr>
          <w:rFonts w:hint="eastAsia" w:cs="仿宋" w:asciiTheme="majorEastAsia" w:hAnsiTheme="majorEastAsia" w:eastAsiaTheme="majorEastAsia"/>
          <w:color w:val="auto"/>
          <w:sz w:val="24"/>
          <w:highlight w:val="none"/>
        </w:rPr>
        <w:t>平台</w:t>
      </w:r>
      <w:r>
        <w:rPr>
          <w:rFonts w:hint="eastAsia" w:cs="仿宋" w:asciiTheme="majorEastAsia" w:hAnsiTheme="majorEastAsia" w:eastAsiaTheme="majorEastAsia"/>
          <w:color w:val="auto"/>
          <w:sz w:val="24"/>
          <w:highlight w:val="none"/>
          <w:lang w:eastAsia="zh-CN"/>
        </w:rPr>
        <w:t>https://www.lecaiyun.com/</w:t>
      </w:r>
      <w:r>
        <w:rPr>
          <w:rFonts w:hint="eastAsia" w:cs="仿宋" w:asciiTheme="majorEastAsia" w:hAnsiTheme="majorEastAsia" w:eastAsiaTheme="majorEastAsia"/>
          <w:color w:val="auto"/>
          <w:sz w:val="24"/>
          <w:highlight w:val="none"/>
        </w:rPr>
        <w:t xml:space="preserve">在线申请获取招标文件（进入“项目采购”应用，在获取采购文件菜单中选择项目，申请获取招标文件）。 </w:t>
      </w:r>
    </w:p>
    <w:p w14:paraId="3ED98F65">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售价（元）：</w:t>
      </w:r>
      <w:r>
        <w:rPr>
          <w:rFonts w:hint="eastAsia" w:cs="仿宋" w:asciiTheme="majorEastAsia" w:hAnsiTheme="majorEastAsia" w:eastAsiaTheme="majorEastAsia"/>
          <w:color w:val="auto"/>
          <w:sz w:val="24"/>
          <w:highlight w:val="none"/>
        </w:rPr>
        <w:t xml:space="preserve">0 </w:t>
      </w:r>
      <w:r>
        <w:rPr>
          <w:rFonts w:hint="eastAsia" w:cs="仿宋" w:asciiTheme="majorEastAsia" w:hAnsiTheme="majorEastAsia" w:eastAsiaTheme="majorEastAsia"/>
          <w:color w:val="auto"/>
          <w:sz w:val="24"/>
          <w:highlight w:val="none"/>
        </w:rPr>
        <w:tab/>
      </w:r>
    </w:p>
    <w:p w14:paraId="5AAFCD58">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四、提交投标文件截止时间、开标时间和地点</w:t>
      </w:r>
    </w:p>
    <w:p w14:paraId="041478A5">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提交投标文件截止时间：</w:t>
      </w:r>
      <w:r>
        <w:rPr>
          <w:rFonts w:hint="eastAsia" w:cs="仿宋" w:asciiTheme="majorEastAsia" w:hAnsiTheme="majorEastAsia" w:eastAsiaTheme="majorEastAsia"/>
          <w:color w:val="auto"/>
          <w:sz w:val="24"/>
          <w:highlight w:val="none"/>
          <w:u w:val="single"/>
        </w:rPr>
        <w:t xml:space="preserve"> 202</w:t>
      </w:r>
      <w:r>
        <w:rPr>
          <w:rFonts w:hint="eastAsia" w:cs="仿宋" w:asciiTheme="majorEastAsia" w:hAnsiTheme="majorEastAsia" w:eastAsiaTheme="majorEastAsia"/>
          <w:color w:val="auto"/>
          <w:sz w:val="24"/>
          <w:highlight w:val="none"/>
          <w:u w:val="single"/>
          <w:lang w:val="en-US" w:eastAsia="zh-CN"/>
        </w:rPr>
        <w:t>5</w:t>
      </w:r>
      <w:r>
        <w:rPr>
          <w:rFonts w:hint="eastAsia" w:cs="仿宋" w:asciiTheme="majorEastAsia" w:hAnsiTheme="majorEastAsia" w:eastAsiaTheme="majorEastAsia"/>
          <w:color w:val="auto"/>
          <w:sz w:val="24"/>
          <w:highlight w:val="none"/>
          <w:u w:val="single"/>
        </w:rPr>
        <w:t>年</w:t>
      </w:r>
      <w:r>
        <w:rPr>
          <w:rFonts w:hint="eastAsia" w:cs="仿宋" w:asciiTheme="majorEastAsia" w:hAnsiTheme="majorEastAsia" w:eastAsiaTheme="majorEastAsia"/>
          <w:color w:val="auto"/>
          <w:sz w:val="24"/>
          <w:highlight w:val="none"/>
          <w:u w:val="single"/>
          <w:lang w:val="en-US" w:eastAsia="zh-CN"/>
        </w:rPr>
        <w:t>03</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12</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u w:val="single"/>
          <w:lang w:val="en-US" w:eastAsia="zh-CN"/>
        </w:rPr>
        <w:t>09</w:t>
      </w:r>
      <w:r>
        <w:rPr>
          <w:rFonts w:hint="eastAsia" w:cs="仿宋" w:asciiTheme="majorEastAsia" w:hAnsiTheme="majorEastAsia" w:eastAsiaTheme="majorEastAsia"/>
          <w:color w:val="auto"/>
          <w:sz w:val="24"/>
          <w:highlight w:val="none"/>
          <w:u w:val="single"/>
        </w:rPr>
        <w:t>点</w:t>
      </w:r>
      <w:r>
        <w:rPr>
          <w:rFonts w:hint="eastAsia" w:cs="仿宋" w:asciiTheme="majorEastAsia" w:hAnsiTheme="majorEastAsia" w:eastAsiaTheme="majorEastAsia"/>
          <w:color w:val="auto"/>
          <w:sz w:val="24"/>
          <w:highlight w:val="none"/>
          <w:u w:val="single"/>
          <w:lang w:val="en-US" w:eastAsia="zh-CN"/>
        </w:rPr>
        <w:t>0</w:t>
      </w:r>
      <w:r>
        <w:rPr>
          <w:rFonts w:hint="eastAsia" w:cs="仿宋" w:asciiTheme="majorEastAsia" w:hAnsiTheme="majorEastAsia" w:eastAsiaTheme="majorEastAsia"/>
          <w:color w:val="auto"/>
          <w:sz w:val="24"/>
          <w:highlight w:val="none"/>
          <w:u w:val="single"/>
        </w:rPr>
        <w:t>0分</w:t>
      </w:r>
      <w:r>
        <w:rPr>
          <w:rFonts w:hint="eastAsia" w:cs="仿宋" w:asciiTheme="majorEastAsia" w:hAnsiTheme="majorEastAsia" w:eastAsiaTheme="majorEastAsia"/>
          <w:bCs/>
          <w:color w:val="auto"/>
          <w:sz w:val="24"/>
          <w:highlight w:val="none"/>
          <w:u w:val="single"/>
        </w:rPr>
        <w:t xml:space="preserve"> </w:t>
      </w:r>
      <w:r>
        <w:rPr>
          <w:rFonts w:hint="eastAsia" w:cs="仿宋" w:asciiTheme="majorEastAsia" w:hAnsiTheme="majorEastAsia" w:eastAsiaTheme="majorEastAsia"/>
          <w:color w:val="auto"/>
          <w:sz w:val="24"/>
          <w:highlight w:val="none"/>
        </w:rPr>
        <w:t>（北京时间）。</w:t>
      </w:r>
    </w:p>
    <w:p w14:paraId="01DBBFAB">
      <w:pPr>
        <w:shd w:val="clear"/>
        <w:spacing w:line="360" w:lineRule="auto"/>
        <w:ind w:firstLine="482"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投标地点（网址）：</w:t>
      </w:r>
      <w:r>
        <w:rPr>
          <w:rFonts w:hint="eastAsia" w:cs="仿宋" w:asciiTheme="majorEastAsia" w:hAnsiTheme="majorEastAsia" w:eastAsiaTheme="majorEastAsia"/>
          <w:color w:val="auto"/>
          <w:sz w:val="24"/>
          <w:highlight w:val="none"/>
          <w:lang w:eastAsia="zh-CN"/>
        </w:rPr>
        <w:t>乐采云</w:t>
      </w:r>
      <w:r>
        <w:rPr>
          <w:rFonts w:hint="eastAsia" w:cs="仿宋" w:asciiTheme="majorEastAsia" w:hAnsiTheme="majorEastAsia" w:eastAsiaTheme="majorEastAsia"/>
          <w:color w:val="auto"/>
          <w:sz w:val="24"/>
          <w:highlight w:val="none"/>
        </w:rPr>
        <w:t>平台（</w:t>
      </w:r>
      <w:r>
        <w:rPr>
          <w:rFonts w:hint="eastAsia" w:cs="仿宋" w:asciiTheme="majorEastAsia" w:hAnsiTheme="majorEastAsia" w:eastAsiaTheme="majorEastAsia"/>
          <w:color w:val="auto"/>
          <w:sz w:val="24"/>
          <w:highlight w:val="none"/>
          <w:lang w:eastAsia="zh-CN"/>
        </w:rPr>
        <w:t>https://www.lecaiyun.com/</w:t>
      </w:r>
      <w:r>
        <w:rPr>
          <w:rFonts w:hint="eastAsia" w:cs="仿宋" w:asciiTheme="majorEastAsia" w:hAnsiTheme="majorEastAsia" w:eastAsiaTheme="majorEastAsia"/>
          <w:color w:val="auto"/>
          <w:sz w:val="24"/>
          <w:highlight w:val="none"/>
        </w:rPr>
        <w:t>）。</w:t>
      </w:r>
    </w:p>
    <w:p w14:paraId="117B9D75">
      <w:pPr>
        <w:shd w:val="clear"/>
        <w:spacing w:line="360" w:lineRule="auto"/>
        <w:ind w:firstLine="482" w:firstLineChars="200"/>
        <w:rPr>
          <w:rFonts w:cs="仿宋" w:asciiTheme="majorEastAsia" w:hAnsiTheme="majorEastAsia" w:eastAsiaTheme="majorEastAsia"/>
          <w:bCs/>
          <w:color w:val="auto"/>
          <w:sz w:val="24"/>
          <w:highlight w:val="none"/>
          <w:u w:val="single"/>
        </w:rPr>
      </w:pPr>
      <w:r>
        <w:rPr>
          <w:rFonts w:hint="eastAsia" w:cs="仿宋" w:asciiTheme="majorEastAsia" w:hAnsiTheme="majorEastAsia" w:eastAsiaTheme="majorEastAsia"/>
          <w:b/>
          <w:color w:val="auto"/>
          <w:sz w:val="24"/>
          <w:highlight w:val="none"/>
        </w:rPr>
        <w:t>开标时间：</w:t>
      </w:r>
      <w:r>
        <w:rPr>
          <w:rFonts w:hint="eastAsia" w:cs="仿宋" w:asciiTheme="majorEastAsia" w:hAnsiTheme="majorEastAsia" w:eastAsiaTheme="majorEastAsia"/>
          <w:color w:val="auto"/>
          <w:sz w:val="24"/>
          <w:highlight w:val="none"/>
          <w:u w:val="single"/>
        </w:rPr>
        <w:t>202</w:t>
      </w:r>
      <w:r>
        <w:rPr>
          <w:rFonts w:hint="eastAsia" w:cs="仿宋" w:asciiTheme="majorEastAsia" w:hAnsiTheme="majorEastAsia" w:eastAsiaTheme="majorEastAsia"/>
          <w:color w:val="auto"/>
          <w:sz w:val="24"/>
          <w:highlight w:val="none"/>
          <w:u w:val="single"/>
          <w:lang w:val="en-US" w:eastAsia="zh-CN"/>
        </w:rPr>
        <w:t>5</w:t>
      </w:r>
      <w:r>
        <w:rPr>
          <w:rFonts w:hint="eastAsia" w:cs="仿宋" w:asciiTheme="majorEastAsia" w:hAnsiTheme="majorEastAsia" w:eastAsiaTheme="majorEastAsia"/>
          <w:color w:val="auto"/>
          <w:sz w:val="24"/>
          <w:highlight w:val="none"/>
          <w:u w:val="single"/>
        </w:rPr>
        <w:t>年</w:t>
      </w:r>
      <w:r>
        <w:rPr>
          <w:rFonts w:hint="eastAsia" w:cs="仿宋" w:asciiTheme="majorEastAsia" w:hAnsiTheme="majorEastAsia" w:eastAsiaTheme="majorEastAsia"/>
          <w:color w:val="auto"/>
          <w:sz w:val="24"/>
          <w:highlight w:val="none"/>
          <w:u w:val="single"/>
          <w:lang w:val="en-US" w:eastAsia="zh-CN"/>
        </w:rPr>
        <w:t>03</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12</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u w:val="single"/>
          <w:lang w:val="en-US" w:eastAsia="zh-CN"/>
        </w:rPr>
        <w:t>09</w:t>
      </w:r>
      <w:r>
        <w:rPr>
          <w:rFonts w:hint="eastAsia" w:cs="仿宋" w:asciiTheme="majorEastAsia" w:hAnsiTheme="majorEastAsia" w:eastAsiaTheme="majorEastAsia"/>
          <w:color w:val="auto"/>
          <w:sz w:val="24"/>
          <w:highlight w:val="none"/>
          <w:u w:val="single"/>
        </w:rPr>
        <w:t>点</w:t>
      </w:r>
      <w:r>
        <w:rPr>
          <w:rFonts w:hint="eastAsia" w:cs="仿宋" w:asciiTheme="majorEastAsia" w:hAnsiTheme="majorEastAsia" w:eastAsiaTheme="majorEastAsia"/>
          <w:color w:val="auto"/>
          <w:sz w:val="24"/>
          <w:highlight w:val="none"/>
          <w:u w:val="single"/>
          <w:lang w:val="en-US" w:eastAsia="zh-CN"/>
        </w:rPr>
        <w:t>0</w:t>
      </w:r>
      <w:r>
        <w:rPr>
          <w:rFonts w:hint="eastAsia" w:cs="仿宋" w:asciiTheme="majorEastAsia" w:hAnsiTheme="majorEastAsia" w:eastAsiaTheme="majorEastAsia"/>
          <w:color w:val="auto"/>
          <w:sz w:val="24"/>
          <w:highlight w:val="none"/>
          <w:u w:val="single"/>
        </w:rPr>
        <w:t>0分</w:t>
      </w:r>
    </w:p>
    <w:p w14:paraId="6C34F26B">
      <w:pP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开标地点（网址）：</w:t>
      </w:r>
      <w:r>
        <w:rPr>
          <w:rFonts w:hint="eastAsia" w:cs="仿宋" w:asciiTheme="majorEastAsia" w:hAnsiTheme="majorEastAsia" w:eastAsiaTheme="majorEastAsia"/>
          <w:color w:val="auto"/>
          <w:sz w:val="24"/>
          <w:highlight w:val="none"/>
          <w:lang w:eastAsia="zh-CN"/>
        </w:rPr>
        <w:t>乐采云</w:t>
      </w:r>
      <w:r>
        <w:rPr>
          <w:rFonts w:hint="eastAsia" w:cs="仿宋" w:asciiTheme="majorEastAsia" w:hAnsiTheme="majorEastAsia" w:eastAsiaTheme="majorEastAsia"/>
          <w:color w:val="auto"/>
          <w:sz w:val="24"/>
          <w:highlight w:val="none"/>
        </w:rPr>
        <w:t>平台（</w:t>
      </w:r>
      <w:r>
        <w:rPr>
          <w:rFonts w:hint="eastAsia" w:cs="仿宋" w:asciiTheme="majorEastAsia" w:hAnsiTheme="majorEastAsia" w:eastAsiaTheme="majorEastAsia"/>
          <w:color w:val="auto"/>
          <w:sz w:val="24"/>
          <w:highlight w:val="none"/>
          <w:lang w:eastAsia="zh-CN"/>
        </w:rPr>
        <w:t>https://www.lecaiyun.com/</w:t>
      </w:r>
      <w:r>
        <w:rPr>
          <w:rFonts w:hint="eastAsia" w:cs="仿宋" w:asciiTheme="majorEastAsia" w:hAnsiTheme="majorEastAsia" w:eastAsiaTheme="majorEastAsia"/>
          <w:color w:val="auto"/>
          <w:sz w:val="24"/>
          <w:highlight w:val="none"/>
        </w:rPr>
        <w:t>）。</w:t>
      </w:r>
    </w:p>
    <w:p w14:paraId="001BE937">
      <w:pPr>
        <w:spacing w:line="360" w:lineRule="auto"/>
        <w:ind w:firstLine="482"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开标地点（线下）：</w:t>
      </w:r>
      <w:r>
        <w:rPr>
          <w:rFonts w:hint="eastAsia" w:cs="仿宋" w:asciiTheme="majorEastAsia" w:hAnsiTheme="majorEastAsia" w:eastAsiaTheme="majorEastAsia"/>
          <w:bCs/>
          <w:color w:val="auto"/>
          <w:sz w:val="24"/>
          <w:highlight w:val="none"/>
        </w:rPr>
        <w:t>宁波市奉化区公共资源交易中心开标厅</w:t>
      </w:r>
      <w:r>
        <w:rPr>
          <w:rFonts w:hint="eastAsia" w:cs="仿宋" w:asciiTheme="majorEastAsia" w:hAnsiTheme="majorEastAsia" w:eastAsiaTheme="majorEastAsia"/>
          <w:bCs/>
          <w:color w:val="auto"/>
          <w:sz w:val="24"/>
          <w:highlight w:val="none"/>
          <w:lang w:val="en-US" w:eastAsia="zh-CN"/>
        </w:rPr>
        <w:t>一</w:t>
      </w:r>
      <w:r>
        <w:rPr>
          <w:rFonts w:hint="eastAsia" w:cs="仿宋" w:asciiTheme="majorEastAsia" w:hAnsiTheme="majorEastAsia" w:eastAsiaTheme="majorEastAsia"/>
          <w:bCs/>
          <w:color w:val="auto"/>
          <w:sz w:val="24"/>
          <w:highlight w:val="none"/>
        </w:rPr>
        <w:t>（宁波市奉化区大成东路277号4楼）</w:t>
      </w:r>
    </w:p>
    <w:p w14:paraId="0086FEDF">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 xml:space="preserve">五、公告期限 </w:t>
      </w:r>
    </w:p>
    <w:p w14:paraId="091275E6">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自本公告发布之日起5个工作日。</w:t>
      </w:r>
    </w:p>
    <w:p w14:paraId="05D04511">
      <w:pP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六、其他补充事宜</w:t>
      </w:r>
    </w:p>
    <w:p w14:paraId="5FFA015F">
      <w:pPr>
        <w:shd w:val="clear"/>
        <w:spacing w:line="360" w:lineRule="auto"/>
        <w:ind w:firstLine="480" w:firstLineChars="200"/>
        <w:rPr>
          <w:rFonts w:hint="eastAsia" w:cs="仿宋" w:asciiTheme="majorEastAsia" w:hAnsiTheme="majorEastAsia" w:eastAsiaTheme="majorEastAsia"/>
          <w:color w:val="auto"/>
          <w:sz w:val="24"/>
          <w:highlight w:val="none"/>
          <w:lang w:eastAsia="zh-CN"/>
        </w:rPr>
      </w:pPr>
      <w:r>
        <w:rPr>
          <w:rFonts w:hint="eastAsia" w:cs="仿宋" w:asciiTheme="majorEastAsia" w:hAnsiTheme="majorEastAsia" w:eastAsiaTheme="majorEastAsia"/>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r>
        <w:rPr>
          <w:rFonts w:hint="eastAsia" w:cs="仿宋" w:asciiTheme="majorEastAsia" w:hAnsiTheme="majorEastAsia" w:eastAsiaTheme="majorEastAsia"/>
          <w:color w:val="auto"/>
          <w:sz w:val="24"/>
          <w:highlight w:val="none"/>
          <w:lang w:eastAsia="zh-CN"/>
        </w:rPr>
        <w:t>。</w:t>
      </w:r>
    </w:p>
    <w:p w14:paraId="25FCB055">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w:t>
      </w:r>
      <w:r>
        <w:rPr>
          <w:rFonts w:hint="eastAsia" w:cs="仿宋" w:asciiTheme="majorEastAsia" w:hAnsiTheme="majorEastAsia" w:eastAsiaTheme="majorEastAsia"/>
          <w:color w:val="auto"/>
          <w:sz w:val="24"/>
          <w:highlight w:val="none"/>
          <w:lang w:val="en-US" w:eastAsia="zh-CN"/>
        </w:rPr>
        <w:t>乐采云</w:t>
      </w:r>
      <w:r>
        <w:rPr>
          <w:rFonts w:hint="eastAsia" w:cs="仿宋" w:asciiTheme="majorEastAsia" w:hAnsiTheme="majorEastAsia" w:eastAsiaTheme="majorEastAsia"/>
          <w:color w:val="auto"/>
          <w:sz w:val="24"/>
          <w:highlight w:val="none"/>
        </w:rPr>
        <w:t>（www.lecaiyun.com）”进行招投标活动，不接受纸质投标文件；②投标准备：注册账号--点击“商家入驻”，进行政府采购供应商资料填写；申领CA数字证书---申领流程详见“</w:t>
      </w:r>
      <w:r>
        <w:rPr>
          <w:rFonts w:hint="eastAsia" w:cs="仿宋" w:asciiTheme="majorEastAsia" w:hAnsiTheme="majorEastAsia" w:eastAsiaTheme="majorEastAsia"/>
          <w:color w:val="auto"/>
          <w:sz w:val="24"/>
          <w:highlight w:val="none"/>
          <w:lang w:val="en-US" w:eastAsia="zh-CN"/>
        </w:rPr>
        <w:t>浙江省企业采购服务信息网</w:t>
      </w:r>
      <w:r>
        <w:rPr>
          <w:rFonts w:hint="eastAsia" w:cs="仿宋" w:asciiTheme="majorEastAsia" w:hAnsiTheme="majorEastAsia" w:eastAsiaTheme="majorEastAsia"/>
          <w:color w:val="auto"/>
          <w:sz w:val="24"/>
          <w:highlight w:val="none"/>
          <w:lang w:eastAsia="zh-CN"/>
        </w:rPr>
        <w:t>浙江企业采购信息服务网</w:t>
      </w:r>
      <w:r>
        <w:rPr>
          <w:rFonts w:hint="eastAsia" w:cs="仿宋" w:asciiTheme="majorEastAsia" w:hAnsiTheme="majorEastAsia" w:eastAsiaTheme="majorEastAsia"/>
          <w:color w:val="auto"/>
          <w:sz w:val="24"/>
          <w:highlight w:val="none"/>
        </w:rPr>
        <w:t>-下载专区-电子交易客户端-CA驱动和申领流程”；安装“</w:t>
      </w:r>
      <w:r>
        <w:rPr>
          <w:rFonts w:hint="eastAsia" w:cs="仿宋" w:asciiTheme="majorEastAsia" w:hAnsiTheme="majorEastAsia" w:eastAsiaTheme="majorEastAsia"/>
          <w:color w:val="auto"/>
          <w:sz w:val="24"/>
          <w:highlight w:val="none"/>
          <w:lang w:eastAsia="zh-CN"/>
        </w:rPr>
        <w:t>乐采云</w:t>
      </w:r>
      <w:r>
        <w:rPr>
          <w:rFonts w:hint="eastAsia" w:cs="仿宋" w:asciiTheme="majorEastAsia" w:hAnsiTheme="majorEastAsia" w:eastAsiaTheme="majorEastAsia"/>
          <w:color w:val="auto"/>
          <w:sz w:val="24"/>
          <w:highlight w:val="none"/>
        </w:rPr>
        <w:t>电子交易客户端”----前往“</w:t>
      </w:r>
      <w:r>
        <w:rPr>
          <w:rFonts w:hint="eastAsia" w:cs="仿宋" w:asciiTheme="majorEastAsia" w:hAnsiTheme="majorEastAsia" w:eastAsiaTheme="majorEastAsia"/>
          <w:color w:val="auto"/>
          <w:sz w:val="24"/>
          <w:highlight w:val="none"/>
          <w:lang w:eastAsia="zh-CN"/>
        </w:rPr>
        <w:t>浙江企业采购信息服务网</w:t>
      </w:r>
      <w:r>
        <w:rPr>
          <w:rFonts w:hint="eastAsia" w:cs="仿宋" w:asciiTheme="majorEastAsia" w:hAnsiTheme="majorEastAsia" w:eastAsiaTheme="majorEastAsia"/>
          <w:color w:val="auto"/>
          <w:sz w:val="24"/>
          <w:highlight w:val="none"/>
        </w:rPr>
        <w:t>-下载专区-电子交易客户端</w:t>
      </w:r>
      <w:r>
        <w:rPr>
          <w:rFonts w:hint="eastAsia" w:cs="仿宋" w:asciiTheme="majorEastAsia" w:hAnsiTheme="majorEastAsia" w:eastAsiaTheme="majorEastAsia"/>
          <w:color w:val="auto"/>
          <w:sz w:val="24"/>
          <w:highlight w:val="none"/>
          <w:lang w:eastAsia="zh-CN"/>
        </w:rPr>
        <w:t>（https://b.zhengcaiyun.cn/luban/category?parentId=550045&amp;childrenCode=qicaiCategory17&amp;utm=luban.luban-PC-39026.959-pc-websitegroup-navBar-front.8.ebdec73052c711ef9ade896d008b9248）</w:t>
      </w:r>
      <w:r>
        <w:rPr>
          <w:rFonts w:hint="eastAsia" w:cs="仿宋" w:asciiTheme="majorEastAsia" w:hAnsiTheme="majorEastAsia" w:eastAsiaTheme="majorEastAsia"/>
          <w:color w:val="auto"/>
          <w:sz w:val="24"/>
          <w:highlight w:val="none"/>
        </w:rPr>
        <w:t>”进行下载并安装；</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在开标前应确保成为浙江省政府采购网正式注册入库供应商，并完成CA数字证书办理。完成CA数字证书办理在资料齐全的情况下预计7个工作日左右，请各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合理预估时间，及时办理。③招标文件的获取：使用账号登录或者使用CA登录</w:t>
      </w:r>
      <w:r>
        <w:rPr>
          <w:rFonts w:hint="eastAsia" w:cs="仿宋" w:asciiTheme="majorEastAsia" w:hAnsiTheme="majorEastAsia" w:eastAsiaTheme="majorEastAsia"/>
          <w:color w:val="auto"/>
          <w:sz w:val="24"/>
          <w:highlight w:val="none"/>
          <w:lang w:eastAsia="zh-CN"/>
        </w:rPr>
        <w:t>乐采云</w:t>
      </w:r>
      <w:r>
        <w:rPr>
          <w:rFonts w:hint="eastAsia" w:cs="仿宋" w:asciiTheme="majorEastAsia" w:hAnsiTheme="majorEastAsia" w:eastAsiaTheme="majorEastAsia"/>
          <w:color w:val="auto"/>
          <w:sz w:val="24"/>
          <w:highlight w:val="none"/>
        </w:rPr>
        <w:t>平台；进入“项目采购”应用，在获取采购文件菜单中选择项目，获取招标文件；④投标文件的制作：在“</w:t>
      </w:r>
      <w:r>
        <w:rPr>
          <w:rFonts w:hint="eastAsia" w:cs="仿宋" w:asciiTheme="majorEastAsia" w:hAnsiTheme="majorEastAsia" w:eastAsiaTheme="majorEastAsia"/>
          <w:color w:val="auto"/>
          <w:sz w:val="24"/>
          <w:highlight w:val="none"/>
          <w:lang w:eastAsia="zh-CN"/>
        </w:rPr>
        <w:t>乐采云</w:t>
      </w:r>
      <w:r>
        <w:rPr>
          <w:rFonts w:hint="eastAsia" w:cs="仿宋" w:asciiTheme="majorEastAsia" w:hAnsiTheme="majorEastAsia" w:eastAsiaTheme="majorEastAsia"/>
          <w:color w:val="auto"/>
          <w:sz w:val="24"/>
          <w:highlight w:val="none"/>
        </w:rPr>
        <w:t>电子交易客户端”中完成“填写基本信息”、“导入投标文件”、“标书关联”、“标书检查”、“电子签名”、“生成电子标书”等操作；⑤采购人、采购代理机构将依托</w:t>
      </w:r>
      <w:r>
        <w:rPr>
          <w:rFonts w:hint="eastAsia" w:cs="仿宋" w:asciiTheme="majorEastAsia" w:hAnsiTheme="majorEastAsia" w:eastAsiaTheme="majorEastAsia"/>
          <w:color w:val="auto"/>
          <w:sz w:val="24"/>
          <w:highlight w:val="none"/>
          <w:lang w:eastAsia="zh-CN"/>
        </w:rPr>
        <w:t>乐采云</w:t>
      </w:r>
      <w:r>
        <w:rPr>
          <w:rFonts w:hint="eastAsia" w:cs="仿宋" w:asciiTheme="majorEastAsia" w:hAnsiTheme="majorEastAsia" w:eastAsiaTheme="majorEastAsia"/>
          <w:color w:val="auto"/>
          <w:sz w:val="24"/>
          <w:highlight w:val="none"/>
        </w:rPr>
        <w:t>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按照平台提示和招标文件的规定在半小时内完成在线解密。⑨具体操作指南：详见</w:t>
      </w:r>
      <w:r>
        <w:rPr>
          <w:rFonts w:hint="eastAsia" w:cs="仿宋" w:asciiTheme="majorEastAsia" w:hAnsiTheme="majorEastAsia" w:eastAsiaTheme="majorEastAsia"/>
          <w:color w:val="auto"/>
          <w:sz w:val="24"/>
          <w:highlight w:val="none"/>
          <w:lang w:eastAsia="zh-CN"/>
        </w:rPr>
        <w:t>乐采云</w:t>
      </w:r>
      <w:r>
        <w:rPr>
          <w:rFonts w:hint="eastAsia" w:cs="仿宋" w:asciiTheme="majorEastAsia" w:hAnsiTheme="majorEastAsia" w:eastAsiaTheme="majorEastAsia"/>
          <w:color w:val="auto"/>
          <w:sz w:val="24"/>
          <w:highlight w:val="none"/>
        </w:rPr>
        <w:t>平台“服务中心-帮助文档-项目采购-操作流程-电子招投标-政府采购项目电子交易管理操作指南-供应商”。</w:t>
      </w:r>
    </w:p>
    <w:p w14:paraId="3168CD5D">
      <w:pP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七、对本次采购提出询问、质疑、投诉，请按以下方式联系</w:t>
      </w:r>
    </w:p>
    <w:p w14:paraId="61B9EE8A">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1.采购人信息</w:t>
      </w:r>
    </w:p>
    <w:p w14:paraId="3127AD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ajorEastAsia" w:hAnsiTheme="majorEastAsia" w:eastAsiaTheme="majorEastAsia"/>
          <w:color w:val="auto"/>
          <w:sz w:val="24"/>
          <w:highlight w:val="none"/>
          <w:lang w:eastAsia="zh-CN"/>
        </w:rPr>
      </w:pPr>
      <w:r>
        <w:rPr>
          <w:rFonts w:hint="eastAsia" w:cs="仿宋" w:asciiTheme="majorEastAsia" w:hAnsiTheme="majorEastAsia" w:eastAsiaTheme="majorEastAsia"/>
          <w:color w:val="auto"/>
          <w:sz w:val="24"/>
          <w:highlight w:val="none"/>
        </w:rPr>
        <w:t>名    称：</w:t>
      </w:r>
      <w:r>
        <w:rPr>
          <w:rFonts w:hint="eastAsia" w:cs="仿宋" w:asciiTheme="majorEastAsia" w:hAnsiTheme="majorEastAsia" w:eastAsiaTheme="majorEastAsia"/>
          <w:color w:val="auto"/>
          <w:sz w:val="24"/>
          <w:highlight w:val="none"/>
          <w:lang w:eastAsia="zh-CN"/>
        </w:rPr>
        <w:t>宁波名新置业有限公司</w:t>
      </w:r>
    </w:p>
    <w:p w14:paraId="205060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地    址：浙江省宁波市奉化区溪口镇锦堤北路997号商业01-2</w:t>
      </w:r>
    </w:p>
    <w:p w14:paraId="0E33E9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传    真：</w:t>
      </w:r>
      <w:r>
        <w:rPr>
          <w:rFonts w:hint="eastAsia" w:cs="仿宋" w:asciiTheme="majorEastAsia" w:hAnsiTheme="majorEastAsia" w:eastAsiaTheme="majorEastAsia"/>
          <w:color w:val="auto"/>
          <w:sz w:val="24"/>
          <w:highlight w:val="none"/>
          <w:lang w:val="en-US" w:eastAsia="zh-CN"/>
        </w:rPr>
        <w:t>/</w:t>
      </w:r>
      <w:r>
        <w:rPr>
          <w:rFonts w:hint="eastAsia" w:cs="仿宋" w:asciiTheme="majorEastAsia" w:hAnsiTheme="majorEastAsia" w:eastAsiaTheme="majorEastAsia"/>
          <w:color w:val="auto"/>
          <w:sz w:val="24"/>
          <w:highlight w:val="none"/>
        </w:rPr>
        <w:t xml:space="preserve"> </w:t>
      </w:r>
    </w:p>
    <w:p w14:paraId="3EEF35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项目联系人（询问）：</w:t>
      </w:r>
      <w:r>
        <w:rPr>
          <w:rFonts w:hint="eastAsia" w:cs="仿宋" w:asciiTheme="majorEastAsia" w:hAnsiTheme="majorEastAsia" w:eastAsiaTheme="majorEastAsia"/>
          <w:color w:val="auto"/>
          <w:sz w:val="24"/>
          <w:highlight w:val="none"/>
          <w:lang w:val="en-US" w:eastAsia="zh-CN"/>
        </w:rPr>
        <w:t>单先生</w:t>
      </w:r>
      <w:r>
        <w:rPr>
          <w:rFonts w:hint="eastAsia" w:cs="仿宋" w:asciiTheme="majorEastAsia" w:hAnsiTheme="majorEastAsia" w:eastAsiaTheme="majorEastAsia"/>
          <w:color w:val="auto"/>
          <w:sz w:val="24"/>
          <w:highlight w:val="none"/>
        </w:rPr>
        <w:t xml:space="preserve">  </w:t>
      </w:r>
    </w:p>
    <w:p w14:paraId="1053D8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项目联系方式（询问）：</w:t>
      </w:r>
      <w:r>
        <w:rPr>
          <w:rFonts w:hint="eastAsia" w:cs="仿宋" w:asciiTheme="majorEastAsia" w:hAnsiTheme="majorEastAsia" w:eastAsiaTheme="majorEastAsia"/>
          <w:color w:val="auto"/>
          <w:sz w:val="24"/>
          <w:highlight w:val="none"/>
          <w:lang w:val="en-US" w:eastAsia="zh-CN"/>
        </w:rPr>
        <w:t>88854688</w:t>
      </w:r>
      <w:r>
        <w:rPr>
          <w:rFonts w:hint="eastAsia" w:cs="仿宋" w:asciiTheme="majorEastAsia" w:hAnsiTheme="majorEastAsia" w:eastAsiaTheme="majorEastAsia"/>
          <w:color w:val="auto"/>
          <w:sz w:val="24"/>
          <w:highlight w:val="none"/>
        </w:rPr>
        <w:t xml:space="preserve"> </w:t>
      </w:r>
    </w:p>
    <w:p w14:paraId="63842C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质疑联系人：</w:t>
      </w:r>
      <w:r>
        <w:rPr>
          <w:rFonts w:hint="eastAsia" w:cs="仿宋" w:asciiTheme="majorEastAsia" w:hAnsiTheme="majorEastAsia" w:eastAsiaTheme="majorEastAsia"/>
          <w:color w:val="auto"/>
          <w:sz w:val="24"/>
          <w:highlight w:val="none"/>
          <w:lang w:val="en-US" w:eastAsia="zh-CN"/>
        </w:rPr>
        <w:t>邬先生</w:t>
      </w:r>
    </w:p>
    <w:p w14:paraId="3BCA9E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质疑联系方式：</w:t>
      </w:r>
      <w:r>
        <w:rPr>
          <w:rFonts w:hint="eastAsia" w:cs="仿宋" w:asciiTheme="majorEastAsia" w:hAnsiTheme="majorEastAsia" w:eastAsiaTheme="majorEastAsia"/>
          <w:color w:val="auto"/>
          <w:sz w:val="24"/>
          <w:highlight w:val="none"/>
          <w:lang w:val="en-US" w:eastAsia="zh-CN"/>
        </w:rPr>
        <w:t>88854688</w:t>
      </w:r>
    </w:p>
    <w:p w14:paraId="0CB113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2.采购代理机构信息            </w:t>
      </w:r>
    </w:p>
    <w:p w14:paraId="773AF89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val="en-US" w:eastAsia="zh-CN"/>
        </w:rPr>
        <w:t>宁波锦业工程咨询管理有限公司</w:t>
      </w:r>
      <w:r>
        <w:rPr>
          <w:rFonts w:hint="eastAsia" w:ascii="宋体" w:hAnsi="宋体" w:eastAsia="宋体" w:cs="宋体"/>
          <w:color w:val="auto"/>
          <w:sz w:val="24"/>
          <w:highlight w:val="none"/>
        </w:rPr>
        <w:t xml:space="preserve"> </w:t>
      </w:r>
    </w:p>
    <w:p w14:paraId="7388501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址：宁波市奉化区岳林街道东郊工业开发区天峰路66号10号楼2楼</w:t>
      </w:r>
    </w:p>
    <w:p w14:paraId="594AC11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lang w:val="en-US" w:eastAsia="zh-CN"/>
        </w:rPr>
        <w:t>0574-88913191</w:t>
      </w:r>
      <w:r>
        <w:rPr>
          <w:rFonts w:hint="eastAsia" w:ascii="宋体" w:hAnsi="宋体" w:eastAsia="宋体" w:cs="宋体"/>
          <w:color w:val="auto"/>
          <w:sz w:val="24"/>
          <w:highlight w:val="none"/>
        </w:rPr>
        <w:t xml:space="preserve">            </w:t>
      </w:r>
    </w:p>
    <w:p w14:paraId="15E4E19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董</w:t>
      </w:r>
      <w:r>
        <w:rPr>
          <w:rFonts w:hint="eastAsia" w:ascii="宋体" w:hAnsi="宋体" w:eastAsia="宋体" w:cs="宋体"/>
          <w:color w:val="auto"/>
          <w:sz w:val="24"/>
          <w:highlight w:val="none"/>
          <w:lang w:val="en-US" w:eastAsia="zh-CN"/>
        </w:rPr>
        <w:t>先生</w:t>
      </w:r>
      <w:r>
        <w:rPr>
          <w:rFonts w:hint="eastAsia" w:ascii="宋体" w:hAnsi="宋体" w:eastAsia="宋体" w:cs="宋体"/>
          <w:color w:val="auto"/>
          <w:sz w:val="24"/>
          <w:highlight w:val="none"/>
        </w:rPr>
        <w:t xml:space="preserve"> </w:t>
      </w:r>
    </w:p>
    <w:p w14:paraId="579E87ED">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15068136429</w:t>
      </w:r>
    </w:p>
    <w:p w14:paraId="7674055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应</w:t>
      </w:r>
      <w:r>
        <w:rPr>
          <w:rFonts w:hint="eastAsia" w:ascii="宋体" w:hAnsi="宋体" w:eastAsia="宋体" w:cs="宋体"/>
          <w:color w:val="auto"/>
          <w:sz w:val="24"/>
          <w:highlight w:val="none"/>
          <w:lang w:val="en-US" w:eastAsia="zh-CN"/>
        </w:rPr>
        <w:t>女士</w:t>
      </w:r>
      <w:r>
        <w:rPr>
          <w:rFonts w:hint="eastAsia" w:ascii="宋体" w:hAnsi="宋体" w:eastAsia="宋体" w:cs="宋体"/>
          <w:color w:val="auto"/>
          <w:sz w:val="24"/>
          <w:highlight w:val="none"/>
        </w:rPr>
        <w:t xml:space="preserve">  </w:t>
      </w:r>
    </w:p>
    <w:p w14:paraId="763994DD">
      <w:pPr>
        <w:spacing w:line="360" w:lineRule="auto"/>
        <w:ind w:firstLine="480"/>
        <w:rPr>
          <w:rFonts w:cs="仿宋" w:asciiTheme="majorEastAsia" w:hAnsiTheme="majorEastAsia" w:eastAsiaTheme="majorEastAsia"/>
          <w:color w:val="auto"/>
          <w:sz w:val="24"/>
          <w:highlight w:val="none"/>
        </w:rPr>
      </w:pPr>
      <w:r>
        <w:rPr>
          <w:rFonts w:hint="eastAsia" w:ascii="宋体" w:hAnsi="宋体" w:eastAsia="宋体" w:cs="宋体"/>
          <w:color w:val="auto"/>
          <w:sz w:val="24"/>
          <w:highlight w:val="none"/>
        </w:rPr>
        <w:t>质疑联系方式：</w:t>
      </w:r>
      <w:r>
        <w:rPr>
          <w:rFonts w:hint="eastAsia" w:ascii="宋体" w:hAnsi="宋体" w:cs="宋体"/>
          <w:color w:val="auto"/>
          <w:sz w:val="24"/>
          <w:highlight w:val="none"/>
          <w:lang w:val="en-US" w:eastAsia="zh-CN"/>
        </w:rPr>
        <w:t>13777264083</w:t>
      </w:r>
      <w:r>
        <w:rPr>
          <w:rFonts w:hint="eastAsia" w:cs="仿宋" w:asciiTheme="majorEastAsia" w:hAnsiTheme="majorEastAsia" w:eastAsiaTheme="majorEastAsia"/>
          <w:color w:val="auto"/>
          <w:sz w:val="24"/>
          <w:highlight w:val="none"/>
        </w:rPr>
        <w:t xml:space="preserve"> </w:t>
      </w:r>
    </w:p>
    <w:p w14:paraId="0F543A01">
      <w:pPr>
        <w:pStyle w:val="1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color w:val="auto"/>
          <w:sz w:val="24"/>
          <w:highlight w:val="none"/>
          <w:lang w:val="en-US" w:eastAsia="zh-CN"/>
        </w:rPr>
        <w:t xml:space="preserve">  3</w:t>
      </w:r>
      <w:r>
        <w:rPr>
          <w:rFonts w:hint="eastAsia" w:cs="仿宋" w:asciiTheme="majorEastAsia" w:hAnsiTheme="majorEastAsia" w:eastAsiaTheme="majorEastAsia"/>
          <w:color w:val="auto"/>
          <w:sz w:val="24"/>
          <w:highlight w:val="none"/>
        </w:rPr>
        <w:t xml:space="preserve">.同级监督管理部门            </w:t>
      </w:r>
    </w:p>
    <w:p w14:paraId="66F5805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eastAsia="宋体" w:cs="仿宋" w:asciiTheme="majorEastAsia" w:hAnsiTheme="majorEastAsia"/>
          <w:color w:val="auto"/>
          <w:sz w:val="24"/>
          <w:highlight w:val="none"/>
          <w:lang w:val="en-US" w:eastAsia="zh-CN"/>
        </w:rPr>
      </w:pPr>
      <w:r>
        <w:rPr>
          <w:rFonts w:hint="eastAsia" w:cs="仿宋" w:asciiTheme="majorEastAsia" w:hAnsiTheme="majorEastAsia" w:eastAsiaTheme="majorEastAsia"/>
          <w:color w:val="auto"/>
          <w:sz w:val="24"/>
          <w:highlight w:val="none"/>
        </w:rPr>
        <w:t>名    称：宁波市名山建设发展集团有限公司纪检监察（审计）室</w:t>
      </w:r>
      <w:r>
        <w:rPr>
          <w:rFonts w:hint="eastAsia" w:ascii="宋体" w:hAnsi="宋体" w:cs="宋体"/>
          <w:bCs/>
          <w:color w:val="auto"/>
          <w:sz w:val="24"/>
          <w:highlight w:val="none"/>
          <w:lang w:val="en-US" w:eastAsia="zh-CN"/>
        </w:rPr>
        <w:t xml:space="preserve">   </w:t>
      </w:r>
    </w:p>
    <w:p w14:paraId="1F287B1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eastAsia="宋体" w:cs="仿宋" w:asciiTheme="majorEastAsia" w:hAnsiTheme="majorEastAsia"/>
          <w:color w:val="auto"/>
          <w:sz w:val="24"/>
          <w:highlight w:val="none"/>
          <w:lang w:eastAsia="zh-CN"/>
        </w:rPr>
      </w:pPr>
      <w:r>
        <w:rPr>
          <w:rFonts w:hint="eastAsia" w:cs="仿宋" w:asciiTheme="majorEastAsia" w:hAnsiTheme="majorEastAsia" w:eastAsiaTheme="majorEastAsia"/>
          <w:color w:val="auto"/>
          <w:sz w:val="24"/>
          <w:highlight w:val="none"/>
        </w:rPr>
        <w:t>地    址：宁波市奉化区溪口镇公园路1号</w:t>
      </w:r>
      <w:r>
        <w:rPr>
          <w:rFonts w:hint="eastAsia" w:ascii="宋体" w:hAnsi="宋体" w:cs="宋体"/>
          <w:bCs/>
          <w:color w:val="auto"/>
          <w:sz w:val="24"/>
          <w:highlight w:val="none"/>
          <w:lang w:val="en-US" w:eastAsia="zh-CN"/>
        </w:rPr>
        <w:t xml:space="preserve"> </w:t>
      </w:r>
    </w:p>
    <w:p w14:paraId="747E9E4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传    真：</w:t>
      </w:r>
      <w:r>
        <w:rPr>
          <w:rFonts w:hint="eastAsia" w:cs="仿宋" w:asciiTheme="majorEastAsia" w:hAnsiTheme="majorEastAsia" w:eastAsiaTheme="majorEastAsia"/>
          <w:color w:val="auto"/>
          <w:sz w:val="24"/>
          <w:highlight w:val="none"/>
          <w:lang w:val="en-US" w:eastAsia="zh-CN"/>
        </w:rPr>
        <w:t xml:space="preserve">/ </w:t>
      </w:r>
      <w:r>
        <w:rPr>
          <w:rFonts w:hint="eastAsia" w:cs="仿宋" w:asciiTheme="majorEastAsia" w:hAnsiTheme="majorEastAsia" w:eastAsiaTheme="majorEastAsia"/>
          <w:color w:val="auto"/>
          <w:sz w:val="24"/>
          <w:highlight w:val="none"/>
        </w:rPr>
        <w:t xml:space="preserve"> </w:t>
      </w:r>
    </w:p>
    <w:p w14:paraId="776952F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eastAsia="宋体" w:cs="仿宋" w:asciiTheme="majorEastAsia" w:hAnsiTheme="majorEastAsia"/>
          <w:color w:val="auto"/>
          <w:sz w:val="24"/>
          <w:highlight w:val="none"/>
          <w:lang w:eastAsia="zh-CN"/>
        </w:rPr>
      </w:pPr>
      <w:r>
        <w:rPr>
          <w:rFonts w:hint="eastAsia" w:cs="仿宋" w:asciiTheme="majorEastAsia" w:hAnsiTheme="majorEastAsia" w:eastAsiaTheme="majorEastAsia"/>
          <w:color w:val="auto"/>
          <w:sz w:val="24"/>
          <w:highlight w:val="none"/>
        </w:rPr>
        <w:t>联 系 人 ：</w:t>
      </w:r>
      <w:r>
        <w:rPr>
          <w:rFonts w:hint="eastAsia" w:cs="仿宋" w:asciiTheme="majorEastAsia" w:hAnsiTheme="majorEastAsia" w:eastAsiaTheme="majorEastAsia"/>
          <w:color w:val="auto"/>
          <w:sz w:val="24"/>
          <w:highlight w:val="none"/>
          <w:lang w:val="en-US" w:eastAsia="zh-CN"/>
        </w:rPr>
        <w:t>李</w:t>
      </w:r>
      <w:r>
        <w:rPr>
          <w:rFonts w:hint="eastAsia" w:cs="仿宋" w:asciiTheme="majorEastAsia" w:hAnsiTheme="majorEastAsia" w:eastAsiaTheme="majorEastAsia"/>
          <w:color w:val="auto"/>
          <w:sz w:val="24"/>
          <w:highlight w:val="none"/>
        </w:rPr>
        <w:t>女士 联系方式：0574-89284167</w:t>
      </w:r>
      <w:r>
        <w:rPr>
          <w:rFonts w:hint="eastAsia" w:ascii="宋体" w:hAnsi="宋体" w:cs="宋体"/>
          <w:bCs/>
          <w:color w:val="auto"/>
          <w:sz w:val="24"/>
          <w:highlight w:val="none"/>
          <w:lang w:val="en-US" w:eastAsia="zh-CN"/>
        </w:rPr>
        <w:t xml:space="preserve"> </w:t>
      </w:r>
    </w:p>
    <w:p w14:paraId="599480A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监督投诉电话：0574-89284167         </w:t>
      </w:r>
    </w:p>
    <w:p w14:paraId="000B5690">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若对项目采购电子交易系统操作有疑问，可登录</w:t>
      </w:r>
      <w:r>
        <w:rPr>
          <w:rFonts w:hint="eastAsia" w:cs="仿宋" w:asciiTheme="majorEastAsia" w:hAnsiTheme="majorEastAsia" w:eastAsiaTheme="majorEastAsia"/>
          <w:color w:val="auto"/>
          <w:sz w:val="24"/>
          <w:highlight w:val="none"/>
          <w:lang w:eastAsia="zh-CN"/>
        </w:rPr>
        <w:t>乐采云</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lang w:eastAsia="zh-CN"/>
        </w:rPr>
        <w:t>https://www.lecaiyun.com/</w:t>
      </w:r>
      <w:r>
        <w:rPr>
          <w:rFonts w:hint="eastAsia" w:cs="仿宋" w:asciiTheme="majorEastAsia" w:hAnsiTheme="majorEastAsia" w:eastAsiaTheme="majorEastAsia"/>
          <w:color w:val="auto"/>
          <w:sz w:val="24"/>
          <w:highlight w:val="none"/>
        </w:rPr>
        <w:t>），点击右侧咨询小采，获取采小蜜智能服务管家帮助，或拨打</w:t>
      </w:r>
      <w:r>
        <w:rPr>
          <w:rFonts w:hint="eastAsia" w:cs="仿宋" w:asciiTheme="majorEastAsia" w:hAnsiTheme="majorEastAsia" w:eastAsiaTheme="majorEastAsia"/>
          <w:color w:val="auto"/>
          <w:sz w:val="24"/>
          <w:highlight w:val="none"/>
          <w:lang w:eastAsia="zh-CN"/>
        </w:rPr>
        <w:t>乐采云</w:t>
      </w:r>
      <w:r>
        <w:rPr>
          <w:rFonts w:hint="eastAsia" w:cs="仿宋" w:asciiTheme="majorEastAsia" w:hAnsiTheme="majorEastAsia" w:eastAsiaTheme="majorEastAsia"/>
          <w:color w:val="auto"/>
          <w:sz w:val="24"/>
          <w:highlight w:val="none"/>
        </w:rPr>
        <w:t>服务热线400-881-7190获取热线服务帮助。</w:t>
      </w:r>
    </w:p>
    <w:p w14:paraId="2E361FFF">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CA问题联系电话（人工）：汇信CA 400-888-4636；天谷CA 400-087-8198。</w:t>
      </w:r>
    </w:p>
    <w:p w14:paraId="6147A4C0">
      <w:pPr>
        <w:pStyle w:val="13"/>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highlight w:val="none"/>
        </w:rPr>
        <w:t xml:space="preserve">                              </w:t>
      </w:r>
    </w:p>
    <w:p w14:paraId="60C86794">
      <w:pPr>
        <w:spacing w:line="360" w:lineRule="auto"/>
        <w:jc w:val="center"/>
        <w:outlineLvl w:val="0"/>
        <w:rPr>
          <w:rFonts w:cs="仿宋" w:asciiTheme="majorEastAsia" w:hAnsiTheme="majorEastAsia" w:eastAsiaTheme="majorEastAsia"/>
          <w:b/>
          <w:color w:val="auto"/>
          <w:sz w:val="36"/>
          <w:szCs w:val="20"/>
          <w:highlight w:val="none"/>
        </w:rPr>
      </w:pPr>
      <w:r>
        <w:rPr>
          <w:rFonts w:hint="eastAsia" w:cs="仿宋" w:asciiTheme="majorEastAsia" w:hAnsiTheme="majorEastAsia" w:eastAsiaTheme="majorEastAsia"/>
          <w:b/>
          <w:color w:val="auto"/>
          <w:sz w:val="36"/>
          <w:szCs w:val="20"/>
          <w:highlight w:val="none"/>
        </w:rPr>
        <w:br w:type="page"/>
      </w:r>
      <w:r>
        <w:rPr>
          <w:rFonts w:hint="eastAsia" w:cs="仿宋" w:asciiTheme="majorEastAsia" w:hAnsiTheme="majorEastAsia" w:eastAsiaTheme="majorEastAsia"/>
          <w:b/>
          <w:color w:val="auto"/>
          <w:sz w:val="36"/>
          <w:szCs w:val="20"/>
          <w:highlight w:val="none"/>
        </w:rPr>
        <w:t>第二部分</w:t>
      </w:r>
      <w:bookmarkEnd w:id="8"/>
      <w:r>
        <w:rPr>
          <w:rFonts w:hint="eastAsia" w:cs="仿宋" w:asciiTheme="majorEastAsia" w:hAnsiTheme="majorEastAsia" w:eastAsiaTheme="majorEastAsia"/>
          <w:b/>
          <w:color w:val="auto"/>
          <w:sz w:val="36"/>
          <w:szCs w:val="20"/>
          <w:highlight w:val="none"/>
        </w:rPr>
        <w:t xml:space="preserve"> 投标须知</w:t>
      </w:r>
      <w:bookmarkEnd w:id="9"/>
    </w:p>
    <w:p w14:paraId="07678A0A">
      <w:pPr>
        <w:snapToGrid w:val="0"/>
        <w:spacing w:line="360" w:lineRule="auto"/>
        <w:jc w:val="center"/>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前附表</w:t>
      </w:r>
    </w:p>
    <w:tbl>
      <w:tblPr>
        <w:tblStyle w:val="19"/>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17B81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EC4CE4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0F68EC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79EF619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23B628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14:paraId="30FE78B8">
            <w:pPr>
              <w:snapToGrid w:val="0"/>
              <w:spacing w:line="360" w:lineRule="auto"/>
              <w:jc w:val="center"/>
              <w:rPr>
                <w:rFonts w:hint="eastAsia" w:ascii="宋体" w:hAnsi="宋体" w:eastAsia="宋体" w:cs="宋体"/>
                <w:color w:val="auto"/>
                <w:sz w:val="24"/>
                <w:highlight w:val="none"/>
              </w:rPr>
            </w:pPr>
          </w:p>
          <w:p w14:paraId="3CA07AD4">
            <w:pPr>
              <w:snapToGrid w:val="0"/>
              <w:spacing w:line="360" w:lineRule="auto"/>
              <w:jc w:val="center"/>
              <w:rPr>
                <w:rFonts w:hint="eastAsia" w:ascii="宋体" w:hAnsi="宋体" w:eastAsia="宋体" w:cs="宋体"/>
                <w:color w:val="auto"/>
                <w:sz w:val="24"/>
                <w:highlight w:val="none"/>
              </w:rPr>
            </w:pPr>
          </w:p>
          <w:p w14:paraId="01059114">
            <w:pPr>
              <w:snapToGrid w:val="0"/>
              <w:spacing w:line="360" w:lineRule="auto"/>
              <w:jc w:val="center"/>
              <w:rPr>
                <w:rFonts w:hint="eastAsia" w:ascii="宋体" w:hAnsi="宋体" w:eastAsia="宋体" w:cs="宋体"/>
                <w:color w:val="auto"/>
                <w:sz w:val="24"/>
                <w:highlight w:val="none"/>
              </w:rPr>
            </w:pPr>
          </w:p>
          <w:p w14:paraId="7EAA2330">
            <w:pPr>
              <w:snapToGrid w:val="0"/>
              <w:spacing w:line="360" w:lineRule="auto"/>
              <w:jc w:val="center"/>
              <w:rPr>
                <w:rFonts w:hint="eastAsia" w:ascii="宋体" w:hAnsi="宋体" w:eastAsia="宋体" w:cs="宋体"/>
                <w:color w:val="auto"/>
                <w:sz w:val="24"/>
                <w:highlight w:val="none"/>
              </w:rPr>
            </w:pPr>
          </w:p>
          <w:p w14:paraId="0BB545F3">
            <w:pPr>
              <w:snapToGrid w:val="0"/>
              <w:spacing w:line="360" w:lineRule="auto"/>
              <w:jc w:val="center"/>
              <w:rPr>
                <w:rFonts w:hint="eastAsia" w:ascii="宋体" w:hAnsi="宋体" w:eastAsia="宋体" w:cs="宋体"/>
                <w:color w:val="auto"/>
                <w:sz w:val="24"/>
                <w:highlight w:val="none"/>
              </w:rPr>
            </w:pPr>
          </w:p>
          <w:p w14:paraId="001E7C0F">
            <w:pPr>
              <w:snapToGrid w:val="0"/>
              <w:spacing w:line="360" w:lineRule="auto"/>
              <w:jc w:val="center"/>
              <w:rPr>
                <w:rFonts w:hint="eastAsia" w:ascii="宋体" w:hAnsi="宋体" w:eastAsia="宋体" w:cs="宋体"/>
                <w:color w:val="auto"/>
                <w:sz w:val="24"/>
                <w:highlight w:val="none"/>
              </w:rPr>
            </w:pPr>
          </w:p>
          <w:p w14:paraId="036833E4">
            <w:pPr>
              <w:snapToGrid w:val="0"/>
              <w:spacing w:line="360" w:lineRule="auto"/>
              <w:jc w:val="center"/>
              <w:rPr>
                <w:rFonts w:hint="eastAsia" w:ascii="宋体" w:hAnsi="宋体" w:eastAsia="宋体" w:cs="宋体"/>
                <w:color w:val="auto"/>
                <w:sz w:val="24"/>
                <w:highlight w:val="none"/>
              </w:rPr>
            </w:pPr>
          </w:p>
          <w:p w14:paraId="72F7ADB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C32C0C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3741264E">
            <w:pPr>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本项目固定单价合同。投标报价包括但不仅限于检测费</w:t>
            </w:r>
            <w:r>
              <w:rPr>
                <w:rFonts w:hint="eastAsia" w:ascii="宋体" w:hAnsi="宋体" w:eastAsia="宋体" w:cs="宋体"/>
                <w:b w:val="0"/>
                <w:bCs/>
                <w:color w:val="auto"/>
                <w:kern w:val="0"/>
                <w:sz w:val="24"/>
                <w:highlight w:val="none"/>
                <w:lang w:val="zh-CN" w:eastAsia="zh-CN"/>
              </w:rPr>
              <w:t>（</w:t>
            </w:r>
            <w:r>
              <w:rPr>
                <w:rFonts w:hint="eastAsia" w:ascii="宋体" w:hAnsi="宋体" w:eastAsia="宋体" w:cs="宋体"/>
                <w:b w:val="0"/>
                <w:bCs/>
                <w:color w:val="auto"/>
                <w:kern w:val="0"/>
                <w:sz w:val="24"/>
                <w:highlight w:val="none"/>
                <w:lang w:val="en-US" w:eastAsia="zh-CN"/>
              </w:rPr>
              <w:t>包括</w:t>
            </w:r>
            <w:r>
              <w:rPr>
                <w:rFonts w:hint="eastAsia" w:ascii="宋体" w:hAnsi="宋体" w:eastAsia="宋体" w:cs="宋体"/>
                <w:b w:val="0"/>
                <w:bCs/>
                <w:color w:val="auto"/>
                <w:kern w:val="0"/>
                <w:sz w:val="24"/>
                <w:highlight w:val="none"/>
                <w:lang w:val="zh-CN"/>
              </w:rPr>
              <w:t>现场测试</w:t>
            </w:r>
            <w:r>
              <w:rPr>
                <w:rFonts w:hint="eastAsia" w:ascii="宋体" w:hAnsi="宋体" w:eastAsia="宋体" w:cs="宋体"/>
                <w:b w:val="0"/>
                <w:bCs/>
                <w:color w:val="auto"/>
                <w:kern w:val="0"/>
                <w:sz w:val="24"/>
                <w:highlight w:val="none"/>
                <w:lang w:val="zh-CN" w:eastAsia="zh-CN"/>
              </w:rPr>
              <w:t>）</w:t>
            </w:r>
            <w:r>
              <w:rPr>
                <w:rFonts w:hint="eastAsia" w:ascii="宋体" w:hAnsi="宋体" w:eastAsia="宋体" w:cs="宋体"/>
                <w:b w:val="0"/>
                <w:bCs/>
                <w:color w:val="auto"/>
                <w:kern w:val="0"/>
                <w:sz w:val="24"/>
                <w:highlight w:val="none"/>
                <w:lang w:val="zh-CN"/>
              </w:rPr>
              <w:t>、试验费、办公费、人工费、工器具使用费、材料费</w:t>
            </w:r>
            <w:r>
              <w:rPr>
                <w:rFonts w:hint="eastAsia" w:ascii="宋体" w:hAnsi="宋体" w:eastAsia="宋体" w:cs="宋体"/>
                <w:b w:val="0"/>
                <w:bCs/>
                <w:color w:val="auto"/>
                <w:kern w:val="0"/>
                <w:sz w:val="24"/>
                <w:highlight w:val="none"/>
                <w:lang w:val="zh-CN" w:eastAsia="zh-CN"/>
              </w:rPr>
              <w:t>（</w:t>
            </w:r>
            <w:r>
              <w:rPr>
                <w:rFonts w:hint="eastAsia" w:ascii="宋体" w:hAnsi="宋体" w:eastAsia="宋体" w:cs="宋体"/>
                <w:b w:val="0"/>
                <w:bCs/>
                <w:color w:val="auto"/>
                <w:kern w:val="0"/>
                <w:sz w:val="24"/>
                <w:highlight w:val="none"/>
                <w:lang w:val="en-US" w:eastAsia="zh-CN"/>
              </w:rPr>
              <w:t>包括</w:t>
            </w:r>
            <w:r>
              <w:rPr>
                <w:rFonts w:hint="eastAsia" w:ascii="宋体" w:hAnsi="宋体" w:eastAsia="宋体" w:cs="宋体"/>
                <w:b w:val="0"/>
                <w:bCs/>
                <w:color w:val="auto"/>
                <w:kern w:val="0"/>
                <w:sz w:val="24"/>
                <w:highlight w:val="none"/>
                <w:lang w:val="zh-CN"/>
              </w:rPr>
              <w:t>堆载前的临时支撑</w:t>
            </w:r>
            <w:r>
              <w:rPr>
                <w:rFonts w:hint="eastAsia" w:ascii="宋体" w:hAnsi="宋体" w:eastAsia="宋体" w:cs="宋体"/>
                <w:b w:val="0"/>
                <w:bCs/>
                <w:color w:val="auto"/>
                <w:kern w:val="0"/>
                <w:sz w:val="24"/>
                <w:highlight w:val="none"/>
                <w:lang w:val="zh-CN" w:eastAsia="zh-CN"/>
              </w:rPr>
              <w:t>）</w:t>
            </w:r>
            <w:r>
              <w:rPr>
                <w:rFonts w:hint="eastAsia" w:ascii="宋体" w:hAnsi="宋体" w:eastAsia="宋体" w:cs="宋体"/>
                <w:b w:val="0"/>
                <w:bCs/>
                <w:color w:val="auto"/>
                <w:kern w:val="0"/>
                <w:sz w:val="24"/>
                <w:highlight w:val="none"/>
                <w:lang w:val="zh-CN"/>
              </w:rPr>
              <w:t>、</w:t>
            </w:r>
            <w:r>
              <w:rPr>
                <w:rFonts w:hint="eastAsia" w:ascii="宋体" w:hAnsi="宋体" w:eastAsia="宋体" w:cs="宋体"/>
                <w:b w:val="0"/>
                <w:bCs/>
                <w:color w:val="auto"/>
                <w:kern w:val="0"/>
                <w:sz w:val="24"/>
                <w:highlight w:val="none"/>
                <w:lang w:val="en-US" w:eastAsia="zh-CN"/>
              </w:rPr>
              <w:t>水电费、</w:t>
            </w:r>
            <w:r>
              <w:rPr>
                <w:rFonts w:hint="eastAsia" w:ascii="宋体" w:hAnsi="宋体" w:eastAsia="宋体" w:cs="宋体"/>
                <w:b w:val="0"/>
                <w:bCs/>
                <w:color w:val="auto"/>
                <w:kern w:val="0"/>
                <w:sz w:val="24"/>
                <w:highlight w:val="none"/>
                <w:lang w:val="zh-CN"/>
              </w:rPr>
              <w:t>机械进出场费、管理费、利润、税金、进出场费</w:t>
            </w:r>
            <w:r>
              <w:rPr>
                <w:rFonts w:hint="eastAsia" w:ascii="宋体" w:hAnsi="宋体" w:cs="宋体"/>
                <w:b w:val="0"/>
                <w:bCs/>
                <w:color w:val="auto"/>
                <w:kern w:val="0"/>
                <w:sz w:val="24"/>
                <w:highlight w:val="none"/>
                <w:lang w:val="zh-CN"/>
              </w:rPr>
              <w:t>、</w:t>
            </w:r>
            <w:r>
              <w:rPr>
                <w:rFonts w:hint="eastAsia" w:ascii="宋体" w:hAnsi="宋体" w:cs="宋体"/>
                <w:b w:val="0"/>
                <w:bCs/>
                <w:color w:val="auto"/>
                <w:kern w:val="0"/>
                <w:sz w:val="24"/>
                <w:highlight w:val="none"/>
                <w:lang w:val="en-US" w:eastAsia="zh-CN"/>
              </w:rPr>
              <w:t>招标代理费</w:t>
            </w:r>
            <w:r>
              <w:rPr>
                <w:rFonts w:hint="eastAsia" w:ascii="宋体" w:hAnsi="宋体" w:eastAsia="宋体" w:cs="宋体"/>
                <w:b w:val="0"/>
                <w:bCs/>
                <w:color w:val="auto"/>
                <w:kern w:val="0"/>
                <w:sz w:val="24"/>
                <w:highlight w:val="none"/>
                <w:lang w:val="zh-CN"/>
              </w:rPr>
              <w:t>等完成本项目服务所发生的全部费用，以及供应商企业利润和政策性文件规定及合同包含的所有风险、责任等各项应有费用。开标一览表是报价的唯一载体。投标文件中价格全部采用人民币报价。招标文件未列明，而供应商认为必需的费用也需列入报价。</w:t>
            </w:r>
          </w:p>
          <w:p w14:paraId="63DBA88E">
            <w:pPr>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174A62F8">
            <w:pPr>
              <w:keepNext w:val="0"/>
              <w:keepLines w:val="0"/>
              <w:pageBreakBefore w:val="0"/>
              <w:widowControl w:val="0"/>
              <w:kinsoku/>
              <w:wordWrap/>
              <w:overflowPunct/>
              <w:topLinePunct w:val="0"/>
              <w:bidi w:val="0"/>
              <w:snapToGrid w:val="0"/>
              <w:spacing w:line="360" w:lineRule="auto"/>
              <w:ind w:firstLine="241" w:firstLineChars="100"/>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70A2C67C">
            <w:pPr>
              <w:keepNext w:val="0"/>
              <w:keepLines w:val="0"/>
              <w:pageBreakBefore w:val="0"/>
              <w:widowControl w:val="0"/>
              <w:kinsoku/>
              <w:wordWrap/>
              <w:overflowPunct/>
              <w:topLinePunct w:val="0"/>
              <w:bidi w:val="0"/>
              <w:snapToGrid w:val="0"/>
              <w:spacing w:line="360" w:lineRule="auto"/>
              <w:ind w:firstLine="241" w:firstLineChars="100"/>
              <w:jc w:val="left"/>
              <w:textAlignment w:val="auto"/>
              <w:rPr>
                <w:rFonts w:hint="eastAsia" w:ascii="宋体" w:hAnsi="宋体" w:eastAsia="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投标报价超过招标文件中规定的预算金额或者最高限价或单项综合单价最高限价的</w:t>
            </w:r>
            <w:r>
              <w:rPr>
                <w:rFonts w:hint="eastAsia" w:ascii="宋体" w:hAnsi="宋体" w:eastAsia="宋体" w:cs="宋体"/>
                <w:b/>
                <w:color w:val="auto"/>
                <w:kern w:val="0"/>
                <w:sz w:val="24"/>
                <w:highlight w:val="none"/>
                <w:lang w:val="zh-CN"/>
              </w:rPr>
              <w:t>;</w:t>
            </w:r>
          </w:p>
          <w:p w14:paraId="2B680A67">
            <w:pPr>
              <w:keepNext w:val="0"/>
              <w:keepLines w:val="0"/>
              <w:pageBreakBefore w:val="0"/>
              <w:widowControl w:val="0"/>
              <w:kinsoku/>
              <w:wordWrap/>
              <w:overflowPunct/>
              <w:topLinePunct w:val="0"/>
              <w:bidi w:val="0"/>
              <w:spacing w:line="360" w:lineRule="auto"/>
              <w:ind w:firstLine="241" w:firstLineChars="100"/>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eastAsia="zh-CN"/>
              </w:rPr>
              <w:t>；</w:t>
            </w:r>
          </w:p>
          <w:p w14:paraId="06F170DA">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供应商对根据修正原则修正后的报价不确认的</w:t>
            </w:r>
            <w:r>
              <w:rPr>
                <w:rFonts w:hint="eastAsia" w:ascii="宋体" w:hAnsi="宋体" w:eastAsia="宋体" w:cs="宋体"/>
                <w:b/>
                <w:color w:val="auto"/>
                <w:sz w:val="24"/>
                <w:highlight w:val="none"/>
              </w:rPr>
              <w:t>。</w:t>
            </w:r>
          </w:p>
        </w:tc>
      </w:tr>
      <w:tr w14:paraId="57624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59C6F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B34DB6D">
            <w:pPr>
              <w:pStyle w:val="13"/>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28"/>
                <w:sz w:val="24"/>
                <w:szCs w:val="24"/>
                <w:highlight w:val="none"/>
              </w:rPr>
              <w:t>投标保证金</w:t>
            </w:r>
          </w:p>
        </w:tc>
        <w:tc>
          <w:tcPr>
            <w:tcW w:w="6662" w:type="dxa"/>
            <w:tcBorders>
              <w:top w:val="single" w:color="000000" w:sz="8" w:space="0"/>
              <w:left w:val="single" w:color="000000" w:sz="2" w:space="0"/>
              <w:bottom w:val="single" w:color="000000" w:sz="8" w:space="0"/>
              <w:right w:val="single" w:color="000000" w:sz="8" w:space="0"/>
            </w:tcBorders>
            <w:vAlign w:val="center"/>
          </w:tcPr>
          <w:p w14:paraId="004609BB">
            <w:pPr>
              <w:pStyle w:val="5"/>
              <w:spacing w:line="360" w:lineRule="auto"/>
              <w:ind w:firstLine="0"/>
              <w:jc w:val="left"/>
              <w:rPr>
                <w:rFonts w:hint="eastAsia" w:ascii="宋体" w:hAnsi="宋体" w:eastAsia="宋体" w:cs="宋体"/>
                <w:b/>
                <w:color w:val="auto"/>
                <w:kern w:val="0"/>
                <w:sz w:val="24"/>
                <w:highlight w:val="none"/>
                <w:lang w:eastAsia="zh-CN"/>
              </w:rPr>
            </w:pPr>
            <w:r>
              <w:rPr>
                <w:rFonts w:hint="eastAsia" w:ascii="宋体" w:hAnsi="宋体" w:eastAsia="宋体" w:cs="宋体"/>
                <w:snapToGrid/>
                <w:color w:val="auto"/>
                <w:kern w:val="2"/>
                <w:sz w:val="24"/>
                <w:szCs w:val="24"/>
                <w:highlight w:val="none"/>
                <w:lang w:val="en-US" w:eastAsia="zh-CN" w:bidi="ar-SA"/>
              </w:rPr>
              <w:t>本项目不需缴纳投标保证金。</w:t>
            </w:r>
          </w:p>
        </w:tc>
      </w:tr>
      <w:tr w14:paraId="5EDD2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2A467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34A83ED">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0135DD66">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p>
          <w:p w14:paraId="1DC64CBC">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tc>
      </w:tr>
      <w:tr w14:paraId="442EF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2F5130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06C6D3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5396139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资格证明文件：见招标文件第二部分9.1。</w:t>
            </w:r>
          </w:p>
          <w:p w14:paraId="29CD86D3">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资格证明文件不全的或者不符合招标文件标明的资格要求的</w:t>
            </w:r>
            <w:r>
              <w:rPr>
                <w:rFonts w:hint="eastAsia" w:ascii="宋体" w:hAnsi="宋体" w:eastAsia="宋体" w:cs="宋体"/>
                <w:color w:val="auto"/>
                <w:sz w:val="24"/>
                <w:highlight w:val="none"/>
                <w:lang w:val="zh-CN"/>
              </w:rPr>
              <w:t>，视为供应商不具备招标文件中规定的资格要求，投标无效。</w:t>
            </w:r>
          </w:p>
        </w:tc>
      </w:tr>
      <w:tr w14:paraId="3C25A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234B6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AEA919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3F66553D">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tc>
      </w:tr>
      <w:tr w14:paraId="129DC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D3DF9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78A9F6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14:paraId="62D03BAB">
            <w:pPr>
              <w:spacing w:line="360" w:lineRule="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tc>
      </w:tr>
      <w:tr w14:paraId="68B93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C6F806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0F88A09A">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0B8BCB3E">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tc>
      </w:tr>
      <w:tr w14:paraId="02165B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8299E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43FEF0B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00E1A2A2">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本项目不允许采购进口产品。</w:t>
            </w:r>
          </w:p>
        </w:tc>
      </w:tr>
      <w:tr w14:paraId="20E95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7A0E65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AC3D9D8">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项目属性与核心产品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6BD84E80">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B服务类</w:t>
            </w:r>
          </w:p>
        </w:tc>
      </w:tr>
      <w:tr w14:paraId="7FE58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6E52E1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62F471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01BD280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u w:val="single"/>
              </w:rPr>
              <w:t xml:space="preserve"> 奉化区FH61-01-51地块建设项目桩基检测项目 </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其他未列明行业 </w:t>
            </w:r>
            <w:r>
              <w:rPr>
                <w:rFonts w:hint="eastAsia" w:ascii="宋体" w:hAnsi="宋体" w:eastAsia="宋体" w:cs="宋体"/>
                <w:color w:val="auto"/>
                <w:kern w:val="0"/>
                <w:sz w:val="24"/>
                <w:highlight w:val="none"/>
              </w:rPr>
              <w:t>行业；</w:t>
            </w:r>
          </w:p>
        </w:tc>
      </w:tr>
      <w:tr w14:paraId="30A3F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14:paraId="6A2C00D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BB7965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中标服务费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732E8C0F">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color w:val="auto"/>
                <w:sz w:val="24"/>
                <w:highlight w:val="none"/>
              </w:rPr>
              <w:t>本招标公司根据国家发改委发改办价格[2003]857号通知和原国家计委计价格[2002]1980号文件规定的</w:t>
            </w:r>
            <w:r>
              <w:rPr>
                <w:rFonts w:hint="eastAsia" w:ascii="宋体" w:hAnsi="宋体" w:cs="宋体"/>
                <w:color w:val="auto"/>
                <w:sz w:val="24"/>
                <w:highlight w:val="none"/>
                <w:lang w:val="en-US" w:eastAsia="zh-CN"/>
              </w:rPr>
              <w:t>服务</w:t>
            </w:r>
            <w:r>
              <w:rPr>
                <w:rFonts w:hint="eastAsia" w:ascii="宋体" w:hAnsi="宋体" w:eastAsia="宋体" w:cs="宋体"/>
                <w:color w:val="auto"/>
                <w:sz w:val="24"/>
                <w:highlight w:val="none"/>
              </w:rPr>
              <w:t>招标费率标准收取中标服务费，按照中标通知书确定的中标总金额，向中标人收取招标服务费。中标人应在本公司发出中标通知书5个工作日内向本招标公司支付招标服务费。招标服务费只收现金、银行票汇款、电汇款。</w:t>
            </w:r>
          </w:p>
        </w:tc>
      </w:tr>
    </w:tbl>
    <w:p w14:paraId="5639D0D3">
      <w:pPr>
        <w:snapToGrid w:val="0"/>
        <w:spacing w:line="360" w:lineRule="auto"/>
        <w:jc w:val="center"/>
        <w:rPr>
          <w:rFonts w:cs="仿宋" w:asciiTheme="majorEastAsia" w:hAnsiTheme="majorEastAsia" w:eastAsiaTheme="majorEastAsia"/>
          <w:b/>
          <w:color w:val="auto"/>
          <w:sz w:val="32"/>
          <w:szCs w:val="20"/>
          <w:highlight w:val="none"/>
        </w:rPr>
      </w:pPr>
    </w:p>
    <w:bookmarkEnd w:id="10"/>
    <w:p w14:paraId="796C15A6">
      <w:pPr>
        <w:spacing w:line="360" w:lineRule="auto"/>
        <w:ind w:firstLine="3845" w:firstLineChars="1197"/>
        <w:outlineLvl w:val="0"/>
        <w:rPr>
          <w:rFonts w:hint="eastAsia" w:cs="仿宋" w:asciiTheme="majorEastAsia" w:hAnsiTheme="majorEastAsia" w:eastAsiaTheme="majorEastAsia"/>
          <w:b/>
          <w:color w:val="auto"/>
          <w:sz w:val="32"/>
          <w:szCs w:val="20"/>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bookmarkStart w:id="11" w:name="第三部分"/>
      <w:bookmarkStart w:id="12" w:name="_Toc164416483"/>
    </w:p>
    <w:p w14:paraId="3BB3D5BB">
      <w:pPr>
        <w:spacing w:line="360" w:lineRule="auto"/>
        <w:jc w:val="center"/>
        <w:outlineLvl w:val="0"/>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一、总则</w:t>
      </w:r>
    </w:p>
    <w:p w14:paraId="1BD0670B">
      <w:pPr>
        <w:numPr>
          <w:ilvl w:val="0"/>
          <w:numId w:val="1"/>
        </w:numPr>
        <w:shd w:val="clear"/>
        <w:adjustRightInd w:val="0"/>
        <w:snapToGrid w:val="0"/>
        <w:spacing w:before="120" w:beforeLines="50" w:line="360" w:lineRule="auto"/>
        <w:ind w:firstLine="482" w:firstLineChars="200"/>
        <w:jc w:val="left"/>
        <w:outlineLvl w:val="1"/>
        <w:rPr>
          <w:rFonts w:ascii="宋体" w:hAnsi="宋体" w:eastAsia="宋体" w:cs="仿宋"/>
          <w:b/>
          <w:color w:val="auto"/>
          <w:sz w:val="24"/>
          <w:highlight w:val="none"/>
        </w:rPr>
      </w:pPr>
      <w:bookmarkStart w:id="13" w:name="_Toc91899903"/>
      <w:r>
        <w:rPr>
          <w:rFonts w:hint="eastAsia" w:ascii="宋体" w:hAnsi="宋体" w:eastAsia="宋体" w:cs="仿宋"/>
          <w:b/>
          <w:color w:val="auto"/>
          <w:sz w:val="24"/>
          <w:highlight w:val="none"/>
        </w:rPr>
        <w:t>适用范围</w:t>
      </w:r>
    </w:p>
    <w:p w14:paraId="67E0EC5E">
      <w:pPr>
        <w:shd w:val="clear"/>
        <w:snapToGrid w:val="0"/>
        <w:spacing w:line="360" w:lineRule="auto"/>
        <w:ind w:firstLine="480" w:firstLineChars="200"/>
        <w:jc w:val="left"/>
        <w:rPr>
          <w:rFonts w:ascii="宋体" w:hAnsi="宋体" w:eastAsia="宋体" w:cs="仿宋"/>
          <w:color w:val="auto"/>
          <w:sz w:val="24"/>
          <w:highlight w:val="none"/>
        </w:rPr>
      </w:pPr>
      <w:r>
        <w:rPr>
          <w:rFonts w:hint="eastAsia" w:ascii="宋体" w:hAnsi="宋体" w:eastAsia="宋体" w:cs="仿宋"/>
          <w:color w:val="auto"/>
          <w:sz w:val="24"/>
          <w:highlight w:val="none"/>
        </w:rPr>
        <w:t>本招标文件适用于该项目的招标、投标、开标、资格审查及信用信息查询、评标、定标、合同、验收等行为（法律、法规另有规定的，从其规定）。</w:t>
      </w:r>
    </w:p>
    <w:p w14:paraId="4A5C6F02">
      <w:pPr>
        <w:numPr>
          <w:ilvl w:val="0"/>
          <w:numId w:val="1"/>
        </w:numPr>
        <w:shd w:val="clear"/>
        <w:adjustRightInd w:val="0"/>
        <w:snapToGrid w:val="0"/>
        <w:spacing w:before="120" w:beforeLines="50" w:line="360" w:lineRule="auto"/>
        <w:ind w:firstLine="482" w:firstLineChars="200"/>
        <w:jc w:val="left"/>
        <w:outlineLvl w:val="1"/>
        <w:rPr>
          <w:rFonts w:ascii="宋体" w:hAnsi="宋体" w:eastAsia="宋体" w:cs="仿宋"/>
          <w:b/>
          <w:color w:val="auto"/>
          <w:sz w:val="24"/>
          <w:highlight w:val="none"/>
        </w:rPr>
      </w:pPr>
      <w:r>
        <w:rPr>
          <w:rFonts w:hint="eastAsia" w:ascii="宋体" w:hAnsi="宋体" w:eastAsia="宋体" w:cs="仿宋"/>
          <w:b/>
          <w:color w:val="auto"/>
          <w:sz w:val="24"/>
          <w:highlight w:val="none"/>
        </w:rPr>
        <w:t>定义</w:t>
      </w:r>
    </w:p>
    <w:p w14:paraId="1BBEC68C">
      <w:pPr>
        <w:shd w:val="clear"/>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2.1 “采购人”系指招标公告中载明的本项目的采购人。</w:t>
      </w:r>
    </w:p>
    <w:p w14:paraId="63FF77FD">
      <w:pPr>
        <w:shd w:val="clear"/>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2.2 “采购代理机构”系指招标公告中载明的本项目的采购代理机构。</w:t>
      </w:r>
    </w:p>
    <w:p w14:paraId="4280AA53">
      <w:pPr>
        <w:shd w:val="clear"/>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2.3 “</w:t>
      </w:r>
      <w:r>
        <w:rPr>
          <w:rFonts w:hint="eastAsia" w:ascii="宋体" w:hAnsi="宋体" w:eastAsia="宋体" w:cs="仿宋"/>
          <w:color w:val="auto"/>
          <w:kern w:val="0"/>
          <w:sz w:val="24"/>
          <w:highlight w:val="none"/>
          <w:lang w:val="zh-CN"/>
        </w:rPr>
        <w:t>供应商</w:t>
      </w:r>
      <w:r>
        <w:rPr>
          <w:rFonts w:hint="eastAsia" w:ascii="宋体" w:hAnsi="宋体" w:eastAsia="宋体" w:cs="仿宋"/>
          <w:color w:val="auto"/>
          <w:sz w:val="24"/>
          <w:highlight w:val="none"/>
        </w:rPr>
        <w:t>”系指是指响应招标、参加投标竞争的法人、其他组织或者自然人。</w:t>
      </w:r>
    </w:p>
    <w:p w14:paraId="3FCBE2DE">
      <w:pPr>
        <w:shd w:val="clear"/>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2.4 “负责人”系指法人企业的法定负责人，或其他组织为法律、行政法规规定代表单位行使职权的主要负责人，或自然人本人。</w:t>
      </w:r>
    </w:p>
    <w:p w14:paraId="5E4D9F1C">
      <w:pPr>
        <w:shd w:val="clear"/>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2.5“电子签名”系指数据电文中以电子形式所含、所附用于识别签名人身份并表明签名人认可其中内容的数据；“公章”系指单位法定名称章。</w:t>
      </w:r>
    </w:p>
    <w:p w14:paraId="1BCA305B">
      <w:pPr>
        <w:shd w:val="clear"/>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2.6“电子交易平台”是指本项目采购活动所依托的采购云平台（</w:t>
      </w:r>
      <w:r>
        <w:rPr>
          <w:rFonts w:hint="eastAsia" w:ascii="宋体" w:hAnsi="宋体" w:cs="仿宋"/>
          <w:color w:val="auto"/>
          <w:sz w:val="24"/>
          <w:highlight w:val="none"/>
          <w:lang w:eastAsia="zh-CN"/>
        </w:rPr>
        <w:t>https://www.lecaiyun.com/</w:t>
      </w:r>
      <w:r>
        <w:rPr>
          <w:rFonts w:hint="eastAsia" w:ascii="宋体" w:hAnsi="宋体" w:eastAsia="宋体" w:cs="仿宋"/>
          <w:color w:val="auto"/>
          <w:sz w:val="24"/>
          <w:highlight w:val="none"/>
        </w:rPr>
        <w:t>）。</w:t>
      </w:r>
    </w:p>
    <w:p w14:paraId="1D7CE5E9">
      <w:pPr>
        <w:shd w:val="clear"/>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2.7 “▲” 系指实质性要求条款，“</w:t>
      </w:r>
      <w:r>
        <w:rPr>
          <w:rFonts w:ascii="Wingdings" w:hAnsi="Wingdings" w:eastAsia="仿宋" w:cs="仿宋"/>
          <w:color w:val="auto"/>
          <w:kern w:val="0"/>
          <w:sz w:val="24"/>
          <w:highlight w:val="none"/>
        </w:rPr>
        <w:t></w:t>
      </w:r>
      <w:r>
        <w:rPr>
          <w:rFonts w:hint="eastAsia" w:ascii="仿宋" w:hAnsi="仿宋" w:eastAsia="仿宋" w:cs="仿宋"/>
          <w:color w:val="auto"/>
          <w:kern w:val="0"/>
          <w:sz w:val="24"/>
          <w:highlight w:val="none"/>
        </w:rPr>
        <w:t xml:space="preserve"> </w:t>
      </w:r>
      <w:r>
        <w:rPr>
          <w:rFonts w:hint="eastAsia" w:ascii="宋体" w:hAnsi="宋体" w:eastAsia="宋体" w:cs="仿宋"/>
          <w:color w:val="auto"/>
          <w:sz w:val="24"/>
          <w:highlight w:val="none"/>
        </w:rPr>
        <w:t>” 系指适用本项目的要求，“</w:t>
      </w:r>
      <w:r>
        <w:rPr>
          <w:rFonts w:hint="eastAsia" w:ascii="MS Gothic" w:hAnsi="MS Gothic" w:eastAsia="MS Gothic" w:cs="MS Gothic"/>
          <w:color w:val="auto"/>
          <w:kern w:val="0"/>
          <w:sz w:val="24"/>
          <w:highlight w:val="none"/>
        </w:rPr>
        <w:t>☐</w:t>
      </w:r>
      <w:r>
        <w:rPr>
          <w:rFonts w:hint="eastAsia" w:ascii="宋体" w:hAnsi="宋体" w:eastAsia="宋体" w:cs="仿宋"/>
          <w:color w:val="auto"/>
          <w:sz w:val="24"/>
          <w:highlight w:val="none"/>
        </w:rPr>
        <w:t>” 系指不适用本项目的要求。</w:t>
      </w:r>
    </w:p>
    <w:p w14:paraId="4425AA89">
      <w:pPr>
        <w:numPr>
          <w:ilvl w:val="0"/>
          <w:numId w:val="1"/>
        </w:numPr>
        <w:shd w:val="clear"/>
        <w:adjustRightInd w:val="0"/>
        <w:snapToGrid w:val="0"/>
        <w:spacing w:before="120" w:beforeLines="50" w:line="360" w:lineRule="auto"/>
        <w:ind w:firstLine="482" w:firstLineChars="200"/>
        <w:jc w:val="left"/>
        <w:outlineLvl w:val="1"/>
        <w:rPr>
          <w:rFonts w:ascii="宋体" w:hAnsi="宋体" w:eastAsia="宋体" w:cs="仿宋"/>
          <w:b/>
          <w:color w:val="auto"/>
          <w:sz w:val="24"/>
          <w:highlight w:val="none"/>
        </w:rPr>
      </w:pPr>
      <w:r>
        <w:rPr>
          <w:rFonts w:hint="eastAsia" w:ascii="宋体" w:hAnsi="宋体" w:eastAsia="宋体" w:cs="仿宋"/>
          <w:b/>
          <w:color w:val="auto"/>
          <w:sz w:val="24"/>
          <w:highlight w:val="none"/>
        </w:rPr>
        <w:t>采购项目需要落实的政府采购政策</w:t>
      </w:r>
    </w:p>
    <w:p w14:paraId="30070B09">
      <w:pPr>
        <w:shd w:val="clear"/>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3.1 本项目原则上采购本国生产的货物、工程和服务，不允许采购进口产品。除非采购人采购进口产品，已经在采购活动开始前向</w:t>
      </w:r>
      <w:r>
        <w:rPr>
          <w:rFonts w:hint="eastAsia" w:ascii="宋体" w:hAnsi="宋体" w:eastAsia="宋体" w:cs="仿宋"/>
          <w:color w:val="auto"/>
          <w:sz w:val="24"/>
          <w:highlight w:val="none"/>
          <w:lang w:eastAsia="zh-CN"/>
        </w:rPr>
        <w:t>监管部门</w:t>
      </w:r>
      <w:r>
        <w:rPr>
          <w:rFonts w:hint="eastAsia" w:ascii="宋体" w:hAnsi="宋体" w:eastAsia="宋体" w:cs="仿宋"/>
          <w:color w:val="auto"/>
          <w:sz w:val="24"/>
          <w:highlight w:val="none"/>
        </w:rPr>
        <w:t>提出申请并获得</w:t>
      </w:r>
      <w:r>
        <w:rPr>
          <w:rFonts w:hint="eastAsia" w:ascii="宋体" w:hAnsi="宋体" w:eastAsia="宋体" w:cs="仿宋"/>
          <w:color w:val="auto"/>
          <w:sz w:val="24"/>
          <w:highlight w:val="none"/>
          <w:lang w:eastAsia="zh-CN"/>
        </w:rPr>
        <w:t>监管部门</w:t>
      </w:r>
      <w:r>
        <w:rPr>
          <w:rFonts w:hint="eastAsia" w:ascii="宋体" w:hAnsi="宋体" w:eastAsia="宋体" w:cs="仿宋"/>
          <w:color w:val="auto"/>
          <w:sz w:val="24"/>
          <w:highlight w:val="none"/>
        </w:rPr>
        <w:t>审核同意，且在采购需求中明确规定可以采购进口产品（但如果因信息不对称等原因，仍有满足需求的国内产品要求参与采购竞争的，采购人、采购代理机构不会对其加以限制，仍将按照公平竞争原则实施采购）。</w:t>
      </w:r>
    </w:p>
    <w:p w14:paraId="0649F3EB">
      <w:pPr>
        <w:shd w:val="clear"/>
        <w:spacing w:line="360" w:lineRule="auto"/>
        <w:ind w:firstLine="480" w:firstLineChars="200"/>
        <w:rPr>
          <w:rFonts w:hint="eastAsia" w:ascii="宋体" w:hAnsi="宋体" w:eastAsia="宋体" w:cs="仿宋"/>
          <w:color w:val="auto"/>
          <w:sz w:val="24"/>
          <w:highlight w:val="none"/>
        </w:rPr>
      </w:pPr>
      <w:r>
        <w:rPr>
          <w:rFonts w:hint="eastAsia" w:ascii="宋体" w:hAnsi="宋体" w:eastAsia="宋体" w:cs="仿宋"/>
          <w:color w:val="auto"/>
          <w:sz w:val="24"/>
          <w:highlight w:val="none"/>
        </w:rPr>
        <w:t>3.2 支持绿色发展</w:t>
      </w:r>
    </w:p>
    <w:p w14:paraId="7037A528">
      <w:pPr>
        <w:shd w:val="clear"/>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3.3支持中小企业发展</w:t>
      </w:r>
    </w:p>
    <w:p w14:paraId="3109F505">
      <w:pPr>
        <w:shd w:val="clear"/>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C9C26E2">
      <w:pPr>
        <w:shd w:val="clear"/>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符合中小企业划分标准的个体工商户，在政府采购活动中视同中小企业。</w:t>
      </w:r>
    </w:p>
    <w:p w14:paraId="444EC52E">
      <w:pPr>
        <w:widowControl/>
        <w:shd w:val="clear"/>
        <w:spacing w:line="360" w:lineRule="auto"/>
        <w:ind w:firstLine="480" w:firstLineChars="200"/>
        <w:jc w:val="left"/>
        <w:rPr>
          <w:rFonts w:ascii="宋体" w:hAnsi="宋体" w:eastAsia="宋体" w:cs="仿宋"/>
          <w:color w:val="auto"/>
          <w:kern w:val="0"/>
          <w:sz w:val="24"/>
          <w:highlight w:val="none"/>
        </w:rPr>
      </w:pPr>
      <w:r>
        <w:rPr>
          <w:rFonts w:hint="eastAsia" w:ascii="宋体" w:hAnsi="宋体" w:eastAsia="宋体" w:cs="仿宋"/>
          <w:bCs/>
          <w:color w:val="auto"/>
          <w:sz w:val="24"/>
          <w:highlight w:val="none"/>
        </w:rPr>
        <w:t>3.3.2</w:t>
      </w:r>
      <w:r>
        <w:rPr>
          <w:rFonts w:hint="eastAsia" w:ascii="宋体" w:hAnsi="宋体" w:eastAsia="宋体" w:cs="仿宋"/>
          <w:color w:val="auto"/>
          <w:kern w:val="0"/>
          <w:sz w:val="24"/>
          <w:highlight w:val="none"/>
        </w:rPr>
        <w:t>在政府采购活动中，</w:t>
      </w:r>
      <w:r>
        <w:rPr>
          <w:rFonts w:hint="eastAsia" w:ascii="宋体" w:hAnsi="宋体" w:eastAsia="宋体" w:cs="仿宋"/>
          <w:color w:val="auto"/>
          <w:kern w:val="0"/>
          <w:sz w:val="24"/>
          <w:highlight w:val="none"/>
          <w:lang w:val="zh-CN"/>
        </w:rPr>
        <w:t>供应商</w:t>
      </w:r>
      <w:r>
        <w:rPr>
          <w:rFonts w:hint="eastAsia" w:ascii="宋体" w:hAnsi="宋体" w:eastAsia="宋体" w:cs="仿宋"/>
          <w:color w:val="auto"/>
          <w:kern w:val="0"/>
          <w:sz w:val="24"/>
          <w:highlight w:val="none"/>
        </w:rPr>
        <w:t>提供的货物、工程或者服务符合下列情形的，享受中小企业扶持政策：</w:t>
      </w:r>
    </w:p>
    <w:p w14:paraId="25AA8B72">
      <w:pPr>
        <w:widowControl/>
        <w:shd w:val="clear"/>
        <w:spacing w:line="360" w:lineRule="auto"/>
        <w:ind w:firstLine="480" w:firstLineChars="200"/>
        <w:jc w:val="left"/>
        <w:rPr>
          <w:rFonts w:ascii="宋体" w:hAnsi="宋体" w:eastAsia="宋体" w:cs="仿宋"/>
          <w:color w:val="auto"/>
          <w:kern w:val="0"/>
          <w:sz w:val="24"/>
          <w:highlight w:val="none"/>
        </w:rPr>
      </w:pPr>
      <w:r>
        <w:rPr>
          <w:rFonts w:hint="eastAsia" w:ascii="宋体" w:hAnsi="宋体" w:eastAsia="宋体" w:cs="仿宋"/>
          <w:color w:val="auto"/>
          <w:kern w:val="0"/>
          <w:sz w:val="24"/>
          <w:highlight w:val="none"/>
        </w:rPr>
        <w:t>3.3.2.1在货物采购项目中，货物由中小企业制造，即货物由中小企业生产且使用该中小企业商号或者注册商标；</w:t>
      </w:r>
    </w:p>
    <w:p w14:paraId="54552AEF">
      <w:pPr>
        <w:widowControl/>
        <w:shd w:val="clear"/>
        <w:spacing w:line="360" w:lineRule="auto"/>
        <w:ind w:firstLine="480" w:firstLineChars="200"/>
        <w:jc w:val="left"/>
        <w:rPr>
          <w:rFonts w:ascii="宋体" w:hAnsi="宋体" w:eastAsia="宋体" w:cs="仿宋"/>
          <w:color w:val="auto"/>
          <w:kern w:val="0"/>
          <w:sz w:val="24"/>
          <w:highlight w:val="none"/>
        </w:rPr>
      </w:pPr>
      <w:r>
        <w:rPr>
          <w:rFonts w:hint="eastAsia" w:ascii="宋体" w:hAnsi="宋体" w:eastAsia="宋体" w:cs="仿宋"/>
          <w:color w:val="auto"/>
          <w:kern w:val="0"/>
          <w:sz w:val="24"/>
          <w:highlight w:val="none"/>
        </w:rPr>
        <w:t>3.3.2.2在工程采购项目中，工程由中小企业承建，即工程施工单位为中小企业；</w:t>
      </w:r>
    </w:p>
    <w:p w14:paraId="4AF2B066">
      <w:pPr>
        <w:widowControl/>
        <w:shd w:val="clear"/>
        <w:spacing w:line="360" w:lineRule="auto"/>
        <w:ind w:firstLine="480" w:firstLineChars="200"/>
        <w:jc w:val="left"/>
        <w:rPr>
          <w:rFonts w:ascii="宋体" w:hAnsi="宋体" w:eastAsia="宋体" w:cs="仿宋"/>
          <w:color w:val="auto"/>
          <w:kern w:val="0"/>
          <w:sz w:val="24"/>
          <w:highlight w:val="none"/>
        </w:rPr>
      </w:pPr>
      <w:r>
        <w:rPr>
          <w:rFonts w:hint="eastAsia" w:ascii="宋体" w:hAnsi="宋体" w:eastAsia="宋体" w:cs="仿宋"/>
          <w:color w:val="auto"/>
          <w:kern w:val="0"/>
          <w:sz w:val="24"/>
          <w:highlight w:val="none"/>
        </w:rPr>
        <w:t>3.3.2.3在服务采购项目中，服务由中小企业承接，即提供服务的人员为中小企业依照《中华人民共和国劳动合同法》订立劳动合同的从业人员。</w:t>
      </w:r>
    </w:p>
    <w:p w14:paraId="3016BD0F">
      <w:pPr>
        <w:widowControl/>
        <w:shd w:val="clear"/>
        <w:spacing w:line="360" w:lineRule="auto"/>
        <w:ind w:firstLine="480" w:firstLineChars="200"/>
        <w:jc w:val="left"/>
        <w:rPr>
          <w:rFonts w:ascii="宋体" w:hAnsi="宋体" w:eastAsia="宋体" w:cs="仿宋"/>
          <w:color w:val="auto"/>
          <w:kern w:val="0"/>
          <w:sz w:val="24"/>
          <w:highlight w:val="none"/>
        </w:rPr>
      </w:pPr>
      <w:r>
        <w:rPr>
          <w:rFonts w:hint="eastAsia" w:ascii="宋体" w:hAnsi="宋体" w:eastAsia="宋体" w:cs="仿宋"/>
          <w:color w:val="auto"/>
          <w:kern w:val="0"/>
          <w:sz w:val="24"/>
          <w:highlight w:val="none"/>
        </w:rPr>
        <w:t>在货物采购项目中，</w:t>
      </w:r>
      <w:r>
        <w:rPr>
          <w:rFonts w:hint="eastAsia" w:ascii="宋体" w:hAnsi="宋体" w:eastAsia="宋体" w:cs="仿宋"/>
          <w:color w:val="auto"/>
          <w:kern w:val="0"/>
          <w:sz w:val="24"/>
          <w:highlight w:val="none"/>
          <w:lang w:val="zh-CN"/>
        </w:rPr>
        <w:t>供应商</w:t>
      </w:r>
      <w:r>
        <w:rPr>
          <w:rFonts w:hint="eastAsia" w:ascii="宋体" w:hAnsi="宋体" w:eastAsia="宋体" w:cs="仿宋"/>
          <w:color w:val="auto"/>
          <w:kern w:val="0"/>
          <w:sz w:val="24"/>
          <w:highlight w:val="none"/>
        </w:rPr>
        <w:t>提供的货物既有中小企业制造货物，也有大型企业制造货物的，不享受中小企业扶持政策。</w:t>
      </w:r>
    </w:p>
    <w:p w14:paraId="758C2284">
      <w:pPr>
        <w:widowControl/>
        <w:shd w:val="clear"/>
        <w:spacing w:line="360" w:lineRule="auto"/>
        <w:ind w:firstLine="480" w:firstLineChars="200"/>
        <w:jc w:val="left"/>
        <w:rPr>
          <w:rFonts w:ascii="宋体" w:hAnsi="宋体" w:eastAsia="宋体" w:cs="仿宋"/>
          <w:color w:val="auto"/>
          <w:kern w:val="0"/>
          <w:sz w:val="24"/>
          <w:highlight w:val="none"/>
        </w:rPr>
      </w:pPr>
      <w:r>
        <w:rPr>
          <w:rFonts w:hint="eastAsia" w:ascii="宋体" w:hAnsi="宋体" w:eastAsia="宋体" w:cs="仿宋"/>
          <w:color w:val="auto"/>
          <w:kern w:val="0"/>
          <w:sz w:val="24"/>
          <w:highlight w:val="none"/>
        </w:rPr>
        <w:t>以联合体形式参加政府采购活动，联合体各方均为中小企业的，联合体视同中小企业。其中，联合体各方均为小微企业的，联合体视同小微企业。</w:t>
      </w:r>
    </w:p>
    <w:p w14:paraId="66B5C36B">
      <w:pPr>
        <w:shd w:val="clear"/>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仿宋"/>
          <w:color w:val="auto"/>
          <w:sz w:val="24"/>
          <w:highlight w:val="none"/>
          <w:lang w:val="en-US" w:eastAsia="zh-CN"/>
        </w:rPr>
        <w:t>1</w:t>
      </w:r>
      <w:r>
        <w:rPr>
          <w:rFonts w:hint="eastAsia" w:ascii="宋体" w:hAnsi="宋体" w:eastAsia="宋体" w:cs="仿宋"/>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仿宋"/>
          <w:color w:val="auto"/>
          <w:sz w:val="24"/>
          <w:highlight w:val="none"/>
          <w:lang w:val="en-US" w:eastAsia="zh-CN"/>
        </w:rPr>
        <w:t>4</w:t>
      </w:r>
      <w:r>
        <w:rPr>
          <w:rFonts w:hint="eastAsia" w:ascii="宋体" w:hAnsi="宋体" w:eastAsia="宋体"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1F78EE60">
      <w:pPr>
        <w:shd w:val="clear"/>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3.3.4符合《关于促进残疾人就业政府采购政策的通知》（财库〔2017〕141号）规定的条件并提供《残疾人福利性单位声明函》的残疾人福利性单位视同小型、微型企业；</w:t>
      </w:r>
    </w:p>
    <w:p w14:paraId="266A4C51">
      <w:pPr>
        <w:shd w:val="clear"/>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58A362D">
      <w:pPr>
        <w:shd w:val="clear"/>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3.3.6可享受中小企业扶持政策的</w:t>
      </w:r>
      <w:r>
        <w:rPr>
          <w:rFonts w:hint="eastAsia" w:ascii="宋体" w:hAnsi="宋体" w:eastAsia="宋体" w:cs="仿宋"/>
          <w:color w:val="auto"/>
          <w:kern w:val="0"/>
          <w:sz w:val="24"/>
          <w:highlight w:val="none"/>
          <w:lang w:val="zh-CN"/>
        </w:rPr>
        <w:t>供应商</w:t>
      </w:r>
      <w:r>
        <w:rPr>
          <w:rFonts w:hint="eastAsia" w:ascii="宋体" w:hAnsi="宋体" w:eastAsia="宋体" w:cs="仿宋"/>
          <w:color w:val="auto"/>
          <w:sz w:val="24"/>
          <w:highlight w:val="none"/>
        </w:rPr>
        <w:t>应按照招标文件格式要求提供《中小企业声明函》，</w:t>
      </w:r>
      <w:r>
        <w:rPr>
          <w:rFonts w:hint="eastAsia" w:ascii="宋体" w:hAnsi="宋体" w:eastAsia="宋体" w:cs="仿宋"/>
          <w:color w:val="auto"/>
          <w:kern w:val="0"/>
          <w:sz w:val="24"/>
          <w:highlight w:val="none"/>
          <w:lang w:val="zh-CN"/>
        </w:rPr>
        <w:t>供应商</w:t>
      </w:r>
      <w:r>
        <w:rPr>
          <w:rFonts w:hint="eastAsia" w:ascii="宋体" w:hAnsi="宋体" w:eastAsia="宋体" w:cs="仿宋"/>
          <w:color w:val="auto"/>
          <w:sz w:val="24"/>
          <w:highlight w:val="none"/>
        </w:rPr>
        <w:t>提供的《中小企业声明函》与实际情况不符的，不享受中小企业扶持政策。声明内容不实的，属于提供虚假材料谋取中标、成交的，依法承担法律责任。</w:t>
      </w:r>
    </w:p>
    <w:p w14:paraId="2FD4C922">
      <w:pPr>
        <w:shd w:val="clear"/>
        <w:spacing w:line="360" w:lineRule="auto"/>
        <w:ind w:firstLine="480" w:firstLineChars="200"/>
        <w:rPr>
          <w:rFonts w:hint="eastAsia" w:ascii="宋体" w:hAnsi="宋体" w:eastAsia="宋体" w:cs="仿宋"/>
          <w:color w:val="auto"/>
          <w:sz w:val="24"/>
          <w:highlight w:val="none"/>
        </w:rPr>
      </w:pPr>
      <w:r>
        <w:rPr>
          <w:rFonts w:hint="eastAsia" w:ascii="宋体" w:hAnsi="宋体" w:eastAsia="宋体" w:cs="仿宋"/>
          <w:color w:val="auto"/>
          <w:sz w:val="24"/>
          <w:highlight w:val="none"/>
        </w:rPr>
        <w:t>3.3.7中小企业享受扶持政策获得政府采购合同的，小微企业不得将合同分包给大中型企业，中型企业不得将合同分包给大型企业。</w:t>
      </w:r>
    </w:p>
    <w:p w14:paraId="00F297EE">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3.4支持创新发展</w:t>
      </w:r>
    </w:p>
    <w:p w14:paraId="5B433202">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3876648D">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3579EC4D">
      <w:pPr>
        <w:numPr>
          <w:ilvl w:val="0"/>
          <w:numId w:val="1"/>
        </w:numPr>
        <w:shd w:val="clear"/>
        <w:adjustRightInd w:val="0"/>
        <w:snapToGrid w:val="0"/>
        <w:spacing w:before="120" w:beforeLines="50" w:line="360" w:lineRule="auto"/>
        <w:ind w:firstLine="482" w:firstLineChars="200"/>
        <w:jc w:val="left"/>
        <w:outlineLvl w:val="1"/>
        <w:rPr>
          <w:rFonts w:ascii="宋体" w:hAnsi="宋体" w:eastAsia="宋体" w:cs="仿宋"/>
          <w:b/>
          <w:color w:val="auto"/>
          <w:sz w:val="24"/>
          <w:highlight w:val="none"/>
        </w:rPr>
      </w:pPr>
      <w:r>
        <w:rPr>
          <w:rFonts w:hint="eastAsia" w:ascii="宋体" w:hAnsi="宋体" w:eastAsia="宋体" w:cs="仿宋"/>
          <w:b/>
          <w:color w:val="auto"/>
          <w:sz w:val="24"/>
          <w:highlight w:val="none"/>
        </w:rPr>
        <w:t>特别说明</w:t>
      </w:r>
    </w:p>
    <w:p w14:paraId="6F901153">
      <w:pPr>
        <w:shd w:val="clear"/>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4.1关于分公司投标</w:t>
      </w:r>
    </w:p>
    <w:p w14:paraId="39C79A81">
      <w:pPr>
        <w:shd w:val="clear"/>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 xml:space="preserve">除银行、保险、石油石化、电力、电信等特殊行业外。法人的分支机构由于不能独立承担民事责任，不能以分支机构的身份参加政府采购，只能以法人身份参加。 </w:t>
      </w:r>
    </w:p>
    <w:p w14:paraId="70BED088">
      <w:pPr>
        <w:shd w:val="clear"/>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4.2关于知识产权</w:t>
      </w:r>
    </w:p>
    <w:p w14:paraId="0B4AD42A">
      <w:pPr>
        <w:shd w:val="clear"/>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 xml:space="preserve">4.2.1 </w:t>
      </w:r>
      <w:r>
        <w:rPr>
          <w:rFonts w:hint="eastAsia" w:ascii="宋体" w:hAnsi="宋体" w:eastAsia="宋体" w:cs="仿宋"/>
          <w:color w:val="auto"/>
          <w:kern w:val="0"/>
          <w:sz w:val="24"/>
          <w:highlight w:val="none"/>
          <w:lang w:val="zh-CN"/>
        </w:rPr>
        <w:t>供应商</w:t>
      </w:r>
      <w:r>
        <w:rPr>
          <w:rFonts w:hint="eastAsia" w:ascii="宋体" w:hAnsi="宋体" w:eastAsia="宋体" w:cs="仿宋"/>
          <w:color w:val="auto"/>
          <w:sz w:val="24"/>
          <w:highlight w:val="none"/>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ascii="宋体" w:hAnsi="宋体" w:eastAsia="宋体" w:cs="仿宋"/>
          <w:color w:val="auto"/>
          <w:kern w:val="0"/>
          <w:sz w:val="24"/>
          <w:highlight w:val="none"/>
          <w:lang w:val="zh-CN"/>
        </w:rPr>
        <w:t>供应商</w:t>
      </w:r>
      <w:r>
        <w:rPr>
          <w:rFonts w:hint="eastAsia" w:ascii="宋体" w:hAnsi="宋体" w:eastAsia="宋体" w:cs="仿宋"/>
          <w:color w:val="auto"/>
          <w:sz w:val="24"/>
          <w:highlight w:val="none"/>
        </w:rPr>
        <w:t>承担。</w:t>
      </w:r>
    </w:p>
    <w:p w14:paraId="66B146EE">
      <w:pPr>
        <w:shd w:val="clear"/>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4.2.2 投标报价应包含所有应向所有权人支付的专利权、商标权或其它知识产权的一切相关费用。</w:t>
      </w:r>
    </w:p>
    <w:p w14:paraId="73D1F559">
      <w:pPr>
        <w:shd w:val="clear"/>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4.2.3 系统软件、通用软件必须是具有在中国境内的合法使用权或版权的正版软件，涉及到第三方提出侵权或知识产权的起诉及支付版税等费用由</w:t>
      </w:r>
      <w:r>
        <w:rPr>
          <w:rFonts w:hint="eastAsia" w:ascii="宋体" w:hAnsi="宋体" w:eastAsia="宋体" w:cs="仿宋"/>
          <w:color w:val="auto"/>
          <w:kern w:val="0"/>
          <w:sz w:val="24"/>
          <w:highlight w:val="none"/>
          <w:lang w:val="zh-CN"/>
        </w:rPr>
        <w:t>供应商</w:t>
      </w:r>
      <w:r>
        <w:rPr>
          <w:rFonts w:hint="eastAsia" w:ascii="宋体" w:hAnsi="宋体" w:eastAsia="宋体" w:cs="仿宋"/>
          <w:color w:val="auto"/>
          <w:sz w:val="24"/>
          <w:highlight w:val="none"/>
        </w:rPr>
        <w:t>承担所有责任及费用。</w:t>
      </w:r>
    </w:p>
    <w:p w14:paraId="1C1C0CF7">
      <w:pPr>
        <w:shd w:val="clear"/>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4.3</w:t>
      </w:r>
      <w:r>
        <w:rPr>
          <w:rFonts w:hint="eastAsia" w:ascii="宋体" w:hAnsi="宋体" w:eastAsia="宋体" w:cs="仿宋"/>
          <w:color w:val="auto"/>
          <w:kern w:val="0"/>
          <w:sz w:val="24"/>
          <w:highlight w:val="none"/>
          <w:lang w:val="zh-CN"/>
        </w:rPr>
        <w:t>供应商</w:t>
      </w:r>
      <w:r>
        <w:rPr>
          <w:rFonts w:hint="eastAsia" w:ascii="宋体" w:hAnsi="宋体" w:eastAsia="宋体" w:cs="仿宋"/>
          <w:color w:val="auto"/>
          <w:sz w:val="24"/>
          <w:highlight w:val="none"/>
        </w:rPr>
        <w:t>的风险</w:t>
      </w:r>
    </w:p>
    <w:p w14:paraId="1B80A478">
      <w:pPr>
        <w:shd w:val="clear"/>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 xml:space="preserve">4.3.1 </w:t>
      </w:r>
      <w:r>
        <w:rPr>
          <w:rFonts w:hint="eastAsia" w:ascii="宋体" w:hAnsi="宋体" w:eastAsia="宋体" w:cs="仿宋"/>
          <w:color w:val="auto"/>
          <w:kern w:val="0"/>
          <w:sz w:val="24"/>
          <w:highlight w:val="none"/>
          <w:lang w:val="zh-CN"/>
        </w:rPr>
        <w:t>供应商</w:t>
      </w:r>
      <w:r>
        <w:rPr>
          <w:rFonts w:hint="eastAsia" w:ascii="宋体" w:hAnsi="宋体" w:eastAsia="宋体" w:cs="仿宋"/>
          <w:color w:val="auto"/>
          <w:sz w:val="24"/>
          <w:highlight w:val="none"/>
        </w:rPr>
        <w:t>应详细阅读招标文件中的全部内容和要求，按照招标文件的要求提交投标文件，没有按照招标文件要求提供投标文件和资料导致的风险由</w:t>
      </w:r>
      <w:r>
        <w:rPr>
          <w:rFonts w:hint="eastAsia" w:ascii="宋体" w:hAnsi="宋体" w:eastAsia="宋体" w:cs="仿宋"/>
          <w:color w:val="auto"/>
          <w:kern w:val="0"/>
          <w:sz w:val="24"/>
          <w:highlight w:val="none"/>
          <w:lang w:val="zh-CN"/>
        </w:rPr>
        <w:t>供应商</w:t>
      </w:r>
      <w:r>
        <w:rPr>
          <w:rFonts w:hint="eastAsia" w:ascii="宋体" w:hAnsi="宋体" w:eastAsia="宋体" w:cs="仿宋"/>
          <w:color w:val="auto"/>
          <w:sz w:val="24"/>
          <w:highlight w:val="none"/>
        </w:rPr>
        <w:t>承担,并对所提供的全部资料的真实性承担法律责任。</w:t>
      </w:r>
    </w:p>
    <w:p w14:paraId="6D150EA7">
      <w:pPr>
        <w:shd w:val="clear"/>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4.3.2 无论因何种原因导致本次采购活动终止致</w:t>
      </w:r>
      <w:r>
        <w:rPr>
          <w:rFonts w:hint="eastAsia" w:ascii="宋体" w:hAnsi="宋体" w:eastAsia="宋体" w:cs="仿宋"/>
          <w:color w:val="auto"/>
          <w:kern w:val="0"/>
          <w:sz w:val="24"/>
          <w:highlight w:val="none"/>
          <w:lang w:val="zh-CN"/>
        </w:rPr>
        <w:t>供应商</w:t>
      </w:r>
      <w:r>
        <w:rPr>
          <w:rFonts w:hint="eastAsia" w:ascii="宋体" w:hAnsi="宋体" w:eastAsia="宋体" w:cs="仿宋"/>
          <w:color w:val="auto"/>
          <w:sz w:val="24"/>
          <w:highlight w:val="none"/>
        </w:rPr>
        <w:t>损失的，相关责任人均不承担任何责任。</w:t>
      </w:r>
    </w:p>
    <w:p w14:paraId="5F43B56C">
      <w:pPr>
        <w:numPr>
          <w:ilvl w:val="0"/>
          <w:numId w:val="1"/>
        </w:numPr>
        <w:shd w:val="clear"/>
        <w:adjustRightInd w:val="0"/>
        <w:snapToGrid w:val="0"/>
        <w:spacing w:before="120" w:beforeLines="50" w:line="360" w:lineRule="auto"/>
        <w:ind w:firstLine="482" w:firstLineChars="200"/>
        <w:jc w:val="left"/>
        <w:outlineLvl w:val="1"/>
        <w:rPr>
          <w:rFonts w:ascii="宋体" w:hAnsi="宋体" w:eastAsia="宋体" w:cs="仿宋"/>
          <w:b/>
          <w:color w:val="auto"/>
          <w:sz w:val="24"/>
          <w:highlight w:val="none"/>
        </w:rPr>
      </w:pPr>
      <w:r>
        <w:rPr>
          <w:rFonts w:hint="eastAsia" w:ascii="宋体" w:hAnsi="宋体" w:eastAsia="宋体" w:cs="仿宋"/>
          <w:b/>
          <w:color w:val="auto"/>
          <w:sz w:val="24"/>
          <w:highlight w:val="none"/>
        </w:rPr>
        <w:t>询问、质疑、投诉</w:t>
      </w:r>
    </w:p>
    <w:p w14:paraId="301893FC">
      <w:pPr>
        <w:shd w:val="clear"/>
        <w:spacing w:line="360" w:lineRule="auto"/>
        <w:ind w:firstLine="480" w:firstLineChars="200"/>
        <w:rPr>
          <w:rFonts w:ascii="宋体" w:hAnsi="宋体" w:eastAsia="宋体" w:cs="仿宋"/>
          <w:color w:val="auto"/>
          <w:sz w:val="24"/>
          <w:highlight w:val="none"/>
          <w:lang w:val="zh-CN"/>
        </w:rPr>
      </w:pPr>
      <w:r>
        <w:rPr>
          <w:rFonts w:hint="eastAsia" w:ascii="宋体" w:hAnsi="宋体" w:eastAsia="宋体" w:cs="仿宋"/>
          <w:color w:val="auto"/>
          <w:sz w:val="24"/>
          <w:highlight w:val="none"/>
        </w:rPr>
        <w:t>5</w:t>
      </w:r>
      <w:r>
        <w:rPr>
          <w:rFonts w:hint="eastAsia" w:ascii="宋体" w:hAnsi="宋体" w:eastAsia="宋体" w:cs="仿宋"/>
          <w:color w:val="auto"/>
          <w:sz w:val="24"/>
          <w:highlight w:val="none"/>
          <w:lang w:val="zh-CN"/>
        </w:rPr>
        <w:t>.1供应商询问</w:t>
      </w:r>
    </w:p>
    <w:p w14:paraId="065597D1">
      <w:pPr>
        <w:shd w:val="clear"/>
        <w:spacing w:line="360" w:lineRule="auto"/>
        <w:ind w:firstLine="480" w:firstLineChars="200"/>
        <w:rPr>
          <w:rFonts w:ascii="宋体" w:hAnsi="宋体" w:eastAsia="宋体" w:cs="仿宋"/>
          <w:color w:val="auto"/>
          <w:sz w:val="24"/>
          <w:highlight w:val="none"/>
          <w:lang w:val="zh-CN"/>
        </w:rPr>
      </w:pPr>
      <w:r>
        <w:rPr>
          <w:rFonts w:hint="eastAsia" w:ascii="宋体" w:hAnsi="宋体" w:eastAsia="宋体" w:cs="仿宋"/>
          <w:color w:val="auto"/>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751771A">
      <w:pPr>
        <w:shd w:val="clear"/>
        <w:spacing w:line="360" w:lineRule="auto"/>
        <w:ind w:firstLine="480" w:firstLineChars="200"/>
        <w:rPr>
          <w:rFonts w:ascii="宋体" w:hAnsi="宋体" w:eastAsia="宋体" w:cs="仿宋"/>
          <w:color w:val="auto"/>
          <w:sz w:val="24"/>
          <w:highlight w:val="none"/>
          <w:lang w:val="zh-CN"/>
        </w:rPr>
      </w:pPr>
      <w:r>
        <w:rPr>
          <w:rFonts w:hint="eastAsia" w:ascii="宋体" w:hAnsi="宋体" w:eastAsia="宋体" w:cs="仿宋"/>
          <w:color w:val="auto"/>
          <w:sz w:val="24"/>
          <w:highlight w:val="none"/>
        </w:rPr>
        <w:t>5</w:t>
      </w:r>
      <w:r>
        <w:rPr>
          <w:rFonts w:hint="eastAsia" w:ascii="宋体" w:hAnsi="宋体" w:eastAsia="宋体" w:cs="仿宋"/>
          <w:color w:val="auto"/>
          <w:sz w:val="24"/>
          <w:highlight w:val="none"/>
          <w:lang w:val="zh-CN"/>
        </w:rPr>
        <w:t>.2供应商质疑</w:t>
      </w:r>
    </w:p>
    <w:p w14:paraId="72517243">
      <w:pPr>
        <w:shd w:val="clear"/>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5</w:t>
      </w:r>
      <w:r>
        <w:rPr>
          <w:rFonts w:hint="eastAsia" w:ascii="宋体" w:hAnsi="宋体" w:eastAsia="宋体" w:cs="仿宋"/>
          <w:color w:val="auto"/>
          <w:sz w:val="24"/>
          <w:highlight w:val="none"/>
          <w:lang w:val="zh-CN"/>
        </w:rPr>
        <w:t>.2</w:t>
      </w:r>
      <w:r>
        <w:rPr>
          <w:rFonts w:hint="eastAsia" w:ascii="宋体" w:hAnsi="宋体" w:eastAsia="宋体" w:cs="仿宋"/>
          <w:color w:val="auto"/>
          <w:sz w:val="24"/>
          <w:highlight w:val="none"/>
        </w:rPr>
        <w:t>.1提出质疑的供应商应当是参与所质疑项目采购活动的供应商。潜在供应商已依法获取其可质疑的招标文件的，可以对该文件提出质疑。</w:t>
      </w:r>
    </w:p>
    <w:p w14:paraId="548975C3">
      <w:pPr>
        <w:shd w:val="clear"/>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5</w:t>
      </w:r>
      <w:r>
        <w:rPr>
          <w:rFonts w:hint="eastAsia" w:ascii="宋体" w:hAnsi="宋体" w:eastAsia="宋体" w:cs="仿宋"/>
          <w:color w:val="auto"/>
          <w:sz w:val="24"/>
          <w:highlight w:val="none"/>
          <w:lang w:val="zh-CN"/>
        </w:rPr>
        <w:t>.2</w:t>
      </w:r>
      <w:r>
        <w:rPr>
          <w:rFonts w:hint="eastAsia" w:ascii="宋体" w:hAnsi="宋体" w:eastAsia="宋体"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633B537">
      <w:pPr>
        <w:shd w:val="clear"/>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5.2.2.1对招标文件提出质疑的，质疑期限为供应商获得招标文件之日或者招标文件公告期限届满之日起计算。</w:t>
      </w:r>
    </w:p>
    <w:p w14:paraId="2D4B3988">
      <w:pPr>
        <w:shd w:val="clear"/>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5.2.2.2对采购过程提出质疑的，质疑期限为各采购程序环节结束之日起计算。</w:t>
      </w:r>
    </w:p>
    <w:p w14:paraId="323D46B3">
      <w:pPr>
        <w:shd w:val="clear"/>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5.2.2.3对采购结果提出质疑的，质疑期限自采购结果公告期限届满之日起计算。</w:t>
      </w:r>
    </w:p>
    <w:p w14:paraId="5C0722D7">
      <w:pPr>
        <w:shd w:val="clear"/>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5.2.2.4对同一采购程序环节的质疑，供应商须一次性提出。</w:t>
      </w:r>
    </w:p>
    <w:p w14:paraId="66CAC4FA">
      <w:pPr>
        <w:shd w:val="clear"/>
        <w:spacing w:line="360" w:lineRule="auto"/>
        <w:ind w:firstLine="480" w:firstLineChars="200"/>
        <w:rPr>
          <w:rFonts w:ascii="宋体" w:hAnsi="宋体" w:eastAsia="宋体" w:cs="仿宋"/>
          <w:color w:val="auto"/>
          <w:sz w:val="24"/>
          <w:highlight w:val="none"/>
          <w:lang w:val="zh-CN"/>
        </w:rPr>
      </w:pPr>
      <w:r>
        <w:rPr>
          <w:rFonts w:hint="eastAsia" w:ascii="宋体" w:hAnsi="宋体" w:eastAsia="宋体" w:cs="仿宋"/>
          <w:color w:val="auto"/>
          <w:sz w:val="24"/>
          <w:highlight w:val="none"/>
        </w:rPr>
        <w:t>5</w:t>
      </w:r>
      <w:r>
        <w:rPr>
          <w:rFonts w:hint="eastAsia" w:ascii="宋体" w:hAnsi="宋体" w:eastAsia="宋体" w:cs="仿宋"/>
          <w:color w:val="auto"/>
          <w:sz w:val="24"/>
          <w:highlight w:val="none"/>
          <w:lang w:val="zh-CN"/>
        </w:rPr>
        <w:t>.2.3</w:t>
      </w:r>
      <w:r>
        <w:rPr>
          <w:rFonts w:hint="eastAsia" w:ascii="宋体" w:hAnsi="宋体" w:eastAsia="宋体" w:cs="仿宋"/>
          <w:color w:val="auto"/>
          <w:sz w:val="24"/>
          <w:highlight w:val="none"/>
        </w:rPr>
        <w:t>供应商提出质疑应当提交质疑函和必要的证明材料。质疑函应当包括下列内容：</w:t>
      </w:r>
    </w:p>
    <w:p w14:paraId="35017221">
      <w:pPr>
        <w:shd w:val="clear"/>
        <w:spacing w:line="360" w:lineRule="auto"/>
        <w:ind w:firstLine="480" w:firstLineChars="200"/>
        <w:rPr>
          <w:rFonts w:ascii="宋体" w:hAnsi="宋体" w:eastAsia="宋体" w:cs="仿宋"/>
          <w:color w:val="auto"/>
          <w:sz w:val="24"/>
          <w:highlight w:val="none"/>
          <w:lang w:val="zh-CN"/>
        </w:rPr>
      </w:pPr>
      <w:r>
        <w:rPr>
          <w:rFonts w:hint="eastAsia" w:ascii="宋体" w:hAnsi="宋体" w:eastAsia="宋体" w:cs="仿宋"/>
          <w:color w:val="auto"/>
          <w:sz w:val="24"/>
          <w:highlight w:val="none"/>
        </w:rPr>
        <w:t>5</w:t>
      </w:r>
      <w:r>
        <w:rPr>
          <w:rFonts w:hint="eastAsia" w:ascii="宋体" w:hAnsi="宋体" w:eastAsia="宋体" w:cs="仿宋"/>
          <w:color w:val="auto"/>
          <w:sz w:val="24"/>
          <w:highlight w:val="none"/>
          <w:lang w:val="zh-CN"/>
        </w:rPr>
        <w:t>.2.3.1供应商的姓名或者名称、地址、邮编、联系人及联系电话；</w:t>
      </w:r>
    </w:p>
    <w:p w14:paraId="4DB76DF5">
      <w:pPr>
        <w:shd w:val="clear"/>
        <w:spacing w:line="360" w:lineRule="auto"/>
        <w:ind w:firstLine="480" w:firstLineChars="200"/>
        <w:rPr>
          <w:rFonts w:ascii="宋体" w:hAnsi="宋体" w:eastAsia="宋体" w:cs="仿宋"/>
          <w:color w:val="auto"/>
          <w:sz w:val="24"/>
          <w:highlight w:val="none"/>
          <w:lang w:val="zh-CN"/>
        </w:rPr>
      </w:pPr>
      <w:r>
        <w:rPr>
          <w:rFonts w:hint="eastAsia" w:ascii="宋体" w:hAnsi="宋体" w:eastAsia="宋体" w:cs="仿宋"/>
          <w:color w:val="auto"/>
          <w:sz w:val="24"/>
          <w:highlight w:val="none"/>
        </w:rPr>
        <w:t>5</w:t>
      </w:r>
      <w:r>
        <w:rPr>
          <w:rFonts w:hint="eastAsia" w:ascii="宋体" w:hAnsi="宋体" w:eastAsia="宋体" w:cs="仿宋"/>
          <w:color w:val="auto"/>
          <w:sz w:val="24"/>
          <w:highlight w:val="none"/>
          <w:lang w:val="zh-CN"/>
        </w:rPr>
        <w:t>.2.3.2质疑项目的名称、编号；</w:t>
      </w:r>
    </w:p>
    <w:p w14:paraId="7CA3C426">
      <w:pPr>
        <w:shd w:val="clear"/>
        <w:spacing w:line="360" w:lineRule="auto"/>
        <w:ind w:firstLine="480" w:firstLineChars="200"/>
        <w:rPr>
          <w:rFonts w:ascii="宋体" w:hAnsi="宋体" w:eastAsia="宋体" w:cs="仿宋"/>
          <w:color w:val="auto"/>
          <w:sz w:val="24"/>
          <w:highlight w:val="none"/>
          <w:lang w:val="zh-CN"/>
        </w:rPr>
      </w:pPr>
      <w:r>
        <w:rPr>
          <w:rFonts w:hint="eastAsia" w:ascii="宋体" w:hAnsi="宋体" w:eastAsia="宋体" w:cs="仿宋"/>
          <w:color w:val="auto"/>
          <w:sz w:val="24"/>
          <w:highlight w:val="none"/>
        </w:rPr>
        <w:t>5</w:t>
      </w:r>
      <w:r>
        <w:rPr>
          <w:rFonts w:hint="eastAsia" w:ascii="宋体" w:hAnsi="宋体" w:eastAsia="宋体" w:cs="仿宋"/>
          <w:color w:val="auto"/>
          <w:sz w:val="24"/>
          <w:highlight w:val="none"/>
          <w:lang w:val="zh-CN"/>
        </w:rPr>
        <w:t>.2.3.3具体、明确的质疑事项和与质疑事项相关的请求；</w:t>
      </w:r>
    </w:p>
    <w:p w14:paraId="6EE0C930">
      <w:pPr>
        <w:shd w:val="clear"/>
        <w:spacing w:line="360" w:lineRule="auto"/>
        <w:ind w:firstLine="480" w:firstLineChars="200"/>
        <w:rPr>
          <w:rFonts w:ascii="宋体" w:hAnsi="宋体" w:eastAsia="宋体" w:cs="仿宋"/>
          <w:color w:val="auto"/>
          <w:sz w:val="24"/>
          <w:highlight w:val="none"/>
          <w:lang w:val="zh-CN"/>
        </w:rPr>
      </w:pPr>
      <w:r>
        <w:rPr>
          <w:rFonts w:hint="eastAsia" w:ascii="宋体" w:hAnsi="宋体" w:eastAsia="宋体" w:cs="仿宋"/>
          <w:color w:val="auto"/>
          <w:sz w:val="24"/>
          <w:highlight w:val="none"/>
        </w:rPr>
        <w:t>5</w:t>
      </w:r>
      <w:r>
        <w:rPr>
          <w:rFonts w:hint="eastAsia" w:ascii="宋体" w:hAnsi="宋体" w:eastAsia="宋体" w:cs="仿宋"/>
          <w:color w:val="auto"/>
          <w:sz w:val="24"/>
          <w:highlight w:val="none"/>
          <w:lang w:val="zh-CN"/>
        </w:rPr>
        <w:t>.2.3.4事实依据；</w:t>
      </w:r>
    </w:p>
    <w:p w14:paraId="1365EB35">
      <w:pPr>
        <w:shd w:val="clear"/>
        <w:spacing w:line="360" w:lineRule="auto"/>
        <w:ind w:firstLine="480" w:firstLineChars="200"/>
        <w:rPr>
          <w:rFonts w:ascii="宋体" w:hAnsi="宋体" w:eastAsia="宋体" w:cs="仿宋"/>
          <w:color w:val="auto"/>
          <w:sz w:val="24"/>
          <w:highlight w:val="none"/>
          <w:lang w:val="zh-CN"/>
        </w:rPr>
      </w:pPr>
      <w:r>
        <w:rPr>
          <w:rFonts w:hint="eastAsia" w:ascii="宋体" w:hAnsi="宋体" w:eastAsia="宋体" w:cs="仿宋"/>
          <w:color w:val="auto"/>
          <w:sz w:val="24"/>
          <w:highlight w:val="none"/>
        </w:rPr>
        <w:t>5</w:t>
      </w:r>
      <w:r>
        <w:rPr>
          <w:rFonts w:hint="eastAsia" w:ascii="宋体" w:hAnsi="宋体" w:eastAsia="宋体" w:cs="仿宋"/>
          <w:color w:val="auto"/>
          <w:sz w:val="24"/>
          <w:highlight w:val="none"/>
          <w:lang w:val="zh-CN"/>
        </w:rPr>
        <w:t>.2.3.5必要的法律依据；</w:t>
      </w:r>
    </w:p>
    <w:p w14:paraId="6D9341C4">
      <w:pPr>
        <w:shd w:val="clear"/>
        <w:spacing w:line="360" w:lineRule="auto"/>
        <w:ind w:firstLine="480" w:firstLineChars="200"/>
        <w:rPr>
          <w:rFonts w:ascii="宋体" w:hAnsi="宋体" w:eastAsia="宋体" w:cs="仿宋"/>
          <w:color w:val="auto"/>
          <w:sz w:val="24"/>
          <w:highlight w:val="none"/>
          <w:lang w:val="zh-CN"/>
        </w:rPr>
      </w:pPr>
      <w:r>
        <w:rPr>
          <w:rFonts w:hint="eastAsia" w:ascii="宋体" w:hAnsi="宋体" w:eastAsia="宋体" w:cs="仿宋"/>
          <w:color w:val="auto"/>
          <w:sz w:val="24"/>
          <w:highlight w:val="none"/>
        </w:rPr>
        <w:t>5</w:t>
      </w:r>
      <w:r>
        <w:rPr>
          <w:rFonts w:hint="eastAsia" w:ascii="宋体" w:hAnsi="宋体" w:eastAsia="宋体" w:cs="仿宋"/>
          <w:color w:val="auto"/>
          <w:sz w:val="24"/>
          <w:highlight w:val="none"/>
          <w:lang w:val="zh-CN"/>
        </w:rPr>
        <w:t>.2.3.6提出质疑的日期。</w:t>
      </w:r>
    </w:p>
    <w:p w14:paraId="01D8C91B">
      <w:pPr>
        <w:shd w:val="clear"/>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5.2.3.7对招标文件提出质疑的需要提供在</w:t>
      </w:r>
      <w:r>
        <w:rPr>
          <w:rFonts w:hint="eastAsia" w:ascii="宋体" w:hAnsi="宋体" w:cs="仿宋"/>
          <w:color w:val="auto"/>
          <w:sz w:val="24"/>
          <w:highlight w:val="none"/>
          <w:lang w:eastAsia="zh-CN"/>
        </w:rPr>
        <w:t>乐采云</w:t>
      </w:r>
      <w:r>
        <w:rPr>
          <w:rFonts w:hint="eastAsia" w:ascii="宋体" w:hAnsi="宋体" w:eastAsia="宋体" w:cs="仿宋"/>
          <w:color w:val="auto"/>
          <w:sz w:val="24"/>
          <w:highlight w:val="none"/>
        </w:rPr>
        <w:t>平台获取招标文件的截图。</w:t>
      </w:r>
    </w:p>
    <w:p w14:paraId="73911A1A">
      <w:pPr>
        <w:shd w:val="clear"/>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70EA9943">
      <w:pPr>
        <w:shd w:val="clear"/>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质疑函范本请到浙江</w:t>
      </w:r>
      <w:r>
        <w:rPr>
          <w:rFonts w:hint="eastAsia" w:ascii="宋体" w:hAnsi="宋体" w:cs="仿宋"/>
          <w:color w:val="auto"/>
          <w:sz w:val="24"/>
          <w:highlight w:val="none"/>
          <w:lang w:val="en-US" w:eastAsia="zh-CN"/>
        </w:rPr>
        <w:t>企业</w:t>
      </w:r>
      <w:r>
        <w:rPr>
          <w:rFonts w:hint="eastAsia" w:ascii="宋体" w:hAnsi="宋体" w:eastAsia="宋体" w:cs="仿宋"/>
          <w:color w:val="auto"/>
          <w:sz w:val="24"/>
          <w:highlight w:val="none"/>
        </w:rPr>
        <w:t>采购</w:t>
      </w:r>
      <w:r>
        <w:rPr>
          <w:rFonts w:hint="eastAsia" w:ascii="宋体" w:hAnsi="宋体" w:cs="仿宋"/>
          <w:color w:val="auto"/>
          <w:sz w:val="24"/>
          <w:highlight w:val="none"/>
          <w:lang w:val="en-US" w:eastAsia="zh-CN"/>
        </w:rPr>
        <w:t>信息服务</w:t>
      </w:r>
      <w:r>
        <w:rPr>
          <w:rFonts w:hint="eastAsia" w:ascii="宋体" w:hAnsi="宋体" w:eastAsia="宋体" w:cs="仿宋"/>
          <w:color w:val="auto"/>
          <w:sz w:val="24"/>
          <w:highlight w:val="none"/>
        </w:rPr>
        <w:t>网下载专区下载。</w:t>
      </w:r>
    </w:p>
    <w:p w14:paraId="2CE2E721">
      <w:pPr>
        <w:shd w:val="clear"/>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5</w:t>
      </w:r>
      <w:r>
        <w:rPr>
          <w:rFonts w:hint="eastAsia" w:ascii="宋体" w:hAnsi="宋体" w:eastAsia="宋体" w:cs="仿宋"/>
          <w:color w:val="auto"/>
          <w:sz w:val="24"/>
          <w:highlight w:val="none"/>
          <w:lang w:val="zh-CN"/>
        </w:rPr>
        <w:t>.2</w:t>
      </w:r>
      <w:r>
        <w:rPr>
          <w:rFonts w:hint="eastAsia" w:ascii="宋体" w:hAnsi="宋体" w:eastAsia="宋体" w:cs="仿宋"/>
          <w:color w:val="auto"/>
          <w:sz w:val="24"/>
          <w:highlight w:val="none"/>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41F165C7">
      <w:pPr>
        <w:shd w:val="clear"/>
        <w:spacing w:line="360" w:lineRule="auto"/>
        <w:ind w:firstLine="480" w:firstLineChars="200"/>
        <w:rPr>
          <w:rFonts w:hint="eastAsia" w:ascii="仿宋" w:hAnsi="仿宋" w:eastAsia="仿宋" w:cs="仿宋"/>
          <w:color w:val="auto"/>
          <w:sz w:val="24"/>
          <w:highlight w:val="none"/>
        </w:rPr>
      </w:pPr>
      <w:r>
        <w:rPr>
          <w:rFonts w:hint="eastAsia" w:ascii="宋体" w:hAnsi="宋体" w:eastAsia="宋体" w:cs="仿宋"/>
          <w:color w:val="auto"/>
          <w:sz w:val="24"/>
          <w:highlight w:val="none"/>
        </w:rPr>
        <w:t>5</w:t>
      </w:r>
      <w:r>
        <w:rPr>
          <w:rFonts w:hint="eastAsia" w:ascii="宋体" w:hAnsi="宋体" w:eastAsia="宋体" w:cs="仿宋"/>
          <w:color w:val="auto"/>
          <w:sz w:val="24"/>
          <w:highlight w:val="none"/>
          <w:lang w:val="zh-CN"/>
        </w:rPr>
        <w:t>.2</w:t>
      </w:r>
      <w:r>
        <w:rPr>
          <w:rFonts w:hint="eastAsia" w:ascii="宋体" w:hAnsi="宋体" w:eastAsia="宋体" w:cs="仿宋"/>
          <w:color w:val="auto"/>
          <w:sz w:val="24"/>
          <w:highlight w:val="none"/>
        </w:rPr>
        <w:t>.5询问或者质疑事项可能影响采购结果的，采购人应当暂停签订合同，已经签订合同的，应当中止履行合同。</w:t>
      </w:r>
    </w:p>
    <w:p w14:paraId="76AE3F6B">
      <w:pPr>
        <w:shd w:val="clear"/>
        <w:spacing w:line="360" w:lineRule="auto"/>
        <w:ind w:firstLine="480" w:firstLineChars="200"/>
        <w:rPr>
          <w:rFonts w:hint="eastAsia" w:ascii="宋体" w:hAnsi="宋体" w:eastAsia="宋体" w:cs="仿宋"/>
          <w:color w:val="auto"/>
          <w:sz w:val="24"/>
          <w:highlight w:val="none"/>
        </w:rPr>
      </w:pPr>
      <w:r>
        <w:rPr>
          <w:rFonts w:hint="eastAsia" w:ascii="宋体" w:hAnsi="宋体" w:eastAsia="宋体" w:cs="仿宋"/>
          <w:color w:val="auto"/>
          <w:sz w:val="24"/>
          <w:highlight w:val="none"/>
        </w:rPr>
        <w:t>5</w:t>
      </w:r>
      <w:r>
        <w:rPr>
          <w:rFonts w:hint="eastAsia" w:ascii="宋体" w:hAnsi="宋体" w:eastAsia="宋体" w:cs="仿宋"/>
          <w:color w:val="auto"/>
          <w:sz w:val="24"/>
          <w:highlight w:val="none"/>
          <w:lang w:val="zh-CN"/>
        </w:rPr>
        <w:t>.3供应商投诉</w:t>
      </w:r>
    </w:p>
    <w:p w14:paraId="643811D1">
      <w:pPr>
        <w:shd w:val="clear"/>
        <w:spacing w:line="360" w:lineRule="auto"/>
        <w:ind w:firstLine="480" w:firstLineChars="200"/>
        <w:rPr>
          <w:rFonts w:hint="eastAsia" w:ascii="宋体" w:hAnsi="宋体" w:eastAsia="宋体" w:cs="仿宋"/>
          <w:color w:val="auto"/>
          <w:sz w:val="24"/>
          <w:highlight w:val="none"/>
        </w:rPr>
      </w:pPr>
      <w:r>
        <w:rPr>
          <w:rFonts w:hint="eastAsia" w:ascii="宋体" w:hAnsi="宋体" w:eastAsia="宋体" w:cs="仿宋"/>
          <w:color w:val="auto"/>
          <w:sz w:val="24"/>
          <w:highlight w:val="none"/>
        </w:rPr>
        <w:t>5.3.1质疑供应商对采购人、采购代理机构的答复不满意或者采购人、采购代理机构未在规定的时间内作出答复的，可以在答复期满后十五个工作日内向集团纪检部门提出投诉，集团纪检部门应当在收到投诉后三十个工作日内，对投诉事项作出处理决定，并以书面形式通知投诉人和与投诉事项有关的当事人。</w:t>
      </w:r>
    </w:p>
    <w:p w14:paraId="6190723B">
      <w:pPr>
        <w:shd w:val="clear"/>
        <w:spacing w:line="360" w:lineRule="auto"/>
        <w:ind w:firstLine="480" w:firstLineChars="200"/>
        <w:rPr>
          <w:rFonts w:hint="eastAsia" w:ascii="宋体" w:hAnsi="宋体" w:eastAsia="宋体" w:cs="仿宋"/>
          <w:color w:val="auto"/>
          <w:sz w:val="24"/>
          <w:highlight w:val="none"/>
        </w:rPr>
      </w:pPr>
      <w:r>
        <w:rPr>
          <w:rFonts w:hint="eastAsia" w:ascii="宋体" w:hAnsi="宋体" w:eastAsia="宋体" w:cs="仿宋"/>
          <w:color w:val="auto"/>
          <w:sz w:val="24"/>
          <w:highlight w:val="none"/>
        </w:rPr>
        <w:t>5.3.</w:t>
      </w:r>
      <w:r>
        <w:rPr>
          <w:rFonts w:hint="eastAsia" w:ascii="宋体" w:hAnsi="宋体" w:eastAsia="宋体" w:cs="仿宋"/>
          <w:color w:val="auto"/>
          <w:sz w:val="24"/>
          <w:highlight w:val="none"/>
          <w:lang w:val="zh-CN"/>
        </w:rPr>
        <w:t>2</w:t>
      </w:r>
      <w:r>
        <w:rPr>
          <w:rFonts w:hint="eastAsia" w:ascii="宋体" w:hAnsi="宋体" w:eastAsia="宋体" w:cs="仿宋"/>
          <w:color w:val="auto"/>
          <w:sz w:val="24"/>
          <w:highlight w:val="none"/>
        </w:rPr>
        <w:t>供应商投诉的事项不得超出已质疑事项的范围，基于质疑答复内容提出的投诉事项除外。</w:t>
      </w:r>
    </w:p>
    <w:p w14:paraId="0043F3C6">
      <w:pPr>
        <w:shd w:val="clear"/>
        <w:spacing w:line="360" w:lineRule="auto"/>
        <w:ind w:firstLine="480" w:firstLineChars="200"/>
        <w:rPr>
          <w:rFonts w:hint="eastAsia" w:ascii="宋体" w:hAnsi="宋体" w:eastAsia="宋体" w:cs="仿宋"/>
          <w:color w:val="auto"/>
          <w:sz w:val="24"/>
          <w:highlight w:val="none"/>
        </w:rPr>
      </w:pPr>
      <w:r>
        <w:rPr>
          <w:rFonts w:hint="eastAsia" w:ascii="宋体" w:hAnsi="宋体" w:eastAsia="宋体" w:cs="仿宋"/>
          <w:color w:val="auto"/>
          <w:sz w:val="24"/>
          <w:highlight w:val="none"/>
        </w:rPr>
        <w:t>5.3.3供应商投诉应当有明确的请求和必要的证明材料。</w:t>
      </w:r>
    </w:p>
    <w:p w14:paraId="311A7133">
      <w:pPr>
        <w:shd w:val="clear"/>
        <w:spacing w:line="360" w:lineRule="auto"/>
        <w:ind w:firstLine="480" w:firstLineChars="200"/>
        <w:rPr>
          <w:rFonts w:hint="eastAsia" w:ascii="宋体" w:hAnsi="宋体" w:eastAsia="宋体" w:cs="仿宋"/>
          <w:color w:val="auto"/>
          <w:sz w:val="24"/>
          <w:highlight w:val="none"/>
        </w:rPr>
      </w:pPr>
      <w:r>
        <w:rPr>
          <w:rFonts w:hint="eastAsia" w:ascii="宋体" w:hAnsi="宋体" w:eastAsia="宋体" w:cs="仿宋"/>
          <w:color w:val="auto"/>
          <w:sz w:val="24"/>
          <w:highlight w:val="none"/>
        </w:rPr>
        <w:t>5.3.4以联合体形式参加政府采购活动的，其投诉应当由组成联合体的所有供应商共同提出。</w:t>
      </w:r>
    </w:p>
    <w:p w14:paraId="3AFE2D13">
      <w:pPr>
        <w:shd w:val="clear"/>
        <w:spacing w:line="360" w:lineRule="auto"/>
        <w:ind w:firstLine="480" w:firstLineChars="200"/>
        <w:rPr>
          <w:rFonts w:hint="eastAsia" w:ascii="宋体" w:hAnsi="宋体" w:eastAsia="宋体" w:cs="仿宋"/>
          <w:color w:val="auto"/>
          <w:sz w:val="24"/>
          <w:highlight w:val="none"/>
        </w:rPr>
      </w:pPr>
      <w:r>
        <w:rPr>
          <w:rFonts w:hint="eastAsia" w:ascii="宋体" w:hAnsi="宋体" w:eastAsia="宋体" w:cs="仿宋"/>
          <w:color w:val="auto"/>
          <w:sz w:val="24"/>
          <w:highlight w:val="none"/>
        </w:rPr>
        <w:t>5.3.5投诉人对集团纪检部门的投诉处理决定不服或集团纪检部门逾期未作处理的，可以向区国资管理中心反映。供应商或相关利害关系人在采购过程中发现涉及违法违纪行为或造成国有资产损失的，可以向纪检监察部门和区国资管理中心反映。举报违法行为，应提供有效线索和证明材料。</w:t>
      </w:r>
    </w:p>
    <w:p w14:paraId="7A00981F">
      <w:pPr>
        <w:shd w:val="clear"/>
        <w:spacing w:line="360" w:lineRule="auto"/>
        <w:ind w:firstLine="480" w:firstLineChars="200"/>
        <w:rPr>
          <w:rFonts w:hint="eastAsia" w:ascii="宋体" w:hAnsi="宋体" w:eastAsia="宋体" w:cs="仿宋"/>
          <w:color w:val="auto"/>
          <w:sz w:val="24"/>
          <w:highlight w:val="none"/>
        </w:rPr>
      </w:pPr>
      <w:r>
        <w:rPr>
          <w:rFonts w:hint="eastAsia" w:ascii="宋体" w:hAnsi="宋体" w:eastAsia="宋体" w:cs="仿宋"/>
          <w:color w:val="auto"/>
          <w:sz w:val="24"/>
          <w:highlight w:val="none"/>
        </w:rPr>
        <w:t>投诉书范本请到浙江</w:t>
      </w:r>
      <w:r>
        <w:rPr>
          <w:rFonts w:hint="eastAsia" w:ascii="宋体" w:hAnsi="宋体" w:cs="仿宋"/>
          <w:color w:val="auto"/>
          <w:sz w:val="24"/>
          <w:highlight w:val="none"/>
          <w:lang w:val="en-US" w:eastAsia="zh-CN"/>
        </w:rPr>
        <w:t>企业</w:t>
      </w:r>
      <w:r>
        <w:rPr>
          <w:rFonts w:hint="eastAsia" w:ascii="宋体" w:hAnsi="宋体" w:eastAsia="宋体" w:cs="仿宋"/>
          <w:color w:val="auto"/>
          <w:sz w:val="24"/>
          <w:highlight w:val="none"/>
        </w:rPr>
        <w:t>采购</w:t>
      </w:r>
      <w:r>
        <w:rPr>
          <w:rFonts w:hint="eastAsia" w:ascii="宋体" w:hAnsi="宋体" w:cs="仿宋"/>
          <w:color w:val="auto"/>
          <w:sz w:val="24"/>
          <w:highlight w:val="none"/>
          <w:lang w:val="en-US" w:eastAsia="zh-CN"/>
        </w:rPr>
        <w:t>信息服务</w:t>
      </w:r>
      <w:r>
        <w:rPr>
          <w:rFonts w:hint="eastAsia" w:ascii="宋体" w:hAnsi="宋体" w:eastAsia="宋体" w:cs="仿宋"/>
          <w:color w:val="auto"/>
          <w:sz w:val="24"/>
          <w:highlight w:val="none"/>
        </w:rPr>
        <w:t>网下载专区下载。</w:t>
      </w:r>
    </w:p>
    <w:p w14:paraId="20B09FAF">
      <w:pPr>
        <w:pStyle w:val="26"/>
        <w:shd w:val="clear"/>
        <w:rPr>
          <w:rFonts w:hint="eastAsia" w:ascii="宋体" w:hAnsi="宋体" w:eastAsia="宋体" w:cs="仿宋"/>
          <w:color w:val="auto"/>
          <w:sz w:val="24"/>
          <w:highlight w:val="none"/>
        </w:rPr>
      </w:pPr>
    </w:p>
    <w:p w14:paraId="01DD5C27">
      <w:pPr>
        <w:pStyle w:val="26"/>
        <w:shd w:val="clear"/>
        <w:rPr>
          <w:rFonts w:hint="eastAsia" w:ascii="宋体" w:hAnsi="宋体" w:eastAsia="宋体" w:cs="仿宋"/>
          <w:color w:val="auto"/>
          <w:sz w:val="24"/>
          <w:highlight w:val="none"/>
        </w:rPr>
      </w:pPr>
    </w:p>
    <w:p w14:paraId="6E41212C">
      <w:pPr>
        <w:pStyle w:val="26"/>
        <w:shd w:val="clear"/>
        <w:rPr>
          <w:rFonts w:hint="eastAsia" w:ascii="宋体" w:hAnsi="宋体" w:eastAsia="宋体" w:cs="仿宋"/>
          <w:color w:val="auto"/>
          <w:sz w:val="24"/>
          <w:highlight w:val="none"/>
        </w:rPr>
      </w:pPr>
    </w:p>
    <w:p w14:paraId="64AE91D6">
      <w:pPr>
        <w:pStyle w:val="26"/>
        <w:shd w:val="clear"/>
        <w:rPr>
          <w:rFonts w:hint="eastAsia" w:ascii="宋体" w:hAnsi="宋体" w:eastAsia="宋体" w:cs="仿宋"/>
          <w:color w:val="auto"/>
          <w:sz w:val="24"/>
          <w:highlight w:val="none"/>
        </w:rPr>
      </w:pPr>
    </w:p>
    <w:p w14:paraId="33E4F3F1">
      <w:pPr>
        <w:pStyle w:val="26"/>
        <w:shd w:val="clear"/>
        <w:rPr>
          <w:rFonts w:hint="eastAsia" w:ascii="宋体" w:hAnsi="宋体" w:eastAsia="宋体" w:cs="仿宋"/>
          <w:color w:val="auto"/>
          <w:sz w:val="24"/>
          <w:highlight w:val="none"/>
        </w:rPr>
      </w:pPr>
    </w:p>
    <w:p w14:paraId="0E23B179">
      <w:pPr>
        <w:pStyle w:val="26"/>
        <w:shd w:val="clear"/>
        <w:rPr>
          <w:rFonts w:hint="eastAsia" w:ascii="宋体" w:hAnsi="宋体" w:eastAsia="宋体" w:cs="仿宋"/>
          <w:color w:val="auto"/>
          <w:sz w:val="24"/>
          <w:highlight w:val="none"/>
        </w:rPr>
      </w:pPr>
    </w:p>
    <w:p w14:paraId="2CDC0400">
      <w:pPr>
        <w:shd w:val="clear"/>
        <w:spacing w:line="360" w:lineRule="auto"/>
        <w:jc w:val="center"/>
        <w:outlineLvl w:val="0"/>
        <w:rPr>
          <w:rFonts w:ascii="宋体" w:hAnsi="宋体" w:eastAsia="宋体" w:cs="仿宋"/>
          <w:b/>
          <w:color w:val="auto"/>
          <w:sz w:val="32"/>
          <w:szCs w:val="20"/>
          <w:highlight w:val="none"/>
        </w:rPr>
      </w:pPr>
      <w:r>
        <w:rPr>
          <w:rFonts w:hint="eastAsia" w:ascii="宋体" w:hAnsi="宋体" w:eastAsia="宋体" w:cs="仿宋"/>
          <w:b/>
          <w:color w:val="auto"/>
          <w:sz w:val="32"/>
          <w:szCs w:val="20"/>
          <w:highlight w:val="none"/>
        </w:rPr>
        <w:t xml:space="preserve">      二、招标文件的构成、澄清、修改</w:t>
      </w:r>
    </w:p>
    <w:p w14:paraId="659AF27A">
      <w:pPr>
        <w:numPr>
          <w:ilvl w:val="0"/>
          <w:numId w:val="1"/>
        </w:numPr>
        <w:shd w:val="clear"/>
        <w:adjustRightInd w:val="0"/>
        <w:snapToGrid w:val="0"/>
        <w:spacing w:before="120" w:beforeLines="50" w:line="360" w:lineRule="auto"/>
        <w:ind w:firstLine="482" w:firstLineChars="200"/>
        <w:jc w:val="left"/>
        <w:outlineLvl w:val="1"/>
        <w:rPr>
          <w:rFonts w:ascii="宋体" w:hAnsi="宋体" w:eastAsia="宋体" w:cs="仿宋"/>
          <w:b/>
          <w:color w:val="auto"/>
          <w:sz w:val="24"/>
          <w:highlight w:val="none"/>
        </w:rPr>
      </w:pPr>
      <w:r>
        <w:rPr>
          <w:rFonts w:hint="eastAsia" w:ascii="宋体" w:hAnsi="宋体" w:eastAsia="宋体" w:cs="仿宋"/>
          <w:b/>
          <w:color w:val="auto"/>
          <w:sz w:val="24"/>
          <w:highlight w:val="none"/>
        </w:rPr>
        <w:t>招标文件的构成</w:t>
      </w:r>
    </w:p>
    <w:p w14:paraId="6B4CEA35">
      <w:pPr>
        <w:pStyle w:val="13"/>
        <w:shd w:val="clear"/>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6.1 招标文件包括下列文件及附件：</w:t>
      </w:r>
    </w:p>
    <w:p w14:paraId="570F7D7C">
      <w:pPr>
        <w:pStyle w:val="13"/>
        <w:shd w:val="clear"/>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6.1.1 招标公告；</w:t>
      </w:r>
    </w:p>
    <w:p w14:paraId="039DEA0A">
      <w:pPr>
        <w:pStyle w:val="13"/>
        <w:shd w:val="clear"/>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6.1.2 </w:t>
      </w:r>
      <w:r>
        <w:rPr>
          <w:rFonts w:hint="eastAsia" w:ascii="宋体" w:hAnsi="宋体" w:eastAsia="宋体" w:cs="仿宋"/>
          <w:color w:val="auto"/>
          <w:sz w:val="24"/>
          <w:szCs w:val="24"/>
          <w:highlight w:val="none"/>
          <w:lang w:val="zh-CN"/>
        </w:rPr>
        <w:t>投标</w:t>
      </w:r>
      <w:r>
        <w:rPr>
          <w:rFonts w:hint="eastAsia" w:ascii="宋体" w:hAnsi="宋体" w:eastAsia="宋体" w:cs="仿宋"/>
          <w:color w:val="auto"/>
          <w:sz w:val="24"/>
          <w:szCs w:val="24"/>
          <w:highlight w:val="none"/>
        </w:rPr>
        <w:t>须知；</w:t>
      </w:r>
    </w:p>
    <w:p w14:paraId="369DACB9">
      <w:pPr>
        <w:pStyle w:val="13"/>
        <w:shd w:val="clear"/>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6.1.3 采购需求；</w:t>
      </w:r>
    </w:p>
    <w:p w14:paraId="49CAEABA">
      <w:pPr>
        <w:pStyle w:val="13"/>
        <w:shd w:val="clear"/>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6.1.4 评标办法；</w:t>
      </w:r>
    </w:p>
    <w:p w14:paraId="4B78712A">
      <w:pPr>
        <w:pStyle w:val="13"/>
        <w:shd w:val="clear"/>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6.1.5 拟签订的合同文本；</w:t>
      </w:r>
    </w:p>
    <w:p w14:paraId="41B5CA52">
      <w:pPr>
        <w:pStyle w:val="13"/>
        <w:shd w:val="clear"/>
        <w:spacing w:line="360" w:lineRule="auto"/>
        <w:ind w:firstLine="480" w:firstLineChars="200"/>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rPr>
        <w:t>6.1.6 应提交的有关格式范例</w:t>
      </w:r>
      <w:r>
        <w:rPr>
          <w:rFonts w:hint="eastAsia" w:ascii="宋体" w:hAnsi="宋体" w:eastAsia="宋体" w:cs="仿宋"/>
          <w:color w:val="auto"/>
          <w:sz w:val="24"/>
          <w:szCs w:val="24"/>
          <w:highlight w:val="none"/>
          <w:lang w:val="en-US" w:eastAsia="zh-CN"/>
        </w:rPr>
        <w:t xml:space="preserve">； </w:t>
      </w:r>
    </w:p>
    <w:p w14:paraId="78B55971">
      <w:pPr>
        <w:pStyle w:val="13"/>
        <w:shd w:val="clear"/>
        <w:spacing w:line="360" w:lineRule="auto"/>
        <w:ind w:firstLine="480" w:firstLineChars="200"/>
        <w:rPr>
          <w:rFonts w:hint="eastAsia" w:ascii="宋体" w:hAnsi="宋体" w:eastAsia="宋体" w:cs="仿宋"/>
          <w:color w:val="auto"/>
          <w:sz w:val="24"/>
          <w:szCs w:val="24"/>
          <w:highlight w:val="none"/>
          <w:lang w:eastAsia="zh-CN"/>
        </w:rPr>
      </w:pPr>
      <w:r>
        <w:rPr>
          <w:rFonts w:hint="eastAsia" w:ascii="宋体" w:hAnsi="宋体" w:eastAsia="宋体" w:cs="仿宋"/>
          <w:color w:val="auto"/>
          <w:sz w:val="24"/>
          <w:szCs w:val="24"/>
          <w:highlight w:val="none"/>
        </w:rPr>
        <w:t>6.1.7附件</w:t>
      </w:r>
      <w:r>
        <w:rPr>
          <w:rFonts w:hint="eastAsia" w:hAnsi="宋体" w:cs="仿宋"/>
          <w:color w:val="auto"/>
          <w:sz w:val="24"/>
          <w:szCs w:val="24"/>
          <w:highlight w:val="none"/>
          <w:lang w:eastAsia="zh-CN"/>
        </w:rPr>
        <w:t>（</w:t>
      </w:r>
      <w:r>
        <w:rPr>
          <w:rFonts w:hint="eastAsia" w:hAnsi="宋体" w:cs="仿宋"/>
          <w:color w:val="auto"/>
          <w:sz w:val="24"/>
          <w:szCs w:val="24"/>
          <w:highlight w:val="none"/>
          <w:lang w:val="en-US" w:eastAsia="zh-CN"/>
        </w:rPr>
        <w:t>如有</w:t>
      </w:r>
      <w:r>
        <w:rPr>
          <w:rFonts w:hint="eastAsia" w:hAnsi="宋体" w:cs="仿宋"/>
          <w:color w:val="auto"/>
          <w:sz w:val="24"/>
          <w:szCs w:val="24"/>
          <w:highlight w:val="none"/>
          <w:lang w:eastAsia="zh-CN"/>
        </w:rPr>
        <w:t>）。</w:t>
      </w:r>
    </w:p>
    <w:p w14:paraId="48B953AE">
      <w:pPr>
        <w:shd w:val="clear"/>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6.2与本项目有关的</w:t>
      </w:r>
      <w:r>
        <w:rPr>
          <w:rFonts w:hint="eastAsia" w:ascii="宋体" w:hAnsi="宋体" w:eastAsia="宋体" w:cs="仿宋"/>
          <w:bCs/>
          <w:color w:val="auto"/>
          <w:sz w:val="24"/>
          <w:highlight w:val="none"/>
        </w:rPr>
        <w:t>澄清或者修改的内容为招标文件的组成部分</w:t>
      </w:r>
      <w:r>
        <w:rPr>
          <w:rFonts w:hint="eastAsia" w:ascii="宋体" w:hAnsi="宋体" w:eastAsia="宋体" w:cs="仿宋"/>
          <w:color w:val="auto"/>
          <w:sz w:val="24"/>
          <w:highlight w:val="none"/>
        </w:rPr>
        <w:t>。</w:t>
      </w:r>
    </w:p>
    <w:p w14:paraId="374D10F2">
      <w:pPr>
        <w:numPr>
          <w:ilvl w:val="0"/>
          <w:numId w:val="1"/>
        </w:numPr>
        <w:shd w:val="clear"/>
        <w:adjustRightInd w:val="0"/>
        <w:snapToGrid w:val="0"/>
        <w:spacing w:before="120" w:beforeLines="50" w:line="360" w:lineRule="auto"/>
        <w:ind w:firstLine="482" w:firstLineChars="200"/>
        <w:jc w:val="left"/>
        <w:outlineLvl w:val="1"/>
        <w:rPr>
          <w:rFonts w:ascii="宋体" w:hAnsi="宋体" w:eastAsia="宋体" w:cs="仿宋"/>
          <w:b/>
          <w:color w:val="auto"/>
          <w:sz w:val="24"/>
          <w:highlight w:val="none"/>
        </w:rPr>
      </w:pPr>
      <w:r>
        <w:rPr>
          <w:rFonts w:hint="eastAsia" w:ascii="宋体" w:hAnsi="宋体" w:eastAsia="宋体" w:cs="仿宋"/>
          <w:b/>
          <w:color w:val="auto"/>
          <w:sz w:val="24"/>
          <w:highlight w:val="none"/>
        </w:rPr>
        <w:t>招标文件的澄清、修改</w:t>
      </w:r>
    </w:p>
    <w:p w14:paraId="52DE4A74">
      <w:pPr>
        <w:shd w:val="clear"/>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1BFE2274">
      <w:pPr>
        <w:shd w:val="clear"/>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7.2 更正公告为招标文件的组成部分，一经在网站发布，视同已通知所有招标文件的收受人，不再采用其它方式传达相关信息, 若因未能及时了解到上述网站上发布的相关信息而导致的一切后果自行承担。</w:t>
      </w:r>
    </w:p>
    <w:p w14:paraId="40E39189">
      <w:pPr>
        <w:shd w:val="clear"/>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7.3 如更正公告有重新发布电子招标文件的，</w:t>
      </w:r>
      <w:r>
        <w:rPr>
          <w:rFonts w:hint="eastAsia" w:ascii="宋体" w:hAnsi="宋体" w:eastAsia="宋体" w:cs="仿宋"/>
          <w:color w:val="auto"/>
          <w:kern w:val="0"/>
          <w:sz w:val="24"/>
          <w:highlight w:val="none"/>
          <w:lang w:val="zh-CN"/>
        </w:rPr>
        <w:t>供应商</w:t>
      </w:r>
      <w:r>
        <w:rPr>
          <w:rFonts w:hint="eastAsia" w:ascii="宋体" w:hAnsi="宋体" w:eastAsia="宋体" w:cs="仿宋"/>
          <w:color w:val="auto"/>
          <w:sz w:val="24"/>
          <w:highlight w:val="none"/>
        </w:rPr>
        <w:t>应下载最新发布的电子招标文件制作投标文件。</w:t>
      </w:r>
    </w:p>
    <w:p w14:paraId="4A1D7B91">
      <w:pPr>
        <w:shd w:val="clear"/>
        <w:spacing w:line="360" w:lineRule="auto"/>
        <w:ind w:firstLine="480" w:firstLineChars="200"/>
        <w:rPr>
          <w:rFonts w:ascii="宋体" w:hAnsi="宋体" w:eastAsia="宋体" w:cs="仿宋"/>
          <w:b/>
          <w:color w:val="auto"/>
          <w:sz w:val="30"/>
          <w:szCs w:val="20"/>
          <w:highlight w:val="none"/>
        </w:rPr>
      </w:pPr>
      <w:r>
        <w:rPr>
          <w:rFonts w:hint="eastAsia" w:ascii="宋体" w:hAnsi="宋体" w:eastAsia="宋体" w:cs="仿宋"/>
          <w:color w:val="auto"/>
          <w:sz w:val="24"/>
          <w:highlight w:val="none"/>
        </w:rPr>
        <w:t>7.4 已获取招标文件的潜在</w:t>
      </w:r>
      <w:r>
        <w:rPr>
          <w:rFonts w:hint="eastAsia" w:ascii="宋体" w:hAnsi="宋体" w:eastAsia="宋体" w:cs="仿宋"/>
          <w:color w:val="auto"/>
          <w:kern w:val="0"/>
          <w:sz w:val="24"/>
          <w:highlight w:val="none"/>
          <w:lang w:val="zh-CN"/>
        </w:rPr>
        <w:t>供应商</w:t>
      </w:r>
      <w:r>
        <w:rPr>
          <w:rFonts w:hint="eastAsia" w:ascii="宋体" w:hAnsi="宋体" w:eastAsia="宋体" w:cs="仿宋"/>
          <w:color w:val="auto"/>
          <w:sz w:val="24"/>
          <w:highlight w:val="none"/>
        </w:rPr>
        <w:t>，若有问题需要澄清，应于投标截止时间前，以书面形式向采购代理机构提出。</w:t>
      </w:r>
      <w:r>
        <w:rPr>
          <w:rFonts w:hint="eastAsia" w:ascii="宋体" w:hAnsi="宋体" w:eastAsia="宋体" w:cs="仿宋"/>
          <w:color w:val="auto"/>
          <w:kern w:val="0"/>
          <w:sz w:val="24"/>
          <w:highlight w:val="none"/>
          <w:lang w:val="zh-CN"/>
        </w:rPr>
        <w:t>供应商</w:t>
      </w:r>
      <w:r>
        <w:rPr>
          <w:rFonts w:hint="eastAsia" w:ascii="宋体" w:hAnsi="宋体" w:eastAsia="宋体" w:cs="仿宋"/>
          <w:color w:val="auto"/>
          <w:sz w:val="24"/>
          <w:highlight w:val="none"/>
        </w:rPr>
        <w:t>在规定的时间内未对招标文件提出疑问、质疑或要求澄清的，将视其为无异议。对招标文件中描述有歧义或前后不一致的地方，评标委员会有权进行评判，但对同一条款的评判应适用于每个</w:t>
      </w:r>
      <w:r>
        <w:rPr>
          <w:rFonts w:hint="eastAsia" w:ascii="宋体" w:hAnsi="宋体" w:eastAsia="宋体" w:cs="仿宋"/>
          <w:color w:val="auto"/>
          <w:kern w:val="0"/>
          <w:sz w:val="24"/>
          <w:highlight w:val="none"/>
          <w:lang w:val="zh-CN"/>
        </w:rPr>
        <w:t>供应商</w:t>
      </w:r>
      <w:r>
        <w:rPr>
          <w:rFonts w:hint="eastAsia" w:ascii="宋体" w:hAnsi="宋体" w:eastAsia="宋体" w:cs="仿宋"/>
          <w:color w:val="auto"/>
          <w:sz w:val="24"/>
          <w:highlight w:val="none"/>
        </w:rPr>
        <w:t>。</w:t>
      </w:r>
    </w:p>
    <w:p w14:paraId="1E78692C">
      <w:pPr>
        <w:shd w:val="clear"/>
        <w:spacing w:line="360" w:lineRule="auto"/>
        <w:jc w:val="center"/>
        <w:outlineLvl w:val="0"/>
        <w:rPr>
          <w:rFonts w:ascii="宋体" w:hAnsi="宋体" w:eastAsia="宋体" w:cs="仿宋"/>
          <w:b/>
          <w:color w:val="auto"/>
          <w:sz w:val="30"/>
          <w:szCs w:val="20"/>
          <w:highlight w:val="none"/>
        </w:rPr>
      </w:pPr>
      <w:r>
        <w:rPr>
          <w:rFonts w:hint="eastAsia" w:ascii="宋体" w:hAnsi="宋体" w:eastAsia="宋体" w:cs="仿宋"/>
          <w:b/>
          <w:color w:val="auto"/>
          <w:sz w:val="30"/>
          <w:szCs w:val="20"/>
          <w:highlight w:val="none"/>
        </w:rPr>
        <w:t>三、投标</w:t>
      </w:r>
    </w:p>
    <w:p w14:paraId="4E5418B0">
      <w:pPr>
        <w:numPr>
          <w:ilvl w:val="0"/>
          <w:numId w:val="1"/>
        </w:numPr>
        <w:shd w:val="clear"/>
        <w:adjustRightInd w:val="0"/>
        <w:snapToGrid w:val="0"/>
        <w:spacing w:before="120" w:beforeLines="50" w:line="360" w:lineRule="auto"/>
        <w:ind w:firstLine="482" w:firstLineChars="200"/>
        <w:jc w:val="left"/>
        <w:outlineLvl w:val="1"/>
        <w:rPr>
          <w:rFonts w:ascii="宋体" w:hAnsi="宋体" w:eastAsia="宋体" w:cs="仿宋"/>
          <w:b/>
          <w:color w:val="auto"/>
          <w:sz w:val="24"/>
          <w:highlight w:val="none"/>
        </w:rPr>
      </w:pPr>
      <w:r>
        <w:rPr>
          <w:rFonts w:hint="eastAsia" w:ascii="宋体" w:hAnsi="宋体" w:eastAsia="宋体" w:cs="仿宋"/>
          <w:b/>
          <w:color w:val="auto"/>
          <w:sz w:val="24"/>
          <w:highlight w:val="none"/>
        </w:rPr>
        <w:t>投标文件的语言</w:t>
      </w:r>
    </w:p>
    <w:p w14:paraId="3354C858">
      <w:pPr>
        <w:shd w:val="clear"/>
        <w:autoSpaceDE w:val="0"/>
        <w:autoSpaceDN w:val="0"/>
        <w:spacing w:line="360" w:lineRule="auto"/>
        <w:ind w:firstLine="480" w:firstLineChars="200"/>
        <w:rPr>
          <w:rFonts w:ascii="宋体" w:hAnsi="宋体" w:eastAsia="宋体" w:cs="仿宋"/>
          <w:color w:val="auto"/>
          <w:sz w:val="24"/>
          <w:highlight w:val="none"/>
          <w:lang w:val="zh-CN"/>
        </w:rPr>
      </w:pPr>
      <w:r>
        <w:rPr>
          <w:rFonts w:hint="eastAsia" w:ascii="宋体" w:hAnsi="宋体" w:eastAsia="宋体" w:cs="仿宋"/>
          <w:color w:val="auto"/>
          <w:sz w:val="24"/>
          <w:highlight w:val="none"/>
        </w:rPr>
        <w:t>投标文件及</w:t>
      </w:r>
      <w:r>
        <w:rPr>
          <w:rFonts w:hint="eastAsia" w:ascii="宋体" w:hAnsi="宋体" w:eastAsia="宋体" w:cs="仿宋"/>
          <w:color w:val="auto"/>
          <w:kern w:val="0"/>
          <w:sz w:val="24"/>
          <w:highlight w:val="none"/>
          <w:lang w:val="zh-CN"/>
        </w:rPr>
        <w:t>供应商</w:t>
      </w:r>
      <w:r>
        <w:rPr>
          <w:rFonts w:hint="eastAsia" w:ascii="宋体" w:hAnsi="宋体" w:eastAsia="宋体" w:cs="仿宋"/>
          <w:color w:val="auto"/>
          <w:sz w:val="24"/>
          <w:highlight w:val="none"/>
        </w:rPr>
        <w:t>与采购有关的来往通知、函件和文件均应使用中文。</w:t>
      </w:r>
    </w:p>
    <w:p w14:paraId="46F6298A">
      <w:pPr>
        <w:numPr>
          <w:ilvl w:val="0"/>
          <w:numId w:val="1"/>
        </w:numPr>
        <w:shd w:val="clear"/>
        <w:adjustRightInd w:val="0"/>
        <w:snapToGrid w:val="0"/>
        <w:spacing w:before="120" w:beforeLines="50" w:line="360" w:lineRule="auto"/>
        <w:ind w:firstLine="482" w:firstLineChars="200"/>
        <w:jc w:val="left"/>
        <w:outlineLvl w:val="1"/>
        <w:rPr>
          <w:rFonts w:ascii="宋体" w:hAnsi="宋体" w:eastAsia="宋体" w:cs="仿宋"/>
          <w:b/>
          <w:color w:val="auto"/>
          <w:sz w:val="24"/>
          <w:highlight w:val="none"/>
        </w:rPr>
      </w:pPr>
      <w:r>
        <w:rPr>
          <w:rFonts w:hint="eastAsia" w:ascii="宋体" w:hAnsi="宋体" w:eastAsia="宋体" w:cs="仿宋"/>
          <w:b/>
          <w:color w:val="auto"/>
          <w:sz w:val="24"/>
          <w:highlight w:val="none"/>
        </w:rPr>
        <w:t>投标文件的组成</w:t>
      </w:r>
    </w:p>
    <w:p w14:paraId="13CB2DE8">
      <w:pPr>
        <w:shd w:val="clear"/>
        <w:snapToGrid w:val="0"/>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 xml:space="preserve">9.1 </w:t>
      </w:r>
      <w:r>
        <w:rPr>
          <w:rFonts w:hint="eastAsia" w:ascii="宋体" w:hAnsi="宋体" w:eastAsia="宋体" w:cs="仿宋"/>
          <w:b/>
          <w:color w:val="auto"/>
          <w:sz w:val="24"/>
          <w:highlight w:val="none"/>
        </w:rPr>
        <w:t>资格文件</w:t>
      </w:r>
      <w:r>
        <w:rPr>
          <w:rFonts w:hint="eastAsia" w:ascii="宋体" w:hAnsi="宋体" w:eastAsia="宋体" w:cs="仿宋"/>
          <w:color w:val="auto"/>
          <w:sz w:val="24"/>
          <w:highlight w:val="none"/>
        </w:rPr>
        <w:t>：</w:t>
      </w:r>
    </w:p>
    <w:p w14:paraId="526FC585">
      <w:pPr>
        <w:shd w:val="clear"/>
        <w:snapToGrid w:val="0"/>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9.1.1有效的企业法人营业执照（或事业法人登记证）、其他组织（个体工商户）的营业执照或者民办非企业单位登记证书；</w:t>
      </w:r>
    </w:p>
    <w:p w14:paraId="3C3814D5">
      <w:pPr>
        <w:shd w:val="clear"/>
        <w:snapToGrid w:val="0"/>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9.1.2符合参加政府采购活动应当具备的一般条件的承诺函(格式见第六部分)；</w:t>
      </w:r>
    </w:p>
    <w:p w14:paraId="5E91B882">
      <w:pPr>
        <w:shd w:val="clear"/>
        <w:snapToGrid w:val="0"/>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9.1.3落实政府采购政策需满足的资格要求（如适用）；</w:t>
      </w:r>
    </w:p>
    <w:p w14:paraId="02D12967">
      <w:pPr>
        <w:shd w:val="clear"/>
        <w:snapToGrid w:val="0"/>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9.1.4本项目的特定资格要求。</w:t>
      </w:r>
    </w:p>
    <w:p w14:paraId="76E91C1E">
      <w:pPr>
        <w:shd w:val="clear"/>
        <w:snapToGrid w:val="0"/>
        <w:spacing w:line="360" w:lineRule="auto"/>
        <w:ind w:firstLine="480" w:firstLineChars="200"/>
        <w:rPr>
          <w:rFonts w:ascii="宋体" w:hAnsi="宋体" w:eastAsia="宋体" w:cs="仿宋"/>
          <w:b/>
          <w:bCs/>
          <w:color w:val="auto"/>
          <w:sz w:val="24"/>
          <w:highlight w:val="none"/>
          <w:lang w:val="zh-CN"/>
        </w:rPr>
      </w:pPr>
      <w:r>
        <w:rPr>
          <w:rFonts w:hint="eastAsia" w:ascii="宋体" w:hAnsi="宋体" w:eastAsia="宋体" w:cs="仿宋"/>
          <w:color w:val="auto"/>
          <w:sz w:val="24"/>
          <w:highlight w:val="none"/>
        </w:rPr>
        <w:t>9</w:t>
      </w:r>
      <w:r>
        <w:rPr>
          <w:rFonts w:hint="eastAsia" w:ascii="宋体" w:hAnsi="宋体" w:eastAsia="宋体" w:cs="仿宋"/>
          <w:color w:val="auto"/>
          <w:sz w:val="24"/>
          <w:highlight w:val="none"/>
          <w:lang w:val="zh-CN"/>
        </w:rPr>
        <w:t>.</w:t>
      </w:r>
      <w:r>
        <w:rPr>
          <w:rFonts w:hint="eastAsia" w:ascii="宋体" w:hAnsi="宋体" w:eastAsia="宋体" w:cs="仿宋"/>
          <w:color w:val="auto"/>
          <w:sz w:val="24"/>
          <w:highlight w:val="none"/>
        </w:rPr>
        <w:t>2</w:t>
      </w:r>
      <w:r>
        <w:rPr>
          <w:rFonts w:hint="eastAsia" w:ascii="宋体" w:hAnsi="宋体" w:eastAsia="宋体" w:cs="仿宋"/>
          <w:color w:val="auto"/>
          <w:sz w:val="24"/>
          <w:highlight w:val="none"/>
          <w:lang w:val="zh-CN"/>
        </w:rPr>
        <w:t xml:space="preserve"> </w:t>
      </w:r>
      <w:r>
        <w:rPr>
          <w:rFonts w:hint="eastAsia" w:ascii="宋体" w:hAnsi="宋体" w:eastAsia="宋体" w:cs="仿宋"/>
          <w:b/>
          <w:bCs/>
          <w:color w:val="auto"/>
          <w:sz w:val="24"/>
          <w:highlight w:val="none"/>
        </w:rPr>
        <w:t>商务技术</w:t>
      </w:r>
      <w:r>
        <w:rPr>
          <w:rFonts w:hint="eastAsia" w:ascii="宋体" w:hAnsi="宋体" w:eastAsia="宋体" w:cs="仿宋"/>
          <w:b/>
          <w:bCs/>
          <w:color w:val="auto"/>
          <w:sz w:val="24"/>
          <w:highlight w:val="none"/>
          <w:lang w:val="zh-CN"/>
        </w:rPr>
        <w:t>文件：</w:t>
      </w:r>
    </w:p>
    <w:p w14:paraId="334A1C90">
      <w:pPr>
        <w:keepNext w:val="0"/>
        <w:keepLines w:val="0"/>
        <w:pageBreakBefore w:val="0"/>
        <w:widowControl w:val="0"/>
        <w:shd w:val="clear"/>
        <w:kinsoku/>
        <w:wordWrap/>
        <w:overflowPunct/>
        <w:topLinePunct w:val="0"/>
        <w:bidi w:val="0"/>
        <w:snapToGrid w:val="0"/>
        <w:spacing w:line="360" w:lineRule="auto"/>
        <w:ind w:firstLine="480" w:firstLineChars="200"/>
        <w:textAlignment w:val="auto"/>
        <w:rPr>
          <w:rFonts w:ascii="宋体" w:hAnsi="宋体" w:eastAsia="宋体" w:cs="仿宋"/>
          <w:color w:val="auto"/>
          <w:sz w:val="24"/>
          <w:highlight w:val="none"/>
        </w:rPr>
      </w:pPr>
      <w:r>
        <w:rPr>
          <w:rFonts w:hint="eastAsia" w:ascii="宋体" w:hAnsi="宋体" w:eastAsia="宋体" w:cs="仿宋"/>
          <w:color w:val="auto"/>
          <w:sz w:val="24"/>
          <w:highlight w:val="none"/>
        </w:rPr>
        <w:t>9.2.1 评分索引表</w:t>
      </w:r>
    </w:p>
    <w:p w14:paraId="43EA3235">
      <w:pPr>
        <w:keepNext w:val="0"/>
        <w:keepLines w:val="0"/>
        <w:pageBreakBefore w:val="0"/>
        <w:widowControl w:val="0"/>
        <w:shd w:val="clear"/>
        <w:kinsoku/>
        <w:wordWrap/>
        <w:overflowPunct/>
        <w:topLinePunct w:val="0"/>
        <w:bidi w:val="0"/>
        <w:snapToGrid w:val="0"/>
        <w:spacing w:line="360" w:lineRule="auto"/>
        <w:ind w:firstLine="480" w:firstLineChars="200"/>
        <w:textAlignment w:val="auto"/>
        <w:rPr>
          <w:rFonts w:ascii="宋体" w:hAnsi="宋体" w:eastAsia="宋体" w:cs="仿宋"/>
          <w:color w:val="auto"/>
          <w:sz w:val="24"/>
          <w:highlight w:val="none"/>
        </w:rPr>
      </w:pPr>
      <w:r>
        <w:rPr>
          <w:rFonts w:hint="eastAsia" w:ascii="宋体" w:hAnsi="宋体" w:eastAsia="宋体" w:cs="仿宋"/>
          <w:color w:val="auto"/>
          <w:sz w:val="24"/>
          <w:highlight w:val="none"/>
        </w:rPr>
        <w:t>9.2.2 符合性自查表；</w:t>
      </w:r>
    </w:p>
    <w:p w14:paraId="5D49C228">
      <w:pPr>
        <w:keepNext w:val="0"/>
        <w:keepLines w:val="0"/>
        <w:pageBreakBefore w:val="0"/>
        <w:widowControl w:val="0"/>
        <w:shd w:val="clear"/>
        <w:kinsoku/>
        <w:wordWrap/>
        <w:overflowPunct/>
        <w:topLinePunct w:val="0"/>
        <w:bidi w:val="0"/>
        <w:snapToGrid w:val="0"/>
        <w:spacing w:line="360" w:lineRule="auto"/>
        <w:ind w:firstLine="480" w:firstLineChars="200"/>
        <w:textAlignment w:val="auto"/>
        <w:rPr>
          <w:rFonts w:ascii="宋体" w:hAnsi="宋体" w:eastAsia="宋体" w:cs="仿宋"/>
          <w:color w:val="auto"/>
          <w:sz w:val="24"/>
          <w:highlight w:val="none"/>
        </w:rPr>
      </w:pPr>
      <w:r>
        <w:rPr>
          <w:rFonts w:hint="eastAsia" w:ascii="宋体" w:hAnsi="宋体" w:eastAsia="宋体" w:cs="仿宋"/>
          <w:color w:val="auto"/>
          <w:sz w:val="24"/>
          <w:highlight w:val="none"/>
        </w:rPr>
        <w:t>9.2.3 投标函；</w:t>
      </w:r>
      <w:r>
        <w:rPr>
          <w:rFonts w:hint="eastAsia" w:ascii="宋体" w:hAnsi="宋体" w:eastAsia="宋体" w:cs="仿宋"/>
          <w:color w:val="auto"/>
          <w:sz w:val="24"/>
          <w:highlight w:val="none"/>
          <w:lang w:val="zh-CN"/>
        </w:rPr>
        <w:t xml:space="preserve"> </w:t>
      </w:r>
    </w:p>
    <w:p w14:paraId="7B1BF2FA">
      <w:pPr>
        <w:keepNext w:val="0"/>
        <w:keepLines w:val="0"/>
        <w:pageBreakBefore w:val="0"/>
        <w:widowControl w:val="0"/>
        <w:shd w:val="clear"/>
        <w:kinsoku/>
        <w:wordWrap/>
        <w:overflowPunct/>
        <w:topLinePunct w:val="0"/>
        <w:bidi w:val="0"/>
        <w:snapToGrid w:val="0"/>
        <w:spacing w:line="360" w:lineRule="auto"/>
        <w:ind w:firstLine="480" w:firstLineChars="200"/>
        <w:textAlignment w:val="auto"/>
        <w:rPr>
          <w:rFonts w:ascii="宋体" w:hAnsi="宋体" w:eastAsia="宋体" w:cs="仿宋"/>
          <w:color w:val="auto"/>
          <w:sz w:val="24"/>
          <w:highlight w:val="none"/>
        </w:rPr>
      </w:pPr>
      <w:r>
        <w:rPr>
          <w:rFonts w:hint="eastAsia" w:ascii="宋体" w:hAnsi="宋体" w:eastAsia="宋体" w:cs="仿宋"/>
          <w:color w:val="auto"/>
          <w:sz w:val="24"/>
          <w:highlight w:val="none"/>
        </w:rPr>
        <w:t xml:space="preserve">9.2.4 </w:t>
      </w:r>
      <w:r>
        <w:rPr>
          <w:rFonts w:hint="eastAsia" w:ascii="宋体" w:hAnsi="宋体" w:eastAsia="宋体" w:cs="仿宋"/>
          <w:color w:val="auto"/>
          <w:sz w:val="24"/>
          <w:highlight w:val="none"/>
          <w:lang w:val="zh-CN"/>
        </w:rPr>
        <w:t>授权委托书或法定代表人（单位负责人）身份证明</w:t>
      </w:r>
      <w:r>
        <w:rPr>
          <w:rFonts w:hint="eastAsia" w:ascii="宋体" w:hAnsi="宋体" w:eastAsia="宋体" w:cs="仿宋"/>
          <w:color w:val="auto"/>
          <w:sz w:val="24"/>
          <w:highlight w:val="none"/>
        </w:rPr>
        <w:t>；</w:t>
      </w:r>
    </w:p>
    <w:p w14:paraId="058D126F">
      <w:pPr>
        <w:keepNext w:val="0"/>
        <w:keepLines w:val="0"/>
        <w:pageBreakBefore w:val="0"/>
        <w:widowControl w:val="0"/>
        <w:shd w:val="clear"/>
        <w:kinsoku/>
        <w:wordWrap/>
        <w:overflowPunct/>
        <w:topLinePunct w:val="0"/>
        <w:bidi w:val="0"/>
        <w:snapToGrid w:val="0"/>
        <w:spacing w:line="360" w:lineRule="auto"/>
        <w:ind w:firstLine="480" w:firstLineChars="200"/>
        <w:textAlignment w:val="auto"/>
        <w:rPr>
          <w:rFonts w:ascii="宋体" w:hAnsi="宋体" w:eastAsia="宋体" w:cs="仿宋"/>
          <w:color w:val="auto"/>
          <w:sz w:val="24"/>
          <w:highlight w:val="none"/>
        </w:rPr>
      </w:pPr>
      <w:r>
        <w:rPr>
          <w:rFonts w:hint="eastAsia" w:ascii="宋体" w:hAnsi="宋体" w:eastAsia="宋体" w:cs="仿宋"/>
          <w:color w:val="auto"/>
          <w:sz w:val="24"/>
          <w:highlight w:val="none"/>
        </w:rPr>
        <w:t xml:space="preserve">9.2.5 </w:t>
      </w:r>
      <w:r>
        <w:rPr>
          <w:rFonts w:hint="eastAsia" w:ascii="宋体" w:hAnsi="宋体" w:eastAsia="宋体" w:cs="仿宋"/>
          <w:color w:val="auto"/>
          <w:sz w:val="24"/>
          <w:highlight w:val="none"/>
          <w:lang w:val="zh-CN"/>
        </w:rPr>
        <w:t>投标人基本情况表</w:t>
      </w:r>
      <w:r>
        <w:rPr>
          <w:rFonts w:hint="eastAsia" w:ascii="宋体" w:hAnsi="宋体" w:eastAsia="宋体" w:cs="仿宋"/>
          <w:color w:val="auto"/>
          <w:sz w:val="24"/>
          <w:highlight w:val="none"/>
        </w:rPr>
        <w:t>；</w:t>
      </w:r>
    </w:p>
    <w:p w14:paraId="3F6E7272">
      <w:pPr>
        <w:keepNext w:val="0"/>
        <w:keepLines w:val="0"/>
        <w:pageBreakBefore w:val="0"/>
        <w:widowControl w:val="0"/>
        <w:shd w:val="clear"/>
        <w:kinsoku/>
        <w:wordWrap/>
        <w:overflowPunct/>
        <w:topLinePunct w:val="0"/>
        <w:bidi w:val="0"/>
        <w:snapToGrid w:val="0"/>
        <w:spacing w:line="360" w:lineRule="auto"/>
        <w:ind w:firstLine="480" w:firstLineChars="200"/>
        <w:textAlignment w:val="auto"/>
        <w:rPr>
          <w:rFonts w:ascii="宋体" w:hAnsi="宋体" w:eastAsia="宋体" w:cs="仿宋"/>
          <w:color w:val="auto"/>
          <w:sz w:val="24"/>
          <w:highlight w:val="none"/>
        </w:rPr>
      </w:pPr>
      <w:r>
        <w:rPr>
          <w:rFonts w:hint="eastAsia" w:ascii="宋体" w:hAnsi="宋体" w:eastAsia="宋体" w:cs="仿宋"/>
          <w:color w:val="auto"/>
          <w:sz w:val="24"/>
          <w:highlight w:val="none"/>
        </w:rPr>
        <w:t>9</w:t>
      </w:r>
      <w:r>
        <w:rPr>
          <w:rFonts w:hint="eastAsia" w:ascii="宋体" w:hAnsi="宋体" w:eastAsia="宋体" w:cs="仿宋"/>
          <w:color w:val="auto"/>
          <w:sz w:val="24"/>
          <w:highlight w:val="none"/>
          <w:lang w:val="zh-CN"/>
        </w:rPr>
        <w:t>.</w:t>
      </w:r>
      <w:r>
        <w:rPr>
          <w:rFonts w:hint="eastAsia" w:ascii="宋体" w:hAnsi="宋体" w:eastAsia="宋体" w:cs="仿宋"/>
          <w:color w:val="auto"/>
          <w:sz w:val="24"/>
          <w:highlight w:val="none"/>
        </w:rPr>
        <w:t>2</w:t>
      </w:r>
      <w:r>
        <w:rPr>
          <w:rFonts w:hint="eastAsia" w:ascii="宋体" w:hAnsi="宋体" w:eastAsia="宋体" w:cs="仿宋"/>
          <w:color w:val="auto"/>
          <w:sz w:val="24"/>
          <w:highlight w:val="none"/>
          <w:lang w:val="zh-CN"/>
        </w:rPr>
        <w:t>.</w:t>
      </w:r>
      <w:r>
        <w:rPr>
          <w:rFonts w:hint="eastAsia" w:ascii="宋体" w:hAnsi="宋体" w:eastAsia="宋体" w:cs="仿宋"/>
          <w:color w:val="auto"/>
          <w:sz w:val="24"/>
          <w:highlight w:val="none"/>
        </w:rPr>
        <w:t>6 距采购人最近或者能为本项目提供最优服务的网点情况表；</w:t>
      </w:r>
    </w:p>
    <w:p w14:paraId="75F25596">
      <w:pPr>
        <w:keepNext w:val="0"/>
        <w:keepLines w:val="0"/>
        <w:pageBreakBefore w:val="0"/>
        <w:widowControl w:val="0"/>
        <w:shd w:val="clear"/>
        <w:kinsoku/>
        <w:wordWrap/>
        <w:overflowPunct/>
        <w:topLinePunct w:val="0"/>
        <w:bidi w:val="0"/>
        <w:snapToGrid w:val="0"/>
        <w:spacing w:line="360" w:lineRule="auto"/>
        <w:ind w:firstLine="480" w:firstLineChars="200"/>
        <w:textAlignment w:val="auto"/>
        <w:rPr>
          <w:rFonts w:ascii="宋体" w:hAnsi="宋体" w:eastAsia="宋体" w:cs="仿宋"/>
          <w:color w:val="auto"/>
          <w:sz w:val="24"/>
          <w:highlight w:val="none"/>
        </w:rPr>
      </w:pPr>
      <w:r>
        <w:rPr>
          <w:rFonts w:hint="eastAsia" w:ascii="宋体" w:hAnsi="宋体" w:eastAsia="宋体" w:cs="仿宋"/>
          <w:color w:val="auto"/>
          <w:sz w:val="24"/>
          <w:highlight w:val="none"/>
        </w:rPr>
        <w:t>9.2.7 评标标准相应的商务技术资料；</w:t>
      </w:r>
    </w:p>
    <w:p w14:paraId="1899F3B4">
      <w:pPr>
        <w:keepNext w:val="0"/>
        <w:keepLines w:val="0"/>
        <w:pageBreakBefore w:val="0"/>
        <w:widowControl w:val="0"/>
        <w:shd w:val="clear"/>
        <w:kinsoku/>
        <w:wordWrap/>
        <w:overflowPunct/>
        <w:topLinePunct w:val="0"/>
        <w:bidi w:val="0"/>
        <w:snapToGrid w:val="0"/>
        <w:spacing w:line="360" w:lineRule="auto"/>
        <w:ind w:firstLine="480" w:firstLineChars="200"/>
        <w:textAlignment w:val="auto"/>
        <w:rPr>
          <w:rFonts w:ascii="宋体" w:hAnsi="宋体" w:eastAsia="宋体" w:cs="仿宋"/>
          <w:color w:val="auto"/>
          <w:sz w:val="24"/>
          <w:highlight w:val="none"/>
        </w:rPr>
      </w:pPr>
      <w:r>
        <w:rPr>
          <w:rFonts w:hint="eastAsia" w:ascii="宋体" w:hAnsi="宋体" w:eastAsia="宋体" w:cs="仿宋"/>
          <w:color w:val="auto"/>
          <w:sz w:val="24"/>
          <w:highlight w:val="none"/>
        </w:rPr>
        <w:t>9.2.8 商务</w:t>
      </w:r>
      <w:r>
        <w:rPr>
          <w:rFonts w:hint="eastAsia" w:ascii="宋体" w:hAnsi="宋体" w:eastAsia="宋体" w:cs="仿宋"/>
          <w:color w:val="auto"/>
          <w:sz w:val="24"/>
          <w:highlight w:val="none"/>
          <w:lang w:val="zh-CN"/>
        </w:rPr>
        <w:t>响应表</w:t>
      </w:r>
      <w:r>
        <w:rPr>
          <w:rFonts w:hint="eastAsia" w:ascii="宋体" w:hAnsi="宋体" w:eastAsia="宋体" w:cs="仿宋"/>
          <w:color w:val="auto"/>
          <w:sz w:val="24"/>
          <w:highlight w:val="none"/>
        </w:rPr>
        <w:t>；</w:t>
      </w:r>
    </w:p>
    <w:p w14:paraId="61121AAD">
      <w:pPr>
        <w:keepNext w:val="0"/>
        <w:keepLines w:val="0"/>
        <w:pageBreakBefore w:val="0"/>
        <w:widowControl w:val="0"/>
        <w:shd w:val="clear"/>
        <w:kinsoku/>
        <w:wordWrap/>
        <w:overflowPunct/>
        <w:topLinePunct w:val="0"/>
        <w:bidi w:val="0"/>
        <w:snapToGrid w:val="0"/>
        <w:spacing w:line="360" w:lineRule="auto"/>
        <w:ind w:firstLine="480" w:firstLineChars="200"/>
        <w:textAlignment w:val="auto"/>
        <w:rPr>
          <w:rFonts w:ascii="宋体" w:hAnsi="宋体" w:eastAsia="宋体" w:cs="仿宋"/>
          <w:color w:val="auto"/>
          <w:sz w:val="24"/>
          <w:highlight w:val="none"/>
        </w:rPr>
      </w:pPr>
      <w:r>
        <w:rPr>
          <w:rFonts w:hint="eastAsia" w:ascii="宋体" w:hAnsi="宋体" w:eastAsia="宋体" w:cs="仿宋"/>
          <w:color w:val="auto"/>
          <w:sz w:val="24"/>
          <w:highlight w:val="none"/>
        </w:rPr>
        <w:t xml:space="preserve">9.2.9 </w:t>
      </w:r>
      <w:r>
        <w:rPr>
          <w:rFonts w:hint="eastAsia" w:ascii="宋体" w:hAnsi="宋体" w:eastAsia="宋体" w:cs="仿宋"/>
          <w:color w:val="auto"/>
          <w:sz w:val="24"/>
          <w:highlight w:val="none"/>
          <w:lang w:val="zh-CN"/>
        </w:rPr>
        <w:t>技术响应表</w:t>
      </w:r>
      <w:r>
        <w:rPr>
          <w:rFonts w:hint="eastAsia" w:ascii="宋体" w:hAnsi="宋体" w:eastAsia="宋体" w:cs="仿宋"/>
          <w:color w:val="auto"/>
          <w:sz w:val="24"/>
          <w:highlight w:val="none"/>
        </w:rPr>
        <w:t>；</w:t>
      </w:r>
    </w:p>
    <w:p w14:paraId="2DAC8538">
      <w:pPr>
        <w:keepNext w:val="0"/>
        <w:keepLines w:val="0"/>
        <w:pageBreakBefore w:val="0"/>
        <w:widowControl w:val="0"/>
        <w:shd w:val="clear"/>
        <w:kinsoku/>
        <w:wordWrap/>
        <w:overflowPunct/>
        <w:topLinePunct w:val="0"/>
        <w:bidi w:val="0"/>
        <w:snapToGrid w:val="0"/>
        <w:spacing w:line="360" w:lineRule="auto"/>
        <w:ind w:firstLine="480" w:firstLineChars="200"/>
        <w:textAlignment w:val="auto"/>
        <w:rPr>
          <w:rFonts w:ascii="宋体" w:hAnsi="宋体" w:eastAsia="宋体" w:cs="仿宋"/>
          <w:color w:val="auto"/>
          <w:sz w:val="24"/>
          <w:highlight w:val="none"/>
        </w:rPr>
      </w:pPr>
      <w:r>
        <w:rPr>
          <w:rFonts w:hint="eastAsia" w:ascii="宋体" w:hAnsi="宋体" w:eastAsia="宋体" w:cs="仿宋"/>
          <w:color w:val="auto"/>
          <w:sz w:val="24"/>
          <w:highlight w:val="none"/>
        </w:rPr>
        <w:t>9.2.10 项目管理机构配备情况表；</w:t>
      </w:r>
    </w:p>
    <w:p w14:paraId="0A376240">
      <w:pPr>
        <w:keepNext w:val="0"/>
        <w:keepLines w:val="0"/>
        <w:pageBreakBefore w:val="0"/>
        <w:widowControl w:val="0"/>
        <w:shd w:val="clear"/>
        <w:kinsoku/>
        <w:wordWrap/>
        <w:overflowPunct/>
        <w:topLinePunct w:val="0"/>
        <w:bidi w:val="0"/>
        <w:snapToGrid w:val="0"/>
        <w:spacing w:line="360" w:lineRule="auto"/>
        <w:ind w:firstLine="480" w:firstLineChars="200"/>
        <w:textAlignment w:val="auto"/>
        <w:rPr>
          <w:rFonts w:ascii="宋体" w:hAnsi="宋体" w:eastAsia="宋体" w:cs="仿宋"/>
          <w:color w:val="auto"/>
          <w:sz w:val="24"/>
          <w:highlight w:val="none"/>
        </w:rPr>
      </w:pPr>
      <w:r>
        <w:rPr>
          <w:rFonts w:hint="eastAsia" w:ascii="宋体" w:hAnsi="宋体" w:eastAsia="宋体" w:cs="仿宋"/>
          <w:color w:val="auto"/>
          <w:sz w:val="24"/>
          <w:highlight w:val="none"/>
        </w:rPr>
        <w:t>9.2.11</w:t>
      </w:r>
      <w:r>
        <w:rPr>
          <w:rFonts w:hint="eastAsia" w:ascii="宋体" w:hAnsi="宋体" w:eastAsia="宋体" w:cs="仿宋"/>
          <w:color w:val="auto"/>
          <w:sz w:val="24"/>
          <w:highlight w:val="none"/>
          <w:lang w:val="en-US" w:eastAsia="zh-CN"/>
        </w:rPr>
        <w:t xml:space="preserve"> </w:t>
      </w:r>
      <w:r>
        <w:rPr>
          <w:rFonts w:hint="eastAsia" w:ascii="宋体" w:hAnsi="宋体" w:eastAsia="宋体" w:cs="仿宋"/>
          <w:color w:val="auto"/>
          <w:sz w:val="24"/>
          <w:highlight w:val="none"/>
        </w:rPr>
        <w:t>同类业绩情况一览表；</w:t>
      </w:r>
    </w:p>
    <w:p w14:paraId="6D0AE121">
      <w:pPr>
        <w:keepNext w:val="0"/>
        <w:keepLines w:val="0"/>
        <w:pageBreakBefore w:val="0"/>
        <w:widowControl w:val="0"/>
        <w:shd w:val="clear"/>
        <w:kinsoku/>
        <w:wordWrap/>
        <w:overflowPunct/>
        <w:topLinePunct w:val="0"/>
        <w:bidi w:val="0"/>
        <w:snapToGrid w:val="0"/>
        <w:spacing w:line="360" w:lineRule="auto"/>
        <w:ind w:firstLine="480" w:firstLineChars="200"/>
        <w:textAlignment w:val="auto"/>
        <w:rPr>
          <w:rFonts w:ascii="宋体" w:hAnsi="宋体" w:eastAsia="宋体" w:cs="仿宋"/>
          <w:color w:val="auto"/>
          <w:sz w:val="24"/>
          <w:highlight w:val="none"/>
        </w:rPr>
      </w:pPr>
      <w:r>
        <w:rPr>
          <w:rFonts w:hint="eastAsia" w:ascii="宋体" w:hAnsi="宋体" w:eastAsia="宋体" w:cs="仿宋"/>
          <w:color w:val="auto"/>
          <w:sz w:val="24"/>
          <w:highlight w:val="none"/>
        </w:rPr>
        <w:t>9.2.1</w:t>
      </w:r>
      <w:r>
        <w:rPr>
          <w:rFonts w:hint="eastAsia" w:ascii="宋体" w:hAnsi="宋体" w:eastAsia="宋体" w:cs="仿宋"/>
          <w:color w:val="auto"/>
          <w:sz w:val="24"/>
          <w:highlight w:val="none"/>
          <w:lang w:val="en-US" w:eastAsia="zh-CN"/>
        </w:rPr>
        <w:t xml:space="preserve">2 </w:t>
      </w:r>
      <w:r>
        <w:rPr>
          <w:rFonts w:hint="eastAsia" w:ascii="宋体" w:hAnsi="宋体" w:eastAsia="宋体" w:cs="仿宋"/>
          <w:color w:val="auto"/>
          <w:sz w:val="24"/>
          <w:highlight w:val="none"/>
          <w:lang w:val="zh-CN"/>
        </w:rPr>
        <w:t>政府采购供应商廉洁自律承诺书；</w:t>
      </w:r>
    </w:p>
    <w:p w14:paraId="0AA5B397">
      <w:pPr>
        <w:keepNext w:val="0"/>
        <w:keepLines w:val="0"/>
        <w:pageBreakBefore w:val="0"/>
        <w:widowControl w:val="0"/>
        <w:shd w:val="clear"/>
        <w:kinsoku/>
        <w:wordWrap/>
        <w:overflowPunct/>
        <w:topLinePunct w:val="0"/>
        <w:bidi w:val="0"/>
        <w:snapToGrid w:val="0"/>
        <w:spacing w:line="360" w:lineRule="auto"/>
        <w:ind w:firstLine="480" w:firstLineChars="200"/>
        <w:textAlignment w:val="auto"/>
        <w:rPr>
          <w:rFonts w:ascii="宋体" w:hAnsi="宋体" w:eastAsia="宋体" w:cs="仿宋"/>
          <w:color w:val="auto"/>
          <w:sz w:val="24"/>
          <w:highlight w:val="none"/>
        </w:rPr>
      </w:pPr>
      <w:r>
        <w:rPr>
          <w:rFonts w:hint="eastAsia" w:ascii="宋体" w:hAnsi="宋体" w:eastAsia="宋体" w:cs="仿宋"/>
          <w:color w:val="auto"/>
          <w:sz w:val="24"/>
          <w:highlight w:val="none"/>
        </w:rPr>
        <w:t>9.2.1</w:t>
      </w:r>
      <w:r>
        <w:rPr>
          <w:rFonts w:hint="eastAsia" w:ascii="宋体" w:hAnsi="宋体" w:eastAsia="宋体" w:cs="仿宋"/>
          <w:color w:val="auto"/>
          <w:sz w:val="24"/>
          <w:highlight w:val="none"/>
          <w:lang w:val="en-US" w:eastAsia="zh-CN"/>
        </w:rPr>
        <w:t>3</w:t>
      </w:r>
      <w:r>
        <w:rPr>
          <w:rFonts w:hint="eastAsia" w:ascii="宋体" w:hAnsi="宋体" w:eastAsia="宋体" w:cs="仿宋"/>
          <w:color w:val="auto"/>
          <w:sz w:val="24"/>
          <w:highlight w:val="none"/>
        </w:rPr>
        <w:t xml:space="preserve"> 其他资料（如有）。</w:t>
      </w:r>
    </w:p>
    <w:p w14:paraId="1F5CD9A0">
      <w:pPr>
        <w:keepNext w:val="0"/>
        <w:keepLines w:val="0"/>
        <w:pageBreakBefore w:val="0"/>
        <w:widowControl w:val="0"/>
        <w:shd w:val="clear"/>
        <w:kinsoku/>
        <w:wordWrap/>
        <w:overflowPunct/>
        <w:topLinePunct w:val="0"/>
        <w:bidi w:val="0"/>
        <w:snapToGrid w:val="0"/>
        <w:spacing w:line="360" w:lineRule="auto"/>
        <w:ind w:firstLine="480" w:firstLineChars="200"/>
        <w:textAlignment w:val="auto"/>
        <w:rPr>
          <w:rFonts w:ascii="宋体" w:hAnsi="宋体" w:eastAsia="宋体" w:cs="仿宋"/>
          <w:color w:val="auto"/>
          <w:sz w:val="24"/>
          <w:highlight w:val="none"/>
          <w:u w:val="single"/>
          <w:lang w:val="zh-CN"/>
        </w:rPr>
      </w:pPr>
      <w:r>
        <w:rPr>
          <w:rFonts w:hint="eastAsia" w:ascii="宋体" w:hAnsi="宋体" w:eastAsia="宋体" w:cs="仿宋"/>
          <w:color w:val="auto"/>
          <w:kern w:val="0"/>
          <w:sz w:val="24"/>
          <w:highlight w:val="none"/>
        </w:rPr>
        <w:t>9</w:t>
      </w:r>
      <w:r>
        <w:rPr>
          <w:rFonts w:hint="eastAsia" w:ascii="宋体" w:hAnsi="宋体" w:eastAsia="宋体" w:cs="仿宋"/>
          <w:color w:val="auto"/>
          <w:kern w:val="0"/>
          <w:sz w:val="24"/>
          <w:highlight w:val="none"/>
          <w:lang w:val="zh-CN"/>
        </w:rPr>
        <w:t>.</w:t>
      </w:r>
      <w:r>
        <w:rPr>
          <w:rFonts w:hint="eastAsia" w:ascii="宋体" w:hAnsi="宋体" w:eastAsia="宋体" w:cs="仿宋"/>
          <w:color w:val="auto"/>
          <w:kern w:val="0"/>
          <w:sz w:val="24"/>
          <w:highlight w:val="none"/>
        </w:rPr>
        <w:t xml:space="preserve">3 </w:t>
      </w:r>
      <w:r>
        <w:rPr>
          <w:rFonts w:hint="eastAsia" w:ascii="宋体" w:hAnsi="宋体" w:eastAsia="宋体" w:cs="仿宋"/>
          <w:b/>
          <w:color w:val="auto"/>
          <w:sz w:val="24"/>
          <w:highlight w:val="none"/>
        </w:rPr>
        <w:t>报价文件：</w:t>
      </w:r>
      <w:r>
        <w:rPr>
          <w:rFonts w:hint="eastAsia" w:ascii="宋体" w:hAnsi="宋体" w:eastAsia="宋体" w:cs="仿宋"/>
          <w:color w:val="auto"/>
          <w:sz w:val="24"/>
          <w:highlight w:val="none"/>
        </w:rPr>
        <w:t xml:space="preserve"> </w:t>
      </w:r>
    </w:p>
    <w:p w14:paraId="63B771DD">
      <w:pPr>
        <w:shd w:val="clear"/>
        <w:snapToGrid w:val="0"/>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9.3.1 开标一览表；</w:t>
      </w:r>
    </w:p>
    <w:p w14:paraId="574185C7">
      <w:pPr>
        <w:shd w:val="clear"/>
        <w:snapToGrid w:val="0"/>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9.3.2 投标报价明细表；</w:t>
      </w:r>
    </w:p>
    <w:p w14:paraId="01EE8380">
      <w:pPr>
        <w:shd w:val="clear"/>
        <w:snapToGrid w:val="0"/>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9.3.3 中小企业声明函（如有）；</w:t>
      </w:r>
    </w:p>
    <w:p w14:paraId="1C014520">
      <w:pPr>
        <w:shd w:val="clear"/>
        <w:snapToGrid w:val="0"/>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9.3.4 残疾人福利性单位声明函（如有）；</w:t>
      </w:r>
    </w:p>
    <w:p w14:paraId="1D479168">
      <w:pPr>
        <w:shd w:val="clear"/>
        <w:snapToGrid w:val="0"/>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9.3.5 监狱企业的证明文件（如有）；</w:t>
      </w:r>
    </w:p>
    <w:p w14:paraId="0B9C039E">
      <w:pPr>
        <w:shd w:val="clear"/>
        <w:snapToGrid w:val="0"/>
        <w:spacing w:line="360" w:lineRule="auto"/>
        <w:ind w:firstLine="480" w:firstLineChars="200"/>
        <w:rPr>
          <w:rFonts w:ascii="宋体" w:hAnsi="宋体" w:eastAsia="宋体" w:cs="仿宋"/>
          <w:color w:val="auto"/>
          <w:sz w:val="24"/>
          <w:highlight w:val="none"/>
        </w:rPr>
      </w:pPr>
      <w:r>
        <w:rPr>
          <w:rFonts w:hint="eastAsia" w:ascii="宋体" w:hAnsi="宋体" w:eastAsia="宋体" w:cs="仿宋"/>
          <w:color w:val="auto"/>
          <w:sz w:val="24"/>
          <w:highlight w:val="none"/>
        </w:rPr>
        <w:t>9.3.6 政府采购统计基础信息表；</w:t>
      </w:r>
    </w:p>
    <w:p w14:paraId="08145F57">
      <w:pPr>
        <w:shd w:val="clear"/>
        <w:snapToGrid w:val="0"/>
        <w:spacing w:line="360" w:lineRule="auto"/>
        <w:ind w:firstLine="480" w:firstLineChars="200"/>
        <w:rPr>
          <w:color w:val="auto"/>
          <w:highlight w:val="none"/>
        </w:rPr>
      </w:pPr>
      <w:r>
        <w:rPr>
          <w:rFonts w:hint="eastAsia" w:ascii="宋体" w:hAnsi="宋体" w:eastAsia="宋体" w:cs="仿宋"/>
          <w:color w:val="auto"/>
          <w:sz w:val="24"/>
          <w:highlight w:val="none"/>
        </w:rPr>
        <w:t>9.3.7其他资料（如有）。</w:t>
      </w:r>
    </w:p>
    <w:p w14:paraId="116700A1">
      <w:pPr>
        <w:numPr>
          <w:ilvl w:val="0"/>
          <w:numId w:val="1"/>
        </w:numPr>
        <w:shd w:val="clear"/>
        <w:adjustRightInd w:val="0"/>
        <w:snapToGrid w:val="0"/>
        <w:spacing w:before="120" w:beforeLines="50" w:line="360" w:lineRule="auto"/>
        <w:ind w:firstLine="482" w:firstLineChars="200"/>
        <w:jc w:val="left"/>
        <w:outlineLvl w:val="1"/>
        <w:rPr>
          <w:rFonts w:ascii="宋体" w:hAnsi="宋体" w:eastAsia="宋体" w:cs="仿宋"/>
          <w:b/>
          <w:color w:val="auto"/>
          <w:sz w:val="24"/>
          <w:highlight w:val="none"/>
        </w:rPr>
      </w:pPr>
      <w:r>
        <w:rPr>
          <w:rFonts w:hint="eastAsia" w:ascii="宋体" w:hAnsi="宋体" w:eastAsia="宋体" w:cs="仿宋"/>
          <w:b/>
          <w:color w:val="auto"/>
          <w:sz w:val="24"/>
          <w:highlight w:val="none"/>
        </w:rPr>
        <w:t>投标文件的编制</w:t>
      </w:r>
    </w:p>
    <w:p w14:paraId="5341AA93">
      <w:pPr>
        <w:shd w:val="clear"/>
        <w:spacing w:line="360" w:lineRule="auto"/>
        <w:ind w:firstLine="480" w:firstLineChars="200"/>
        <w:rPr>
          <w:rFonts w:ascii="宋体" w:hAnsi="宋体" w:eastAsia="宋体" w:cs="仿宋"/>
          <w:b/>
          <w:color w:val="auto"/>
          <w:sz w:val="24"/>
          <w:highlight w:val="none"/>
        </w:rPr>
      </w:pPr>
      <w:r>
        <w:rPr>
          <w:rFonts w:hint="eastAsia" w:ascii="宋体" w:hAnsi="宋体" w:eastAsia="宋体" w:cs="仿宋"/>
          <w:color w:val="auto"/>
          <w:kern w:val="0"/>
          <w:sz w:val="24"/>
          <w:highlight w:val="none"/>
          <w:lang w:val="zh-CN"/>
        </w:rPr>
        <w:t>1</w:t>
      </w:r>
      <w:r>
        <w:rPr>
          <w:rFonts w:hint="eastAsia" w:ascii="宋体" w:hAnsi="宋体" w:eastAsia="宋体" w:cs="仿宋"/>
          <w:color w:val="auto"/>
          <w:kern w:val="0"/>
          <w:sz w:val="24"/>
          <w:highlight w:val="none"/>
        </w:rPr>
        <w:t>0</w:t>
      </w:r>
      <w:r>
        <w:rPr>
          <w:rFonts w:hint="eastAsia" w:ascii="宋体" w:hAnsi="宋体" w:eastAsia="宋体" w:cs="仿宋"/>
          <w:color w:val="auto"/>
          <w:kern w:val="0"/>
          <w:sz w:val="24"/>
          <w:highlight w:val="none"/>
          <w:lang w:val="zh-CN"/>
        </w:rPr>
        <w:t>.1投标文件分为资格文件、商务技术文件、报价文件三部分。各供应商在编制投标文件时请按照招标文件第六部分规定的格式进行。</w:t>
      </w:r>
      <w:r>
        <w:rPr>
          <w:rFonts w:hint="eastAsia" w:ascii="宋体" w:hAnsi="宋体" w:eastAsia="宋体" w:cs="仿宋"/>
          <w:color w:val="auto"/>
          <w:kern w:val="0"/>
          <w:sz w:val="24"/>
          <w:highlight w:val="none"/>
        </w:rPr>
        <w:t>未有规定格式的资料，</w:t>
      </w:r>
      <w:r>
        <w:rPr>
          <w:rFonts w:hint="eastAsia" w:ascii="宋体" w:hAnsi="宋体" w:eastAsia="宋体" w:cs="仿宋"/>
          <w:color w:val="auto"/>
          <w:kern w:val="0"/>
          <w:sz w:val="24"/>
          <w:highlight w:val="none"/>
          <w:lang w:val="zh-CN"/>
        </w:rPr>
        <w:t>供应商</w:t>
      </w:r>
      <w:r>
        <w:rPr>
          <w:rFonts w:hint="eastAsia" w:ascii="宋体" w:hAnsi="宋体" w:eastAsia="宋体" w:cs="仿宋"/>
          <w:color w:val="auto"/>
          <w:kern w:val="0"/>
          <w:sz w:val="24"/>
          <w:highlight w:val="none"/>
        </w:rPr>
        <w:t>应自行编制，但至少须包含</w:t>
      </w:r>
      <w:r>
        <w:rPr>
          <w:rFonts w:hint="eastAsia" w:ascii="宋体" w:hAnsi="宋体" w:eastAsia="宋体" w:cs="仿宋"/>
          <w:color w:val="auto"/>
          <w:kern w:val="0"/>
          <w:sz w:val="24"/>
          <w:highlight w:val="none"/>
          <w:lang w:val="en-US" w:eastAsia="zh-CN"/>
        </w:rPr>
        <w:t>9.</w:t>
      </w:r>
      <w:r>
        <w:rPr>
          <w:rFonts w:hint="eastAsia" w:ascii="宋体" w:hAnsi="宋体" w:eastAsia="宋体" w:cs="仿宋"/>
          <w:color w:val="auto"/>
          <w:kern w:val="0"/>
          <w:sz w:val="24"/>
          <w:highlight w:val="none"/>
        </w:rPr>
        <w:t>投标文件组成中的内容。</w:t>
      </w:r>
      <w:r>
        <w:rPr>
          <w:rFonts w:hint="eastAsia" w:ascii="宋体" w:hAnsi="宋体" w:eastAsia="宋体" w:cs="仿宋"/>
          <w:color w:val="auto"/>
          <w:kern w:val="0"/>
          <w:sz w:val="24"/>
          <w:highlight w:val="none"/>
          <w:lang w:val="zh-CN"/>
        </w:rPr>
        <w:t>混乱的编排导致投标文件被误读或评标委员会查找不到有效文件是供应商的风险。</w:t>
      </w:r>
    </w:p>
    <w:p w14:paraId="3DFF4090">
      <w:pPr>
        <w:shd w:val="clear"/>
        <w:spacing w:line="360" w:lineRule="auto"/>
        <w:ind w:firstLine="480" w:firstLineChars="200"/>
        <w:rPr>
          <w:rFonts w:ascii="宋体" w:hAnsi="宋体" w:eastAsia="宋体" w:cs="仿宋"/>
          <w:color w:val="auto"/>
          <w:kern w:val="0"/>
          <w:sz w:val="24"/>
          <w:highlight w:val="none"/>
          <w:lang w:val="zh-CN"/>
        </w:rPr>
      </w:pPr>
      <w:r>
        <w:rPr>
          <w:rFonts w:hint="eastAsia" w:ascii="宋体" w:hAnsi="宋体" w:eastAsia="宋体" w:cs="仿宋"/>
          <w:color w:val="auto"/>
          <w:kern w:val="0"/>
          <w:sz w:val="24"/>
          <w:highlight w:val="none"/>
          <w:lang w:val="zh-CN"/>
        </w:rPr>
        <w:t>1</w:t>
      </w:r>
      <w:r>
        <w:rPr>
          <w:rFonts w:hint="eastAsia" w:ascii="宋体" w:hAnsi="宋体" w:eastAsia="宋体" w:cs="仿宋"/>
          <w:color w:val="auto"/>
          <w:kern w:val="0"/>
          <w:sz w:val="24"/>
          <w:highlight w:val="none"/>
        </w:rPr>
        <w:t>0</w:t>
      </w:r>
      <w:r>
        <w:rPr>
          <w:rFonts w:hint="eastAsia" w:ascii="宋体" w:hAnsi="宋体" w:eastAsia="宋体" w:cs="仿宋"/>
          <w:color w:val="auto"/>
          <w:kern w:val="0"/>
          <w:sz w:val="24"/>
          <w:highlight w:val="none"/>
          <w:lang w:val="zh-CN"/>
        </w:rPr>
        <w:t>.2供应商进行电子投标应安装客户端软件—“</w:t>
      </w:r>
      <w:r>
        <w:rPr>
          <w:rFonts w:hint="eastAsia" w:ascii="宋体" w:hAnsi="宋体" w:cs="仿宋"/>
          <w:color w:val="auto"/>
          <w:kern w:val="0"/>
          <w:sz w:val="24"/>
          <w:highlight w:val="none"/>
          <w:lang w:val="zh-CN"/>
        </w:rPr>
        <w:t>乐采云</w:t>
      </w:r>
      <w:r>
        <w:rPr>
          <w:rFonts w:hint="eastAsia" w:ascii="宋体" w:hAnsi="宋体" w:eastAsia="宋体" w:cs="仿宋"/>
          <w:color w:val="auto"/>
          <w:kern w:val="0"/>
          <w:sz w:val="24"/>
          <w:highlight w:val="none"/>
          <w:lang w:val="zh-CN"/>
        </w:rPr>
        <w:t>电子交易客户端”，并按照招标文件和电子交易平台的要求编制并加密投标文件。供应商未按规定加密的投标文件，电子交易平台将拒收并提示。</w:t>
      </w:r>
    </w:p>
    <w:p w14:paraId="044EA2E9">
      <w:pPr>
        <w:shd w:val="clear"/>
        <w:spacing w:line="360" w:lineRule="auto"/>
        <w:ind w:firstLine="480" w:firstLineChars="200"/>
        <w:rPr>
          <w:rFonts w:ascii="宋体" w:hAnsi="宋体" w:eastAsia="宋体" w:cs="仿宋"/>
          <w:color w:val="auto"/>
          <w:kern w:val="0"/>
          <w:sz w:val="24"/>
          <w:highlight w:val="none"/>
          <w:lang w:val="zh-CN"/>
        </w:rPr>
      </w:pPr>
      <w:r>
        <w:rPr>
          <w:rFonts w:hint="eastAsia" w:ascii="宋体" w:hAnsi="宋体" w:eastAsia="宋体" w:cs="仿宋"/>
          <w:color w:val="auto"/>
          <w:kern w:val="0"/>
          <w:sz w:val="24"/>
          <w:highlight w:val="none"/>
          <w:lang w:val="zh-CN"/>
        </w:rPr>
        <w:t>1</w:t>
      </w:r>
      <w:r>
        <w:rPr>
          <w:rFonts w:hint="eastAsia" w:ascii="宋体" w:hAnsi="宋体" w:eastAsia="宋体" w:cs="仿宋"/>
          <w:color w:val="auto"/>
          <w:kern w:val="0"/>
          <w:sz w:val="24"/>
          <w:highlight w:val="none"/>
        </w:rPr>
        <w:t>0</w:t>
      </w:r>
      <w:r>
        <w:rPr>
          <w:rFonts w:hint="eastAsia" w:ascii="宋体" w:hAnsi="宋体" w:eastAsia="宋体" w:cs="仿宋"/>
          <w:color w:val="auto"/>
          <w:kern w:val="0"/>
          <w:sz w:val="24"/>
          <w:highlight w:val="none"/>
          <w:lang w:val="zh-CN"/>
        </w:rPr>
        <w:t>.3使用“</w:t>
      </w:r>
      <w:r>
        <w:rPr>
          <w:rFonts w:hint="eastAsia" w:ascii="宋体" w:hAnsi="宋体" w:cs="仿宋"/>
          <w:color w:val="auto"/>
          <w:kern w:val="0"/>
          <w:sz w:val="24"/>
          <w:highlight w:val="none"/>
          <w:lang w:val="zh-CN"/>
        </w:rPr>
        <w:t>乐采云</w:t>
      </w:r>
      <w:r>
        <w:rPr>
          <w:rFonts w:hint="eastAsia" w:ascii="宋体" w:hAnsi="宋体" w:eastAsia="宋体" w:cs="仿宋"/>
          <w:color w:val="auto"/>
          <w:kern w:val="0"/>
          <w:sz w:val="24"/>
          <w:highlight w:val="none"/>
          <w:lang w:val="zh-CN"/>
        </w:rPr>
        <w:t>电子交易客户端”需要提前申领CA数字证书，申领流程请自行前往“浙江</w:t>
      </w:r>
      <w:r>
        <w:rPr>
          <w:rFonts w:hint="eastAsia" w:ascii="宋体" w:hAnsi="宋体" w:cs="仿宋"/>
          <w:color w:val="auto"/>
          <w:kern w:val="0"/>
          <w:sz w:val="24"/>
          <w:highlight w:val="none"/>
          <w:lang w:val="en-US" w:eastAsia="zh-CN"/>
        </w:rPr>
        <w:t>企业</w:t>
      </w:r>
      <w:r>
        <w:rPr>
          <w:rFonts w:hint="eastAsia" w:ascii="宋体" w:hAnsi="宋体" w:eastAsia="宋体" w:cs="仿宋"/>
          <w:color w:val="auto"/>
          <w:kern w:val="0"/>
          <w:sz w:val="24"/>
          <w:highlight w:val="none"/>
          <w:lang w:val="zh-CN"/>
        </w:rPr>
        <w:t>采购</w:t>
      </w:r>
      <w:r>
        <w:rPr>
          <w:rFonts w:hint="eastAsia" w:ascii="宋体" w:hAnsi="宋体" w:cs="仿宋"/>
          <w:color w:val="auto"/>
          <w:kern w:val="0"/>
          <w:sz w:val="24"/>
          <w:highlight w:val="none"/>
          <w:lang w:val="en-US" w:eastAsia="zh-CN"/>
        </w:rPr>
        <w:t>信息服务</w:t>
      </w:r>
      <w:r>
        <w:rPr>
          <w:rFonts w:hint="eastAsia" w:ascii="宋体" w:hAnsi="宋体" w:eastAsia="宋体" w:cs="仿宋"/>
          <w:color w:val="auto"/>
          <w:kern w:val="0"/>
          <w:sz w:val="24"/>
          <w:highlight w:val="none"/>
          <w:lang w:val="zh-CN"/>
        </w:rPr>
        <w:t>网-下载专区-电子交易客户端-CA驱动和申领流程”进行查阅。</w:t>
      </w:r>
    </w:p>
    <w:p w14:paraId="171A3A88">
      <w:pPr>
        <w:numPr>
          <w:ilvl w:val="0"/>
          <w:numId w:val="1"/>
        </w:numPr>
        <w:shd w:val="clear"/>
        <w:adjustRightInd w:val="0"/>
        <w:snapToGrid w:val="0"/>
        <w:spacing w:before="120" w:beforeLines="50" w:line="360" w:lineRule="auto"/>
        <w:ind w:firstLine="482" w:firstLineChars="200"/>
        <w:jc w:val="left"/>
        <w:outlineLvl w:val="1"/>
        <w:rPr>
          <w:rFonts w:ascii="宋体" w:hAnsi="宋体" w:eastAsia="宋体" w:cs="仿宋"/>
          <w:b/>
          <w:color w:val="auto"/>
          <w:sz w:val="24"/>
          <w:highlight w:val="none"/>
        </w:rPr>
      </w:pPr>
      <w:r>
        <w:rPr>
          <w:rFonts w:hint="eastAsia" w:ascii="宋体" w:hAnsi="宋体" w:eastAsia="宋体" w:cs="仿宋"/>
          <w:b/>
          <w:color w:val="auto"/>
          <w:sz w:val="24"/>
          <w:highlight w:val="none"/>
        </w:rPr>
        <w:t>投标文件的签署、盖章</w:t>
      </w:r>
    </w:p>
    <w:p w14:paraId="0C6C895D">
      <w:pPr>
        <w:pStyle w:val="42"/>
        <w:shd w:val="clear"/>
        <w:snapToGrid w:val="0"/>
        <w:spacing w:before="0"/>
        <w:ind w:firstLine="480"/>
        <w:rPr>
          <w:rFonts w:ascii="宋体" w:hAnsi="宋体" w:eastAsia="宋体" w:cs="仿宋"/>
          <w:b/>
          <w:color w:val="auto"/>
          <w:highlight w:val="none"/>
        </w:rPr>
      </w:pPr>
      <w:r>
        <w:rPr>
          <w:rFonts w:hint="eastAsia" w:ascii="宋体" w:hAnsi="宋体" w:eastAsia="宋体" w:cs="仿宋"/>
          <w:color w:val="auto"/>
          <w:szCs w:val="24"/>
          <w:highlight w:val="none"/>
        </w:rPr>
        <w:t>11.1投标文件按照招标文件第六部分格式要</w:t>
      </w:r>
      <w:r>
        <w:rPr>
          <w:rFonts w:hint="eastAsia" w:ascii="宋体" w:hAnsi="宋体" w:eastAsia="宋体" w:cs="仿宋"/>
          <w:color w:val="auto"/>
          <w:highlight w:val="none"/>
        </w:rPr>
        <w:t>求进行签署、盖章。</w:t>
      </w:r>
      <w:r>
        <w:rPr>
          <w:rFonts w:hint="eastAsia" w:ascii="宋体" w:hAnsi="宋体" w:eastAsia="宋体" w:cs="仿宋"/>
          <w:b/>
          <w:color w:val="auto"/>
          <w:highlight w:val="none"/>
        </w:rPr>
        <w:t>▲供应商的投标文件未按照招标文件要求签署、盖章的，其投标无效</w:t>
      </w:r>
      <w:r>
        <w:rPr>
          <w:rFonts w:hint="eastAsia" w:ascii="宋体" w:hAnsi="宋体" w:eastAsia="宋体" w:cs="仿宋"/>
          <w:color w:val="auto"/>
          <w:szCs w:val="24"/>
          <w:highlight w:val="none"/>
        </w:rPr>
        <w:t>。</w:t>
      </w:r>
    </w:p>
    <w:p w14:paraId="79946BE3">
      <w:pPr>
        <w:pStyle w:val="42"/>
        <w:shd w:val="clear"/>
        <w:snapToGrid w:val="0"/>
        <w:spacing w:before="0"/>
        <w:ind w:firstLine="480"/>
        <w:rPr>
          <w:rFonts w:ascii="宋体" w:hAnsi="宋体" w:eastAsia="宋体" w:cs="仿宋"/>
          <w:color w:val="auto"/>
          <w:highlight w:val="none"/>
        </w:rPr>
      </w:pPr>
      <w:r>
        <w:rPr>
          <w:rFonts w:hint="eastAsia" w:ascii="宋体" w:hAnsi="宋体" w:eastAsia="宋体" w:cs="仿宋"/>
          <w:color w:val="auto"/>
          <w:highlight w:val="none"/>
        </w:rPr>
        <w:t>11.2为确保网上操作合法、有效和安全，</w:t>
      </w:r>
      <w:r>
        <w:rPr>
          <w:rFonts w:hint="eastAsia" w:ascii="宋体" w:hAnsi="宋体" w:eastAsia="宋体" w:cs="仿宋"/>
          <w:color w:val="auto"/>
          <w:kern w:val="0"/>
          <w:highlight w:val="none"/>
          <w:lang w:val="zh-CN"/>
        </w:rPr>
        <w:t>供应商</w:t>
      </w:r>
      <w:r>
        <w:rPr>
          <w:rFonts w:hint="eastAsia" w:ascii="宋体" w:hAnsi="宋体" w:eastAsia="宋体" w:cs="仿宋"/>
          <w:color w:val="auto"/>
          <w:highlight w:val="none"/>
        </w:rPr>
        <w:t>应当在投标截止时间前完成在“</w:t>
      </w:r>
      <w:r>
        <w:rPr>
          <w:rFonts w:hint="eastAsia" w:ascii="宋体" w:hAnsi="宋体" w:cs="仿宋"/>
          <w:color w:val="auto"/>
          <w:highlight w:val="none"/>
          <w:lang w:val="en-US" w:eastAsia="zh-CN"/>
        </w:rPr>
        <w:t>乐采云</w:t>
      </w:r>
      <w:r>
        <w:rPr>
          <w:rFonts w:hint="eastAsia" w:ascii="宋体" w:hAnsi="宋体" w:eastAsia="宋体" w:cs="仿宋"/>
          <w:color w:val="auto"/>
          <w:highlight w:val="none"/>
        </w:rPr>
        <w:t>平台”的身份认证，确保在电子投标过程中能够对相关数据电文进行加密和使用电子签名。</w:t>
      </w:r>
    </w:p>
    <w:p w14:paraId="2D12C8F5">
      <w:pPr>
        <w:pStyle w:val="42"/>
        <w:shd w:val="clear"/>
        <w:snapToGrid w:val="0"/>
        <w:spacing w:before="0"/>
        <w:ind w:firstLine="480"/>
        <w:rPr>
          <w:rFonts w:ascii="宋体" w:hAnsi="宋体" w:eastAsia="宋体" w:cs="仿宋"/>
          <w:color w:val="auto"/>
          <w:szCs w:val="24"/>
          <w:highlight w:val="none"/>
        </w:rPr>
      </w:pPr>
      <w:r>
        <w:rPr>
          <w:rFonts w:hint="eastAsia" w:ascii="宋体" w:hAnsi="宋体" w:eastAsia="宋体" w:cs="仿宋"/>
          <w:color w:val="auto"/>
          <w:highlight w:val="none"/>
        </w:rPr>
        <w:t>11.3招标文件对投标文件签署、盖章的要求适用于电子签名。</w:t>
      </w:r>
    </w:p>
    <w:p w14:paraId="2F912555">
      <w:pPr>
        <w:numPr>
          <w:ilvl w:val="0"/>
          <w:numId w:val="1"/>
        </w:numPr>
        <w:shd w:val="clear"/>
        <w:adjustRightInd w:val="0"/>
        <w:snapToGrid w:val="0"/>
        <w:spacing w:before="120" w:beforeLines="50" w:line="360" w:lineRule="auto"/>
        <w:ind w:firstLine="482" w:firstLineChars="200"/>
        <w:jc w:val="left"/>
        <w:outlineLvl w:val="1"/>
        <w:rPr>
          <w:rFonts w:ascii="宋体" w:hAnsi="宋体" w:eastAsia="宋体" w:cs="仿宋"/>
          <w:b/>
          <w:color w:val="auto"/>
          <w:sz w:val="24"/>
          <w:highlight w:val="none"/>
        </w:rPr>
      </w:pPr>
      <w:r>
        <w:rPr>
          <w:rFonts w:hint="eastAsia" w:ascii="宋体" w:hAnsi="宋体" w:eastAsia="宋体" w:cs="仿宋"/>
          <w:b/>
          <w:color w:val="auto"/>
          <w:sz w:val="24"/>
          <w:highlight w:val="none"/>
        </w:rPr>
        <w:t>投标文件的提交、补充、修改、撤回</w:t>
      </w:r>
    </w:p>
    <w:p w14:paraId="4D52C71F">
      <w:pPr>
        <w:pStyle w:val="42"/>
        <w:shd w:val="clear"/>
        <w:ind w:firstLine="480"/>
        <w:rPr>
          <w:rFonts w:ascii="宋体" w:hAnsi="宋体" w:eastAsia="宋体" w:cs="仿宋"/>
          <w:color w:val="auto"/>
          <w:szCs w:val="24"/>
          <w:highlight w:val="none"/>
        </w:rPr>
      </w:pPr>
      <w:r>
        <w:rPr>
          <w:rFonts w:hint="eastAsia" w:ascii="宋体" w:hAnsi="宋体" w:eastAsia="宋体" w:cs="仿宋"/>
          <w:color w:val="auto"/>
          <w:szCs w:val="24"/>
          <w:highlight w:val="none"/>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97592C4">
      <w:pPr>
        <w:pStyle w:val="42"/>
        <w:shd w:val="clear"/>
        <w:spacing w:before="0"/>
        <w:ind w:firstLine="480"/>
        <w:rPr>
          <w:rFonts w:ascii="宋体" w:hAnsi="宋体" w:eastAsia="宋体" w:cs="仿宋"/>
          <w:color w:val="auto"/>
          <w:szCs w:val="24"/>
          <w:highlight w:val="none"/>
        </w:rPr>
      </w:pPr>
      <w:r>
        <w:rPr>
          <w:rFonts w:hint="eastAsia" w:ascii="宋体" w:hAnsi="宋体" w:eastAsia="宋体" w:cs="仿宋"/>
          <w:color w:val="auto"/>
          <w:szCs w:val="24"/>
          <w:highlight w:val="none"/>
        </w:rPr>
        <w:t>12.2电子交易平台收到投标文件，将妥善保存并即时向供应商发出确认回执通知。在投标截止时间前，除供应商补充、修改或者撤回投标文件外，任何单位和个人不得解密或提取投标文件。</w:t>
      </w:r>
    </w:p>
    <w:p w14:paraId="4B528288">
      <w:pPr>
        <w:pStyle w:val="42"/>
        <w:shd w:val="clear"/>
        <w:spacing w:before="0"/>
        <w:ind w:firstLine="480"/>
        <w:rPr>
          <w:rFonts w:ascii="宋体" w:hAnsi="宋体" w:eastAsia="宋体" w:cs="仿宋"/>
          <w:color w:val="auto"/>
          <w:szCs w:val="24"/>
          <w:highlight w:val="none"/>
        </w:rPr>
      </w:pPr>
      <w:r>
        <w:rPr>
          <w:rFonts w:hint="eastAsia" w:ascii="宋体" w:hAnsi="宋体" w:eastAsia="宋体" w:cs="仿宋"/>
          <w:color w:val="auto"/>
          <w:szCs w:val="24"/>
          <w:highlight w:val="none"/>
        </w:rPr>
        <w:t>12.3采购人、采购代理机构可以视情况延长投标文件提交的截止时间。在上述情况下，采购代理机构与</w:t>
      </w:r>
      <w:r>
        <w:rPr>
          <w:rFonts w:hint="eastAsia" w:ascii="宋体" w:hAnsi="宋体" w:eastAsia="宋体" w:cs="仿宋"/>
          <w:color w:val="auto"/>
          <w:kern w:val="0"/>
          <w:highlight w:val="none"/>
          <w:lang w:val="zh-CN"/>
        </w:rPr>
        <w:t>供应商</w:t>
      </w:r>
      <w:r>
        <w:rPr>
          <w:rFonts w:hint="eastAsia" w:ascii="宋体" w:hAnsi="宋体" w:eastAsia="宋体" w:cs="仿宋"/>
          <w:color w:val="auto"/>
          <w:szCs w:val="24"/>
          <w:highlight w:val="none"/>
        </w:rPr>
        <w:t>以前在投标截止期方面的全部权利、责任和义务，将适用于延长至新的投标截止期。</w:t>
      </w:r>
    </w:p>
    <w:p w14:paraId="1E4670C8">
      <w:pPr>
        <w:numPr>
          <w:ilvl w:val="0"/>
          <w:numId w:val="1"/>
        </w:numPr>
        <w:shd w:val="clear"/>
        <w:adjustRightInd w:val="0"/>
        <w:snapToGrid w:val="0"/>
        <w:spacing w:before="120" w:beforeLines="50" w:line="360" w:lineRule="auto"/>
        <w:ind w:firstLine="482" w:firstLineChars="200"/>
        <w:jc w:val="left"/>
        <w:outlineLvl w:val="1"/>
        <w:rPr>
          <w:rFonts w:ascii="宋体" w:hAnsi="宋体" w:eastAsia="宋体" w:cs="仿宋"/>
          <w:b/>
          <w:color w:val="auto"/>
          <w:sz w:val="24"/>
          <w:highlight w:val="none"/>
        </w:rPr>
      </w:pPr>
      <w:r>
        <w:rPr>
          <w:rFonts w:hint="eastAsia" w:ascii="宋体" w:hAnsi="宋体" w:eastAsia="宋体" w:cs="仿宋"/>
          <w:b/>
          <w:color w:val="auto"/>
          <w:sz w:val="24"/>
          <w:highlight w:val="none"/>
        </w:rPr>
        <w:t>投标有效期</w:t>
      </w:r>
    </w:p>
    <w:p w14:paraId="210A33B3">
      <w:pPr>
        <w:shd w:val="clear"/>
        <w:spacing w:line="360" w:lineRule="auto"/>
        <w:ind w:firstLine="480" w:firstLineChars="200"/>
        <w:rPr>
          <w:rFonts w:ascii="宋体" w:hAnsi="宋体" w:eastAsia="宋体" w:cs="仿宋"/>
          <w:b/>
          <w:color w:val="auto"/>
          <w:sz w:val="24"/>
          <w:szCs w:val="21"/>
          <w:highlight w:val="none"/>
        </w:rPr>
      </w:pPr>
      <w:r>
        <w:rPr>
          <w:rFonts w:hint="eastAsia" w:ascii="宋体" w:hAnsi="宋体" w:eastAsia="宋体" w:cs="仿宋"/>
          <w:color w:val="auto"/>
          <w:sz w:val="24"/>
          <w:szCs w:val="20"/>
          <w:highlight w:val="none"/>
        </w:rPr>
        <w:t>投标有效期为从提交投标文件的截止之日起90天。▲</w:t>
      </w:r>
      <w:r>
        <w:rPr>
          <w:rFonts w:hint="eastAsia" w:ascii="宋体" w:hAnsi="宋体" w:eastAsia="宋体" w:cs="仿宋"/>
          <w:b/>
          <w:color w:val="auto"/>
          <w:sz w:val="24"/>
          <w:szCs w:val="20"/>
          <w:highlight w:val="none"/>
        </w:rPr>
        <w:t>供应商的投标文件中承</w:t>
      </w:r>
      <w:r>
        <w:rPr>
          <w:rFonts w:hint="eastAsia" w:ascii="宋体" w:hAnsi="宋体" w:eastAsia="宋体" w:cs="仿宋"/>
          <w:b/>
          <w:color w:val="auto"/>
          <w:sz w:val="24"/>
          <w:szCs w:val="21"/>
          <w:highlight w:val="none"/>
        </w:rPr>
        <w:t>诺的投标有效期少于招标文件中载明的投标有效期的，投标无效。</w:t>
      </w:r>
    </w:p>
    <w:p w14:paraId="4B614FFE">
      <w:pPr>
        <w:pStyle w:val="42"/>
        <w:shd w:val="clear"/>
        <w:spacing w:before="0"/>
        <w:ind w:firstLine="643"/>
        <w:rPr>
          <w:rFonts w:ascii="宋体" w:hAnsi="宋体" w:eastAsia="宋体" w:cs="仿宋"/>
          <w:b/>
          <w:color w:val="auto"/>
          <w:sz w:val="32"/>
          <w:highlight w:val="none"/>
        </w:rPr>
      </w:pPr>
    </w:p>
    <w:p w14:paraId="2E066A22">
      <w:pPr>
        <w:pStyle w:val="42"/>
        <w:shd w:val="clear"/>
        <w:spacing w:before="0"/>
        <w:ind w:firstLine="1928" w:firstLineChars="600"/>
        <w:rPr>
          <w:rFonts w:ascii="宋体" w:hAnsi="宋体" w:eastAsia="宋体" w:cs="仿宋"/>
          <w:b/>
          <w:color w:val="auto"/>
          <w:sz w:val="32"/>
          <w:highlight w:val="none"/>
        </w:rPr>
      </w:pPr>
      <w:r>
        <w:rPr>
          <w:rFonts w:hint="eastAsia" w:ascii="宋体" w:hAnsi="宋体" w:eastAsia="宋体" w:cs="仿宋"/>
          <w:b/>
          <w:color w:val="auto"/>
          <w:sz w:val="32"/>
          <w:highlight w:val="none"/>
        </w:rPr>
        <w:t>四、开标、资格审查与信用信息查询</w:t>
      </w:r>
    </w:p>
    <w:p w14:paraId="510F1A16">
      <w:pPr>
        <w:numPr>
          <w:ilvl w:val="0"/>
          <w:numId w:val="1"/>
        </w:numPr>
        <w:shd w:val="clear"/>
        <w:adjustRightInd w:val="0"/>
        <w:snapToGrid w:val="0"/>
        <w:spacing w:before="120" w:beforeLines="50" w:line="360" w:lineRule="auto"/>
        <w:ind w:firstLine="482" w:firstLineChars="200"/>
        <w:jc w:val="left"/>
        <w:outlineLvl w:val="1"/>
        <w:rPr>
          <w:rFonts w:ascii="宋体" w:hAnsi="宋体" w:eastAsia="宋体" w:cs="仿宋"/>
          <w:b/>
          <w:color w:val="auto"/>
          <w:sz w:val="24"/>
          <w:highlight w:val="none"/>
        </w:rPr>
      </w:pPr>
      <w:r>
        <w:rPr>
          <w:rFonts w:hint="eastAsia" w:ascii="宋体" w:hAnsi="宋体" w:eastAsia="宋体" w:cs="仿宋"/>
          <w:b/>
          <w:color w:val="auto"/>
          <w:sz w:val="24"/>
          <w:highlight w:val="none"/>
        </w:rPr>
        <w:t xml:space="preserve">开标 </w:t>
      </w:r>
    </w:p>
    <w:p w14:paraId="68AE07FA">
      <w:pPr>
        <w:pStyle w:val="37"/>
        <w:shd w:val="clear"/>
        <w:spacing w:before="0" w:line="360" w:lineRule="auto"/>
        <w:ind w:left="0" w:firstLine="480" w:firstLineChars="200"/>
        <w:contextualSpacing/>
        <w:rPr>
          <w:rFonts w:ascii="宋体" w:hAnsi="宋体" w:eastAsia="宋体" w:cs="仿宋"/>
          <w:color w:val="auto"/>
          <w:sz w:val="24"/>
          <w:highlight w:val="none"/>
        </w:rPr>
      </w:pPr>
      <w:r>
        <w:rPr>
          <w:rFonts w:hint="eastAsia" w:ascii="宋体" w:hAnsi="宋体" w:eastAsia="宋体" w:cs="仿宋"/>
          <w:color w:val="auto"/>
          <w:sz w:val="24"/>
          <w:highlight w:val="none"/>
        </w:rPr>
        <w:t>14.1采购代理机构按照招标文件规定的时间通过电子交易平台组织开标，所有</w:t>
      </w:r>
      <w:r>
        <w:rPr>
          <w:rFonts w:hint="eastAsia" w:ascii="宋体" w:hAnsi="宋体" w:eastAsia="宋体" w:cs="仿宋"/>
          <w:color w:val="auto"/>
          <w:sz w:val="24"/>
          <w:highlight w:val="none"/>
          <w:lang w:val="zh-CN"/>
        </w:rPr>
        <w:t>供应商</w:t>
      </w:r>
      <w:r>
        <w:rPr>
          <w:rFonts w:hint="eastAsia" w:ascii="宋体" w:hAnsi="宋体" w:eastAsia="宋体" w:cs="仿宋"/>
          <w:color w:val="auto"/>
          <w:sz w:val="24"/>
          <w:highlight w:val="none"/>
        </w:rPr>
        <w:t>均应当准时在线参加。</w:t>
      </w:r>
      <w:r>
        <w:rPr>
          <w:rFonts w:hint="eastAsia" w:ascii="宋体" w:hAnsi="宋体" w:eastAsia="宋体" w:cs="仿宋"/>
          <w:color w:val="auto"/>
          <w:sz w:val="24"/>
          <w:highlight w:val="none"/>
          <w:lang w:val="zh-CN"/>
        </w:rPr>
        <w:t>供应商</w:t>
      </w:r>
      <w:r>
        <w:rPr>
          <w:rFonts w:hint="eastAsia" w:ascii="宋体" w:hAnsi="宋体" w:eastAsia="宋体" w:cs="仿宋"/>
          <w:color w:val="auto"/>
          <w:sz w:val="24"/>
          <w:highlight w:val="none"/>
        </w:rPr>
        <w:t>不足3家的，不得开标。</w:t>
      </w:r>
    </w:p>
    <w:p w14:paraId="248B941C">
      <w:pPr>
        <w:pStyle w:val="37"/>
        <w:shd w:val="clear"/>
        <w:spacing w:before="0" w:line="360" w:lineRule="auto"/>
        <w:ind w:left="0" w:firstLine="240" w:firstLineChars="100"/>
        <w:contextualSpacing/>
        <w:rPr>
          <w:rFonts w:ascii="宋体" w:hAnsi="宋体" w:eastAsia="宋体" w:cs="仿宋"/>
          <w:color w:val="auto"/>
          <w:sz w:val="24"/>
          <w:highlight w:val="none"/>
        </w:rPr>
      </w:pPr>
      <w:r>
        <w:rPr>
          <w:rFonts w:hint="eastAsia" w:ascii="宋体" w:hAnsi="宋体" w:eastAsia="宋体" w:cs="仿宋"/>
          <w:color w:val="auto"/>
          <w:sz w:val="24"/>
          <w:highlight w:val="none"/>
        </w:rPr>
        <w:t>　14.2开标时，电子交易平台按开标时间自动提取所有投标文件。采购代理机构依托电子交易平台发起开始解密指令，</w:t>
      </w:r>
      <w:r>
        <w:rPr>
          <w:rFonts w:hint="eastAsia" w:ascii="宋体" w:hAnsi="宋体" w:eastAsia="宋体" w:cs="仿宋"/>
          <w:color w:val="auto"/>
          <w:sz w:val="24"/>
          <w:highlight w:val="none"/>
          <w:lang w:val="zh-CN"/>
        </w:rPr>
        <w:t>供应商</w:t>
      </w:r>
      <w:r>
        <w:rPr>
          <w:rFonts w:hint="eastAsia" w:ascii="宋体" w:hAnsi="宋体" w:eastAsia="宋体" w:cs="仿宋"/>
          <w:color w:val="auto"/>
          <w:sz w:val="24"/>
          <w:highlight w:val="none"/>
        </w:rPr>
        <w:t>按照平台提示和招标文件的规定在半小时内完成在线解密。</w:t>
      </w:r>
    </w:p>
    <w:p w14:paraId="0A301A6F">
      <w:pPr>
        <w:numPr>
          <w:ilvl w:val="0"/>
          <w:numId w:val="1"/>
        </w:numPr>
        <w:shd w:val="clear"/>
        <w:adjustRightInd w:val="0"/>
        <w:snapToGrid w:val="0"/>
        <w:spacing w:before="120" w:beforeLines="50" w:line="360" w:lineRule="auto"/>
        <w:ind w:firstLine="482" w:firstLineChars="200"/>
        <w:jc w:val="left"/>
        <w:outlineLvl w:val="1"/>
        <w:rPr>
          <w:rFonts w:ascii="宋体" w:hAnsi="宋体" w:eastAsia="宋体" w:cs="仿宋"/>
          <w:b/>
          <w:color w:val="auto"/>
          <w:sz w:val="24"/>
          <w:highlight w:val="none"/>
        </w:rPr>
      </w:pPr>
      <w:r>
        <w:rPr>
          <w:rFonts w:hint="eastAsia" w:ascii="宋体" w:hAnsi="宋体" w:eastAsia="宋体" w:cs="仿宋"/>
          <w:b/>
          <w:color w:val="auto"/>
          <w:sz w:val="24"/>
          <w:highlight w:val="none"/>
        </w:rPr>
        <w:t>资格审查</w:t>
      </w:r>
    </w:p>
    <w:p w14:paraId="0A221F50">
      <w:pPr>
        <w:pStyle w:val="42"/>
        <w:shd w:val="clear"/>
        <w:spacing w:before="0"/>
        <w:ind w:firstLine="480"/>
        <w:rPr>
          <w:rFonts w:ascii="宋体" w:hAnsi="宋体" w:eastAsia="宋体" w:cs="仿宋"/>
          <w:color w:val="auto"/>
          <w:kern w:val="0"/>
          <w:szCs w:val="24"/>
          <w:highlight w:val="none"/>
        </w:rPr>
      </w:pPr>
      <w:r>
        <w:rPr>
          <w:rFonts w:hint="eastAsia" w:ascii="宋体" w:hAnsi="宋体" w:eastAsia="宋体" w:cs="仿宋"/>
          <w:color w:val="auto"/>
          <w:kern w:val="0"/>
          <w:szCs w:val="24"/>
          <w:highlight w:val="none"/>
        </w:rPr>
        <w:t>15.1开标后，采购人或采购代理机构依据法律法规和招标文件的规定，对供应商的资格条件进行审查。</w:t>
      </w:r>
    </w:p>
    <w:p w14:paraId="61905E52">
      <w:pPr>
        <w:pStyle w:val="42"/>
        <w:shd w:val="clear"/>
        <w:spacing w:before="0"/>
        <w:ind w:firstLine="480"/>
        <w:rPr>
          <w:rFonts w:ascii="宋体" w:hAnsi="宋体" w:eastAsia="宋体" w:cs="仿宋"/>
          <w:color w:val="auto"/>
          <w:highlight w:val="none"/>
        </w:rPr>
      </w:pPr>
      <w:r>
        <w:rPr>
          <w:rFonts w:hint="eastAsia" w:ascii="宋体" w:hAnsi="宋体" w:eastAsia="宋体" w:cs="仿宋"/>
          <w:color w:val="auto"/>
          <w:kern w:val="0"/>
          <w:szCs w:val="24"/>
          <w:highlight w:val="none"/>
        </w:rPr>
        <w:t>15.</w:t>
      </w:r>
      <w:r>
        <w:rPr>
          <w:rFonts w:hint="eastAsia" w:ascii="宋体" w:hAnsi="宋体" w:eastAsia="宋体" w:cs="仿宋"/>
          <w:color w:val="auto"/>
          <w:highlight w:val="none"/>
        </w:rPr>
        <w:t>2对未通过资格审查的供应商，采购人或采购代理机构告知其未通过的原因。</w:t>
      </w:r>
    </w:p>
    <w:p w14:paraId="34ACD87C">
      <w:pPr>
        <w:pStyle w:val="42"/>
        <w:shd w:val="clear"/>
        <w:spacing w:before="0"/>
        <w:ind w:firstLine="480"/>
        <w:rPr>
          <w:rFonts w:ascii="宋体" w:hAnsi="宋体" w:eastAsia="宋体" w:cs="仿宋"/>
          <w:color w:val="auto"/>
          <w:highlight w:val="none"/>
        </w:rPr>
      </w:pPr>
      <w:r>
        <w:rPr>
          <w:rFonts w:hint="eastAsia" w:ascii="宋体" w:hAnsi="宋体" w:eastAsia="宋体" w:cs="仿宋"/>
          <w:color w:val="auto"/>
          <w:kern w:val="0"/>
          <w:szCs w:val="24"/>
          <w:highlight w:val="none"/>
        </w:rPr>
        <w:t>15.</w:t>
      </w:r>
      <w:r>
        <w:rPr>
          <w:rFonts w:hint="eastAsia" w:ascii="宋体" w:hAnsi="宋体" w:eastAsia="宋体" w:cs="仿宋"/>
          <w:color w:val="auto"/>
          <w:highlight w:val="none"/>
        </w:rPr>
        <w:t>3合格供应商不足3家的，不再评标。</w:t>
      </w:r>
    </w:p>
    <w:p w14:paraId="0C739D74">
      <w:pPr>
        <w:numPr>
          <w:ilvl w:val="0"/>
          <w:numId w:val="1"/>
        </w:numPr>
        <w:shd w:val="clear"/>
        <w:adjustRightInd w:val="0"/>
        <w:snapToGrid w:val="0"/>
        <w:spacing w:before="120" w:beforeLines="50" w:line="360" w:lineRule="auto"/>
        <w:ind w:firstLine="482" w:firstLineChars="200"/>
        <w:jc w:val="left"/>
        <w:outlineLvl w:val="1"/>
        <w:rPr>
          <w:rFonts w:ascii="宋体" w:hAnsi="宋体" w:eastAsia="宋体" w:cs="仿宋"/>
          <w:b/>
          <w:color w:val="auto"/>
          <w:sz w:val="24"/>
          <w:highlight w:val="none"/>
        </w:rPr>
      </w:pPr>
      <w:r>
        <w:rPr>
          <w:rFonts w:hint="eastAsia" w:ascii="宋体" w:hAnsi="宋体" w:eastAsia="宋体" w:cs="仿宋"/>
          <w:b/>
          <w:color w:val="auto"/>
          <w:sz w:val="24"/>
          <w:highlight w:val="none"/>
        </w:rPr>
        <w:t>信用信息查询</w:t>
      </w:r>
    </w:p>
    <w:p w14:paraId="319931C6">
      <w:pPr>
        <w:pStyle w:val="42"/>
        <w:shd w:val="clear"/>
        <w:spacing w:before="0"/>
        <w:ind w:firstLine="495" w:firstLineChars="0"/>
        <w:rPr>
          <w:rFonts w:ascii="宋体" w:hAnsi="宋体" w:eastAsia="宋体" w:cs="仿宋"/>
          <w:color w:val="auto"/>
          <w:kern w:val="0"/>
          <w:szCs w:val="24"/>
          <w:highlight w:val="none"/>
        </w:rPr>
      </w:pPr>
      <w:r>
        <w:rPr>
          <w:rFonts w:hint="eastAsia" w:ascii="宋体" w:hAnsi="宋体" w:eastAsia="宋体" w:cs="仿宋"/>
          <w:color w:val="auto"/>
          <w:kern w:val="0"/>
          <w:szCs w:val="24"/>
          <w:highlight w:val="none"/>
        </w:rPr>
        <w:t>16.1信用信息查询渠道及截止时间：采购代理机构将通过“信用中国”网站(www.creditchina.gov.cn)、中国政府采购网(www.ccgp.gov.cn)渠道查询供应商投标截止时间当天的信用记录。</w:t>
      </w:r>
    </w:p>
    <w:p w14:paraId="5C3EA0DD">
      <w:pPr>
        <w:pStyle w:val="42"/>
        <w:shd w:val="clear"/>
        <w:spacing w:before="0"/>
        <w:ind w:firstLine="495" w:firstLineChars="0"/>
        <w:rPr>
          <w:rFonts w:ascii="宋体" w:hAnsi="宋体" w:eastAsia="宋体" w:cs="仿宋"/>
          <w:color w:val="auto"/>
          <w:kern w:val="0"/>
          <w:szCs w:val="24"/>
          <w:highlight w:val="none"/>
        </w:rPr>
      </w:pPr>
      <w:r>
        <w:rPr>
          <w:rFonts w:hint="eastAsia" w:ascii="宋体" w:hAnsi="宋体" w:eastAsia="宋体" w:cs="仿宋"/>
          <w:color w:val="auto"/>
          <w:kern w:val="0"/>
          <w:szCs w:val="24"/>
          <w:highlight w:val="none"/>
        </w:rPr>
        <w:t>16.2信用信息的使用规则：经查询列入失信被执行人名单、</w:t>
      </w:r>
      <w:r>
        <w:rPr>
          <w:rFonts w:hint="eastAsia" w:ascii="宋体" w:hAnsi="宋体" w:cs="仿宋"/>
          <w:color w:val="auto"/>
          <w:kern w:val="0"/>
          <w:szCs w:val="24"/>
          <w:highlight w:val="none"/>
          <w:lang w:eastAsia="zh-CN"/>
        </w:rPr>
        <w:t>重大税收违法失信主体</w:t>
      </w:r>
      <w:r>
        <w:rPr>
          <w:rFonts w:hint="eastAsia" w:ascii="宋体" w:hAnsi="宋体" w:eastAsia="宋体" w:cs="仿宋"/>
          <w:color w:val="auto"/>
          <w:kern w:val="0"/>
          <w:szCs w:val="24"/>
          <w:highlight w:val="none"/>
        </w:rPr>
        <w:t>、政府采购严重违法失信行为记录名单的</w:t>
      </w:r>
      <w:r>
        <w:rPr>
          <w:rFonts w:hint="eastAsia" w:ascii="宋体" w:hAnsi="宋体" w:eastAsia="宋体" w:cs="仿宋"/>
          <w:color w:val="auto"/>
          <w:kern w:val="0"/>
          <w:highlight w:val="none"/>
          <w:lang w:val="zh-CN"/>
        </w:rPr>
        <w:t>供应商</w:t>
      </w:r>
      <w:r>
        <w:rPr>
          <w:rFonts w:hint="eastAsia" w:ascii="宋体" w:hAnsi="宋体" w:eastAsia="宋体" w:cs="仿宋"/>
          <w:color w:val="auto"/>
          <w:kern w:val="0"/>
          <w:szCs w:val="24"/>
          <w:highlight w:val="none"/>
        </w:rPr>
        <w:t>将被拒绝参与政府采购活动。</w:t>
      </w:r>
    </w:p>
    <w:p w14:paraId="4DB96B21">
      <w:pPr>
        <w:pStyle w:val="42"/>
        <w:shd w:val="clear"/>
        <w:spacing w:before="0"/>
        <w:ind w:firstLine="480"/>
        <w:rPr>
          <w:rFonts w:ascii="宋体" w:hAnsi="宋体" w:eastAsia="宋体" w:cs="仿宋"/>
          <w:b/>
          <w:color w:val="auto"/>
          <w:sz w:val="36"/>
          <w:szCs w:val="36"/>
          <w:highlight w:val="none"/>
        </w:rPr>
      </w:pPr>
      <w:r>
        <w:rPr>
          <w:rFonts w:hint="eastAsia" w:ascii="宋体" w:hAnsi="宋体" w:eastAsia="宋体" w:cs="仿宋"/>
          <w:color w:val="auto"/>
          <w:kern w:val="0"/>
          <w:szCs w:val="24"/>
          <w:highlight w:val="none"/>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仿宋"/>
          <w:color w:val="auto"/>
          <w:highlight w:val="none"/>
        </w:rPr>
        <w:t>。</w:t>
      </w:r>
    </w:p>
    <w:p w14:paraId="17AD4C6A">
      <w:pPr>
        <w:shd w:val="clear"/>
        <w:snapToGrid w:val="0"/>
        <w:spacing w:line="360" w:lineRule="auto"/>
        <w:jc w:val="center"/>
        <w:outlineLvl w:val="0"/>
        <w:rPr>
          <w:rFonts w:ascii="宋体" w:hAnsi="宋体" w:eastAsia="宋体" w:cs="仿宋"/>
          <w:b/>
          <w:color w:val="auto"/>
          <w:sz w:val="36"/>
          <w:szCs w:val="36"/>
          <w:highlight w:val="none"/>
        </w:rPr>
      </w:pPr>
      <w:r>
        <w:rPr>
          <w:rFonts w:hint="eastAsia" w:ascii="宋体" w:hAnsi="宋体" w:eastAsia="宋体" w:cs="仿宋"/>
          <w:b/>
          <w:color w:val="auto"/>
          <w:sz w:val="36"/>
          <w:szCs w:val="36"/>
          <w:highlight w:val="none"/>
        </w:rPr>
        <w:t>五、评标</w:t>
      </w:r>
    </w:p>
    <w:p w14:paraId="766F9D9F">
      <w:pPr>
        <w:numPr>
          <w:ilvl w:val="0"/>
          <w:numId w:val="1"/>
        </w:numPr>
        <w:shd w:val="clear"/>
        <w:adjustRightInd w:val="0"/>
        <w:snapToGrid w:val="0"/>
        <w:spacing w:before="120" w:beforeLines="50" w:line="360" w:lineRule="auto"/>
        <w:ind w:firstLine="482" w:firstLineChars="200"/>
        <w:jc w:val="left"/>
        <w:outlineLvl w:val="1"/>
        <w:rPr>
          <w:rFonts w:ascii="宋体" w:hAnsi="宋体" w:eastAsia="宋体" w:cs="仿宋"/>
          <w:b/>
          <w:color w:val="auto"/>
          <w:sz w:val="24"/>
          <w:highlight w:val="none"/>
        </w:rPr>
      </w:pPr>
      <w:r>
        <w:rPr>
          <w:rFonts w:hint="eastAsia" w:ascii="宋体" w:hAnsi="宋体" w:eastAsia="宋体" w:cs="仿宋"/>
          <w:b/>
          <w:color w:val="auto"/>
          <w:sz w:val="24"/>
          <w:highlight w:val="none"/>
        </w:rPr>
        <w:t>评标委员会</w:t>
      </w:r>
    </w:p>
    <w:p w14:paraId="5E4A2C52">
      <w:pPr>
        <w:pStyle w:val="42"/>
        <w:shd w:val="clear"/>
        <w:spacing w:before="0"/>
        <w:ind w:firstLine="480"/>
        <w:rPr>
          <w:rFonts w:ascii="宋体" w:hAnsi="宋体" w:eastAsia="宋体" w:cs="仿宋"/>
          <w:color w:val="auto"/>
          <w:kern w:val="0"/>
          <w:szCs w:val="24"/>
          <w:highlight w:val="none"/>
        </w:rPr>
      </w:pPr>
      <w:r>
        <w:rPr>
          <w:rFonts w:hint="eastAsia" w:ascii="宋体" w:hAnsi="宋体" w:eastAsia="宋体" w:cs="仿宋"/>
          <w:color w:val="auto"/>
          <w:kern w:val="0"/>
          <w:szCs w:val="24"/>
          <w:highlight w:val="none"/>
        </w:rPr>
        <w:t>17.1 本次招标依法组建评标委员会。评标委员会由采购人代表和评审专家组成，评审专家从专家库随机抽取。</w:t>
      </w:r>
    </w:p>
    <w:p w14:paraId="67A49200">
      <w:pPr>
        <w:pStyle w:val="42"/>
        <w:shd w:val="clear"/>
        <w:spacing w:before="0"/>
        <w:ind w:firstLine="480"/>
        <w:rPr>
          <w:rFonts w:ascii="宋体" w:hAnsi="宋体" w:eastAsia="宋体" w:cs="仿宋"/>
          <w:color w:val="auto"/>
          <w:kern w:val="0"/>
          <w:szCs w:val="24"/>
          <w:highlight w:val="none"/>
        </w:rPr>
      </w:pPr>
      <w:r>
        <w:rPr>
          <w:rFonts w:hint="eastAsia" w:ascii="宋体" w:hAnsi="宋体" w:eastAsia="宋体" w:cs="仿宋"/>
          <w:color w:val="auto"/>
          <w:kern w:val="0"/>
          <w:szCs w:val="24"/>
          <w:highlight w:val="none"/>
        </w:rPr>
        <w:t>17.2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12DDF954">
      <w:pPr>
        <w:pStyle w:val="42"/>
        <w:shd w:val="clear"/>
        <w:spacing w:before="0"/>
        <w:ind w:firstLine="480"/>
        <w:rPr>
          <w:rFonts w:ascii="宋体" w:hAnsi="宋体" w:eastAsia="宋体" w:cs="仿宋"/>
          <w:color w:val="auto"/>
          <w:kern w:val="0"/>
          <w:szCs w:val="24"/>
          <w:highlight w:val="none"/>
        </w:rPr>
      </w:pPr>
      <w:r>
        <w:rPr>
          <w:rFonts w:hint="eastAsia" w:ascii="宋体" w:hAnsi="宋体" w:eastAsia="宋体" w:cs="仿宋"/>
          <w:color w:val="auto"/>
          <w:kern w:val="0"/>
          <w:szCs w:val="24"/>
          <w:highlight w:val="none"/>
        </w:rPr>
        <w:t>17.3 评审专家有下列情形之一的，受到邀请应主动提出回避，采购当事人也可以要求该评审专家回避：</w:t>
      </w:r>
    </w:p>
    <w:p w14:paraId="5D8EDC9C">
      <w:pPr>
        <w:pStyle w:val="42"/>
        <w:shd w:val="clear"/>
        <w:spacing w:before="0"/>
        <w:ind w:firstLine="480"/>
        <w:rPr>
          <w:rFonts w:ascii="宋体" w:hAnsi="宋体" w:eastAsia="宋体" w:cs="仿宋"/>
          <w:color w:val="auto"/>
          <w:kern w:val="0"/>
          <w:szCs w:val="24"/>
          <w:highlight w:val="none"/>
        </w:rPr>
      </w:pPr>
      <w:r>
        <w:rPr>
          <w:rFonts w:hint="eastAsia" w:ascii="宋体" w:hAnsi="宋体" w:eastAsia="宋体" w:cs="仿宋"/>
          <w:color w:val="auto"/>
          <w:kern w:val="0"/>
          <w:szCs w:val="24"/>
          <w:highlight w:val="none"/>
        </w:rPr>
        <w:t>17.3.1 参加采购活动前三年内，与供应商存在劳动关系，或者担任过供应商的董事、监事，或者是供应商的控股股东或实际控制人；</w:t>
      </w:r>
    </w:p>
    <w:p w14:paraId="2CACCABA">
      <w:pPr>
        <w:pStyle w:val="42"/>
        <w:shd w:val="clear"/>
        <w:spacing w:before="0"/>
        <w:ind w:firstLine="480"/>
        <w:rPr>
          <w:rFonts w:ascii="宋体" w:hAnsi="宋体" w:eastAsia="宋体" w:cs="仿宋"/>
          <w:color w:val="auto"/>
          <w:kern w:val="0"/>
          <w:szCs w:val="24"/>
          <w:highlight w:val="none"/>
        </w:rPr>
      </w:pPr>
      <w:r>
        <w:rPr>
          <w:rFonts w:hint="eastAsia" w:ascii="宋体" w:hAnsi="宋体" w:eastAsia="宋体" w:cs="仿宋"/>
          <w:color w:val="auto"/>
          <w:kern w:val="0"/>
          <w:szCs w:val="24"/>
          <w:highlight w:val="none"/>
        </w:rPr>
        <w:t>17.3.2 与供应商的法定代表人或者负责人有夫妻、直系血亲、三代以内旁系血亲或者近姻亲关系；</w:t>
      </w:r>
    </w:p>
    <w:p w14:paraId="4855CD11">
      <w:pPr>
        <w:pStyle w:val="42"/>
        <w:shd w:val="clear"/>
        <w:spacing w:before="0"/>
        <w:ind w:firstLine="480"/>
        <w:rPr>
          <w:rFonts w:ascii="宋体" w:hAnsi="宋体" w:eastAsia="宋体" w:cs="仿宋"/>
          <w:color w:val="auto"/>
          <w:kern w:val="0"/>
          <w:szCs w:val="24"/>
          <w:highlight w:val="none"/>
        </w:rPr>
      </w:pPr>
      <w:r>
        <w:rPr>
          <w:rFonts w:hint="eastAsia" w:ascii="宋体" w:hAnsi="宋体" w:eastAsia="宋体" w:cs="仿宋"/>
          <w:color w:val="auto"/>
          <w:kern w:val="0"/>
          <w:szCs w:val="24"/>
          <w:highlight w:val="none"/>
        </w:rPr>
        <w:t>17.3.3 任职单位与参加该采购项目供应商存在行政隶属关系；</w:t>
      </w:r>
    </w:p>
    <w:p w14:paraId="5AB4F1C6">
      <w:pPr>
        <w:pStyle w:val="42"/>
        <w:shd w:val="clear"/>
        <w:spacing w:before="0"/>
        <w:ind w:firstLine="480"/>
        <w:rPr>
          <w:rFonts w:ascii="宋体" w:hAnsi="宋体" w:eastAsia="宋体" w:cs="仿宋"/>
          <w:color w:val="auto"/>
          <w:kern w:val="0"/>
          <w:szCs w:val="24"/>
          <w:highlight w:val="none"/>
        </w:rPr>
      </w:pPr>
      <w:r>
        <w:rPr>
          <w:rFonts w:hint="eastAsia" w:ascii="宋体" w:hAnsi="宋体" w:eastAsia="宋体" w:cs="仿宋"/>
          <w:color w:val="auto"/>
          <w:kern w:val="0"/>
          <w:szCs w:val="24"/>
          <w:highlight w:val="none"/>
        </w:rPr>
        <w:t>17.3.4 曾经参加过该采购项目的进口产品或招标文件、采购需求、采购方式的论证和咨询服务工作；</w:t>
      </w:r>
    </w:p>
    <w:p w14:paraId="7D98D71C">
      <w:pPr>
        <w:pStyle w:val="42"/>
        <w:shd w:val="clear"/>
        <w:spacing w:before="0"/>
        <w:ind w:firstLine="480"/>
        <w:rPr>
          <w:rFonts w:ascii="宋体" w:hAnsi="宋体" w:eastAsia="宋体" w:cs="仿宋"/>
          <w:color w:val="auto"/>
          <w:kern w:val="0"/>
          <w:szCs w:val="24"/>
          <w:highlight w:val="none"/>
        </w:rPr>
      </w:pPr>
      <w:r>
        <w:rPr>
          <w:rFonts w:hint="eastAsia" w:ascii="宋体" w:hAnsi="宋体" w:eastAsia="宋体" w:cs="仿宋"/>
          <w:color w:val="auto"/>
          <w:kern w:val="0"/>
          <w:szCs w:val="24"/>
          <w:highlight w:val="none"/>
        </w:rPr>
        <w:t>17.3.5 是参加该采购项目供应商的上级主管部门、控股或参股单位的工作人员，或与该供应商存在其他经济利益关系；</w:t>
      </w:r>
    </w:p>
    <w:p w14:paraId="68F12B4E">
      <w:pPr>
        <w:pStyle w:val="42"/>
        <w:shd w:val="clear"/>
        <w:spacing w:before="0"/>
        <w:ind w:firstLine="480"/>
        <w:rPr>
          <w:rFonts w:ascii="宋体" w:hAnsi="宋体" w:eastAsia="宋体" w:cs="仿宋"/>
          <w:color w:val="auto"/>
          <w:kern w:val="0"/>
          <w:szCs w:val="24"/>
          <w:highlight w:val="none"/>
        </w:rPr>
      </w:pPr>
      <w:r>
        <w:rPr>
          <w:rFonts w:hint="eastAsia" w:ascii="宋体" w:hAnsi="宋体" w:eastAsia="宋体" w:cs="仿宋"/>
          <w:color w:val="auto"/>
          <w:kern w:val="0"/>
          <w:szCs w:val="24"/>
          <w:highlight w:val="none"/>
        </w:rPr>
        <w:t>17.3.6 评标委员会成员之间具有配偶、近亲属关系等；</w:t>
      </w:r>
    </w:p>
    <w:p w14:paraId="021DA8EC">
      <w:pPr>
        <w:pStyle w:val="42"/>
        <w:shd w:val="clear"/>
        <w:spacing w:before="0"/>
        <w:ind w:firstLine="480"/>
        <w:rPr>
          <w:rFonts w:ascii="宋体" w:hAnsi="宋体" w:eastAsia="宋体" w:cs="仿宋"/>
          <w:color w:val="auto"/>
          <w:kern w:val="0"/>
          <w:szCs w:val="24"/>
          <w:highlight w:val="none"/>
        </w:rPr>
      </w:pPr>
      <w:r>
        <w:rPr>
          <w:rFonts w:hint="eastAsia" w:ascii="宋体" w:hAnsi="宋体" w:eastAsia="宋体" w:cs="仿宋"/>
          <w:color w:val="auto"/>
          <w:kern w:val="0"/>
          <w:szCs w:val="24"/>
          <w:highlight w:val="none"/>
        </w:rPr>
        <w:t>17.3.7 法律、法规、规章规定应当回避以及其他可能影响政府采购活动公平、公正进行的关系。</w:t>
      </w:r>
    </w:p>
    <w:p w14:paraId="47FB0272">
      <w:pPr>
        <w:pStyle w:val="42"/>
        <w:shd w:val="clear"/>
        <w:spacing w:before="0"/>
        <w:ind w:firstLine="480"/>
        <w:rPr>
          <w:rFonts w:ascii="宋体" w:hAnsi="宋体" w:eastAsia="宋体" w:cs="仿宋"/>
          <w:color w:val="auto"/>
          <w:kern w:val="0"/>
          <w:szCs w:val="24"/>
          <w:highlight w:val="none"/>
        </w:rPr>
      </w:pPr>
      <w:r>
        <w:rPr>
          <w:rFonts w:hint="eastAsia" w:ascii="宋体" w:hAnsi="宋体" w:eastAsia="宋体" w:cs="仿宋"/>
          <w:color w:val="auto"/>
          <w:kern w:val="0"/>
          <w:szCs w:val="24"/>
          <w:highlight w:val="none"/>
        </w:rPr>
        <w:t>17.4 评标委员会判断投标文件的有效性、合格性和响应情况，仅依据投标人所递交一切文件的真实表述，不受与本项目无直接关联的外部信息、传言而影响自身的专业判断。</w:t>
      </w:r>
    </w:p>
    <w:p w14:paraId="6D0DDC2D">
      <w:pPr>
        <w:pStyle w:val="42"/>
        <w:shd w:val="clear"/>
        <w:spacing w:before="0"/>
        <w:ind w:firstLine="480"/>
        <w:rPr>
          <w:rFonts w:ascii="宋体" w:hAnsi="宋体" w:eastAsia="宋体"/>
          <w:color w:val="auto"/>
          <w:highlight w:val="none"/>
        </w:rPr>
      </w:pPr>
      <w:r>
        <w:rPr>
          <w:rFonts w:hint="eastAsia" w:ascii="宋体" w:hAnsi="宋体" w:eastAsia="宋体" w:cs="仿宋"/>
          <w:color w:val="auto"/>
          <w:kern w:val="0"/>
          <w:szCs w:val="24"/>
          <w:highlight w:val="none"/>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1635225D">
      <w:pPr>
        <w:numPr>
          <w:ilvl w:val="0"/>
          <w:numId w:val="1"/>
        </w:numPr>
        <w:shd w:val="clear"/>
        <w:adjustRightInd w:val="0"/>
        <w:snapToGrid w:val="0"/>
        <w:spacing w:before="120" w:beforeLines="50" w:line="360" w:lineRule="auto"/>
        <w:ind w:firstLine="482" w:firstLineChars="200"/>
        <w:jc w:val="left"/>
        <w:outlineLvl w:val="1"/>
        <w:rPr>
          <w:rFonts w:ascii="宋体" w:hAnsi="宋体" w:eastAsia="宋体" w:cs="仿宋"/>
          <w:b/>
          <w:color w:val="auto"/>
          <w:sz w:val="24"/>
          <w:highlight w:val="none"/>
        </w:rPr>
      </w:pPr>
      <w:r>
        <w:rPr>
          <w:rFonts w:hint="eastAsia" w:ascii="宋体" w:hAnsi="宋体" w:eastAsia="宋体" w:cs="仿宋"/>
          <w:b/>
          <w:color w:val="auto"/>
          <w:sz w:val="24"/>
          <w:highlight w:val="none"/>
        </w:rPr>
        <w:t>评标</w:t>
      </w:r>
    </w:p>
    <w:p w14:paraId="07C20145">
      <w:pPr>
        <w:pStyle w:val="42"/>
        <w:shd w:val="clear"/>
        <w:spacing w:before="0"/>
        <w:ind w:firstLine="480"/>
        <w:rPr>
          <w:rFonts w:ascii="宋体" w:hAnsi="宋体" w:eastAsia="宋体" w:cs="仿宋"/>
          <w:color w:val="auto"/>
          <w:kern w:val="0"/>
          <w:szCs w:val="24"/>
          <w:highlight w:val="none"/>
        </w:rPr>
      </w:pPr>
      <w:r>
        <w:rPr>
          <w:rFonts w:hint="eastAsia" w:ascii="宋体" w:hAnsi="宋体" w:eastAsia="宋体" w:cs="仿宋"/>
          <w:color w:val="auto"/>
          <w:kern w:val="0"/>
          <w:szCs w:val="24"/>
          <w:highlight w:val="none"/>
        </w:rPr>
        <w:t>评标委员会将根据招标文件和有关规定，履行评标工作职责，并按照评标方法及评分标准，全面衡量各</w:t>
      </w:r>
      <w:r>
        <w:rPr>
          <w:rFonts w:hint="eastAsia" w:ascii="宋体" w:hAnsi="宋体" w:eastAsia="宋体" w:cs="仿宋"/>
          <w:color w:val="auto"/>
          <w:kern w:val="0"/>
          <w:highlight w:val="none"/>
          <w:lang w:val="zh-CN"/>
        </w:rPr>
        <w:t>供应商</w:t>
      </w:r>
      <w:r>
        <w:rPr>
          <w:rFonts w:hint="eastAsia" w:ascii="宋体" w:hAnsi="宋体" w:eastAsia="宋体" w:cs="仿宋"/>
          <w:color w:val="auto"/>
          <w:kern w:val="0"/>
          <w:szCs w:val="24"/>
          <w:highlight w:val="none"/>
        </w:rPr>
        <w:t>对招标文件的响应情况。对实质上响应招标文件的</w:t>
      </w:r>
      <w:r>
        <w:rPr>
          <w:rFonts w:hint="eastAsia" w:ascii="宋体" w:hAnsi="宋体" w:eastAsia="宋体" w:cs="仿宋"/>
          <w:color w:val="auto"/>
          <w:kern w:val="0"/>
          <w:highlight w:val="none"/>
          <w:lang w:val="zh-CN"/>
        </w:rPr>
        <w:t>供应商</w:t>
      </w:r>
      <w:r>
        <w:rPr>
          <w:rFonts w:hint="eastAsia" w:ascii="宋体" w:hAnsi="宋体" w:eastAsia="宋体" w:cs="仿宋"/>
          <w:color w:val="auto"/>
          <w:kern w:val="0"/>
          <w:szCs w:val="24"/>
          <w:highlight w:val="none"/>
        </w:rPr>
        <w:t>，按照评审因素的量化指标推荐综合得分排名第一的为中标候选人。</w:t>
      </w:r>
    </w:p>
    <w:p w14:paraId="14336E68">
      <w:pPr>
        <w:pStyle w:val="42"/>
        <w:shd w:val="clear"/>
        <w:spacing w:before="0"/>
        <w:ind w:firstLine="480"/>
        <w:rPr>
          <w:rFonts w:ascii="宋体" w:hAnsi="宋体" w:eastAsia="宋体" w:cs="仿宋"/>
          <w:color w:val="auto"/>
          <w:kern w:val="0"/>
          <w:szCs w:val="24"/>
          <w:highlight w:val="none"/>
        </w:rPr>
      </w:pPr>
      <w:r>
        <w:rPr>
          <w:rFonts w:hint="eastAsia" w:ascii="宋体" w:hAnsi="宋体" w:eastAsia="宋体" w:cs="仿宋"/>
          <w:color w:val="auto"/>
          <w:kern w:val="0"/>
          <w:szCs w:val="24"/>
          <w:highlight w:val="none"/>
        </w:rPr>
        <w:t>得分相同的，按投标报价由低到高顺序排列。得分且投标报价相同的，投标文件满足招标文件全部实质性要求，且按照评审因素的量化指标评审得分最高的</w:t>
      </w:r>
      <w:r>
        <w:rPr>
          <w:rFonts w:hint="eastAsia" w:ascii="宋体" w:hAnsi="宋体" w:eastAsia="宋体" w:cs="仿宋"/>
          <w:color w:val="auto"/>
          <w:kern w:val="0"/>
          <w:highlight w:val="none"/>
          <w:lang w:val="zh-CN"/>
        </w:rPr>
        <w:t>供应商</w:t>
      </w:r>
      <w:r>
        <w:rPr>
          <w:rFonts w:hint="eastAsia" w:ascii="宋体" w:hAnsi="宋体" w:eastAsia="宋体" w:cs="仿宋"/>
          <w:color w:val="auto"/>
          <w:kern w:val="0"/>
          <w:szCs w:val="24"/>
          <w:highlight w:val="none"/>
        </w:rPr>
        <w:t>为排名第一的中标候选人。</w:t>
      </w:r>
    </w:p>
    <w:p w14:paraId="1FF4A866">
      <w:pPr>
        <w:pStyle w:val="42"/>
        <w:shd w:val="clear"/>
        <w:spacing w:before="0"/>
        <w:ind w:firstLine="480"/>
        <w:rPr>
          <w:rFonts w:ascii="宋体" w:hAnsi="宋体" w:eastAsia="宋体" w:cs="仿宋"/>
          <w:color w:val="auto"/>
          <w:kern w:val="0"/>
          <w:szCs w:val="24"/>
          <w:highlight w:val="none"/>
        </w:rPr>
      </w:pPr>
      <w:r>
        <w:rPr>
          <w:rFonts w:hint="eastAsia" w:ascii="宋体" w:hAnsi="宋体" w:eastAsia="宋体" w:cs="仿宋"/>
          <w:color w:val="auto"/>
          <w:kern w:val="0"/>
          <w:szCs w:val="24"/>
          <w:highlight w:val="none"/>
        </w:rPr>
        <w:t>详见招标文件第四部分评标办法。</w:t>
      </w:r>
    </w:p>
    <w:p w14:paraId="18FC774C">
      <w:pPr>
        <w:shd w:val="clear"/>
        <w:spacing w:line="360" w:lineRule="auto"/>
        <w:rPr>
          <w:rFonts w:ascii="宋体" w:hAnsi="宋体" w:eastAsia="宋体" w:cs="仿宋"/>
          <w:b/>
          <w:color w:val="auto"/>
          <w:sz w:val="24"/>
          <w:highlight w:val="none"/>
        </w:rPr>
      </w:pPr>
    </w:p>
    <w:p w14:paraId="312BE4E7">
      <w:pPr>
        <w:shd w:val="clear"/>
        <w:snapToGrid w:val="0"/>
        <w:spacing w:line="360" w:lineRule="auto"/>
        <w:jc w:val="center"/>
        <w:outlineLvl w:val="0"/>
        <w:rPr>
          <w:rFonts w:ascii="宋体" w:hAnsi="宋体" w:eastAsia="宋体" w:cs="仿宋"/>
          <w:b/>
          <w:color w:val="auto"/>
          <w:sz w:val="36"/>
          <w:szCs w:val="36"/>
          <w:highlight w:val="none"/>
        </w:rPr>
      </w:pPr>
      <w:r>
        <w:rPr>
          <w:rFonts w:hint="eastAsia" w:ascii="宋体" w:hAnsi="宋体" w:eastAsia="宋体" w:cs="仿宋"/>
          <w:b/>
          <w:color w:val="auto"/>
          <w:sz w:val="36"/>
          <w:szCs w:val="36"/>
          <w:highlight w:val="none"/>
        </w:rPr>
        <w:t>六、定 标</w:t>
      </w:r>
    </w:p>
    <w:p w14:paraId="7AF24A5A">
      <w:pPr>
        <w:numPr>
          <w:ilvl w:val="0"/>
          <w:numId w:val="1"/>
        </w:numPr>
        <w:shd w:val="clear"/>
        <w:adjustRightInd w:val="0"/>
        <w:snapToGrid w:val="0"/>
        <w:spacing w:before="120" w:beforeLines="50" w:line="360" w:lineRule="auto"/>
        <w:ind w:firstLine="482" w:firstLineChars="200"/>
        <w:jc w:val="left"/>
        <w:outlineLvl w:val="1"/>
        <w:rPr>
          <w:rFonts w:ascii="宋体" w:hAnsi="宋体" w:eastAsia="宋体" w:cs="仿宋"/>
          <w:b/>
          <w:color w:val="auto"/>
          <w:sz w:val="24"/>
          <w:highlight w:val="none"/>
        </w:rPr>
      </w:pPr>
      <w:r>
        <w:rPr>
          <w:rFonts w:hint="eastAsia" w:ascii="宋体" w:hAnsi="宋体" w:eastAsia="宋体" w:cs="仿宋"/>
          <w:b/>
          <w:color w:val="auto"/>
          <w:sz w:val="24"/>
          <w:highlight w:val="none"/>
        </w:rPr>
        <w:t>确定中标供应商</w:t>
      </w:r>
    </w:p>
    <w:p w14:paraId="7B0ABC73">
      <w:pPr>
        <w:pStyle w:val="42"/>
        <w:shd w:val="clear"/>
        <w:spacing w:before="0"/>
        <w:ind w:firstLine="480"/>
        <w:rPr>
          <w:rFonts w:ascii="宋体" w:hAnsi="宋体" w:eastAsia="宋体" w:cs="仿宋"/>
          <w:color w:val="auto"/>
          <w:kern w:val="0"/>
          <w:szCs w:val="24"/>
          <w:highlight w:val="none"/>
        </w:rPr>
      </w:pPr>
      <w:r>
        <w:rPr>
          <w:rFonts w:hint="eastAsia" w:ascii="宋体" w:hAnsi="宋体" w:eastAsia="宋体" w:cs="仿宋"/>
          <w:color w:val="auto"/>
          <w:kern w:val="0"/>
          <w:szCs w:val="24"/>
          <w:highlight w:val="none"/>
        </w:rPr>
        <w:t>本项目由评标委员会推荐一个中标候选人，采购人不得在评标委员会推荐的中标候选人以外确定中标候选人。</w:t>
      </w:r>
    </w:p>
    <w:p w14:paraId="295AD1F6">
      <w:pPr>
        <w:numPr>
          <w:ilvl w:val="0"/>
          <w:numId w:val="1"/>
        </w:numPr>
        <w:shd w:val="clear"/>
        <w:adjustRightInd w:val="0"/>
        <w:snapToGrid w:val="0"/>
        <w:spacing w:before="120" w:beforeLines="50" w:line="360" w:lineRule="auto"/>
        <w:ind w:firstLine="482" w:firstLineChars="200"/>
        <w:jc w:val="left"/>
        <w:outlineLvl w:val="1"/>
        <w:rPr>
          <w:rFonts w:ascii="宋体" w:hAnsi="宋体" w:eastAsia="宋体" w:cs="仿宋"/>
          <w:b/>
          <w:color w:val="auto"/>
          <w:sz w:val="24"/>
          <w:highlight w:val="none"/>
        </w:rPr>
      </w:pPr>
      <w:r>
        <w:rPr>
          <w:rFonts w:hint="eastAsia" w:ascii="宋体" w:hAnsi="宋体" w:eastAsia="宋体" w:cs="仿宋"/>
          <w:b/>
          <w:color w:val="auto"/>
          <w:sz w:val="24"/>
          <w:highlight w:val="none"/>
        </w:rPr>
        <w:t>中标通知与中标结果公告</w:t>
      </w:r>
    </w:p>
    <w:p w14:paraId="34D83580">
      <w:pPr>
        <w:pStyle w:val="42"/>
        <w:shd w:val="clear"/>
        <w:spacing w:before="0"/>
        <w:ind w:firstLine="480"/>
        <w:rPr>
          <w:rFonts w:ascii="宋体" w:hAnsi="宋体" w:eastAsia="宋体" w:cs="仿宋"/>
          <w:color w:val="auto"/>
          <w:kern w:val="0"/>
          <w:szCs w:val="24"/>
          <w:highlight w:val="none"/>
        </w:rPr>
      </w:pPr>
      <w:r>
        <w:rPr>
          <w:rFonts w:hint="eastAsia" w:ascii="宋体" w:hAnsi="宋体" w:eastAsia="宋体" w:cs="仿宋"/>
          <w:color w:val="auto"/>
          <w:kern w:val="0"/>
          <w:szCs w:val="24"/>
          <w:highlight w:val="none"/>
        </w:rPr>
        <w:t>20.1自中标人确定之日起2个工作日内，采购代理机构通过电子交易平台向中标人发出中标通知书，同时编制发布采购结果公告。采购代理机构也可以以纸质形式进行中标通知。</w:t>
      </w:r>
    </w:p>
    <w:p w14:paraId="02088450">
      <w:pPr>
        <w:pStyle w:val="42"/>
        <w:shd w:val="clear"/>
        <w:spacing w:before="0"/>
        <w:ind w:firstLine="480"/>
        <w:rPr>
          <w:rFonts w:ascii="宋体" w:hAnsi="宋体" w:eastAsia="宋体" w:cs="仿宋"/>
          <w:color w:val="auto"/>
          <w:kern w:val="0"/>
          <w:szCs w:val="24"/>
          <w:highlight w:val="none"/>
        </w:rPr>
      </w:pPr>
      <w:r>
        <w:rPr>
          <w:rFonts w:hint="eastAsia" w:ascii="宋体" w:hAnsi="宋体" w:eastAsia="宋体" w:cs="仿宋"/>
          <w:color w:val="auto"/>
          <w:kern w:val="0"/>
          <w:szCs w:val="24"/>
          <w:highlight w:val="none"/>
        </w:rPr>
        <w:t>20.2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7F273908">
      <w:pPr>
        <w:pStyle w:val="42"/>
        <w:shd w:val="clear"/>
        <w:spacing w:before="0"/>
        <w:ind w:firstLine="480"/>
        <w:rPr>
          <w:rFonts w:ascii="宋体" w:hAnsi="宋体" w:eastAsia="宋体" w:cs="仿宋"/>
          <w:color w:val="auto"/>
          <w:kern w:val="0"/>
          <w:szCs w:val="24"/>
          <w:highlight w:val="none"/>
        </w:rPr>
      </w:pPr>
      <w:r>
        <w:rPr>
          <w:rFonts w:hint="eastAsia" w:ascii="宋体" w:hAnsi="宋体" w:eastAsia="宋体" w:cs="仿宋"/>
          <w:color w:val="auto"/>
          <w:kern w:val="0"/>
          <w:szCs w:val="24"/>
          <w:highlight w:val="none"/>
        </w:rPr>
        <w:t>20.3公告期限为1个工作日。</w:t>
      </w:r>
    </w:p>
    <w:p w14:paraId="3660F038">
      <w:pPr>
        <w:shd w:val="clear"/>
        <w:snapToGrid w:val="0"/>
        <w:spacing w:line="360" w:lineRule="auto"/>
        <w:ind w:left="120" w:leftChars="57" w:firstLine="482" w:firstLineChars="150"/>
        <w:jc w:val="center"/>
        <w:rPr>
          <w:rFonts w:ascii="宋体" w:hAnsi="宋体" w:eastAsia="宋体" w:cs="仿宋"/>
          <w:b/>
          <w:color w:val="auto"/>
          <w:sz w:val="32"/>
          <w:highlight w:val="none"/>
        </w:rPr>
      </w:pPr>
    </w:p>
    <w:p w14:paraId="58B33EBE">
      <w:pPr>
        <w:shd w:val="clear"/>
        <w:snapToGrid w:val="0"/>
        <w:spacing w:line="360" w:lineRule="auto"/>
        <w:ind w:left="120" w:leftChars="57" w:firstLine="482" w:firstLineChars="150"/>
        <w:jc w:val="center"/>
        <w:rPr>
          <w:rFonts w:ascii="宋体" w:hAnsi="宋体" w:eastAsia="宋体" w:cs="仿宋"/>
          <w:b/>
          <w:color w:val="auto"/>
          <w:sz w:val="32"/>
          <w:highlight w:val="none"/>
        </w:rPr>
      </w:pPr>
      <w:r>
        <w:rPr>
          <w:rFonts w:hint="eastAsia" w:ascii="宋体" w:hAnsi="宋体" w:eastAsia="宋体" w:cs="仿宋"/>
          <w:b/>
          <w:color w:val="auto"/>
          <w:sz w:val="32"/>
          <w:highlight w:val="none"/>
        </w:rPr>
        <w:t>七、合同授予</w:t>
      </w:r>
    </w:p>
    <w:p w14:paraId="172E3597">
      <w:pPr>
        <w:numPr>
          <w:ilvl w:val="0"/>
          <w:numId w:val="1"/>
        </w:numPr>
        <w:shd w:val="clear"/>
        <w:adjustRightInd w:val="0"/>
        <w:snapToGrid w:val="0"/>
        <w:spacing w:before="120" w:beforeLines="50" w:line="360" w:lineRule="auto"/>
        <w:ind w:firstLine="482" w:firstLineChars="200"/>
        <w:jc w:val="left"/>
        <w:outlineLvl w:val="1"/>
        <w:rPr>
          <w:rFonts w:ascii="宋体" w:hAnsi="宋体" w:eastAsia="宋体" w:cs="仿宋"/>
          <w:b/>
          <w:color w:val="auto"/>
          <w:sz w:val="24"/>
          <w:highlight w:val="none"/>
        </w:rPr>
      </w:pPr>
      <w:r>
        <w:rPr>
          <w:rFonts w:hint="eastAsia" w:ascii="宋体" w:hAnsi="宋体" w:eastAsia="宋体" w:cs="仿宋"/>
          <w:b/>
          <w:color w:val="auto"/>
          <w:sz w:val="24"/>
          <w:highlight w:val="none"/>
        </w:rPr>
        <w:t>合同授予</w:t>
      </w:r>
    </w:p>
    <w:p w14:paraId="728CF8BE">
      <w:pPr>
        <w:pStyle w:val="42"/>
        <w:shd w:val="clear"/>
        <w:spacing w:before="0"/>
        <w:ind w:firstLine="480"/>
        <w:rPr>
          <w:rFonts w:ascii="宋体" w:hAnsi="宋体" w:eastAsia="宋体" w:cs="仿宋"/>
          <w:color w:val="auto"/>
          <w:kern w:val="0"/>
          <w:szCs w:val="24"/>
          <w:highlight w:val="none"/>
        </w:rPr>
      </w:pPr>
      <w:r>
        <w:rPr>
          <w:rFonts w:hint="eastAsia" w:ascii="宋体" w:hAnsi="宋体" w:eastAsia="宋体" w:cs="仿宋"/>
          <w:color w:val="auto"/>
          <w:kern w:val="0"/>
          <w:szCs w:val="24"/>
          <w:highlight w:val="none"/>
        </w:rPr>
        <w:t>合同主要条款详见第五部分拟签订的合同文本。</w:t>
      </w:r>
    </w:p>
    <w:p w14:paraId="47160516">
      <w:pPr>
        <w:numPr>
          <w:ilvl w:val="0"/>
          <w:numId w:val="1"/>
        </w:numPr>
        <w:shd w:val="clear"/>
        <w:adjustRightInd w:val="0"/>
        <w:snapToGrid w:val="0"/>
        <w:spacing w:before="120" w:beforeLines="50" w:line="360" w:lineRule="auto"/>
        <w:ind w:firstLine="482" w:firstLineChars="200"/>
        <w:jc w:val="left"/>
        <w:outlineLvl w:val="1"/>
        <w:rPr>
          <w:rFonts w:ascii="宋体" w:hAnsi="宋体" w:eastAsia="宋体" w:cs="仿宋"/>
          <w:b/>
          <w:color w:val="auto"/>
          <w:sz w:val="24"/>
          <w:highlight w:val="none"/>
        </w:rPr>
      </w:pPr>
      <w:r>
        <w:rPr>
          <w:rFonts w:hint="eastAsia" w:ascii="宋体" w:hAnsi="宋体" w:eastAsia="宋体" w:cs="仿宋"/>
          <w:b/>
          <w:color w:val="auto"/>
          <w:sz w:val="24"/>
          <w:highlight w:val="none"/>
        </w:rPr>
        <w:t>合同的签订</w:t>
      </w:r>
    </w:p>
    <w:p w14:paraId="6631FDC6">
      <w:pPr>
        <w:pStyle w:val="42"/>
        <w:shd w:val="clear"/>
        <w:spacing w:before="0"/>
        <w:ind w:firstLine="480"/>
        <w:rPr>
          <w:rFonts w:ascii="宋体" w:hAnsi="宋体" w:eastAsia="宋体" w:cs="仿宋"/>
          <w:color w:val="auto"/>
          <w:kern w:val="0"/>
          <w:szCs w:val="24"/>
          <w:highlight w:val="none"/>
        </w:rPr>
      </w:pPr>
      <w:r>
        <w:rPr>
          <w:rFonts w:hint="eastAsia" w:ascii="宋体" w:hAnsi="宋体" w:eastAsia="宋体" w:cs="仿宋"/>
          <w:color w:val="auto"/>
          <w:kern w:val="0"/>
          <w:szCs w:val="24"/>
          <w:highlight w:val="none"/>
        </w:rPr>
        <w:t>22.1 采购人与中标供应商应当通过电子交易平台在中标通知书发出之日起三十日内，按照招标文件及中标供应商的投标文件确定的事项签订采购合同，并在合同签订之日起2个工作日内依法发布合同公告。</w:t>
      </w:r>
    </w:p>
    <w:p w14:paraId="38DA9582">
      <w:pPr>
        <w:pStyle w:val="42"/>
        <w:shd w:val="clear"/>
        <w:spacing w:before="0"/>
        <w:ind w:firstLine="480"/>
        <w:rPr>
          <w:rFonts w:ascii="宋体" w:hAnsi="宋体" w:eastAsia="宋体" w:cs="仿宋"/>
          <w:color w:val="auto"/>
          <w:kern w:val="0"/>
          <w:szCs w:val="24"/>
          <w:highlight w:val="none"/>
        </w:rPr>
      </w:pPr>
      <w:r>
        <w:rPr>
          <w:rFonts w:hint="eastAsia" w:ascii="宋体" w:hAnsi="宋体" w:eastAsia="宋体" w:cs="仿宋"/>
          <w:color w:val="auto"/>
          <w:kern w:val="0"/>
          <w:szCs w:val="24"/>
          <w:highlight w:val="none"/>
          <w:lang w:val="zh-CN"/>
        </w:rPr>
        <w:t>2</w:t>
      </w:r>
      <w:r>
        <w:rPr>
          <w:rFonts w:hint="eastAsia" w:ascii="宋体" w:hAnsi="宋体" w:eastAsia="宋体" w:cs="仿宋"/>
          <w:color w:val="auto"/>
          <w:kern w:val="0"/>
          <w:szCs w:val="24"/>
          <w:highlight w:val="none"/>
        </w:rPr>
        <w:t>2</w:t>
      </w:r>
      <w:r>
        <w:rPr>
          <w:rFonts w:hint="eastAsia" w:ascii="宋体" w:hAnsi="宋体" w:eastAsia="宋体" w:cs="仿宋"/>
          <w:color w:val="auto"/>
          <w:kern w:val="0"/>
          <w:szCs w:val="24"/>
          <w:highlight w:val="none"/>
          <w:lang w:val="zh-CN"/>
        </w:rPr>
        <w:t>.2中标供应商按规定的日期、时间、地点，由法定代表人或其授权代表与采购人代表签订合同。如中标人为联合体的，由联合体成员各方法定代表人或其授权代表与采购人代表签订合同。</w:t>
      </w:r>
    </w:p>
    <w:p w14:paraId="3738C28F">
      <w:pPr>
        <w:pStyle w:val="42"/>
        <w:shd w:val="clear"/>
        <w:spacing w:before="0"/>
        <w:ind w:firstLine="480"/>
        <w:rPr>
          <w:rFonts w:ascii="宋体" w:hAnsi="宋体" w:eastAsia="宋体" w:cs="仿宋"/>
          <w:color w:val="auto"/>
          <w:kern w:val="0"/>
          <w:szCs w:val="24"/>
          <w:highlight w:val="none"/>
        </w:rPr>
      </w:pPr>
      <w:r>
        <w:rPr>
          <w:rFonts w:hint="eastAsia" w:ascii="宋体" w:hAnsi="宋体" w:eastAsia="宋体" w:cs="仿宋"/>
          <w:color w:val="auto"/>
          <w:kern w:val="0"/>
          <w:szCs w:val="24"/>
          <w:highlight w:val="none"/>
        </w:rPr>
        <w:t>22.3如签订合同并生效后，供应商无故拒绝或延期，除按照合同条款处理外，列入不良行为记录名单，并给予通报。</w:t>
      </w:r>
    </w:p>
    <w:p w14:paraId="368CD1E0">
      <w:pPr>
        <w:pStyle w:val="42"/>
        <w:shd w:val="clear"/>
        <w:spacing w:before="0"/>
        <w:ind w:firstLine="480"/>
        <w:rPr>
          <w:rFonts w:hint="eastAsia" w:ascii="宋体" w:hAnsi="宋体" w:eastAsia="宋体" w:cs="仿宋"/>
          <w:color w:val="auto"/>
          <w:kern w:val="0"/>
          <w:szCs w:val="24"/>
          <w:highlight w:val="none"/>
        </w:rPr>
      </w:pPr>
      <w:r>
        <w:rPr>
          <w:rFonts w:hint="eastAsia" w:ascii="宋体" w:hAnsi="宋体" w:eastAsia="宋体" w:cs="仿宋"/>
          <w:color w:val="auto"/>
          <w:kern w:val="0"/>
          <w:szCs w:val="24"/>
          <w:highlight w:val="none"/>
        </w:rPr>
        <w:t>22.4中标供应商拒绝与采购人签订合同的，列入不良行为记录名单，采购人、采购代理机构重新开展政府采购活动。</w:t>
      </w:r>
    </w:p>
    <w:p w14:paraId="0F6764CC">
      <w:pPr>
        <w:numPr>
          <w:ilvl w:val="0"/>
          <w:numId w:val="1"/>
        </w:numPr>
        <w:shd w:val="clear"/>
        <w:adjustRightInd w:val="0"/>
        <w:snapToGrid w:val="0"/>
        <w:spacing w:before="120" w:beforeLines="50" w:line="360" w:lineRule="auto"/>
        <w:ind w:firstLine="482" w:firstLineChars="200"/>
        <w:jc w:val="left"/>
        <w:outlineLvl w:val="1"/>
        <w:rPr>
          <w:rFonts w:ascii="宋体" w:hAnsi="宋体" w:eastAsia="宋体" w:cs="仿宋"/>
          <w:b/>
          <w:color w:val="auto"/>
          <w:sz w:val="24"/>
          <w:highlight w:val="none"/>
        </w:rPr>
      </w:pPr>
      <w:r>
        <w:rPr>
          <w:rFonts w:hint="eastAsia" w:ascii="宋体" w:hAnsi="宋体" w:eastAsia="宋体" w:cs="仿宋"/>
          <w:b/>
          <w:color w:val="auto"/>
          <w:sz w:val="24"/>
          <w:highlight w:val="none"/>
        </w:rPr>
        <w:t>履约保证金</w:t>
      </w:r>
    </w:p>
    <w:p w14:paraId="4D58D840">
      <w:pPr>
        <w:shd w:val="clear"/>
        <w:tabs>
          <w:tab w:val="left" w:pos="0"/>
        </w:tabs>
        <w:spacing w:line="360" w:lineRule="auto"/>
        <w:ind w:firstLine="482"/>
        <w:rPr>
          <w:rFonts w:ascii="宋体" w:hAnsi="宋体" w:eastAsia="宋体" w:cs="仿宋"/>
          <w:b/>
          <w:color w:val="auto"/>
          <w:sz w:val="24"/>
          <w:highlight w:val="none"/>
        </w:rPr>
      </w:pPr>
      <w:r>
        <w:rPr>
          <w:rFonts w:hint="eastAsia" w:ascii="宋体" w:hAnsi="宋体" w:eastAsia="宋体"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仿宋"/>
          <w:color w:val="auto"/>
          <w:sz w:val="24"/>
          <w:highlight w:val="none"/>
        </w:rPr>
        <w:t>。履约保证金的数额不得超过政府采购合同金额的</w:t>
      </w:r>
      <w:r>
        <w:rPr>
          <w:rFonts w:hint="eastAsia" w:ascii="宋体" w:hAnsi="宋体" w:cs="仿宋"/>
          <w:color w:val="auto"/>
          <w:sz w:val="24"/>
          <w:highlight w:val="none"/>
          <w:lang w:val="en-US" w:eastAsia="zh-CN"/>
        </w:rPr>
        <w:t>2</w:t>
      </w:r>
      <w:r>
        <w:rPr>
          <w:rFonts w:hint="eastAsia" w:ascii="宋体" w:hAnsi="宋体" w:eastAsia="宋体" w:cs="仿宋"/>
          <w:color w:val="auto"/>
          <w:sz w:val="24"/>
          <w:highlight w:val="none"/>
        </w:rPr>
        <w:t>%。鼓励和支持供应商以银行、保险公司出具的保函形式提供履约保证金。</w:t>
      </w:r>
      <w:r>
        <w:rPr>
          <w:rFonts w:hint="eastAsia" w:ascii="宋体" w:hAnsi="宋体" w:eastAsia="宋体" w:cs="仿宋"/>
          <w:b/>
          <w:color w:val="auto"/>
          <w:sz w:val="24"/>
          <w:highlight w:val="none"/>
        </w:rPr>
        <w:t>采购人不得拒收履约保函。</w:t>
      </w:r>
    </w:p>
    <w:p w14:paraId="261ED4B4">
      <w:pPr>
        <w:shd w:val="clear"/>
        <w:snapToGrid w:val="0"/>
        <w:spacing w:line="360" w:lineRule="auto"/>
        <w:jc w:val="center"/>
        <w:rPr>
          <w:rFonts w:hint="eastAsia" w:ascii="宋体" w:hAnsi="宋体" w:eastAsia="宋体" w:cs="仿宋"/>
          <w:b/>
          <w:color w:val="auto"/>
          <w:sz w:val="32"/>
          <w:highlight w:val="none"/>
        </w:rPr>
      </w:pPr>
    </w:p>
    <w:p w14:paraId="2BBE1ABF">
      <w:pPr>
        <w:shd w:val="clear"/>
        <w:snapToGrid w:val="0"/>
        <w:spacing w:line="360" w:lineRule="auto"/>
        <w:jc w:val="center"/>
        <w:rPr>
          <w:rFonts w:ascii="宋体" w:hAnsi="宋体" w:eastAsia="宋体" w:cs="仿宋"/>
          <w:b/>
          <w:color w:val="auto"/>
          <w:sz w:val="24"/>
          <w:highlight w:val="none"/>
        </w:rPr>
      </w:pPr>
      <w:r>
        <w:rPr>
          <w:rFonts w:hint="eastAsia" w:ascii="宋体" w:hAnsi="宋体" w:eastAsia="宋体" w:cs="仿宋"/>
          <w:b/>
          <w:color w:val="auto"/>
          <w:sz w:val="32"/>
          <w:highlight w:val="none"/>
        </w:rPr>
        <w:t>八、电子交易活动的中止</w:t>
      </w:r>
    </w:p>
    <w:p w14:paraId="286CD194">
      <w:pPr>
        <w:numPr>
          <w:ilvl w:val="0"/>
          <w:numId w:val="1"/>
        </w:numPr>
        <w:shd w:val="clear"/>
        <w:adjustRightInd w:val="0"/>
        <w:snapToGrid w:val="0"/>
        <w:spacing w:before="120" w:beforeLines="50" w:line="360" w:lineRule="auto"/>
        <w:ind w:firstLine="482" w:firstLineChars="200"/>
        <w:jc w:val="left"/>
        <w:outlineLvl w:val="1"/>
        <w:rPr>
          <w:rFonts w:ascii="宋体" w:hAnsi="宋体" w:eastAsia="宋体" w:cs="仿宋"/>
          <w:b/>
          <w:color w:val="auto"/>
          <w:sz w:val="24"/>
          <w:highlight w:val="none"/>
        </w:rPr>
      </w:pPr>
      <w:r>
        <w:rPr>
          <w:rFonts w:hint="eastAsia" w:ascii="宋体" w:hAnsi="宋体" w:eastAsia="宋体" w:cs="仿宋"/>
          <w:b/>
          <w:color w:val="auto"/>
          <w:sz w:val="24"/>
          <w:highlight w:val="none"/>
        </w:rPr>
        <w:t>电子交易活动的中止</w:t>
      </w:r>
    </w:p>
    <w:p w14:paraId="14CD3C09">
      <w:pPr>
        <w:shd w:val="clear"/>
        <w:tabs>
          <w:tab w:val="left" w:pos="0"/>
        </w:tabs>
        <w:spacing w:line="360" w:lineRule="auto"/>
        <w:ind w:firstLine="480"/>
        <w:rPr>
          <w:rFonts w:ascii="宋体" w:hAnsi="宋体" w:eastAsia="宋体" w:cs="仿宋"/>
          <w:color w:val="auto"/>
          <w:kern w:val="0"/>
          <w:sz w:val="24"/>
          <w:highlight w:val="none"/>
        </w:rPr>
      </w:pPr>
      <w:r>
        <w:rPr>
          <w:rFonts w:hint="eastAsia" w:ascii="宋体" w:hAnsi="宋体" w:eastAsia="宋体" w:cs="仿宋"/>
          <w:color w:val="auto"/>
          <w:kern w:val="0"/>
          <w:sz w:val="24"/>
          <w:highlight w:val="none"/>
        </w:rPr>
        <w:t>采购过程中出现以下情形，导致电子交易平台无法正常运行，或者无法保证电子交易的公平、公正和安全时，采购代理机构可中止电子交易活动：</w:t>
      </w:r>
    </w:p>
    <w:p w14:paraId="3F70DBB5">
      <w:pPr>
        <w:pStyle w:val="42"/>
        <w:shd w:val="clear"/>
        <w:snapToGrid w:val="0"/>
        <w:spacing w:before="0"/>
        <w:ind w:firstLine="480"/>
        <w:rPr>
          <w:rFonts w:ascii="宋体" w:hAnsi="宋体" w:eastAsia="宋体" w:cs="仿宋"/>
          <w:color w:val="auto"/>
          <w:highlight w:val="none"/>
        </w:rPr>
      </w:pPr>
      <w:r>
        <w:rPr>
          <w:rFonts w:hint="eastAsia" w:ascii="宋体" w:hAnsi="宋体" w:eastAsia="宋体" w:cs="仿宋"/>
          <w:color w:val="auto"/>
          <w:highlight w:val="none"/>
        </w:rPr>
        <w:t>2</w:t>
      </w:r>
      <w:r>
        <w:rPr>
          <w:rFonts w:hint="eastAsia" w:ascii="宋体" w:hAnsi="宋体" w:cs="仿宋"/>
          <w:color w:val="auto"/>
          <w:highlight w:val="none"/>
          <w:lang w:val="en-US" w:eastAsia="zh-CN"/>
        </w:rPr>
        <w:t>4</w:t>
      </w:r>
      <w:r>
        <w:rPr>
          <w:rFonts w:hint="eastAsia" w:ascii="宋体" w:hAnsi="宋体" w:eastAsia="宋体" w:cs="仿宋"/>
          <w:color w:val="auto"/>
          <w:highlight w:val="none"/>
        </w:rPr>
        <w:t xml:space="preserve">.1电子交易平台发生故障而无法登录访问的； </w:t>
      </w:r>
    </w:p>
    <w:p w14:paraId="309FCFE6">
      <w:pPr>
        <w:pStyle w:val="42"/>
        <w:shd w:val="clear"/>
        <w:snapToGrid w:val="0"/>
        <w:spacing w:before="0"/>
        <w:ind w:firstLine="480"/>
        <w:rPr>
          <w:rFonts w:ascii="宋体" w:hAnsi="宋体" w:eastAsia="宋体" w:cs="仿宋"/>
          <w:color w:val="auto"/>
          <w:highlight w:val="none"/>
        </w:rPr>
      </w:pPr>
      <w:r>
        <w:rPr>
          <w:rFonts w:hint="eastAsia" w:ascii="宋体" w:hAnsi="宋体" w:eastAsia="宋体" w:cs="仿宋"/>
          <w:color w:val="auto"/>
          <w:highlight w:val="none"/>
        </w:rPr>
        <w:t>2</w:t>
      </w:r>
      <w:r>
        <w:rPr>
          <w:rFonts w:hint="eastAsia" w:ascii="宋体" w:hAnsi="宋体" w:cs="仿宋"/>
          <w:color w:val="auto"/>
          <w:highlight w:val="none"/>
          <w:lang w:val="en-US" w:eastAsia="zh-CN"/>
        </w:rPr>
        <w:t>4</w:t>
      </w:r>
      <w:r>
        <w:rPr>
          <w:rFonts w:hint="eastAsia" w:ascii="宋体" w:hAnsi="宋体" w:eastAsia="宋体" w:cs="仿宋"/>
          <w:color w:val="auto"/>
          <w:highlight w:val="none"/>
        </w:rPr>
        <w:t>.2电子交易平台应用或数据库出现错误，不能进行正常操作的；</w:t>
      </w:r>
    </w:p>
    <w:p w14:paraId="3E8087A2">
      <w:pPr>
        <w:pStyle w:val="42"/>
        <w:shd w:val="clear"/>
        <w:snapToGrid w:val="0"/>
        <w:spacing w:before="0"/>
        <w:ind w:firstLine="480"/>
        <w:rPr>
          <w:rFonts w:ascii="宋体" w:hAnsi="宋体" w:eastAsia="宋体" w:cs="仿宋"/>
          <w:color w:val="auto"/>
          <w:highlight w:val="none"/>
        </w:rPr>
      </w:pPr>
      <w:r>
        <w:rPr>
          <w:rFonts w:hint="eastAsia" w:ascii="宋体" w:hAnsi="宋体" w:eastAsia="宋体" w:cs="仿宋"/>
          <w:color w:val="auto"/>
          <w:highlight w:val="none"/>
        </w:rPr>
        <w:t>2</w:t>
      </w:r>
      <w:r>
        <w:rPr>
          <w:rFonts w:hint="eastAsia" w:ascii="宋体" w:hAnsi="宋体" w:cs="仿宋"/>
          <w:color w:val="auto"/>
          <w:highlight w:val="none"/>
          <w:lang w:val="en-US" w:eastAsia="zh-CN"/>
        </w:rPr>
        <w:t>4</w:t>
      </w:r>
      <w:r>
        <w:rPr>
          <w:rFonts w:hint="eastAsia" w:ascii="宋体" w:hAnsi="宋体" w:eastAsia="宋体" w:cs="仿宋"/>
          <w:color w:val="auto"/>
          <w:highlight w:val="none"/>
        </w:rPr>
        <w:t>.3电子交易平台发现严重安全漏洞，有潜在泄密危险的；</w:t>
      </w:r>
    </w:p>
    <w:p w14:paraId="238FC6C4">
      <w:pPr>
        <w:pStyle w:val="42"/>
        <w:shd w:val="clear"/>
        <w:snapToGrid w:val="0"/>
        <w:spacing w:before="0"/>
        <w:ind w:firstLine="480"/>
        <w:rPr>
          <w:rFonts w:ascii="宋体" w:hAnsi="宋体" w:eastAsia="宋体" w:cs="仿宋"/>
          <w:color w:val="auto"/>
          <w:highlight w:val="none"/>
        </w:rPr>
      </w:pPr>
      <w:r>
        <w:rPr>
          <w:rFonts w:hint="eastAsia" w:ascii="宋体" w:hAnsi="宋体" w:eastAsia="宋体" w:cs="仿宋"/>
          <w:color w:val="auto"/>
          <w:highlight w:val="none"/>
        </w:rPr>
        <w:t>2</w:t>
      </w:r>
      <w:r>
        <w:rPr>
          <w:rFonts w:hint="eastAsia" w:ascii="宋体" w:hAnsi="宋体" w:cs="仿宋"/>
          <w:color w:val="auto"/>
          <w:highlight w:val="none"/>
          <w:lang w:val="en-US" w:eastAsia="zh-CN"/>
        </w:rPr>
        <w:t>4</w:t>
      </w:r>
      <w:r>
        <w:rPr>
          <w:rFonts w:hint="eastAsia" w:ascii="宋体" w:hAnsi="宋体" w:eastAsia="宋体" w:cs="仿宋"/>
          <w:color w:val="auto"/>
          <w:highlight w:val="none"/>
        </w:rPr>
        <w:t xml:space="preserve">.4病毒发作导致不能进行正常操作的； </w:t>
      </w:r>
    </w:p>
    <w:p w14:paraId="1D820CB7">
      <w:pPr>
        <w:pStyle w:val="42"/>
        <w:shd w:val="clear"/>
        <w:snapToGrid w:val="0"/>
        <w:spacing w:before="0"/>
        <w:ind w:firstLine="480"/>
        <w:rPr>
          <w:rFonts w:ascii="宋体" w:hAnsi="宋体" w:eastAsia="宋体" w:cs="仿宋"/>
          <w:color w:val="auto"/>
          <w:highlight w:val="none"/>
        </w:rPr>
      </w:pPr>
      <w:r>
        <w:rPr>
          <w:rFonts w:hint="eastAsia" w:ascii="宋体" w:hAnsi="宋体" w:eastAsia="宋体" w:cs="仿宋"/>
          <w:color w:val="auto"/>
          <w:highlight w:val="none"/>
        </w:rPr>
        <w:t>2</w:t>
      </w:r>
      <w:r>
        <w:rPr>
          <w:rFonts w:hint="eastAsia" w:ascii="宋体" w:hAnsi="宋体" w:cs="仿宋"/>
          <w:color w:val="auto"/>
          <w:highlight w:val="none"/>
          <w:lang w:val="en-US" w:eastAsia="zh-CN"/>
        </w:rPr>
        <w:t>4</w:t>
      </w:r>
      <w:r>
        <w:rPr>
          <w:rFonts w:hint="eastAsia" w:ascii="宋体" w:hAnsi="宋体" w:eastAsia="宋体" w:cs="仿宋"/>
          <w:color w:val="auto"/>
          <w:highlight w:val="none"/>
        </w:rPr>
        <w:t>.5其他无法保证电子交易的公平、公正和安全的情况。</w:t>
      </w:r>
    </w:p>
    <w:p w14:paraId="6D023C8D">
      <w:pPr>
        <w:shd w:val="clear"/>
        <w:tabs>
          <w:tab w:val="left" w:pos="0"/>
        </w:tabs>
        <w:spacing w:line="360" w:lineRule="auto"/>
        <w:ind w:firstLine="480"/>
        <w:rPr>
          <w:rFonts w:ascii="宋体" w:hAnsi="宋体" w:eastAsia="宋体" w:cs="仿宋"/>
          <w:color w:val="auto"/>
          <w:sz w:val="24"/>
          <w:highlight w:val="none"/>
        </w:rPr>
      </w:pPr>
    </w:p>
    <w:p w14:paraId="206FD223">
      <w:pPr>
        <w:shd w:val="clear"/>
        <w:snapToGrid w:val="0"/>
        <w:spacing w:line="360" w:lineRule="auto"/>
        <w:ind w:left="120" w:leftChars="57" w:firstLine="482" w:firstLineChars="150"/>
        <w:jc w:val="center"/>
        <w:rPr>
          <w:rFonts w:ascii="宋体" w:hAnsi="宋体" w:eastAsia="宋体" w:cs="仿宋"/>
          <w:b/>
          <w:color w:val="auto"/>
          <w:sz w:val="32"/>
          <w:highlight w:val="none"/>
        </w:rPr>
      </w:pPr>
      <w:r>
        <w:rPr>
          <w:rFonts w:hint="eastAsia" w:ascii="宋体" w:hAnsi="宋体" w:eastAsia="宋体" w:cs="仿宋"/>
          <w:b/>
          <w:color w:val="auto"/>
          <w:sz w:val="32"/>
          <w:highlight w:val="none"/>
        </w:rPr>
        <w:t>九、验收</w:t>
      </w:r>
    </w:p>
    <w:p w14:paraId="5ECAEB5A">
      <w:pPr>
        <w:numPr>
          <w:ilvl w:val="0"/>
          <w:numId w:val="1"/>
        </w:numPr>
        <w:shd w:val="clear"/>
        <w:adjustRightInd w:val="0"/>
        <w:snapToGrid w:val="0"/>
        <w:spacing w:before="120" w:beforeLines="50" w:line="360" w:lineRule="auto"/>
        <w:ind w:firstLine="482" w:firstLineChars="200"/>
        <w:jc w:val="left"/>
        <w:outlineLvl w:val="1"/>
        <w:rPr>
          <w:rFonts w:ascii="宋体" w:hAnsi="宋体" w:eastAsia="宋体" w:cs="仿宋"/>
          <w:b/>
          <w:color w:val="auto"/>
          <w:sz w:val="24"/>
          <w:highlight w:val="none"/>
        </w:rPr>
      </w:pPr>
      <w:r>
        <w:rPr>
          <w:rFonts w:hint="eastAsia" w:ascii="宋体" w:hAnsi="宋体" w:eastAsia="宋体" w:cs="仿宋"/>
          <w:b/>
          <w:color w:val="auto"/>
          <w:sz w:val="24"/>
          <w:highlight w:val="none"/>
        </w:rPr>
        <w:t>验收</w:t>
      </w:r>
    </w:p>
    <w:p w14:paraId="43BB5FE5">
      <w:pPr>
        <w:shd w:val="clear"/>
        <w:tabs>
          <w:tab w:val="left" w:pos="0"/>
        </w:tabs>
        <w:spacing w:line="360" w:lineRule="auto"/>
        <w:ind w:firstLine="480"/>
        <w:rPr>
          <w:rFonts w:ascii="宋体" w:hAnsi="宋体" w:eastAsia="宋体" w:cs="仿宋"/>
          <w:color w:val="auto"/>
          <w:kern w:val="0"/>
          <w:sz w:val="24"/>
          <w:highlight w:val="none"/>
        </w:rPr>
      </w:pPr>
      <w:r>
        <w:rPr>
          <w:rFonts w:hint="eastAsia" w:ascii="宋体" w:hAnsi="宋体" w:eastAsia="宋体" w:cs="仿宋"/>
          <w:color w:val="auto"/>
          <w:kern w:val="0"/>
          <w:sz w:val="24"/>
          <w:highlight w:val="none"/>
        </w:rPr>
        <w:t>2</w:t>
      </w:r>
      <w:r>
        <w:rPr>
          <w:rFonts w:hint="eastAsia" w:ascii="宋体" w:hAnsi="宋体" w:cs="仿宋"/>
          <w:color w:val="auto"/>
          <w:kern w:val="0"/>
          <w:sz w:val="24"/>
          <w:highlight w:val="none"/>
          <w:lang w:val="en-US" w:eastAsia="zh-CN"/>
        </w:rPr>
        <w:t>5</w:t>
      </w:r>
      <w:r>
        <w:rPr>
          <w:rFonts w:hint="eastAsia" w:ascii="宋体" w:hAnsi="宋体" w:eastAsia="宋体" w:cs="仿宋"/>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033B821">
      <w:pPr>
        <w:shd w:val="clear"/>
        <w:tabs>
          <w:tab w:val="left" w:pos="0"/>
        </w:tabs>
        <w:spacing w:line="360" w:lineRule="auto"/>
        <w:ind w:firstLine="480"/>
        <w:rPr>
          <w:rFonts w:ascii="宋体" w:hAnsi="宋体" w:eastAsia="宋体" w:cs="仿宋"/>
          <w:color w:val="auto"/>
          <w:kern w:val="0"/>
          <w:sz w:val="24"/>
          <w:highlight w:val="none"/>
        </w:rPr>
      </w:pPr>
      <w:r>
        <w:rPr>
          <w:rFonts w:hint="eastAsia" w:ascii="宋体" w:hAnsi="宋体" w:eastAsia="宋体" w:cs="仿宋"/>
          <w:color w:val="auto"/>
          <w:kern w:val="0"/>
          <w:sz w:val="24"/>
          <w:highlight w:val="none"/>
        </w:rPr>
        <w:t>2</w:t>
      </w:r>
      <w:r>
        <w:rPr>
          <w:rFonts w:hint="eastAsia" w:ascii="宋体" w:hAnsi="宋体" w:cs="仿宋"/>
          <w:color w:val="auto"/>
          <w:kern w:val="0"/>
          <w:sz w:val="24"/>
          <w:highlight w:val="none"/>
          <w:lang w:val="en-US" w:eastAsia="zh-CN"/>
        </w:rPr>
        <w:t>5</w:t>
      </w:r>
      <w:r>
        <w:rPr>
          <w:rFonts w:hint="eastAsia" w:ascii="宋体" w:hAnsi="宋体" w:eastAsia="宋体" w:cs="仿宋"/>
          <w:color w:val="auto"/>
          <w:kern w:val="0"/>
          <w:sz w:val="24"/>
          <w:highlight w:val="none"/>
        </w:rPr>
        <w:t>.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8E47386">
      <w:pP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ascii="宋体" w:hAnsi="宋体" w:eastAsia="宋体" w:cs="仿宋"/>
          <w:color w:val="auto"/>
          <w:kern w:val="0"/>
          <w:sz w:val="24"/>
          <w:highlight w:val="none"/>
        </w:rPr>
        <w:t>2</w:t>
      </w:r>
      <w:r>
        <w:rPr>
          <w:rFonts w:hint="eastAsia" w:ascii="宋体" w:hAnsi="宋体" w:cs="仿宋"/>
          <w:color w:val="auto"/>
          <w:kern w:val="0"/>
          <w:sz w:val="24"/>
          <w:highlight w:val="none"/>
          <w:lang w:val="en-US" w:eastAsia="zh-CN"/>
        </w:rPr>
        <w:t>5</w:t>
      </w:r>
      <w:r>
        <w:rPr>
          <w:rFonts w:hint="eastAsia" w:ascii="宋体" w:hAnsi="宋体" w:eastAsia="宋体" w:cs="仿宋"/>
          <w:color w:val="auto"/>
          <w:kern w:val="0"/>
          <w:sz w:val="24"/>
          <w:highlight w:val="none"/>
        </w:rPr>
        <w:t>.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w:t>
      </w:r>
      <w:r>
        <w:rPr>
          <w:rFonts w:hint="eastAsia" w:ascii="宋体" w:hAnsi="宋体" w:eastAsia="宋体" w:cs="仿宋"/>
          <w:color w:val="auto"/>
          <w:kern w:val="0"/>
          <w:sz w:val="24"/>
          <w:highlight w:val="none"/>
          <w:lang w:val="en-US" w:eastAsia="zh-CN"/>
        </w:rPr>
        <w:t>监督</w:t>
      </w:r>
      <w:r>
        <w:rPr>
          <w:rFonts w:hint="eastAsia" w:ascii="宋体" w:hAnsi="宋体" w:eastAsia="宋体" w:cs="仿宋"/>
          <w:color w:val="auto"/>
          <w:kern w:val="0"/>
          <w:sz w:val="24"/>
          <w:highlight w:val="none"/>
          <w:lang w:eastAsia="zh-CN"/>
        </w:rPr>
        <w:t>管</w:t>
      </w:r>
      <w:r>
        <w:rPr>
          <w:rFonts w:hint="eastAsia" w:ascii="宋体" w:hAnsi="宋体" w:eastAsia="宋体" w:cs="仿宋"/>
          <w:color w:val="auto"/>
          <w:kern w:val="0"/>
          <w:sz w:val="24"/>
          <w:highlight w:val="none"/>
          <w:lang w:val="en-US" w:eastAsia="zh-CN"/>
        </w:rPr>
        <w:t>理</w:t>
      </w:r>
      <w:r>
        <w:rPr>
          <w:rFonts w:hint="eastAsia" w:ascii="宋体" w:hAnsi="宋体" w:eastAsia="宋体" w:cs="仿宋"/>
          <w:color w:val="auto"/>
          <w:kern w:val="0"/>
          <w:sz w:val="24"/>
          <w:highlight w:val="none"/>
          <w:lang w:eastAsia="zh-CN"/>
        </w:rPr>
        <w:t>部门</w:t>
      </w:r>
      <w:r>
        <w:rPr>
          <w:rFonts w:hint="eastAsia" w:cs="仿宋" w:asciiTheme="majorEastAsia" w:hAnsiTheme="majorEastAsia" w:eastAsiaTheme="majorEastAsia"/>
          <w:color w:val="auto"/>
          <w:kern w:val="0"/>
          <w:sz w:val="24"/>
          <w:highlight w:val="none"/>
        </w:rPr>
        <w:t>。</w:t>
      </w:r>
      <w:bookmarkEnd w:id="11"/>
      <w:bookmarkEnd w:id="12"/>
      <w:bookmarkEnd w:id="13"/>
      <w:bookmarkStart w:id="14" w:name="_Hlt68072998"/>
      <w:bookmarkEnd w:id="14"/>
      <w:bookmarkStart w:id="15" w:name="_Hlt74729768"/>
      <w:bookmarkEnd w:id="15"/>
      <w:bookmarkStart w:id="16" w:name="_Hlt75236101"/>
      <w:bookmarkEnd w:id="16"/>
      <w:bookmarkStart w:id="17" w:name="_Hlt74714665"/>
      <w:bookmarkEnd w:id="17"/>
      <w:bookmarkStart w:id="18" w:name="_Hlt75236290"/>
      <w:bookmarkEnd w:id="18"/>
      <w:bookmarkStart w:id="19" w:name="_Hlt75236011"/>
      <w:bookmarkEnd w:id="19"/>
      <w:bookmarkStart w:id="20" w:name="_Hlt68057669"/>
      <w:bookmarkEnd w:id="20"/>
      <w:bookmarkStart w:id="21" w:name="_Hlt74730295"/>
      <w:bookmarkEnd w:id="21"/>
      <w:bookmarkStart w:id="22" w:name="_Hlt68073093"/>
      <w:bookmarkEnd w:id="22"/>
      <w:bookmarkStart w:id="23" w:name="_Hlt68403820"/>
      <w:bookmarkEnd w:id="23"/>
      <w:bookmarkStart w:id="24" w:name="_Hlt68072990"/>
      <w:bookmarkEnd w:id="24"/>
      <w:bookmarkStart w:id="25" w:name="_Hlt74707468"/>
      <w:bookmarkEnd w:id="25"/>
      <w:bookmarkStart w:id="26" w:name="第四部分"/>
    </w:p>
    <w:p w14:paraId="2F6D9068">
      <w:pPr>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br w:type="page"/>
      </w:r>
    </w:p>
    <w:p w14:paraId="7FB8C2D6">
      <w:pPr>
        <w:tabs>
          <w:tab w:val="left" w:pos="0"/>
        </w:tabs>
        <w:spacing w:line="360" w:lineRule="auto"/>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第三部分   采购需求</w:t>
      </w:r>
    </w:p>
    <w:p w14:paraId="2302C7AF">
      <w:pPr>
        <w:spacing w:line="360" w:lineRule="auto"/>
        <w:ind w:firstLine="703" w:firstLineChars="250"/>
        <w:jc w:val="center"/>
        <w:rPr>
          <w:rFonts w:hint="default" w:ascii="宋体" w:hAnsi="宋体" w:eastAsia="宋体"/>
          <w:b/>
          <w:bCs/>
          <w:color w:val="auto"/>
          <w:sz w:val="28"/>
          <w:szCs w:val="28"/>
          <w:highlight w:val="none"/>
          <w:lang w:val="en-US" w:eastAsia="zh-CN"/>
        </w:rPr>
      </w:pPr>
      <w:bookmarkStart w:id="27" w:name="_Toc470611539"/>
      <w:bookmarkStart w:id="28" w:name="_Toc470161885"/>
      <w:bookmarkStart w:id="29" w:name="_Toc500353170"/>
      <w:r>
        <w:rPr>
          <w:rFonts w:hint="eastAsia" w:ascii="宋体" w:hAnsi="宋体" w:cs="宋体"/>
          <w:b/>
          <w:bCs/>
          <w:color w:val="auto"/>
          <w:sz w:val="28"/>
          <w:szCs w:val="28"/>
          <w:highlight w:val="none"/>
        </w:rPr>
        <w:t>一、</w:t>
      </w:r>
      <w:bookmarkEnd w:id="27"/>
      <w:bookmarkEnd w:id="28"/>
      <w:r>
        <w:rPr>
          <w:rFonts w:hint="eastAsia" w:ascii="宋体" w:hAnsi="宋体" w:cs="宋体"/>
          <w:b/>
          <w:bCs/>
          <w:color w:val="auto"/>
          <w:sz w:val="28"/>
          <w:szCs w:val="28"/>
          <w:highlight w:val="none"/>
          <w:lang w:val="en-US" w:eastAsia="zh-CN"/>
        </w:rPr>
        <w:t>项目情况</w:t>
      </w:r>
    </w:p>
    <w:p w14:paraId="1E947CCD">
      <w:pPr>
        <w:spacing w:line="360" w:lineRule="auto"/>
        <w:ind w:firstLine="480" w:firstLineChars="200"/>
        <w:rPr>
          <w:rFonts w:hint="eastAsia" w:ascii="宋体" w:hAnsi="宋体"/>
          <w:color w:val="auto"/>
          <w:sz w:val="24"/>
          <w:szCs w:val="24"/>
          <w:highlight w:val="none"/>
          <w:lang w:val="en-US" w:eastAsia="zh-CN"/>
        </w:rPr>
      </w:pPr>
      <w:bookmarkStart w:id="30" w:name="_Toc470161886"/>
      <w:bookmarkStart w:id="31" w:name="_Toc470611540"/>
      <w:r>
        <w:rPr>
          <w:rFonts w:hint="eastAsia" w:ascii="宋体" w:hAnsi="宋体"/>
          <w:color w:val="auto"/>
          <w:sz w:val="24"/>
          <w:szCs w:val="24"/>
          <w:highlight w:val="none"/>
          <w:lang w:val="en-US" w:eastAsia="zh-CN"/>
        </w:rPr>
        <w:t>（一）项目介绍</w:t>
      </w:r>
    </w:p>
    <w:p w14:paraId="62E61FFE">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奉化区FH61-01-51地块建设项目位于奉化区溪口镇湖山区块，东至规划新城东路，南至弥勒大道防护绿地，西至规划渠道防护绿地，北至湖山中路。项目用地性质为一类居住、二类居住和服务设施综合用地，适建一类、二类住宅和相关配套服务设施。住宅计容面积约78000平方米，其中一类住宅计容面积约40000平方米，相关计容配套面积约13327平方米，地下总建筑面积约65183平方米，地下空间主要安排人防、地下停车、消防等配套设施。</w:t>
      </w:r>
    </w:p>
    <w:p w14:paraId="1506038D">
      <w:pPr>
        <w:spacing w:line="360" w:lineRule="auto"/>
        <w:ind w:firstLine="480" w:firstLineChars="200"/>
        <w:rPr>
          <w:rFonts w:hint="eastAsia" w:ascii="宋体" w:hAnsi="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（二）采购需求</w:t>
      </w:r>
    </w:p>
    <w:p w14:paraId="401CC42F">
      <w:pPr>
        <w:spacing w:line="360" w:lineRule="auto"/>
        <w:ind w:firstLine="480" w:firstLineChars="200"/>
        <w:rPr>
          <w:rFonts w:hint="eastAsia" w:ascii="宋体" w:hAnsi="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1.采购内容：本项目为奉化区FH61-01-51地块建设项目桩基检测项目，桩基检测包括旋挖钻孔灌注桩抗拔试验、低应变检测、围护桩低应变、围护桩取芯、钢筋笼长度检测等，以及采购人委托的其它检测工作，具体以满足工程实际需求为准。详见工程量清单。</w:t>
      </w:r>
    </w:p>
    <w:p w14:paraId="2393C8AA">
      <w:pPr>
        <w:spacing w:line="360" w:lineRule="auto"/>
        <w:ind w:firstLine="480" w:firstLineChars="200"/>
        <w:rPr>
          <w:rFonts w:hint="eastAsia" w:ascii="宋体" w:hAnsi="宋体" w:cs="Times New Roman"/>
          <w:color w:val="auto"/>
          <w:sz w:val="24"/>
          <w:szCs w:val="24"/>
          <w:highlight w:val="none"/>
          <w:lang w:val="en-US" w:eastAsia="zh-CN"/>
        </w:rPr>
        <w:sectPr>
          <w:pgSz w:w="11906" w:h="16838"/>
          <w:pgMar w:top="1276" w:right="1418" w:bottom="1247" w:left="1418" w:header="851" w:footer="992" w:gutter="0"/>
          <w:cols w:space="720" w:num="1"/>
          <w:titlePg/>
          <w:docGrid w:linePitch="312" w:charSpace="0"/>
        </w:sectPr>
      </w:pPr>
      <w:r>
        <w:rPr>
          <w:rFonts w:hint="eastAsia" w:ascii="宋体" w:hAnsi="宋体" w:cs="Times New Roman"/>
          <w:color w:val="auto"/>
          <w:sz w:val="24"/>
          <w:szCs w:val="24"/>
          <w:highlight w:val="none"/>
          <w:lang w:val="en-US" w:eastAsia="zh-CN"/>
        </w:rPr>
        <w:t>2.桩基检测项目统计表如下：</w:t>
      </w:r>
    </w:p>
    <w:p w14:paraId="76C1451F">
      <w:pPr>
        <w:pStyle w:val="2"/>
        <w:jc w:val="center"/>
        <w:rPr>
          <w:rFonts w:hint="eastAsia"/>
          <w:lang w:val="en-US" w:eastAsia="zh-CN"/>
        </w:rPr>
      </w:pPr>
      <w:r>
        <w:rPr>
          <w:rFonts w:hint="eastAsia"/>
          <w:b/>
          <w:bCs/>
          <w:lang w:val="en-US" w:eastAsia="zh-CN"/>
        </w:rPr>
        <w:t>桩基检测项目统计表</w:t>
      </w:r>
    </w:p>
    <w:tbl>
      <w:tblPr>
        <w:tblStyle w:val="19"/>
        <w:tblW w:w="147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4"/>
        <w:gridCol w:w="1281"/>
        <w:gridCol w:w="1062"/>
        <w:gridCol w:w="2723"/>
        <w:gridCol w:w="1373"/>
        <w:gridCol w:w="761"/>
        <w:gridCol w:w="1016"/>
        <w:gridCol w:w="830"/>
        <w:gridCol w:w="785"/>
        <w:gridCol w:w="890"/>
        <w:gridCol w:w="859"/>
        <w:gridCol w:w="873"/>
        <w:gridCol w:w="846"/>
        <w:gridCol w:w="818"/>
      </w:tblGrid>
      <w:tr w14:paraId="3E3FC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jc w:val="center"/>
        </w:trPr>
        <w:tc>
          <w:tcPr>
            <w:tcW w:w="644"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1888C3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1281"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72F1D4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类别</w:t>
            </w:r>
          </w:p>
        </w:tc>
        <w:tc>
          <w:tcPr>
            <w:tcW w:w="1062"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BC75F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桩类别</w:t>
            </w:r>
          </w:p>
        </w:tc>
        <w:tc>
          <w:tcPr>
            <w:tcW w:w="272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FF460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桩直径及总桩数</w:t>
            </w:r>
          </w:p>
        </w:tc>
        <w:tc>
          <w:tcPr>
            <w:tcW w:w="13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7A348C9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静载荷载数</w:t>
            </w:r>
          </w:p>
          <w:p w14:paraId="509277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（KN）</w:t>
            </w:r>
          </w:p>
        </w:tc>
        <w:tc>
          <w:tcPr>
            <w:tcW w:w="761"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7BA855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静载根数</w:t>
            </w:r>
          </w:p>
          <w:p w14:paraId="48D59D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（枚）</w:t>
            </w:r>
          </w:p>
        </w:tc>
        <w:tc>
          <w:tcPr>
            <w:tcW w:w="101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7FE877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抗拔荷载数（KN）</w:t>
            </w:r>
          </w:p>
        </w:tc>
        <w:tc>
          <w:tcPr>
            <w:tcW w:w="83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98AB1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抗拔根数（枚）</w:t>
            </w:r>
          </w:p>
        </w:tc>
        <w:tc>
          <w:tcPr>
            <w:tcW w:w="785"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89806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静载吨位（吨）</w:t>
            </w:r>
          </w:p>
        </w:tc>
        <w:tc>
          <w:tcPr>
            <w:tcW w:w="89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131AA5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抗拔≥2000KN（根）</w:t>
            </w:r>
          </w:p>
        </w:tc>
        <w:tc>
          <w:tcPr>
            <w:tcW w:w="859"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BA6C40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抗拔＜2000KN（根）</w:t>
            </w:r>
          </w:p>
        </w:tc>
        <w:tc>
          <w:tcPr>
            <w:tcW w:w="8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372AC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钢筋笼（枚）</w:t>
            </w:r>
          </w:p>
        </w:tc>
        <w:tc>
          <w:tcPr>
            <w:tcW w:w="84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71B1DDC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小应变（根）</w:t>
            </w:r>
          </w:p>
        </w:tc>
        <w:tc>
          <w:tcPr>
            <w:tcW w:w="818"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E92EEC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钻芯检测（根）</w:t>
            </w:r>
          </w:p>
        </w:tc>
      </w:tr>
      <w:tr w14:paraId="22373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644"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72CFC4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281" w:type="dxa"/>
            <w:vMerge w:val="restart"/>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7D1BFD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设计试桩</w:t>
            </w:r>
          </w:p>
        </w:tc>
        <w:tc>
          <w:tcPr>
            <w:tcW w:w="1062" w:type="dxa"/>
            <w:vMerge w:val="restart"/>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734BDB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旋挖钻孔灌注桩</w:t>
            </w:r>
          </w:p>
        </w:tc>
        <w:tc>
          <w:tcPr>
            <w:tcW w:w="272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F8241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Φ800</w:t>
            </w:r>
          </w:p>
        </w:tc>
        <w:tc>
          <w:tcPr>
            <w:tcW w:w="13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8750F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9200</w:t>
            </w:r>
          </w:p>
        </w:tc>
        <w:tc>
          <w:tcPr>
            <w:tcW w:w="761"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D97DE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3</w:t>
            </w:r>
          </w:p>
        </w:tc>
        <w:tc>
          <w:tcPr>
            <w:tcW w:w="101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15A0FB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3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5E960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785"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B9A47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2760</w:t>
            </w:r>
          </w:p>
        </w:tc>
        <w:tc>
          <w:tcPr>
            <w:tcW w:w="89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F1382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9"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78D2E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0A06E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4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39208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3</w:t>
            </w:r>
          </w:p>
        </w:tc>
        <w:tc>
          <w:tcPr>
            <w:tcW w:w="818"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8019EB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944A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644"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3F381F0">
            <w:pPr>
              <w:keepNext w:val="0"/>
              <w:keepLines w:val="0"/>
              <w:widowControl/>
              <w:suppressLineNumbers w:val="0"/>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81" w:type="dxa"/>
            <w:vMerge w:val="continue"/>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458126A">
            <w:pPr>
              <w:jc w:val="center"/>
              <w:rPr>
                <w:rFonts w:hint="eastAsia" w:ascii="宋体" w:hAnsi="宋体" w:eastAsia="宋体" w:cs="宋体"/>
                <w:i w:val="0"/>
                <w:iCs w:val="0"/>
                <w:color w:val="auto"/>
                <w:sz w:val="21"/>
                <w:szCs w:val="21"/>
                <w:u w:val="none"/>
              </w:rPr>
            </w:pPr>
          </w:p>
        </w:tc>
        <w:tc>
          <w:tcPr>
            <w:tcW w:w="1062" w:type="dxa"/>
            <w:vMerge w:val="continue"/>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769CDF82">
            <w:pPr>
              <w:jc w:val="center"/>
              <w:rPr>
                <w:rFonts w:hint="eastAsia" w:ascii="宋体" w:hAnsi="宋体" w:eastAsia="宋体" w:cs="宋体"/>
                <w:i w:val="0"/>
                <w:iCs w:val="0"/>
                <w:color w:val="auto"/>
                <w:sz w:val="21"/>
                <w:szCs w:val="21"/>
                <w:u w:val="none"/>
              </w:rPr>
            </w:pPr>
          </w:p>
        </w:tc>
        <w:tc>
          <w:tcPr>
            <w:tcW w:w="272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2B3B8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Φ800</w:t>
            </w:r>
          </w:p>
        </w:tc>
        <w:tc>
          <w:tcPr>
            <w:tcW w:w="13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56266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5300</w:t>
            </w:r>
          </w:p>
        </w:tc>
        <w:tc>
          <w:tcPr>
            <w:tcW w:w="761"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7D4BBA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3</w:t>
            </w:r>
          </w:p>
        </w:tc>
        <w:tc>
          <w:tcPr>
            <w:tcW w:w="101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1F254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3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DD5A5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785"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40F8E6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1590</w:t>
            </w:r>
          </w:p>
        </w:tc>
        <w:tc>
          <w:tcPr>
            <w:tcW w:w="89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91246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9"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DEF6C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F0278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4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7B0304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3</w:t>
            </w:r>
          </w:p>
        </w:tc>
        <w:tc>
          <w:tcPr>
            <w:tcW w:w="818"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E827F2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612F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644"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7E66B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281" w:type="dxa"/>
            <w:vMerge w:val="continue"/>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2FB4BBF">
            <w:pPr>
              <w:jc w:val="center"/>
              <w:rPr>
                <w:rFonts w:hint="eastAsia" w:ascii="宋体" w:hAnsi="宋体" w:eastAsia="宋体" w:cs="宋体"/>
                <w:i w:val="0"/>
                <w:iCs w:val="0"/>
                <w:color w:val="auto"/>
                <w:sz w:val="21"/>
                <w:szCs w:val="21"/>
                <w:u w:val="none"/>
              </w:rPr>
            </w:pPr>
          </w:p>
        </w:tc>
        <w:tc>
          <w:tcPr>
            <w:tcW w:w="1062" w:type="dxa"/>
            <w:vMerge w:val="continue"/>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8AAAB37">
            <w:pPr>
              <w:jc w:val="center"/>
              <w:rPr>
                <w:rFonts w:hint="eastAsia" w:ascii="宋体" w:hAnsi="宋体" w:eastAsia="宋体" w:cs="宋体"/>
                <w:i w:val="0"/>
                <w:iCs w:val="0"/>
                <w:color w:val="auto"/>
                <w:sz w:val="21"/>
                <w:szCs w:val="21"/>
                <w:u w:val="none"/>
              </w:rPr>
            </w:pPr>
          </w:p>
        </w:tc>
        <w:tc>
          <w:tcPr>
            <w:tcW w:w="272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04FBB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Φ800</w:t>
            </w:r>
          </w:p>
        </w:tc>
        <w:tc>
          <w:tcPr>
            <w:tcW w:w="13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AFDFF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761"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135326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0</w:t>
            </w:r>
          </w:p>
        </w:tc>
        <w:tc>
          <w:tcPr>
            <w:tcW w:w="101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334BA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5300</w:t>
            </w:r>
          </w:p>
        </w:tc>
        <w:tc>
          <w:tcPr>
            <w:tcW w:w="83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B4ED5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3</w:t>
            </w:r>
          </w:p>
        </w:tc>
        <w:tc>
          <w:tcPr>
            <w:tcW w:w="785"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19D04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0</w:t>
            </w:r>
          </w:p>
        </w:tc>
        <w:tc>
          <w:tcPr>
            <w:tcW w:w="89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C86D3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3</w:t>
            </w:r>
          </w:p>
        </w:tc>
        <w:tc>
          <w:tcPr>
            <w:tcW w:w="859"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85C5701">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c>
          <w:tcPr>
            <w:tcW w:w="8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491119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4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3AB01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3</w:t>
            </w:r>
          </w:p>
        </w:tc>
        <w:tc>
          <w:tcPr>
            <w:tcW w:w="818"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A097F3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CB22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644"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8481C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281" w:type="dxa"/>
            <w:vMerge w:val="restart"/>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553D41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工程桩</w:t>
            </w:r>
          </w:p>
        </w:tc>
        <w:tc>
          <w:tcPr>
            <w:tcW w:w="1062" w:type="dxa"/>
            <w:vMerge w:val="restart"/>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1C87DD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旋挖钻孔灌注桩</w:t>
            </w:r>
          </w:p>
        </w:tc>
        <w:tc>
          <w:tcPr>
            <w:tcW w:w="272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3000A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Φ700</w:t>
            </w:r>
            <w:r>
              <w:rPr>
                <w:rFonts w:hint="eastAsia" w:ascii="宋体" w:hAnsi="宋体" w:eastAsia="宋体" w:cs="宋体"/>
                <w:i w:val="0"/>
                <w:iCs w:val="0"/>
                <w:color w:val="auto"/>
                <w:sz w:val="21"/>
                <w:szCs w:val="21"/>
                <w:u w:val="none"/>
                <w:lang w:val="en-US" w:eastAsia="zh-CN"/>
              </w:rPr>
              <w:t>：118枚</w:t>
            </w:r>
          </w:p>
        </w:tc>
        <w:tc>
          <w:tcPr>
            <w:tcW w:w="13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B5B24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7300</w:t>
            </w:r>
          </w:p>
        </w:tc>
        <w:tc>
          <w:tcPr>
            <w:tcW w:w="761"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758E25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10</w:t>
            </w:r>
          </w:p>
        </w:tc>
        <w:tc>
          <w:tcPr>
            <w:tcW w:w="101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81699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3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351A8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785"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44084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7300</w:t>
            </w:r>
          </w:p>
        </w:tc>
        <w:tc>
          <w:tcPr>
            <w:tcW w:w="89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AE208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9"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E25C6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02B56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4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1B5997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118</w:t>
            </w:r>
          </w:p>
        </w:tc>
        <w:tc>
          <w:tcPr>
            <w:tcW w:w="818"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7AD1E1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E3FF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644"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7FAB18FD">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5</w:t>
            </w:r>
          </w:p>
        </w:tc>
        <w:tc>
          <w:tcPr>
            <w:tcW w:w="1281" w:type="dxa"/>
            <w:vMerge w:val="continue"/>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4C181E4">
            <w:pPr>
              <w:jc w:val="center"/>
              <w:rPr>
                <w:rFonts w:hint="eastAsia" w:ascii="宋体" w:hAnsi="宋体" w:eastAsia="宋体" w:cs="宋体"/>
                <w:i w:val="0"/>
                <w:iCs w:val="0"/>
                <w:color w:val="auto"/>
                <w:sz w:val="21"/>
                <w:szCs w:val="21"/>
                <w:u w:val="none"/>
              </w:rPr>
            </w:pPr>
          </w:p>
        </w:tc>
        <w:tc>
          <w:tcPr>
            <w:tcW w:w="1062" w:type="dxa"/>
            <w:vMerge w:val="continue"/>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4F50F85C">
            <w:pPr>
              <w:jc w:val="center"/>
              <w:rPr>
                <w:rFonts w:hint="eastAsia" w:ascii="宋体" w:hAnsi="宋体" w:eastAsia="宋体" w:cs="宋体"/>
                <w:i w:val="0"/>
                <w:iCs w:val="0"/>
                <w:color w:val="auto"/>
                <w:sz w:val="21"/>
                <w:szCs w:val="21"/>
                <w:u w:val="none"/>
              </w:rPr>
            </w:pPr>
          </w:p>
        </w:tc>
        <w:tc>
          <w:tcPr>
            <w:tcW w:w="272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150CA1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Φ800</w:t>
            </w:r>
            <w:r>
              <w:rPr>
                <w:rFonts w:hint="eastAsia" w:ascii="宋体" w:hAnsi="宋体" w:eastAsia="宋体" w:cs="宋体"/>
                <w:i w:val="0"/>
                <w:iCs w:val="0"/>
                <w:color w:val="auto"/>
                <w:sz w:val="21"/>
                <w:szCs w:val="21"/>
                <w:u w:val="none"/>
                <w:lang w:val="en-US" w:eastAsia="zh-CN"/>
              </w:rPr>
              <w:t>：115枚</w:t>
            </w:r>
          </w:p>
        </w:tc>
        <w:tc>
          <w:tcPr>
            <w:tcW w:w="13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E0422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9200</w:t>
            </w:r>
          </w:p>
        </w:tc>
        <w:tc>
          <w:tcPr>
            <w:tcW w:w="761"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4BB92F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10</w:t>
            </w:r>
          </w:p>
        </w:tc>
        <w:tc>
          <w:tcPr>
            <w:tcW w:w="101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184532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3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17110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785"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6D1F7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9200</w:t>
            </w:r>
          </w:p>
        </w:tc>
        <w:tc>
          <w:tcPr>
            <w:tcW w:w="89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7B4198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9"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7C0527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9C194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4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178865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115</w:t>
            </w:r>
          </w:p>
        </w:tc>
        <w:tc>
          <w:tcPr>
            <w:tcW w:w="818"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1277F71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BB8C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jc w:val="center"/>
        </w:trPr>
        <w:tc>
          <w:tcPr>
            <w:tcW w:w="644"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7F9847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281" w:type="dxa"/>
            <w:vMerge w:val="continue"/>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702970D">
            <w:pPr>
              <w:jc w:val="center"/>
              <w:rPr>
                <w:rFonts w:hint="eastAsia" w:ascii="宋体" w:hAnsi="宋体" w:eastAsia="宋体" w:cs="宋体"/>
                <w:i w:val="0"/>
                <w:iCs w:val="0"/>
                <w:color w:val="auto"/>
                <w:sz w:val="21"/>
                <w:szCs w:val="21"/>
                <w:u w:val="none"/>
              </w:rPr>
            </w:pPr>
          </w:p>
        </w:tc>
        <w:tc>
          <w:tcPr>
            <w:tcW w:w="1062" w:type="dxa"/>
            <w:vMerge w:val="continue"/>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7F285EE5">
            <w:pPr>
              <w:jc w:val="center"/>
              <w:rPr>
                <w:rFonts w:hint="eastAsia" w:ascii="宋体" w:hAnsi="宋体" w:eastAsia="宋体" w:cs="宋体"/>
                <w:i w:val="0"/>
                <w:iCs w:val="0"/>
                <w:color w:val="auto"/>
                <w:sz w:val="21"/>
                <w:szCs w:val="21"/>
                <w:u w:val="none"/>
              </w:rPr>
            </w:pPr>
          </w:p>
        </w:tc>
        <w:tc>
          <w:tcPr>
            <w:tcW w:w="272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1A600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Φ700</w:t>
            </w:r>
            <w:r>
              <w:rPr>
                <w:rFonts w:hint="eastAsia" w:ascii="宋体" w:hAnsi="宋体" w:eastAsia="宋体" w:cs="宋体"/>
                <w:i w:val="0"/>
                <w:iCs w:val="0"/>
                <w:color w:val="auto"/>
                <w:sz w:val="21"/>
                <w:szCs w:val="21"/>
                <w:u w:val="none"/>
                <w:lang w:val="en-US" w:eastAsia="zh-CN"/>
              </w:rPr>
              <w:t>：1585枚</w:t>
            </w:r>
          </w:p>
        </w:tc>
        <w:tc>
          <w:tcPr>
            <w:tcW w:w="13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40845B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4500</w:t>
            </w:r>
          </w:p>
        </w:tc>
        <w:tc>
          <w:tcPr>
            <w:tcW w:w="761"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14834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16</w:t>
            </w:r>
          </w:p>
        </w:tc>
        <w:tc>
          <w:tcPr>
            <w:tcW w:w="101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4A87A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850</w:t>
            </w:r>
          </w:p>
        </w:tc>
        <w:tc>
          <w:tcPr>
            <w:tcW w:w="83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1FA8A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16</w:t>
            </w:r>
          </w:p>
        </w:tc>
        <w:tc>
          <w:tcPr>
            <w:tcW w:w="785"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79268B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7200</w:t>
            </w:r>
          </w:p>
        </w:tc>
        <w:tc>
          <w:tcPr>
            <w:tcW w:w="89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B58B2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9"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7B0560FA">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16</w:t>
            </w:r>
          </w:p>
        </w:tc>
        <w:tc>
          <w:tcPr>
            <w:tcW w:w="8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9FE9E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4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16D70C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1585</w:t>
            </w:r>
          </w:p>
        </w:tc>
        <w:tc>
          <w:tcPr>
            <w:tcW w:w="818"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5F3B3B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1B71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644"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45BBDF6">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7</w:t>
            </w:r>
          </w:p>
        </w:tc>
        <w:tc>
          <w:tcPr>
            <w:tcW w:w="1281" w:type="dxa"/>
            <w:vMerge w:val="continue"/>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90B0F80">
            <w:pPr>
              <w:jc w:val="center"/>
              <w:rPr>
                <w:rFonts w:hint="eastAsia" w:ascii="宋体" w:hAnsi="宋体" w:eastAsia="宋体" w:cs="宋体"/>
                <w:i w:val="0"/>
                <w:iCs w:val="0"/>
                <w:color w:val="auto"/>
                <w:sz w:val="21"/>
                <w:szCs w:val="21"/>
                <w:u w:val="none"/>
              </w:rPr>
            </w:pPr>
          </w:p>
        </w:tc>
        <w:tc>
          <w:tcPr>
            <w:tcW w:w="1062" w:type="dxa"/>
            <w:vMerge w:val="continue"/>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EA29724">
            <w:pPr>
              <w:jc w:val="center"/>
              <w:rPr>
                <w:rFonts w:hint="eastAsia" w:ascii="宋体" w:hAnsi="宋体" w:eastAsia="宋体" w:cs="宋体"/>
                <w:i w:val="0"/>
                <w:iCs w:val="0"/>
                <w:color w:val="auto"/>
                <w:sz w:val="21"/>
                <w:szCs w:val="21"/>
                <w:u w:val="none"/>
              </w:rPr>
            </w:pPr>
          </w:p>
        </w:tc>
        <w:tc>
          <w:tcPr>
            <w:tcW w:w="272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06C7B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Φ700</w:t>
            </w:r>
            <w:r>
              <w:rPr>
                <w:rFonts w:hint="eastAsia" w:ascii="宋体" w:hAnsi="宋体" w:eastAsia="宋体" w:cs="宋体"/>
                <w:i w:val="0"/>
                <w:iCs w:val="0"/>
                <w:color w:val="auto"/>
                <w:sz w:val="21"/>
                <w:szCs w:val="21"/>
                <w:u w:val="none"/>
                <w:lang w:val="en-US" w:eastAsia="zh-CN"/>
              </w:rPr>
              <w:t>：165枚</w:t>
            </w:r>
          </w:p>
        </w:tc>
        <w:tc>
          <w:tcPr>
            <w:tcW w:w="13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B2982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4500</w:t>
            </w:r>
          </w:p>
        </w:tc>
        <w:tc>
          <w:tcPr>
            <w:tcW w:w="761"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17F187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3</w:t>
            </w:r>
          </w:p>
        </w:tc>
        <w:tc>
          <w:tcPr>
            <w:tcW w:w="101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DCD01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1250</w:t>
            </w:r>
          </w:p>
        </w:tc>
        <w:tc>
          <w:tcPr>
            <w:tcW w:w="83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1833B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3</w:t>
            </w:r>
          </w:p>
        </w:tc>
        <w:tc>
          <w:tcPr>
            <w:tcW w:w="785"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73203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1350</w:t>
            </w:r>
          </w:p>
        </w:tc>
        <w:tc>
          <w:tcPr>
            <w:tcW w:w="89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75F7FE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9"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7DB2A2EA">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3</w:t>
            </w:r>
          </w:p>
        </w:tc>
        <w:tc>
          <w:tcPr>
            <w:tcW w:w="8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4060D4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4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4D7432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165</w:t>
            </w:r>
          </w:p>
        </w:tc>
        <w:tc>
          <w:tcPr>
            <w:tcW w:w="818"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065C88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7070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644"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F5DCF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281" w:type="dxa"/>
            <w:vMerge w:val="continue"/>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4DB1BF24">
            <w:pPr>
              <w:jc w:val="center"/>
              <w:rPr>
                <w:rFonts w:hint="eastAsia" w:ascii="宋体" w:hAnsi="宋体" w:eastAsia="宋体" w:cs="宋体"/>
                <w:i w:val="0"/>
                <w:iCs w:val="0"/>
                <w:color w:val="auto"/>
                <w:sz w:val="21"/>
                <w:szCs w:val="21"/>
                <w:u w:val="none"/>
              </w:rPr>
            </w:pPr>
          </w:p>
        </w:tc>
        <w:tc>
          <w:tcPr>
            <w:tcW w:w="1062" w:type="dxa"/>
            <w:vMerge w:val="continue"/>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DB485E1">
            <w:pPr>
              <w:jc w:val="center"/>
              <w:rPr>
                <w:rFonts w:hint="eastAsia" w:ascii="宋体" w:hAnsi="宋体" w:eastAsia="宋体" w:cs="宋体"/>
                <w:i w:val="0"/>
                <w:iCs w:val="0"/>
                <w:color w:val="auto"/>
                <w:sz w:val="21"/>
                <w:szCs w:val="21"/>
                <w:u w:val="none"/>
              </w:rPr>
            </w:pPr>
          </w:p>
        </w:tc>
        <w:tc>
          <w:tcPr>
            <w:tcW w:w="272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AAF66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Φ800</w:t>
            </w:r>
            <w:r>
              <w:rPr>
                <w:rFonts w:hint="eastAsia" w:ascii="宋体" w:hAnsi="宋体" w:eastAsia="宋体" w:cs="宋体"/>
                <w:i w:val="0"/>
                <w:iCs w:val="0"/>
                <w:color w:val="auto"/>
                <w:sz w:val="21"/>
                <w:szCs w:val="21"/>
                <w:u w:val="none"/>
                <w:lang w:val="en-US" w:eastAsia="zh-CN"/>
              </w:rPr>
              <w:t>：288枚</w:t>
            </w:r>
          </w:p>
        </w:tc>
        <w:tc>
          <w:tcPr>
            <w:tcW w:w="13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45E462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5300</w:t>
            </w:r>
          </w:p>
        </w:tc>
        <w:tc>
          <w:tcPr>
            <w:tcW w:w="761"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6D256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3</w:t>
            </w:r>
          </w:p>
        </w:tc>
        <w:tc>
          <w:tcPr>
            <w:tcW w:w="101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DCBF3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920</w:t>
            </w:r>
          </w:p>
        </w:tc>
        <w:tc>
          <w:tcPr>
            <w:tcW w:w="83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82189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3</w:t>
            </w:r>
          </w:p>
        </w:tc>
        <w:tc>
          <w:tcPr>
            <w:tcW w:w="785"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30411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1590</w:t>
            </w:r>
          </w:p>
        </w:tc>
        <w:tc>
          <w:tcPr>
            <w:tcW w:w="89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4CECF0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9"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E910396">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3</w:t>
            </w:r>
          </w:p>
        </w:tc>
        <w:tc>
          <w:tcPr>
            <w:tcW w:w="8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E020F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4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F34CF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288</w:t>
            </w:r>
          </w:p>
        </w:tc>
        <w:tc>
          <w:tcPr>
            <w:tcW w:w="818"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35EAE1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33B15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644"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4323D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281" w:type="dxa"/>
            <w:vMerge w:val="restart"/>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2A7C5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工程围护桩</w:t>
            </w:r>
          </w:p>
        </w:tc>
        <w:tc>
          <w:tcPr>
            <w:tcW w:w="1062" w:type="dxa"/>
            <w:vMerge w:val="restart"/>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CDDEA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旋挖钻孔灌注桩</w:t>
            </w:r>
          </w:p>
        </w:tc>
        <w:tc>
          <w:tcPr>
            <w:tcW w:w="272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F8B80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Φ700</w:t>
            </w:r>
            <w:r>
              <w:rPr>
                <w:rFonts w:hint="eastAsia" w:ascii="宋体" w:hAnsi="宋体" w:eastAsia="宋体" w:cs="宋体"/>
                <w:i w:val="0"/>
                <w:iCs w:val="0"/>
                <w:color w:val="auto"/>
                <w:sz w:val="21"/>
                <w:szCs w:val="21"/>
                <w:u w:val="none"/>
                <w:lang w:val="en-US" w:eastAsia="zh-CN"/>
              </w:rPr>
              <w:t>：</w:t>
            </w:r>
            <w:r>
              <w:rPr>
                <w:rFonts w:hint="default" w:ascii="宋体" w:hAnsi="宋体" w:eastAsia="宋体" w:cs="宋体"/>
                <w:i w:val="0"/>
                <w:iCs w:val="0"/>
                <w:color w:val="auto"/>
                <w:sz w:val="21"/>
                <w:szCs w:val="21"/>
                <w:u w:val="none"/>
                <w:lang w:val="en-US" w:eastAsia="zh-CN"/>
              </w:rPr>
              <w:t>610</w:t>
            </w:r>
            <w:r>
              <w:rPr>
                <w:rFonts w:hint="eastAsia" w:ascii="宋体" w:hAnsi="宋体" w:eastAsia="宋体" w:cs="宋体"/>
                <w:i w:val="0"/>
                <w:iCs w:val="0"/>
                <w:color w:val="auto"/>
                <w:sz w:val="21"/>
                <w:szCs w:val="21"/>
                <w:u w:val="none"/>
                <w:lang w:val="en-US" w:eastAsia="zh-CN"/>
              </w:rPr>
              <w:t>枚</w:t>
            </w:r>
          </w:p>
        </w:tc>
        <w:tc>
          <w:tcPr>
            <w:tcW w:w="13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19EA2C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761"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72CD87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01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16E439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3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6AA75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785"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443A41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0</w:t>
            </w:r>
          </w:p>
        </w:tc>
        <w:tc>
          <w:tcPr>
            <w:tcW w:w="89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A12A9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9"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70AF1D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F03C1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4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3191F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610</w:t>
            </w:r>
          </w:p>
        </w:tc>
        <w:tc>
          <w:tcPr>
            <w:tcW w:w="818"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BC1342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292D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44"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4B11D78A">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8</w:t>
            </w:r>
          </w:p>
        </w:tc>
        <w:tc>
          <w:tcPr>
            <w:tcW w:w="1281" w:type="dxa"/>
            <w:vMerge w:val="continue"/>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48AA5E31">
            <w:pPr>
              <w:jc w:val="center"/>
              <w:rPr>
                <w:rFonts w:hint="eastAsia" w:ascii="宋体" w:hAnsi="宋体" w:eastAsia="宋体" w:cs="宋体"/>
                <w:i w:val="0"/>
                <w:iCs w:val="0"/>
                <w:color w:val="auto"/>
                <w:sz w:val="21"/>
                <w:szCs w:val="21"/>
                <w:u w:val="none"/>
              </w:rPr>
            </w:pPr>
          </w:p>
        </w:tc>
        <w:tc>
          <w:tcPr>
            <w:tcW w:w="1062" w:type="dxa"/>
            <w:vMerge w:val="continue"/>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1497CF68">
            <w:pPr>
              <w:jc w:val="center"/>
              <w:rPr>
                <w:rFonts w:hint="eastAsia" w:ascii="宋体" w:hAnsi="宋体" w:eastAsia="宋体" w:cs="宋体"/>
                <w:i w:val="0"/>
                <w:iCs w:val="0"/>
                <w:color w:val="auto"/>
                <w:sz w:val="21"/>
                <w:szCs w:val="21"/>
                <w:u w:val="none"/>
              </w:rPr>
            </w:pPr>
          </w:p>
        </w:tc>
        <w:tc>
          <w:tcPr>
            <w:tcW w:w="272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1CD32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Φ800</w:t>
            </w:r>
            <w:r>
              <w:rPr>
                <w:rFonts w:hint="eastAsia" w:ascii="宋体" w:hAnsi="宋体" w:eastAsia="宋体" w:cs="宋体"/>
                <w:i w:val="0"/>
                <w:iCs w:val="0"/>
                <w:color w:val="auto"/>
                <w:sz w:val="21"/>
                <w:szCs w:val="21"/>
                <w:u w:val="none"/>
                <w:lang w:val="en-US" w:eastAsia="zh-CN"/>
              </w:rPr>
              <w:t>：</w:t>
            </w:r>
            <w:r>
              <w:rPr>
                <w:rFonts w:hint="default" w:ascii="宋体" w:hAnsi="宋体" w:eastAsia="宋体" w:cs="宋体"/>
                <w:i w:val="0"/>
                <w:iCs w:val="0"/>
                <w:color w:val="auto"/>
                <w:sz w:val="21"/>
                <w:szCs w:val="21"/>
                <w:u w:val="none"/>
                <w:lang w:val="en-US" w:eastAsia="zh-CN"/>
              </w:rPr>
              <w:t>532</w:t>
            </w:r>
            <w:r>
              <w:rPr>
                <w:rFonts w:hint="eastAsia" w:ascii="宋体" w:hAnsi="宋体" w:eastAsia="宋体" w:cs="宋体"/>
                <w:i w:val="0"/>
                <w:iCs w:val="0"/>
                <w:color w:val="auto"/>
                <w:sz w:val="21"/>
                <w:szCs w:val="21"/>
                <w:u w:val="none"/>
                <w:lang w:val="en-US" w:eastAsia="zh-CN"/>
              </w:rPr>
              <w:t>枚</w:t>
            </w:r>
          </w:p>
        </w:tc>
        <w:tc>
          <w:tcPr>
            <w:tcW w:w="13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47E30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761"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150C83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01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A220A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3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1C0ACE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785"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414D65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0</w:t>
            </w:r>
          </w:p>
        </w:tc>
        <w:tc>
          <w:tcPr>
            <w:tcW w:w="89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30F9E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9"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9C2A9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D12E5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4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4E4134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532</w:t>
            </w:r>
          </w:p>
        </w:tc>
        <w:tc>
          <w:tcPr>
            <w:tcW w:w="818"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487A713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F092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644"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5D82E55">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9</w:t>
            </w:r>
          </w:p>
        </w:tc>
        <w:tc>
          <w:tcPr>
            <w:tcW w:w="1281" w:type="dxa"/>
            <w:vMerge w:val="continue"/>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6990189">
            <w:pPr>
              <w:jc w:val="center"/>
              <w:rPr>
                <w:rFonts w:hint="eastAsia" w:ascii="宋体" w:hAnsi="宋体" w:eastAsia="宋体" w:cs="宋体"/>
                <w:i w:val="0"/>
                <w:iCs w:val="0"/>
                <w:color w:val="auto"/>
                <w:sz w:val="21"/>
                <w:szCs w:val="21"/>
                <w:u w:val="none"/>
              </w:rPr>
            </w:pPr>
          </w:p>
        </w:tc>
        <w:tc>
          <w:tcPr>
            <w:tcW w:w="1062" w:type="dxa"/>
            <w:vMerge w:val="continue"/>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4363FF7B">
            <w:pPr>
              <w:jc w:val="center"/>
              <w:rPr>
                <w:rFonts w:hint="eastAsia" w:ascii="宋体" w:hAnsi="宋体" w:eastAsia="宋体" w:cs="宋体"/>
                <w:i w:val="0"/>
                <w:iCs w:val="0"/>
                <w:color w:val="auto"/>
                <w:sz w:val="21"/>
                <w:szCs w:val="21"/>
                <w:u w:val="none"/>
              </w:rPr>
            </w:pPr>
          </w:p>
        </w:tc>
        <w:tc>
          <w:tcPr>
            <w:tcW w:w="272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7E094F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高压旋喷</w:t>
            </w:r>
            <w:r>
              <w:rPr>
                <w:rFonts w:hint="default" w:ascii="宋体" w:hAnsi="宋体" w:eastAsia="宋体" w:cs="宋体"/>
                <w:i w:val="0"/>
                <w:iCs w:val="0"/>
                <w:color w:val="auto"/>
                <w:sz w:val="21"/>
                <w:szCs w:val="21"/>
                <w:u w:val="none"/>
                <w:lang w:val="en-US" w:eastAsia="zh-CN"/>
              </w:rPr>
              <w:t>Φ700</w:t>
            </w:r>
            <w:r>
              <w:rPr>
                <w:rFonts w:hint="eastAsia" w:ascii="宋体" w:hAnsi="宋体" w:eastAsia="宋体" w:cs="宋体"/>
                <w:i w:val="0"/>
                <w:iCs w:val="0"/>
                <w:color w:val="auto"/>
                <w:sz w:val="21"/>
                <w:szCs w:val="21"/>
                <w:u w:val="none"/>
                <w:lang w:val="en-US" w:eastAsia="zh-CN"/>
              </w:rPr>
              <w:t>：</w:t>
            </w:r>
            <w:r>
              <w:rPr>
                <w:rFonts w:hint="default" w:ascii="宋体" w:hAnsi="宋体" w:eastAsia="宋体" w:cs="宋体"/>
                <w:i w:val="0"/>
                <w:iCs w:val="0"/>
                <w:color w:val="auto"/>
                <w:sz w:val="21"/>
                <w:szCs w:val="21"/>
                <w:u w:val="none"/>
                <w:lang w:val="en-US" w:eastAsia="zh-CN"/>
              </w:rPr>
              <w:t>2141</w:t>
            </w:r>
            <w:r>
              <w:rPr>
                <w:rFonts w:hint="eastAsia" w:ascii="宋体" w:hAnsi="宋体" w:eastAsia="宋体" w:cs="宋体"/>
                <w:i w:val="0"/>
                <w:iCs w:val="0"/>
                <w:color w:val="auto"/>
                <w:sz w:val="21"/>
                <w:szCs w:val="21"/>
                <w:u w:val="none"/>
                <w:lang w:val="en-US" w:eastAsia="zh-CN"/>
              </w:rPr>
              <w:t>枚</w:t>
            </w:r>
          </w:p>
        </w:tc>
        <w:tc>
          <w:tcPr>
            <w:tcW w:w="13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4DE486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761"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A2C23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01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11244A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3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06D80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785"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840A1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0</w:t>
            </w:r>
          </w:p>
        </w:tc>
        <w:tc>
          <w:tcPr>
            <w:tcW w:w="89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786F37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9"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03BA9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7D342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4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E0421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2141</w:t>
            </w:r>
          </w:p>
        </w:tc>
        <w:tc>
          <w:tcPr>
            <w:tcW w:w="818"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DEA15C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E322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5710" w:type="dxa"/>
            <w:gridSpan w:val="4"/>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1314AC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2"/>
                <w:sz w:val="21"/>
                <w:szCs w:val="21"/>
                <w:u w:val="none"/>
                <w:lang w:val="en-US" w:eastAsia="zh-CN" w:bidi="ar-SA"/>
              </w:rPr>
              <w:t>数量小计</w:t>
            </w:r>
          </w:p>
        </w:tc>
        <w:tc>
          <w:tcPr>
            <w:tcW w:w="13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DCD83FD">
            <w:pPr>
              <w:jc w:val="center"/>
              <w:rPr>
                <w:rFonts w:hint="eastAsia" w:ascii="宋体" w:hAnsi="宋体" w:eastAsia="宋体" w:cs="宋体"/>
                <w:i w:val="0"/>
                <w:iCs w:val="0"/>
                <w:color w:val="auto"/>
                <w:sz w:val="21"/>
                <w:szCs w:val="21"/>
                <w:u w:val="none"/>
              </w:rPr>
            </w:pPr>
          </w:p>
        </w:tc>
        <w:tc>
          <w:tcPr>
            <w:tcW w:w="761"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B3208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48</w:t>
            </w:r>
          </w:p>
        </w:tc>
        <w:tc>
          <w:tcPr>
            <w:tcW w:w="101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B84CA5E">
            <w:pPr>
              <w:jc w:val="center"/>
              <w:rPr>
                <w:rFonts w:hint="eastAsia" w:ascii="宋体" w:hAnsi="宋体" w:eastAsia="宋体" w:cs="宋体"/>
                <w:i w:val="0"/>
                <w:iCs w:val="0"/>
                <w:color w:val="auto"/>
                <w:sz w:val="21"/>
                <w:szCs w:val="21"/>
                <w:u w:val="none"/>
              </w:rPr>
            </w:pPr>
          </w:p>
        </w:tc>
        <w:tc>
          <w:tcPr>
            <w:tcW w:w="83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73A537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25</w:t>
            </w:r>
          </w:p>
        </w:tc>
        <w:tc>
          <w:tcPr>
            <w:tcW w:w="785"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564799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30990</w:t>
            </w:r>
          </w:p>
        </w:tc>
        <w:tc>
          <w:tcPr>
            <w:tcW w:w="89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1DA997AE">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default" w:ascii="宋体" w:hAnsi="宋体" w:eastAsia="宋体" w:cs="宋体"/>
                <w:b/>
                <w:bCs/>
                <w:i w:val="0"/>
                <w:iCs w:val="0"/>
                <w:color w:val="auto"/>
                <w:kern w:val="0"/>
                <w:sz w:val="21"/>
                <w:szCs w:val="21"/>
                <w:u w:val="none"/>
                <w:lang w:val="en-US" w:eastAsia="zh-CN" w:bidi="ar"/>
              </w:rPr>
              <w:t>3</w:t>
            </w:r>
          </w:p>
        </w:tc>
        <w:tc>
          <w:tcPr>
            <w:tcW w:w="859"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517C684">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default" w:ascii="宋体" w:hAnsi="宋体" w:eastAsia="宋体" w:cs="宋体"/>
                <w:b/>
                <w:bCs/>
                <w:i w:val="0"/>
                <w:iCs w:val="0"/>
                <w:color w:val="auto"/>
                <w:kern w:val="0"/>
                <w:sz w:val="21"/>
                <w:szCs w:val="21"/>
                <w:u w:val="none"/>
                <w:lang w:val="en-US" w:eastAsia="zh-CN" w:bidi="ar"/>
              </w:rPr>
              <w:t>22</w:t>
            </w:r>
          </w:p>
        </w:tc>
        <w:tc>
          <w:tcPr>
            <w:tcW w:w="8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10EA4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21</w:t>
            </w:r>
          </w:p>
        </w:tc>
        <w:tc>
          <w:tcPr>
            <w:tcW w:w="84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709B227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5563</w:t>
            </w:r>
          </w:p>
        </w:tc>
        <w:tc>
          <w:tcPr>
            <w:tcW w:w="818"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82CBA07">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22</w:t>
            </w:r>
          </w:p>
        </w:tc>
      </w:tr>
    </w:tbl>
    <w:p w14:paraId="5334E4B1">
      <w:pPr>
        <w:pStyle w:val="2"/>
        <w:rPr>
          <w:rFonts w:hint="eastAsia"/>
          <w:lang w:val="en-US" w:eastAsia="zh-CN"/>
        </w:rPr>
      </w:pPr>
    </w:p>
    <w:p w14:paraId="3B110281">
      <w:pPr>
        <w:pStyle w:val="2"/>
        <w:rPr>
          <w:rFonts w:hint="eastAsia"/>
          <w:lang w:val="en-US" w:eastAsia="zh-CN"/>
        </w:rPr>
        <w:sectPr>
          <w:pgSz w:w="16838" w:h="11906" w:orient="landscape"/>
          <w:pgMar w:top="1418" w:right="1276" w:bottom="1418" w:left="1247" w:header="851" w:footer="992" w:gutter="0"/>
          <w:cols w:space="720" w:num="1"/>
          <w:titlePg/>
          <w:docGrid w:linePitch="312" w:charSpace="0"/>
        </w:sectPr>
      </w:pPr>
      <w:r>
        <w:rPr>
          <w:rFonts w:hint="eastAsia"/>
          <w:lang w:val="en-US" w:eastAsia="zh-CN"/>
        </w:rPr>
        <w:t>注：以上统计不作为最终检测数量，以备案检测数量为准，结算时按实结算。</w:t>
      </w:r>
    </w:p>
    <w:p w14:paraId="559C3E47">
      <w:pPr>
        <w:pStyle w:val="2"/>
        <w:rPr>
          <w:rFonts w:hint="eastAsia"/>
          <w:lang w:val="en-US" w:eastAsia="zh-CN"/>
        </w:rPr>
      </w:pPr>
    </w:p>
    <w:p w14:paraId="70CFD421">
      <w:pPr>
        <w:spacing w:line="360" w:lineRule="auto"/>
        <w:ind w:firstLine="562" w:firstLineChars="200"/>
        <w:jc w:val="center"/>
        <w:rPr>
          <w:rFonts w:hint="default" w:ascii="宋体" w:hAnsi="宋体" w:eastAsia="宋体"/>
          <w:b/>
          <w:bCs/>
          <w:color w:val="auto"/>
          <w:sz w:val="28"/>
          <w:szCs w:val="28"/>
          <w:highlight w:val="none"/>
          <w:lang w:val="en-US" w:eastAsia="zh-CN"/>
        </w:rPr>
      </w:pPr>
      <w:r>
        <w:rPr>
          <w:rFonts w:hint="eastAsia" w:ascii="宋体" w:hAnsi="宋体" w:cs="宋体"/>
          <w:b/>
          <w:bCs/>
          <w:color w:val="auto"/>
          <w:sz w:val="28"/>
          <w:szCs w:val="28"/>
          <w:highlight w:val="none"/>
        </w:rPr>
        <w:t>二、</w:t>
      </w:r>
      <w:bookmarkEnd w:id="30"/>
      <w:bookmarkEnd w:id="31"/>
      <w:r>
        <w:rPr>
          <w:rFonts w:hint="eastAsia" w:ascii="宋体" w:hAnsi="宋体" w:cs="宋体"/>
          <w:b/>
          <w:bCs/>
          <w:color w:val="auto"/>
          <w:sz w:val="28"/>
          <w:szCs w:val="28"/>
          <w:highlight w:val="none"/>
          <w:lang w:val="en-US" w:eastAsia="zh-CN"/>
        </w:rPr>
        <w:t>服务要求</w:t>
      </w:r>
    </w:p>
    <w:p w14:paraId="6B70D4E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outlineLvl w:val="1"/>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（一）检测的技术标准：</w:t>
      </w:r>
    </w:p>
    <w:p w14:paraId="7D3DC4A2">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符合桩基检测相关规范、标准及设计相关文件要求：</w:t>
      </w:r>
    </w:p>
    <w:p w14:paraId="3F06972D">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1.《建筑基桩检测技术规范》（JGJ106-2014)</w:t>
      </w:r>
    </w:p>
    <w:p w14:paraId="2F07681D">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2.《建筑地基处理技术规范》（JGJ79-2012）</w:t>
      </w:r>
    </w:p>
    <w:p w14:paraId="314BB810">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3.《建筑地基基础工程施工质量验收规范》（GB50202-2002）</w:t>
      </w:r>
    </w:p>
    <w:p w14:paraId="5A90BE97">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4.现行的有关国家、地方、行业技术规范、规程和规定。</w:t>
      </w:r>
    </w:p>
    <w:p w14:paraId="3CD6831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outlineLvl w:val="1"/>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（二）检测要求：</w:t>
      </w:r>
    </w:p>
    <w:p w14:paraId="59139683">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1.检测周期要求：接采购人通知后3天内进场，且进度必须满足总包施工进度要求。</w:t>
      </w:r>
    </w:p>
    <w:p w14:paraId="7B3534D5">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2.质量要求：提供奉化区建筑工程质量监督部门认可的检测报告。</w:t>
      </w:r>
    </w:p>
    <w:p w14:paraId="207D575C">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3.安全要求：无安全事故。</w:t>
      </w:r>
    </w:p>
    <w:p w14:paraId="3865435E">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4.设备要求：根据施工进度要求，中标人需配备2套及以上检测设备，检测完成后需及时出具检测报告。</w:t>
      </w:r>
    </w:p>
    <w:p w14:paraId="15F725DA">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5.成果要求：各项桩基检测需出具中间临时报告，要求在每批次检测完毕后2天内提供，现场检测完成后5天内提供满足奉化区质监站备案要求的《基桩检测报告》数量暂定为六份。具体桩基检测报告份数可按采购人的实际需求进行调整，中标人不得向采购人另收工本费。</w:t>
      </w:r>
    </w:p>
    <w:p w14:paraId="2E0F820C">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6.按照采购人提供的有关项目的经过批准的设计文件和满足施工图设计要求的勘察资料，以及有关的技术资料，进行协助（包括试验数量、比例和分布位置等）；按照验收规范、技术标准、规程及其他相关的规定，结合施工图设计具体要求等，满足试验技术要求。</w:t>
      </w:r>
    </w:p>
    <w:p w14:paraId="6C00BCA6">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7.中标人对所承担试验项目在试验前应进行现场踏勘，解决试验过程中可能出现的有关问题，按照现行规范、标准、规程和技术条例，提供试验仪器及设备，配备现场设备的安装和试验，进行现场试验；</w:t>
      </w:r>
    </w:p>
    <w:p w14:paraId="2DE860BA">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8.中标人应对检测工作的质量负责，并对现场试验情况及检测报告内容保密。</w:t>
      </w:r>
    </w:p>
    <w:p w14:paraId="52E59BD4">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9.招标的桩基检测内容进行设计优化和甩项后导致工程量减少，中标人应无条件服从,费用不予补偿。</w:t>
      </w:r>
    </w:p>
    <w:p w14:paraId="5025B0E9">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10.根据政策文件及项目实际需求，甲方有权取消相关检测内容，乙方对此予以理解，并不提出费用索赔。</w:t>
      </w:r>
    </w:p>
    <w:p w14:paraId="46BB2F66">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11.检测过程中的场内交通道路组织由投标人根据现有情况，自己解决。</w:t>
      </w:r>
    </w:p>
    <w:p w14:paraId="689C7EA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outlineLvl w:val="1"/>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（三）工程检测质量保证措施：</w:t>
      </w:r>
    </w:p>
    <w:p w14:paraId="42DC9BA0">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1.检测现场实行项目负责人负责制，按检测规程要求建立岗位责任制，制定检测程序质量控制体系。</w:t>
      </w:r>
    </w:p>
    <w:p w14:paraId="1298C41F">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2.工地实行项目负责人责任制，现场检测人员密切协调作好工程检测，及时解决检测中发生的问题。</w:t>
      </w:r>
    </w:p>
    <w:p w14:paraId="6A703559">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3.合理的人员劳动组合和严密的质量保证体系是确保工程检测质量、及时配合采购人检测时间要求的有效措施，检测技术人员选用公司技术水平最高，具有多年实践经验。</w:t>
      </w:r>
    </w:p>
    <w:p w14:paraId="2CA1DC0A">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完善的后勤服务体系也是确保检测工期、质量的一个有效途径。所以在检测现场设置检测办公室（由总承包单位提供），将所有有关检测的仪器设备和配件等应用物件准备齐全，以保证检测顺利进行。检测人员和辅助人员值班住在现场，以最快的速度第一时间出现在要检测的现场，以更好的配合采购人的检测时间要求。</w:t>
      </w:r>
    </w:p>
    <w:p w14:paraId="2041FDC0">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5.加强国家和浙江省宁波市有关检测规范的学习。建立检测工作日志,对出现检测异常的现象进行逐个分析和研究,不找出原因,绝不停止。</w:t>
      </w:r>
    </w:p>
    <w:p w14:paraId="036BF7B2">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kern w:val="0"/>
          <w:sz w:val="24"/>
          <w:highlight w:val="yellow"/>
          <w:lang w:val="en-US" w:eastAsia="zh-CN"/>
        </w:rPr>
      </w:pPr>
      <w:r>
        <w:rPr>
          <w:rFonts w:hint="eastAsia" w:asciiTheme="minorEastAsia" w:hAnsiTheme="minorEastAsia" w:eastAsiaTheme="minorEastAsia" w:cstheme="minorEastAsia"/>
          <w:color w:val="auto"/>
          <w:kern w:val="0"/>
          <w:sz w:val="24"/>
          <w:highlight w:val="none"/>
          <w:lang w:val="en-US" w:eastAsia="zh-CN"/>
        </w:rPr>
        <w:t>6.试验仪器设备：用于本工程的检测仪器设备,必须全部使用符合国家规范要求的,必须经过出厂标定或后期国家法定部门标定。对于一些检测仪器配件要准备充足且能有效使用,以备检测仪器设备出现故障能及时维修修理。所有仪器设备必须摆放在清洁、干爽之地,需设立专门保管人员。</w:t>
      </w:r>
    </w:p>
    <w:p w14:paraId="29BCB0FF">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7.现场检测时配备专职记录员，按规定做好各种原始记录，填写好各类检测记录表。检测结束后要按要求及时整理保存。</w:t>
      </w:r>
    </w:p>
    <w:p w14:paraId="044FB02D">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8.检测仪器用电，不得随意拖拉连接电源。必须采用严格的保护措施，以防漏电、跑电等不安全的现象出现。</w:t>
      </w:r>
    </w:p>
    <w:p w14:paraId="5B7A885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outlineLvl w:val="1"/>
        <w:rPr>
          <w:rFonts w:hint="eastAsia" w:asciiTheme="minorEastAsia" w:hAnsiTheme="minorEastAsia" w:eastAsiaTheme="minorEastAsia" w:cstheme="minorEastAsia"/>
          <w:b/>
          <w:color w:val="auto"/>
          <w:sz w:val="24"/>
          <w:highlight w:val="none"/>
          <w:lang w:val="en-US" w:eastAsia="zh-CN"/>
        </w:rPr>
      </w:pPr>
      <w:r>
        <w:rPr>
          <w:rFonts w:hint="eastAsia" w:cs="仿宋" w:asciiTheme="majorEastAsia" w:hAnsiTheme="majorEastAsia" w:eastAsiaTheme="majorEastAsia"/>
          <w:color w:val="auto"/>
          <w:sz w:val="24"/>
          <w:highlight w:val="none"/>
        </w:rPr>
        <w:t>▲</w:t>
      </w:r>
      <w:r>
        <w:rPr>
          <w:rFonts w:hint="eastAsia" w:asciiTheme="minorEastAsia" w:hAnsiTheme="minorEastAsia" w:eastAsiaTheme="minorEastAsia" w:cstheme="minorEastAsia"/>
          <w:b/>
          <w:color w:val="auto"/>
          <w:sz w:val="24"/>
          <w:highlight w:val="none"/>
          <w:lang w:val="en-US" w:eastAsia="zh-CN"/>
        </w:rPr>
        <w:t>（四）对本项目桩基检测人员配备的要求</w:t>
      </w:r>
    </w:p>
    <w:tbl>
      <w:tblPr>
        <w:tblStyle w:val="19"/>
        <w:tblW w:w="89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3"/>
        <w:gridCol w:w="1545"/>
        <w:gridCol w:w="6270"/>
        <w:gridCol w:w="675"/>
      </w:tblGrid>
      <w:tr w14:paraId="3586D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413" w:type="dxa"/>
            <w:vAlign w:val="center"/>
          </w:tcPr>
          <w:p w14:paraId="490154AD">
            <w:pPr>
              <w:pStyle w:val="53"/>
              <w:shd w:val="clear"/>
              <w:spacing w:line="360" w:lineRule="exact"/>
              <w:ind w:left="7" w:right="16"/>
              <w:jc w:val="center"/>
              <w:rPr>
                <w:color w:val="auto"/>
                <w:highlight w:val="none"/>
              </w:rPr>
            </w:pPr>
            <w:r>
              <w:rPr>
                <w:rFonts w:hint="eastAsia"/>
                <w:color w:val="auto"/>
                <w:highlight w:val="none"/>
              </w:rPr>
              <w:t>序号</w:t>
            </w:r>
          </w:p>
        </w:tc>
        <w:tc>
          <w:tcPr>
            <w:tcW w:w="1545" w:type="dxa"/>
          </w:tcPr>
          <w:p w14:paraId="19330C96">
            <w:pPr>
              <w:pStyle w:val="53"/>
              <w:shd w:val="clear"/>
              <w:spacing w:line="360" w:lineRule="exact"/>
              <w:ind w:left="7" w:right="16"/>
              <w:jc w:val="center"/>
              <w:rPr>
                <w:color w:val="auto"/>
                <w:highlight w:val="none"/>
              </w:rPr>
            </w:pPr>
            <w:r>
              <w:rPr>
                <w:rFonts w:hint="eastAsia"/>
                <w:color w:val="auto"/>
                <w:highlight w:val="none"/>
              </w:rPr>
              <w:t>本工程各专业岗位负责人</w:t>
            </w:r>
          </w:p>
        </w:tc>
        <w:tc>
          <w:tcPr>
            <w:tcW w:w="6270" w:type="dxa"/>
            <w:vAlign w:val="center"/>
          </w:tcPr>
          <w:p w14:paraId="1DEC84B3">
            <w:pPr>
              <w:pStyle w:val="53"/>
              <w:shd w:val="clear"/>
              <w:spacing w:line="360" w:lineRule="exact"/>
              <w:ind w:right="16"/>
              <w:jc w:val="center"/>
              <w:rPr>
                <w:color w:val="auto"/>
                <w:highlight w:val="none"/>
              </w:rPr>
            </w:pPr>
            <w:r>
              <w:rPr>
                <w:rFonts w:hint="eastAsia"/>
                <w:color w:val="auto"/>
                <w:highlight w:val="none"/>
              </w:rPr>
              <w:t>注册证书或技术职称或岗位证书要求</w:t>
            </w:r>
          </w:p>
        </w:tc>
        <w:tc>
          <w:tcPr>
            <w:tcW w:w="675" w:type="dxa"/>
            <w:vAlign w:val="center"/>
          </w:tcPr>
          <w:p w14:paraId="1E4705F8">
            <w:pPr>
              <w:pStyle w:val="53"/>
              <w:shd w:val="clear"/>
              <w:spacing w:line="360" w:lineRule="exact"/>
              <w:ind w:left="7" w:right="16"/>
              <w:jc w:val="center"/>
              <w:rPr>
                <w:color w:val="auto"/>
                <w:highlight w:val="none"/>
              </w:rPr>
            </w:pPr>
            <w:r>
              <w:rPr>
                <w:rFonts w:hint="eastAsia"/>
                <w:color w:val="auto"/>
                <w:highlight w:val="none"/>
              </w:rPr>
              <w:t>人数要求</w:t>
            </w:r>
          </w:p>
        </w:tc>
      </w:tr>
      <w:tr w14:paraId="0F231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413" w:type="dxa"/>
            <w:vAlign w:val="center"/>
          </w:tcPr>
          <w:p w14:paraId="286B497B">
            <w:pPr>
              <w:pStyle w:val="53"/>
              <w:shd w:val="clear"/>
              <w:jc w:val="center"/>
              <w:rPr>
                <w:b/>
                <w:color w:val="auto"/>
                <w:sz w:val="24"/>
                <w:szCs w:val="24"/>
                <w:highlight w:val="none"/>
              </w:rPr>
            </w:pPr>
            <w:r>
              <w:rPr>
                <w:rFonts w:hint="eastAsia"/>
                <w:bCs/>
                <w:color w:val="auto"/>
                <w:w w:val="98"/>
                <w:highlight w:val="none"/>
              </w:rPr>
              <w:t>1</w:t>
            </w:r>
          </w:p>
        </w:tc>
        <w:tc>
          <w:tcPr>
            <w:tcW w:w="1545" w:type="dxa"/>
            <w:vAlign w:val="center"/>
          </w:tcPr>
          <w:p w14:paraId="087B50E2">
            <w:pPr>
              <w:pStyle w:val="53"/>
              <w:shd w:val="clear"/>
              <w:spacing w:line="360" w:lineRule="exact"/>
              <w:jc w:val="center"/>
              <w:rPr>
                <w:color w:val="auto"/>
                <w:highlight w:val="none"/>
              </w:rPr>
            </w:pPr>
            <w:r>
              <w:rPr>
                <w:rFonts w:hint="eastAsia"/>
                <w:color w:val="auto"/>
                <w:highlight w:val="none"/>
              </w:rPr>
              <w:t>项目负责人</w:t>
            </w:r>
          </w:p>
        </w:tc>
        <w:tc>
          <w:tcPr>
            <w:tcW w:w="6270" w:type="dxa"/>
          </w:tcPr>
          <w:p w14:paraId="3EEF1AA1">
            <w:pPr>
              <w:pStyle w:val="53"/>
              <w:shd w:val="clear"/>
              <w:spacing w:line="360" w:lineRule="exact"/>
              <w:ind w:right="16"/>
              <w:rPr>
                <w:color w:val="auto"/>
                <w:highlight w:val="none"/>
              </w:rPr>
            </w:pPr>
            <w:r>
              <w:rPr>
                <w:rFonts w:hint="eastAsia" w:ascii="宋体" w:hAnsi="宋体" w:eastAsia="宋体" w:cs="宋体"/>
                <w:color w:val="auto"/>
                <w:highlight w:val="none"/>
                <w:lang w:val="en-US" w:eastAsia="zh-CN"/>
              </w:rPr>
              <w:t>工程师及以上技术职称，具有省级建设质量管理协会颁发的建设工程检测人员培训合格证或岗位证书（建设工程地基基础检测专业）或注册土木工程师(岩土)资格，同时须提交2024年</w:t>
            </w:r>
            <w:r>
              <w:rPr>
                <w:rFonts w:hint="eastAsia" w:cs="宋体"/>
                <w:color w:val="auto"/>
                <w:highlight w:val="none"/>
                <w:lang w:val="en-US" w:eastAsia="zh-CN"/>
              </w:rPr>
              <w:t>11</w:t>
            </w:r>
            <w:r>
              <w:rPr>
                <w:rFonts w:hint="eastAsia" w:ascii="宋体" w:hAnsi="宋体" w:eastAsia="宋体" w:cs="宋体"/>
                <w:color w:val="auto"/>
                <w:highlight w:val="none"/>
                <w:lang w:val="en-US" w:eastAsia="zh-CN"/>
              </w:rPr>
              <w:t>月、</w:t>
            </w:r>
            <w:r>
              <w:rPr>
                <w:rFonts w:hint="eastAsia" w:cs="宋体"/>
                <w:color w:val="auto"/>
                <w:highlight w:val="none"/>
                <w:lang w:val="en-US" w:eastAsia="zh-CN"/>
              </w:rPr>
              <w:t>2024年12</w:t>
            </w:r>
            <w:r>
              <w:rPr>
                <w:rFonts w:hint="eastAsia" w:ascii="宋体" w:hAnsi="宋体" w:eastAsia="宋体" w:cs="宋体"/>
                <w:color w:val="auto"/>
                <w:highlight w:val="none"/>
                <w:lang w:val="en-US" w:eastAsia="zh-CN"/>
              </w:rPr>
              <w:t>月、</w:t>
            </w:r>
            <w:r>
              <w:rPr>
                <w:rFonts w:hint="eastAsia" w:cs="宋体"/>
                <w:color w:val="auto"/>
                <w:highlight w:val="none"/>
                <w:lang w:val="en-US" w:eastAsia="zh-CN"/>
              </w:rPr>
              <w:t>2025年1</w:t>
            </w:r>
            <w:r>
              <w:rPr>
                <w:rFonts w:hint="eastAsia" w:ascii="宋体" w:hAnsi="宋体" w:eastAsia="宋体" w:cs="宋体"/>
                <w:color w:val="auto"/>
                <w:highlight w:val="none"/>
                <w:lang w:val="en-US" w:eastAsia="zh-CN"/>
              </w:rPr>
              <w:t>月三个月任意一个月的社会保险缴纳证明。</w:t>
            </w:r>
          </w:p>
        </w:tc>
        <w:tc>
          <w:tcPr>
            <w:tcW w:w="675" w:type="dxa"/>
            <w:vAlign w:val="center"/>
          </w:tcPr>
          <w:p w14:paraId="6069C92D">
            <w:pPr>
              <w:pStyle w:val="53"/>
              <w:shd w:val="clear"/>
              <w:spacing w:line="360" w:lineRule="exact"/>
              <w:jc w:val="center"/>
              <w:rPr>
                <w:color w:val="auto"/>
                <w:sz w:val="24"/>
                <w:szCs w:val="24"/>
                <w:highlight w:val="none"/>
              </w:rPr>
            </w:pPr>
            <w:r>
              <w:rPr>
                <w:rFonts w:hint="eastAsia"/>
                <w:color w:val="auto"/>
                <w:w w:val="99"/>
                <w:sz w:val="24"/>
                <w:szCs w:val="24"/>
                <w:highlight w:val="none"/>
              </w:rPr>
              <w:t>1</w:t>
            </w:r>
          </w:p>
        </w:tc>
      </w:tr>
      <w:tr w14:paraId="0104C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13" w:type="dxa"/>
            <w:vAlign w:val="center"/>
          </w:tcPr>
          <w:p w14:paraId="0EF07EA3">
            <w:pPr>
              <w:pStyle w:val="53"/>
              <w:shd w:val="clear"/>
              <w:jc w:val="center"/>
              <w:rPr>
                <w:color w:val="auto"/>
                <w:sz w:val="24"/>
                <w:szCs w:val="24"/>
                <w:highlight w:val="none"/>
              </w:rPr>
            </w:pPr>
            <w:r>
              <w:rPr>
                <w:rFonts w:hint="eastAsia"/>
                <w:color w:val="auto"/>
                <w:w w:val="99"/>
                <w:highlight w:val="none"/>
              </w:rPr>
              <w:t>2</w:t>
            </w:r>
          </w:p>
        </w:tc>
        <w:tc>
          <w:tcPr>
            <w:tcW w:w="1545" w:type="dxa"/>
            <w:vAlign w:val="center"/>
          </w:tcPr>
          <w:p w14:paraId="6C1CE9D5">
            <w:pPr>
              <w:pStyle w:val="53"/>
              <w:shd w:val="clear"/>
              <w:spacing w:line="360" w:lineRule="exact"/>
              <w:jc w:val="center"/>
              <w:rPr>
                <w:color w:val="auto"/>
                <w:highlight w:val="none"/>
              </w:rPr>
            </w:pPr>
            <w:r>
              <w:rPr>
                <w:rFonts w:hint="eastAsia"/>
                <w:color w:val="auto"/>
                <w:highlight w:val="none"/>
              </w:rPr>
              <w:t>技术负责人</w:t>
            </w:r>
          </w:p>
        </w:tc>
        <w:tc>
          <w:tcPr>
            <w:tcW w:w="6270" w:type="dxa"/>
          </w:tcPr>
          <w:p w14:paraId="7E58A7AA">
            <w:pPr>
              <w:pStyle w:val="53"/>
              <w:shd w:val="clear"/>
              <w:spacing w:line="360" w:lineRule="exact"/>
              <w:ind w:right="16"/>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工程师及以上技术职称，且具有省级建设质量管理协会颁发的建设工程检测人员培训合格证或岗位证书（建设工程地基基础检测专业），同时须提交2024年11月、2024年12月、2025年1月三个月任意一个月的社会保险缴纳证明。</w:t>
            </w:r>
          </w:p>
        </w:tc>
        <w:tc>
          <w:tcPr>
            <w:tcW w:w="675" w:type="dxa"/>
            <w:vAlign w:val="center"/>
          </w:tcPr>
          <w:p w14:paraId="729875FC">
            <w:pPr>
              <w:pStyle w:val="53"/>
              <w:shd w:val="clear"/>
              <w:spacing w:line="360" w:lineRule="exact"/>
              <w:jc w:val="center"/>
              <w:rPr>
                <w:color w:val="auto"/>
                <w:sz w:val="24"/>
                <w:szCs w:val="24"/>
                <w:highlight w:val="none"/>
              </w:rPr>
            </w:pPr>
            <w:r>
              <w:rPr>
                <w:rFonts w:hint="eastAsia"/>
                <w:color w:val="auto"/>
                <w:w w:val="99"/>
                <w:sz w:val="24"/>
                <w:szCs w:val="24"/>
                <w:highlight w:val="none"/>
              </w:rPr>
              <w:t>1</w:t>
            </w:r>
          </w:p>
        </w:tc>
      </w:tr>
      <w:tr w14:paraId="4B68D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13" w:type="dxa"/>
            <w:vAlign w:val="center"/>
          </w:tcPr>
          <w:p w14:paraId="73B621C7">
            <w:pPr>
              <w:shd w:val="clear"/>
              <w:jc w:val="center"/>
              <w:rPr>
                <w:rFonts w:ascii="宋体" w:hAnsi="宋体" w:cs="宋体"/>
                <w:color w:val="auto"/>
                <w:w w:val="99"/>
                <w:sz w:val="24"/>
                <w:highlight w:val="none"/>
              </w:rPr>
            </w:pPr>
            <w:r>
              <w:rPr>
                <w:rFonts w:hint="eastAsia" w:ascii="宋体" w:hAnsi="宋体" w:cs="宋体"/>
                <w:color w:val="auto"/>
                <w:sz w:val="22"/>
                <w:szCs w:val="22"/>
                <w:highlight w:val="none"/>
              </w:rPr>
              <w:t>3</w:t>
            </w:r>
          </w:p>
        </w:tc>
        <w:tc>
          <w:tcPr>
            <w:tcW w:w="1545" w:type="dxa"/>
            <w:vAlign w:val="center"/>
          </w:tcPr>
          <w:p w14:paraId="653F8138">
            <w:pPr>
              <w:shd w:val="clear"/>
              <w:spacing w:line="3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检测人员</w:t>
            </w:r>
          </w:p>
        </w:tc>
        <w:tc>
          <w:tcPr>
            <w:tcW w:w="6270" w:type="dxa"/>
            <w:vAlign w:val="center"/>
          </w:tcPr>
          <w:p w14:paraId="536E6656">
            <w:pPr>
              <w:shd w:val="clear"/>
              <w:spacing w:line="300" w:lineRule="exac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具有省级建设质量管理协会颁发的建设工程检测人员培训合格证或岗位证书（建设工程地基基础检测专业），同时须提交2024年11月、2024年12月、2025年1月</w:t>
            </w:r>
            <w:r>
              <w:rPr>
                <w:rFonts w:hint="eastAsia" w:ascii="宋体" w:hAnsi="宋体" w:eastAsia="宋体" w:cs="宋体"/>
                <w:color w:val="auto"/>
                <w:kern w:val="0"/>
                <w:sz w:val="22"/>
                <w:szCs w:val="22"/>
                <w:highlight w:val="none"/>
                <w:lang w:val="en-US" w:eastAsia="zh-CN" w:bidi="ar-SA"/>
              </w:rPr>
              <w:t>三个月任意一个月的社会保险缴纳证明。</w:t>
            </w:r>
          </w:p>
        </w:tc>
        <w:tc>
          <w:tcPr>
            <w:tcW w:w="675" w:type="dxa"/>
            <w:vAlign w:val="center"/>
          </w:tcPr>
          <w:p w14:paraId="79121DE0">
            <w:pPr>
              <w:widowControl/>
              <w:shd w:val="clear"/>
              <w:spacing w:line="300" w:lineRule="exact"/>
              <w:jc w:val="center"/>
              <w:rPr>
                <w:rFonts w:hint="default" w:ascii="宋体" w:hAnsi="宋体" w:eastAsia="宋体" w:cs="宋体"/>
                <w:color w:val="auto"/>
                <w:w w:val="99"/>
                <w:sz w:val="24"/>
                <w:highlight w:val="none"/>
                <w:lang w:val="en-US" w:eastAsia="zh-CN"/>
              </w:rPr>
            </w:pPr>
            <w:r>
              <w:rPr>
                <w:rFonts w:hint="eastAsia" w:ascii="宋体" w:hAnsi="宋体" w:cs="宋体"/>
                <w:color w:val="auto"/>
                <w:w w:val="99"/>
                <w:sz w:val="24"/>
                <w:highlight w:val="none"/>
                <w:lang w:val="en-US" w:eastAsia="zh-CN"/>
              </w:rPr>
              <w:t>2</w:t>
            </w:r>
          </w:p>
        </w:tc>
      </w:tr>
    </w:tbl>
    <w:p w14:paraId="0010E4E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p>
    <w:p w14:paraId="6558CE2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注：1.本表所列专业岗位最低配置，供应商可按工程实际需要增设；</w:t>
      </w:r>
    </w:p>
    <w:p w14:paraId="229ED8C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2.本表要求的项目人员应具有相应的资格证书，上述人员资格证书复印件</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社会保险缴纳证明须编入</w:t>
      </w:r>
      <w:r>
        <w:rPr>
          <w:rFonts w:hint="eastAsia" w:ascii="宋体" w:hAnsi="宋体" w:cs="宋体"/>
          <w:color w:val="auto"/>
          <w:sz w:val="24"/>
          <w:highlight w:val="none"/>
          <w:lang w:eastAsia="zh-CN"/>
        </w:rPr>
        <w:t>投标文件</w:t>
      </w:r>
      <w:r>
        <w:rPr>
          <w:rFonts w:hint="eastAsia" w:ascii="宋体" w:hAnsi="宋体" w:eastAsia="宋体" w:cs="宋体"/>
          <w:color w:val="auto"/>
          <w:sz w:val="24"/>
          <w:highlight w:val="none"/>
        </w:rPr>
        <w:t>中。</w:t>
      </w:r>
      <w:bookmarkEnd w:id="29"/>
    </w:p>
    <w:p w14:paraId="3EC6E48D">
      <w:pPr>
        <w:rPr>
          <w:rFonts w:hint="eastAsia"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br w:type="page"/>
      </w:r>
    </w:p>
    <w:p w14:paraId="29833138">
      <w:pPr>
        <w:spacing w:line="360" w:lineRule="auto"/>
        <w:ind w:firstLine="562" w:firstLineChars="200"/>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三、商务要求</w:t>
      </w:r>
    </w:p>
    <w:tbl>
      <w:tblPr>
        <w:tblStyle w:val="19"/>
        <w:tblW w:w="0" w:type="auto"/>
        <w:tblInd w:w="0" w:type="dxa"/>
        <w:tblLayout w:type="fixed"/>
        <w:tblCellMar>
          <w:top w:w="0" w:type="dxa"/>
          <w:left w:w="108" w:type="dxa"/>
          <w:bottom w:w="0" w:type="dxa"/>
          <w:right w:w="108" w:type="dxa"/>
        </w:tblCellMar>
      </w:tblPr>
      <w:tblGrid>
        <w:gridCol w:w="1936"/>
        <w:gridCol w:w="7186"/>
      </w:tblGrid>
      <w:tr w14:paraId="2521A5DC">
        <w:tblPrEx>
          <w:tblCellMar>
            <w:top w:w="0" w:type="dxa"/>
            <w:left w:w="108" w:type="dxa"/>
            <w:bottom w:w="0" w:type="dxa"/>
            <w:right w:w="108" w:type="dxa"/>
          </w:tblCellMar>
        </w:tblPrEx>
        <w:trPr>
          <w:trHeight w:val="359" w:hRule="atLeast"/>
        </w:trPr>
        <w:tc>
          <w:tcPr>
            <w:tcW w:w="1936" w:type="dxa"/>
            <w:tcBorders>
              <w:top w:val="single" w:color="000000" w:sz="4" w:space="0"/>
              <w:left w:val="single" w:color="000000" w:sz="4" w:space="0"/>
              <w:bottom w:val="single" w:color="000000" w:sz="4" w:space="0"/>
              <w:right w:val="single" w:color="000000" w:sz="4" w:space="0"/>
            </w:tcBorders>
            <w:noWrap w:val="0"/>
            <w:vAlign w:val="center"/>
          </w:tcPr>
          <w:p w14:paraId="500C624E">
            <w:pPr>
              <w:keepNext w:val="0"/>
              <w:keepLines w:val="0"/>
              <w:pageBreakBefore w:val="0"/>
              <w:widowControl w:val="0"/>
              <w:tabs>
                <w:tab w:val="left" w:pos="0"/>
              </w:tabs>
              <w:kinsoku/>
              <w:wordWrap/>
              <w:overflowPunct/>
              <w:topLinePunct w:val="0"/>
              <w:autoSpaceDE/>
              <w:autoSpaceDN/>
              <w:bidi w:val="0"/>
              <w:adjustRightInd w:val="0"/>
              <w:snapToGrid w:val="0"/>
              <w:spacing w:line="324"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项目</w:t>
            </w:r>
          </w:p>
        </w:tc>
        <w:tc>
          <w:tcPr>
            <w:tcW w:w="7186" w:type="dxa"/>
            <w:tcBorders>
              <w:top w:val="single" w:color="000000" w:sz="4" w:space="0"/>
              <w:left w:val="single" w:color="000000" w:sz="4" w:space="0"/>
              <w:bottom w:val="single" w:color="000000" w:sz="4" w:space="0"/>
              <w:right w:val="single" w:color="000000" w:sz="4" w:space="0"/>
            </w:tcBorders>
            <w:noWrap w:val="0"/>
            <w:vAlign w:val="center"/>
          </w:tcPr>
          <w:p w14:paraId="1432D743">
            <w:pPr>
              <w:keepNext w:val="0"/>
              <w:keepLines w:val="0"/>
              <w:pageBreakBefore w:val="0"/>
              <w:widowControl w:val="0"/>
              <w:tabs>
                <w:tab w:val="left" w:pos="0"/>
              </w:tabs>
              <w:kinsoku/>
              <w:wordWrap/>
              <w:overflowPunct/>
              <w:topLinePunct w:val="0"/>
              <w:autoSpaceDE/>
              <w:autoSpaceDN/>
              <w:bidi w:val="0"/>
              <w:adjustRightInd w:val="0"/>
              <w:snapToGrid w:val="0"/>
              <w:spacing w:line="324"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要 求</w:t>
            </w:r>
          </w:p>
        </w:tc>
      </w:tr>
      <w:tr w14:paraId="619C6980">
        <w:tblPrEx>
          <w:tblCellMar>
            <w:top w:w="0" w:type="dxa"/>
            <w:left w:w="108" w:type="dxa"/>
            <w:bottom w:w="0" w:type="dxa"/>
            <w:right w:w="108" w:type="dxa"/>
          </w:tblCellMar>
        </w:tblPrEx>
        <w:trPr>
          <w:trHeight w:val="469" w:hRule="atLeast"/>
        </w:trPr>
        <w:tc>
          <w:tcPr>
            <w:tcW w:w="1936" w:type="dxa"/>
            <w:tcBorders>
              <w:top w:val="single" w:color="000000" w:sz="4" w:space="0"/>
              <w:left w:val="single" w:color="000000" w:sz="4" w:space="0"/>
              <w:bottom w:val="single" w:color="000000" w:sz="4" w:space="0"/>
              <w:right w:val="single" w:color="000000" w:sz="4" w:space="0"/>
            </w:tcBorders>
            <w:noWrap w:val="0"/>
            <w:vAlign w:val="center"/>
          </w:tcPr>
          <w:p w14:paraId="006BE7BC">
            <w:pPr>
              <w:keepNext w:val="0"/>
              <w:keepLines w:val="0"/>
              <w:pageBreakBefore w:val="0"/>
              <w:widowControl w:val="0"/>
              <w:tabs>
                <w:tab w:val="left" w:pos="0"/>
              </w:tabs>
              <w:kinsoku/>
              <w:wordWrap/>
              <w:overflowPunct/>
              <w:topLinePunct w:val="0"/>
              <w:autoSpaceDE/>
              <w:autoSpaceDN/>
              <w:bidi w:val="0"/>
              <w:adjustRightInd w:val="0"/>
              <w:snapToGrid w:val="0"/>
              <w:spacing w:line="324"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投标报价</w:t>
            </w:r>
          </w:p>
        </w:tc>
        <w:tc>
          <w:tcPr>
            <w:tcW w:w="7186" w:type="dxa"/>
            <w:tcBorders>
              <w:top w:val="single" w:color="000000" w:sz="4" w:space="0"/>
              <w:left w:val="single" w:color="000000" w:sz="4" w:space="0"/>
              <w:bottom w:val="single" w:color="000000" w:sz="4" w:space="0"/>
              <w:right w:val="single" w:color="000000" w:sz="4" w:space="0"/>
            </w:tcBorders>
            <w:noWrap w:val="0"/>
            <w:vAlign w:val="center"/>
          </w:tcPr>
          <w:p w14:paraId="1F35C874">
            <w:pPr>
              <w:keepNext w:val="0"/>
              <w:keepLines w:val="0"/>
              <w:pageBreakBefore w:val="0"/>
              <w:widowControl w:val="0"/>
              <w:tabs>
                <w:tab w:val="left" w:pos="0"/>
              </w:tabs>
              <w:kinsoku/>
              <w:wordWrap/>
              <w:overflowPunct/>
              <w:topLinePunct w:val="0"/>
              <w:autoSpaceDE/>
              <w:autoSpaceDN/>
              <w:bidi w:val="0"/>
              <w:adjustRightInd w:val="0"/>
              <w:snapToGrid w:val="0"/>
              <w:spacing w:line="324" w:lineRule="auto"/>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本项目固定单价合同。投标报价包括但不仅限于检测费（包括现场测试）、试验费、办公费、人工费、工器具使用费、材料费（包括堆载前的临时支撑）、水电费、机械进出场费、管理费、利润、税金、进出场费、招标代理费等完成本项目服务所发生的全部费用，以及供应商企业利润和政策性文件规定及合同包含的所有风险、责任等各项应有费用。开标一览表是报价的唯一载体。投标文件中价格全部采用人民币报价。招标文件未列明，而供应商认为必需的费用也需列入报价。</w:t>
            </w:r>
          </w:p>
          <w:p w14:paraId="14035C7C">
            <w:pPr>
              <w:keepNext w:val="0"/>
              <w:keepLines w:val="0"/>
              <w:pageBreakBefore w:val="0"/>
              <w:widowControl w:val="0"/>
              <w:tabs>
                <w:tab w:val="left" w:pos="0"/>
              </w:tabs>
              <w:kinsoku/>
              <w:wordWrap/>
              <w:overflowPunct/>
              <w:topLinePunct w:val="0"/>
              <w:autoSpaceDE/>
              <w:autoSpaceDN/>
              <w:bidi w:val="0"/>
              <w:adjustRightInd w:val="0"/>
              <w:snapToGrid w:val="0"/>
              <w:spacing w:line="324" w:lineRule="auto"/>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2.报价相关说明</w:t>
            </w:r>
          </w:p>
          <w:p w14:paraId="31C34040">
            <w:pPr>
              <w:keepNext w:val="0"/>
              <w:keepLines w:val="0"/>
              <w:pageBreakBefore w:val="0"/>
              <w:widowControl w:val="0"/>
              <w:tabs>
                <w:tab w:val="left" w:pos="0"/>
              </w:tabs>
              <w:kinsoku/>
              <w:wordWrap/>
              <w:overflowPunct/>
              <w:topLinePunct w:val="0"/>
              <w:autoSpaceDE/>
              <w:autoSpaceDN/>
              <w:bidi w:val="0"/>
              <w:adjustRightInd w:val="0"/>
              <w:snapToGrid w:val="0"/>
              <w:spacing w:line="324" w:lineRule="auto"/>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（1）本工程投标报价采用固定全费用综合单价（含管理费、利润、规费及税金等检测所需的一切费用，综合单价一次包干，结算时该综合单价不变）方式。</w:t>
            </w:r>
          </w:p>
          <w:p w14:paraId="0F5EFA5C">
            <w:pPr>
              <w:keepNext w:val="0"/>
              <w:keepLines w:val="0"/>
              <w:pageBreakBefore w:val="0"/>
              <w:widowControl w:val="0"/>
              <w:tabs>
                <w:tab w:val="left" w:pos="0"/>
              </w:tabs>
              <w:kinsoku/>
              <w:wordWrap/>
              <w:overflowPunct/>
              <w:topLinePunct w:val="0"/>
              <w:autoSpaceDE/>
              <w:autoSpaceDN/>
              <w:bidi w:val="0"/>
              <w:adjustRightInd w:val="0"/>
              <w:snapToGrid w:val="0"/>
              <w:spacing w:line="324" w:lineRule="auto"/>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（2）本次报价包括现场工作在内的一切检测相关的费用，含堆载前的临时支撑、桩头处理、工作面开挖、现场测试、检测用工具或材料、机械进出场费、整理资料并提交符合现行质监站要求的检测报告等。</w:t>
            </w:r>
          </w:p>
          <w:p w14:paraId="2EE24243">
            <w:pPr>
              <w:keepNext w:val="0"/>
              <w:keepLines w:val="0"/>
              <w:pageBreakBefore w:val="0"/>
              <w:widowControl w:val="0"/>
              <w:tabs>
                <w:tab w:val="left" w:pos="0"/>
              </w:tabs>
              <w:kinsoku/>
              <w:wordWrap/>
              <w:overflowPunct/>
              <w:topLinePunct w:val="0"/>
              <w:autoSpaceDE/>
              <w:autoSpaceDN/>
              <w:bidi w:val="0"/>
              <w:adjustRightInd w:val="0"/>
              <w:snapToGrid w:val="0"/>
              <w:spacing w:line="324" w:lineRule="auto"/>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3）检测桩型及桩位位置等根据设计图纸确定，中标后，按投标人所报各项检测综合单价一次包干，结算时综合单价不变，各综合单价不因桩型、桩长、桩径、桩顶标高、检测数量变化、位置、市场价格波动、政策变化及所有不可预见等因素改变而增减。</w:t>
            </w:r>
          </w:p>
          <w:p w14:paraId="2433CA67">
            <w:pPr>
              <w:keepNext w:val="0"/>
              <w:keepLines w:val="0"/>
              <w:pageBreakBefore w:val="0"/>
              <w:widowControl w:val="0"/>
              <w:tabs>
                <w:tab w:val="left" w:pos="0"/>
              </w:tabs>
              <w:kinsoku/>
              <w:wordWrap/>
              <w:overflowPunct/>
              <w:topLinePunct w:val="0"/>
              <w:autoSpaceDE/>
              <w:autoSpaceDN/>
              <w:bidi w:val="0"/>
              <w:adjustRightInd w:val="0"/>
              <w:snapToGrid w:val="0"/>
              <w:spacing w:line="324" w:lineRule="auto"/>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（4）本工程工期较紧，投标人在报价时应充分考虑多根桩同时检测的可能性，一旦建设单位要求同时检测，投标人不得因此而拒绝或要求增加任何费用。</w:t>
            </w:r>
          </w:p>
          <w:p w14:paraId="122F13A4">
            <w:pPr>
              <w:keepNext w:val="0"/>
              <w:keepLines w:val="0"/>
              <w:pageBreakBefore w:val="0"/>
              <w:widowControl w:val="0"/>
              <w:tabs>
                <w:tab w:val="left" w:pos="0"/>
              </w:tabs>
              <w:kinsoku/>
              <w:wordWrap/>
              <w:overflowPunct/>
              <w:topLinePunct w:val="0"/>
              <w:autoSpaceDE/>
              <w:autoSpaceDN/>
              <w:bidi w:val="0"/>
              <w:adjustRightInd w:val="0"/>
              <w:snapToGrid w:val="0"/>
              <w:spacing w:line="324" w:lineRule="auto"/>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5）各投标人在投标报价时须充分考虑多次进出场检测所造成的检测费用（如：人工消耗、机械搬运、配重等材料损耗等等）的增加，中标后，因多次进出场检测所增加的费用建设单位不予补偿，结算仍按投标时所报综合单价一次性包干。</w:t>
            </w:r>
          </w:p>
          <w:p w14:paraId="74BA7340">
            <w:pPr>
              <w:keepNext w:val="0"/>
              <w:keepLines w:val="0"/>
              <w:pageBreakBefore w:val="0"/>
              <w:widowControl w:val="0"/>
              <w:tabs>
                <w:tab w:val="left" w:pos="0"/>
              </w:tabs>
              <w:kinsoku/>
              <w:wordWrap/>
              <w:overflowPunct/>
              <w:topLinePunct w:val="0"/>
              <w:autoSpaceDE/>
              <w:autoSpaceDN/>
              <w:bidi w:val="0"/>
              <w:adjustRightInd w:val="0"/>
              <w:snapToGrid w:val="0"/>
              <w:spacing w:line="324" w:lineRule="auto"/>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6）各投标人需考虑到试桩施工完成后进场检测时的场地情况可能无法满足检测要求及检测机械设备（包括转运用的汽车、汽车吊）的移动，检测时可能需要对场地进行整理或铺钢板或填塘碴，因场地原因所增加的费用由投标人在投标报价时综合考虑，结算时不作调整。</w:t>
            </w:r>
          </w:p>
          <w:p w14:paraId="77E59785">
            <w:pPr>
              <w:keepNext w:val="0"/>
              <w:keepLines w:val="0"/>
              <w:pageBreakBefore w:val="0"/>
              <w:widowControl w:val="0"/>
              <w:tabs>
                <w:tab w:val="left" w:pos="0"/>
              </w:tabs>
              <w:kinsoku/>
              <w:wordWrap/>
              <w:overflowPunct/>
              <w:topLinePunct w:val="0"/>
              <w:autoSpaceDE/>
              <w:autoSpaceDN/>
              <w:bidi w:val="0"/>
              <w:adjustRightInd w:val="0"/>
              <w:snapToGrid w:val="0"/>
              <w:spacing w:line="324" w:lineRule="auto"/>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7）桩基检测进场的材料、设备等，由中标人自行处置、保管，中标人在进场后，需充分考虑与总包单位工作面交叉，上报切实可行的检测实施方案（专用），经审批后，严格按方案实行不得擅自变更；待各项桩基检测完毕后，其检测用材料、设备等须在2日内全部运离现场。</w:t>
            </w:r>
          </w:p>
          <w:p w14:paraId="6BD49D27">
            <w:pPr>
              <w:keepNext w:val="0"/>
              <w:keepLines w:val="0"/>
              <w:pageBreakBefore w:val="0"/>
              <w:widowControl w:val="0"/>
              <w:tabs>
                <w:tab w:val="left" w:pos="0"/>
              </w:tabs>
              <w:kinsoku/>
              <w:wordWrap/>
              <w:overflowPunct/>
              <w:topLinePunct w:val="0"/>
              <w:autoSpaceDE/>
              <w:autoSpaceDN/>
              <w:bidi w:val="0"/>
              <w:adjustRightInd w:val="0"/>
              <w:snapToGrid w:val="0"/>
              <w:spacing w:line="324" w:lineRule="auto"/>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（8）中标单位需根据自身的检测设备情况，确认桩头处理方案，接到采购人要求时，需到现场指导施工单位制作桩头。中标单位需在基桩检测前上报施工检测方案，经采购人、设计单位等认可后方可实施。</w:t>
            </w:r>
          </w:p>
          <w:p w14:paraId="2E60C351">
            <w:pPr>
              <w:keepNext w:val="0"/>
              <w:keepLines w:val="0"/>
              <w:pageBreakBefore w:val="0"/>
              <w:widowControl w:val="0"/>
              <w:tabs>
                <w:tab w:val="left" w:pos="0"/>
              </w:tabs>
              <w:kinsoku/>
              <w:wordWrap/>
              <w:overflowPunct/>
              <w:topLinePunct w:val="0"/>
              <w:autoSpaceDE/>
              <w:autoSpaceDN/>
              <w:bidi w:val="0"/>
              <w:adjustRightInd w:val="0"/>
              <w:snapToGrid w:val="0"/>
              <w:spacing w:line="324" w:lineRule="auto"/>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（9）每根检测桩所需的检测架覆盖范围内现有地基承载力、平整度等若不能满足检测要求，中标人需要自行处理至符合检测要求为止，其相关费用在投标报价中应予考虑。</w:t>
            </w:r>
          </w:p>
          <w:p w14:paraId="79C1AD50">
            <w:pPr>
              <w:keepNext w:val="0"/>
              <w:keepLines w:val="0"/>
              <w:pageBreakBefore w:val="0"/>
              <w:widowControl w:val="0"/>
              <w:tabs>
                <w:tab w:val="left" w:pos="0"/>
              </w:tabs>
              <w:kinsoku/>
              <w:wordWrap/>
              <w:overflowPunct/>
              <w:topLinePunct w:val="0"/>
              <w:autoSpaceDE/>
              <w:autoSpaceDN/>
              <w:bidi w:val="0"/>
              <w:adjustRightInd w:val="0"/>
              <w:snapToGrid w:val="0"/>
              <w:spacing w:line="324" w:lineRule="auto"/>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（10）检测所需要电力，投标人自行解决，费用已经包含在投标报价之中。</w:t>
            </w:r>
          </w:p>
          <w:p w14:paraId="73CB90BD">
            <w:pPr>
              <w:keepNext w:val="0"/>
              <w:keepLines w:val="0"/>
              <w:pageBreakBefore w:val="0"/>
              <w:widowControl w:val="0"/>
              <w:tabs>
                <w:tab w:val="left" w:pos="0"/>
              </w:tabs>
              <w:kinsoku/>
              <w:wordWrap/>
              <w:overflowPunct/>
              <w:topLinePunct w:val="0"/>
              <w:autoSpaceDE/>
              <w:autoSpaceDN/>
              <w:bidi w:val="0"/>
              <w:adjustRightInd w:val="0"/>
              <w:snapToGrid w:val="0"/>
              <w:spacing w:line="324" w:lineRule="auto"/>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（11）中标人应遵守工程建设安全生产管理规定，严格按安全标准组织检测、服从总包单位安全文明管理。因中标人的原因造成安全事故的一切责任和因此发生的费用由中标人承担，与建设单位无涉。</w:t>
            </w:r>
          </w:p>
          <w:p w14:paraId="62FFDA10">
            <w:pPr>
              <w:keepNext w:val="0"/>
              <w:keepLines w:val="0"/>
              <w:pageBreakBefore w:val="0"/>
              <w:widowControl w:val="0"/>
              <w:tabs>
                <w:tab w:val="left" w:pos="0"/>
              </w:tabs>
              <w:kinsoku/>
              <w:wordWrap/>
              <w:overflowPunct/>
              <w:topLinePunct w:val="0"/>
              <w:autoSpaceDE/>
              <w:autoSpaceDN/>
              <w:bidi w:val="0"/>
              <w:adjustRightInd w:val="0"/>
              <w:snapToGrid w:val="0"/>
              <w:spacing w:line="324" w:lineRule="auto"/>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（12）检测做完之后，开挖场地要求平整到检测前的水平。</w:t>
            </w:r>
          </w:p>
          <w:p w14:paraId="5A00ECC7">
            <w:pPr>
              <w:keepNext w:val="0"/>
              <w:keepLines w:val="0"/>
              <w:pageBreakBefore w:val="0"/>
              <w:widowControl w:val="0"/>
              <w:tabs>
                <w:tab w:val="left" w:pos="0"/>
              </w:tabs>
              <w:kinsoku/>
              <w:wordWrap/>
              <w:overflowPunct/>
              <w:topLinePunct w:val="0"/>
              <w:autoSpaceDE/>
              <w:autoSpaceDN/>
              <w:bidi w:val="0"/>
              <w:adjustRightInd w:val="0"/>
              <w:snapToGrid w:val="0"/>
              <w:spacing w:line="324" w:lineRule="auto"/>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（13）上述各项检测综合单价均含管理费、利润、规费及税金等检测所需的一切费用，投标人一经确定，其报价将作为合同签订和工程结算依据，所报各项检测综合单价一次性包干。</w:t>
            </w:r>
          </w:p>
          <w:p w14:paraId="74704FF5">
            <w:pPr>
              <w:keepNext w:val="0"/>
              <w:keepLines w:val="0"/>
              <w:pageBreakBefore w:val="0"/>
              <w:widowControl w:val="0"/>
              <w:tabs>
                <w:tab w:val="left" w:pos="0"/>
              </w:tabs>
              <w:kinsoku/>
              <w:wordWrap/>
              <w:overflowPunct/>
              <w:topLinePunct w:val="0"/>
              <w:autoSpaceDE/>
              <w:autoSpaceDN/>
              <w:bidi w:val="0"/>
              <w:adjustRightInd w:val="0"/>
              <w:snapToGrid w:val="0"/>
              <w:spacing w:line="324" w:lineRule="auto"/>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（14）采购人（或其他单位）对检测结论有异议的，可由双方共同认可的检测机构复检。复检结论与原检测结论相同，由采购人（或其他单位）支付复检费用；反之，则由中标人承担复检费用。</w:t>
            </w:r>
          </w:p>
        </w:tc>
      </w:tr>
      <w:tr w14:paraId="611B0AFD">
        <w:tblPrEx>
          <w:tblCellMar>
            <w:top w:w="0" w:type="dxa"/>
            <w:left w:w="108" w:type="dxa"/>
            <w:bottom w:w="0" w:type="dxa"/>
            <w:right w:w="108" w:type="dxa"/>
          </w:tblCellMar>
        </w:tblPrEx>
        <w:trPr>
          <w:trHeight w:val="1785" w:hRule="atLeast"/>
        </w:trPr>
        <w:tc>
          <w:tcPr>
            <w:tcW w:w="1936" w:type="dxa"/>
            <w:tcBorders>
              <w:top w:val="single" w:color="000000" w:sz="4" w:space="0"/>
              <w:left w:val="single" w:color="000000" w:sz="4" w:space="0"/>
              <w:bottom w:val="single" w:color="000000" w:sz="4" w:space="0"/>
              <w:right w:val="single" w:color="000000" w:sz="4" w:space="0"/>
            </w:tcBorders>
            <w:noWrap w:val="0"/>
            <w:vAlign w:val="center"/>
          </w:tcPr>
          <w:p w14:paraId="7484569E">
            <w:pPr>
              <w:keepNext w:val="0"/>
              <w:keepLines w:val="0"/>
              <w:pageBreakBefore w:val="0"/>
              <w:widowControl w:val="0"/>
              <w:tabs>
                <w:tab w:val="left" w:pos="0"/>
              </w:tabs>
              <w:kinsoku/>
              <w:wordWrap/>
              <w:overflowPunct/>
              <w:topLinePunct w:val="0"/>
              <w:autoSpaceDE/>
              <w:autoSpaceDN/>
              <w:bidi w:val="0"/>
              <w:adjustRightInd w:val="0"/>
              <w:snapToGrid w:val="0"/>
              <w:spacing w:line="324"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付款条件</w:t>
            </w:r>
          </w:p>
        </w:tc>
        <w:tc>
          <w:tcPr>
            <w:tcW w:w="7186" w:type="dxa"/>
            <w:tcBorders>
              <w:top w:val="single" w:color="000000" w:sz="4" w:space="0"/>
              <w:left w:val="single" w:color="000000" w:sz="4" w:space="0"/>
              <w:bottom w:val="single" w:color="000000" w:sz="4" w:space="0"/>
              <w:right w:val="single" w:color="000000" w:sz="4" w:space="0"/>
            </w:tcBorders>
            <w:noWrap w:val="0"/>
            <w:vAlign w:val="center"/>
          </w:tcPr>
          <w:p w14:paraId="25E7CFF1">
            <w:pPr>
              <w:pStyle w:val="10"/>
              <w:rPr>
                <w:rFonts w:hint="default"/>
                <w:color w:val="auto"/>
                <w:lang w:val="en-US" w:eastAsia="zh-CN"/>
              </w:rPr>
            </w:pPr>
            <w:r>
              <w:rPr>
                <w:rFonts w:hint="default" w:ascii="宋体" w:hAnsi="宋体" w:eastAsia="宋体" w:cs="宋体"/>
                <w:color w:val="auto"/>
                <w:kern w:val="0"/>
                <w:sz w:val="21"/>
                <w:szCs w:val="21"/>
                <w:highlight w:val="none"/>
                <w:lang w:val="en-US" w:eastAsia="zh-CN" w:bidi="ar-SA"/>
              </w:rPr>
              <w:t>合同签订后30个工作日内支付合同价10%预付款；所有桩基检测完成并提供质量监督部门认可的《检测报告》后，支付至实际桩基检测价款的80%；余款待基础工程验收合格后并经相关单位审计后一次性付清。成交供应商申请付款前应提供相应金额的增值税专用发票，否则招标人有权拒绝付款。</w:t>
            </w:r>
          </w:p>
        </w:tc>
      </w:tr>
      <w:tr w14:paraId="553E51B3">
        <w:tblPrEx>
          <w:tblCellMar>
            <w:top w:w="0" w:type="dxa"/>
            <w:left w:w="108" w:type="dxa"/>
            <w:bottom w:w="0" w:type="dxa"/>
            <w:right w:w="108" w:type="dxa"/>
          </w:tblCellMar>
        </w:tblPrEx>
        <w:trPr>
          <w:trHeight w:val="1254" w:hRule="atLeast"/>
        </w:trPr>
        <w:tc>
          <w:tcPr>
            <w:tcW w:w="1936" w:type="dxa"/>
            <w:tcBorders>
              <w:top w:val="single" w:color="000000" w:sz="4" w:space="0"/>
              <w:left w:val="single" w:color="000000" w:sz="4" w:space="0"/>
              <w:bottom w:val="single" w:color="000000" w:sz="4" w:space="0"/>
              <w:right w:val="single" w:color="000000" w:sz="4" w:space="0"/>
            </w:tcBorders>
            <w:noWrap w:val="0"/>
            <w:vAlign w:val="center"/>
          </w:tcPr>
          <w:p w14:paraId="6C0E2554">
            <w:pPr>
              <w:keepNext w:val="0"/>
              <w:keepLines w:val="0"/>
              <w:pageBreakBefore w:val="0"/>
              <w:widowControl w:val="0"/>
              <w:tabs>
                <w:tab w:val="left" w:pos="0"/>
              </w:tabs>
              <w:kinsoku/>
              <w:wordWrap/>
              <w:overflowPunct/>
              <w:topLinePunct w:val="0"/>
              <w:autoSpaceDE/>
              <w:autoSpaceDN/>
              <w:bidi w:val="0"/>
              <w:adjustRightInd w:val="0"/>
              <w:snapToGrid w:val="0"/>
              <w:spacing w:line="324"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履约保证金</w:t>
            </w:r>
          </w:p>
        </w:tc>
        <w:tc>
          <w:tcPr>
            <w:tcW w:w="7186" w:type="dxa"/>
            <w:tcBorders>
              <w:top w:val="single" w:color="000000" w:sz="4" w:space="0"/>
              <w:left w:val="single" w:color="000000" w:sz="4" w:space="0"/>
              <w:bottom w:val="single" w:color="000000" w:sz="4" w:space="0"/>
              <w:right w:val="single" w:color="000000" w:sz="4" w:space="0"/>
            </w:tcBorders>
            <w:noWrap w:val="0"/>
            <w:vAlign w:val="center"/>
          </w:tcPr>
          <w:p w14:paraId="71868625">
            <w:pPr>
              <w:keepNext w:val="0"/>
              <w:keepLines w:val="0"/>
              <w:pageBreakBefore w:val="0"/>
              <w:widowControl w:val="0"/>
              <w:tabs>
                <w:tab w:val="left" w:pos="0"/>
              </w:tabs>
              <w:kinsoku/>
              <w:wordWrap/>
              <w:overflowPunct/>
              <w:topLinePunct w:val="0"/>
              <w:autoSpaceDE/>
              <w:autoSpaceDN/>
              <w:bidi w:val="0"/>
              <w:adjustRightInd w:val="0"/>
              <w:snapToGrid w:val="0"/>
              <w:spacing w:line="324" w:lineRule="auto"/>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履约保证金：</w:t>
            </w:r>
            <w:r>
              <w:rPr>
                <w:rFonts w:hint="eastAsia" w:ascii="宋体" w:hAnsi="宋体" w:eastAsia="宋体" w:cs="宋体"/>
                <w:color w:val="auto"/>
                <w:kern w:val="0"/>
                <w:sz w:val="21"/>
                <w:szCs w:val="21"/>
                <w:highlight w:val="none"/>
                <w:u w:val="single"/>
                <w:lang w:val="en-US" w:eastAsia="zh-CN"/>
              </w:rPr>
              <w:t xml:space="preserve">       1%       </w:t>
            </w:r>
            <w:r>
              <w:rPr>
                <w:rFonts w:hint="eastAsia" w:ascii="宋体" w:hAnsi="宋体" w:eastAsia="宋体" w:cs="宋体"/>
                <w:color w:val="auto"/>
                <w:kern w:val="0"/>
                <w:sz w:val="21"/>
                <w:szCs w:val="21"/>
                <w:highlight w:val="none"/>
                <w:lang w:eastAsia="zh-CN"/>
              </w:rPr>
              <w:t>。</w:t>
            </w:r>
          </w:p>
          <w:p w14:paraId="20C4804F">
            <w:pPr>
              <w:keepNext w:val="0"/>
              <w:keepLines w:val="0"/>
              <w:pageBreakBefore w:val="0"/>
              <w:widowControl w:val="0"/>
              <w:tabs>
                <w:tab w:val="left" w:pos="0"/>
              </w:tabs>
              <w:kinsoku/>
              <w:wordWrap/>
              <w:overflowPunct/>
              <w:topLinePunct w:val="0"/>
              <w:autoSpaceDE/>
              <w:autoSpaceDN/>
              <w:bidi w:val="0"/>
              <w:adjustRightInd w:val="0"/>
              <w:snapToGrid w:val="0"/>
              <w:spacing w:line="324" w:lineRule="auto"/>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履约保证金形式：</w:t>
            </w:r>
            <w:r>
              <w:rPr>
                <w:rFonts w:hint="eastAsia" w:ascii="宋体" w:hAnsi="宋体" w:eastAsia="宋体" w:cs="宋体"/>
                <w:color w:val="auto"/>
                <w:kern w:val="0"/>
                <w:sz w:val="21"/>
                <w:szCs w:val="21"/>
                <w:highlight w:val="none"/>
                <w:u w:val="single"/>
                <w:lang w:eastAsia="zh-CN"/>
              </w:rPr>
              <w:t>电汇、转账、保函等其他采购人认可的形式</w:t>
            </w:r>
            <w:r>
              <w:rPr>
                <w:rFonts w:hint="eastAsia" w:ascii="宋体" w:hAnsi="宋体" w:eastAsia="宋体" w:cs="宋体"/>
                <w:color w:val="auto"/>
                <w:kern w:val="0"/>
                <w:sz w:val="21"/>
                <w:szCs w:val="21"/>
                <w:highlight w:val="none"/>
                <w:lang w:eastAsia="zh-CN"/>
              </w:rPr>
              <w:t>；</w:t>
            </w:r>
          </w:p>
          <w:p w14:paraId="41A2EDD7">
            <w:pPr>
              <w:keepNext w:val="0"/>
              <w:keepLines w:val="0"/>
              <w:pageBreakBefore w:val="0"/>
              <w:widowControl w:val="0"/>
              <w:tabs>
                <w:tab w:val="left" w:pos="0"/>
              </w:tabs>
              <w:kinsoku/>
              <w:wordWrap/>
              <w:overflowPunct/>
              <w:topLinePunct w:val="0"/>
              <w:autoSpaceDE/>
              <w:autoSpaceDN/>
              <w:bidi w:val="0"/>
              <w:adjustRightInd w:val="0"/>
              <w:snapToGrid w:val="0"/>
              <w:spacing w:line="324" w:lineRule="auto"/>
              <w:jc w:val="both"/>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履约保证金的缴纳及退还：</w:t>
            </w:r>
            <w:r>
              <w:rPr>
                <w:rFonts w:hint="eastAsia" w:ascii="宋体" w:hAnsi="宋体" w:eastAsia="宋体" w:cs="宋体"/>
                <w:color w:val="auto"/>
                <w:kern w:val="0"/>
                <w:sz w:val="21"/>
                <w:szCs w:val="21"/>
                <w:highlight w:val="none"/>
                <w:u w:val="single"/>
                <w:lang w:eastAsia="zh-CN"/>
              </w:rPr>
              <w:t>在签订合同前 7 日内支付给采购人；在中标人履行完合同规定的义务后无息退还。如中标人拒绝履行合同规定的义务，履约保证金将作为违约金被没收，履约保证金不足以赔偿损失的，按实际损失赔偿。</w:t>
            </w:r>
          </w:p>
        </w:tc>
      </w:tr>
      <w:tr w14:paraId="2D01A843">
        <w:tblPrEx>
          <w:tblCellMar>
            <w:top w:w="0" w:type="dxa"/>
            <w:left w:w="108" w:type="dxa"/>
            <w:bottom w:w="0" w:type="dxa"/>
            <w:right w:w="108" w:type="dxa"/>
          </w:tblCellMar>
        </w:tblPrEx>
        <w:trPr>
          <w:trHeight w:val="596" w:hRule="atLeast"/>
        </w:trPr>
        <w:tc>
          <w:tcPr>
            <w:tcW w:w="1936" w:type="dxa"/>
            <w:tcBorders>
              <w:top w:val="single" w:color="000000" w:sz="4" w:space="0"/>
              <w:left w:val="single" w:color="000000" w:sz="4" w:space="0"/>
              <w:bottom w:val="single" w:color="000000" w:sz="4" w:space="0"/>
              <w:right w:val="single" w:color="000000" w:sz="4" w:space="0"/>
            </w:tcBorders>
            <w:noWrap w:val="0"/>
            <w:vAlign w:val="center"/>
          </w:tcPr>
          <w:p w14:paraId="247813C7">
            <w:pPr>
              <w:keepNext w:val="0"/>
              <w:keepLines w:val="0"/>
              <w:pageBreakBefore w:val="0"/>
              <w:widowControl w:val="0"/>
              <w:tabs>
                <w:tab w:val="left" w:pos="0"/>
              </w:tabs>
              <w:kinsoku/>
              <w:wordWrap/>
              <w:overflowPunct/>
              <w:topLinePunct w:val="0"/>
              <w:autoSpaceDE/>
              <w:autoSpaceDN/>
              <w:bidi w:val="0"/>
              <w:adjustRightInd w:val="0"/>
              <w:snapToGrid w:val="0"/>
              <w:spacing w:line="324"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服务期</w:t>
            </w:r>
          </w:p>
        </w:tc>
        <w:tc>
          <w:tcPr>
            <w:tcW w:w="7186" w:type="dxa"/>
            <w:tcBorders>
              <w:top w:val="single" w:color="000000" w:sz="4" w:space="0"/>
              <w:left w:val="single" w:color="000000" w:sz="4" w:space="0"/>
              <w:bottom w:val="single" w:color="000000" w:sz="4" w:space="0"/>
              <w:right w:val="single" w:color="000000" w:sz="4" w:space="0"/>
            </w:tcBorders>
            <w:noWrap w:val="0"/>
            <w:vAlign w:val="center"/>
          </w:tcPr>
          <w:p w14:paraId="19834F19">
            <w:pPr>
              <w:keepNext w:val="0"/>
              <w:keepLines w:val="0"/>
              <w:pageBreakBefore w:val="0"/>
              <w:widowControl w:val="0"/>
              <w:tabs>
                <w:tab w:val="left" w:pos="0"/>
              </w:tabs>
              <w:kinsoku/>
              <w:wordWrap/>
              <w:overflowPunct/>
              <w:topLinePunct w:val="0"/>
              <w:autoSpaceDE/>
              <w:autoSpaceDN/>
              <w:bidi w:val="0"/>
              <w:adjustRightInd w:val="0"/>
              <w:snapToGrid w:val="0"/>
              <w:spacing w:line="324" w:lineRule="auto"/>
              <w:jc w:val="both"/>
              <w:textAlignment w:val="auto"/>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接招标人通知后3天内进场，且进度必须满足总包施工进度要求。</w:t>
            </w:r>
          </w:p>
        </w:tc>
      </w:tr>
      <w:tr w14:paraId="48665714">
        <w:tblPrEx>
          <w:tblCellMar>
            <w:top w:w="0" w:type="dxa"/>
            <w:left w:w="108" w:type="dxa"/>
            <w:bottom w:w="0" w:type="dxa"/>
            <w:right w:w="108" w:type="dxa"/>
          </w:tblCellMar>
        </w:tblPrEx>
        <w:trPr>
          <w:trHeight w:val="483" w:hRule="atLeast"/>
        </w:trPr>
        <w:tc>
          <w:tcPr>
            <w:tcW w:w="1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CB6AB">
            <w:pPr>
              <w:keepNext w:val="0"/>
              <w:keepLines w:val="0"/>
              <w:pageBreakBefore w:val="0"/>
              <w:widowControl w:val="0"/>
              <w:tabs>
                <w:tab w:val="left" w:pos="0"/>
              </w:tabs>
              <w:kinsoku/>
              <w:wordWrap/>
              <w:overflowPunct/>
              <w:topLinePunct w:val="0"/>
              <w:autoSpaceDE/>
              <w:autoSpaceDN/>
              <w:bidi w:val="0"/>
              <w:adjustRightInd w:val="0"/>
              <w:snapToGrid w:val="0"/>
              <w:spacing w:line="324" w:lineRule="auto"/>
              <w:jc w:val="center"/>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质量标准</w:t>
            </w:r>
          </w:p>
        </w:tc>
        <w:tc>
          <w:tcPr>
            <w:tcW w:w="71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C2265B">
            <w:pPr>
              <w:keepNext w:val="0"/>
              <w:keepLines w:val="0"/>
              <w:pageBreakBefore w:val="0"/>
              <w:widowControl w:val="0"/>
              <w:tabs>
                <w:tab w:val="left" w:pos="0"/>
              </w:tabs>
              <w:kinsoku/>
              <w:wordWrap/>
              <w:overflowPunct/>
              <w:topLinePunct w:val="0"/>
              <w:autoSpaceDE/>
              <w:autoSpaceDN/>
              <w:bidi w:val="0"/>
              <w:adjustRightInd w:val="0"/>
              <w:snapToGrid w:val="0"/>
              <w:spacing w:line="324"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eastAsia="zh-CN"/>
              </w:rPr>
              <w:t>提供奉化区建筑工程质量监督部门认可的检测报告</w:t>
            </w:r>
          </w:p>
        </w:tc>
      </w:tr>
      <w:tr w14:paraId="5360E8B5">
        <w:tblPrEx>
          <w:tblCellMar>
            <w:top w:w="0" w:type="dxa"/>
            <w:left w:w="108" w:type="dxa"/>
            <w:bottom w:w="0" w:type="dxa"/>
            <w:right w:w="108" w:type="dxa"/>
          </w:tblCellMar>
        </w:tblPrEx>
        <w:trPr>
          <w:trHeight w:val="1318" w:hRule="atLeast"/>
        </w:trPr>
        <w:tc>
          <w:tcPr>
            <w:tcW w:w="1936" w:type="dxa"/>
            <w:tcBorders>
              <w:top w:val="single" w:color="000000" w:sz="4" w:space="0"/>
              <w:left w:val="single" w:color="000000" w:sz="4" w:space="0"/>
              <w:bottom w:val="single" w:color="000000" w:sz="4" w:space="0"/>
              <w:right w:val="single" w:color="000000" w:sz="4" w:space="0"/>
            </w:tcBorders>
            <w:noWrap w:val="0"/>
            <w:vAlign w:val="center"/>
          </w:tcPr>
          <w:p w14:paraId="5ABFE546">
            <w:pPr>
              <w:keepNext w:val="0"/>
              <w:keepLines w:val="0"/>
              <w:pageBreakBefore w:val="0"/>
              <w:widowControl w:val="0"/>
              <w:tabs>
                <w:tab w:val="left" w:pos="0"/>
              </w:tabs>
              <w:kinsoku/>
              <w:wordWrap/>
              <w:overflowPunct/>
              <w:topLinePunct w:val="0"/>
              <w:autoSpaceDE/>
              <w:autoSpaceDN/>
              <w:bidi w:val="0"/>
              <w:adjustRightInd w:val="0"/>
              <w:snapToGrid w:val="0"/>
              <w:spacing w:line="324"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合同终止</w:t>
            </w:r>
          </w:p>
        </w:tc>
        <w:tc>
          <w:tcPr>
            <w:tcW w:w="7186" w:type="dxa"/>
            <w:tcBorders>
              <w:top w:val="single" w:color="000000" w:sz="4" w:space="0"/>
              <w:left w:val="single" w:color="000000" w:sz="4" w:space="0"/>
              <w:bottom w:val="single" w:color="000000" w:sz="4" w:space="0"/>
              <w:right w:val="single" w:color="000000" w:sz="4" w:space="0"/>
            </w:tcBorders>
            <w:noWrap w:val="0"/>
            <w:vAlign w:val="center"/>
          </w:tcPr>
          <w:p w14:paraId="4765502A">
            <w:pPr>
              <w:keepNext w:val="0"/>
              <w:keepLines w:val="0"/>
              <w:pageBreakBefore w:val="0"/>
              <w:widowControl w:val="0"/>
              <w:tabs>
                <w:tab w:val="left" w:pos="0"/>
              </w:tabs>
              <w:kinsoku/>
              <w:wordWrap/>
              <w:overflowPunct/>
              <w:topLinePunct w:val="0"/>
              <w:autoSpaceDE/>
              <w:autoSpaceDN/>
              <w:bidi w:val="0"/>
              <w:adjustRightInd w:val="0"/>
              <w:snapToGrid w:val="0"/>
              <w:spacing w:line="324"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未能在合同规定的期限（或采购人同意延长的最终期限）内提供全部或部分</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的；</w:t>
            </w:r>
          </w:p>
          <w:p w14:paraId="48E9DC36">
            <w:pPr>
              <w:keepNext w:val="0"/>
              <w:keepLines w:val="0"/>
              <w:pageBreakBefore w:val="0"/>
              <w:widowControl w:val="0"/>
              <w:tabs>
                <w:tab w:val="left" w:pos="0"/>
              </w:tabs>
              <w:kinsoku/>
              <w:wordWrap/>
              <w:overflowPunct/>
              <w:topLinePunct w:val="0"/>
              <w:autoSpaceDE/>
              <w:autoSpaceDN/>
              <w:bidi w:val="0"/>
              <w:adjustRightInd w:val="0"/>
              <w:snapToGrid w:val="0"/>
              <w:spacing w:line="324"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未能履行合同规定的其它义务。</w:t>
            </w:r>
          </w:p>
        </w:tc>
      </w:tr>
    </w:tbl>
    <w:p w14:paraId="2E1278AF">
      <w:pPr>
        <w:snapToGrid w:val="0"/>
        <w:spacing w:line="360" w:lineRule="auto"/>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24"/>
          <w:highlight w:val="none"/>
        </w:rPr>
        <w:br w:type="page"/>
      </w:r>
      <w:r>
        <w:rPr>
          <w:rFonts w:hint="eastAsia" w:cs="仿宋" w:asciiTheme="majorEastAsia" w:hAnsiTheme="majorEastAsia" w:eastAsiaTheme="majorEastAsia"/>
          <w:b/>
          <w:color w:val="auto"/>
          <w:sz w:val="36"/>
          <w:szCs w:val="36"/>
          <w:highlight w:val="none"/>
        </w:rPr>
        <w:t xml:space="preserve">第四部分   </w:t>
      </w:r>
      <w:bookmarkStart w:id="32" w:name="_Toc184313263"/>
      <w:bookmarkEnd w:id="32"/>
      <w:bookmarkStart w:id="33" w:name="_Toc184312113"/>
      <w:bookmarkEnd w:id="33"/>
      <w:bookmarkStart w:id="34" w:name="_Toc184308055"/>
      <w:bookmarkEnd w:id="34"/>
      <w:bookmarkStart w:id="35" w:name="_Toc184314466"/>
      <w:bookmarkEnd w:id="35"/>
      <w:bookmarkStart w:id="36" w:name="_Toc184313261"/>
      <w:bookmarkEnd w:id="36"/>
      <w:bookmarkStart w:id="37" w:name="_Toc184312075"/>
      <w:bookmarkEnd w:id="37"/>
      <w:bookmarkStart w:id="38" w:name="_Toc184308051"/>
      <w:bookmarkEnd w:id="38"/>
      <w:bookmarkStart w:id="39" w:name="_Toc184308080"/>
      <w:bookmarkEnd w:id="39"/>
      <w:bookmarkStart w:id="40" w:name="_Toc184314471"/>
      <w:bookmarkEnd w:id="40"/>
      <w:bookmarkStart w:id="41" w:name="_Toc184313242"/>
      <w:bookmarkEnd w:id="41"/>
      <w:bookmarkStart w:id="42" w:name="_Toc184312092"/>
      <w:bookmarkEnd w:id="42"/>
      <w:bookmarkStart w:id="43" w:name="_Toc184312084"/>
      <w:bookmarkEnd w:id="43"/>
      <w:bookmarkStart w:id="44" w:name="_Toc184312133"/>
      <w:bookmarkEnd w:id="44"/>
      <w:bookmarkStart w:id="45" w:name="_Toc184310306"/>
      <w:bookmarkEnd w:id="45"/>
      <w:bookmarkStart w:id="46" w:name="_Toc184308065"/>
      <w:bookmarkEnd w:id="46"/>
      <w:bookmarkStart w:id="47" w:name="_Toc184312082"/>
      <w:bookmarkEnd w:id="47"/>
      <w:bookmarkStart w:id="48" w:name="_Toc184314457"/>
      <w:bookmarkEnd w:id="48"/>
      <w:bookmarkStart w:id="49" w:name="_Toc184312087"/>
      <w:bookmarkEnd w:id="49"/>
      <w:bookmarkStart w:id="50" w:name="_Toc184314465"/>
      <w:bookmarkEnd w:id="50"/>
      <w:bookmarkStart w:id="51" w:name="_Toc184308041"/>
      <w:bookmarkEnd w:id="51"/>
      <w:bookmarkStart w:id="52" w:name="_Toc184314477"/>
      <w:bookmarkEnd w:id="52"/>
      <w:bookmarkStart w:id="53" w:name="_Toc184314433"/>
      <w:bookmarkEnd w:id="53"/>
      <w:bookmarkStart w:id="54" w:name="_Toc184314439"/>
      <w:bookmarkEnd w:id="54"/>
      <w:bookmarkStart w:id="55" w:name="_Toc184314452"/>
      <w:bookmarkEnd w:id="55"/>
      <w:bookmarkStart w:id="56" w:name="_Toc184310274"/>
      <w:bookmarkEnd w:id="56"/>
      <w:bookmarkStart w:id="57" w:name="_Toc184308053"/>
      <w:bookmarkEnd w:id="57"/>
      <w:bookmarkStart w:id="58" w:name="_Toc184313307"/>
      <w:bookmarkEnd w:id="58"/>
      <w:bookmarkStart w:id="59" w:name="_Toc184310288"/>
      <w:bookmarkEnd w:id="59"/>
      <w:bookmarkStart w:id="60" w:name="_Toc184308036"/>
      <w:bookmarkEnd w:id="60"/>
      <w:bookmarkStart w:id="61" w:name="_Toc184308087"/>
      <w:bookmarkEnd w:id="61"/>
      <w:bookmarkStart w:id="62" w:name="_Toc184313282"/>
      <w:bookmarkEnd w:id="62"/>
      <w:bookmarkStart w:id="63" w:name="_Toc184310326"/>
      <w:bookmarkEnd w:id="63"/>
      <w:bookmarkStart w:id="64" w:name="_Toc184308108"/>
      <w:bookmarkEnd w:id="64"/>
      <w:bookmarkStart w:id="65" w:name="_Toc184310319"/>
      <w:bookmarkEnd w:id="65"/>
      <w:bookmarkStart w:id="66" w:name="_Toc184314479"/>
      <w:bookmarkEnd w:id="66"/>
      <w:bookmarkStart w:id="67" w:name="_Toc184310312"/>
      <w:bookmarkEnd w:id="67"/>
      <w:bookmarkStart w:id="68" w:name="_Toc184308101"/>
      <w:bookmarkEnd w:id="68"/>
      <w:bookmarkStart w:id="69" w:name="_Toc184312138"/>
      <w:bookmarkEnd w:id="69"/>
      <w:bookmarkStart w:id="70" w:name="_Toc184314419"/>
      <w:bookmarkEnd w:id="70"/>
      <w:bookmarkStart w:id="71" w:name="_Toc184312107"/>
      <w:bookmarkEnd w:id="71"/>
      <w:bookmarkStart w:id="72" w:name="_Toc184313283"/>
      <w:bookmarkEnd w:id="72"/>
      <w:bookmarkStart w:id="73" w:name="_Toc184314470"/>
      <w:bookmarkEnd w:id="73"/>
      <w:bookmarkStart w:id="74" w:name="_Toc184310337"/>
      <w:bookmarkEnd w:id="74"/>
      <w:bookmarkStart w:id="75" w:name="_Toc184308059"/>
      <w:bookmarkEnd w:id="75"/>
      <w:bookmarkStart w:id="76" w:name="_Toc184313310"/>
      <w:bookmarkEnd w:id="76"/>
      <w:bookmarkStart w:id="77" w:name="_Toc184308063"/>
      <w:bookmarkEnd w:id="77"/>
      <w:bookmarkStart w:id="78" w:name="_Toc184308102"/>
      <w:bookmarkEnd w:id="78"/>
      <w:bookmarkStart w:id="79" w:name="_Toc184314424"/>
      <w:bookmarkEnd w:id="79"/>
      <w:bookmarkStart w:id="80" w:name="_Toc184312124"/>
      <w:bookmarkEnd w:id="80"/>
      <w:bookmarkStart w:id="81" w:name="_Toc184310343"/>
      <w:bookmarkEnd w:id="81"/>
      <w:bookmarkStart w:id="82" w:name="_Toc184312093"/>
      <w:bookmarkEnd w:id="82"/>
      <w:bookmarkStart w:id="83" w:name="_Toc184314413"/>
      <w:bookmarkEnd w:id="83"/>
      <w:bookmarkStart w:id="84" w:name="_Toc184314472"/>
      <w:bookmarkEnd w:id="84"/>
      <w:bookmarkStart w:id="85" w:name="_Toc184308085"/>
      <w:bookmarkEnd w:id="85"/>
      <w:bookmarkStart w:id="86" w:name="_Toc184314468"/>
      <w:bookmarkEnd w:id="86"/>
      <w:bookmarkStart w:id="87" w:name="_Toc184313305"/>
      <w:bookmarkEnd w:id="87"/>
      <w:bookmarkStart w:id="88" w:name="_Toc184308093"/>
      <w:bookmarkEnd w:id="88"/>
      <w:bookmarkStart w:id="89" w:name="_Toc184314430"/>
      <w:bookmarkEnd w:id="89"/>
      <w:bookmarkStart w:id="90" w:name="_Toc184312103"/>
      <w:bookmarkEnd w:id="90"/>
      <w:bookmarkStart w:id="91" w:name="_Toc184312086"/>
      <w:bookmarkEnd w:id="91"/>
      <w:bookmarkStart w:id="92" w:name="_Toc184308040"/>
      <w:bookmarkEnd w:id="92"/>
      <w:bookmarkStart w:id="93" w:name="_Toc184312115"/>
      <w:bookmarkEnd w:id="93"/>
      <w:bookmarkStart w:id="94" w:name="_Toc184313300"/>
      <w:bookmarkEnd w:id="94"/>
      <w:bookmarkStart w:id="95" w:name="_Toc184310302"/>
      <w:bookmarkEnd w:id="95"/>
      <w:bookmarkStart w:id="96" w:name="_Toc184313243"/>
      <w:bookmarkEnd w:id="96"/>
      <w:bookmarkStart w:id="97" w:name="_Toc184313259"/>
      <w:bookmarkEnd w:id="97"/>
      <w:bookmarkStart w:id="98" w:name="_Toc184314425"/>
      <w:bookmarkEnd w:id="98"/>
      <w:bookmarkStart w:id="99" w:name="_Toc184313297"/>
      <w:bookmarkEnd w:id="99"/>
      <w:bookmarkStart w:id="100" w:name="_Toc184308057"/>
      <w:bookmarkEnd w:id="100"/>
      <w:bookmarkStart w:id="101" w:name="_Toc184313288"/>
      <w:bookmarkEnd w:id="101"/>
      <w:bookmarkStart w:id="102" w:name="_Toc184313294"/>
      <w:bookmarkEnd w:id="102"/>
      <w:bookmarkStart w:id="103" w:name="_Toc184312094"/>
      <w:bookmarkEnd w:id="103"/>
      <w:bookmarkStart w:id="104" w:name="_Toc184308090"/>
      <w:bookmarkEnd w:id="104"/>
      <w:bookmarkStart w:id="105" w:name="_Toc184312097"/>
      <w:bookmarkEnd w:id="105"/>
      <w:bookmarkStart w:id="106" w:name="_Toc184308088"/>
      <w:bookmarkEnd w:id="106"/>
      <w:bookmarkStart w:id="107" w:name="_Toc184314476"/>
      <w:bookmarkEnd w:id="107"/>
      <w:bookmarkStart w:id="108" w:name="_Toc184312071"/>
      <w:bookmarkEnd w:id="108"/>
      <w:bookmarkStart w:id="109" w:name="_Toc184308070"/>
      <w:bookmarkEnd w:id="109"/>
      <w:bookmarkStart w:id="110" w:name="_Toc184308076"/>
      <w:bookmarkEnd w:id="110"/>
      <w:bookmarkStart w:id="111" w:name="_Toc184313245"/>
      <w:bookmarkEnd w:id="111"/>
      <w:bookmarkStart w:id="112" w:name="_Toc184312116"/>
      <w:bookmarkEnd w:id="112"/>
      <w:bookmarkStart w:id="113" w:name="_Toc184313298"/>
      <w:bookmarkEnd w:id="113"/>
      <w:bookmarkStart w:id="114" w:name="_Toc184308083"/>
      <w:bookmarkEnd w:id="114"/>
      <w:bookmarkStart w:id="115" w:name="_Toc184310284"/>
      <w:bookmarkEnd w:id="115"/>
      <w:bookmarkStart w:id="116" w:name="_Toc184313274"/>
      <w:bookmarkEnd w:id="116"/>
      <w:bookmarkStart w:id="117" w:name="_Toc184312122"/>
      <w:bookmarkEnd w:id="117"/>
      <w:bookmarkStart w:id="118" w:name="_Toc184313269"/>
      <w:bookmarkEnd w:id="118"/>
      <w:bookmarkStart w:id="119" w:name="_Toc184308103"/>
      <w:bookmarkEnd w:id="119"/>
      <w:bookmarkStart w:id="120" w:name="_Toc184308097"/>
      <w:bookmarkEnd w:id="120"/>
      <w:bookmarkStart w:id="121" w:name="_Toc184312111"/>
      <w:bookmarkEnd w:id="121"/>
      <w:bookmarkStart w:id="122" w:name="_Toc184312091"/>
      <w:bookmarkEnd w:id="122"/>
      <w:bookmarkStart w:id="123" w:name="_Toc184310294"/>
      <w:bookmarkEnd w:id="123"/>
      <w:bookmarkStart w:id="124" w:name="_Toc184310314"/>
      <w:bookmarkEnd w:id="124"/>
      <w:bookmarkStart w:id="125" w:name="_Toc184313256"/>
      <w:bookmarkEnd w:id="125"/>
      <w:bookmarkStart w:id="126" w:name="_Toc184308099"/>
      <w:bookmarkEnd w:id="126"/>
      <w:bookmarkStart w:id="127" w:name="_Toc184314451"/>
      <w:bookmarkEnd w:id="127"/>
      <w:bookmarkStart w:id="128" w:name="_Toc184312130"/>
      <w:bookmarkEnd w:id="128"/>
      <w:bookmarkStart w:id="129" w:name="_Toc184313291"/>
      <w:bookmarkEnd w:id="129"/>
      <w:bookmarkStart w:id="130" w:name="_Toc184313254"/>
      <w:bookmarkEnd w:id="130"/>
      <w:bookmarkStart w:id="131" w:name="_Toc184314431"/>
      <w:bookmarkEnd w:id="131"/>
      <w:bookmarkStart w:id="132" w:name="_Toc184313253"/>
      <w:bookmarkEnd w:id="132"/>
      <w:bookmarkStart w:id="133" w:name="_Toc184308095"/>
      <w:bookmarkEnd w:id="133"/>
      <w:bookmarkStart w:id="134" w:name="_Toc184310296"/>
      <w:bookmarkEnd w:id="134"/>
      <w:bookmarkStart w:id="135" w:name="_Toc184310286"/>
      <w:bookmarkEnd w:id="135"/>
      <w:bookmarkStart w:id="136" w:name="_Toc184312101"/>
      <w:bookmarkEnd w:id="136"/>
      <w:bookmarkStart w:id="137" w:name="_Toc184313303"/>
      <w:bookmarkEnd w:id="137"/>
      <w:bookmarkStart w:id="138" w:name="_Toc184314454"/>
      <w:bookmarkEnd w:id="138"/>
      <w:bookmarkStart w:id="139" w:name="_Toc184310277"/>
      <w:bookmarkEnd w:id="139"/>
      <w:bookmarkStart w:id="140" w:name="_Toc184310344"/>
      <w:bookmarkEnd w:id="140"/>
      <w:bookmarkStart w:id="141" w:name="_Toc184310335"/>
      <w:bookmarkEnd w:id="141"/>
      <w:bookmarkStart w:id="142" w:name="_Toc184308094"/>
      <w:bookmarkEnd w:id="142"/>
      <w:bookmarkStart w:id="143" w:name="_Toc184314417"/>
      <w:bookmarkEnd w:id="143"/>
      <w:bookmarkStart w:id="144" w:name="_Toc184314412"/>
      <w:bookmarkEnd w:id="144"/>
      <w:bookmarkStart w:id="145" w:name="_Toc184310309"/>
      <w:bookmarkEnd w:id="145"/>
      <w:bookmarkStart w:id="146" w:name="_Toc184312083"/>
      <w:bookmarkEnd w:id="146"/>
      <w:bookmarkStart w:id="147" w:name="_Toc184312109"/>
      <w:bookmarkEnd w:id="147"/>
      <w:bookmarkStart w:id="148" w:name="_Toc184310333"/>
      <w:bookmarkEnd w:id="148"/>
      <w:bookmarkStart w:id="149" w:name="_Toc184310307"/>
      <w:bookmarkEnd w:id="149"/>
      <w:bookmarkStart w:id="150" w:name="_Toc184308089"/>
      <w:bookmarkEnd w:id="150"/>
      <w:bookmarkStart w:id="151" w:name="_Toc184312068"/>
      <w:bookmarkEnd w:id="151"/>
      <w:bookmarkStart w:id="152" w:name="_Toc184312126"/>
      <w:bookmarkEnd w:id="152"/>
      <w:bookmarkStart w:id="153" w:name="_Toc184308086"/>
      <w:bookmarkEnd w:id="153"/>
      <w:bookmarkStart w:id="154" w:name="_Toc184314474"/>
      <w:bookmarkEnd w:id="154"/>
      <w:bookmarkStart w:id="155" w:name="_Toc184313304"/>
      <w:bookmarkEnd w:id="155"/>
      <w:bookmarkStart w:id="156" w:name="_Toc184312074"/>
      <w:bookmarkEnd w:id="156"/>
      <w:bookmarkStart w:id="157" w:name="_Toc184310297"/>
      <w:bookmarkEnd w:id="157"/>
      <w:bookmarkStart w:id="158" w:name="_Toc184314467"/>
      <w:bookmarkEnd w:id="158"/>
      <w:bookmarkStart w:id="159" w:name="_Toc184310280"/>
      <w:bookmarkEnd w:id="159"/>
      <w:bookmarkStart w:id="160" w:name="_Toc184312070"/>
      <w:bookmarkEnd w:id="160"/>
      <w:bookmarkStart w:id="161" w:name="_Toc184312081"/>
      <w:bookmarkEnd w:id="161"/>
      <w:bookmarkStart w:id="162" w:name="_Toc184313252"/>
      <w:bookmarkEnd w:id="162"/>
      <w:bookmarkStart w:id="163" w:name="_Toc184310340"/>
      <w:bookmarkEnd w:id="163"/>
      <w:bookmarkStart w:id="164" w:name="_Toc184314428"/>
      <w:bookmarkEnd w:id="164"/>
      <w:bookmarkStart w:id="165" w:name="_Toc184310321"/>
      <w:bookmarkEnd w:id="165"/>
      <w:bookmarkStart w:id="166" w:name="_Toc184308073"/>
      <w:bookmarkEnd w:id="166"/>
      <w:bookmarkStart w:id="167" w:name="_Toc184312077"/>
      <w:bookmarkEnd w:id="167"/>
      <w:bookmarkStart w:id="168" w:name="_Toc184314443"/>
      <w:bookmarkEnd w:id="168"/>
      <w:bookmarkStart w:id="169" w:name="_Toc184314463"/>
      <w:bookmarkEnd w:id="169"/>
      <w:bookmarkStart w:id="170" w:name="_Toc184312139"/>
      <w:bookmarkEnd w:id="170"/>
      <w:bookmarkStart w:id="171" w:name="_Toc184314445"/>
      <w:bookmarkEnd w:id="171"/>
      <w:bookmarkStart w:id="172" w:name="_Toc184308098"/>
      <w:bookmarkEnd w:id="172"/>
      <w:bookmarkStart w:id="173" w:name="_Toc184313279"/>
      <w:bookmarkEnd w:id="173"/>
      <w:bookmarkStart w:id="174" w:name="_Toc184313277"/>
      <w:bookmarkEnd w:id="174"/>
      <w:bookmarkStart w:id="175" w:name="_Toc184314410"/>
      <w:bookmarkEnd w:id="175"/>
      <w:bookmarkStart w:id="176" w:name="_Toc184310334"/>
      <w:bookmarkEnd w:id="176"/>
      <w:bookmarkStart w:id="177" w:name="_Toc184308043"/>
      <w:bookmarkEnd w:id="177"/>
      <w:bookmarkStart w:id="178" w:name="_Toc184314481"/>
      <w:bookmarkEnd w:id="178"/>
      <w:bookmarkStart w:id="179" w:name="_Toc184310310"/>
      <w:bookmarkEnd w:id="179"/>
      <w:bookmarkStart w:id="180" w:name="_Toc184313301"/>
      <w:bookmarkEnd w:id="180"/>
      <w:bookmarkStart w:id="181" w:name="_Toc184310316"/>
      <w:bookmarkEnd w:id="181"/>
      <w:bookmarkStart w:id="182" w:name="_Toc184313238"/>
      <w:bookmarkEnd w:id="182"/>
      <w:bookmarkStart w:id="183" w:name="_Toc184314449"/>
      <w:bookmarkEnd w:id="183"/>
      <w:bookmarkStart w:id="184" w:name="_Toc184314434"/>
      <w:bookmarkEnd w:id="184"/>
      <w:bookmarkStart w:id="185" w:name="_Toc184312104"/>
      <w:bookmarkEnd w:id="185"/>
      <w:bookmarkStart w:id="186" w:name="_Toc184314475"/>
      <w:bookmarkEnd w:id="186"/>
      <w:bookmarkStart w:id="187" w:name="_Toc184313292"/>
      <w:bookmarkEnd w:id="187"/>
      <w:bookmarkStart w:id="188" w:name="_Toc184308066"/>
      <w:bookmarkEnd w:id="188"/>
      <w:bookmarkStart w:id="189" w:name="_Toc184312131"/>
      <w:bookmarkEnd w:id="189"/>
      <w:bookmarkStart w:id="190" w:name="_Toc184313240"/>
      <w:bookmarkEnd w:id="190"/>
      <w:bookmarkStart w:id="191" w:name="_Toc184314429"/>
      <w:bookmarkEnd w:id="191"/>
      <w:bookmarkStart w:id="192" w:name="_Toc184313255"/>
      <w:bookmarkEnd w:id="192"/>
      <w:bookmarkStart w:id="193" w:name="_Toc184312114"/>
      <w:bookmarkEnd w:id="193"/>
      <w:bookmarkStart w:id="194" w:name="_Toc184314478"/>
      <w:bookmarkEnd w:id="194"/>
      <w:bookmarkStart w:id="195" w:name="_Toc184313287"/>
      <w:bookmarkEnd w:id="195"/>
      <w:bookmarkStart w:id="196" w:name="_Toc184312108"/>
      <w:bookmarkEnd w:id="196"/>
      <w:bookmarkStart w:id="197" w:name="_Toc184310318"/>
      <w:bookmarkEnd w:id="197"/>
      <w:bookmarkStart w:id="198" w:name="_Toc184314482"/>
      <w:bookmarkEnd w:id="198"/>
      <w:bookmarkStart w:id="199" w:name="_Toc184308079"/>
      <w:bookmarkEnd w:id="199"/>
      <w:bookmarkStart w:id="200" w:name="_Toc184310313"/>
      <w:bookmarkEnd w:id="200"/>
      <w:bookmarkStart w:id="201" w:name="_Toc184312069"/>
      <w:bookmarkEnd w:id="201"/>
      <w:bookmarkStart w:id="202" w:name="_Toc184310290"/>
      <w:bookmarkEnd w:id="202"/>
      <w:bookmarkStart w:id="203" w:name="_Toc184314423"/>
      <w:bookmarkEnd w:id="203"/>
      <w:bookmarkStart w:id="204" w:name="_Toc184314453"/>
      <w:bookmarkEnd w:id="204"/>
      <w:bookmarkStart w:id="205" w:name="_Toc184313270"/>
      <w:bookmarkEnd w:id="205"/>
      <w:bookmarkStart w:id="206" w:name="_Toc184313295"/>
      <w:bookmarkEnd w:id="206"/>
      <w:bookmarkStart w:id="207" w:name="_Toc184314427"/>
      <w:bookmarkEnd w:id="207"/>
      <w:bookmarkStart w:id="208" w:name="_Toc184313241"/>
      <w:bookmarkEnd w:id="208"/>
      <w:bookmarkStart w:id="209" w:name="_Toc184310304"/>
      <w:bookmarkEnd w:id="209"/>
      <w:bookmarkStart w:id="210" w:name="_Toc184310291"/>
      <w:bookmarkEnd w:id="210"/>
      <w:bookmarkStart w:id="211" w:name="_Toc184314461"/>
      <w:bookmarkEnd w:id="211"/>
      <w:bookmarkStart w:id="212" w:name="_Toc184314438"/>
      <w:bookmarkEnd w:id="212"/>
      <w:bookmarkStart w:id="213" w:name="_Toc184310281"/>
      <w:bookmarkEnd w:id="213"/>
      <w:bookmarkStart w:id="214" w:name="_Toc184314455"/>
      <w:bookmarkEnd w:id="214"/>
      <w:bookmarkStart w:id="215" w:name="_Toc184310272"/>
      <w:bookmarkEnd w:id="215"/>
      <w:bookmarkStart w:id="216" w:name="_Toc184312121"/>
      <w:bookmarkEnd w:id="216"/>
      <w:bookmarkStart w:id="217" w:name="_Toc184308052"/>
      <w:bookmarkEnd w:id="217"/>
      <w:bookmarkStart w:id="218" w:name="_Toc184313285"/>
      <w:bookmarkEnd w:id="218"/>
      <w:bookmarkStart w:id="219" w:name="_Toc184313239"/>
      <w:bookmarkEnd w:id="219"/>
      <w:bookmarkStart w:id="220" w:name="_Toc184312110"/>
      <w:bookmarkEnd w:id="220"/>
      <w:bookmarkStart w:id="221" w:name="_Toc184310276"/>
      <w:bookmarkEnd w:id="221"/>
      <w:bookmarkStart w:id="222" w:name="_Toc184313293"/>
      <w:bookmarkEnd w:id="222"/>
      <w:bookmarkStart w:id="223" w:name="_Toc184314480"/>
      <w:bookmarkEnd w:id="223"/>
      <w:bookmarkStart w:id="224" w:name="_Toc184314444"/>
      <w:bookmarkEnd w:id="224"/>
      <w:bookmarkStart w:id="225" w:name="_Toc184310300"/>
      <w:bookmarkEnd w:id="225"/>
      <w:bookmarkStart w:id="226" w:name="_Toc184312137"/>
      <w:bookmarkEnd w:id="226"/>
      <w:bookmarkStart w:id="227" w:name="_Toc184313246"/>
      <w:bookmarkEnd w:id="227"/>
      <w:bookmarkStart w:id="228" w:name="_Toc184310311"/>
      <w:bookmarkEnd w:id="228"/>
      <w:bookmarkStart w:id="229" w:name="_Toc184312128"/>
      <w:bookmarkEnd w:id="229"/>
      <w:bookmarkStart w:id="230" w:name="_Toc184313260"/>
      <w:bookmarkEnd w:id="230"/>
      <w:bookmarkStart w:id="231" w:name="_Toc184308081"/>
      <w:bookmarkEnd w:id="231"/>
      <w:bookmarkStart w:id="232" w:name="_Toc184310299"/>
      <w:bookmarkEnd w:id="232"/>
      <w:bookmarkStart w:id="233" w:name="_Toc184308046"/>
      <w:bookmarkEnd w:id="233"/>
      <w:bookmarkStart w:id="234" w:name="_Toc184314436"/>
      <w:bookmarkEnd w:id="234"/>
      <w:bookmarkStart w:id="235" w:name="_Toc184310292"/>
      <w:bookmarkEnd w:id="235"/>
      <w:bookmarkStart w:id="236" w:name="_Toc184310279"/>
      <w:bookmarkEnd w:id="236"/>
      <w:bookmarkStart w:id="237" w:name="_Toc184308068"/>
      <w:bookmarkEnd w:id="237"/>
      <w:bookmarkStart w:id="238" w:name="_Toc184312136"/>
      <w:bookmarkEnd w:id="238"/>
      <w:bookmarkStart w:id="239" w:name="_Toc184308047"/>
      <w:bookmarkEnd w:id="239"/>
      <w:bookmarkStart w:id="240" w:name="_Toc184310327"/>
      <w:bookmarkEnd w:id="240"/>
      <w:bookmarkStart w:id="241" w:name="_Toc184313272"/>
      <w:bookmarkEnd w:id="241"/>
      <w:bookmarkStart w:id="242" w:name="_Toc184312129"/>
      <w:bookmarkEnd w:id="242"/>
      <w:bookmarkStart w:id="243" w:name="_Toc184312080"/>
      <w:bookmarkEnd w:id="243"/>
      <w:bookmarkStart w:id="244" w:name="_Toc184308106"/>
      <w:bookmarkEnd w:id="244"/>
      <w:bookmarkStart w:id="245" w:name="_Toc184310341"/>
      <w:bookmarkEnd w:id="245"/>
      <w:bookmarkStart w:id="246" w:name="_Toc184310315"/>
      <w:bookmarkEnd w:id="246"/>
      <w:bookmarkStart w:id="247" w:name="_Toc184313281"/>
      <w:bookmarkEnd w:id="247"/>
      <w:bookmarkStart w:id="248" w:name="_Toc184310323"/>
      <w:bookmarkEnd w:id="248"/>
      <w:bookmarkStart w:id="249" w:name="_Toc184314415"/>
      <w:bookmarkEnd w:id="249"/>
      <w:bookmarkStart w:id="250" w:name="_Toc184313265"/>
      <w:bookmarkEnd w:id="250"/>
      <w:bookmarkStart w:id="251" w:name="_Toc184308100"/>
      <w:bookmarkEnd w:id="251"/>
      <w:bookmarkStart w:id="252" w:name="_Toc184313289"/>
      <w:bookmarkEnd w:id="252"/>
      <w:bookmarkStart w:id="253" w:name="_Toc184308071"/>
      <w:bookmarkEnd w:id="253"/>
      <w:bookmarkStart w:id="254" w:name="_Toc184314462"/>
      <w:bookmarkEnd w:id="254"/>
      <w:bookmarkStart w:id="255" w:name="_Toc184314473"/>
      <w:bookmarkEnd w:id="255"/>
      <w:bookmarkStart w:id="256" w:name="_Toc184314435"/>
      <w:bookmarkEnd w:id="256"/>
      <w:bookmarkStart w:id="257" w:name="_Toc184312073"/>
      <w:bookmarkEnd w:id="257"/>
      <w:bookmarkStart w:id="258" w:name="_Toc184314442"/>
      <w:bookmarkEnd w:id="258"/>
      <w:bookmarkStart w:id="259" w:name="_Toc184310322"/>
      <w:bookmarkEnd w:id="259"/>
      <w:bookmarkStart w:id="260" w:name="_Toc184313250"/>
      <w:bookmarkEnd w:id="260"/>
      <w:bookmarkStart w:id="261" w:name="_Toc184308054"/>
      <w:bookmarkEnd w:id="261"/>
      <w:bookmarkStart w:id="262" w:name="_Toc184313248"/>
      <w:bookmarkEnd w:id="262"/>
      <w:bookmarkStart w:id="263" w:name="_Toc184313262"/>
      <w:bookmarkEnd w:id="263"/>
      <w:bookmarkStart w:id="264" w:name="_Toc184313251"/>
      <w:bookmarkEnd w:id="264"/>
      <w:bookmarkStart w:id="265" w:name="_Toc184312096"/>
      <w:bookmarkEnd w:id="265"/>
      <w:bookmarkStart w:id="266" w:name="_Toc184312106"/>
      <w:bookmarkEnd w:id="266"/>
      <w:bookmarkStart w:id="267" w:name="_Toc184313284"/>
      <w:bookmarkEnd w:id="267"/>
      <w:bookmarkStart w:id="268" w:name="_Toc184312067"/>
      <w:bookmarkEnd w:id="268"/>
      <w:bookmarkStart w:id="269" w:name="_Toc184314426"/>
      <w:bookmarkEnd w:id="269"/>
      <w:bookmarkStart w:id="270" w:name="_Toc184308064"/>
      <w:bookmarkEnd w:id="270"/>
      <w:bookmarkStart w:id="271" w:name="_Toc184310336"/>
      <w:bookmarkEnd w:id="271"/>
      <w:bookmarkStart w:id="272" w:name="_Toc184313302"/>
      <w:bookmarkEnd w:id="272"/>
      <w:bookmarkStart w:id="273" w:name="_Toc184310328"/>
      <w:bookmarkEnd w:id="273"/>
      <w:bookmarkStart w:id="274" w:name="_Toc184308045"/>
      <w:bookmarkEnd w:id="274"/>
      <w:bookmarkStart w:id="275" w:name="_Toc184308049"/>
      <w:bookmarkEnd w:id="275"/>
      <w:bookmarkStart w:id="276" w:name="_Toc184308082"/>
      <w:bookmarkEnd w:id="276"/>
      <w:bookmarkStart w:id="277" w:name="_Toc184308060"/>
      <w:bookmarkEnd w:id="277"/>
      <w:bookmarkStart w:id="278" w:name="_Toc184308074"/>
      <w:bookmarkEnd w:id="278"/>
      <w:bookmarkStart w:id="279" w:name="_Toc184312090"/>
      <w:bookmarkEnd w:id="279"/>
      <w:bookmarkStart w:id="280" w:name="_Toc184314414"/>
      <w:bookmarkEnd w:id="280"/>
      <w:bookmarkStart w:id="281" w:name="_Toc184310324"/>
      <w:bookmarkEnd w:id="281"/>
      <w:bookmarkStart w:id="282" w:name="_Toc184313271"/>
      <w:bookmarkEnd w:id="282"/>
      <w:bookmarkStart w:id="283" w:name="_Toc184314447"/>
      <w:bookmarkEnd w:id="283"/>
      <w:bookmarkStart w:id="284" w:name="_Toc184308067"/>
      <w:bookmarkEnd w:id="284"/>
      <w:bookmarkStart w:id="285" w:name="_Toc184310275"/>
      <w:bookmarkEnd w:id="285"/>
      <w:bookmarkStart w:id="286" w:name="_Toc184312088"/>
      <w:bookmarkEnd w:id="286"/>
      <w:bookmarkStart w:id="287" w:name="_Toc184310273"/>
      <w:bookmarkEnd w:id="287"/>
      <w:bookmarkStart w:id="288" w:name="_Toc184312085"/>
      <w:bookmarkEnd w:id="288"/>
      <w:bookmarkStart w:id="289" w:name="_Toc184308104"/>
      <w:bookmarkEnd w:id="289"/>
      <w:bookmarkStart w:id="290" w:name="_Toc184314441"/>
      <w:bookmarkEnd w:id="290"/>
      <w:bookmarkStart w:id="291" w:name="_Toc184310331"/>
      <w:bookmarkEnd w:id="291"/>
      <w:bookmarkStart w:id="292" w:name="_Toc184310282"/>
      <w:bookmarkEnd w:id="292"/>
      <w:bookmarkStart w:id="293" w:name="_Toc184308048"/>
      <w:bookmarkEnd w:id="293"/>
      <w:bookmarkStart w:id="294" w:name="_Toc184314432"/>
      <w:bookmarkEnd w:id="294"/>
      <w:bookmarkStart w:id="295" w:name="_Toc184313309"/>
      <w:bookmarkEnd w:id="295"/>
      <w:bookmarkStart w:id="296" w:name="_Toc184310295"/>
      <w:bookmarkEnd w:id="296"/>
      <w:bookmarkStart w:id="297" w:name="_Toc184310305"/>
      <w:bookmarkEnd w:id="297"/>
      <w:bookmarkStart w:id="298" w:name="_Toc184313268"/>
      <w:bookmarkEnd w:id="298"/>
      <w:bookmarkStart w:id="299" w:name="_Toc184314418"/>
      <w:bookmarkEnd w:id="299"/>
      <w:bookmarkStart w:id="300" w:name="_Toc184313273"/>
      <w:bookmarkEnd w:id="300"/>
      <w:bookmarkStart w:id="301" w:name="_Toc184308062"/>
      <w:bookmarkEnd w:id="301"/>
      <w:bookmarkStart w:id="302" w:name="_Toc184310303"/>
      <w:bookmarkEnd w:id="302"/>
      <w:bookmarkStart w:id="303" w:name="_Toc184313257"/>
      <w:bookmarkEnd w:id="303"/>
      <w:bookmarkStart w:id="304" w:name="_Toc184310342"/>
      <w:bookmarkEnd w:id="304"/>
      <w:bookmarkStart w:id="305" w:name="_Toc184312135"/>
      <w:bookmarkEnd w:id="305"/>
      <w:bookmarkStart w:id="306" w:name="_Toc184312098"/>
      <w:bookmarkEnd w:id="306"/>
      <w:bookmarkStart w:id="307" w:name="_Toc184310332"/>
      <w:bookmarkEnd w:id="307"/>
      <w:bookmarkStart w:id="308" w:name="_Toc184313299"/>
      <w:bookmarkEnd w:id="308"/>
      <w:bookmarkStart w:id="309" w:name="_Toc184312134"/>
      <w:bookmarkEnd w:id="309"/>
      <w:bookmarkStart w:id="310" w:name="_Toc184310289"/>
      <w:bookmarkEnd w:id="310"/>
      <w:bookmarkStart w:id="311" w:name="_Toc184312079"/>
      <w:bookmarkEnd w:id="311"/>
      <w:bookmarkStart w:id="312" w:name="_Toc184313296"/>
      <w:bookmarkEnd w:id="312"/>
      <w:bookmarkStart w:id="313" w:name="_Toc184308077"/>
      <w:bookmarkEnd w:id="313"/>
      <w:bookmarkStart w:id="314" w:name="_Toc184312102"/>
      <w:bookmarkEnd w:id="314"/>
      <w:bookmarkStart w:id="315" w:name="_Toc184312117"/>
      <w:bookmarkEnd w:id="315"/>
      <w:bookmarkStart w:id="316" w:name="_Toc184313249"/>
      <w:bookmarkEnd w:id="316"/>
      <w:bookmarkStart w:id="317" w:name="_Toc184312072"/>
      <w:bookmarkEnd w:id="317"/>
      <w:bookmarkStart w:id="318" w:name="_Toc184310301"/>
      <w:bookmarkEnd w:id="318"/>
      <w:bookmarkStart w:id="319" w:name="_Toc184313266"/>
      <w:bookmarkEnd w:id="319"/>
      <w:bookmarkStart w:id="320" w:name="_Toc184314446"/>
      <w:bookmarkEnd w:id="320"/>
      <w:bookmarkStart w:id="321" w:name="_Toc184312100"/>
      <w:bookmarkEnd w:id="321"/>
      <w:bookmarkStart w:id="322" w:name="_Toc184313280"/>
      <w:bookmarkEnd w:id="322"/>
      <w:bookmarkStart w:id="323" w:name="_Toc184314460"/>
      <w:bookmarkEnd w:id="323"/>
      <w:bookmarkStart w:id="324" w:name="_Toc184314422"/>
      <w:bookmarkEnd w:id="324"/>
      <w:bookmarkStart w:id="325" w:name="_Toc184308084"/>
      <w:bookmarkEnd w:id="325"/>
      <w:bookmarkStart w:id="326" w:name="_Toc184308107"/>
      <w:bookmarkEnd w:id="326"/>
      <w:bookmarkStart w:id="327" w:name="_Toc184312132"/>
      <w:bookmarkEnd w:id="327"/>
      <w:bookmarkStart w:id="328" w:name="_Toc184313244"/>
      <w:bookmarkEnd w:id="328"/>
      <w:bookmarkStart w:id="329" w:name="_Toc184312127"/>
      <w:bookmarkEnd w:id="329"/>
      <w:bookmarkStart w:id="330" w:name="_Toc184314411"/>
      <w:bookmarkEnd w:id="330"/>
      <w:bookmarkStart w:id="331" w:name="_Toc184314448"/>
      <w:bookmarkEnd w:id="331"/>
      <w:bookmarkStart w:id="332" w:name="_Toc184310329"/>
      <w:bookmarkEnd w:id="332"/>
      <w:bookmarkStart w:id="333" w:name="_Toc184312099"/>
      <w:bookmarkEnd w:id="333"/>
      <w:bookmarkStart w:id="334" w:name="_Toc184308037"/>
      <w:bookmarkEnd w:id="334"/>
      <w:bookmarkStart w:id="335" w:name="_Toc184312125"/>
      <w:bookmarkEnd w:id="335"/>
      <w:bookmarkStart w:id="336" w:name="_Toc184310330"/>
      <w:bookmarkEnd w:id="336"/>
      <w:bookmarkStart w:id="337" w:name="_Toc184313308"/>
      <w:bookmarkEnd w:id="337"/>
      <w:bookmarkStart w:id="338" w:name="_Toc184312089"/>
      <w:bookmarkEnd w:id="338"/>
      <w:bookmarkStart w:id="339" w:name="_Toc184308096"/>
      <w:bookmarkEnd w:id="339"/>
      <w:bookmarkStart w:id="340" w:name="_Toc184313275"/>
      <w:bookmarkEnd w:id="340"/>
      <w:bookmarkStart w:id="341" w:name="_Toc184310325"/>
      <w:bookmarkEnd w:id="341"/>
      <w:bookmarkStart w:id="342" w:name="_Toc184313290"/>
      <w:bookmarkEnd w:id="342"/>
      <w:bookmarkStart w:id="343" w:name="_Toc184313267"/>
      <w:bookmarkEnd w:id="343"/>
      <w:bookmarkStart w:id="344" w:name="_Toc184314437"/>
      <w:bookmarkEnd w:id="344"/>
      <w:bookmarkStart w:id="345" w:name="_Toc184313278"/>
      <w:bookmarkEnd w:id="345"/>
      <w:bookmarkStart w:id="346" w:name="_Toc184310283"/>
      <w:bookmarkEnd w:id="346"/>
      <w:bookmarkStart w:id="347" w:name="_Toc184310320"/>
      <w:bookmarkEnd w:id="347"/>
      <w:bookmarkStart w:id="348" w:name="_Toc184310308"/>
      <w:bookmarkEnd w:id="348"/>
      <w:bookmarkStart w:id="349" w:name="_Toc184308050"/>
      <w:bookmarkEnd w:id="349"/>
      <w:bookmarkStart w:id="350" w:name="_Toc184314416"/>
      <w:bookmarkEnd w:id="350"/>
      <w:bookmarkStart w:id="351" w:name="_Toc184308056"/>
      <w:bookmarkEnd w:id="351"/>
      <w:bookmarkStart w:id="352" w:name="_Toc184308044"/>
      <w:bookmarkEnd w:id="352"/>
      <w:bookmarkStart w:id="353" w:name="_Toc184308039"/>
      <w:bookmarkEnd w:id="353"/>
      <w:bookmarkStart w:id="354" w:name="_Toc184314440"/>
      <w:bookmarkEnd w:id="354"/>
      <w:bookmarkStart w:id="355" w:name="_Toc184308091"/>
      <w:bookmarkEnd w:id="355"/>
      <w:bookmarkStart w:id="356" w:name="_Toc184310285"/>
      <w:bookmarkEnd w:id="356"/>
      <w:bookmarkStart w:id="357" w:name="_Toc184308069"/>
      <w:bookmarkEnd w:id="357"/>
      <w:bookmarkStart w:id="358" w:name="_Toc184313258"/>
      <w:bookmarkEnd w:id="358"/>
      <w:bookmarkStart w:id="359" w:name="_Toc184312076"/>
      <w:bookmarkEnd w:id="359"/>
      <w:bookmarkStart w:id="360" w:name="_Toc184312105"/>
      <w:bookmarkEnd w:id="360"/>
      <w:bookmarkStart w:id="361" w:name="_Toc184310287"/>
      <w:bookmarkEnd w:id="361"/>
      <w:bookmarkStart w:id="362" w:name="_Toc184314458"/>
      <w:bookmarkEnd w:id="362"/>
      <w:bookmarkStart w:id="363" w:name="_Toc184314459"/>
      <w:bookmarkEnd w:id="363"/>
      <w:bookmarkStart w:id="364" w:name="_Toc184312112"/>
      <w:bookmarkEnd w:id="364"/>
      <w:bookmarkStart w:id="365" w:name="_Toc184314421"/>
      <w:bookmarkEnd w:id="365"/>
      <w:bookmarkStart w:id="366" w:name="_Toc184313276"/>
      <w:bookmarkEnd w:id="366"/>
      <w:bookmarkStart w:id="367" w:name="_Toc184310317"/>
      <w:bookmarkEnd w:id="367"/>
      <w:bookmarkStart w:id="368" w:name="_Toc184310278"/>
      <w:bookmarkEnd w:id="368"/>
      <w:bookmarkStart w:id="369" w:name="_Toc184312118"/>
      <w:bookmarkEnd w:id="369"/>
      <w:bookmarkStart w:id="370" w:name="_Toc184308058"/>
      <w:bookmarkEnd w:id="370"/>
      <w:bookmarkStart w:id="371" w:name="_Toc184308061"/>
      <w:bookmarkEnd w:id="371"/>
      <w:bookmarkStart w:id="372" w:name="_Toc184310338"/>
      <w:bookmarkEnd w:id="372"/>
      <w:bookmarkStart w:id="373" w:name="_Toc184313247"/>
      <w:bookmarkEnd w:id="373"/>
      <w:bookmarkStart w:id="374" w:name="_Toc184310293"/>
      <w:bookmarkEnd w:id="374"/>
      <w:bookmarkStart w:id="375" w:name="_Toc184310298"/>
      <w:bookmarkEnd w:id="375"/>
      <w:bookmarkStart w:id="376" w:name="_Toc184312120"/>
      <w:bookmarkEnd w:id="376"/>
      <w:bookmarkStart w:id="377" w:name="_Toc184308105"/>
      <w:bookmarkEnd w:id="377"/>
      <w:bookmarkStart w:id="378" w:name="_Toc184313286"/>
      <w:bookmarkEnd w:id="378"/>
      <w:bookmarkStart w:id="379" w:name="_Toc184314450"/>
      <w:bookmarkEnd w:id="379"/>
      <w:bookmarkStart w:id="380" w:name="_Toc184308092"/>
      <w:bookmarkEnd w:id="380"/>
      <w:bookmarkStart w:id="381" w:name="_Toc184308072"/>
      <w:bookmarkEnd w:id="381"/>
      <w:bookmarkStart w:id="382" w:name="_Toc184308075"/>
      <w:bookmarkEnd w:id="382"/>
      <w:bookmarkStart w:id="383" w:name="_Toc184314456"/>
      <w:bookmarkEnd w:id="383"/>
      <w:bookmarkStart w:id="384" w:name="_Toc184314420"/>
      <w:bookmarkEnd w:id="384"/>
      <w:bookmarkStart w:id="385" w:name="_Toc184314469"/>
      <w:bookmarkEnd w:id="385"/>
      <w:bookmarkStart w:id="386" w:name="_Toc184308042"/>
      <w:bookmarkEnd w:id="386"/>
      <w:bookmarkStart w:id="387" w:name="_Toc184308078"/>
      <w:bookmarkEnd w:id="387"/>
      <w:bookmarkStart w:id="388" w:name="_Toc184312119"/>
      <w:bookmarkEnd w:id="388"/>
      <w:bookmarkStart w:id="389" w:name="_Toc184313264"/>
      <w:bookmarkEnd w:id="389"/>
      <w:bookmarkStart w:id="390" w:name="_Toc184312123"/>
      <w:bookmarkEnd w:id="390"/>
      <w:bookmarkStart w:id="391" w:name="_Toc184308038"/>
      <w:bookmarkEnd w:id="391"/>
      <w:bookmarkStart w:id="392" w:name="_Toc184313306"/>
      <w:bookmarkEnd w:id="392"/>
      <w:bookmarkStart w:id="393" w:name="_Toc184312078"/>
      <w:bookmarkEnd w:id="393"/>
      <w:bookmarkStart w:id="394" w:name="_Toc184314464"/>
      <w:bookmarkEnd w:id="394"/>
      <w:bookmarkStart w:id="395" w:name="_Toc184312095"/>
      <w:bookmarkEnd w:id="395"/>
      <w:bookmarkStart w:id="396" w:name="_Toc184310339"/>
      <w:bookmarkEnd w:id="396"/>
      <w:r>
        <w:rPr>
          <w:rFonts w:hint="eastAsia" w:cs="仿宋" w:asciiTheme="majorEastAsia" w:hAnsiTheme="majorEastAsia" w:eastAsiaTheme="majorEastAsia"/>
          <w:b/>
          <w:color w:val="auto"/>
          <w:sz w:val="36"/>
          <w:szCs w:val="36"/>
          <w:highlight w:val="none"/>
        </w:rPr>
        <w:t>评标办法</w:t>
      </w:r>
    </w:p>
    <w:p w14:paraId="32075C26">
      <w:pPr>
        <w:snapToGrid w:val="0"/>
        <w:spacing w:line="360" w:lineRule="auto"/>
        <w:jc w:val="center"/>
        <w:rPr>
          <w:rFonts w:hint="eastAsia"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评标办法前附表</w:t>
      </w:r>
    </w:p>
    <w:tbl>
      <w:tblPr>
        <w:tblStyle w:val="19"/>
        <w:tblW w:w="9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8969"/>
      </w:tblGrid>
      <w:tr w14:paraId="340F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592" w:type="dxa"/>
            <w:vMerge w:val="restart"/>
            <w:vAlign w:val="center"/>
          </w:tcPr>
          <w:p w14:paraId="566AD9F3">
            <w:pPr>
              <w:bidi w:val="0"/>
            </w:pPr>
            <w:r>
              <w:rPr>
                <w:rFonts w:hint="eastAsia"/>
              </w:rPr>
              <w:t>商务技术分80</w:t>
            </w:r>
          </w:p>
          <w:p w14:paraId="60724F34">
            <w:pPr>
              <w:bidi w:val="0"/>
            </w:pPr>
            <w:r>
              <w:rPr>
                <w:rFonts w:hint="eastAsia"/>
              </w:rPr>
              <w:t>分</w:t>
            </w:r>
          </w:p>
          <w:p w14:paraId="76DC442B">
            <w:pPr>
              <w:bidi w:val="0"/>
            </w:pPr>
          </w:p>
        </w:tc>
        <w:tc>
          <w:tcPr>
            <w:tcW w:w="8969" w:type="dxa"/>
            <w:vAlign w:val="center"/>
          </w:tcPr>
          <w:p w14:paraId="53364EFC">
            <w:pPr>
              <w:bidi w:val="0"/>
              <w:spacing w:line="360" w:lineRule="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“采购需求”的响应情况（</w:t>
            </w:r>
            <w:r>
              <w:rPr>
                <w:rFonts w:hint="eastAsia" w:ascii="宋体" w:hAnsi="宋体" w:cs="宋体"/>
                <w:lang w:val="en-US" w:eastAsia="zh-CN"/>
              </w:rPr>
              <w:t>18</w:t>
            </w:r>
            <w:r>
              <w:rPr>
                <w:rFonts w:hint="eastAsia" w:ascii="宋体" w:hAnsi="宋体" w:eastAsia="宋体" w:cs="宋体"/>
              </w:rPr>
              <w:t>分）</w:t>
            </w:r>
          </w:p>
          <w:p w14:paraId="00A92FAA">
            <w:pPr>
              <w:bidi w:val="0"/>
              <w:spacing w:line="360" w:lineRule="auto"/>
              <w:rPr>
                <w:rFonts w:hint="eastAsia" w:ascii="宋体" w:hAnsi="宋体" w:eastAsia="宋体" w:cs="宋体"/>
              </w:rPr>
            </w:pPr>
            <w:r>
              <w:rPr>
                <w:rFonts w:hint="eastAsia" w:ascii="宋体" w:hAnsi="宋体" w:eastAsia="宋体" w:cs="宋体"/>
              </w:rPr>
              <w:t>根据招标文件第三部分“采购需求”的响应情况，所有服务要求全部响应得</w:t>
            </w:r>
            <w:r>
              <w:rPr>
                <w:rFonts w:hint="eastAsia" w:ascii="宋体" w:hAnsi="宋体" w:cs="宋体"/>
                <w:lang w:val="en-US" w:eastAsia="zh-CN"/>
              </w:rPr>
              <w:t>18</w:t>
            </w:r>
            <w:r>
              <w:rPr>
                <w:rFonts w:hint="eastAsia" w:ascii="宋体" w:hAnsi="宋体" w:eastAsia="宋体" w:cs="宋体"/>
              </w:rPr>
              <w:t>分，每负偏离一条服务要求扣</w:t>
            </w:r>
            <w:r>
              <w:rPr>
                <w:rFonts w:hint="eastAsia" w:ascii="宋体" w:hAnsi="宋体" w:eastAsia="宋体" w:cs="宋体"/>
                <w:lang w:val="en-US" w:eastAsia="zh-CN"/>
              </w:rPr>
              <w:t>2</w:t>
            </w:r>
            <w:r>
              <w:rPr>
                <w:rFonts w:hint="eastAsia" w:ascii="宋体" w:hAnsi="宋体" w:eastAsia="宋体" w:cs="宋体"/>
              </w:rPr>
              <w:t>分，负偏离达</w:t>
            </w:r>
            <w:r>
              <w:rPr>
                <w:rFonts w:hint="eastAsia" w:ascii="宋体" w:hAnsi="宋体" w:cs="宋体"/>
                <w:lang w:val="en-US" w:eastAsia="zh-CN"/>
              </w:rPr>
              <w:t>10</w:t>
            </w:r>
            <w:r>
              <w:rPr>
                <w:rFonts w:hint="eastAsia" w:ascii="宋体" w:hAnsi="宋体" w:eastAsia="宋体" w:cs="宋体"/>
              </w:rPr>
              <w:t>项及以上的作无效标处理。</w:t>
            </w:r>
          </w:p>
        </w:tc>
      </w:tr>
      <w:tr w14:paraId="771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5" w:hRule="atLeast"/>
          <w:jc w:val="center"/>
        </w:trPr>
        <w:tc>
          <w:tcPr>
            <w:tcW w:w="592" w:type="dxa"/>
            <w:vMerge w:val="continue"/>
            <w:vAlign w:val="center"/>
          </w:tcPr>
          <w:p w14:paraId="5A8B6999">
            <w:pPr>
              <w:bidi w:val="0"/>
            </w:pPr>
          </w:p>
        </w:tc>
        <w:tc>
          <w:tcPr>
            <w:tcW w:w="8969" w:type="dxa"/>
            <w:vAlign w:val="center"/>
          </w:tcPr>
          <w:p w14:paraId="1D5B0C89">
            <w:pPr>
              <w:bidi w:val="0"/>
              <w:spacing w:line="360" w:lineRule="auto"/>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抗压</w:t>
            </w:r>
            <w:r>
              <w:rPr>
                <w:rFonts w:hint="eastAsia" w:ascii="宋体" w:hAnsi="宋体" w:eastAsia="宋体" w:cs="宋体"/>
                <w:lang w:val="en-US" w:eastAsia="zh-CN"/>
              </w:rPr>
              <w:t>试验</w:t>
            </w:r>
            <w:r>
              <w:rPr>
                <w:rFonts w:hint="eastAsia" w:ascii="宋体" w:hAnsi="宋体" w:eastAsia="宋体" w:cs="宋体"/>
              </w:rPr>
              <w:t>项目检测方案（5分）</w:t>
            </w:r>
          </w:p>
          <w:p w14:paraId="47E2FBA6">
            <w:pPr>
              <w:bidi w:val="0"/>
              <w:spacing w:line="360" w:lineRule="auto"/>
              <w:rPr>
                <w:rFonts w:hint="eastAsia" w:ascii="宋体" w:hAnsi="宋体" w:eastAsia="宋体" w:cs="宋体"/>
              </w:rPr>
            </w:pPr>
            <w:r>
              <w:rPr>
                <w:rFonts w:hint="eastAsia" w:ascii="宋体" w:hAnsi="宋体" w:eastAsia="宋体" w:cs="宋体"/>
              </w:rPr>
              <w:t>2.1检测总体方案</w:t>
            </w:r>
            <w:r>
              <w:rPr>
                <w:rFonts w:hint="eastAsia" w:ascii="宋体" w:hAnsi="宋体" w:cs="宋体"/>
                <w:lang w:eastAsia="zh-CN"/>
              </w:rPr>
              <w:t>：</w:t>
            </w:r>
            <w:r>
              <w:rPr>
                <w:rFonts w:hint="eastAsia" w:ascii="宋体" w:hAnsi="宋体" w:eastAsia="宋体" w:cs="宋体"/>
              </w:rPr>
              <w:t>①检测内容完整周密；②检测构架健全合理的；以上内容每符合一项得1分，有所欠缺的每项得0.5分，欠缺较大或未提供该内容的不得分，本项最高得2分。</w:t>
            </w:r>
          </w:p>
          <w:p w14:paraId="7F1F4064">
            <w:pPr>
              <w:bidi w:val="0"/>
              <w:spacing w:line="360" w:lineRule="auto"/>
              <w:rPr>
                <w:rFonts w:hint="eastAsia" w:ascii="宋体" w:hAnsi="宋体" w:eastAsia="宋体" w:cs="宋体"/>
              </w:rPr>
            </w:pPr>
            <w:r>
              <w:rPr>
                <w:rFonts w:hint="eastAsia" w:ascii="宋体" w:hAnsi="宋体" w:eastAsia="宋体" w:cs="宋体"/>
              </w:rPr>
              <w:t>2.2检测依据</w:t>
            </w:r>
            <w:r>
              <w:rPr>
                <w:rFonts w:hint="eastAsia" w:ascii="宋体" w:hAnsi="宋体" w:cs="宋体"/>
                <w:lang w:eastAsia="zh-CN"/>
              </w:rPr>
              <w:t>：</w:t>
            </w:r>
            <w:r>
              <w:rPr>
                <w:rFonts w:hint="eastAsia" w:ascii="宋体" w:hAnsi="宋体" w:eastAsia="宋体" w:cs="宋体"/>
              </w:rPr>
              <w:t>①依据充分；②依据严谨规范的；以上内容每符合一项得0.5分，有所欠缺的每项得0.25分，欠缺较大或未提供该内容的不得分，本项最高得1分。</w:t>
            </w:r>
          </w:p>
          <w:p w14:paraId="133C8BF2">
            <w:pPr>
              <w:bidi w:val="0"/>
              <w:spacing w:line="360" w:lineRule="auto"/>
              <w:rPr>
                <w:rFonts w:hint="eastAsia" w:ascii="宋体" w:hAnsi="宋体" w:eastAsia="宋体" w:cs="宋体"/>
              </w:rPr>
            </w:pPr>
            <w:r>
              <w:rPr>
                <w:rFonts w:hint="eastAsia" w:ascii="宋体" w:hAnsi="宋体" w:eastAsia="宋体" w:cs="宋体"/>
              </w:rPr>
              <w:t>2.3检测原理及方法</w:t>
            </w:r>
            <w:r>
              <w:rPr>
                <w:rFonts w:hint="eastAsia" w:ascii="宋体" w:hAnsi="宋体" w:cs="宋体"/>
                <w:lang w:eastAsia="zh-CN"/>
              </w:rPr>
              <w:t>：</w:t>
            </w:r>
            <w:r>
              <w:rPr>
                <w:rFonts w:hint="eastAsia" w:ascii="宋体" w:hAnsi="宋体" w:eastAsia="宋体" w:cs="宋体"/>
              </w:rPr>
              <w:t>①检测原理严谨准确；②检测方法规范、符合本项目需求的；以上内容每符合一项得0.5分，有所欠缺的每项得0.25分，欠缺较大或未提供该内容的不得分，本项最高得1分。</w:t>
            </w:r>
          </w:p>
          <w:p w14:paraId="21E77F34">
            <w:pPr>
              <w:bidi w:val="0"/>
              <w:spacing w:line="360" w:lineRule="auto"/>
              <w:rPr>
                <w:rFonts w:hint="eastAsia" w:ascii="宋体" w:hAnsi="宋体" w:eastAsia="宋体" w:cs="宋体"/>
              </w:rPr>
            </w:pPr>
            <w:r>
              <w:rPr>
                <w:rFonts w:hint="eastAsia" w:ascii="宋体" w:hAnsi="宋体" w:eastAsia="宋体" w:cs="宋体"/>
              </w:rPr>
              <w:t>2.4检测程序及手段</w:t>
            </w:r>
            <w:r>
              <w:rPr>
                <w:rFonts w:hint="eastAsia" w:ascii="宋体" w:hAnsi="宋体" w:cs="宋体"/>
                <w:lang w:eastAsia="zh-CN"/>
              </w:rPr>
              <w:t>：</w:t>
            </w:r>
            <w:r>
              <w:rPr>
                <w:rFonts w:hint="eastAsia" w:ascii="宋体" w:hAnsi="宋体" w:eastAsia="宋体" w:cs="宋体"/>
              </w:rPr>
              <w:t>①检测程序准确有条理性的；②检测手段合理、有针对性的、符合本项目需求；以上内容每符合一项得0.5分，有所欠缺的每项得0.25分，欠缺较大或未提供该内容的不得分，本项最高得1分。</w:t>
            </w:r>
          </w:p>
        </w:tc>
      </w:tr>
      <w:tr w14:paraId="0D34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5" w:hRule="atLeast"/>
          <w:jc w:val="center"/>
        </w:trPr>
        <w:tc>
          <w:tcPr>
            <w:tcW w:w="592" w:type="dxa"/>
            <w:vMerge w:val="continue"/>
            <w:vAlign w:val="center"/>
          </w:tcPr>
          <w:p w14:paraId="610C8A9D">
            <w:pPr>
              <w:bidi w:val="0"/>
            </w:pPr>
          </w:p>
        </w:tc>
        <w:tc>
          <w:tcPr>
            <w:tcW w:w="8969" w:type="dxa"/>
            <w:vAlign w:val="center"/>
          </w:tcPr>
          <w:p w14:paraId="39BFA469">
            <w:pPr>
              <w:bidi w:val="0"/>
              <w:spacing w:line="360" w:lineRule="auto"/>
              <w:rPr>
                <w:rFonts w:hint="eastAsia" w:ascii="宋体" w:hAnsi="宋体" w:eastAsia="宋体" w:cs="宋体"/>
              </w:rPr>
            </w:pPr>
            <w:r>
              <w:rPr>
                <w:rFonts w:hint="eastAsia" w:ascii="宋体" w:hAnsi="宋体" w:eastAsia="宋体" w:cs="宋体"/>
              </w:rPr>
              <w:t>3、抗拔</w:t>
            </w:r>
            <w:r>
              <w:rPr>
                <w:rFonts w:hint="eastAsia" w:ascii="宋体" w:hAnsi="宋体" w:eastAsia="宋体" w:cs="宋体"/>
                <w:lang w:val="en-US" w:eastAsia="zh-CN"/>
              </w:rPr>
              <w:t>试验</w:t>
            </w:r>
            <w:r>
              <w:rPr>
                <w:rFonts w:hint="eastAsia" w:ascii="宋体" w:hAnsi="宋体" w:eastAsia="宋体" w:cs="宋体"/>
              </w:rPr>
              <w:t>项目检测方案（5分）</w:t>
            </w:r>
          </w:p>
          <w:p w14:paraId="3FB8DC8A">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3.1检测总体方案：①检测内容完整周密；②检测构架健全合理的；以上内容每符合一项得1分，有所欠缺的每项得0.5分，欠缺较大或未提供该内容的不得分，本项最高得2分。</w:t>
            </w:r>
          </w:p>
          <w:p w14:paraId="614CB3D7">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3.2检测依据：①依据充分；②依据</w:t>
            </w:r>
            <w:r>
              <w:rPr>
                <w:rFonts w:hint="eastAsia" w:ascii="宋体" w:hAnsi="宋体" w:eastAsia="宋体" w:cs="宋体"/>
                <w:lang w:eastAsia="zh-CN"/>
              </w:rPr>
              <w:t>严谨规范</w:t>
            </w:r>
            <w:r>
              <w:rPr>
                <w:rFonts w:hint="eastAsia" w:ascii="宋体" w:hAnsi="宋体" w:eastAsia="宋体" w:cs="宋体"/>
                <w:lang w:val="en-US" w:eastAsia="zh-CN"/>
              </w:rPr>
              <w:t>的；以上内容每符合一项得0.5分，有所欠缺的每项得0.25分，欠缺较大或未提供该内容的不得分，本项最高得1分。</w:t>
            </w:r>
          </w:p>
          <w:p w14:paraId="1BEC1E67">
            <w:pPr>
              <w:bidi w:val="0"/>
              <w:spacing w:line="360" w:lineRule="auto"/>
              <w:rPr>
                <w:rFonts w:hint="eastAsia" w:ascii="宋体" w:hAnsi="宋体" w:eastAsia="宋体" w:cs="宋体"/>
                <w:lang w:eastAsia="zh-CN"/>
              </w:rPr>
            </w:pPr>
            <w:r>
              <w:rPr>
                <w:rFonts w:hint="eastAsia" w:ascii="宋体" w:hAnsi="宋体" w:eastAsia="宋体" w:cs="宋体"/>
                <w:lang w:val="en-US" w:eastAsia="zh-CN"/>
              </w:rPr>
              <w:t>3.3检测原理及方法：①</w:t>
            </w:r>
            <w:r>
              <w:rPr>
                <w:rFonts w:hint="eastAsia" w:ascii="宋体" w:hAnsi="宋体" w:eastAsia="宋体" w:cs="宋体"/>
                <w:lang w:eastAsia="zh-CN"/>
              </w:rPr>
              <w:t>检测原理严谨准确；</w:t>
            </w:r>
            <w:r>
              <w:rPr>
                <w:rFonts w:hint="eastAsia" w:ascii="宋体" w:hAnsi="宋体" w:eastAsia="宋体" w:cs="宋体"/>
                <w:lang w:val="en-US" w:eastAsia="zh-CN"/>
              </w:rPr>
              <w:t>②</w:t>
            </w:r>
            <w:r>
              <w:rPr>
                <w:rFonts w:hint="eastAsia" w:ascii="宋体" w:hAnsi="宋体" w:eastAsia="宋体" w:cs="宋体"/>
                <w:lang w:eastAsia="zh-CN"/>
              </w:rPr>
              <w:t>检测方法规范、符合本项目需求的</w:t>
            </w:r>
            <w:r>
              <w:rPr>
                <w:rFonts w:hint="eastAsia" w:ascii="宋体" w:hAnsi="宋体" w:eastAsia="宋体" w:cs="宋体"/>
                <w:lang w:val="en-US" w:eastAsia="zh-CN"/>
              </w:rPr>
              <w:t>；以上内容每符合一项得0.5分，有所欠缺的每项得0.25分，欠缺较大或未提供该内容的不得分，本项最高得1分</w:t>
            </w:r>
            <w:r>
              <w:rPr>
                <w:rFonts w:hint="eastAsia" w:ascii="宋体" w:hAnsi="宋体" w:eastAsia="宋体" w:cs="宋体"/>
                <w:lang w:eastAsia="zh-CN"/>
              </w:rPr>
              <w:t>。</w:t>
            </w:r>
          </w:p>
          <w:p w14:paraId="50460B63">
            <w:pPr>
              <w:bidi w:val="0"/>
              <w:spacing w:line="360" w:lineRule="auto"/>
              <w:rPr>
                <w:rFonts w:hint="eastAsia" w:ascii="宋体" w:hAnsi="宋体" w:eastAsia="宋体" w:cs="宋体"/>
              </w:rPr>
            </w:pPr>
            <w:r>
              <w:rPr>
                <w:rFonts w:hint="eastAsia" w:ascii="宋体" w:hAnsi="宋体" w:eastAsia="宋体" w:cs="宋体"/>
                <w:lang w:val="en-US" w:eastAsia="zh-CN"/>
              </w:rPr>
              <w:t>3.4检测程序及手段：①</w:t>
            </w:r>
            <w:r>
              <w:rPr>
                <w:rFonts w:hint="eastAsia" w:ascii="宋体" w:hAnsi="宋体" w:eastAsia="宋体" w:cs="宋体"/>
                <w:lang w:eastAsia="zh-CN"/>
              </w:rPr>
              <w:t>检测程序准确有条理性的；</w:t>
            </w:r>
            <w:r>
              <w:rPr>
                <w:rFonts w:hint="eastAsia" w:ascii="宋体" w:hAnsi="宋体" w:eastAsia="宋体" w:cs="宋体"/>
                <w:lang w:val="en-US" w:eastAsia="zh-CN"/>
              </w:rPr>
              <w:t>②检测</w:t>
            </w:r>
            <w:r>
              <w:rPr>
                <w:rFonts w:hint="eastAsia" w:ascii="宋体" w:hAnsi="宋体" w:eastAsia="宋体" w:cs="宋体"/>
                <w:lang w:eastAsia="zh-CN"/>
              </w:rPr>
              <w:t>手段合理、有针对性的、符合本项目需求</w:t>
            </w:r>
            <w:r>
              <w:rPr>
                <w:rFonts w:hint="eastAsia" w:ascii="宋体" w:hAnsi="宋体" w:eastAsia="宋体" w:cs="宋体"/>
                <w:lang w:val="en-US" w:eastAsia="zh-CN"/>
              </w:rPr>
              <w:t>；以上内容每符合一项得0.5分，有所欠缺的每项得0.25分，欠缺较大或未提供该内容的不得分，本项最高得1分</w:t>
            </w:r>
            <w:r>
              <w:rPr>
                <w:rFonts w:hint="eastAsia" w:ascii="宋体" w:hAnsi="宋体" w:eastAsia="宋体" w:cs="宋体"/>
                <w:lang w:eastAsia="zh-CN"/>
              </w:rPr>
              <w:t>。</w:t>
            </w:r>
          </w:p>
        </w:tc>
      </w:tr>
      <w:tr w14:paraId="6B079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2" w:type="dxa"/>
            <w:vMerge w:val="continue"/>
            <w:vAlign w:val="center"/>
          </w:tcPr>
          <w:p w14:paraId="7A8F4A7A">
            <w:pPr>
              <w:bidi w:val="0"/>
            </w:pPr>
          </w:p>
        </w:tc>
        <w:tc>
          <w:tcPr>
            <w:tcW w:w="8969" w:type="dxa"/>
            <w:vAlign w:val="center"/>
          </w:tcPr>
          <w:p w14:paraId="0DA34C4D">
            <w:pPr>
              <w:bidi w:val="0"/>
              <w:spacing w:line="360" w:lineRule="auto"/>
              <w:rPr>
                <w:rFonts w:hint="eastAsia" w:ascii="宋体" w:hAnsi="宋体" w:eastAsia="宋体" w:cs="宋体"/>
              </w:rPr>
            </w:pPr>
            <w:r>
              <w:rPr>
                <w:rFonts w:hint="eastAsia" w:ascii="宋体" w:hAnsi="宋体" w:cs="宋体"/>
                <w:lang w:val="en-US" w:eastAsia="zh-CN"/>
              </w:rPr>
              <w:t>4</w:t>
            </w:r>
            <w:r>
              <w:rPr>
                <w:rFonts w:hint="eastAsia" w:ascii="宋体" w:hAnsi="宋体" w:eastAsia="宋体" w:cs="宋体"/>
                <w:lang w:val="en-US" w:eastAsia="zh-CN"/>
              </w:rPr>
              <w:t>.</w:t>
            </w:r>
            <w:r>
              <w:rPr>
                <w:rFonts w:hint="eastAsia" w:ascii="宋体" w:hAnsi="宋体" w:eastAsia="宋体" w:cs="宋体"/>
              </w:rPr>
              <w:t>其他检测项目检测方案（包括低应变</w:t>
            </w:r>
            <w:r>
              <w:rPr>
                <w:rFonts w:hint="eastAsia" w:ascii="宋体" w:hAnsi="宋体" w:eastAsia="宋体" w:cs="宋体"/>
                <w:lang w:val="en-US" w:eastAsia="zh-CN"/>
              </w:rPr>
              <w:t>检测</w:t>
            </w:r>
            <w:r>
              <w:rPr>
                <w:rFonts w:hint="eastAsia" w:ascii="宋体" w:hAnsi="宋体" w:eastAsia="宋体" w:cs="宋体"/>
              </w:rPr>
              <w:t>、</w:t>
            </w:r>
            <w:r>
              <w:rPr>
                <w:rFonts w:hint="eastAsia" w:ascii="宋体" w:hAnsi="宋体" w:eastAsia="宋体" w:cs="宋体"/>
                <w:lang w:eastAsia="zh-CN"/>
              </w:rPr>
              <w:t>围护桩低应变、围护桩取芯</w:t>
            </w:r>
            <w:r>
              <w:rPr>
                <w:rFonts w:hint="eastAsia" w:ascii="宋体" w:hAnsi="宋体" w:cs="宋体"/>
                <w:lang w:eastAsia="zh-CN"/>
              </w:rPr>
              <w:t>、</w:t>
            </w:r>
            <w:r>
              <w:rPr>
                <w:rFonts w:hint="eastAsia" w:ascii="宋体" w:hAnsi="宋体" w:cs="宋体"/>
                <w:lang w:val="en-US" w:eastAsia="zh-CN"/>
              </w:rPr>
              <w:t>钢筋笼长度检测</w:t>
            </w:r>
            <w:r>
              <w:rPr>
                <w:rFonts w:hint="eastAsia" w:ascii="宋体" w:hAnsi="宋体" w:eastAsia="宋体" w:cs="宋体"/>
              </w:rPr>
              <w:t>等）（5分）</w:t>
            </w:r>
          </w:p>
          <w:p w14:paraId="17237C23">
            <w:pPr>
              <w:bidi w:val="0"/>
              <w:spacing w:line="360" w:lineRule="auto"/>
              <w:rPr>
                <w:rFonts w:hint="eastAsia" w:ascii="宋体" w:hAnsi="宋体" w:eastAsia="宋体" w:cs="宋体"/>
              </w:rPr>
            </w:pPr>
            <w:r>
              <w:rPr>
                <w:rFonts w:hint="eastAsia" w:ascii="宋体" w:hAnsi="宋体" w:eastAsia="宋体" w:cs="宋体"/>
              </w:rPr>
              <w:t>4.1检测总体方案①检测内容完整周密；②检测构架健全合理的；以上内容每符合一项得1分，有所欠缺的每项得0.5分，欠缺较大或未提供该内容的不得分，本项最高得2分。</w:t>
            </w:r>
          </w:p>
          <w:p w14:paraId="1F7877C8">
            <w:pPr>
              <w:bidi w:val="0"/>
              <w:spacing w:line="360" w:lineRule="auto"/>
              <w:rPr>
                <w:rFonts w:hint="eastAsia" w:ascii="宋体" w:hAnsi="宋体" w:eastAsia="宋体" w:cs="宋体"/>
              </w:rPr>
            </w:pPr>
            <w:r>
              <w:rPr>
                <w:rFonts w:hint="eastAsia" w:ascii="宋体" w:hAnsi="宋体" w:eastAsia="宋体" w:cs="宋体"/>
              </w:rPr>
              <w:t>4.2检测依据①依据充分；②依据严谨规范的；以上内容每符合一项得0.5分，有所欠缺的每项得0.25分，欠缺较大或未提供该内容的不得分，本项最高得1分。</w:t>
            </w:r>
          </w:p>
          <w:p w14:paraId="3F696E58">
            <w:pPr>
              <w:bidi w:val="0"/>
              <w:spacing w:line="360" w:lineRule="auto"/>
              <w:rPr>
                <w:rFonts w:hint="eastAsia" w:ascii="宋体" w:hAnsi="宋体" w:eastAsia="宋体" w:cs="宋体"/>
              </w:rPr>
            </w:pPr>
            <w:r>
              <w:rPr>
                <w:rFonts w:hint="eastAsia" w:ascii="宋体" w:hAnsi="宋体" w:eastAsia="宋体" w:cs="宋体"/>
              </w:rPr>
              <w:t>4.3检测原理及方法①检测原理严谨准确；②检测方法规范、符合本项目需求的；以上内容每符合一项得0.5分，有所欠缺的每项得0.25分，欠缺较大或未提供该内容的不得分，本项最高得1分。</w:t>
            </w:r>
          </w:p>
          <w:p w14:paraId="29F761A7">
            <w:pPr>
              <w:bidi w:val="0"/>
              <w:spacing w:line="360" w:lineRule="auto"/>
              <w:rPr>
                <w:rFonts w:hint="eastAsia" w:ascii="宋体" w:hAnsi="宋体" w:eastAsia="宋体" w:cs="宋体"/>
              </w:rPr>
            </w:pPr>
            <w:r>
              <w:rPr>
                <w:rFonts w:hint="eastAsia" w:ascii="宋体" w:hAnsi="宋体" w:eastAsia="宋体" w:cs="宋体"/>
              </w:rPr>
              <w:t>4.4检测程序及手段①检测程序准确有条理性的；②检测手段合理、有针对性的、符合本项目需求；以上内容每符合一项得0.5分，有所欠缺的每项得0.25分，欠缺较大或未提供该内容的不得分，本项最高得1分。</w:t>
            </w:r>
          </w:p>
        </w:tc>
      </w:tr>
      <w:tr w14:paraId="35A0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592" w:type="dxa"/>
            <w:vMerge w:val="continue"/>
            <w:vAlign w:val="center"/>
          </w:tcPr>
          <w:p w14:paraId="2D489C89">
            <w:pPr>
              <w:bidi w:val="0"/>
            </w:pPr>
          </w:p>
        </w:tc>
        <w:tc>
          <w:tcPr>
            <w:tcW w:w="8969" w:type="dxa"/>
            <w:vAlign w:val="center"/>
          </w:tcPr>
          <w:p w14:paraId="213EEE8C">
            <w:pPr>
              <w:bidi w:val="0"/>
              <w:spacing w:line="360" w:lineRule="auto"/>
              <w:rPr>
                <w:rFonts w:hint="eastAsia" w:ascii="宋体" w:hAnsi="宋体" w:eastAsia="宋体" w:cs="宋体"/>
              </w:rPr>
            </w:pPr>
            <w:r>
              <w:rPr>
                <w:rFonts w:hint="eastAsia" w:ascii="宋体" w:hAnsi="宋体" w:cs="宋体"/>
                <w:lang w:val="en-US" w:eastAsia="zh-CN"/>
              </w:rPr>
              <w:t>5</w:t>
            </w:r>
            <w:r>
              <w:rPr>
                <w:rFonts w:hint="eastAsia" w:ascii="宋体" w:hAnsi="宋体" w:eastAsia="宋体" w:cs="宋体"/>
                <w:lang w:val="en-US" w:eastAsia="zh-CN"/>
              </w:rPr>
              <w:t>.</w:t>
            </w:r>
            <w:r>
              <w:rPr>
                <w:rFonts w:hint="eastAsia" w:ascii="宋体" w:hAnsi="宋体" w:eastAsia="宋体" w:cs="宋体"/>
              </w:rPr>
              <w:t>质量保障方案（</w:t>
            </w:r>
            <w:r>
              <w:rPr>
                <w:rFonts w:hint="eastAsia" w:ascii="宋体" w:hAnsi="宋体" w:cs="宋体"/>
                <w:lang w:val="en-US" w:eastAsia="zh-CN"/>
              </w:rPr>
              <w:t>5</w:t>
            </w:r>
            <w:r>
              <w:rPr>
                <w:rFonts w:hint="eastAsia" w:ascii="宋体" w:hAnsi="宋体" w:eastAsia="宋体" w:cs="宋体"/>
              </w:rPr>
              <w:t>分）</w:t>
            </w:r>
          </w:p>
          <w:p w14:paraId="79476693">
            <w:pPr>
              <w:bidi w:val="0"/>
              <w:spacing w:line="360" w:lineRule="auto"/>
              <w:rPr>
                <w:rFonts w:hint="eastAsia" w:ascii="宋体" w:hAnsi="宋体" w:eastAsia="宋体" w:cs="宋体"/>
              </w:rPr>
            </w:pPr>
            <w:r>
              <w:rPr>
                <w:rFonts w:hint="eastAsia" w:ascii="宋体" w:hAnsi="宋体" w:cs="宋体"/>
                <w:lang w:val="en-US" w:eastAsia="zh-CN"/>
              </w:rPr>
              <w:t>根据投标人提供的</w:t>
            </w:r>
            <w:r>
              <w:rPr>
                <w:rFonts w:hint="eastAsia" w:ascii="宋体" w:hAnsi="宋体" w:eastAsia="宋体" w:cs="宋体"/>
                <w:lang w:val="en-US" w:eastAsia="zh-CN"/>
              </w:rPr>
              <w:t>质量保障措施①具体可实施性强的；②严谨规范的；③有针对性的；④质量控制严密；⑤符合本项目需求的；以上内容每符合一项得1分，有所欠缺的，每项得0.5分，欠缺较大或未提供该内容的不得分，本项最高得5分。</w:t>
            </w:r>
          </w:p>
        </w:tc>
      </w:tr>
      <w:tr w14:paraId="1201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92" w:type="dxa"/>
            <w:vMerge w:val="continue"/>
            <w:vAlign w:val="center"/>
          </w:tcPr>
          <w:p w14:paraId="0EE19827">
            <w:pPr>
              <w:bidi w:val="0"/>
            </w:pPr>
          </w:p>
        </w:tc>
        <w:tc>
          <w:tcPr>
            <w:tcW w:w="8969" w:type="dxa"/>
            <w:vAlign w:val="center"/>
          </w:tcPr>
          <w:p w14:paraId="28745F36">
            <w:pPr>
              <w:bidi w:val="0"/>
              <w:spacing w:line="360" w:lineRule="auto"/>
              <w:rPr>
                <w:rFonts w:hint="eastAsia" w:ascii="宋体" w:hAnsi="宋体" w:eastAsia="宋体" w:cs="宋体"/>
              </w:rPr>
            </w:pPr>
            <w:r>
              <w:rPr>
                <w:rFonts w:hint="eastAsia" w:ascii="宋体" w:hAnsi="宋体" w:eastAsia="宋体" w:cs="宋体"/>
              </w:rPr>
              <w:t>6</w:t>
            </w:r>
            <w:r>
              <w:rPr>
                <w:rFonts w:hint="eastAsia" w:ascii="宋体" w:hAnsi="宋体" w:eastAsia="宋体" w:cs="宋体"/>
                <w:lang w:val="en-US" w:eastAsia="zh-CN"/>
              </w:rPr>
              <w:t>.</w:t>
            </w:r>
            <w:r>
              <w:rPr>
                <w:rFonts w:hint="eastAsia" w:ascii="宋体" w:hAnsi="宋体" w:eastAsia="宋体" w:cs="宋体"/>
              </w:rPr>
              <w:t>进度保障（</w:t>
            </w:r>
            <w:r>
              <w:rPr>
                <w:rFonts w:hint="eastAsia" w:ascii="宋体" w:hAnsi="宋体" w:cs="宋体"/>
                <w:lang w:val="en-US" w:eastAsia="zh-CN"/>
              </w:rPr>
              <w:t>5</w:t>
            </w:r>
            <w:r>
              <w:rPr>
                <w:rFonts w:hint="eastAsia" w:ascii="宋体" w:hAnsi="宋体" w:eastAsia="宋体" w:cs="宋体"/>
              </w:rPr>
              <w:t>分）</w:t>
            </w:r>
          </w:p>
          <w:p w14:paraId="4D2EE746">
            <w:pPr>
              <w:bidi w:val="0"/>
              <w:spacing w:line="360" w:lineRule="auto"/>
              <w:rPr>
                <w:rFonts w:hint="eastAsia" w:ascii="宋体" w:hAnsi="宋体" w:eastAsia="宋体" w:cs="宋体"/>
              </w:rPr>
            </w:pPr>
            <w:r>
              <w:rPr>
                <w:rFonts w:hint="eastAsia" w:ascii="宋体" w:hAnsi="宋体" w:cs="宋体"/>
                <w:lang w:val="en-US" w:eastAsia="zh-CN"/>
              </w:rPr>
              <w:t>根据投标人提供的</w:t>
            </w:r>
            <w:r>
              <w:rPr>
                <w:rFonts w:hint="eastAsia" w:ascii="宋体" w:hAnsi="宋体" w:eastAsia="宋体" w:cs="宋体"/>
              </w:rPr>
              <w:t>进度方案</w:t>
            </w:r>
            <w:r>
              <w:rPr>
                <w:rFonts w:hint="eastAsia" w:ascii="宋体" w:hAnsi="宋体" w:cs="宋体"/>
                <w:lang w:eastAsia="zh-CN"/>
              </w:rPr>
              <w:t>，</w:t>
            </w:r>
            <w:r>
              <w:rPr>
                <w:rFonts w:hint="eastAsia" w:ascii="宋体" w:hAnsi="宋体" w:eastAsia="宋体" w:cs="宋体"/>
              </w:rPr>
              <w:t>①时间节点明确的；②具有充分可靠计划的；③时间节点紧凑的；④符合本项目需求的；⑤进度程序准确有条理性的；以上内容每符合一项得1分，有所欠缺的，每项得0.5分，欠缺较大或未提供该内容的不得分，本项最高得5分。</w:t>
            </w:r>
          </w:p>
        </w:tc>
      </w:tr>
      <w:tr w14:paraId="5B35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592" w:type="dxa"/>
            <w:vMerge w:val="continue"/>
          </w:tcPr>
          <w:p w14:paraId="5CFD71FD">
            <w:pPr>
              <w:bidi w:val="0"/>
            </w:pPr>
          </w:p>
        </w:tc>
        <w:tc>
          <w:tcPr>
            <w:tcW w:w="8969" w:type="dxa"/>
            <w:vAlign w:val="center"/>
          </w:tcPr>
          <w:p w14:paraId="51CFD3E0">
            <w:pPr>
              <w:bidi w:val="0"/>
              <w:spacing w:line="360" w:lineRule="auto"/>
              <w:rPr>
                <w:rFonts w:hint="eastAsia" w:ascii="宋体" w:hAnsi="宋体" w:eastAsia="宋体" w:cs="宋体"/>
                <w:lang w:val="en-US" w:eastAsia="zh-CN"/>
              </w:rPr>
            </w:pPr>
            <w:r>
              <w:rPr>
                <w:rFonts w:hint="eastAsia" w:ascii="宋体" w:hAnsi="宋体" w:cs="宋体"/>
                <w:lang w:val="en-US" w:eastAsia="zh-CN"/>
              </w:rPr>
              <w:t>7</w:t>
            </w:r>
            <w:r>
              <w:rPr>
                <w:rFonts w:hint="eastAsia" w:ascii="宋体" w:hAnsi="宋体" w:eastAsia="宋体" w:cs="宋体"/>
                <w:lang w:val="en-US" w:eastAsia="zh-CN"/>
              </w:rPr>
              <w:t>.组织实施方案（5分）</w:t>
            </w:r>
            <w:bookmarkStart w:id="405" w:name="_GoBack"/>
            <w:bookmarkEnd w:id="405"/>
          </w:p>
          <w:p w14:paraId="369EFD54">
            <w:pPr>
              <w:bidi w:val="0"/>
              <w:spacing w:line="360" w:lineRule="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.1提供</w:t>
            </w:r>
            <w:r>
              <w:rPr>
                <w:rFonts w:hint="eastAsia" w:ascii="宋体" w:hAnsi="宋体" w:eastAsia="宋体" w:cs="宋体"/>
                <w:lang w:val="en-US" w:eastAsia="zh-CN"/>
              </w:rPr>
              <w:t>组织实施方案</w:t>
            </w:r>
            <w:r>
              <w:rPr>
                <w:rFonts w:hint="eastAsia" w:ascii="宋体" w:hAnsi="宋体" w:eastAsia="宋体" w:cs="宋体"/>
              </w:rPr>
              <w:t>的得1分，未提供不得分；</w:t>
            </w:r>
          </w:p>
          <w:p w14:paraId="580CF946">
            <w:pPr>
              <w:bidi w:val="0"/>
              <w:spacing w:line="360" w:lineRule="auto"/>
              <w:rPr>
                <w:rFonts w:hint="eastAsia" w:ascii="宋体" w:hAnsi="宋体" w:eastAsia="宋体" w:cs="宋体"/>
                <w:lang w:val="en-US" w:eastAsia="zh-CN"/>
              </w:rPr>
            </w:pPr>
            <w:r>
              <w:rPr>
                <w:rFonts w:hint="eastAsia" w:ascii="宋体" w:hAnsi="宋体" w:eastAsia="宋体" w:cs="宋体"/>
                <w:lang w:val="en-US" w:eastAsia="zh-CN"/>
              </w:rPr>
              <w:t>7</w:t>
            </w:r>
            <w:r>
              <w:rPr>
                <w:rFonts w:hint="eastAsia" w:ascii="宋体" w:hAnsi="宋体" w:eastAsia="宋体" w:cs="宋体"/>
              </w:rPr>
              <w:t>.2</w:t>
            </w:r>
            <w:r>
              <w:rPr>
                <w:rFonts w:hint="eastAsia" w:ascii="宋体" w:hAnsi="宋体" w:eastAsia="宋体" w:cs="宋体"/>
                <w:lang w:val="en-US" w:eastAsia="zh-CN"/>
              </w:rPr>
              <w:t>组织实施方案①</w:t>
            </w:r>
            <w:r>
              <w:rPr>
                <w:rFonts w:hint="eastAsia" w:ascii="宋体" w:hAnsi="宋体" w:eastAsia="宋体" w:cs="宋体"/>
              </w:rPr>
              <w:t>具体可实施性强的；</w:t>
            </w:r>
            <w:r>
              <w:rPr>
                <w:rFonts w:hint="eastAsia" w:ascii="宋体" w:hAnsi="宋体" w:eastAsia="宋体" w:cs="宋体"/>
                <w:lang w:val="en-US" w:eastAsia="zh-CN"/>
              </w:rPr>
              <w:t>②严谨规范的；③符合本项目需求的；④</w:t>
            </w:r>
            <w:r>
              <w:rPr>
                <w:rFonts w:hint="eastAsia" w:ascii="宋体" w:hAnsi="宋体" w:eastAsia="宋体" w:cs="宋体"/>
              </w:rPr>
              <w:t>准确有条理性的</w:t>
            </w:r>
            <w:r>
              <w:rPr>
                <w:rFonts w:hint="eastAsia" w:ascii="宋体" w:hAnsi="宋体" w:eastAsia="宋体" w:cs="宋体"/>
                <w:lang w:eastAsia="zh-CN"/>
              </w:rPr>
              <w:t>；</w:t>
            </w:r>
            <w:r>
              <w:rPr>
                <w:rFonts w:hint="eastAsia" w:ascii="宋体" w:hAnsi="宋体" w:eastAsia="宋体" w:cs="宋体"/>
                <w:lang w:val="en-US" w:eastAsia="zh-CN"/>
              </w:rPr>
              <w:t>以上内容每符合一项得1分，有所欠缺的，每项得0.5分，欠缺较大或未提供该内容的不得分，本项最高得</w:t>
            </w:r>
            <w:r>
              <w:rPr>
                <w:rFonts w:hint="eastAsia" w:ascii="宋体" w:hAnsi="宋体" w:cs="宋体"/>
                <w:lang w:val="en-US" w:eastAsia="zh-CN"/>
              </w:rPr>
              <w:t>4</w:t>
            </w:r>
            <w:r>
              <w:rPr>
                <w:rFonts w:hint="eastAsia" w:ascii="宋体" w:hAnsi="宋体" w:eastAsia="宋体" w:cs="宋体"/>
                <w:lang w:val="en-US" w:eastAsia="zh-CN"/>
              </w:rPr>
              <w:t>分。</w:t>
            </w:r>
          </w:p>
        </w:tc>
      </w:tr>
      <w:tr w14:paraId="61937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592" w:type="dxa"/>
            <w:vMerge w:val="continue"/>
          </w:tcPr>
          <w:p w14:paraId="690711A9">
            <w:pPr>
              <w:bidi w:val="0"/>
            </w:pPr>
          </w:p>
        </w:tc>
        <w:tc>
          <w:tcPr>
            <w:tcW w:w="8969" w:type="dxa"/>
            <w:vAlign w:val="center"/>
          </w:tcPr>
          <w:p w14:paraId="5DA7651C">
            <w:pPr>
              <w:bidi w:val="0"/>
              <w:spacing w:line="360" w:lineRule="auto"/>
              <w:rPr>
                <w:rFonts w:hint="eastAsia" w:ascii="宋体" w:hAnsi="宋体" w:eastAsia="宋体" w:cs="宋体"/>
              </w:rPr>
            </w:pPr>
            <w:r>
              <w:rPr>
                <w:rFonts w:hint="eastAsia" w:ascii="宋体" w:hAnsi="宋体" w:cs="宋体"/>
                <w:lang w:val="en-US" w:eastAsia="zh-CN"/>
              </w:rPr>
              <w:t>8</w:t>
            </w:r>
            <w:r>
              <w:rPr>
                <w:rFonts w:hint="eastAsia" w:ascii="宋体" w:hAnsi="宋体" w:eastAsia="宋体" w:cs="宋体"/>
                <w:lang w:val="en-US" w:eastAsia="zh-CN"/>
              </w:rPr>
              <w:t>.</w:t>
            </w:r>
            <w:r>
              <w:rPr>
                <w:rFonts w:hint="eastAsia" w:ascii="宋体" w:hAnsi="宋体" w:eastAsia="宋体" w:cs="宋体"/>
              </w:rPr>
              <w:t>对供应商拟投入本项目人员的总体专业技术水平与在该领域所从事过的项目情况及成果进行评议（</w:t>
            </w:r>
            <w:r>
              <w:rPr>
                <w:rFonts w:hint="eastAsia" w:ascii="宋体" w:hAnsi="宋体" w:eastAsia="宋体" w:cs="宋体"/>
                <w:lang w:val="en-US" w:eastAsia="zh-CN"/>
              </w:rPr>
              <w:t>4</w:t>
            </w:r>
            <w:r>
              <w:rPr>
                <w:rFonts w:hint="eastAsia" w:ascii="宋体" w:hAnsi="宋体" w:eastAsia="宋体" w:cs="宋体"/>
              </w:rPr>
              <w:t>分）</w:t>
            </w:r>
          </w:p>
          <w:p w14:paraId="5C7DA258">
            <w:pPr>
              <w:bidi w:val="0"/>
              <w:spacing w:line="360" w:lineRule="auto"/>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拟派项目负责人自202</w:t>
            </w:r>
            <w:r>
              <w:rPr>
                <w:rFonts w:hint="eastAsia" w:ascii="宋体" w:hAnsi="宋体" w:cs="宋体"/>
                <w:lang w:val="en-US" w:eastAsia="zh-CN"/>
              </w:rPr>
              <w:t>1</w:t>
            </w:r>
            <w:r>
              <w:rPr>
                <w:rFonts w:hint="eastAsia" w:ascii="宋体" w:hAnsi="宋体" w:eastAsia="宋体" w:cs="宋体"/>
              </w:rPr>
              <w:t>年1月1日以来（以合同签订时间为准），以项目负责人身份完成过桩基检测项目的得1分，最高得2分；业绩证明资料须提供检测合同和经质监站备案的检测报告复印件或相关备案证明复印件加盖单位公章（业绩证明文件须体现业绩时间、项目类别）。</w:t>
            </w:r>
          </w:p>
          <w:p w14:paraId="4D1CEDB5">
            <w:pPr>
              <w:bidi w:val="0"/>
              <w:spacing w:line="360" w:lineRule="auto"/>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项目组成员配备数量优于本项目实施要求且有针对性的得2分。响应文件中提供拟派项目组成员的相关证书和社保部门出具的</w:t>
            </w:r>
            <w:r>
              <w:rPr>
                <w:rFonts w:hint="eastAsia" w:ascii="宋体" w:hAnsi="宋体" w:eastAsia="宋体" w:cs="宋体"/>
                <w:highlight w:val="none"/>
              </w:rPr>
              <w:t>近三个月（202</w:t>
            </w:r>
            <w:r>
              <w:rPr>
                <w:rFonts w:hint="eastAsia" w:ascii="宋体" w:hAnsi="宋体" w:eastAsia="宋体" w:cs="宋体"/>
                <w:highlight w:val="none"/>
                <w:lang w:val="en-US" w:eastAsia="zh-CN"/>
              </w:rPr>
              <w:t>4</w:t>
            </w:r>
            <w:r>
              <w:rPr>
                <w:rFonts w:hint="eastAsia" w:ascii="宋体" w:hAnsi="宋体" w:eastAsia="宋体" w:cs="宋体"/>
                <w:highlight w:val="none"/>
              </w:rPr>
              <w:t>年</w:t>
            </w:r>
            <w:r>
              <w:rPr>
                <w:rFonts w:hint="eastAsia" w:ascii="宋体" w:hAnsi="宋体" w:cs="宋体"/>
                <w:highlight w:val="none"/>
                <w:lang w:val="en-US" w:eastAsia="zh-CN"/>
              </w:rPr>
              <w:t>11</w:t>
            </w:r>
            <w:r>
              <w:rPr>
                <w:rFonts w:hint="eastAsia" w:ascii="宋体" w:hAnsi="宋体" w:eastAsia="宋体" w:cs="宋体"/>
                <w:highlight w:val="none"/>
              </w:rPr>
              <w:t>月、</w:t>
            </w:r>
            <w:r>
              <w:rPr>
                <w:rFonts w:hint="eastAsia" w:ascii="宋体" w:hAnsi="宋体" w:cs="宋体"/>
                <w:highlight w:val="none"/>
                <w:lang w:val="en-US" w:eastAsia="zh-CN"/>
              </w:rPr>
              <w:t>2024年12</w:t>
            </w:r>
            <w:r>
              <w:rPr>
                <w:rFonts w:hint="eastAsia" w:ascii="宋体" w:hAnsi="宋体" w:eastAsia="宋体" w:cs="宋体"/>
                <w:highlight w:val="none"/>
              </w:rPr>
              <w:t>月、</w:t>
            </w:r>
            <w:r>
              <w:rPr>
                <w:rFonts w:hint="eastAsia" w:ascii="宋体" w:hAnsi="宋体" w:cs="宋体"/>
                <w:highlight w:val="none"/>
                <w:lang w:val="en-US" w:eastAsia="zh-CN"/>
              </w:rPr>
              <w:t>2025年1</w:t>
            </w:r>
            <w:r>
              <w:rPr>
                <w:rFonts w:hint="eastAsia" w:ascii="宋体" w:hAnsi="宋体" w:eastAsia="宋体" w:cs="宋体"/>
                <w:highlight w:val="none"/>
              </w:rPr>
              <w:t>月）任意一</w:t>
            </w:r>
            <w:r>
              <w:rPr>
                <w:rFonts w:hint="eastAsia" w:ascii="宋体" w:hAnsi="宋体" w:eastAsia="宋体" w:cs="宋体"/>
              </w:rPr>
              <w:t>个月的供应商为其缴纳社保的证明，复印件加盖公章。</w:t>
            </w:r>
          </w:p>
        </w:tc>
      </w:tr>
      <w:tr w14:paraId="2E68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2" w:type="dxa"/>
            <w:vMerge w:val="continue"/>
          </w:tcPr>
          <w:p w14:paraId="7507481F">
            <w:pPr>
              <w:bidi w:val="0"/>
            </w:pPr>
          </w:p>
        </w:tc>
        <w:tc>
          <w:tcPr>
            <w:tcW w:w="8969" w:type="dxa"/>
            <w:vAlign w:val="center"/>
          </w:tcPr>
          <w:p w14:paraId="700652D0">
            <w:pPr>
              <w:bidi w:val="0"/>
              <w:spacing w:line="360" w:lineRule="auto"/>
              <w:rPr>
                <w:rFonts w:hint="eastAsia" w:ascii="宋体" w:hAnsi="宋体" w:eastAsia="宋体" w:cs="宋体"/>
              </w:rPr>
            </w:pPr>
            <w:r>
              <w:rPr>
                <w:rFonts w:hint="eastAsia" w:ascii="宋体" w:hAnsi="宋体" w:cs="宋体"/>
                <w:lang w:val="en-US" w:eastAsia="zh-CN"/>
              </w:rPr>
              <w:t>9</w:t>
            </w:r>
            <w:r>
              <w:rPr>
                <w:rFonts w:hint="eastAsia" w:ascii="宋体" w:hAnsi="宋体" w:eastAsia="宋体" w:cs="宋体"/>
                <w:lang w:val="en-US" w:eastAsia="zh-CN"/>
              </w:rPr>
              <w:t>.</w:t>
            </w:r>
            <w:r>
              <w:rPr>
                <w:rFonts w:hint="eastAsia" w:ascii="宋体" w:hAnsi="宋体" w:eastAsia="宋体" w:cs="宋体"/>
              </w:rPr>
              <w:t>检测设备配备（</w:t>
            </w:r>
            <w:r>
              <w:rPr>
                <w:rFonts w:hint="eastAsia" w:ascii="宋体" w:hAnsi="宋体" w:cs="宋体"/>
                <w:lang w:val="en-US" w:eastAsia="zh-CN"/>
              </w:rPr>
              <w:t>4</w:t>
            </w:r>
            <w:r>
              <w:rPr>
                <w:rFonts w:hint="eastAsia" w:ascii="宋体" w:hAnsi="宋体" w:eastAsia="宋体" w:cs="宋体"/>
              </w:rPr>
              <w:t>分）</w:t>
            </w:r>
          </w:p>
          <w:p w14:paraId="17F2D054">
            <w:pPr>
              <w:bidi w:val="0"/>
              <w:spacing w:line="360" w:lineRule="auto"/>
              <w:rPr>
                <w:rFonts w:hint="eastAsia" w:ascii="宋体" w:hAnsi="宋体" w:eastAsia="宋体" w:cs="宋体"/>
              </w:rPr>
            </w:pPr>
            <w:r>
              <w:rPr>
                <w:rFonts w:hint="eastAsia" w:ascii="宋体" w:hAnsi="宋体" w:eastAsia="宋体" w:cs="宋体"/>
              </w:rPr>
              <w:t>在符合采购需求的基础上，供应商再提供①抗压</w:t>
            </w:r>
            <w:r>
              <w:rPr>
                <w:rFonts w:hint="eastAsia" w:ascii="宋体" w:hAnsi="宋体" w:eastAsia="宋体" w:cs="宋体"/>
                <w:lang w:val="en-US" w:eastAsia="zh-CN"/>
              </w:rPr>
              <w:t>试验</w:t>
            </w:r>
            <w:r>
              <w:rPr>
                <w:rFonts w:hint="eastAsia" w:ascii="宋体" w:hAnsi="宋体" w:eastAsia="宋体" w:cs="宋体"/>
              </w:rPr>
              <w:t>的仪器；②抗拔</w:t>
            </w:r>
            <w:r>
              <w:rPr>
                <w:rFonts w:hint="eastAsia" w:ascii="宋体" w:hAnsi="宋体" w:eastAsia="宋体" w:cs="宋体"/>
                <w:lang w:val="en-US" w:eastAsia="zh-CN"/>
              </w:rPr>
              <w:t>试验</w:t>
            </w:r>
            <w:r>
              <w:rPr>
                <w:rFonts w:hint="eastAsia" w:ascii="宋体" w:hAnsi="宋体" w:eastAsia="宋体" w:cs="宋体"/>
              </w:rPr>
              <w:t>的仪器；③低应变检测的仪器；④</w:t>
            </w:r>
            <w:r>
              <w:rPr>
                <w:rFonts w:hint="eastAsia" w:ascii="宋体" w:hAnsi="宋体" w:cs="宋体"/>
                <w:lang w:val="en-US" w:eastAsia="zh-CN"/>
              </w:rPr>
              <w:t>钢筋笼长度检测</w:t>
            </w:r>
            <w:r>
              <w:rPr>
                <w:rFonts w:hint="eastAsia" w:ascii="宋体" w:hAnsi="宋体" w:eastAsia="宋体" w:cs="宋体"/>
              </w:rPr>
              <w:t>的仪器每提供一项设备的得1分。</w:t>
            </w:r>
          </w:p>
          <w:p w14:paraId="0A6370CF">
            <w:pPr>
              <w:bidi w:val="0"/>
              <w:spacing w:line="360" w:lineRule="auto"/>
              <w:rPr>
                <w:rFonts w:hint="eastAsia" w:ascii="宋体" w:hAnsi="宋体" w:eastAsia="宋体" w:cs="宋体"/>
              </w:rPr>
            </w:pPr>
            <w:r>
              <w:rPr>
                <w:rFonts w:hint="eastAsia" w:ascii="宋体" w:hAnsi="宋体" w:eastAsia="宋体" w:cs="宋体"/>
              </w:rPr>
              <w:t>投标文件中提供详细的检测设备清单、规格型号、设备功能及用途介绍、租赁合同或购置发票等证明材料。</w:t>
            </w:r>
          </w:p>
        </w:tc>
      </w:tr>
      <w:tr w14:paraId="027DD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592" w:type="dxa"/>
            <w:vMerge w:val="continue"/>
          </w:tcPr>
          <w:p w14:paraId="2245EA85">
            <w:pPr>
              <w:bidi w:val="0"/>
            </w:pPr>
          </w:p>
        </w:tc>
        <w:tc>
          <w:tcPr>
            <w:tcW w:w="8969" w:type="dxa"/>
            <w:vAlign w:val="center"/>
          </w:tcPr>
          <w:p w14:paraId="56D1768F">
            <w:pPr>
              <w:bidi w:val="0"/>
              <w:spacing w:line="360" w:lineRule="auto"/>
              <w:rPr>
                <w:rFonts w:hint="eastAsia" w:ascii="宋体" w:hAnsi="宋体" w:eastAsia="宋体" w:cs="宋体"/>
              </w:rPr>
            </w:pPr>
            <w:r>
              <w:rPr>
                <w:rFonts w:hint="eastAsia" w:ascii="宋体" w:hAnsi="宋体" w:cs="宋体"/>
                <w:lang w:val="en-US" w:eastAsia="zh-CN"/>
              </w:rPr>
              <w:t>10</w:t>
            </w:r>
            <w:r>
              <w:rPr>
                <w:rFonts w:hint="eastAsia" w:ascii="宋体" w:hAnsi="宋体" w:eastAsia="宋体" w:cs="宋体"/>
                <w:lang w:val="en-US" w:eastAsia="zh-CN"/>
              </w:rPr>
              <w:t>.</w:t>
            </w:r>
            <w:r>
              <w:rPr>
                <w:rFonts w:hint="eastAsia" w:ascii="宋体" w:hAnsi="宋体" w:eastAsia="宋体" w:cs="宋体"/>
              </w:rPr>
              <w:t>现场安全管理措施（</w:t>
            </w:r>
            <w:r>
              <w:rPr>
                <w:rFonts w:hint="eastAsia" w:ascii="宋体" w:hAnsi="宋体" w:eastAsia="宋体" w:cs="宋体"/>
                <w:lang w:val="en-US" w:eastAsia="zh-CN"/>
              </w:rPr>
              <w:t>4</w:t>
            </w:r>
            <w:r>
              <w:rPr>
                <w:rFonts w:hint="eastAsia" w:ascii="宋体" w:hAnsi="宋体" w:eastAsia="宋体" w:cs="宋体"/>
              </w:rPr>
              <w:t>分）</w:t>
            </w:r>
          </w:p>
          <w:p w14:paraId="21E09F98">
            <w:pPr>
              <w:bidi w:val="0"/>
              <w:spacing w:line="360" w:lineRule="auto"/>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.1提供安全管理制度的得1分</w:t>
            </w:r>
            <w:r>
              <w:rPr>
                <w:rFonts w:hint="eastAsia" w:ascii="宋体" w:hAnsi="宋体" w:eastAsia="宋体" w:cs="宋体"/>
                <w:lang w:eastAsia="zh-CN"/>
              </w:rPr>
              <w:t>，</w:t>
            </w:r>
            <w:r>
              <w:rPr>
                <w:rFonts w:hint="eastAsia" w:ascii="宋体" w:hAnsi="宋体" w:eastAsia="宋体" w:cs="宋体"/>
                <w:lang w:val="en-US" w:eastAsia="zh-CN"/>
              </w:rPr>
              <w:t>未提供的不得分</w:t>
            </w:r>
            <w:r>
              <w:rPr>
                <w:rFonts w:hint="eastAsia" w:ascii="宋体" w:hAnsi="宋体" w:eastAsia="宋体" w:cs="宋体"/>
              </w:rPr>
              <w:t>；</w:t>
            </w:r>
          </w:p>
          <w:p w14:paraId="4451088F">
            <w:pPr>
              <w:bidi w:val="0"/>
              <w:spacing w:line="360" w:lineRule="auto"/>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2作业人员安全保障措施可行的；安全生产责任分配制度完善的；安全事故善后措施及赔偿方案齐全明确的。以上内容每符合一项得1分，有所欠缺的，每项得0.5分，欠缺较大或未提供该内容的不得分，本项最高得3分。</w:t>
            </w:r>
          </w:p>
        </w:tc>
      </w:tr>
      <w:tr w14:paraId="4521E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592" w:type="dxa"/>
            <w:vMerge w:val="continue"/>
          </w:tcPr>
          <w:p w14:paraId="13B08D4E">
            <w:pPr>
              <w:bidi w:val="0"/>
            </w:pPr>
          </w:p>
        </w:tc>
        <w:tc>
          <w:tcPr>
            <w:tcW w:w="8969" w:type="dxa"/>
            <w:vAlign w:val="center"/>
          </w:tcPr>
          <w:p w14:paraId="02F724DC">
            <w:pPr>
              <w:bidi w:val="0"/>
              <w:spacing w:line="360" w:lineRule="auto"/>
              <w:rPr>
                <w:rFonts w:hint="eastAsia" w:ascii="宋体" w:hAnsi="宋体" w:eastAsia="宋体" w:cs="宋体"/>
              </w:rPr>
            </w:pPr>
            <w:r>
              <w:rPr>
                <w:rFonts w:hint="eastAsia" w:ascii="宋体" w:hAnsi="宋体" w:cs="宋体"/>
                <w:lang w:val="en-US" w:eastAsia="zh-CN"/>
              </w:rPr>
              <w:t>11</w:t>
            </w:r>
            <w:r>
              <w:rPr>
                <w:rFonts w:hint="eastAsia" w:ascii="宋体" w:hAnsi="宋体" w:eastAsia="宋体" w:cs="宋体"/>
                <w:lang w:val="en-US" w:eastAsia="zh-CN"/>
              </w:rPr>
              <w:t>.</w:t>
            </w:r>
            <w:r>
              <w:rPr>
                <w:rFonts w:hint="eastAsia" w:ascii="宋体" w:hAnsi="宋体" w:eastAsia="宋体" w:cs="宋体"/>
              </w:rPr>
              <w:t>根据供应商对本项目的基本检测工作制度进行评议（5分）</w:t>
            </w:r>
          </w:p>
          <w:p w14:paraId="33D2456E">
            <w:pPr>
              <w:bidi w:val="0"/>
              <w:spacing w:line="360" w:lineRule="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1</w:t>
            </w:r>
            <w:r>
              <w:rPr>
                <w:rFonts w:hint="eastAsia" w:ascii="宋体" w:hAnsi="宋体" w:eastAsia="宋体" w:cs="宋体"/>
              </w:rPr>
              <w:t>.1提供基本检测工作制度的得1分，未提供不得分；</w:t>
            </w:r>
          </w:p>
          <w:p w14:paraId="1F2624BF">
            <w:pPr>
              <w:bidi w:val="0"/>
              <w:spacing w:line="360" w:lineRule="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1</w:t>
            </w:r>
            <w:r>
              <w:rPr>
                <w:rFonts w:hint="eastAsia" w:ascii="宋体" w:hAnsi="宋体" w:eastAsia="宋体" w:cs="宋体"/>
              </w:rPr>
              <w:t>.2提供工作制度保障体系的得1分，未提供不得分；</w:t>
            </w:r>
          </w:p>
          <w:p w14:paraId="4F68A1F1">
            <w:pPr>
              <w:bidi w:val="0"/>
              <w:spacing w:line="360" w:lineRule="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1</w:t>
            </w:r>
            <w:r>
              <w:rPr>
                <w:rFonts w:hint="eastAsia" w:ascii="宋体" w:hAnsi="宋体" w:eastAsia="宋体" w:cs="宋体"/>
              </w:rPr>
              <w:t>.3工作制度保障体系完善全面的；分工明确的；健全细致的</w:t>
            </w:r>
            <w:r>
              <w:rPr>
                <w:rFonts w:hint="eastAsia" w:ascii="宋体" w:hAnsi="宋体" w:eastAsia="宋体" w:cs="宋体"/>
                <w:lang w:eastAsia="zh-CN"/>
              </w:rPr>
              <w:t>，以上内容每符合一项得1分，有所欠缺的，每项得0.5分，欠缺较大或未提供该内容的不得分，本项最高得</w:t>
            </w:r>
            <w:r>
              <w:rPr>
                <w:rFonts w:hint="eastAsia" w:ascii="宋体" w:hAnsi="宋体" w:cs="宋体"/>
                <w:lang w:val="en-US" w:eastAsia="zh-CN"/>
              </w:rPr>
              <w:t>3</w:t>
            </w:r>
            <w:r>
              <w:rPr>
                <w:rFonts w:hint="eastAsia" w:ascii="宋体" w:hAnsi="宋体" w:eastAsia="宋体" w:cs="宋体"/>
                <w:lang w:eastAsia="zh-CN"/>
              </w:rPr>
              <w:t>分。</w:t>
            </w:r>
          </w:p>
        </w:tc>
      </w:tr>
      <w:tr w14:paraId="36AD1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592" w:type="dxa"/>
            <w:vMerge w:val="continue"/>
          </w:tcPr>
          <w:p w14:paraId="113DDFD9">
            <w:pPr>
              <w:bidi w:val="0"/>
            </w:pPr>
          </w:p>
        </w:tc>
        <w:tc>
          <w:tcPr>
            <w:tcW w:w="8969" w:type="dxa"/>
            <w:vAlign w:val="center"/>
          </w:tcPr>
          <w:p w14:paraId="6772878B">
            <w:pPr>
              <w:bidi w:val="0"/>
              <w:spacing w:line="360" w:lineRule="auto"/>
              <w:rPr>
                <w:rFonts w:hint="eastAsia" w:ascii="宋体" w:hAnsi="宋体" w:eastAsia="宋体" w:cs="宋体"/>
              </w:rPr>
            </w:pPr>
            <w:r>
              <w:rPr>
                <w:rFonts w:hint="eastAsia" w:ascii="宋体" w:hAnsi="宋体" w:eastAsia="宋体" w:cs="宋体"/>
              </w:rPr>
              <w:t>1</w:t>
            </w:r>
            <w:r>
              <w:rPr>
                <w:rFonts w:hint="eastAsia" w:ascii="宋体" w:hAnsi="宋体" w:cs="宋体"/>
                <w:lang w:val="en-US" w:eastAsia="zh-CN"/>
              </w:rPr>
              <w:t>2</w:t>
            </w:r>
            <w:r>
              <w:rPr>
                <w:rFonts w:hint="eastAsia" w:ascii="宋体" w:hAnsi="宋体" w:eastAsia="宋体" w:cs="宋体"/>
                <w:lang w:val="en-US" w:eastAsia="zh-CN"/>
              </w:rPr>
              <w:t>.</w:t>
            </w:r>
            <w:r>
              <w:rPr>
                <w:rFonts w:hint="eastAsia" w:ascii="宋体" w:hAnsi="宋体" w:eastAsia="宋体" w:cs="宋体"/>
              </w:rPr>
              <w:t>重难点分析（5分）</w:t>
            </w:r>
          </w:p>
          <w:p w14:paraId="3C51E724">
            <w:pPr>
              <w:bidi w:val="0"/>
              <w:spacing w:line="360" w:lineRule="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2</w:t>
            </w:r>
            <w:r>
              <w:rPr>
                <w:rFonts w:hint="eastAsia" w:ascii="宋体" w:hAnsi="宋体" w:eastAsia="宋体" w:cs="宋体"/>
              </w:rPr>
              <w:t>.1供应商提供针对本项目理解及重难点分析的得1分；</w:t>
            </w:r>
          </w:p>
          <w:p w14:paraId="04E1E9B5">
            <w:pPr>
              <w:bidi w:val="0"/>
              <w:spacing w:line="360" w:lineRule="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2</w:t>
            </w:r>
            <w:r>
              <w:rPr>
                <w:rFonts w:hint="eastAsia" w:ascii="宋体" w:hAnsi="宋体" w:eastAsia="宋体" w:cs="宋体"/>
              </w:rPr>
              <w:t>.2分析方案①检测目标清晰准确；②检测难点分析清晰准确的每项得1分，方案有所欠缺的,基本合理的每项得</w:t>
            </w:r>
            <w:r>
              <w:rPr>
                <w:rFonts w:hint="eastAsia" w:ascii="宋体" w:hAnsi="宋体" w:eastAsia="宋体" w:cs="宋体"/>
                <w:lang w:val="en-US" w:eastAsia="zh-CN"/>
              </w:rPr>
              <w:t>0.5</w:t>
            </w:r>
            <w:r>
              <w:rPr>
                <w:rFonts w:hint="eastAsia" w:ascii="宋体" w:hAnsi="宋体" w:eastAsia="宋体" w:cs="宋体"/>
              </w:rPr>
              <w:t>分；方案欠缺较大</w:t>
            </w:r>
            <w:r>
              <w:rPr>
                <w:rFonts w:hint="eastAsia" w:ascii="宋体" w:hAnsi="宋体" w:eastAsia="宋体" w:cs="宋体"/>
                <w:lang w:val="en-US" w:eastAsia="zh-CN"/>
              </w:rPr>
              <w:t>或</w:t>
            </w:r>
            <w:r>
              <w:rPr>
                <w:rFonts w:hint="eastAsia" w:ascii="宋体" w:hAnsi="宋体" w:eastAsia="宋体" w:cs="宋体"/>
              </w:rPr>
              <w:t>未提供的不得分</w:t>
            </w:r>
            <w:r>
              <w:rPr>
                <w:rFonts w:hint="eastAsia" w:ascii="宋体" w:hAnsi="宋体" w:eastAsia="宋体" w:cs="宋体"/>
                <w:lang w:eastAsia="zh-CN"/>
              </w:rPr>
              <w:t>，本项最高</w:t>
            </w:r>
            <w:r>
              <w:rPr>
                <w:rFonts w:hint="eastAsia" w:ascii="宋体" w:hAnsi="宋体" w:eastAsia="宋体" w:cs="宋体"/>
                <w:lang w:val="en-US" w:eastAsia="zh-CN"/>
              </w:rPr>
              <w:t>2</w:t>
            </w:r>
            <w:r>
              <w:rPr>
                <w:rFonts w:hint="eastAsia" w:ascii="宋体" w:hAnsi="宋体" w:eastAsia="宋体" w:cs="宋体"/>
                <w:lang w:eastAsia="zh-CN"/>
              </w:rPr>
              <w:t>分</w:t>
            </w:r>
            <w:r>
              <w:rPr>
                <w:rFonts w:hint="eastAsia" w:ascii="宋体" w:hAnsi="宋体" w:eastAsia="宋体" w:cs="宋体"/>
              </w:rPr>
              <w:t>。</w:t>
            </w:r>
          </w:p>
          <w:p w14:paraId="04BA43B9">
            <w:pPr>
              <w:bidi w:val="0"/>
              <w:spacing w:line="360" w:lineRule="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2</w:t>
            </w:r>
            <w:r>
              <w:rPr>
                <w:rFonts w:hint="eastAsia" w:ascii="宋体" w:hAnsi="宋体" w:eastAsia="宋体" w:cs="宋体"/>
              </w:rPr>
              <w:t>.3根据供应商提供的针对以上重难点提出的解决措施经评议后认为切实可行的，每条措施得1分，最高得2分，不可行的不得分。</w:t>
            </w:r>
          </w:p>
        </w:tc>
      </w:tr>
      <w:tr w14:paraId="129A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592" w:type="dxa"/>
            <w:vMerge w:val="continue"/>
          </w:tcPr>
          <w:p w14:paraId="15F65017">
            <w:pPr>
              <w:bidi w:val="0"/>
            </w:pPr>
          </w:p>
        </w:tc>
        <w:tc>
          <w:tcPr>
            <w:tcW w:w="8969" w:type="dxa"/>
            <w:vAlign w:val="center"/>
          </w:tcPr>
          <w:p w14:paraId="536D654B">
            <w:pPr>
              <w:bidi w:val="0"/>
              <w:spacing w:line="360" w:lineRule="auto"/>
              <w:rPr>
                <w:rFonts w:hint="default" w:ascii="宋体" w:hAnsi="宋体" w:eastAsia="宋体" w:cs="宋体"/>
                <w:lang w:val="en-US" w:eastAsia="zh-CN"/>
              </w:rPr>
            </w:pPr>
            <w:r>
              <w:rPr>
                <w:rFonts w:hint="eastAsia" w:ascii="宋体" w:hAnsi="宋体" w:eastAsia="宋体" w:cs="宋体"/>
                <w:lang w:val="en-US" w:eastAsia="zh-CN"/>
              </w:rPr>
              <w:t>1</w:t>
            </w:r>
            <w:r>
              <w:rPr>
                <w:rFonts w:hint="eastAsia" w:ascii="宋体" w:hAnsi="宋体" w:cs="宋体"/>
                <w:lang w:val="en-US" w:eastAsia="zh-CN"/>
              </w:rPr>
              <w:t>3</w:t>
            </w:r>
            <w:r>
              <w:rPr>
                <w:rFonts w:hint="eastAsia" w:ascii="宋体" w:hAnsi="宋体" w:eastAsia="宋体" w:cs="宋体"/>
                <w:lang w:val="en-US" w:eastAsia="zh-CN"/>
              </w:rPr>
              <w:t>.企业综合实力（3分）</w:t>
            </w:r>
          </w:p>
          <w:p w14:paraId="1566DB0D">
            <w:pPr>
              <w:bidi w:val="0"/>
              <w:spacing w:line="360" w:lineRule="auto"/>
              <w:rPr>
                <w:rFonts w:hint="eastAsia" w:ascii="宋体" w:hAnsi="宋体" w:eastAsia="宋体" w:cs="宋体"/>
              </w:rPr>
            </w:pPr>
            <w:r>
              <w:rPr>
                <w:rFonts w:hint="eastAsia" w:ascii="宋体" w:hAnsi="宋体" w:eastAsia="宋体" w:cs="宋体"/>
                <w:lang w:val="en-US" w:eastAsia="zh-CN"/>
              </w:rPr>
              <w:t>具备质量管理体系认证证书、环境管理体系认证证书、职业健康安全管理体系认证证书的，每具备一项得1分，最多得3分，未提供的不得分。</w:t>
            </w:r>
          </w:p>
        </w:tc>
      </w:tr>
      <w:tr w14:paraId="4CB04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92" w:type="dxa"/>
            <w:vMerge w:val="continue"/>
          </w:tcPr>
          <w:p w14:paraId="3D3D14C8">
            <w:pPr>
              <w:bidi w:val="0"/>
            </w:pPr>
          </w:p>
        </w:tc>
        <w:tc>
          <w:tcPr>
            <w:tcW w:w="8969" w:type="dxa"/>
            <w:vAlign w:val="center"/>
          </w:tcPr>
          <w:p w14:paraId="242C670A">
            <w:pPr>
              <w:bidi w:val="0"/>
              <w:spacing w:line="360" w:lineRule="auto"/>
              <w:rPr>
                <w:rFonts w:hint="eastAsia" w:ascii="宋体" w:hAnsi="宋体" w:eastAsia="宋体" w:cs="宋体"/>
              </w:rPr>
            </w:pPr>
            <w:r>
              <w:rPr>
                <w:rFonts w:hint="eastAsia" w:ascii="宋体" w:hAnsi="宋体" w:eastAsia="宋体" w:cs="宋体"/>
              </w:rPr>
              <w:t>1</w:t>
            </w:r>
            <w:r>
              <w:rPr>
                <w:rFonts w:hint="eastAsia" w:ascii="宋体" w:hAnsi="宋体" w:cs="宋体"/>
                <w:lang w:val="en-US" w:eastAsia="zh-CN"/>
              </w:rPr>
              <w:t>4</w:t>
            </w:r>
            <w:r>
              <w:rPr>
                <w:rFonts w:hint="eastAsia" w:ascii="宋体" w:hAnsi="宋体" w:eastAsia="宋体" w:cs="宋体"/>
                <w:lang w:val="en-US" w:eastAsia="zh-CN"/>
              </w:rPr>
              <w:t>.</w:t>
            </w:r>
            <w:r>
              <w:rPr>
                <w:rFonts w:hint="eastAsia" w:ascii="宋体" w:hAnsi="宋体" w:eastAsia="宋体" w:cs="宋体"/>
              </w:rPr>
              <w:t>业绩（2分）</w:t>
            </w:r>
          </w:p>
          <w:p w14:paraId="55491171">
            <w:pPr>
              <w:bidi w:val="0"/>
              <w:spacing w:line="360" w:lineRule="auto"/>
              <w:rPr>
                <w:rFonts w:hint="eastAsia" w:ascii="宋体" w:hAnsi="宋体" w:eastAsia="宋体" w:cs="宋体"/>
              </w:rPr>
            </w:pPr>
            <w:r>
              <w:rPr>
                <w:rFonts w:hint="eastAsia" w:ascii="宋体" w:hAnsi="宋体" w:eastAsia="宋体" w:cs="宋体"/>
              </w:rPr>
              <w:t>投标人自202</w:t>
            </w:r>
            <w:r>
              <w:rPr>
                <w:rFonts w:hint="eastAsia" w:ascii="宋体" w:hAnsi="宋体" w:cs="宋体"/>
                <w:lang w:val="en-US" w:eastAsia="zh-CN"/>
              </w:rPr>
              <w:t>1</w:t>
            </w:r>
            <w:r>
              <w:rPr>
                <w:rFonts w:hint="eastAsia" w:ascii="宋体" w:hAnsi="宋体" w:eastAsia="宋体" w:cs="宋体"/>
              </w:rPr>
              <w:t>年1月1日（以合同签订日期为准）以来完成过同类项目业绩的得每提供一个得1分，最多得2分。上述业绩证明资料须提供检测合同和经质监站备案的检测报告</w:t>
            </w:r>
            <w:r>
              <w:rPr>
                <w:rFonts w:hint="eastAsia" w:ascii="宋体" w:hAnsi="宋体" w:eastAsia="宋体" w:cs="宋体"/>
                <w:lang w:val="en-US" w:eastAsia="zh-CN"/>
              </w:rPr>
              <w:t>或相关备案证明</w:t>
            </w:r>
            <w:r>
              <w:rPr>
                <w:rFonts w:hint="eastAsia" w:ascii="宋体" w:hAnsi="宋体" w:eastAsia="宋体" w:cs="宋体"/>
              </w:rPr>
              <w:t>复印件加盖单位公章。</w:t>
            </w:r>
          </w:p>
        </w:tc>
      </w:tr>
      <w:tr w14:paraId="14FC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2" w:type="dxa"/>
            <w:vMerge w:val="continue"/>
          </w:tcPr>
          <w:p w14:paraId="384FBB6A">
            <w:pPr>
              <w:bidi w:val="0"/>
            </w:pPr>
          </w:p>
        </w:tc>
        <w:tc>
          <w:tcPr>
            <w:tcW w:w="8969" w:type="dxa"/>
            <w:shd w:val="clear" w:color="auto" w:fill="auto"/>
            <w:vAlign w:val="center"/>
          </w:tcPr>
          <w:p w14:paraId="26BB6E8C">
            <w:pPr>
              <w:bidi w:val="0"/>
              <w:spacing w:line="360" w:lineRule="auto"/>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cs="宋体"/>
                <w:highlight w:val="none"/>
                <w:lang w:val="en-US" w:eastAsia="zh-CN"/>
              </w:rPr>
              <w:t>5</w:t>
            </w:r>
            <w:r>
              <w:rPr>
                <w:rFonts w:hint="eastAsia" w:ascii="宋体" w:hAnsi="宋体" w:eastAsia="宋体" w:cs="宋体"/>
                <w:highlight w:val="none"/>
                <w:lang w:val="en-US" w:eastAsia="zh-CN"/>
              </w:rPr>
              <w:t>.全过程</w:t>
            </w:r>
            <w:r>
              <w:rPr>
                <w:rFonts w:hint="eastAsia" w:ascii="宋体" w:hAnsi="宋体" w:eastAsia="宋体" w:cs="宋体"/>
                <w:highlight w:val="none"/>
              </w:rPr>
              <w:t>服务便捷性（4分）</w:t>
            </w:r>
          </w:p>
          <w:p w14:paraId="176D1174">
            <w:pPr>
              <w:bidi w:val="0"/>
              <w:spacing w:line="360" w:lineRule="auto"/>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rPr>
              <w:t>根据投标人的全过程服务便捷性进行评议，①服务机构位置便捷且响应距离</w:t>
            </w:r>
            <w:r>
              <w:rPr>
                <w:rFonts w:hint="eastAsia" w:ascii="宋体" w:hAnsi="宋体" w:eastAsia="宋体" w:cs="宋体"/>
                <w:highlight w:val="none"/>
                <w:lang w:val="en-US" w:eastAsia="zh-CN"/>
              </w:rPr>
              <w:t>近</w:t>
            </w:r>
            <w:r>
              <w:rPr>
                <w:rFonts w:hint="eastAsia" w:ascii="宋体" w:hAnsi="宋体" w:eastAsia="宋体" w:cs="宋体"/>
                <w:highlight w:val="none"/>
              </w:rPr>
              <w:t>的，②服务响应时间短的，③全过程服务人员配备齐全且安排合理的，④其他服务承诺积极有利于采购人的。以上内容每符合一项得1分，有所欠缺的每项得0.5分，欠缺较大或未提供该内容的不得分，本项最高得4分。</w:t>
            </w:r>
          </w:p>
        </w:tc>
      </w:tr>
      <w:tr w14:paraId="2B04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2" w:type="dxa"/>
            <w:vMerge w:val="continue"/>
          </w:tcPr>
          <w:p w14:paraId="023CEE2F">
            <w:pPr>
              <w:bidi w:val="0"/>
            </w:pPr>
          </w:p>
        </w:tc>
        <w:tc>
          <w:tcPr>
            <w:tcW w:w="8969" w:type="dxa"/>
            <w:shd w:val="clear" w:color="auto" w:fill="auto"/>
            <w:vAlign w:val="center"/>
          </w:tcPr>
          <w:p w14:paraId="15E6A432">
            <w:pPr>
              <w:bidi w:val="0"/>
              <w:spacing w:line="360" w:lineRule="auto"/>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cs="宋体"/>
                <w:highlight w:val="none"/>
                <w:lang w:val="en-US" w:eastAsia="zh-CN"/>
              </w:rPr>
              <w:t>6</w:t>
            </w:r>
            <w:r>
              <w:rPr>
                <w:rFonts w:hint="eastAsia" w:ascii="宋体" w:hAnsi="宋体" w:eastAsia="宋体" w:cs="宋体"/>
                <w:highlight w:val="none"/>
                <w:lang w:val="en-US" w:eastAsia="zh-CN"/>
              </w:rPr>
              <w:t>.</w:t>
            </w:r>
            <w:r>
              <w:rPr>
                <w:rFonts w:hint="eastAsia" w:ascii="宋体" w:hAnsi="宋体" w:eastAsia="宋体" w:cs="宋体"/>
                <w:highlight w:val="none"/>
              </w:rPr>
              <w:t>政府采购政策加分（1分）</w:t>
            </w:r>
          </w:p>
          <w:p w14:paraId="5167AAD8">
            <w:pPr>
              <w:bidi w:val="0"/>
              <w:spacing w:line="360" w:lineRule="auto"/>
              <w:rPr>
                <w:rFonts w:hint="eastAsia" w:ascii="宋体" w:hAnsi="宋体" w:eastAsia="宋体" w:cs="宋体"/>
                <w:kern w:val="2"/>
                <w:sz w:val="21"/>
                <w:szCs w:val="24"/>
                <w:highlight w:val="none"/>
                <w:lang w:val="en-US" w:eastAsia="zh-CN" w:bidi="ar-SA"/>
              </w:rPr>
            </w:pPr>
            <w:r>
              <w:rPr>
                <w:rFonts w:hint="eastAsia" w:ascii="宋体" w:hAnsi="宋体" w:eastAsia="宋体" w:cs="宋体"/>
                <w:highlight w:val="none"/>
              </w:rPr>
              <w:t>投标人是国家认定的少数民族地区企业的加 1 分</w:t>
            </w:r>
          </w:p>
        </w:tc>
      </w:tr>
      <w:tr w14:paraId="2778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92" w:type="dxa"/>
            <w:vAlign w:val="center"/>
          </w:tcPr>
          <w:p w14:paraId="67477E74">
            <w:pPr>
              <w:bidi w:val="0"/>
            </w:pPr>
            <w:r>
              <w:rPr>
                <w:rFonts w:hint="eastAsia"/>
              </w:rPr>
              <w:t>报价分20分</w:t>
            </w:r>
          </w:p>
        </w:tc>
        <w:tc>
          <w:tcPr>
            <w:tcW w:w="8969" w:type="dxa"/>
            <w:vAlign w:val="center"/>
          </w:tcPr>
          <w:p w14:paraId="739A191B">
            <w:pPr>
              <w:bidi w:val="0"/>
              <w:spacing w:line="360" w:lineRule="auto"/>
              <w:rPr>
                <w:rFonts w:hint="eastAsia" w:ascii="宋体" w:hAnsi="宋体" w:eastAsia="宋体" w:cs="宋体"/>
              </w:rPr>
            </w:pPr>
            <w:r>
              <w:rPr>
                <w:rFonts w:hint="eastAsia" w:ascii="宋体" w:hAnsi="宋体" w:eastAsia="宋体" w:cs="宋体"/>
              </w:rPr>
              <w:t>满足采购文件要求且参与评审价格最低为评标基准价，其价格分为满分，其余投标人的价格分以下列公式计算：</w:t>
            </w:r>
          </w:p>
          <w:p w14:paraId="0AD3CA05">
            <w:pPr>
              <w:bidi w:val="0"/>
              <w:spacing w:line="360" w:lineRule="auto"/>
              <w:rPr>
                <w:rFonts w:hint="eastAsia" w:ascii="宋体" w:hAnsi="宋体" w:eastAsia="宋体" w:cs="宋体"/>
              </w:rPr>
            </w:pPr>
            <w:r>
              <w:rPr>
                <w:rFonts w:hint="eastAsia" w:ascii="宋体" w:hAnsi="宋体" w:eastAsia="宋体" w:cs="宋体"/>
              </w:rPr>
              <w:t>投标报价得分=（评标基准价/参与评审的价格）×价格权值×100</w:t>
            </w:r>
          </w:p>
          <w:p w14:paraId="0509FECC">
            <w:pPr>
              <w:bidi w:val="0"/>
              <w:spacing w:line="360" w:lineRule="auto"/>
              <w:rPr>
                <w:rFonts w:hint="eastAsia" w:ascii="宋体" w:hAnsi="宋体" w:eastAsia="宋体" w:cs="宋体"/>
              </w:rPr>
            </w:pPr>
            <w:r>
              <w:rPr>
                <w:rFonts w:hint="eastAsia" w:ascii="宋体" w:hAnsi="宋体" w:eastAsia="宋体" w:cs="宋体"/>
              </w:rPr>
              <w:t>参与评审价格=投标价格×（1-小微企业价格扣除优惠值10%）</w:t>
            </w:r>
          </w:p>
        </w:tc>
      </w:tr>
    </w:tbl>
    <w:p w14:paraId="3922A32A">
      <w:pPr>
        <w:snapToGrid w:val="0"/>
        <w:spacing w:line="360" w:lineRule="auto"/>
        <w:ind w:left="120" w:leftChars="57" w:firstLine="361" w:firstLineChars="150"/>
        <w:jc w:val="left"/>
        <w:rPr>
          <w:rFonts w:hint="eastAsia" w:eastAsia="宋体" w:cs="仿宋" w:asciiTheme="majorEastAsia" w:hAnsiTheme="majorEastAsia"/>
          <w:b/>
          <w:color w:val="auto"/>
          <w:sz w:val="24"/>
          <w:highlight w:val="none"/>
          <w:lang w:eastAsia="zh-CN"/>
        </w:rPr>
      </w:pPr>
      <w:r>
        <w:rPr>
          <w:rFonts w:hint="eastAsia" w:ascii="宋体" w:hAnsi="宋体" w:eastAsia="宋体" w:cs="仿宋"/>
          <w:b/>
          <w:color w:val="auto"/>
          <w:sz w:val="24"/>
          <w:highlight w:val="none"/>
        </w:rPr>
        <w:t>备注：</w:t>
      </w:r>
      <w:r>
        <w:rPr>
          <w:rFonts w:hint="eastAsia" w:ascii="宋体" w:hAnsi="宋体" w:eastAsia="宋体" w:cs="仿宋"/>
          <w:color w:val="auto"/>
          <w:kern w:val="0"/>
          <w:sz w:val="24"/>
          <w:highlight w:val="none"/>
          <w:lang w:val="zh-CN"/>
        </w:rPr>
        <w:t>供应商</w:t>
      </w:r>
      <w:r>
        <w:rPr>
          <w:rFonts w:hint="eastAsia" w:ascii="宋体" w:hAnsi="宋体" w:eastAsia="宋体" w:cs="仿宋"/>
          <w:color w:val="auto"/>
          <w:sz w:val="24"/>
          <w:highlight w:val="none"/>
        </w:rPr>
        <w:t>编制投标文件（商务技术文件部分）时，建议按此目录（序号和内容）提供评标标准相应的商务技术资料</w:t>
      </w:r>
      <w:r>
        <w:rPr>
          <w:rFonts w:hint="eastAsia" w:ascii="宋体" w:hAnsi="宋体" w:eastAsia="宋体" w:cs="仿宋"/>
          <w:color w:val="auto"/>
          <w:sz w:val="24"/>
          <w:highlight w:val="none"/>
          <w:lang w:eastAsia="zh-CN"/>
        </w:rPr>
        <w:t>。</w:t>
      </w:r>
    </w:p>
    <w:p w14:paraId="5A7BFA50">
      <w:pPr>
        <w:snapToGrid w:val="0"/>
        <w:spacing w:line="360" w:lineRule="auto"/>
        <w:ind w:left="120" w:leftChars="57" w:firstLine="482" w:firstLineChars="150"/>
        <w:jc w:val="left"/>
        <w:rPr>
          <w:rFonts w:hint="eastAsia" w:cs="仿宋" w:asciiTheme="majorEastAsia" w:hAnsiTheme="majorEastAsia" w:eastAsiaTheme="majorEastAsia"/>
          <w:b/>
          <w:color w:val="auto"/>
          <w:sz w:val="32"/>
          <w:highlight w:val="none"/>
        </w:rPr>
        <w:sectPr>
          <w:pgSz w:w="11906" w:h="16838"/>
          <w:pgMar w:top="1276" w:right="1418" w:bottom="1247" w:left="1418" w:header="851" w:footer="992" w:gutter="0"/>
          <w:cols w:space="720" w:num="1"/>
          <w:titlePg/>
          <w:docGrid w:linePitch="312" w:charSpace="0"/>
        </w:sectPr>
      </w:pPr>
    </w:p>
    <w:p w14:paraId="42CD2C1D">
      <w:pPr>
        <w:snapToGrid w:val="0"/>
        <w:spacing w:line="360" w:lineRule="auto"/>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一、评标方法</w:t>
      </w:r>
    </w:p>
    <w:p w14:paraId="6179AC73">
      <w:pPr>
        <w:spacing w:line="360" w:lineRule="auto"/>
        <w:ind w:firstLine="472" w:firstLineChars="196"/>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1.本项目采用综合评分法。</w:t>
      </w:r>
      <w:r>
        <w:rPr>
          <w:rFonts w:hint="eastAsia" w:cs="仿宋" w:asciiTheme="majorEastAsia" w:hAnsiTheme="majorEastAsia" w:eastAsiaTheme="majorEastAsia"/>
          <w:color w:val="auto"/>
          <w:kern w:val="0"/>
          <w:sz w:val="24"/>
          <w:highlight w:val="none"/>
        </w:rPr>
        <w:t>综合评分法，是指投标文件满足招标文件全部实质性要求，且按照评审因素的量化指标评审得分最高的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为中标候选人的评标方法。</w:t>
      </w:r>
    </w:p>
    <w:p w14:paraId="46E0D0C4">
      <w:pPr>
        <w:snapToGrid w:val="0"/>
        <w:spacing w:line="360" w:lineRule="auto"/>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二、评标标准</w:t>
      </w:r>
    </w:p>
    <w:p w14:paraId="6B06DEFF">
      <w:pPr>
        <w:spacing w:line="360" w:lineRule="auto"/>
        <w:ind w:firstLine="472" w:firstLineChars="196"/>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2.</w:t>
      </w:r>
      <w:r>
        <w:rPr>
          <w:rFonts w:hint="eastAsia" w:cs="仿宋" w:asciiTheme="majorEastAsia" w:hAnsiTheme="majorEastAsia" w:eastAsiaTheme="majorEastAsia"/>
          <w:color w:val="auto"/>
          <w:highlight w:val="none"/>
        </w:rPr>
        <w:t xml:space="preserve"> </w:t>
      </w:r>
      <w:r>
        <w:rPr>
          <w:rFonts w:hint="eastAsia" w:cs="仿宋" w:asciiTheme="majorEastAsia" w:hAnsiTheme="majorEastAsia" w:eastAsiaTheme="majorEastAsia"/>
          <w:b/>
          <w:color w:val="auto"/>
          <w:sz w:val="24"/>
          <w:highlight w:val="none"/>
        </w:rPr>
        <w:t>评标标准：</w:t>
      </w:r>
      <w:r>
        <w:rPr>
          <w:rFonts w:hint="eastAsia" w:cs="仿宋" w:asciiTheme="majorEastAsia" w:hAnsiTheme="majorEastAsia" w:eastAsiaTheme="majorEastAsia"/>
          <w:color w:val="auto"/>
          <w:kern w:val="0"/>
          <w:sz w:val="24"/>
          <w:highlight w:val="none"/>
        </w:rPr>
        <w:t>见评标办法前附表。</w:t>
      </w:r>
    </w:p>
    <w:p w14:paraId="03FCD4E2">
      <w:pPr>
        <w:snapToGrid w:val="0"/>
        <w:spacing w:line="360" w:lineRule="auto"/>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三、评标程序</w:t>
      </w:r>
    </w:p>
    <w:p w14:paraId="13BF185D">
      <w:pP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3.1 符合性审查。</w:t>
      </w:r>
      <w:r>
        <w:rPr>
          <w:rFonts w:hint="eastAsia" w:cs="仿宋" w:asciiTheme="majorEastAsia" w:hAnsiTheme="majorEastAsia" w:eastAsiaTheme="majorEastAsia"/>
          <w:color w:val="auto"/>
          <w:kern w:val="0"/>
          <w:sz w:val="24"/>
          <w:highlight w:val="none"/>
        </w:rPr>
        <w:t>评标委员会应当对符合资格的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的投标文件进行符合性审查，以确定其是否满足招标文件的实质性要求。不满足招标文件的实质性要求的，投标无效。</w:t>
      </w:r>
    </w:p>
    <w:p w14:paraId="25AFA0BA">
      <w:pP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3.2 商务技术评审。</w:t>
      </w:r>
      <w:r>
        <w:rPr>
          <w:rFonts w:hint="eastAsia" w:cs="仿宋" w:asciiTheme="majorEastAsia" w:hAnsiTheme="majorEastAsia" w:eastAsiaTheme="majorEastAsia"/>
          <w:color w:val="auto"/>
          <w:kern w:val="0"/>
          <w:sz w:val="24"/>
          <w:highlight w:val="none"/>
        </w:rPr>
        <w:t>评标委员会应当按照招标文件中规定的评标方法和标准，对符合性审查合格的投标文件进行商务和技术评估。</w:t>
      </w:r>
    </w:p>
    <w:p w14:paraId="41A380B7">
      <w:pP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3.3 汇总商务技术得分。</w:t>
      </w:r>
      <w:r>
        <w:rPr>
          <w:rFonts w:hint="eastAsia" w:cs="仿宋" w:asciiTheme="majorEastAsia" w:hAnsiTheme="majorEastAsia" w:eastAsiaTheme="majorEastAsia"/>
          <w:color w:val="auto"/>
          <w:kern w:val="0"/>
          <w:sz w:val="24"/>
          <w:highlight w:val="none"/>
        </w:rPr>
        <w:t>评标委员会各成员应当独立对每个</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的商务和技术文件进行评价，并汇总商务技术得分情况。</w:t>
      </w:r>
    </w:p>
    <w:p w14:paraId="2D73FE3C">
      <w:pPr>
        <w:spacing w:line="360" w:lineRule="auto"/>
        <w:ind w:firstLine="482" w:firstLineChars="200"/>
        <w:rPr>
          <w:rFonts w:cs="仿宋" w:asciiTheme="majorEastAsia" w:hAnsiTheme="majorEastAsia" w:eastAsiaTheme="majorEastAsia"/>
          <w:b/>
          <w:color w:val="auto"/>
          <w:kern w:val="0"/>
          <w:sz w:val="24"/>
          <w:highlight w:val="none"/>
        </w:rPr>
      </w:pPr>
      <w:r>
        <w:rPr>
          <w:rFonts w:hint="eastAsia" w:cs="仿宋" w:asciiTheme="majorEastAsia" w:hAnsiTheme="majorEastAsia" w:eastAsiaTheme="majorEastAsia"/>
          <w:b/>
          <w:color w:val="auto"/>
          <w:kern w:val="0"/>
          <w:sz w:val="24"/>
          <w:highlight w:val="none"/>
        </w:rPr>
        <w:t>3.4 报价评审。</w:t>
      </w:r>
    </w:p>
    <w:p w14:paraId="142796B5">
      <w:pPr>
        <w:pStyle w:val="42"/>
        <w:spacing w:before="0"/>
        <w:ind w:firstLine="480"/>
        <w:rPr>
          <w:rFonts w:cs="仿宋" w:asciiTheme="majorEastAsia" w:hAnsiTheme="majorEastAsia" w:eastAsiaTheme="majorEastAsia"/>
          <w:color w:val="auto"/>
          <w:kern w:val="0"/>
          <w:highlight w:val="none"/>
        </w:rPr>
      </w:pPr>
      <w:r>
        <w:rPr>
          <w:rFonts w:hint="eastAsia" w:cs="仿宋" w:asciiTheme="majorEastAsia" w:hAnsiTheme="majorEastAsia" w:eastAsiaTheme="majorEastAsia"/>
          <w:color w:val="auto"/>
          <w:kern w:val="0"/>
          <w:highlight w:val="none"/>
        </w:rPr>
        <w:t>3.4.1投标文件报价出现前后不一致的，按照下列规定修正：</w:t>
      </w:r>
    </w:p>
    <w:p w14:paraId="4BAA3A0F">
      <w:pPr>
        <w:pStyle w:val="42"/>
        <w:spacing w:before="0"/>
        <w:ind w:firstLine="480"/>
        <w:rPr>
          <w:rFonts w:cs="仿宋" w:asciiTheme="majorEastAsia" w:hAnsiTheme="majorEastAsia" w:eastAsiaTheme="majorEastAsia"/>
          <w:color w:val="auto"/>
          <w:kern w:val="0"/>
          <w:highlight w:val="none"/>
        </w:rPr>
      </w:pPr>
      <w:r>
        <w:rPr>
          <w:rFonts w:hint="eastAsia" w:cs="仿宋" w:asciiTheme="majorEastAsia" w:hAnsiTheme="majorEastAsia" w:eastAsiaTheme="majorEastAsia"/>
          <w:color w:val="auto"/>
          <w:kern w:val="0"/>
          <w:highlight w:val="none"/>
        </w:rPr>
        <w:t>3.4.1.1电子交易平台生成的开标记录表(报价表)内容与投标文件中开标一览表(报价表)不一致的，以投标文件中开标一览表(报价表)为准；</w:t>
      </w:r>
    </w:p>
    <w:p w14:paraId="03D86017">
      <w:pPr>
        <w:pStyle w:val="42"/>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3.4.1.2</w:t>
      </w:r>
      <w:r>
        <w:rPr>
          <w:rFonts w:hint="eastAsia" w:cs="仿宋" w:asciiTheme="majorEastAsia" w:hAnsiTheme="majorEastAsia" w:eastAsiaTheme="majorEastAsia"/>
          <w:color w:val="auto"/>
          <w:kern w:val="0"/>
          <w:highlight w:val="none"/>
        </w:rPr>
        <w:t>投标文件中开标一览表(报价表)内容与投标文件中相应内容不一致的，以开标一览表(报价表)为准；</w:t>
      </w:r>
    </w:p>
    <w:p w14:paraId="6A2BED23">
      <w:pPr>
        <w:pStyle w:val="42"/>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3.4.1.3 大写金额和小写金额不一致的，以大写金额为准;</w:t>
      </w:r>
    </w:p>
    <w:p w14:paraId="6E0B9FB6">
      <w:pPr>
        <w:pStyle w:val="42"/>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3.4.1.4 单价金额小数点或者百分比有明显错位的，以开标一览表的总价为准，并修改单价;</w:t>
      </w:r>
    </w:p>
    <w:p w14:paraId="4BDF61A5">
      <w:pPr>
        <w:pStyle w:val="42"/>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3.4.1.5 总价金额与按单价汇总金额不一致的，以单价金额计算结果为准；</w:t>
      </w:r>
    </w:p>
    <w:p w14:paraId="3EF9C0E6">
      <w:pPr>
        <w:pStyle w:val="42"/>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3.4.1.6同时出现两种以上不一致的，按照3.4.1规定的顺序修正。修正后的报价按照财政部第87号令 《政府采购货物和服务招标投标管理办法》第五十一条第二款的规定经</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确认后产生约束力。</w:t>
      </w:r>
    </w:p>
    <w:p w14:paraId="54C1FB25">
      <w:pPr>
        <w:snapToGrid w:val="0"/>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3.4.2投标文件出现不是唯一的、有选择性投标报价的，投标无效。</w:t>
      </w:r>
    </w:p>
    <w:p w14:paraId="7FCEE940">
      <w:pPr>
        <w:snapToGrid w:val="0"/>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3.4.3投标报价超过招标文件中规定的预算金额或者最高限价的，投标无效。</w:t>
      </w:r>
    </w:p>
    <w:p w14:paraId="4E9936DA">
      <w:pPr>
        <w:pStyle w:val="42"/>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3.4.4评标委员会认为</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的报价明显低于其他通过符合性审查</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的报价，有可能影响产品质量或者不能诚信履约的，应当要求其在30分钟内提供书面说明，必要时提交相关证明材料;</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不能证明其报价合理性的，评标委员会应当将其作为无效投标处理。</w:t>
      </w:r>
    </w:p>
    <w:p w14:paraId="524001F7">
      <w:pP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3.5编写评标报告。</w:t>
      </w:r>
      <w:r>
        <w:rPr>
          <w:rFonts w:hint="eastAsia" w:cs="仿宋" w:asciiTheme="majorEastAsia" w:hAnsiTheme="majorEastAsia" w:eastAsiaTheme="maj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A7FA3DA">
      <w:pP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四、评标中的其他事项</w:t>
      </w:r>
    </w:p>
    <w:p w14:paraId="636B6DDF">
      <w:pPr>
        <w:pStyle w:val="42"/>
        <w:spacing w:before="0"/>
        <w:ind w:firstLine="482"/>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b/>
          <w:color w:val="auto"/>
          <w:kern w:val="0"/>
          <w:szCs w:val="24"/>
          <w:highlight w:val="none"/>
        </w:rPr>
        <w:t>4.1投标澄清、说明或者补正。</w:t>
      </w:r>
      <w:r>
        <w:rPr>
          <w:rFonts w:hint="eastAsia" w:cs="仿宋" w:asciiTheme="majorEastAsia" w:hAnsiTheme="majorEastAsia" w:eastAsiaTheme="majorEastAsia"/>
          <w:color w:val="auto"/>
          <w:kern w:val="0"/>
          <w:szCs w:val="24"/>
          <w:highlight w:val="none"/>
        </w:rPr>
        <w:t>对于投标文件中含义不明确、同类问题表述不一致或者有明显文字和计算错误的内容需要</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作出必要的澄清、说明或者补正的，评标委员会和</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通过电子交易平台交换数据电文，</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提交使用电子签名的相关数据电文或通过平台上传加盖公章的扫描件。给予</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提交澄清、说明或补正的时间不得少于半小时，</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已经明确表示澄清说明或补正完毕的除外。</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的澄清、说明或者补正不得超出投标文件的范围或者改变投标文件的实质性内容。</w:t>
      </w:r>
    </w:p>
    <w:p w14:paraId="0371B477">
      <w:pPr>
        <w:pStyle w:val="3"/>
        <w:spacing w:line="360" w:lineRule="auto"/>
        <w:ind w:firstLine="482"/>
        <w:rPr>
          <w:rFonts w:cs="仿宋" w:asciiTheme="majorEastAsia" w:hAnsiTheme="majorEastAsia" w:eastAsiaTheme="majorEastAsia"/>
          <w:color w:val="auto"/>
          <w:szCs w:val="21"/>
          <w:highlight w:val="none"/>
        </w:rPr>
      </w:pPr>
      <w:r>
        <w:rPr>
          <w:rFonts w:hint="eastAsia" w:cs="仿宋" w:asciiTheme="majorEastAsia" w:hAnsiTheme="majorEastAsia" w:eastAsiaTheme="majorEastAsia"/>
          <w:b/>
          <w:color w:val="auto"/>
          <w:kern w:val="0"/>
          <w:highlight w:val="none"/>
        </w:rPr>
        <w:t>4.2投标无效的情形。</w:t>
      </w:r>
    </w:p>
    <w:p w14:paraId="03A69F92">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4.2.1 没有响应招标文件实质性要求的投标将被视为无效投标。</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不得通过修正或撤</w:t>
      </w:r>
      <w:r>
        <w:rPr>
          <w:rFonts w:hint="eastAsia" w:cs="仿宋" w:asciiTheme="majorEastAsia" w:hAnsiTheme="majorEastAsia" w:eastAsiaTheme="majorEastAsia"/>
          <w:color w:val="auto"/>
          <w:kern w:val="0"/>
          <w:sz w:val="24"/>
          <w:highlight w:val="none"/>
          <w:lang w:val="en-US" w:eastAsia="zh-CN"/>
        </w:rPr>
        <w:t>销</w:t>
      </w:r>
      <w:r>
        <w:rPr>
          <w:rFonts w:hint="eastAsia" w:cs="仿宋" w:asciiTheme="majorEastAsia" w:hAnsiTheme="majorEastAsia" w:eastAsiaTheme="majorEastAsia"/>
          <w:color w:val="auto"/>
          <w:kern w:val="0"/>
          <w:sz w:val="24"/>
          <w:highlight w:val="none"/>
        </w:rPr>
        <w:t>不合要求的偏离或保留从而使其投标成为实质上响应的投标，但经评标委员会认定属于</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修改、补正投标文件后，不影响评标委员会对其投标文件所作的评价和评分结果。</w:t>
      </w:r>
    </w:p>
    <w:p w14:paraId="0060136B">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 在电子开评标时，如发现下列情形之一的，将被视为无效投标文件：</w:t>
      </w:r>
    </w:p>
    <w:p w14:paraId="6338CB6B">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4.2.2.1电子投标文件解密失败的；</w:t>
      </w:r>
    </w:p>
    <w:p w14:paraId="5B7ADF6C">
      <w:pPr>
        <w:spacing w:line="360" w:lineRule="auto"/>
        <w:ind w:firstLine="480" w:firstLineChars="200"/>
        <w:rPr>
          <w:rFonts w:hint="eastAsia"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4.2.2.2投标文件未按招标文件要求加密、签字、盖章的；</w:t>
      </w:r>
    </w:p>
    <w:p w14:paraId="178BADFC">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 在资格审查、符合性审查和商务评审时，如发现下列情形之一的，将被视为无效投标文件：</w:t>
      </w:r>
    </w:p>
    <w:p w14:paraId="7E288665">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4.2.3.1 资格证明文件不全的或者不符合招标文件标明的资格要求的；</w:t>
      </w:r>
    </w:p>
    <w:p w14:paraId="3EF5CA48">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4.2.3.2 投标文件未按招标文件要求签署、盖章的；</w:t>
      </w:r>
    </w:p>
    <w:p w14:paraId="76BC8FF8">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4.2.3.3 投标文件格式不规范、项目不齐全或者内容虚假的；</w:t>
      </w:r>
    </w:p>
    <w:p w14:paraId="036D864F">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4.2.3.4 投标文件的实质性内容未使用中文表述、意思表述不明确、前后矛盾或者使用计量单位不符合招标文件要求的（经评标委员会认定并允许其当场更正的笔误除外）；</w:t>
      </w:r>
    </w:p>
    <w:p w14:paraId="039EB251">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4.2.3.5 投标有效期、交货时间、质保期等商务条款不能满足招标文件要求的；</w:t>
      </w:r>
    </w:p>
    <w:p w14:paraId="580079DC">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4.2.3.6 带“▲”的条款不能满足招标文件要求、未实质性响应招标文件要求或者投标文件有采购人不能接受的附加条件的；</w:t>
      </w:r>
    </w:p>
    <w:p w14:paraId="54811068">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4.2.3.7 单位负责人为同一人或者存在直接控股、管理关系的不同供应商参加同一合同项下的政府采购活动的；</w:t>
      </w:r>
    </w:p>
    <w:p w14:paraId="4E460E74">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4.2.3.8 为采购项目提供整体设计、规范编制或者项目管理、监理、检测等服务的供应商参加该采购项目的其他采购活动的；</w:t>
      </w:r>
    </w:p>
    <w:p w14:paraId="695A90F8">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4.2.3.9 报价文件以外的投标文件中出现本项目投标报价或单价的。</w:t>
      </w:r>
    </w:p>
    <w:p w14:paraId="2CAC144A">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4.3.在技术评审时，如发现下列情形之一的，将被视为无效投标文件：</w:t>
      </w:r>
    </w:p>
    <w:p w14:paraId="158A393C">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4.3.1未提供或未如实提供投标货物的技术参数，或者投标文件标明的响应或偏离与事实不符或虚假投标的；</w:t>
      </w:r>
    </w:p>
    <w:p w14:paraId="6AC60D1B">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4.3.2 明显不符合招标文件要求的规格型号、质量标准，或者与招标文件中标“▲”的技术指标、主要功能项目发生实质性偏离的；</w:t>
      </w:r>
    </w:p>
    <w:p w14:paraId="167D4994">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4.3.3 允许偏离的技术、性能指标或辅助功能项目发生负偏离达/项（含）以上的；</w:t>
      </w:r>
    </w:p>
    <w:p w14:paraId="127C77F9">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4.3.4 投标技术方案不明确，存在一个或一个以上备选（替代）投标方案的；</w:t>
      </w:r>
    </w:p>
    <w:p w14:paraId="3883B57E">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4.3.5 与其他参加本次投标</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的投标文件（技术文件）的文字表述内容差错相同2处以上的；</w:t>
      </w:r>
    </w:p>
    <w:p w14:paraId="1C960A94">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 在报价评审时，如发现下列情形之一的，投标文件将被视为无效：</w:t>
      </w:r>
    </w:p>
    <w:p w14:paraId="16ED9577">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4.4.1 未采用人民币报价或者未按照招标文件标明的币种报价的；</w:t>
      </w:r>
    </w:p>
    <w:p w14:paraId="759E1D5B">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4.4.2 报价超出最高限价，或者超出采购预算金额的；</w:t>
      </w:r>
    </w:p>
    <w:p w14:paraId="16AC7C3F">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4.4.3 投标报价具有选择性的；</w:t>
      </w:r>
    </w:p>
    <w:p w14:paraId="5C4903C7">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4.4.4 投标报价中出现缺项、漏项或被评标委员会认定为有可能影响产品质量或者不能诚信履约的且不能在合理的时间内证明其报价合理性的；</w:t>
      </w:r>
    </w:p>
    <w:p w14:paraId="2160C9E3">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4.4.5供应商对根据修正原则修正后的报价不确认的。</w:t>
      </w:r>
    </w:p>
    <w:p w14:paraId="0ED9623A">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4.5其他无效情形：</w:t>
      </w:r>
    </w:p>
    <w:p w14:paraId="5220B490">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4.5.1 不同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的投标文件出自同一终端设备或在相同Internet主机分配地址（相同IP地址）进行网上报名、投标的；</w:t>
      </w:r>
    </w:p>
    <w:p w14:paraId="43231D5B">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4.5.2 法律、法规、规章（适用本市的）及省级以上规范性文件（适用本市的）规定的其他无效情形。</w:t>
      </w:r>
    </w:p>
    <w:p w14:paraId="79B339C3">
      <w:pPr>
        <w:pStyle w:val="3"/>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highlight w:val="none"/>
        </w:rPr>
        <w:t>5.废标。</w:t>
      </w:r>
      <w:r>
        <w:rPr>
          <w:rFonts w:hint="eastAsia" w:cs="仿宋" w:asciiTheme="majorEastAsia" w:hAnsiTheme="majorEastAsia" w:eastAsiaTheme="majorEastAsia"/>
          <w:color w:val="auto"/>
          <w:highlight w:val="none"/>
        </w:rPr>
        <w:t>根据《中华人民共和国政府采购法》第三十六条之规定，在采购中，出现下列情形之一的，应予废标：</w:t>
      </w:r>
    </w:p>
    <w:p w14:paraId="32509253">
      <w:pPr>
        <w:pStyle w:val="3"/>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5.1符合专业条件的供应商或者对招标文件作实质响应的供应商不足3家的；</w:t>
      </w:r>
    </w:p>
    <w:p w14:paraId="115A4231">
      <w:pPr>
        <w:pStyle w:val="3"/>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5.2出现影响采购公正的违法、违规行为的；</w:t>
      </w:r>
    </w:p>
    <w:p w14:paraId="4C603361">
      <w:pPr>
        <w:pStyle w:val="3"/>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5.3</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的报价均超过了采购预算，采购人不能支付的；</w:t>
      </w:r>
    </w:p>
    <w:p w14:paraId="627E3FDE">
      <w:pPr>
        <w:pStyle w:val="3"/>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5.4因重大变故，采购任务取消的。</w:t>
      </w:r>
    </w:p>
    <w:p w14:paraId="0200FD47">
      <w:pPr>
        <w:pStyle w:val="3"/>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废标后，采购代理机构应当将废标理由通知所有</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w:t>
      </w:r>
    </w:p>
    <w:p w14:paraId="3B7BD9E5">
      <w:pPr>
        <w:pStyle w:val="3"/>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highlight w:val="none"/>
        </w:rPr>
        <w:t>6.修改招标文件，重新组织采购活动。</w:t>
      </w:r>
      <w:r>
        <w:rPr>
          <w:rFonts w:hint="eastAsia" w:cs="仿宋" w:asciiTheme="majorEastAsia" w:hAnsiTheme="majorEastAsia" w:eastAsiaTheme="maj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D744D1C">
      <w:pPr>
        <w:pStyle w:val="3"/>
        <w:adjustRightInd w:val="0"/>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kern w:val="0"/>
          <w:highlight w:val="none"/>
        </w:rPr>
        <w:t>7.重新开展采购。</w:t>
      </w:r>
      <w:r>
        <w:rPr>
          <w:rFonts w:hint="eastAsia" w:cs="仿宋" w:asciiTheme="majorEastAsia" w:hAnsiTheme="majorEastAsia" w:eastAsiaTheme="majorEastAsia"/>
          <w:color w:val="auto"/>
          <w:highlight w:val="none"/>
        </w:rPr>
        <w:t>有政府采购法第七十一条、第七十二条规定的违法行为之一，影响或者可能影响中标、成交结果的，依照下列规定处理：</w:t>
      </w:r>
    </w:p>
    <w:p w14:paraId="72D1EA1A">
      <w:pPr>
        <w:pStyle w:val="3"/>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7.1未确定中标或者中标人的，终止本次政府采购活动，重新开展政府采购活动。</w:t>
      </w:r>
    </w:p>
    <w:p w14:paraId="664544CF">
      <w:pPr>
        <w:pStyle w:val="3"/>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7.2已确定中标或者中标人但尚未签订政府采购合同的，中标或者成交结果无效，重新开展政府采购活动。</w:t>
      </w:r>
    </w:p>
    <w:p w14:paraId="5277218D">
      <w:pPr>
        <w:pStyle w:val="3"/>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7.3政府采购合同已签订但尚未履行的，撤销合同，重新开展政府采购活动。</w:t>
      </w:r>
    </w:p>
    <w:p w14:paraId="0F0359C1">
      <w:pPr>
        <w:pStyle w:val="3"/>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7.4政府采购合同已经履行，给采购人、供应商造成损失的，由责任人承担赔偿责任。</w:t>
      </w:r>
    </w:p>
    <w:p w14:paraId="743C9A7A">
      <w:pPr>
        <w:pStyle w:val="3"/>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7.5政府采购当事人有其他违反政府采购法</w:t>
      </w:r>
      <w:r>
        <w:rPr>
          <w:rFonts w:hint="eastAsia" w:cs="仿宋" w:asciiTheme="majorEastAsia" w:hAnsiTheme="majorEastAsia" w:eastAsiaTheme="majorEastAsia"/>
          <w:color w:val="auto"/>
          <w:kern w:val="0"/>
          <w:highlight w:val="none"/>
        </w:rPr>
        <w:t>或者政府采购法实施条例等法律法规规定</w:t>
      </w:r>
      <w:r>
        <w:rPr>
          <w:rFonts w:hint="eastAsia" w:cs="仿宋" w:asciiTheme="majorEastAsia" w:hAnsiTheme="majorEastAsia" w:eastAsiaTheme="majorEastAsia"/>
          <w:color w:val="auto"/>
          <w:highlight w:val="none"/>
        </w:rPr>
        <w:t>的行为，经改正后仍然影响或者可能影响中标、成交结果或者依法被认定为中标、成交无效的，依照7.1-7.4规定处理。</w:t>
      </w:r>
      <w:bookmarkEnd w:id="26"/>
      <w:bookmarkStart w:id="397" w:name="第五部分"/>
      <w:bookmarkStart w:id="398" w:name="_Toc86217003"/>
    </w:p>
    <w:p w14:paraId="267DBE15">
      <w:pPr>
        <w:spacing w:line="360" w:lineRule="auto"/>
        <w:rPr>
          <w:rFonts w:cs="仿宋" w:asciiTheme="majorEastAsia" w:hAnsiTheme="majorEastAsia" w:eastAsiaTheme="majorEastAsia"/>
          <w:b/>
          <w:color w:val="auto"/>
          <w:sz w:val="36"/>
          <w:szCs w:val="36"/>
          <w:highlight w:val="none"/>
        </w:rPr>
      </w:pPr>
    </w:p>
    <w:p w14:paraId="6520854E">
      <w:pPr>
        <w:pStyle w:val="3"/>
        <w:numPr>
          <w:ilvl w:val="0"/>
          <w:numId w:val="2"/>
        </w:numPr>
        <w:adjustRightInd w:val="0"/>
        <w:snapToGrid w:val="0"/>
        <w:spacing w:line="360" w:lineRule="auto"/>
        <w:ind w:firstLine="0" w:firstLineChars="0"/>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br w:type="page"/>
      </w:r>
      <w:r>
        <w:rPr>
          <w:rFonts w:hint="eastAsia" w:cs="仿宋" w:asciiTheme="majorEastAsia" w:hAnsiTheme="majorEastAsia" w:eastAsiaTheme="majorEastAsia"/>
          <w:b/>
          <w:color w:val="auto"/>
          <w:sz w:val="36"/>
          <w:szCs w:val="36"/>
          <w:highlight w:val="none"/>
        </w:rPr>
        <w:t>拟签订的合同文本</w:t>
      </w:r>
    </w:p>
    <w:p w14:paraId="6E7C5922">
      <w:pPr>
        <w:spacing w:line="360" w:lineRule="auto"/>
        <w:jc w:val="both"/>
        <w:rPr>
          <w:rFonts w:hint="eastAsia" w:ascii="仿宋" w:hAnsi="仿宋" w:eastAsia="仿宋" w:cs="仿宋"/>
          <w:b/>
          <w:color w:val="auto"/>
          <w:sz w:val="36"/>
          <w:szCs w:val="36"/>
          <w:highlight w:val="none"/>
        </w:rPr>
      </w:pPr>
    </w:p>
    <w:p w14:paraId="5423B222">
      <w:pPr>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w:t>
      </w:r>
      <w:r>
        <w:rPr>
          <w:rFonts w:hint="eastAsia" w:ascii="仿宋" w:hAnsi="仿宋" w:eastAsia="仿宋" w:cs="仿宋"/>
          <w:b/>
          <w:color w:val="auto"/>
          <w:sz w:val="36"/>
          <w:szCs w:val="36"/>
          <w:highlight w:val="none"/>
          <w:lang w:eastAsia="zh-CN"/>
        </w:rPr>
        <w:t>服务</w:t>
      </w:r>
      <w:r>
        <w:rPr>
          <w:rFonts w:hint="eastAsia" w:ascii="仿宋" w:hAnsi="仿宋" w:eastAsia="仿宋" w:cs="仿宋"/>
          <w:b/>
          <w:color w:val="auto"/>
          <w:sz w:val="36"/>
          <w:szCs w:val="36"/>
          <w:highlight w:val="none"/>
        </w:rPr>
        <w:t>类）</w:t>
      </w:r>
    </w:p>
    <w:p w14:paraId="627CE015">
      <w:pPr>
        <w:pStyle w:val="43"/>
        <w:spacing w:line="360" w:lineRule="auto"/>
        <w:ind w:left="0" w:leftChars="0" w:firstLine="0" w:firstLineChars="0"/>
        <w:rPr>
          <w:rFonts w:hint="eastAsia" w:ascii="仿宋" w:hAnsi="仿宋" w:eastAsia="仿宋" w:cs="仿宋"/>
          <w:color w:val="auto"/>
          <w:szCs w:val="24"/>
          <w:highlight w:val="none"/>
        </w:rPr>
      </w:pPr>
    </w:p>
    <w:p w14:paraId="35B1E18D">
      <w:pPr>
        <w:pStyle w:val="43"/>
        <w:spacing w:line="360" w:lineRule="auto"/>
        <w:rPr>
          <w:rFonts w:hint="eastAsia" w:ascii="仿宋" w:hAnsi="仿宋" w:eastAsia="仿宋" w:cs="仿宋"/>
          <w:color w:val="auto"/>
          <w:szCs w:val="24"/>
          <w:highlight w:val="none"/>
        </w:rPr>
      </w:pPr>
    </w:p>
    <w:p w14:paraId="6A5FD61F">
      <w:pPr>
        <w:pStyle w:val="43"/>
        <w:spacing w:line="360" w:lineRule="auto"/>
        <w:ind w:left="0" w:leftChars="0" w:firstLine="0" w:firstLineChars="0"/>
        <w:rPr>
          <w:rFonts w:hint="eastAsia" w:ascii="仿宋" w:hAnsi="仿宋" w:eastAsia="仿宋" w:cs="仿宋"/>
          <w:color w:val="auto"/>
          <w:szCs w:val="24"/>
          <w:highlight w:val="none"/>
        </w:rPr>
      </w:pPr>
    </w:p>
    <w:p w14:paraId="5E20B264">
      <w:pPr>
        <w:spacing w:before="120" w:line="360" w:lineRule="auto"/>
        <w:rPr>
          <w:rFonts w:hint="eastAsia" w:ascii="仿宋" w:hAnsi="仿宋" w:eastAsia="仿宋" w:cs="仿宋"/>
          <w:color w:val="auto"/>
          <w:sz w:val="24"/>
          <w:highlight w:val="none"/>
        </w:rPr>
      </w:pPr>
    </w:p>
    <w:p w14:paraId="4C210B94">
      <w:pPr>
        <w:spacing w:before="120" w:line="360" w:lineRule="auto"/>
        <w:ind w:left="96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086537C6">
      <w:pPr>
        <w:pStyle w:val="35"/>
        <w:spacing w:before="120" w:line="360" w:lineRule="auto"/>
        <w:rPr>
          <w:rFonts w:hint="eastAsia" w:ascii="仿宋" w:hAnsi="仿宋" w:eastAsia="仿宋" w:cs="仿宋"/>
          <w:color w:val="auto"/>
          <w:szCs w:val="24"/>
          <w:highlight w:val="none"/>
        </w:rPr>
      </w:pPr>
    </w:p>
    <w:p w14:paraId="40376BF7">
      <w:pPr>
        <w:pStyle w:val="35"/>
        <w:spacing w:before="120" w:line="360" w:lineRule="auto"/>
        <w:rPr>
          <w:rFonts w:hint="eastAsia" w:ascii="仿宋" w:hAnsi="仿宋" w:eastAsia="仿宋" w:cs="仿宋"/>
          <w:color w:val="auto"/>
          <w:szCs w:val="24"/>
          <w:highlight w:val="none"/>
        </w:rPr>
      </w:pPr>
    </w:p>
    <w:p w14:paraId="1BA0BE7D">
      <w:pPr>
        <w:spacing w:line="360" w:lineRule="auto"/>
        <w:rPr>
          <w:rFonts w:hint="eastAsia" w:ascii="仿宋" w:hAnsi="仿宋" w:eastAsia="仿宋" w:cs="仿宋"/>
          <w:color w:val="auto"/>
          <w:sz w:val="24"/>
          <w:highlight w:val="none"/>
        </w:rPr>
      </w:pPr>
    </w:p>
    <w:p w14:paraId="7FBCF044">
      <w:pPr>
        <w:spacing w:before="120" w:line="600" w:lineRule="auto"/>
        <w:ind w:left="96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5C0AB232">
      <w:pPr>
        <w:spacing w:before="120" w:line="600" w:lineRule="auto"/>
        <w:ind w:left="96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2410116F">
      <w:pPr>
        <w:spacing w:before="120" w:line="600" w:lineRule="auto"/>
        <w:ind w:firstLine="1680" w:firstLineChars="700"/>
        <w:rPr>
          <w:rFonts w:hint="eastAsia" w:ascii="仿宋" w:hAnsi="仿宋" w:eastAsia="仿宋" w:cs="仿宋"/>
          <w:color w:val="auto"/>
          <w:sz w:val="24"/>
          <w:highlight w:val="non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6E7F0A76">
      <w:pPr>
        <w:spacing w:before="120" w:line="600" w:lineRule="auto"/>
        <w:ind w:firstLine="1680" w:firstLineChars="700"/>
        <w:rPr>
          <w:rFonts w:hint="eastAsia" w:ascii="仿宋" w:hAnsi="仿宋" w:eastAsia="仿宋" w:cs="仿宋"/>
          <w:color w:val="auto"/>
          <w:sz w:val="24"/>
          <w:highlight w:val="non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3329DEDD">
      <w:pPr>
        <w:keepNext w:val="0"/>
        <w:keepLines w:val="0"/>
        <w:pageBreakBefore w:val="0"/>
        <w:widowControl/>
        <w:shd w:val="clear"/>
        <w:kinsoku/>
        <w:wordWrap/>
        <w:overflowPunct/>
        <w:topLinePunct w:val="0"/>
        <w:autoSpaceDE/>
        <w:autoSpaceDN/>
        <w:bidi w:val="0"/>
        <w:adjustRightInd/>
        <w:snapToGrid w:val="0"/>
        <w:spacing w:line="360" w:lineRule="auto"/>
        <w:textAlignment w:val="auto"/>
        <w:rPr>
          <w:rFonts w:hint="default" w:ascii="宋体" w:hAnsi="宋体" w:eastAsia="宋体" w:cs="宋体"/>
          <w:color w:val="auto"/>
          <w:szCs w:val="21"/>
          <w:highlight w:val="none"/>
          <w:lang w:val="en-US" w:eastAsia="zh-CN"/>
        </w:rPr>
      </w:pPr>
      <w:r>
        <w:rPr>
          <w:rFonts w:hint="eastAsia" w:ascii="仿宋" w:hAnsi="仿宋" w:eastAsia="仿宋" w:cs="仿宋"/>
          <w:color w:val="auto"/>
          <w:sz w:val="24"/>
          <w:highlight w:val="none"/>
          <w:u w:val="single"/>
          <w:lang w:val="zh-CN"/>
        </w:rPr>
        <w:br w:type="page"/>
      </w:r>
      <w:r>
        <w:rPr>
          <w:rFonts w:hint="eastAsia" w:ascii="宋体" w:hAnsi="宋体" w:cs="宋体"/>
          <w:b/>
          <w:bCs/>
          <w:color w:val="auto"/>
          <w:szCs w:val="21"/>
          <w:highlight w:val="none"/>
        </w:rPr>
        <w:t>甲方</w:t>
      </w:r>
      <w:r>
        <w:rPr>
          <w:rFonts w:hint="eastAsia" w:ascii="宋体" w:hAnsi="宋体" w:cs="宋体"/>
          <w:b/>
          <w:color w:val="auto"/>
          <w:szCs w:val="21"/>
          <w:highlight w:val="none"/>
        </w:rPr>
        <w:t>（全称）</w:t>
      </w:r>
      <w:r>
        <w:rPr>
          <w:rFonts w:hint="eastAsia" w:ascii="宋体" w:hAnsi="宋体" w:cs="宋体"/>
          <w:b/>
          <w:bCs/>
          <w:color w:val="auto"/>
          <w:szCs w:val="21"/>
          <w:highlight w:val="none"/>
        </w:rPr>
        <w:t>：</w:t>
      </w:r>
      <w:r>
        <w:rPr>
          <w:rFonts w:hint="eastAsia" w:ascii="宋体" w:hAnsi="宋体" w:cs="宋体"/>
          <w:color w:val="auto"/>
          <w:szCs w:val="21"/>
          <w:highlight w:val="none"/>
          <w:u w:val="single"/>
        </w:rPr>
        <w:t>宁波名新置业有限</w:t>
      </w:r>
      <w:r>
        <w:rPr>
          <w:rFonts w:hint="eastAsia" w:ascii="宋体" w:hAnsi="宋体" w:cs="宋体"/>
          <w:color w:val="auto"/>
          <w:szCs w:val="21"/>
          <w:highlight w:val="none"/>
          <w:u w:val="single"/>
          <w:lang w:val="en-US" w:eastAsia="zh-CN"/>
        </w:rPr>
        <w:t xml:space="preserve">公司          </w:t>
      </w:r>
    </w:p>
    <w:p w14:paraId="09872C1E">
      <w:pPr>
        <w:keepNext w:val="0"/>
        <w:keepLines w:val="0"/>
        <w:pageBreakBefore w:val="0"/>
        <w:widowControl/>
        <w:shd w:val="clear"/>
        <w:kinsoku/>
        <w:wordWrap/>
        <w:overflowPunct/>
        <w:topLinePunct w:val="0"/>
        <w:autoSpaceDE/>
        <w:autoSpaceDN/>
        <w:bidi w:val="0"/>
        <w:adjustRightInd/>
        <w:snapToGrid w:val="0"/>
        <w:spacing w:line="360" w:lineRule="auto"/>
        <w:textAlignment w:val="auto"/>
        <w:rPr>
          <w:rFonts w:ascii="宋体" w:hAnsi="宋体" w:cs="宋体"/>
          <w:b/>
          <w:color w:val="auto"/>
          <w:szCs w:val="21"/>
          <w:highlight w:val="none"/>
          <w:u w:val="single"/>
        </w:rPr>
      </w:pPr>
      <w:r>
        <w:rPr>
          <w:rFonts w:hint="eastAsia" w:ascii="宋体" w:hAnsi="宋体" w:cs="宋体"/>
          <w:b/>
          <w:color w:val="auto"/>
          <w:szCs w:val="21"/>
          <w:highlight w:val="none"/>
        </w:rPr>
        <w:t>乙方（全称）：</w:t>
      </w:r>
      <w:r>
        <w:rPr>
          <w:rFonts w:hint="eastAsia" w:ascii="宋体" w:hAnsi="宋体" w:cs="宋体"/>
          <w:b/>
          <w:color w:val="auto"/>
          <w:szCs w:val="21"/>
          <w:highlight w:val="none"/>
          <w:u w:val="single"/>
        </w:rPr>
        <w:t xml:space="preserve">                              </w:t>
      </w:r>
    </w:p>
    <w:p w14:paraId="566E7A3F">
      <w:pPr>
        <w:keepNext w:val="0"/>
        <w:keepLines w:val="0"/>
        <w:pageBreakBefore w:val="0"/>
        <w:widowControl/>
        <w:shd w:val="clear"/>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根据《中华人民共和国政府采购法》《中华人民共和国民法典》《中华人民共和国建筑法》及其他相关法律、行政法规，遵循平等、自愿、公平和诚实信用的原则，各方就</w:t>
      </w:r>
      <w:r>
        <w:rPr>
          <w:rFonts w:hint="eastAsia" w:ascii="宋体" w:hAnsi="宋体" w:cs="宋体"/>
          <w:color w:val="auto"/>
          <w:szCs w:val="21"/>
          <w:highlight w:val="none"/>
          <w:u w:val="single"/>
          <w:lang w:eastAsia="zh-CN"/>
        </w:rPr>
        <w:t>奉化区FH61-01-51地块建设项目桩基检测项目</w:t>
      </w:r>
      <w:r>
        <w:rPr>
          <w:rFonts w:hint="eastAsia" w:ascii="宋体" w:hAnsi="宋体" w:cs="宋体"/>
          <w:color w:val="auto"/>
          <w:szCs w:val="21"/>
          <w:highlight w:val="none"/>
        </w:rPr>
        <w:t>协商一致，订立本合同。</w:t>
      </w:r>
    </w:p>
    <w:p w14:paraId="6EFE7FAA">
      <w:pPr>
        <w:keepNext w:val="0"/>
        <w:keepLines w:val="0"/>
        <w:pageBreakBefore w:val="0"/>
        <w:widowControl/>
        <w:shd w:val="clear"/>
        <w:kinsoku/>
        <w:wordWrap/>
        <w:overflowPunct/>
        <w:topLinePunct w:val="0"/>
        <w:autoSpaceDE/>
        <w:autoSpaceDN/>
        <w:bidi w:val="0"/>
        <w:adjustRightInd/>
        <w:snapToGrid w:val="0"/>
        <w:spacing w:line="360" w:lineRule="auto"/>
        <w:ind w:firstLine="422" w:firstLineChars="200"/>
        <w:jc w:val="center"/>
        <w:textAlignment w:val="auto"/>
        <w:rPr>
          <w:rFonts w:ascii="宋体" w:hAnsi="宋体" w:cs="宋体"/>
          <w:b/>
          <w:color w:val="auto"/>
          <w:szCs w:val="21"/>
          <w:highlight w:val="none"/>
        </w:rPr>
      </w:pPr>
      <w:r>
        <w:rPr>
          <w:rFonts w:hint="eastAsia" w:ascii="宋体" w:hAnsi="宋体" w:cs="宋体"/>
          <w:b/>
          <w:color w:val="auto"/>
          <w:szCs w:val="21"/>
          <w:highlight w:val="none"/>
        </w:rPr>
        <w:t>第一条</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工程概况</w:t>
      </w:r>
    </w:p>
    <w:p w14:paraId="70F60F09">
      <w:pPr>
        <w:pStyle w:val="18"/>
        <w:keepNext w:val="0"/>
        <w:keepLines w:val="0"/>
        <w:pageBreakBefore w:val="0"/>
        <w:shd w:val="clear"/>
        <w:kinsoku/>
        <w:wordWrap/>
        <w:overflowPunct/>
        <w:topLinePunct w:val="0"/>
        <w:autoSpaceDE/>
        <w:autoSpaceDN/>
        <w:bidi w:val="0"/>
        <w:adjustRightInd/>
        <w:snapToGrid w:val="0"/>
        <w:spacing w:before="0" w:beforeAutospacing="0" w:after="0" w:afterAutospacing="0" w:line="360" w:lineRule="auto"/>
        <w:ind w:firstLine="420" w:firstLineChars="200"/>
        <w:textAlignment w:val="auto"/>
        <w:rPr>
          <w:rFonts w:hint="eastAsia" w:ascii="宋体" w:hAnsi="宋体" w:eastAsia="宋体" w:cs="宋体"/>
          <w:color w:val="auto"/>
          <w:kern w:val="2"/>
          <w:sz w:val="21"/>
          <w:szCs w:val="21"/>
          <w:highlight w:val="none"/>
          <w:u w:val="single"/>
          <w:lang w:val="zh-CN" w:eastAsia="zh-CN"/>
        </w:rPr>
      </w:pPr>
      <w:r>
        <w:rPr>
          <w:rFonts w:hint="eastAsia" w:ascii="宋体" w:hAnsi="宋体" w:eastAsia="宋体" w:cs="宋体"/>
          <w:color w:val="auto"/>
          <w:sz w:val="21"/>
          <w:szCs w:val="21"/>
          <w:highlight w:val="none"/>
        </w:rPr>
        <w:t>1.1 工程名称：</w:t>
      </w:r>
      <w:r>
        <w:rPr>
          <w:rFonts w:hint="eastAsia" w:ascii="宋体" w:hAnsi="宋体" w:eastAsia="宋体" w:cs="宋体"/>
          <w:color w:val="auto"/>
          <w:sz w:val="21"/>
          <w:szCs w:val="21"/>
          <w:highlight w:val="none"/>
          <w:u w:val="single"/>
          <w:lang w:eastAsia="zh-CN"/>
        </w:rPr>
        <w:t>奉化区FH61-01-51地块建设项目桩基检测项目</w:t>
      </w:r>
    </w:p>
    <w:p w14:paraId="30995338">
      <w:pPr>
        <w:pStyle w:val="18"/>
        <w:keepNext w:val="0"/>
        <w:keepLines w:val="0"/>
        <w:pageBreakBefore w:val="0"/>
        <w:shd w:val="clear"/>
        <w:kinsoku/>
        <w:wordWrap/>
        <w:overflowPunct/>
        <w:topLinePunct w:val="0"/>
        <w:autoSpaceDE/>
        <w:autoSpaceDN/>
        <w:bidi w:val="0"/>
        <w:adjustRightInd/>
        <w:snapToGrid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1.2 工程建设地点：</w:t>
      </w:r>
      <w:r>
        <w:rPr>
          <w:rFonts w:hint="eastAsia" w:ascii="宋体" w:hAnsi="宋体" w:eastAsia="宋体" w:cs="宋体"/>
          <w:color w:val="auto"/>
          <w:sz w:val="21"/>
          <w:szCs w:val="21"/>
          <w:highlight w:val="none"/>
          <w:u w:val="single"/>
          <w:lang w:val="en-US" w:eastAsia="zh-CN"/>
        </w:rPr>
        <w:t>奉化区溪口镇湖山区块，东至规划新城东路，南至弥勒大道防护绿地，西至规划渠道防护绿地，北至湖山中路</w:t>
      </w:r>
    </w:p>
    <w:p w14:paraId="1A7396A3">
      <w:pPr>
        <w:keepNext w:val="0"/>
        <w:keepLines w:val="0"/>
        <w:pageBreakBefore w:val="0"/>
        <w:widowControl/>
        <w:shd w:val="clea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sz w:val="21"/>
          <w:szCs w:val="21"/>
          <w:highlight w:val="none"/>
        </w:rPr>
        <w:t>1.3 工程规模、特征：</w:t>
      </w:r>
      <w:r>
        <w:rPr>
          <w:rFonts w:hint="eastAsia" w:ascii="宋体" w:hAnsi="宋体" w:eastAsia="宋体" w:cs="宋体"/>
          <w:color w:val="auto"/>
          <w:kern w:val="0"/>
          <w:sz w:val="21"/>
          <w:szCs w:val="21"/>
          <w:highlight w:val="none"/>
          <w:u w:val="single"/>
          <w:lang w:val="en-US" w:eastAsia="zh-CN" w:bidi="ar-SA"/>
        </w:rPr>
        <w:t>项用地性质为一类居住、二类居住和服务设施综合用地，适建一类、二类住宅和相关配套服务设施。住宅计容面积约78000平方米，其中一类住宅计容面积约40000平方米，相关计容配套面积约13327平方米，地下总建筑面积约65183平方米，地下空间主要安排人防、地下停车、消防等配套设施。</w:t>
      </w:r>
    </w:p>
    <w:p w14:paraId="3F6254CF">
      <w:pPr>
        <w:keepNext w:val="0"/>
        <w:keepLines w:val="0"/>
        <w:pageBreakBefore w:val="0"/>
        <w:widowControl/>
        <w:shd w:val="clea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 </w:t>
      </w:r>
      <w:r>
        <w:rPr>
          <w:rFonts w:hint="eastAsia" w:ascii="宋体" w:hAnsi="宋体" w:eastAsia="宋体" w:cs="宋体"/>
          <w:color w:val="auto"/>
          <w:sz w:val="21"/>
          <w:szCs w:val="21"/>
          <w:highlight w:val="none"/>
          <w:u w:val="single"/>
        </w:rPr>
        <w:t>桩基检测</w:t>
      </w:r>
      <w:r>
        <w:rPr>
          <w:rFonts w:hint="eastAsia" w:ascii="宋体" w:hAnsi="宋体" w:eastAsia="宋体" w:cs="宋体"/>
          <w:color w:val="auto"/>
          <w:sz w:val="21"/>
          <w:szCs w:val="21"/>
          <w:highlight w:val="none"/>
        </w:rPr>
        <w:t>任务（内容）与技术要求：</w:t>
      </w:r>
      <w:r>
        <w:rPr>
          <w:rFonts w:hint="eastAsia" w:ascii="宋体" w:hAnsi="宋体" w:eastAsia="宋体" w:cs="宋体"/>
          <w:color w:val="auto"/>
          <w:sz w:val="21"/>
          <w:szCs w:val="21"/>
          <w:highlight w:val="none"/>
          <w:u w:val="single"/>
        </w:rPr>
        <w:t>根据</w:t>
      </w:r>
      <w:r>
        <w:rPr>
          <w:rFonts w:hint="eastAsia" w:ascii="宋体" w:hAnsi="宋体" w:eastAsia="宋体" w:cs="宋体"/>
          <w:color w:val="auto"/>
          <w:sz w:val="21"/>
          <w:szCs w:val="21"/>
          <w:highlight w:val="none"/>
          <w:u w:val="single"/>
          <w:lang w:val="en-US" w:eastAsia="zh-CN"/>
        </w:rPr>
        <w:t>采购</w:t>
      </w:r>
      <w:r>
        <w:rPr>
          <w:rFonts w:hint="eastAsia" w:ascii="宋体" w:hAnsi="宋体" w:eastAsia="宋体" w:cs="宋体"/>
          <w:color w:val="auto"/>
          <w:sz w:val="21"/>
          <w:szCs w:val="21"/>
          <w:highlight w:val="none"/>
          <w:u w:val="single"/>
        </w:rPr>
        <w:t xml:space="preserve">文件要求及符合国家法律法规 </w:t>
      </w:r>
    </w:p>
    <w:p w14:paraId="56CAC340">
      <w:pPr>
        <w:keepNext w:val="0"/>
        <w:keepLines w:val="0"/>
        <w:pageBreakBefore w:val="0"/>
        <w:widowControl/>
        <w:shd w:val="clea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r>
        <w:rPr>
          <w:rFonts w:hint="eastAsia" w:ascii="宋体" w:hAnsi="宋体" w:eastAsia="宋体" w:cs="宋体"/>
          <w:color w:val="auto"/>
          <w:sz w:val="21"/>
          <w:szCs w:val="21"/>
          <w:highlight w:val="none"/>
          <w:u w:val="single"/>
        </w:rPr>
        <w:t>提供奉化区建筑工程质量监督部门认可的检测报告</w:t>
      </w:r>
      <w:r>
        <w:rPr>
          <w:rFonts w:hint="eastAsia" w:ascii="宋体" w:hAnsi="宋体" w:eastAsia="宋体" w:cs="宋体"/>
          <w:color w:val="auto"/>
          <w:sz w:val="21"/>
          <w:szCs w:val="21"/>
          <w:highlight w:val="none"/>
        </w:rPr>
        <w:t>。</w:t>
      </w:r>
    </w:p>
    <w:p w14:paraId="67CB9B5B">
      <w:pPr>
        <w:keepNext w:val="0"/>
        <w:keepLines w:val="0"/>
        <w:pageBreakBefore w:val="0"/>
        <w:widowControl/>
        <w:shd w:val="clea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安全要求：</w:t>
      </w:r>
      <w:r>
        <w:rPr>
          <w:rFonts w:hint="eastAsia" w:ascii="宋体" w:hAnsi="宋体" w:eastAsia="宋体" w:cs="宋体"/>
          <w:color w:val="auto"/>
          <w:sz w:val="21"/>
          <w:szCs w:val="21"/>
          <w:highlight w:val="none"/>
          <w:u w:val="single"/>
        </w:rPr>
        <w:t>合格</w:t>
      </w:r>
    </w:p>
    <w:p w14:paraId="35B34806">
      <w:pPr>
        <w:keepNext w:val="0"/>
        <w:keepLines w:val="0"/>
        <w:pageBreakBefore w:val="0"/>
        <w:widowControl/>
        <w:shd w:val="clea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检测工作量：</w:t>
      </w:r>
      <w:r>
        <w:rPr>
          <w:rFonts w:hint="eastAsia" w:ascii="宋体" w:hAnsi="宋体" w:eastAsia="宋体" w:cs="宋体"/>
          <w:color w:val="auto"/>
          <w:sz w:val="21"/>
          <w:szCs w:val="21"/>
          <w:highlight w:val="none"/>
          <w:u w:val="single"/>
        </w:rPr>
        <w:t>具体工作量详见第三条，因工程需要调整检测工作量，检测方须无条件配合完成。固定全费用综合单价，工程量按实计算</w:t>
      </w:r>
      <w:r>
        <w:rPr>
          <w:rFonts w:hint="eastAsia" w:ascii="宋体" w:hAnsi="宋体" w:eastAsia="宋体" w:cs="宋体"/>
          <w:color w:val="auto"/>
          <w:sz w:val="21"/>
          <w:szCs w:val="21"/>
          <w:highlight w:val="none"/>
        </w:rPr>
        <w:t>。</w:t>
      </w:r>
    </w:p>
    <w:p w14:paraId="14A916CD">
      <w:pPr>
        <w:pStyle w:val="54"/>
        <w:keepNext w:val="0"/>
        <w:keepLines w:val="0"/>
        <w:pageBreakBefore w:val="0"/>
        <w:widowControl/>
        <w:shd w:val="clea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 工期要求为：</w:t>
      </w:r>
      <w:r>
        <w:rPr>
          <w:rFonts w:hint="eastAsia" w:ascii="宋体" w:hAnsi="宋体" w:eastAsia="宋体" w:cs="宋体"/>
          <w:color w:val="auto"/>
          <w:sz w:val="21"/>
          <w:szCs w:val="21"/>
          <w:highlight w:val="none"/>
          <w:u w:val="single"/>
        </w:rPr>
        <w:t>接招标人通知后3天内进场，且进度必须满足总包施工进度要求</w:t>
      </w:r>
      <w:r>
        <w:rPr>
          <w:rFonts w:hint="eastAsia" w:ascii="宋体" w:hAnsi="宋体" w:eastAsia="宋体" w:cs="宋体"/>
          <w:bCs/>
          <w:color w:val="auto"/>
          <w:sz w:val="21"/>
          <w:szCs w:val="21"/>
          <w:highlight w:val="none"/>
          <w:u w:val="single"/>
        </w:rPr>
        <w:t>。</w:t>
      </w:r>
    </w:p>
    <w:p w14:paraId="4A6D46FD">
      <w:pPr>
        <w:pStyle w:val="54"/>
        <w:keepNext w:val="0"/>
        <w:keepLines w:val="0"/>
        <w:pageBreakBefore w:val="0"/>
        <w:widowControl/>
        <w:shd w:val="clea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 服务要求：</w:t>
      </w:r>
      <w:r>
        <w:rPr>
          <w:rFonts w:hint="eastAsia" w:ascii="宋体" w:hAnsi="宋体" w:eastAsia="宋体" w:cs="宋体"/>
          <w:color w:val="auto"/>
          <w:sz w:val="21"/>
          <w:szCs w:val="21"/>
          <w:highlight w:val="none"/>
          <w:u w:val="single"/>
        </w:rPr>
        <w:t>检测内容及数量为暂定，乙方须综合考虑工程现场情况、设计、工期要求、服务范围、现行相关规范规程及文件、质监站等主管部门要求及相关风险因素等情况进行检测，提交符合奉化区建筑工程质量监督管理部门认可的检测报告</w:t>
      </w:r>
      <w:r>
        <w:rPr>
          <w:rFonts w:hint="eastAsia" w:ascii="宋体" w:hAnsi="宋体" w:eastAsia="宋体" w:cs="宋体"/>
          <w:color w:val="auto"/>
          <w:sz w:val="21"/>
          <w:szCs w:val="21"/>
          <w:highlight w:val="none"/>
        </w:rPr>
        <w:t>。</w:t>
      </w:r>
    </w:p>
    <w:p w14:paraId="789DA404">
      <w:pPr>
        <w:pStyle w:val="54"/>
        <w:keepNext w:val="0"/>
        <w:keepLines w:val="0"/>
        <w:pageBreakBefore w:val="0"/>
        <w:widowControl/>
        <w:shd w:val="clea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设备要求：根据施工进度要求，中标人需配备2套及以上检测设备，检测完成后需及时出具检测报告。</w:t>
      </w:r>
    </w:p>
    <w:p w14:paraId="0EE239C8">
      <w:pPr>
        <w:pStyle w:val="54"/>
        <w:keepNext w:val="0"/>
        <w:keepLines w:val="0"/>
        <w:pageBreakBefore w:val="0"/>
        <w:widowControl/>
        <w:shd w:val="clea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成果要求：各项桩基检测需出具中间临时报告，要求在每批次检测完毕后2天内提供，现场检测完成后5天内提供满足奉化区质监站备案要求的《基桩检测报告》数量暂定为六份。具体桩基检测报告份数可按采购人的实际需求进行调整，中标人不得向采购人另收工本费。</w:t>
      </w:r>
    </w:p>
    <w:p w14:paraId="66A502FD">
      <w:pPr>
        <w:pStyle w:val="54"/>
        <w:keepNext w:val="0"/>
        <w:keepLines w:val="0"/>
        <w:pageBreakBefore w:val="0"/>
        <w:widowControl/>
        <w:shd w:val="clea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1.10</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按照采购人提供的有关项目的经过批准的设计文件和满足施工图设计要求的勘察资料，以及有关的技术资料，进行协助（包括试验数量、比例和分布位置等）；按照验收规范、技术标准、规程及其他相关的规定，结合施工图设计具体要求等，满足试验技术要求。</w:t>
      </w:r>
    </w:p>
    <w:p w14:paraId="78C7CA06">
      <w:pPr>
        <w:pStyle w:val="54"/>
        <w:keepNext w:val="0"/>
        <w:keepLines w:val="0"/>
        <w:pageBreakBefore w:val="0"/>
        <w:widowControl/>
        <w:shd w:val="clea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中标人对所承担试验项目在试验前应进行现场踏勘，解决试验过程中可能出现的有关问题，按照现行规范、标准、规程和技术条例，提供试验仪器及设备，配备现场设备的安装和试验，进行现场试验；</w:t>
      </w:r>
    </w:p>
    <w:p w14:paraId="450E6F33">
      <w:pPr>
        <w:pStyle w:val="54"/>
        <w:keepNext w:val="0"/>
        <w:keepLines w:val="0"/>
        <w:pageBreakBefore w:val="0"/>
        <w:widowControl/>
        <w:shd w:val="clea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1.12</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中标人应对检测工作的质量负责，并对现场试验情况及检测报告内容保密。</w:t>
      </w:r>
    </w:p>
    <w:p w14:paraId="7E58BA7D">
      <w:pPr>
        <w:pStyle w:val="54"/>
        <w:keepNext w:val="0"/>
        <w:keepLines w:val="0"/>
        <w:pageBreakBefore w:val="0"/>
        <w:widowControl/>
        <w:shd w:val="clea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1.13</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招标的桩基检测内容进行设计优化和甩项后导致工程量减少，中标人应无条件服从,费用不予补偿。</w:t>
      </w:r>
    </w:p>
    <w:p w14:paraId="26A56BF8">
      <w:pPr>
        <w:pStyle w:val="54"/>
        <w:keepNext w:val="0"/>
        <w:keepLines w:val="0"/>
        <w:pageBreakBefore w:val="0"/>
        <w:widowControl/>
        <w:shd w:val="clea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1.14</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根据政策文件及项目实际需求，甲方有权取消相关检测内容，乙方对此予以理解，并不提出费用索赔。</w:t>
      </w:r>
    </w:p>
    <w:p w14:paraId="21EC52AB">
      <w:pPr>
        <w:keepNext w:val="0"/>
        <w:keepLines w:val="0"/>
        <w:pageBreakBefore w:val="0"/>
        <w:shd w:val="clear"/>
        <w:kinsoku/>
        <w:wordWrap/>
        <w:overflowPunct/>
        <w:topLinePunct w:val="0"/>
        <w:autoSpaceDE/>
        <w:autoSpaceDN/>
        <w:bidi w:val="0"/>
        <w:adjustRightInd/>
        <w:snapToGrid w:val="0"/>
        <w:spacing w:line="360" w:lineRule="auto"/>
        <w:ind w:firstLine="422"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第二条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合同文件的优先次序</w:t>
      </w:r>
    </w:p>
    <w:p w14:paraId="4F1430FA">
      <w:pPr>
        <w:keepNext w:val="0"/>
        <w:keepLines w:val="0"/>
        <w:pageBreakBefore w:val="0"/>
        <w:shd w:val="clea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组成及解释的优先顺序：（1）本合同书（包括补充协议、有关工程的洽商、变更等书面协议或文件）；（2）中标通知书；（3）招标文件、附件及招标补充说明；（4）投标文件及其附件；（5）标准、规范及有关技术文件；（6）工程报价单或预算书。</w:t>
      </w:r>
    </w:p>
    <w:p w14:paraId="272FD3E6">
      <w:pPr>
        <w:keepNext w:val="0"/>
        <w:keepLines w:val="0"/>
        <w:pageBreakBefore w:val="0"/>
        <w:shd w:val="clea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上述各项合同文件包括双方就该项目合同文件所作出的补充和修改，属于同一类内容的合同文件应以最新签署的为准。</w:t>
      </w:r>
    </w:p>
    <w:p w14:paraId="18335114">
      <w:pPr>
        <w:keepNext w:val="0"/>
        <w:keepLines w:val="0"/>
        <w:pageBreakBefore w:val="0"/>
        <w:shd w:val="clea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上述文件互相补充和解释，如有不明确或不一致之处，以上述次序在先者为准。</w:t>
      </w:r>
    </w:p>
    <w:p w14:paraId="27E562F1">
      <w:pPr>
        <w:keepNext w:val="0"/>
        <w:keepLines w:val="0"/>
        <w:pageBreakBefore w:val="0"/>
        <w:shd w:val="clear"/>
        <w:kinsoku/>
        <w:wordWrap/>
        <w:overflowPunct/>
        <w:topLinePunct w:val="0"/>
        <w:autoSpaceDE/>
        <w:autoSpaceDN/>
        <w:bidi w:val="0"/>
        <w:adjustRightInd/>
        <w:snapToGrid w:val="0"/>
        <w:spacing w:line="360" w:lineRule="auto"/>
        <w:ind w:firstLine="422" w:firstLineChars="200"/>
        <w:jc w:val="center"/>
        <w:textAlignment w:val="auto"/>
        <w:rPr>
          <w:rFonts w:hint="eastAsia" w:ascii="宋体" w:hAnsi="宋体" w:cs="宋体"/>
          <w:color w:val="auto"/>
          <w:kern w:val="0"/>
          <w:sz w:val="21"/>
          <w:szCs w:val="21"/>
          <w:highlight w:val="none"/>
          <w:lang w:val="en-US" w:eastAsia="zh-CN" w:bidi="ar-SA"/>
        </w:rPr>
      </w:pPr>
      <w:r>
        <w:rPr>
          <w:rFonts w:hint="eastAsia" w:ascii="宋体" w:hAnsi="宋体" w:cs="宋体"/>
          <w:b/>
          <w:bCs/>
          <w:color w:val="auto"/>
          <w:szCs w:val="21"/>
          <w:highlight w:val="none"/>
        </w:rPr>
        <w:t>第三条</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检测工程量及综合单价说明</w:t>
      </w:r>
    </w:p>
    <w:p w14:paraId="70D8224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检测工程量及综合单价清单作为合同附件后附。</w:t>
      </w:r>
    </w:p>
    <w:p w14:paraId="404AA9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（1）本工程投标报价采用固定全费用综合单价（含管理费、利润、规费及税金等检测所需的一切费用，综合单价一次包干，结算时该综合单价不变）方式。</w:t>
      </w:r>
    </w:p>
    <w:p w14:paraId="1184D5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（2）本次报价包括现场工作在内的一切检测相关的费用，含堆载前的临时支撑、桩头处理、工作面开挖、现场测试、检测用工具或材料、机械进出场费、整理资料并提交符合现行质监站要求的检测报告等。</w:t>
      </w:r>
    </w:p>
    <w:p w14:paraId="247785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检测桩型及桩位位置等根据设计图纸确定，中标后，按投标人所报各项检测综合单价一次包干，结算时综合单价不变，各综合单价不因桩型、桩长、桩径、桩顶标高、检测数量变化、位置、市场价格波动、政策变化及所有不可预见等因素改变而增减。</w:t>
      </w:r>
    </w:p>
    <w:p w14:paraId="0B8923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（4）本工程工期较紧，投标人在报价时应充分考虑多根桩同时检测的可能性，一旦建设单位要求同时检测，投标人不得因此而拒绝或要求增加任何费用。</w:t>
      </w:r>
    </w:p>
    <w:p w14:paraId="2D0659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各投标人在投标报价时须充分考虑多次进出场检测所造成的检测费用（如：人工消耗、机械搬运、配重等材料损耗等等）的增加，中标后，因多次进出场检测所增加的费用建设单位不予补偿，结算仍按投标时所报综合单价一次性包干。</w:t>
      </w:r>
    </w:p>
    <w:p w14:paraId="459FCD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各投标人需考虑到试桩施工完成后进场检测时的场地情况可能无法满足检测要求及检测机械设备（包括转运用的汽车、汽车吊）的移动，检测时可能需要对场地进行整理或铺钢板或填塘碴，因场地原因所增加的费用由投标人在投标报价时综合考虑，结算时不作调整。</w:t>
      </w:r>
    </w:p>
    <w:p w14:paraId="6E432B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桩基检测进场的材料、设备等，由中标人自行处置、保管，中标人在进场后，需充分考虑与总包单位工作面交叉，上报切实可行的检测实施方案（专用），经审批后，严格按方案实行不得擅自变更；待各项桩基检测完毕后，其检测用材料、设备等须在2日内全部运离现场。</w:t>
      </w:r>
    </w:p>
    <w:p w14:paraId="765D0F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（8）中标单位需根据自身的检测设备情况，确认桩头处理方案，接到采购人要求时，需到现场指导施工单位制作桩头。中标单位需在基桩检测前上报施工检测方案，经采购人、设计单位等认可后方可实施。</w:t>
      </w:r>
    </w:p>
    <w:p w14:paraId="3C081F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（9）每根检测桩所需的检测架覆盖范围内现有地基承载力、平整度等若不能满足检测要求，中标人需要自行处理至符合检测要求为止，其相关费用在投标报价中应予考虑。</w:t>
      </w:r>
    </w:p>
    <w:p w14:paraId="28C285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（10）检测所需要电力，投标人自行解决，费用已经包含在投标报价之中。</w:t>
      </w:r>
    </w:p>
    <w:p w14:paraId="6379AE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（11）中标人应遵守工程建设安全生产管理规定，严格按安全标准组织检测、服从总包单位安全文明管理。因中标人的原因造成安全事故的一切责任和因此发生的费用由中标人承担，与建设单位无涉。</w:t>
      </w:r>
    </w:p>
    <w:p w14:paraId="0552A5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（12）检测做完之后，开挖场地要求平整到检测前的水平。</w:t>
      </w:r>
    </w:p>
    <w:p w14:paraId="7C4D43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（13）上述各项检测综合单价均含管理费、利润、规费及税金等检测所需的一切费用，投标人一经确定，其报价将作为合同签订和工程结算依据，所报各项检测综合单价一次性包干。</w:t>
      </w:r>
    </w:p>
    <w:p w14:paraId="6E4639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（14）采购人（或其他单位）对检测结论有异议的，可由双方共同认可的检测机构复检。复检结论与原检测结论相同，由采购人（或其他单位）支付复检费用；反之，则由中标人承担复检费用。</w:t>
      </w:r>
    </w:p>
    <w:p w14:paraId="403A5DF1">
      <w:pPr>
        <w:pStyle w:val="18"/>
        <w:keepNext w:val="0"/>
        <w:keepLines w:val="0"/>
        <w:pageBreakBefore w:val="0"/>
        <w:widowControl w:val="0"/>
        <w:shd w:val="clear"/>
        <w:kinsoku/>
        <w:wordWrap/>
        <w:overflowPunct/>
        <w:topLinePunct w:val="0"/>
        <w:bidi w:val="0"/>
        <w:snapToGrid/>
        <w:spacing w:before="0" w:beforeAutospacing="0" w:after="0" w:afterAutospacing="0" w:line="360" w:lineRule="auto"/>
        <w:ind w:firstLine="422" w:firstLineChars="200"/>
        <w:jc w:val="center"/>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第四条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color w:val="auto"/>
          <w:sz w:val="21"/>
          <w:szCs w:val="21"/>
          <w:highlight w:val="none"/>
        </w:rPr>
        <w:t>甲方责任</w:t>
      </w:r>
    </w:p>
    <w:p w14:paraId="5667DA25">
      <w:pPr>
        <w:pStyle w:val="18"/>
        <w:keepNext w:val="0"/>
        <w:keepLines w:val="0"/>
        <w:pageBreakBefore w:val="0"/>
        <w:widowControl w:val="0"/>
        <w:shd w:val="clear"/>
        <w:kinsoku/>
        <w:wordWrap/>
        <w:overflowPunct/>
        <w:topLinePunct w:val="0"/>
        <w:bidi w:val="0"/>
        <w:snapToGrid/>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rPr>
        <w:t>甲方委托任务时，必须以书面形式向检测方明确检测任务及技术要求，并提供相关的文件资料。</w:t>
      </w:r>
    </w:p>
    <w:p w14:paraId="4DB837CB">
      <w:pPr>
        <w:pStyle w:val="18"/>
        <w:keepNext w:val="0"/>
        <w:keepLines w:val="0"/>
        <w:pageBreakBefore w:val="0"/>
        <w:widowControl w:val="0"/>
        <w:shd w:val="clear"/>
        <w:kinsoku/>
        <w:wordWrap/>
        <w:overflowPunct/>
        <w:topLinePunct w:val="0"/>
        <w:bidi w:val="0"/>
        <w:snapToGrid/>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rPr>
        <w:t>应向乙方提供经过批准的项目设计文件和满足施工图设计要求的勘察资料等有关技术资料，并对提供资料的时间和可靠性负责。</w:t>
      </w:r>
    </w:p>
    <w:p w14:paraId="210E34BE">
      <w:pPr>
        <w:pStyle w:val="18"/>
        <w:keepNext w:val="0"/>
        <w:keepLines w:val="0"/>
        <w:pageBreakBefore w:val="0"/>
        <w:widowControl w:val="0"/>
        <w:shd w:val="clear"/>
        <w:kinsoku/>
        <w:wordWrap/>
        <w:overflowPunct/>
        <w:topLinePunct w:val="0"/>
        <w:bidi w:val="0"/>
        <w:snapToGrid/>
        <w:spacing w:before="0" w:beforeAutospacing="0" w:after="0" w:afterAutospacing="0"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rPr>
        <w:t>在检测人员进入现场作业时，应负责提供必要的现场工作条件和安全条件。</w:t>
      </w:r>
    </w:p>
    <w:p w14:paraId="1F687D7A">
      <w:pPr>
        <w:pStyle w:val="18"/>
        <w:keepNext w:val="0"/>
        <w:keepLines w:val="0"/>
        <w:pageBreakBefore w:val="0"/>
        <w:widowControl w:val="0"/>
        <w:shd w:val="clear"/>
        <w:kinsoku/>
        <w:wordWrap/>
        <w:overflowPunct/>
        <w:topLinePunct w:val="0"/>
        <w:bidi w:val="0"/>
        <w:snapToGrid/>
        <w:spacing w:before="0" w:beforeAutospacing="0" w:after="0" w:afterAutospacing="0"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委托项目监理人员对检测项目、内容及过程进行现场见证。</w:t>
      </w:r>
    </w:p>
    <w:p w14:paraId="2E5E3DCB">
      <w:pPr>
        <w:pStyle w:val="18"/>
        <w:keepNext w:val="0"/>
        <w:keepLines w:val="0"/>
        <w:pageBreakBefore w:val="0"/>
        <w:widowControl w:val="0"/>
        <w:shd w:val="clear"/>
        <w:kinsoku/>
        <w:wordWrap/>
        <w:overflowPunct/>
        <w:topLinePunct w:val="0"/>
        <w:bidi w:val="0"/>
        <w:snapToGrid/>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按照国家和本市有关规定以及本合同约定，按时足额支付检测费。</w:t>
      </w:r>
    </w:p>
    <w:p w14:paraId="7E788F4B">
      <w:pPr>
        <w:pStyle w:val="18"/>
        <w:keepNext w:val="0"/>
        <w:keepLines w:val="0"/>
        <w:pageBreakBefore w:val="0"/>
        <w:widowControl w:val="0"/>
        <w:shd w:val="clear"/>
        <w:kinsoku/>
        <w:wordWrap/>
        <w:overflowPunct/>
        <w:topLinePunct w:val="0"/>
        <w:bidi w:val="0"/>
        <w:snapToGrid/>
        <w:spacing w:before="0" w:beforeAutospacing="0" w:after="0" w:afterAutospacing="0" w:line="360" w:lineRule="auto"/>
        <w:ind w:firstLine="422" w:firstLineChars="200"/>
        <w:jc w:val="center"/>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第五条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color w:val="auto"/>
          <w:sz w:val="21"/>
          <w:szCs w:val="21"/>
          <w:highlight w:val="none"/>
        </w:rPr>
        <w:t>乙方责任</w:t>
      </w:r>
    </w:p>
    <w:p w14:paraId="01FB9CD4">
      <w:pPr>
        <w:pStyle w:val="55"/>
        <w:keepNext w:val="0"/>
        <w:keepLines w:val="0"/>
        <w:pageBreakBefore w:val="0"/>
        <w:widowControl w:val="0"/>
        <w:shd w:val="clear"/>
        <w:kinsoku/>
        <w:wordWrap/>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照甲方提供的经过批准的有关项目设计文件和满足施工图设计要求的勘察资料，以及有关的技术资料，进行核验（包括检测数量、比例和分布位置等）；按照验收规范、技术标准、规程及其他相关的规定，符合满足检测技术要求。</w:t>
      </w:r>
    </w:p>
    <w:p w14:paraId="0EC609D5">
      <w:pPr>
        <w:pStyle w:val="55"/>
        <w:keepNext w:val="0"/>
        <w:keepLines w:val="0"/>
        <w:pageBreakBefore w:val="0"/>
        <w:widowControl w:val="0"/>
        <w:shd w:val="clear"/>
        <w:kinsoku/>
        <w:wordWrap/>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对所承担的检测项目在检测前应进行现场踏勘，解决检测过程中可能出现的有关问题，按照现行规范、标准、规程和技术条例，提供检测仪器及设备，配备现场设备的安装和检测，进行现场检测（因天气或其他不可抗拒原因影响者顺延）。</w:t>
      </w:r>
    </w:p>
    <w:p w14:paraId="291B86EF">
      <w:pPr>
        <w:pStyle w:val="55"/>
        <w:keepNext w:val="0"/>
        <w:keepLines w:val="0"/>
        <w:pageBreakBefore w:val="0"/>
        <w:widowControl w:val="0"/>
        <w:shd w:val="clear"/>
        <w:kinsoku/>
        <w:wordWrap/>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在资料齐全前提下，根据合同约定，自现场检测完成之日第二天起五个工作日内提供分析检测数据及结果，待每项工作完成后5天内向甲方提供正式报告六份。</w:t>
      </w:r>
    </w:p>
    <w:p w14:paraId="1250E4E9">
      <w:pPr>
        <w:pStyle w:val="55"/>
        <w:keepNext w:val="0"/>
        <w:keepLines w:val="0"/>
        <w:pageBreakBefore w:val="0"/>
        <w:widowControl w:val="0"/>
        <w:shd w:val="clear"/>
        <w:kinsoku/>
        <w:wordWrap/>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对检测工作的质量负责，并对现场检测情况及检测报告内容保密（存在严重质量问题按规定上报者除外）。</w:t>
      </w:r>
    </w:p>
    <w:p w14:paraId="3D5D3D20">
      <w:pPr>
        <w:pStyle w:val="55"/>
        <w:keepNext w:val="0"/>
        <w:keepLines w:val="0"/>
        <w:pageBreakBefore w:val="0"/>
        <w:widowControl w:val="0"/>
        <w:shd w:val="clear"/>
        <w:kinsoku/>
        <w:wordWrap/>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本次检测招标项目可能涉及到乙方后期检测机械及人员的多次进场及退场，由此引起的费用由投标单位自行考虑到相应投标报价中，甲方不另行支付相关费用。</w:t>
      </w:r>
    </w:p>
    <w:p w14:paraId="16109C03">
      <w:pPr>
        <w:pStyle w:val="55"/>
        <w:keepNext w:val="0"/>
        <w:keepLines w:val="0"/>
        <w:pageBreakBefore w:val="0"/>
        <w:widowControl w:val="0"/>
        <w:shd w:val="clear"/>
        <w:kinsoku/>
        <w:wordWrap/>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工程检测期间，乙方应做好消防、防盗等措施，如检测期间发生火灾、盗窃等事情而造成不良结果的，由此所造成的工期拖延、工程质量影响及一切经济损失和纠纷调解均由乙方负责，与甲方无涉。对影响周边建筑物、构筑物、地下管线及产生的扰民现象造成居民投诉的等由此所造成的工期拖延、工程质量影响及一切经济损失和纠纷调解均由乙方负责，与甲方无涉。甲方尽可能为工程进展做好相应的协助配合工作。</w:t>
      </w:r>
    </w:p>
    <w:p w14:paraId="48B24E57">
      <w:pPr>
        <w:pStyle w:val="55"/>
        <w:keepNext w:val="0"/>
        <w:keepLines w:val="0"/>
        <w:pageBreakBefore w:val="0"/>
        <w:widowControl w:val="0"/>
        <w:shd w:val="clear"/>
        <w:kinsoku/>
        <w:wordWrap/>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合同实施期间内，乙方须根据甲方要求及时出具检测简报。</w:t>
      </w:r>
    </w:p>
    <w:p w14:paraId="44567DF0">
      <w:pPr>
        <w:pStyle w:val="55"/>
        <w:keepNext w:val="0"/>
        <w:keepLines w:val="0"/>
        <w:pageBreakBefore w:val="0"/>
        <w:widowControl w:val="0"/>
        <w:shd w:val="clear"/>
        <w:kinsoku/>
        <w:wordWrap/>
        <w:overflowPunct/>
        <w:topLinePunct w:val="0"/>
        <w:bidi w:val="0"/>
        <w:snapToGrid/>
        <w:spacing w:line="360" w:lineRule="auto"/>
        <w:ind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第六条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桩基检测执行标准（按最新现行有效的规范、标准）</w:t>
      </w:r>
    </w:p>
    <w:p w14:paraId="2F3725B4">
      <w:pPr>
        <w:pStyle w:val="55"/>
        <w:keepNext w:val="0"/>
        <w:keepLines w:val="0"/>
        <w:pageBreakBefore w:val="0"/>
        <w:widowControl w:val="0"/>
        <w:shd w:val="clear"/>
        <w:kinsoku/>
        <w:wordWrap/>
        <w:overflowPunct/>
        <w:topLinePunct w:val="0"/>
        <w:bidi w:val="0"/>
        <w:snapToGri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《建筑基桩检测技术规范》（JGJ106-2014)</w:t>
      </w:r>
    </w:p>
    <w:p w14:paraId="02C59254">
      <w:pPr>
        <w:pStyle w:val="55"/>
        <w:keepNext w:val="0"/>
        <w:keepLines w:val="0"/>
        <w:pageBreakBefore w:val="0"/>
        <w:widowControl w:val="0"/>
        <w:shd w:val="clear"/>
        <w:kinsoku/>
        <w:wordWrap/>
        <w:overflowPunct/>
        <w:topLinePunct w:val="0"/>
        <w:bidi w:val="0"/>
        <w:snapToGri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《建筑地基处理技术规范》（JGJ79-2012）</w:t>
      </w:r>
    </w:p>
    <w:p w14:paraId="209D5F02">
      <w:pPr>
        <w:pStyle w:val="55"/>
        <w:keepNext w:val="0"/>
        <w:keepLines w:val="0"/>
        <w:pageBreakBefore w:val="0"/>
        <w:widowControl w:val="0"/>
        <w:shd w:val="clear"/>
        <w:kinsoku/>
        <w:wordWrap/>
        <w:overflowPunct/>
        <w:topLinePunct w:val="0"/>
        <w:bidi w:val="0"/>
        <w:snapToGri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《建筑地基基础工程施工质量验收规范》（GB50202-2002）</w:t>
      </w:r>
    </w:p>
    <w:p w14:paraId="5257F2AE">
      <w:pPr>
        <w:pStyle w:val="55"/>
        <w:keepNext w:val="0"/>
        <w:keepLines w:val="0"/>
        <w:pageBreakBefore w:val="0"/>
        <w:widowControl w:val="0"/>
        <w:shd w:val="clear"/>
        <w:kinsoku/>
        <w:wordWrap/>
        <w:overflowPunct/>
        <w:topLinePunct w:val="0"/>
        <w:bidi w:val="0"/>
        <w:snapToGri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现行的有关国家、地方、行业技术规范、规程和规定</w:t>
      </w:r>
    </w:p>
    <w:p w14:paraId="373954C3">
      <w:pPr>
        <w:keepNext w:val="0"/>
        <w:keepLines w:val="0"/>
        <w:pageBreakBefore w:val="0"/>
        <w:widowControl w:val="0"/>
        <w:shd w:val="clear"/>
        <w:kinsoku/>
        <w:wordWrap/>
        <w:overflowPunct/>
        <w:topLinePunct w:val="0"/>
        <w:bidi w:val="0"/>
        <w:snapToGrid/>
        <w:spacing w:line="360" w:lineRule="auto"/>
        <w:ind w:firstLine="422" w:firstLineChars="2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第七条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合同价款的支付及调整</w:t>
      </w:r>
    </w:p>
    <w:p w14:paraId="37011E32">
      <w:pPr>
        <w:keepNext w:val="0"/>
        <w:keepLines w:val="0"/>
        <w:pageBreakBefore w:val="0"/>
        <w:widowControl w:val="0"/>
        <w:shd w:val="clear"/>
        <w:kinsoku/>
        <w:wordWrap/>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合同金额：</w:t>
      </w:r>
    </w:p>
    <w:p w14:paraId="5F5FCA1F">
      <w:pPr>
        <w:keepNext w:val="0"/>
        <w:keepLines w:val="0"/>
        <w:pageBreakBefore w:val="0"/>
        <w:widowControl w:val="0"/>
        <w:shd w:val="clear"/>
        <w:kinsoku/>
        <w:wordWrap/>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暂定合同金额（人民币）：</w:t>
      </w:r>
      <w:r>
        <w:rPr>
          <w:rFonts w:hint="eastAsia" w:ascii="宋体" w:hAnsi="宋体" w:eastAsia="宋体" w:cs="宋体"/>
          <w:color w:val="auto"/>
          <w:sz w:val="21"/>
          <w:szCs w:val="21"/>
          <w:highlight w:val="none"/>
          <w:u w:val="single"/>
        </w:rPr>
        <w:t>（大写）：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。如有变更按实际检测数量（由乙方提供检测清单，并经甲方确认）计算。</w:t>
      </w:r>
    </w:p>
    <w:p w14:paraId="1086E2AF">
      <w:pPr>
        <w:keepNext w:val="0"/>
        <w:keepLines w:val="0"/>
        <w:pageBreakBefore w:val="0"/>
        <w:widowControl w:val="0"/>
        <w:shd w:val="clear"/>
        <w:kinsoku/>
        <w:wordWrap/>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支付方式：</w:t>
      </w:r>
      <w:r>
        <w:rPr>
          <w:rFonts w:hint="eastAsia" w:ascii="宋体" w:hAnsi="宋体" w:eastAsia="宋体" w:cs="宋体"/>
          <w:color w:val="auto"/>
          <w:sz w:val="21"/>
          <w:szCs w:val="21"/>
          <w:highlight w:val="none"/>
          <w:lang w:val="en-US" w:eastAsia="zh-CN"/>
        </w:rPr>
        <w:t>合同签订后30个工作日内支付合同价10%预付款；所有桩基检测完成并提供质量监督部门认可的《检测报告》后，支付至实际桩基检测价款的80%；余款待基础工程验收合格后并经相关单位审计后一次性付清。成交供应商申请付款前应提供相应金额的增值税专用发票，否则招标人有权拒绝付款</w:t>
      </w:r>
      <w:r>
        <w:rPr>
          <w:rFonts w:hint="eastAsia" w:ascii="宋体" w:hAnsi="宋体" w:eastAsia="宋体" w:cs="宋体"/>
          <w:color w:val="auto"/>
          <w:sz w:val="21"/>
          <w:szCs w:val="21"/>
          <w:highlight w:val="none"/>
        </w:rPr>
        <w:t>。</w:t>
      </w:r>
    </w:p>
    <w:p w14:paraId="1D75A220">
      <w:pPr>
        <w:keepNext w:val="0"/>
        <w:keepLines w:val="0"/>
        <w:pageBreakBefore w:val="0"/>
        <w:widowControl w:val="0"/>
        <w:shd w:val="clear"/>
        <w:kinsoku/>
        <w:wordWrap/>
        <w:overflowPunct/>
        <w:topLinePunct w:val="0"/>
        <w:bidi w:val="0"/>
        <w:snapToGrid/>
        <w:spacing w:line="360" w:lineRule="auto"/>
        <w:ind w:firstLine="422" w:firstLineChars="200"/>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第八条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结算方法</w:t>
      </w:r>
    </w:p>
    <w:p w14:paraId="325F538A">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60" w:firstLineChars="200"/>
        <w:rPr>
          <w:rFonts w:hint="eastAsia" w:ascii="宋体" w:hAnsi="宋体" w:eastAsia="宋体" w:cs="宋体"/>
          <w:bCs/>
          <w:color w:val="auto"/>
          <w:spacing w:val="10"/>
          <w:sz w:val="21"/>
          <w:szCs w:val="21"/>
          <w:highlight w:val="none"/>
        </w:rPr>
      </w:pPr>
      <w:r>
        <w:rPr>
          <w:rFonts w:hint="eastAsia" w:ascii="宋体" w:hAnsi="宋体" w:eastAsia="宋体" w:cs="宋体"/>
          <w:bCs/>
          <w:color w:val="auto"/>
          <w:spacing w:val="10"/>
          <w:sz w:val="21"/>
          <w:szCs w:val="21"/>
          <w:highlight w:val="none"/>
          <w:lang w:eastAsia="zh-CN"/>
        </w:rPr>
        <w:t>（</w:t>
      </w:r>
      <w:r>
        <w:rPr>
          <w:rFonts w:hint="eastAsia" w:ascii="宋体" w:hAnsi="宋体" w:eastAsia="宋体" w:cs="宋体"/>
          <w:bCs/>
          <w:color w:val="auto"/>
          <w:spacing w:val="10"/>
          <w:sz w:val="21"/>
          <w:szCs w:val="21"/>
          <w:highlight w:val="none"/>
          <w:lang w:val="en-US" w:eastAsia="zh-CN"/>
        </w:rPr>
        <w:t>1</w:t>
      </w:r>
      <w:r>
        <w:rPr>
          <w:rFonts w:hint="eastAsia" w:ascii="宋体" w:hAnsi="宋体" w:eastAsia="宋体" w:cs="宋体"/>
          <w:bCs/>
          <w:color w:val="auto"/>
          <w:spacing w:val="10"/>
          <w:sz w:val="21"/>
          <w:szCs w:val="21"/>
          <w:highlight w:val="none"/>
          <w:lang w:eastAsia="zh-CN"/>
        </w:rPr>
        <w:t>）</w:t>
      </w:r>
      <w:r>
        <w:rPr>
          <w:rFonts w:hint="eastAsia" w:ascii="宋体" w:hAnsi="宋体" w:eastAsia="宋体" w:cs="宋体"/>
          <w:bCs/>
          <w:color w:val="auto"/>
          <w:spacing w:val="10"/>
          <w:sz w:val="21"/>
          <w:szCs w:val="21"/>
          <w:highlight w:val="none"/>
          <w:lang w:val="en-US" w:eastAsia="zh-CN"/>
        </w:rPr>
        <w:t>本合同结算原则：固定全费用综合单价，工程量按实结算</w:t>
      </w:r>
      <w:r>
        <w:rPr>
          <w:rFonts w:hint="eastAsia" w:ascii="宋体" w:hAnsi="宋体" w:eastAsia="宋体" w:cs="宋体"/>
          <w:bCs/>
          <w:color w:val="auto"/>
          <w:spacing w:val="10"/>
          <w:sz w:val="21"/>
          <w:szCs w:val="21"/>
          <w:highlight w:val="none"/>
        </w:rPr>
        <w:t>。</w:t>
      </w:r>
    </w:p>
    <w:p w14:paraId="708FD49D">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60" w:firstLineChars="200"/>
        <w:rPr>
          <w:rFonts w:hint="eastAsia" w:ascii="宋体" w:hAnsi="宋体" w:eastAsia="宋体" w:cs="宋体"/>
          <w:bCs/>
          <w:color w:val="auto"/>
          <w:spacing w:val="10"/>
          <w:sz w:val="21"/>
          <w:szCs w:val="21"/>
          <w:highlight w:val="none"/>
        </w:rPr>
      </w:pPr>
      <w:r>
        <w:rPr>
          <w:rFonts w:hint="eastAsia" w:ascii="宋体" w:hAnsi="宋体" w:eastAsia="宋体" w:cs="宋体"/>
          <w:bCs/>
          <w:color w:val="auto"/>
          <w:spacing w:val="10"/>
          <w:sz w:val="21"/>
          <w:szCs w:val="21"/>
          <w:highlight w:val="none"/>
          <w:lang w:eastAsia="zh-CN"/>
        </w:rPr>
        <w:t>（</w:t>
      </w:r>
      <w:r>
        <w:rPr>
          <w:rFonts w:hint="eastAsia" w:ascii="宋体" w:hAnsi="宋体" w:eastAsia="宋体" w:cs="宋体"/>
          <w:bCs/>
          <w:color w:val="auto"/>
          <w:spacing w:val="10"/>
          <w:sz w:val="21"/>
          <w:szCs w:val="21"/>
          <w:highlight w:val="none"/>
          <w:lang w:val="en-US" w:eastAsia="zh-CN"/>
        </w:rPr>
        <w:t>2</w:t>
      </w:r>
      <w:r>
        <w:rPr>
          <w:rFonts w:hint="eastAsia" w:ascii="宋体" w:hAnsi="宋体" w:eastAsia="宋体" w:cs="宋体"/>
          <w:bCs/>
          <w:color w:val="auto"/>
          <w:spacing w:val="10"/>
          <w:sz w:val="21"/>
          <w:szCs w:val="21"/>
          <w:highlight w:val="none"/>
          <w:lang w:eastAsia="zh-CN"/>
        </w:rPr>
        <w:t>）</w:t>
      </w:r>
      <w:r>
        <w:rPr>
          <w:rFonts w:hint="eastAsia" w:ascii="宋体" w:hAnsi="宋体" w:eastAsia="宋体" w:cs="宋体"/>
          <w:bCs/>
          <w:color w:val="auto"/>
          <w:spacing w:val="10"/>
          <w:sz w:val="21"/>
          <w:szCs w:val="21"/>
          <w:highlight w:val="none"/>
          <w:lang w:val="en-US" w:eastAsia="zh-CN"/>
        </w:rPr>
        <w:t>若因桩身质量问题导致检测终止，其损失费用由责任方承担</w:t>
      </w:r>
      <w:r>
        <w:rPr>
          <w:rFonts w:hint="eastAsia" w:ascii="宋体" w:hAnsi="宋体" w:eastAsia="宋体" w:cs="宋体"/>
          <w:bCs/>
          <w:color w:val="auto"/>
          <w:spacing w:val="10"/>
          <w:sz w:val="21"/>
          <w:szCs w:val="21"/>
          <w:highlight w:val="none"/>
        </w:rPr>
        <w:t>。</w:t>
      </w:r>
    </w:p>
    <w:p w14:paraId="031E545D">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60" w:firstLineChars="200"/>
        <w:rPr>
          <w:rFonts w:hint="eastAsia" w:ascii="宋体" w:hAnsi="宋体" w:eastAsia="宋体" w:cs="宋体"/>
          <w:bCs/>
          <w:color w:val="auto"/>
          <w:spacing w:val="10"/>
          <w:sz w:val="21"/>
          <w:szCs w:val="21"/>
          <w:highlight w:val="none"/>
          <w:lang w:eastAsia="zh-CN"/>
        </w:rPr>
      </w:pPr>
      <w:r>
        <w:rPr>
          <w:rFonts w:hint="eastAsia" w:ascii="宋体" w:hAnsi="宋体" w:eastAsia="宋体" w:cs="宋体"/>
          <w:bCs/>
          <w:color w:val="auto"/>
          <w:spacing w:val="10"/>
          <w:sz w:val="21"/>
          <w:szCs w:val="21"/>
          <w:highlight w:val="none"/>
          <w:lang w:eastAsia="zh-CN"/>
        </w:rPr>
        <w:t>（</w:t>
      </w:r>
      <w:r>
        <w:rPr>
          <w:rFonts w:hint="eastAsia" w:ascii="宋体" w:hAnsi="宋体" w:eastAsia="宋体" w:cs="宋体"/>
          <w:bCs/>
          <w:color w:val="auto"/>
          <w:spacing w:val="10"/>
          <w:sz w:val="21"/>
          <w:szCs w:val="21"/>
          <w:highlight w:val="none"/>
          <w:lang w:val="en-US" w:eastAsia="zh-CN"/>
        </w:rPr>
        <w:t>3</w:t>
      </w:r>
      <w:r>
        <w:rPr>
          <w:rFonts w:hint="eastAsia" w:ascii="宋体" w:hAnsi="宋体" w:eastAsia="宋体" w:cs="宋体"/>
          <w:bCs/>
          <w:color w:val="auto"/>
          <w:spacing w:val="10"/>
          <w:sz w:val="21"/>
          <w:szCs w:val="21"/>
          <w:highlight w:val="none"/>
          <w:lang w:eastAsia="zh-CN"/>
        </w:rPr>
        <w:t>）双方约定合同价款的其他约定：</w:t>
      </w:r>
    </w:p>
    <w:p w14:paraId="1CE8A81B">
      <w:pPr>
        <w:keepNext w:val="0"/>
        <w:keepLines w:val="0"/>
        <w:pageBreakBefore w:val="0"/>
        <w:widowControl w:val="0"/>
        <w:shd w:val="clear"/>
        <w:kinsoku/>
        <w:wordWrap/>
        <w:overflowPunct/>
        <w:topLinePunct w:val="0"/>
        <w:bidi w:val="0"/>
        <w:snapToGrid/>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在项目实施过程中，如遇本合同未包含的检测项目及价格，参照“宁波市建设工程检测行业协会”发布的相应检测项目价格，结合中标浮动率确定，由甲乙双方签订补充协议</w:t>
      </w:r>
      <w:r>
        <w:rPr>
          <w:rFonts w:hint="eastAsia" w:ascii="宋体" w:hAnsi="宋体" w:eastAsia="宋体" w:cs="宋体"/>
          <w:color w:val="auto"/>
          <w:sz w:val="21"/>
          <w:szCs w:val="21"/>
          <w:highlight w:val="none"/>
        </w:rPr>
        <w:t>。</w:t>
      </w:r>
    </w:p>
    <w:p w14:paraId="3C1D3203">
      <w:pPr>
        <w:keepNext w:val="0"/>
        <w:keepLines w:val="0"/>
        <w:pageBreakBefore w:val="0"/>
        <w:widowControl w:val="0"/>
        <w:shd w:val="clear"/>
        <w:kinsoku/>
        <w:wordWrap/>
        <w:overflowPunct/>
        <w:topLinePunct w:val="0"/>
        <w:bidi w:val="0"/>
        <w:snapToGrid/>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中标浮动率（%）=〔中标价（元）÷</w:t>
      </w:r>
      <w:r>
        <w:rPr>
          <w:rFonts w:hint="eastAsia" w:ascii="宋体" w:hAnsi="宋体" w:cs="宋体"/>
          <w:color w:val="auto"/>
          <w:sz w:val="21"/>
          <w:szCs w:val="21"/>
          <w:highlight w:val="none"/>
          <w:lang w:val="en-US" w:eastAsia="zh-CN"/>
        </w:rPr>
        <w:t>1920255</w:t>
      </w:r>
      <w:r>
        <w:rPr>
          <w:rFonts w:hint="eastAsia" w:ascii="宋体" w:hAnsi="宋体" w:eastAsia="宋体" w:cs="宋体"/>
          <w:color w:val="auto"/>
          <w:sz w:val="21"/>
          <w:szCs w:val="21"/>
          <w:highlight w:val="none"/>
          <w:lang w:val="en-US" w:eastAsia="zh-CN"/>
        </w:rPr>
        <w:t>（元）-1〕×100%（中标浮动率保留二位小数，第三位小数四舍五入。）</w:t>
      </w:r>
    </w:p>
    <w:p w14:paraId="69C90A4D">
      <w:pPr>
        <w:keepNext w:val="0"/>
        <w:keepLines w:val="0"/>
        <w:pageBreakBefore w:val="0"/>
        <w:widowControl w:val="0"/>
        <w:shd w:val="clear"/>
        <w:kinsoku/>
        <w:wordWrap/>
        <w:overflowPunct/>
        <w:topLinePunct w:val="0"/>
        <w:bidi w:val="0"/>
        <w:snapToGrid/>
        <w:spacing w:line="360" w:lineRule="auto"/>
        <w:ind w:firstLine="422" w:firstLineChars="200"/>
        <w:jc w:val="center"/>
        <w:textAlignment w:val="baseline"/>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第九条 履约保证金</w:t>
      </w:r>
    </w:p>
    <w:p w14:paraId="44EF9E9C">
      <w:pPr>
        <w:keepNext w:val="0"/>
        <w:keepLines w:val="0"/>
        <w:pageBreakBefore w:val="0"/>
        <w:widowControl w:val="0"/>
        <w:shd w:val="clear"/>
        <w:kinsoku/>
        <w:wordWrap/>
        <w:overflowPunct/>
        <w:topLinePunct w:val="0"/>
        <w:bidi w:val="0"/>
        <w:snapToGrid/>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履约保证金形式：电汇、银行保函、保险公司保函。</w:t>
      </w:r>
    </w:p>
    <w:p w14:paraId="697504E5">
      <w:pPr>
        <w:keepNext w:val="0"/>
        <w:keepLines w:val="0"/>
        <w:pageBreakBefore w:val="0"/>
        <w:widowControl w:val="0"/>
        <w:shd w:val="clear"/>
        <w:kinsoku/>
        <w:wordWrap/>
        <w:overflowPunct/>
        <w:topLinePunct w:val="0"/>
        <w:bidi w:val="0"/>
        <w:snapToGrid/>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履约保证金</w:t>
      </w:r>
      <w:r>
        <w:rPr>
          <w:rFonts w:hint="eastAsia" w:ascii="宋体" w:hAnsi="宋体" w:eastAsia="宋体" w:cs="宋体"/>
          <w:color w:val="auto"/>
          <w:sz w:val="21"/>
          <w:szCs w:val="21"/>
          <w:highlight w:val="none"/>
          <w:lang w:val="en-US" w:eastAsia="zh-CN"/>
        </w:rPr>
        <w:t>金额</w:t>
      </w:r>
      <w:r>
        <w:rPr>
          <w:rFonts w:hint="eastAsia" w:ascii="宋体" w:hAnsi="宋体" w:eastAsia="宋体" w:cs="宋体"/>
          <w:color w:val="auto"/>
          <w:sz w:val="21"/>
          <w:szCs w:val="21"/>
          <w:highlight w:val="none"/>
          <w:lang w:eastAsia="zh-CN"/>
        </w:rPr>
        <w:t>：按合同总金额的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%计收。</w:t>
      </w:r>
    </w:p>
    <w:p w14:paraId="25A8989F">
      <w:pPr>
        <w:keepNext w:val="0"/>
        <w:keepLines w:val="0"/>
        <w:pageBreakBefore w:val="0"/>
        <w:widowControl w:val="0"/>
        <w:shd w:val="clear"/>
        <w:kinsoku/>
        <w:wordWrap/>
        <w:overflowPunct/>
        <w:topLinePunct w:val="0"/>
        <w:bidi w:val="0"/>
        <w:snapToGrid/>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（3）提交时间：</w:t>
      </w:r>
      <w:r>
        <w:rPr>
          <w:rFonts w:hint="eastAsia" w:ascii="宋体" w:hAnsi="宋体" w:eastAsia="宋体" w:cs="宋体"/>
          <w:color w:val="auto"/>
          <w:sz w:val="21"/>
          <w:szCs w:val="21"/>
          <w:highlight w:val="none"/>
          <w:lang w:eastAsia="zh-CN"/>
        </w:rPr>
        <w:t>保证金在签订本</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合同前提交；银行保函、保险公司保函在签订本</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合同后</w:t>
      </w:r>
      <w:r>
        <w:rPr>
          <w:rFonts w:hint="eastAsia" w:ascii="宋体" w:hAnsi="宋体" w:eastAsia="宋体" w:cs="宋体"/>
          <w:color w:val="auto"/>
          <w:sz w:val="21"/>
          <w:szCs w:val="21"/>
          <w:highlight w:val="none"/>
          <w:lang w:val="en-US" w:eastAsia="zh-CN"/>
        </w:rPr>
        <w:t>7日内提交；</w:t>
      </w:r>
    </w:p>
    <w:p w14:paraId="3F107EB1">
      <w:pPr>
        <w:keepNext w:val="0"/>
        <w:keepLines w:val="0"/>
        <w:pageBreakBefore w:val="0"/>
        <w:widowControl w:val="0"/>
        <w:shd w:val="clear"/>
        <w:kinsoku/>
        <w:wordWrap/>
        <w:overflowPunct/>
        <w:topLinePunct w:val="0"/>
        <w:bidi w:val="0"/>
        <w:snapToGrid/>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（4）退还时间：</w:t>
      </w:r>
      <w:r>
        <w:rPr>
          <w:rFonts w:hint="eastAsia" w:ascii="宋体" w:hAnsi="宋体" w:eastAsia="宋体" w:cs="宋体"/>
          <w:color w:val="auto"/>
          <w:sz w:val="21"/>
          <w:szCs w:val="21"/>
          <w:highlight w:val="none"/>
          <w:lang w:val="zh-CN"/>
        </w:rPr>
        <w:t>合同履行完毕（项目施工完毕且验收合格并交付使用）后5日内无息退还</w:t>
      </w:r>
      <w:r>
        <w:rPr>
          <w:rFonts w:hint="eastAsia" w:ascii="宋体" w:hAnsi="宋体" w:eastAsia="宋体" w:cs="宋体"/>
          <w:color w:val="auto"/>
          <w:sz w:val="21"/>
          <w:szCs w:val="21"/>
          <w:highlight w:val="none"/>
          <w:lang w:eastAsia="zh-CN"/>
        </w:rPr>
        <w:t>。</w:t>
      </w:r>
    </w:p>
    <w:p w14:paraId="35E62B2D">
      <w:pPr>
        <w:keepNext w:val="0"/>
        <w:keepLines w:val="0"/>
        <w:pageBreakBefore w:val="0"/>
        <w:widowControl w:val="0"/>
        <w:shd w:val="clear"/>
        <w:kinsoku/>
        <w:wordWrap/>
        <w:overflowPunct/>
        <w:topLinePunct w:val="0"/>
        <w:bidi w:val="0"/>
        <w:snapToGrid/>
        <w:spacing w:line="360" w:lineRule="auto"/>
        <w:ind w:firstLine="422" w:firstLineChars="200"/>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rPr>
        <w:t>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color w:val="auto"/>
          <w:sz w:val="21"/>
          <w:szCs w:val="21"/>
          <w:highlight w:val="none"/>
        </w:rPr>
        <w:t>违约责任</w:t>
      </w:r>
    </w:p>
    <w:p w14:paraId="0871721C">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甲方未能按时提供经过批准的有关项目设计文件和满足施工图设计要求的勘察资料，以及有关的技术资料，影响乙方检测进度或造成检测成果失效，乙方可推迟交付检测报告。</w:t>
      </w:r>
    </w:p>
    <w:p w14:paraId="7E8243B7">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关于乙方式的约定：本项目承包形式为包工包料，乙方不得进行转包，如有转包行为，一经发现，甲方有权单方解除合同，因此而产生的一切后果由乙方负责。</w:t>
      </w:r>
    </w:p>
    <w:p w14:paraId="7AB08475">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（3）由于乙方原因延误工期或检测完成后 7 天内未交付报告、成果、文件，扣2000元/天，违约金限额为履约保证金金额的30%。但若延期超过30天且给甲方造成重大经济损失，以上违约金的限额不足时，甲方有权向乙方追偿</w:t>
      </w:r>
      <w:r>
        <w:rPr>
          <w:rFonts w:hint="eastAsia" w:ascii="宋体" w:hAnsi="宋体" w:eastAsia="宋体" w:cs="宋体"/>
          <w:color w:val="auto"/>
          <w:sz w:val="21"/>
          <w:szCs w:val="21"/>
          <w:highlight w:val="none"/>
        </w:rPr>
        <w:t>。</w:t>
      </w:r>
    </w:p>
    <w:p w14:paraId="60BC76E2">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（4）乙方在检测过程中如出现明显差错，乙方应及时采取必要和合理的技术措施，解决更正，使其达到质量合格。</w:t>
      </w:r>
    </w:p>
    <w:p w14:paraId="6586D3C0">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（5）乙方应对检测报告的准确性进行负责，若甲方对检测报告结果有疑义，甲方有权委托第三方复测或专家认证，最终以第三方或专家认证为准。如属乙方原因造成的，其产生的费用由乙方负责。</w:t>
      </w:r>
    </w:p>
    <w:p w14:paraId="4A555C8D">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（6）在工程实施过程中，因乙方检测报告错误造成重大经济损失或工程事故时，乙方应承担所有损失和法律责任，并同时向甲方支付履约保证金金额的50%的违约金。</w:t>
      </w:r>
    </w:p>
    <w:p w14:paraId="4DCFD811">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（7）乙方需遵守现场总包管理单位规定的安全要求，未达到安全要求违约金限额为履约保证金金额的20%。</w:t>
      </w:r>
    </w:p>
    <w:p w14:paraId="3E51D27D">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（8）退场情况的约定：项目检测完成后需于3日内退场，如逾期未退场影响后续施工工期的，承担相应的赔偿责任。</w:t>
      </w:r>
    </w:p>
    <w:p w14:paraId="482DDE97">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45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8"/>
          <w:sz w:val="21"/>
          <w:szCs w:val="21"/>
          <w:highlight w:val="none"/>
          <w:lang w:val="en-US" w:eastAsia="zh-CN"/>
        </w:rPr>
        <w:t>（9）</w:t>
      </w:r>
      <w:r>
        <w:rPr>
          <w:rFonts w:hint="eastAsia" w:ascii="宋体" w:hAnsi="宋体" w:eastAsia="宋体" w:cs="宋体"/>
          <w:color w:val="auto"/>
          <w:sz w:val="21"/>
          <w:szCs w:val="21"/>
          <w:highlight w:val="none"/>
          <w:lang w:val="en-US" w:eastAsia="zh-CN"/>
        </w:rPr>
        <w:t>中标单位如未在当地住建局完成过备案的，须在中标通知书发出后7天内完成备案工作，如有延期完成备案的，处罚500元/天。</w:t>
      </w:r>
    </w:p>
    <w:p w14:paraId="64A24C2D">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452" w:firstLineChars="200"/>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10）在工程检测期间，投标人应做好消防、防盗等措施，如检测期间发生火灾、盗窃等事情而造成不良结果的，由此所造成的工期拖延、工程质量影响及一切经济损失和纠纷调解均由承包方负责，与发包方无涉。对影响周边建筑物、构筑物、地下管线及产生的扰民现象造成居民投诉的等由此所造成的工期拖延、工程质量影响及一切经济损失和纠纷调解均由承包方负责，与发包方无涉。</w:t>
      </w:r>
    </w:p>
    <w:p w14:paraId="204AB026">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452" w:firstLineChars="200"/>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（11）乙方向甲方支付违约金、赔偿金时，履约保证金不足以支付的，甲方有权在应付未付款中扣除，违约金和赔偿金不足以弥补甲方损失的，甲方保留继续向乙方追偿的权利。</w:t>
      </w:r>
    </w:p>
    <w:p w14:paraId="331662D2">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454" w:firstLineChars="200"/>
        <w:jc w:val="center"/>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第十</w:t>
      </w:r>
      <w:r>
        <w:rPr>
          <w:rFonts w:hint="eastAsia" w:ascii="宋体" w:hAnsi="宋体" w:eastAsia="宋体" w:cs="宋体"/>
          <w:b/>
          <w:bCs/>
          <w:color w:val="auto"/>
          <w:spacing w:val="8"/>
          <w:sz w:val="21"/>
          <w:szCs w:val="21"/>
          <w:highlight w:val="none"/>
          <w:lang w:val="en-US" w:eastAsia="zh-CN"/>
        </w:rPr>
        <w:t>一</w:t>
      </w:r>
      <w:r>
        <w:rPr>
          <w:rFonts w:hint="eastAsia" w:ascii="宋体" w:hAnsi="宋体" w:eastAsia="宋体" w:cs="宋体"/>
          <w:b/>
          <w:bCs/>
          <w:color w:val="auto"/>
          <w:spacing w:val="8"/>
          <w:sz w:val="21"/>
          <w:szCs w:val="21"/>
          <w:highlight w:val="none"/>
        </w:rPr>
        <w:t>条</w:t>
      </w:r>
      <w:r>
        <w:rPr>
          <w:rFonts w:hint="eastAsia" w:ascii="宋体" w:hAnsi="宋体" w:eastAsia="宋体" w:cs="宋体"/>
          <w:b/>
          <w:bCs/>
          <w:color w:val="auto"/>
          <w:spacing w:val="8"/>
          <w:sz w:val="21"/>
          <w:szCs w:val="21"/>
          <w:highlight w:val="none"/>
          <w:lang w:val="en-US" w:eastAsia="zh-CN"/>
        </w:rPr>
        <w:t xml:space="preserve"> </w:t>
      </w:r>
      <w:r>
        <w:rPr>
          <w:rFonts w:hint="eastAsia" w:ascii="宋体" w:hAnsi="宋体" w:eastAsia="宋体" w:cs="宋体"/>
          <w:b/>
          <w:bCs/>
          <w:color w:val="auto"/>
          <w:spacing w:val="8"/>
          <w:sz w:val="21"/>
          <w:szCs w:val="21"/>
          <w:highlight w:val="none"/>
        </w:rPr>
        <w:t>其它</w:t>
      </w:r>
    </w:p>
    <w:p w14:paraId="6CB8A28B">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452" w:firstLineChars="20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lang w:val="en-US" w:eastAsia="zh-CN"/>
        </w:rPr>
        <w:t>1</w:t>
      </w: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rPr>
        <w:t>相关招投标文件及图纸说明均作为本合用的组成部分。</w:t>
      </w:r>
    </w:p>
    <w:p w14:paraId="60D51444">
      <w:pPr>
        <w:pStyle w:val="18"/>
        <w:keepNext w:val="0"/>
        <w:keepLines w:val="0"/>
        <w:pageBreakBefore w:val="0"/>
        <w:widowControl w:val="0"/>
        <w:shd w:val="clear"/>
        <w:kinsoku/>
        <w:wordWrap/>
        <w:overflowPunct/>
        <w:topLinePunct w:val="0"/>
        <w:bidi w:val="0"/>
        <w:snapToGrid/>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u w:val="single"/>
          <w:lang w:val="en-US" w:eastAsia="zh-CN"/>
        </w:rPr>
        <w:t>柒</w:t>
      </w:r>
      <w:r>
        <w:rPr>
          <w:rFonts w:hint="eastAsia" w:ascii="宋体" w:hAnsi="宋体" w:eastAsia="宋体" w:cs="宋体"/>
          <w:color w:val="auto"/>
          <w:sz w:val="21"/>
          <w:szCs w:val="21"/>
          <w:highlight w:val="none"/>
        </w:rPr>
        <w:t>份，具有同等法律效力，甲方执</w:t>
      </w:r>
      <w:r>
        <w:rPr>
          <w:rFonts w:hint="eastAsia" w:ascii="宋体" w:hAnsi="宋体" w:eastAsia="宋体" w:cs="宋体"/>
          <w:color w:val="auto"/>
          <w:sz w:val="21"/>
          <w:szCs w:val="21"/>
          <w:highlight w:val="none"/>
          <w:u w:val="single"/>
          <w:lang w:val="en-US" w:eastAsia="zh-CN"/>
        </w:rPr>
        <w:t>叁</w:t>
      </w:r>
      <w:r>
        <w:rPr>
          <w:rFonts w:hint="eastAsia" w:ascii="宋体" w:hAnsi="宋体" w:eastAsia="宋体" w:cs="宋体"/>
          <w:color w:val="auto"/>
          <w:sz w:val="21"/>
          <w:szCs w:val="21"/>
          <w:highlight w:val="none"/>
        </w:rPr>
        <w:t>份；乙方执</w:t>
      </w:r>
      <w:r>
        <w:rPr>
          <w:rFonts w:hint="eastAsia" w:ascii="宋体" w:hAnsi="宋体" w:eastAsia="宋体" w:cs="宋体"/>
          <w:color w:val="auto"/>
          <w:sz w:val="21"/>
          <w:szCs w:val="21"/>
          <w:highlight w:val="none"/>
          <w:u w:val="single"/>
        </w:rPr>
        <w:t>叁</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见证方执</w:t>
      </w:r>
      <w:r>
        <w:rPr>
          <w:rFonts w:hint="eastAsia" w:ascii="宋体" w:hAnsi="宋体" w:eastAsia="宋体" w:cs="宋体"/>
          <w:color w:val="auto"/>
          <w:sz w:val="21"/>
          <w:szCs w:val="21"/>
          <w:highlight w:val="none"/>
          <w:u w:val="single"/>
          <w:lang w:val="en-US" w:eastAsia="zh-CN"/>
        </w:rPr>
        <w:t>壹</w:t>
      </w:r>
      <w:r>
        <w:rPr>
          <w:rFonts w:hint="eastAsia" w:ascii="宋体" w:hAnsi="宋体" w:eastAsia="宋体" w:cs="宋体"/>
          <w:color w:val="auto"/>
          <w:sz w:val="21"/>
          <w:szCs w:val="21"/>
          <w:highlight w:val="none"/>
          <w:lang w:val="en-US" w:eastAsia="zh-CN"/>
        </w:rPr>
        <w:t>份</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none"/>
        </w:rPr>
        <w:t>经签字（章）并加盖公章</w:t>
      </w:r>
      <w:r>
        <w:rPr>
          <w:rFonts w:hint="eastAsia" w:ascii="宋体" w:hAnsi="宋体" w:eastAsia="宋体" w:cs="宋体"/>
          <w:color w:val="auto"/>
          <w:sz w:val="21"/>
          <w:szCs w:val="21"/>
          <w:highlight w:val="none"/>
        </w:rPr>
        <w:t>后生效，各方履行完合同义务后终止。</w:t>
      </w:r>
    </w:p>
    <w:p w14:paraId="0D65CF10">
      <w:pPr>
        <w:pStyle w:val="18"/>
        <w:keepNext w:val="0"/>
        <w:keepLines w:val="0"/>
        <w:pageBreakBefore w:val="0"/>
        <w:widowControl w:val="0"/>
        <w:shd w:val="clear"/>
        <w:kinsoku/>
        <w:wordWrap/>
        <w:overflowPunct/>
        <w:topLinePunct w:val="0"/>
        <w:bidi w:val="0"/>
        <w:snapToGrid/>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本合同发生争议，甲方与乙方应本着实事求是的原则及时协商解决。如协商不成时，双方当事人可向</w:t>
      </w:r>
      <w:r>
        <w:rPr>
          <w:rFonts w:hint="eastAsia" w:ascii="宋体" w:hAnsi="宋体" w:eastAsia="宋体" w:cs="宋体"/>
          <w:color w:val="auto"/>
          <w:sz w:val="21"/>
          <w:szCs w:val="21"/>
          <w:highlight w:val="none"/>
          <w:u w:val="single"/>
        </w:rPr>
        <w:t xml:space="preserve">  工程所在地 </w:t>
      </w:r>
      <w:r>
        <w:rPr>
          <w:rFonts w:hint="eastAsia" w:ascii="宋体" w:hAnsi="宋体" w:eastAsia="宋体" w:cs="宋体"/>
          <w:color w:val="auto"/>
          <w:sz w:val="21"/>
          <w:szCs w:val="21"/>
          <w:highlight w:val="none"/>
        </w:rPr>
        <w:t>人民法院起诉。</w:t>
      </w:r>
    </w:p>
    <w:p w14:paraId="4600F8B4">
      <w:pPr>
        <w:pStyle w:val="18"/>
        <w:keepNext w:val="0"/>
        <w:keepLines w:val="0"/>
        <w:pageBreakBefore w:val="0"/>
        <w:widowControl w:val="0"/>
        <w:shd w:val="clear"/>
        <w:kinsoku/>
        <w:wordWrap/>
        <w:overflowPunct/>
        <w:topLinePunct w:val="0"/>
        <w:bidi w:val="0"/>
        <w:snapToGrid/>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若因施工单位施工质量原因引起补测，其费用由施工单位支付，甲方从施工单位的工程款中予以扣除。</w:t>
      </w:r>
    </w:p>
    <w:p w14:paraId="16C640EA">
      <w:pPr>
        <w:keepNext w:val="0"/>
        <w:keepLines w:val="0"/>
        <w:pageBreakBefore w:val="0"/>
        <w:widowControl w:val="0"/>
        <w:shd w:val="clear"/>
        <w:kinsoku/>
        <w:wordWrap/>
        <w:overflowPunct/>
        <w:topLinePunct w:val="0"/>
        <w:bidi w:val="0"/>
        <w:snapToGrid/>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甲方委托乙方承担本合同内容以外的工作服务，另行签订协议并支付费用。</w:t>
      </w:r>
    </w:p>
    <w:p w14:paraId="2F110AEC">
      <w:pPr>
        <w:pStyle w:val="18"/>
        <w:keepNext w:val="0"/>
        <w:keepLines w:val="0"/>
        <w:pageBreakBefore w:val="0"/>
        <w:widowControl w:val="0"/>
        <w:shd w:val="clear"/>
        <w:kinsoku/>
        <w:wordWrap/>
        <w:overflowPunct/>
        <w:topLinePunct w:val="0"/>
        <w:bidi w:val="0"/>
        <w:snapToGrid/>
        <w:spacing w:before="0" w:beforeAutospacing="0" w:after="0" w:afterAutospacing="0" w:line="360" w:lineRule="auto"/>
        <w:ind w:firstLine="420" w:firstLineChars="200"/>
        <w:rPr>
          <w:rFonts w:hint="eastAsia" w:ascii="宋体" w:hAnsi="宋体" w:eastAsia="宋体" w:cs="宋体"/>
          <w:color w:val="auto"/>
          <w:spacing w:val="4"/>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本合同所附乙方现场检测人员组成和桩基检测负责人名单作为本合同组成部分，未经甲方事先书面同意，其人员不得任意更改，否则视为违约，</w:t>
      </w:r>
      <w:r>
        <w:rPr>
          <w:rFonts w:hint="eastAsia" w:ascii="宋体" w:hAnsi="宋体" w:eastAsia="宋体" w:cs="宋体"/>
          <w:color w:val="auto"/>
          <w:spacing w:val="4"/>
          <w:sz w:val="21"/>
          <w:szCs w:val="21"/>
          <w:highlight w:val="none"/>
        </w:rPr>
        <w:t>每擅自更换一人，应减收该项目应收</w:t>
      </w:r>
      <w:r>
        <w:rPr>
          <w:rFonts w:hint="eastAsia" w:ascii="宋体" w:hAnsi="宋体" w:eastAsia="宋体" w:cs="宋体"/>
          <w:color w:val="auto"/>
          <w:sz w:val="21"/>
          <w:szCs w:val="21"/>
          <w:highlight w:val="none"/>
        </w:rPr>
        <w:t>桩基检测</w:t>
      </w:r>
      <w:r>
        <w:rPr>
          <w:rFonts w:hint="eastAsia" w:ascii="宋体" w:hAnsi="宋体" w:eastAsia="宋体" w:cs="宋体"/>
          <w:color w:val="auto"/>
          <w:spacing w:val="4"/>
          <w:sz w:val="21"/>
          <w:szCs w:val="21"/>
          <w:highlight w:val="none"/>
        </w:rPr>
        <w:t>费的百分之十。</w:t>
      </w:r>
    </w:p>
    <w:p w14:paraId="40C79B1C">
      <w:pPr>
        <w:keepNext w:val="0"/>
        <w:keepLines w:val="0"/>
        <w:pageBreakBefore w:val="0"/>
        <w:widowControl w:val="0"/>
        <w:shd w:val="clear"/>
        <w:kinsoku/>
        <w:wordWrap/>
        <w:overflowPunct/>
        <w:topLinePunct w:val="0"/>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本合同未尽事宜，双方可签订补充协议，有关协议及双方</w:t>
      </w:r>
      <w:r>
        <w:rPr>
          <w:rFonts w:hint="eastAsia" w:ascii="宋体" w:hAnsi="宋体" w:eastAsia="宋体" w:cs="宋体"/>
          <w:color w:val="auto"/>
          <w:spacing w:val="-8"/>
          <w:sz w:val="21"/>
          <w:szCs w:val="21"/>
          <w:highlight w:val="none"/>
        </w:rPr>
        <w:t>认可的来往电报、传真、会议纪要等，均为本合同组成部分，与本合同</w:t>
      </w:r>
      <w:r>
        <w:rPr>
          <w:rFonts w:hint="eastAsia" w:ascii="宋体" w:hAnsi="宋体" w:eastAsia="宋体" w:cs="宋体"/>
          <w:color w:val="auto"/>
          <w:sz w:val="21"/>
          <w:szCs w:val="21"/>
          <w:highlight w:val="none"/>
        </w:rPr>
        <w:t>具有同等法律效力。</w:t>
      </w:r>
    </w:p>
    <w:p w14:paraId="3C242DCE">
      <w:pPr>
        <w:shd w:val="clear"/>
        <w:autoSpaceDE w:val="0"/>
        <w:autoSpaceDN w:val="0"/>
        <w:spacing w:line="360" w:lineRule="auto"/>
        <w:rPr>
          <w:rFonts w:ascii="仿宋" w:hAnsi="仿宋" w:eastAsia="仿宋" w:cs="仿宋"/>
          <w:color w:val="auto"/>
          <w:sz w:val="24"/>
          <w:highlight w:val="none"/>
          <w:lang w:val="zh-CN"/>
        </w:rPr>
      </w:pPr>
    </w:p>
    <w:p w14:paraId="2EE51C6E">
      <w:pPr>
        <w:shd w:val="clear"/>
        <w:autoSpaceDE w:val="0"/>
        <w:autoSpaceDN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lang w:val="zh-CN"/>
        </w:rPr>
        <w:t>甲方名称（公章）</w:t>
      </w:r>
      <w:r>
        <w:rPr>
          <w:rFonts w:hint="eastAsia" w:ascii="宋体" w:hAnsi="宋体" w:eastAsia="宋体" w:cs="宋体"/>
          <w:color w:val="auto"/>
          <w:sz w:val="21"/>
          <w:szCs w:val="21"/>
          <w:highlight w:val="none"/>
          <w:lang w:val="zh-CN"/>
        </w:rPr>
        <w:t xml:space="preserve">：                       </w:t>
      </w:r>
      <w:r>
        <w:rPr>
          <w:rFonts w:hint="eastAsia" w:ascii="宋体" w:hAnsi="宋体" w:eastAsia="宋体" w:cs="宋体"/>
          <w:b/>
          <w:color w:val="auto"/>
          <w:sz w:val="21"/>
          <w:szCs w:val="21"/>
          <w:highlight w:val="none"/>
          <w:lang w:val="zh-CN"/>
        </w:rPr>
        <w:t>乙方名称（公章）</w:t>
      </w:r>
      <w:r>
        <w:rPr>
          <w:rFonts w:hint="eastAsia" w:ascii="宋体" w:hAnsi="宋体" w:eastAsia="宋体" w:cs="宋体"/>
          <w:color w:val="auto"/>
          <w:sz w:val="21"/>
          <w:szCs w:val="21"/>
          <w:highlight w:val="none"/>
          <w:lang w:val="zh-CN"/>
        </w:rPr>
        <w:t>：</w:t>
      </w:r>
    </w:p>
    <w:p w14:paraId="218F49CD">
      <w:pPr>
        <w:shd w:val="clear"/>
        <w:autoSpaceDE w:val="0"/>
        <w:autoSpaceDN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统一社会信用代码：                       统一社会信用代码或身份证号码：</w:t>
      </w:r>
    </w:p>
    <w:p w14:paraId="7BC7B308">
      <w:pPr>
        <w:shd w:val="clear"/>
        <w:autoSpaceDE w:val="0"/>
        <w:autoSpaceDN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住所：                                   住所：</w:t>
      </w:r>
    </w:p>
    <w:p w14:paraId="4674E657">
      <w:pPr>
        <w:shd w:val="clear"/>
        <w:autoSpaceDE w:val="0"/>
        <w:autoSpaceDN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法定代表人或授权代表（签字）：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 xml:space="preserve"> 法定代表人或授权代表（签字）: </w:t>
      </w:r>
    </w:p>
    <w:p w14:paraId="0EFD9EAB">
      <w:pPr>
        <w:shd w:val="clear"/>
        <w:autoSpaceDE w:val="0"/>
        <w:autoSpaceDN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联系人：                                 联系人：</w:t>
      </w:r>
    </w:p>
    <w:p w14:paraId="74CDC355">
      <w:pPr>
        <w:shd w:val="clear"/>
        <w:autoSpaceDE w:val="0"/>
        <w:autoSpaceDN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约定送达地址：                           约定送达地址：</w:t>
      </w:r>
    </w:p>
    <w:p w14:paraId="47AAA0BA">
      <w:pPr>
        <w:shd w:val="clear"/>
        <w:autoSpaceDE w:val="0"/>
        <w:autoSpaceDN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邮政编码：                               邮政编码：</w:t>
      </w:r>
    </w:p>
    <w:p w14:paraId="348A7DC7">
      <w:pPr>
        <w:shd w:val="clear"/>
        <w:autoSpaceDE w:val="0"/>
        <w:autoSpaceDN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电话:                                    电话: </w:t>
      </w:r>
    </w:p>
    <w:p w14:paraId="09466751">
      <w:pPr>
        <w:shd w:val="clear"/>
        <w:autoSpaceDE w:val="0"/>
        <w:autoSpaceDN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传真:                                    传真:</w:t>
      </w:r>
    </w:p>
    <w:p w14:paraId="4167CF4F">
      <w:pPr>
        <w:pStyle w:val="26"/>
        <w:shd w:val="clear"/>
        <w:spacing w:line="360" w:lineRule="auto"/>
        <w:ind w:firstLine="480"/>
        <w:rPr>
          <w:rFonts w:hint="eastAsia" w:ascii="宋体" w:hAnsi="宋体" w:eastAsia="宋体" w:cs="宋体"/>
          <w:color w:val="auto"/>
          <w:sz w:val="21"/>
          <w:szCs w:val="21"/>
          <w:highlight w:val="none"/>
        </w:rPr>
      </w:pPr>
    </w:p>
    <w:p w14:paraId="311B701E">
      <w:pPr>
        <w:pStyle w:val="26"/>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eastAsia="zh-CN"/>
        </w:rPr>
        <w:t>见证人：采购代理机构名称</w:t>
      </w:r>
    </w:p>
    <w:p w14:paraId="3FA1DD4D">
      <w:pPr>
        <w:keepNext w:val="0"/>
        <w:keepLines w:val="0"/>
        <w:pageBreakBefore w:val="0"/>
        <w:widowControl w:val="0"/>
        <w:kinsoku/>
        <w:wordWrap/>
        <w:overflowPunct/>
        <w:topLinePunct w:val="0"/>
        <w:autoSpaceDE w:val="0"/>
        <w:autoSpaceDN w:val="0"/>
        <w:bidi w:val="0"/>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住所：                             </w:t>
      </w:r>
    </w:p>
    <w:p w14:paraId="452D62C4">
      <w:pPr>
        <w:keepNext w:val="0"/>
        <w:keepLines w:val="0"/>
        <w:pageBreakBefore w:val="0"/>
        <w:widowControl w:val="0"/>
        <w:kinsoku/>
        <w:wordWrap/>
        <w:overflowPunct/>
        <w:topLinePunct w:val="0"/>
        <w:autoSpaceDE w:val="0"/>
        <w:autoSpaceDN w:val="0"/>
        <w:bidi w:val="0"/>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法定代表人或授权代表（签字）：       </w:t>
      </w:r>
      <w:r>
        <w:rPr>
          <w:rFonts w:hint="eastAsia" w:ascii="宋体" w:hAnsi="宋体" w:eastAsia="宋体" w:cs="宋体"/>
          <w:color w:val="auto"/>
          <w:sz w:val="21"/>
          <w:szCs w:val="21"/>
          <w:highlight w:val="none"/>
          <w:lang w:val="en-US" w:eastAsia="zh-CN"/>
        </w:rPr>
        <w:t xml:space="preserve"> </w:t>
      </w:r>
    </w:p>
    <w:p w14:paraId="3201AE4E">
      <w:pPr>
        <w:keepNext w:val="0"/>
        <w:keepLines w:val="0"/>
        <w:pageBreakBefore w:val="0"/>
        <w:widowControl w:val="0"/>
        <w:kinsoku/>
        <w:wordWrap/>
        <w:overflowPunct/>
        <w:topLinePunct w:val="0"/>
        <w:autoSpaceDE w:val="0"/>
        <w:autoSpaceDN w:val="0"/>
        <w:bidi w:val="0"/>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联系人：                                                                    </w:t>
      </w:r>
    </w:p>
    <w:p w14:paraId="4EFE0770">
      <w:pPr>
        <w:keepNext w:val="0"/>
        <w:keepLines w:val="0"/>
        <w:pageBreakBefore w:val="0"/>
        <w:widowControl w:val="0"/>
        <w:kinsoku/>
        <w:wordWrap/>
        <w:overflowPunct/>
        <w:topLinePunct w:val="0"/>
        <w:bidi w:val="0"/>
        <w:spacing w:line="360" w:lineRule="auto"/>
        <w:textAlignment w:val="auto"/>
        <w:outlineLvl w:val="0"/>
        <w:rPr>
          <w:rFonts w:cs="仿宋" w:asciiTheme="majorEastAsia" w:hAnsiTheme="majorEastAsia" w:eastAsiaTheme="majorEastAsia"/>
          <w:b/>
          <w:color w:val="auto"/>
          <w:sz w:val="24"/>
          <w:highlight w:val="none"/>
        </w:rPr>
      </w:pPr>
      <w:r>
        <w:rPr>
          <w:rFonts w:hint="eastAsia" w:ascii="宋体" w:hAnsi="宋体" w:eastAsia="宋体" w:cs="宋体"/>
          <w:color w:val="auto"/>
          <w:sz w:val="21"/>
          <w:szCs w:val="21"/>
          <w:highlight w:val="none"/>
          <w:lang w:val="zh-CN"/>
        </w:rPr>
        <w:t>电话:</w:t>
      </w:r>
      <w:r>
        <w:rPr>
          <w:rFonts w:hint="eastAsia" w:ascii="仿宋" w:hAnsi="仿宋" w:eastAsia="仿宋" w:cs="仿宋"/>
          <w:color w:val="auto"/>
          <w:sz w:val="24"/>
          <w:highlight w:val="none"/>
          <w:lang w:val="zh-CN"/>
        </w:rPr>
        <w:t xml:space="preserve">                   </w:t>
      </w:r>
      <w:r>
        <w:rPr>
          <w:rFonts w:cs="仿宋" w:asciiTheme="majorEastAsia" w:hAnsiTheme="majorEastAsia" w:eastAsiaTheme="majorEastAsia"/>
          <w:b/>
          <w:color w:val="auto"/>
          <w:sz w:val="24"/>
          <w:highlight w:val="none"/>
        </w:rPr>
        <w:br w:type="page"/>
      </w:r>
    </w:p>
    <w:p w14:paraId="75BB4A1D">
      <w:pPr>
        <w:spacing w:line="360" w:lineRule="auto"/>
        <w:ind w:left="720" w:firstLine="723" w:firstLineChars="200"/>
        <w:outlineLvl w:val="0"/>
        <w:rPr>
          <w:rFonts w:hint="eastAsia" w:cs="仿宋" w:asciiTheme="majorEastAsia" w:hAnsiTheme="majorEastAsia" w:eastAsiaTheme="majorEastAsia"/>
          <w:b/>
          <w:color w:val="auto"/>
          <w:sz w:val="36"/>
          <w:szCs w:val="20"/>
          <w:highlight w:val="none"/>
        </w:rPr>
        <w:sectPr>
          <w:pgSz w:w="11906" w:h="16838"/>
          <w:pgMar w:top="1276" w:right="1418" w:bottom="1247" w:left="1418" w:header="851" w:footer="992" w:gutter="0"/>
          <w:cols w:space="720" w:num="1"/>
          <w:titlePg/>
          <w:docGrid w:linePitch="312" w:charSpace="0"/>
        </w:sectPr>
      </w:pPr>
    </w:p>
    <w:p w14:paraId="488DF918">
      <w:pPr>
        <w:spacing w:line="360" w:lineRule="auto"/>
        <w:jc w:val="center"/>
        <w:outlineLvl w:val="0"/>
        <w:rPr>
          <w:rFonts w:cs="仿宋" w:asciiTheme="majorEastAsia" w:hAnsiTheme="majorEastAsia" w:eastAsiaTheme="majorEastAsia"/>
          <w:b/>
          <w:color w:val="auto"/>
          <w:sz w:val="36"/>
          <w:szCs w:val="20"/>
          <w:highlight w:val="none"/>
        </w:rPr>
      </w:pPr>
      <w:r>
        <w:rPr>
          <w:rFonts w:hint="eastAsia" w:cs="仿宋" w:asciiTheme="majorEastAsia" w:hAnsiTheme="majorEastAsia" w:eastAsiaTheme="majorEastAsia"/>
          <w:b/>
          <w:color w:val="auto"/>
          <w:sz w:val="36"/>
          <w:szCs w:val="20"/>
          <w:highlight w:val="none"/>
        </w:rPr>
        <w:t>第六部分</w:t>
      </w:r>
      <w:bookmarkEnd w:id="397"/>
      <w:r>
        <w:rPr>
          <w:rFonts w:hint="eastAsia" w:cs="仿宋" w:asciiTheme="majorEastAsia" w:hAnsiTheme="majorEastAsia" w:eastAsiaTheme="majorEastAsia"/>
          <w:b/>
          <w:color w:val="auto"/>
          <w:sz w:val="36"/>
          <w:szCs w:val="20"/>
          <w:highlight w:val="none"/>
        </w:rPr>
        <w:t xml:space="preserve"> </w:t>
      </w:r>
      <w:bookmarkEnd w:id="398"/>
      <w:r>
        <w:rPr>
          <w:rFonts w:hint="eastAsia" w:cs="仿宋" w:asciiTheme="majorEastAsia" w:hAnsiTheme="majorEastAsia" w:eastAsiaTheme="majorEastAsia"/>
          <w:b/>
          <w:color w:val="auto"/>
          <w:sz w:val="36"/>
          <w:szCs w:val="20"/>
          <w:highlight w:val="none"/>
        </w:rPr>
        <w:t>应提交的有关格式范例</w:t>
      </w:r>
    </w:p>
    <w:p w14:paraId="01A38204">
      <w:pPr>
        <w:spacing w:line="360" w:lineRule="auto"/>
        <w:jc w:val="center"/>
        <w:outlineLvl w:val="0"/>
        <w:rPr>
          <w:rFonts w:cs="仿宋" w:asciiTheme="majorEastAsia" w:hAnsiTheme="majorEastAsia" w:eastAsiaTheme="majorEastAsia"/>
          <w:b/>
          <w:color w:val="auto"/>
          <w:kern w:val="0"/>
          <w:sz w:val="36"/>
          <w:szCs w:val="36"/>
          <w:highlight w:val="none"/>
        </w:rPr>
      </w:pPr>
    </w:p>
    <w:p w14:paraId="4A26EB1C">
      <w:pP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资格文件部分</w:t>
      </w:r>
    </w:p>
    <w:p w14:paraId="51433DD2">
      <w:pP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目录</w:t>
      </w:r>
    </w:p>
    <w:p w14:paraId="6BDA4B08">
      <w:pPr>
        <w:spacing w:line="360" w:lineRule="auto"/>
        <w:jc w:val="center"/>
        <w:outlineLvl w:val="0"/>
        <w:rPr>
          <w:rFonts w:cs="仿宋" w:asciiTheme="majorEastAsia" w:hAnsiTheme="majorEastAsia" w:eastAsiaTheme="majorEastAsia"/>
          <w:b/>
          <w:color w:val="auto"/>
          <w:kern w:val="0"/>
          <w:sz w:val="36"/>
          <w:szCs w:val="36"/>
          <w:highlight w:val="none"/>
        </w:rPr>
      </w:pPr>
    </w:p>
    <w:p w14:paraId="0D90A713">
      <w:pP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有效的企业法人营业执照（或事业法人登记证）、其他组织（个体工商户）的营业执照或者民办非企业单位登记证书；</w:t>
      </w:r>
    </w:p>
    <w:p w14:paraId="25431A58">
      <w:pP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符合参加政府采购活动应当具备的一般条件的承诺函；</w:t>
      </w:r>
    </w:p>
    <w:p w14:paraId="70735229">
      <w:pP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本项目的特定资格要求。</w:t>
      </w:r>
    </w:p>
    <w:p w14:paraId="62FD2BF2">
      <w:pPr>
        <w:pStyle w:val="26"/>
        <w:spacing w:line="360" w:lineRule="auto"/>
        <w:ind w:firstLine="480"/>
        <w:rPr>
          <w:rFonts w:cs="仿宋" w:asciiTheme="majorEastAsia" w:hAnsiTheme="majorEastAsia" w:eastAsiaTheme="majorEastAsia"/>
          <w:color w:val="auto"/>
          <w:sz w:val="24"/>
          <w:highlight w:val="none"/>
        </w:rPr>
      </w:pPr>
    </w:p>
    <w:p w14:paraId="334175A5">
      <w:pPr>
        <w:spacing w:line="360" w:lineRule="auto"/>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br w:type="page"/>
      </w:r>
    </w:p>
    <w:p w14:paraId="2FA68C8D">
      <w:pPr>
        <w:spacing w:line="360" w:lineRule="auto"/>
        <w:ind w:right="420"/>
        <w:jc w:val="left"/>
        <w:rPr>
          <w:rFonts w:ascii="宋体" w:hAnsi="宋体" w:cs="宋体"/>
          <w:color w:val="auto"/>
          <w:highlight w:val="none"/>
        </w:rPr>
      </w:pPr>
      <w:r>
        <w:rPr>
          <w:rFonts w:hint="eastAsia" w:cs="仿宋" w:asciiTheme="majorEastAsia" w:hAnsiTheme="majorEastAsia" w:eastAsiaTheme="majorEastAsia"/>
          <w:b/>
          <w:color w:val="auto"/>
          <w:kern w:val="0"/>
          <w:sz w:val="32"/>
          <w:szCs w:val="32"/>
          <w:highlight w:val="none"/>
        </w:rPr>
        <w:t>一、 有效的企业法人营业执照（或事业法人登记证）、其他组织（个体工商户）的营业执照或者民办非企业单位登记证书</w:t>
      </w:r>
    </w:p>
    <w:p w14:paraId="7798B3C6">
      <w:pP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64C95C35">
      <w:pPr>
        <w:spacing w:line="360" w:lineRule="auto"/>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br w:type="page"/>
      </w:r>
    </w:p>
    <w:p w14:paraId="109286D8">
      <w:pPr>
        <w:snapToGrid w:val="0"/>
        <w:spacing w:line="360" w:lineRule="auto"/>
        <w:ind w:right="480"/>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二、符合参加政府采购活动应当具备的一般条件的承诺函</w:t>
      </w:r>
    </w:p>
    <w:p w14:paraId="565A006B">
      <w:pP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（采购人）、（采购代理机构）：</w:t>
      </w:r>
    </w:p>
    <w:p w14:paraId="197BB19F">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我方参与（项目名称）【招标编号：（采购编号）】政府采购活动，郑重承诺：</w:t>
      </w:r>
    </w:p>
    <w:p w14:paraId="7269E439">
      <w:pPr>
        <w:snapToGrid w:val="0"/>
        <w:spacing w:line="360" w:lineRule="auto"/>
        <w:ind w:firstLine="360" w:firstLineChars="15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（一）具备《中华人民共和国政府采购法》第二十二条第一款规定的条件：</w:t>
      </w:r>
    </w:p>
    <w:p w14:paraId="1262D8E5">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1、具有独立承担民事责任的能力；</w:t>
      </w:r>
    </w:p>
    <w:p w14:paraId="009A74F9">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2、具有良好的商业信誉和健全的财务会计制度； </w:t>
      </w:r>
    </w:p>
    <w:p w14:paraId="4EC5776E">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3、具有履行合同所必需的设备和专业技术能力；</w:t>
      </w:r>
    </w:p>
    <w:p w14:paraId="71F2093E">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4、有依法缴纳税收和社会保障资金的良好记录；</w:t>
      </w:r>
    </w:p>
    <w:p w14:paraId="290E49A9">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5、参加政府采购活动前三年内，在经营活动中没有重大违法记录；</w:t>
      </w:r>
    </w:p>
    <w:p w14:paraId="17DD6BA8">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6、具有法律、行政法规规定的其他条件。</w:t>
      </w:r>
    </w:p>
    <w:p w14:paraId="794683D8">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（二）未被信用中国（www.creditchina.gov.cn)、中国政府采购网（www.ccgp.gov.cn）列入失信被执行人、重大税收违法案件当事人名单、政府采购严重违法失信行为记录名单。</w:t>
      </w:r>
    </w:p>
    <w:p w14:paraId="54709B5A">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（三）不存在以下情况：</w:t>
      </w:r>
    </w:p>
    <w:p w14:paraId="5DCC5E3A">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1、单位负责人为同一人或者存在直接控股、管理关系的不同供应商参加同一合同项下的政府采购活动的；</w:t>
      </w:r>
    </w:p>
    <w:p w14:paraId="256FE0C9">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2、为采购项目提供整体设计、规范编制或者项目管理、监理、检测等服务后再参加该采购项目的其他采购活动的。</w:t>
      </w:r>
    </w:p>
    <w:p w14:paraId="009B2A4E">
      <w:pPr>
        <w:snapToGrid w:val="0"/>
        <w:spacing w:line="360" w:lineRule="auto"/>
        <w:ind w:firstLine="5520" w:firstLineChars="2300"/>
        <w:rPr>
          <w:rFonts w:cs="仿宋" w:asciiTheme="majorEastAsia" w:hAnsiTheme="majorEastAsia" w:eastAsiaTheme="majorEastAsia"/>
          <w:color w:val="auto"/>
          <w:kern w:val="0"/>
          <w:sz w:val="24"/>
          <w:highlight w:val="none"/>
          <w:lang w:val="zh-CN"/>
        </w:rPr>
      </w:pPr>
    </w:p>
    <w:p w14:paraId="25863C63">
      <w:pPr>
        <w:snapToGrid w:val="0"/>
        <w:spacing w:line="360" w:lineRule="auto"/>
        <w:ind w:firstLine="5520" w:firstLineChars="2300"/>
        <w:rPr>
          <w:rFonts w:cs="仿宋" w:asciiTheme="majorEastAsia" w:hAnsiTheme="majorEastAsia" w:eastAsiaTheme="majorEastAsia"/>
          <w:color w:val="auto"/>
          <w:kern w:val="0"/>
          <w:sz w:val="24"/>
          <w:highlight w:val="none"/>
          <w:lang w:val="zh-CN"/>
        </w:rPr>
      </w:pPr>
    </w:p>
    <w:p w14:paraId="57C02A5D">
      <w:pPr>
        <w:spacing w:line="360" w:lineRule="auto"/>
        <w:ind w:right="420" w:firstLine="5250" w:firstLineChars="2500"/>
        <w:rPr>
          <w:rFonts w:ascii="宋体" w:hAnsi="宋体" w:cs="宋体"/>
          <w:color w:val="auto"/>
          <w:highlight w:val="none"/>
        </w:rPr>
      </w:pPr>
      <w:r>
        <w:rPr>
          <w:rFonts w:hint="eastAsia" w:ascii="宋体" w:hAnsi="宋体" w:cs="宋体"/>
          <w:color w:val="auto"/>
          <w:highlight w:val="none"/>
        </w:rPr>
        <w:t xml:space="preserve">法定代表人（签名或印章）：     </w:t>
      </w:r>
    </w:p>
    <w:p w14:paraId="1B824017">
      <w:pPr>
        <w:spacing w:line="360" w:lineRule="auto"/>
        <w:ind w:right="420" w:firstLine="5460" w:firstLineChars="2600"/>
        <w:rPr>
          <w:rFonts w:ascii="宋体" w:hAnsi="宋体" w:cs="宋体"/>
          <w:color w:val="auto"/>
          <w:highlight w:val="none"/>
        </w:rPr>
      </w:pPr>
      <w:r>
        <w:rPr>
          <w:rFonts w:hint="eastAsia" w:ascii="宋体" w:hAnsi="宋体" w:cs="宋体"/>
          <w:color w:val="auto"/>
          <w:highlight w:val="none"/>
        </w:rPr>
        <w:t xml:space="preserve">投标人（盖章）：   </w:t>
      </w:r>
    </w:p>
    <w:p w14:paraId="14023AD2">
      <w:pPr>
        <w:spacing w:line="360" w:lineRule="auto"/>
        <w:ind w:right="420" w:firstLine="5355" w:firstLineChars="2550"/>
        <w:rPr>
          <w:rFonts w:ascii="宋体" w:hAnsi="宋体" w:cs="宋体"/>
          <w:color w:val="auto"/>
          <w:highlight w:val="none"/>
        </w:rPr>
      </w:pPr>
      <w:r>
        <w:rPr>
          <w:rFonts w:hint="eastAsia" w:ascii="宋体" w:hAnsi="宋体" w:cs="宋体"/>
          <w:color w:val="auto"/>
          <w:highlight w:val="none"/>
        </w:rPr>
        <w:t xml:space="preserve"> 年    月    日</w:t>
      </w:r>
    </w:p>
    <w:p w14:paraId="7951102B">
      <w:pPr>
        <w:widowControl/>
        <w:spacing w:line="360" w:lineRule="auto"/>
        <w:ind w:firstLine="470" w:firstLineChars="196"/>
        <w:jc w:val="left"/>
        <w:rPr>
          <w:rFonts w:cs="仿宋" w:asciiTheme="majorEastAsia" w:hAnsiTheme="majorEastAsia" w:eastAsiaTheme="majorEastAsia"/>
          <w:color w:val="auto"/>
          <w:sz w:val="24"/>
          <w:highlight w:val="none"/>
        </w:rPr>
      </w:pPr>
    </w:p>
    <w:p w14:paraId="312C2C8E">
      <w:pPr>
        <w:spacing w:line="360" w:lineRule="auto"/>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rPr>
        <w:t>三、本项目的特定资格要求</w:t>
      </w:r>
    </w:p>
    <w:p w14:paraId="506EDFEE">
      <w:pP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根据招标公告本项目的特定资格要求提供相应的材料</w:t>
      </w:r>
      <w:r>
        <w:rPr>
          <w:rFonts w:hint="eastAsia" w:cs="仿宋" w:asciiTheme="majorEastAsia" w:hAnsiTheme="majorEastAsia" w:eastAsiaTheme="majorEastAsia"/>
          <w:color w:val="auto"/>
          <w:sz w:val="24"/>
          <w:highlight w:val="none"/>
          <w:lang w:val="en-US" w:eastAsia="zh-CN"/>
        </w:rPr>
        <w:t>：投标文件中提供</w:t>
      </w:r>
      <w:r>
        <w:rPr>
          <w:rFonts w:hint="eastAsia" w:cs="仿宋" w:asciiTheme="majorEastAsia" w:hAnsiTheme="majorEastAsia" w:eastAsiaTheme="majorEastAsia"/>
          <w:color w:val="auto"/>
          <w:sz w:val="24"/>
          <w:highlight w:val="none"/>
        </w:rPr>
        <w:t>具备省级及以上建设主管部门核发的建设工程地基基础检测资质，检测能力中包含本次招标的全部检测内容并满足现行标准</w:t>
      </w:r>
      <w:r>
        <w:rPr>
          <w:rFonts w:hint="eastAsia" w:cs="仿宋" w:asciiTheme="majorEastAsia" w:hAnsiTheme="majorEastAsia" w:eastAsiaTheme="majorEastAsia"/>
          <w:b/>
          <w:bCs/>
          <w:color w:val="auto"/>
          <w:sz w:val="24"/>
          <w:highlight w:val="none"/>
          <w:lang w:eastAsia="zh-CN"/>
        </w:rPr>
        <w:t>（</w:t>
      </w:r>
      <w:r>
        <w:rPr>
          <w:rFonts w:hint="eastAsia" w:cs="仿宋" w:asciiTheme="majorEastAsia" w:hAnsiTheme="majorEastAsia" w:eastAsiaTheme="majorEastAsia"/>
          <w:b/>
          <w:bCs/>
          <w:color w:val="auto"/>
          <w:sz w:val="24"/>
          <w:highlight w:val="none"/>
          <w:lang w:val="en-US" w:eastAsia="zh-CN"/>
        </w:rPr>
        <w:t>请用显目标识标注相关参数</w:t>
      </w:r>
      <w:r>
        <w:rPr>
          <w:rFonts w:hint="eastAsia" w:cs="仿宋" w:asciiTheme="majorEastAsia" w:hAnsiTheme="majorEastAsia" w:eastAsiaTheme="majorEastAsia"/>
          <w:b/>
          <w:bCs/>
          <w:color w:val="auto"/>
          <w:sz w:val="24"/>
          <w:highlight w:val="none"/>
          <w:lang w:eastAsia="zh-CN"/>
        </w:rPr>
        <w:t>）</w:t>
      </w:r>
    </w:p>
    <w:p w14:paraId="71443956">
      <w:pPr>
        <w:spacing w:line="360" w:lineRule="auto"/>
        <w:rPr>
          <w:rFonts w:cs="仿宋" w:asciiTheme="majorEastAsia" w:hAnsiTheme="majorEastAsia" w:eastAsiaTheme="majorEastAsia"/>
          <w:color w:val="auto"/>
          <w:highlight w:val="none"/>
        </w:rPr>
      </w:pPr>
    </w:p>
    <w:p w14:paraId="6BC015B1">
      <w:pP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66364478">
      <w:pP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1D3BBA64">
      <w:pP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5DF775DD">
      <w:pP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2EF0B65E">
      <w:pP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0D593DA2">
      <w:pP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4EF80021">
      <w:pPr>
        <w:spacing w:line="360" w:lineRule="auto"/>
        <w:jc w:val="center"/>
        <w:outlineLvl w:val="0"/>
        <w:rPr>
          <w:rFonts w:cs="仿宋" w:asciiTheme="majorEastAsia" w:hAnsiTheme="majorEastAsia" w:eastAsiaTheme="majorEastAsia"/>
          <w:b/>
          <w:color w:val="auto"/>
          <w:kern w:val="0"/>
          <w:sz w:val="36"/>
          <w:szCs w:val="36"/>
          <w:highlight w:val="none"/>
        </w:rPr>
      </w:pPr>
    </w:p>
    <w:p w14:paraId="015B7605">
      <w:pP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59BE123F">
      <w:pPr>
        <w:spacing w:line="360" w:lineRule="auto"/>
        <w:jc w:val="center"/>
        <w:outlineLvl w:val="0"/>
        <w:rPr>
          <w:rFonts w:cs="仿宋" w:asciiTheme="majorEastAsia" w:hAnsiTheme="majorEastAsia" w:eastAsiaTheme="majorEastAsia"/>
          <w:b/>
          <w:color w:val="auto"/>
          <w:kern w:val="0"/>
          <w:sz w:val="36"/>
          <w:szCs w:val="36"/>
          <w:highlight w:val="none"/>
        </w:rPr>
      </w:pPr>
    </w:p>
    <w:p w14:paraId="36528BD4">
      <w:pP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730A5865">
      <w:pPr>
        <w:spacing w:line="360" w:lineRule="auto"/>
        <w:jc w:val="center"/>
        <w:outlineLvl w:val="0"/>
        <w:rPr>
          <w:rFonts w:cs="仿宋" w:asciiTheme="majorEastAsia" w:hAnsiTheme="majorEastAsia" w:eastAsiaTheme="majorEastAsia"/>
          <w:b/>
          <w:color w:val="auto"/>
          <w:kern w:val="0"/>
          <w:sz w:val="36"/>
          <w:szCs w:val="36"/>
          <w:highlight w:val="none"/>
        </w:rPr>
      </w:pPr>
    </w:p>
    <w:p w14:paraId="24E615F4">
      <w:pPr>
        <w:spacing w:line="360" w:lineRule="auto"/>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br w:type="page"/>
      </w:r>
    </w:p>
    <w:p w14:paraId="0880BE94">
      <w:pPr>
        <w:spacing w:line="360" w:lineRule="auto"/>
        <w:ind w:right="420"/>
        <w:jc w:val="center"/>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商务技术文件部分</w:t>
      </w:r>
    </w:p>
    <w:p w14:paraId="5CCAD8B2">
      <w:pPr>
        <w:spacing w:line="360" w:lineRule="auto"/>
        <w:jc w:val="center"/>
        <w:outlineLvl w:val="0"/>
        <w:rPr>
          <w:rFonts w:cs="仿宋" w:asciiTheme="majorEastAsia" w:hAnsiTheme="majorEastAsia" w:eastAsiaTheme="majorEastAsia"/>
          <w:b/>
          <w:color w:val="auto"/>
          <w:kern w:val="0"/>
          <w:sz w:val="24"/>
          <w:highlight w:val="none"/>
        </w:rPr>
      </w:pPr>
    </w:p>
    <w:p w14:paraId="1A151DC2">
      <w:pPr>
        <w:spacing w:line="360" w:lineRule="auto"/>
        <w:ind w:left="3990" w:leftChars="1900"/>
        <w:outlineLvl w:val="0"/>
        <w:rPr>
          <w:rFonts w:cs="仿宋" w:asciiTheme="majorEastAsia" w:hAnsiTheme="majorEastAsia" w:eastAsiaTheme="majorEastAsia"/>
          <w:b/>
          <w:color w:val="auto"/>
          <w:kern w:val="0"/>
          <w:sz w:val="28"/>
          <w:szCs w:val="28"/>
          <w:highlight w:val="none"/>
        </w:rPr>
      </w:pPr>
      <w:r>
        <w:rPr>
          <w:rFonts w:hint="eastAsia" w:cs="仿宋" w:asciiTheme="majorEastAsia" w:hAnsiTheme="majorEastAsia" w:eastAsiaTheme="majorEastAsia"/>
          <w:b/>
          <w:color w:val="auto"/>
          <w:kern w:val="0"/>
          <w:sz w:val="28"/>
          <w:szCs w:val="28"/>
          <w:highlight w:val="none"/>
        </w:rPr>
        <w:t>目 录</w:t>
      </w:r>
    </w:p>
    <w:p w14:paraId="1B0FEC10">
      <w:pPr>
        <w:snapToGrid w:val="0"/>
        <w:spacing w:line="360" w:lineRule="auto"/>
        <w:ind w:firstLine="960" w:firstLineChars="400"/>
        <w:rPr>
          <w:rFonts w:cs="仿宋" w:asciiTheme="majorEastAsia" w:hAnsiTheme="majorEastAsia" w:eastAsiaTheme="majorEastAsia"/>
          <w:color w:val="auto"/>
          <w:sz w:val="24"/>
          <w:highlight w:val="none"/>
        </w:rPr>
      </w:pPr>
    </w:p>
    <w:p w14:paraId="7BAD7092">
      <w:pP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符合性自查表；</w:t>
      </w:r>
    </w:p>
    <w:p w14:paraId="7B159EFE">
      <w:pP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投标函；</w:t>
      </w:r>
      <w:r>
        <w:rPr>
          <w:rFonts w:hint="eastAsia" w:cs="仿宋" w:asciiTheme="majorEastAsia" w:hAnsiTheme="majorEastAsia" w:eastAsiaTheme="majorEastAsia"/>
          <w:color w:val="auto"/>
          <w:sz w:val="28"/>
          <w:szCs w:val="28"/>
          <w:highlight w:val="none"/>
          <w:lang w:val="zh-CN"/>
        </w:rPr>
        <w:t xml:space="preserve"> </w:t>
      </w:r>
    </w:p>
    <w:p w14:paraId="4E4AC99D">
      <w:pP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授权委托书；</w:t>
      </w:r>
    </w:p>
    <w:p w14:paraId="58BCEC6B">
      <w:pP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供应商情况表；</w:t>
      </w:r>
    </w:p>
    <w:p w14:paraId="2D0C0473">
      <w:pP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5 距采购人最近或者能为本项目提供最优服务的网点情况表；</w:t>
      </w:r>
    </w:p>
    <w:p w14:paraId="19C9C554">
      <w:pP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6 评标标准相应的商务技术资料；</w:t>
      </w:r>
    </w:p>
    <w:p w14:paraId="0246382F">
      <w:pP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7 商务偏离表；</w:t>
      </w:r>
    </w:p>
    <w:p w14:paraId="082BC116">
      <w:pP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8 技术偏离表；</w:t>
      </w:r>
    </w:p>
    <w:p w14:paraId="76888D94">
      <w:pP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9 同类业绩情况一览表；</w:t>
      </w:r>
    </w:p>
    <w:p w14:paraId="0D4A72EA">
      <w:pPr>
        <w:adjustRightInd w:val="0"/>
        <w:snapToGrid w:val="0"/>
        <w:spacing w:line="360" w:lineRule="auto"/>
        <w:ind w:firstLine="840" w:firstLineChars="300"/>
        <w:rPr>
          <w:rFonts w:cs="仿宋" w:asciiTheme="majorEastAsia" w:hAnsiTheme="majorEastAsia" w:eastAsiaTheme="majorEastAsia"/>
          <w:color w:val="auto"/>
          <w:sz w:val="28"/>
          <w:szCs w:val="28"/>
          <w:highlight w:val="none"/>
          <w:lang w:val="zh-CN"/>
        </w:rPr>
      </w:pPr>
      <w:r>
        <w:rPr>
          <w:rFonts w:hint="eastAsia" w:cs="仿宋" w:asciiTheme="majorEastAsia" w:hAnsiTheme="majorEastAsia" w:eastAsiaTheme="majorEastAsia"/>
          <w:color w:val="auto"/>
          <w:sz w:val="28"/>
          <w:szCs w:val="28"/>
          <w:highlight w:val="none"/>
        </w:rPr>
        <w:t xml:space="preserve">10 </w:t>
      </w:r>
      <w:r>
        <w:rPr>
          <w:rFonts w:hint="eastAsia" w:cs="仿宋" w:asciiTheme="majorEastAsia" w:hAnsiTheme="majorEastAsia" w:eastAsiaTheme="majorEastAsia"/>
          <w:color w:val="auto"/>
          <w:sz w:val="28"/>
          <w:szCs w:val="28"/>
          <w:highlight w:val="none"/>
          <w:lang w:val="zh-CN"/>
        </w:rPr>
        <w:t>政府采购供应商廉洁自律承诺书；</w:t>
      </w:r>
    </w:p>
    <w:p w14:paraId="36AF7E30">
      <w:pP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11 其他资料。</w:t>
      </w:r>
    </w:p>
    <w:p w14:paraId="276D35D3">
      <w:pPr>
        <w:snapToGrid w:val="0"/>
        <w:spacing w:line="360" w:lineRule="auto"/>
        <w:outlineLvl w:val="0"/>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color w:val="auto"/>
          <w:kern w:val="0"/>
          <w:sz w:val="24"/>
          <w:highlight w:val="none"/>
        </w:rPr>
        <w:br w:type="page"/>
      </w:r>
    </w:p>
    <w:p w14:paraId="61E2435F">
      <w:pPr>
        <w:numPr>
          <w:ilvl w:val="0"/>
          <w:numId w:val="3"/>
        </w:numPr>
        <w:snapToGrid w:val="0"/>
        <w:spacing w:line="360" w:lineRule="auto"/>
        <w:jc w:val="center"/>
        <w:outlineLvl w:val="0"/>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符合性自查表</w:t>
      </w:r>
    </w:p>
    <w:tbl>
      <w:tblPr>
        <w:tblStyle w:val="19"/>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103"/>
        <w:gridCol w:w="2518"/>
        <w:gridCol w:w="1185"/>
        <w:gridCol w:w="1785"/>
      </w:tblGrid>
      <w:tr w14:paraId="45F7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8" w:type="dxa"/>
            <w:vAlign w:val="center"/>
          </w:tcPr>
          <w:p w14:paraId="2526C8ED">
            <w:pP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序号</w:t>
            </w:r>
          </w:p>
        </w:tc>
        <w:tc>
          <w:tcPr>
            <w:tcW w:w="4103" w:type="dxa"/>
            <w:vAlign w:val="center"/>
          </w:tcPr>
          <w:p w14:paraId="32430505">
            <w:pP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实质性要求</w:t>
            </w:r>
          </w:p>
        </w:tc>
        <w:tc>
          <w:tcPr>
            <w:tcW w:w="2518" w:type="dxa"/>
            <w:vAlign w:val="center"/>
          </w:tcPr>
          <w:p w14:paraId="537A6730">
            <w:pP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需要提供的符合性审查资料</w:t>
            </w:r>
          </w:p>
        </w:tc>
        <w:tc>
          <w:tcPr>
            <w:tcW w:w="1185" w:type="dxa"/>
            <w:vAlign w:val="center"/>
          </w:tcPr>
          <w:p w14:paraId="123B8108">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自查结论</w:t>
            </w:r>
          </w:p>
        </w:tc>
        <w:tc>
          <w:tcPr>
            <w:tcW w:w="1785" w:type="dxa"/>
            <w:vAlign w:val="center"/>
          </w:tcPr>
          <w:p w14:paraId="43474A61">
            <w:pP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投标文件中的</w:t>
            </w:r>
          </w:p>
          <w:p w14:paraId="73087F3E">
            <w:pP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页码位置</w:t>
            </w:r>
          </w:p>
        </w:tc>
      </w:tr>
      <w:tr w14:paraId="40B3B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4B80C592">
            <w:pP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4103" w:type="dxa"/>
            <w:vAlign w:val="center"/>
          </w:tcPr>
          <w:p w14:paraId="20C0595D">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投标文件按照招标文件要求签署、盖章。</w:t>
            </w:r>
          </w:p>
        </w:tc>
        <w:tc>
          <w:tcPr>
            <w:tcW w:w="2518" w:type="dxa"/>
            <w:vAlign w:val="center"/>
          </w:tcPr>
          <w:p w14:paraId="78BEDACC">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需要使用电子签名或者签字盖章的投标文件的组成部分</w:t>
            </w:r>
          </w:p>
        </w:tc>
        <w:tc>
          <w:tcPr>
            <w:tcW w:w="1185" w:type="dxa"/>
            <w:vAlign w:val="center"/>
          </w:tcPr>
          <w:p w14:paraId="101B2049">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28E9D0FB">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7FC8A1F3">
            <w:pPr>
              <w:spacing w:line="360" w:lineRule="auto"/>
              <w:rPr>
                <w:rFonts w:cs="仿宋" w:asciiTheme="majorEastAsia" w:hAnsiTheme="majorEastAsia" w:eastAsiaTheme="majorEastAsia"/>
                <w:color w:val="auto"/>
                <w:sz w:val="24"/>
                <w:highlight w:val="none"/>
              </w:rPr>
            </w:pPr>
          </w:p>
          <w:p w14:paraId="1452B119">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w:t>
            </w:r>
          </w:p>
          <w:p w14:paraId="7966B8BA">
            <w:pP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1D97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7847BA4B">
            <w:pP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p>
        </w:tc>
        <w:tc>
          <w:tcPr>
            <w:tcW w:w="4103" w:type="dxa"/>
            <w:vAlign w:val="center"/>
          </w:tcPr>
          <w:p w14:paraId="02BB02E4">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投标文件中承诺的投标有效期不少于招标文件中载明的投标有效期。</w:t>
            </w:r>
          </w:p>
        </w:tc>
        <w:tc>
          <w:tcPr>
            <w:tcW w:w="2518" w:type="dxa"/>
            <w:vAlign w:val="center"/>
          </w:tcPr>
          <w:p w14:paraId="399C2803">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投标函</w:t>
            </w:r>
          </w:p>
        </w:tc>
        <w:tc>
          <w:tcPr>
            <w:tcW w:w="1185" w:type="dxa"/>
            <w:vAlign w:val="center"/>
          </w:tcPr>
          <w:p w14:paraId="22E3C899">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72B3C255">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4C7C842D">
            <w:pP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2821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08" w:type="dxa"/>
            <w:vAlign w:val="center"/>
          </w:tcPr>
          <w:p w14:paraId="070E383E">
            <w:pP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w:t>
            </w:r>
          </w:p>
        </w:tc>
        <w:tc>
          <w:tcPr>
            <w:tcW w:w="4103" w:type="dxa"/>
            <w:vAlign w:val="center"/>
          </w:tcPr>
          <w:p w14:paraId="19E10D8F">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投标文件满足招标文件的其它实质性要求。</w:t>
            </w:r>
          </w:p>
        </w:tc>
        <w:tc>
          <w:tcPr>
            <w:tcW w:w="2518" w:type="dxa"/>
            <w:vAlign w:val="center"/>
          </w:tcPr>
          <w:p w14:paraId="44EDA9FE">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rPr>
              <w:t>招标文件其它实质性要求相应的材料（“▲” 系指实质性要求条款，招标文件无其它实质性要求的，无需提供）</w:t>
            </w:r>
          </w:p>
        </w:tc>
        <w:tc>
          <w:tcPr>
            <w:tcW w:w="1185" w:type="dxa"/>
            <w:vAlign w:val="center"/>
          </w:tcPr>
          <w:p w14:paraId="43805B4F">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2D300B7F">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215ADBC7">
            <w:pP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06D63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6899D943">
            <w:pP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w:t>
            </w:r>
          </w:p>
        </w:tc>
        <w:tc>
          <w:tcPr>
            <w:tcW w:w="4103" w:type="dxa"/>
            <w:vAlign w:val="center"/>
          </w:tcPr>
          <w:p w14:paraId="63708E86">
            <w:pPr>
              <w:snapToGrid w:val="0"/>
              <w:spacing w:line="360" w:lineRule="auto"/>
              <w:jc w:val="lef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投标文件没有招标文件中规定的其它无效投标条款的。</w:t>
            </w:r>
          </w:p>
        </w:tc>
        <w:tc>
          <w:tcPr>
            <w:tcW w:w="2518" w:type="dxa"/>
            <w:vAlign w:val="center"/>
          </w:tcPr>
          <w:p w14:paraId="7A1B3B3B">
            <w:pPr>
              <w:spacing w:line="360" w:lineRule="auto"/>
              <w:rPr>
                <w:rFonts w:cs="仿宋" w:asciiTheme="majorEastAsia" w:hAnsiTheme="majorEastAsia" w:eastAsiaTheme="majorEastAsia"/>
                <w:color w:val="auto"/>
                <w:kern w:val="0"/>
                <w:sz w:val="24"/>
                <w:highlight w:val="none"/>
              </w:rPr>
            </w:pPr>
          </w:p>
        </w:tc>
        <w:tc>
          <w:tcPr>
            <w:tcW w:w="1185" w:type="dxa"/>
            <w:vAlign w:val="center"/>
          </w:tcPr>
          <w:p w14:paraId="02F46032">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5EEF2983">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0CD6D4E2">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2CD4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5B58B45C">
            <w:pP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p>
        </w:tc>
        <w:tc>
          <w:tcPr>
            <w:tcW w:w="4103" w:type="dxa"/>
            <w:vAlign w:val="center"/>
          </w:tcPr>
          <w:p w14:paraId="6F8639B9">
            <w:pPr>
              <w:snapToGrid w:val="0"/>
              <w:spacing w:line="360" w:lineRule="auto"/>
              <w:jc w:val="lef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按有关法律、法规、规章不属于投标无效的。</w:t>
            </w:r>
          </w:p>
        </w:tc>
        <w:tc>
          <w:tcPr>
            <w:tcW w:w="2518" w:type="dxa"/>
            <w:vAlign w:val="center"/>
          </w:tcPr>
          <w:p w14:paraId="23E5FA41">
            <w:pPr>
              <w:spacing w:line="360" w:lineRule="auto"/>
              <w:rPr>
                <w:rFonts w:cs="仿宋" w:asciiTheme="majorEastAsia" w:hAnsiTheme="majorEastAsia" w:eastAsiaTheme="majorEastAsia"/>
                <w:color w:val="auto"/>
                <w:kern w:val="0"/>
                <w:sz w:val="24"/>
                <w:highlight w:val="none"/>
              </w:rPr>
            </w:pPr>
          </w:p>
        </w:tc>
        <w:tc>
          <w:tcPr>
            <w:tcW w:w="1185" w:type="dxa"/>
            <w:vAlign w:val="center"/>
          </w:tcPr>
          <w:p w14:paraId="04934C04">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37EE6B7C">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0FA2E859">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bl>
    <w:p w14:paraId="4DA2D730">
      <w:pPr>
        <w:snapToGrid w:val="0"/>
        <w:spacing w:line="360" w:lineRule="auto"/>
        <w:jc w:val="left"/>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24"/>
          <w:highlight w:val="none"/>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14:paraId="40C1BB7C">
      <w:pPr>
        <w:numPr>
          <w:ilvl w:val="0"/>
          <w:numId w:val="3"/>
        </w:numPr>
        <w:snapToGrid w:val="0"/>
        <w:spacing w:line="360" w:lineRule="auto"/>
        <w:jc w:val="center"/>
        <w:outlineLvl w:val="0"/>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kern w:val="0"/>
          <w:sz w:val="32"/>
          <w:szCs w:val="32"/>
          <w:highlight w:val="none"/>
        </w:rPr>
        <w:br w:type="page"/>
      </w:r>
      <w:r>
        <w:rPr>
          <w:rFonts w:hint="eastAsia" w:cs="仿宋" w:asciiTheme="majorEastAsia" w:hAnsiTheme="majorEastAsia" w:eastAsiaTheme="majorEastAsia"/>
          <w:b/>
          <w:color w:val="auto"/>
          <w:kern w:val="0"/>
          <w:sz w:val="32"/>
          <w:szCs w:val="32"/>
          <w:highlight w:val="none"/>
        </w:rPr>
        <w:t>投标</w:t>
      </w:r>
      <w:r>
        <w:rPr>
          <w:rFonts w:hint="eastAsia" w:cs="仿宋" w:asciiTheme="majorEastAsia" w:hAnsiTheme="majorEastAsia" w:eastAsiaTheme="majorEastAsia"/>
          <w:b/>
          <w:color w:val="auto"/>
          <w:sz w:val="32"/>
          <w:szCs w:val="32"/>
          <w:highlight w:val="none"/>
        </w:rPr>
        <w:t>函</w:t>
      </w:r>
    </w:p>
    <w:p w14:paraId="30161C92">
      <w:pP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（采购人）、（采购代理机构）：</w:t>
      </w:r>
    </w:p>
    <w:p w14:paraId="53A3F9FC">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我方参加你方组织的（项目名称）【招标编号：（采购编号）】招标的有关活动，并对此项目进行投标。为此：</w:t>
      </w:r>
    </w:p>
    <w:p w14:paraId="6F3829C7">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1、我方承诺投标有效期从提交投标文件的截止之日起</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天（不少于90天）</w:t>
      </w:r>
      <w:r>
        <w:rPr>
          <w:rFonts w:hint="eastAsia" w:cs="仿宋" w:asciiTheme="majorEastAsia" w:hAnsiTheme="majorEastAsia" w:eastAsiaTheme="majorEastAsia"/>
          <w:color w:val="auto"/>
          <w:highlight w:val="none"/>
        </w:rPr>
        <w:t>，</w:t>
      </w:r>
      <w:r>
        <w:rPr>
          <w:rFonts w:hint="eastAsia" w:cs="仿宋" w:asciiTheme="majorEastAsia" w:hAnsiTheme="majorEastAsia" w:eastAsiaTheme="majorEastAsia"/>
          <w:color w:val="auto"/>
          <w:sz w:val="24"/>
          <w:highlight w:val="none"/>
        </w:rPr>
        <w:t>本投标文件在投标有效期满之前均具有约束力。</w:t>
      </w:r>
    </w:p>
    <w:p w14:paraId="1352BD71">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2、我方的投标文件包括以下内容：</w:t>
      </w:r>
    </w:p>
    <w:p w14:paraId="6C330907">
      <w:pP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2.1资格文件：</w:t>
      </w:r>
    </w:p>
    <w:p w14:paraId="610F3C5B">
      <w:pP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2.1.1有效的企业法人营业执照（或事业法人登记证）、其他组织（个体工商户）的营业执照或者民办非企业单位登记证书；</w:t>
      </w:r>
    </w:p>
    <w:p w14:paraId="25632E0C">
      <w:pP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2.1.2符合参加政府采购活动应当具备的一般条件的承诺函落实政府采购政策需满足的资格要求；</w:t>
      </w:r>
    </w:p>
    <w:p w14:paraId="6C3C5CDD">
      <w:pP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2.1.3落实政府采购政策需满足的资格要求（如果有）；</w:t>
      </w:r>
    </w:p>
    <w:p w14:paraId="4E66065E">
      <w:pPr>
        <w:snapToGrid w:val="0"/>
        <w:spacing w:line="360" w:lineRule="auto"/>
        <w:ind w:firstLine="960" w:firstLineChars="40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2.1.</w:t>
      </w:r>
      <w:r>
        <w:rPr>
          <w:rFonts w:hint="eastAsia" w:cs="仿宋" w:asciiTheme="majorEastAsia" w:hAnsiTheme="majorEastAsia" w:eastAsiaTheme="majorEastAsia"/>
          <w:color w:val="auto"/>
          <w:sz w:val="24"/>
          <w:highlight w:val="none"/>
          <w:lang w:val="en-US" w:eastAsia="zh-CN"/>
        </w:rPr>
        <w:t>4</w:t>
      </w:r>
      <w:r>
        <w:rPr>
          <w:rFonts w:hint="eastAsia" w:cs="仿宋" w:asciiTheme="majorEastAsia" w:hAnsiTheme="majorEastAsia" w:eastAsiaTheme="majorEastAsia"/>
          <w:color w:val="auto"/>
          <w:sz w:val="24"/>
          <w:highlight w:val="none"/>
        </w:rPr>
        <w:t>本项目的特定资格要求。</w:t>
      </w:r>
    </w:p>
    <w:p w14:paraId="70391DBE">
      <w:pPr>
        <w:snapToGrid w:val="0"/>
        <w:spacing w:line="360" w:lineRule="auto"/>
        <w:ind w:left="210" w:leftChars="100"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 xml:space="preserve"> </w:t>
      </w:r>
      <w:r>
        <w:rPr>
          <w:rFonts w:hint="eastAsia" w:cs="仿宋" w:asciiTheme="majorEastAsia" w:hAnsiTheme="majorEastAsia" w:eastAsiaTheme="majorEastAsia"/>
          <w:color w:val="auto"/>
          <w:sz w:val="24"/>
          <w:highlight w:val="none"/>
        </w:rPr>
        <w:t>商务技术</w:t>
      </w:r>
      <w:r>
        <w:rPr>
          <w:rFonts w:hint="eastAsia" w:cs="仿宋" w:asciiTheme="majorEastAsia" w:hAnsiTheme="majorEastAsia" w:eastAsiaTheme="majorEastAsia"/>
          <w:color w:val="auto"/>
          <w:sz w:val="24"/>
          <w:highlight w:val="none"/>
          <w:lang w:val="zh-CN"/>
        </w:rPr>
        <w:t>文件：</w:t>
      </w:r>
    </w:p>
    <w:p w14:paraId="46452A84">
      <w:pP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2.2.1 符合性自查表；</w:t>
      </w:r>
    </w:p>
    <w:p w14:paraId="23B87626">
      <w:pPr>
        <w:snapToGrid w:val="0"/>
        <w:spacing w:line="360" w:lineRule="auto"/>
        <w:ind w:left="420" w:leftChars="200" w:firstLine="480" w:firstLineChars="200"/>
        <w:rPr>
          <w:rFonts w:cs="仿宋" w:asciiTheme="majorEastAsia" w:hAnsiTheme="majorEastAsia" w:eastAsiaTheme="majorEastAsia"/>
          <w:color w:val="auto"/>
          <w:highlight w:val="none"/>
          <w:lang w:val="zh-CN"/>
        </w:rPr>
      </w:pPr>
      <w:r>
        <w:rPr>
          <w:rFonts w:hint="eastAsia" w:cs="仿宋" w:asciiTheme="majorEastAsia" w:hAnsiTheme="majorEastAsia" w:eastAsiaTheme="majorEastAsia"/>
          <w:color w:val="auto"/>
          <w:sz w:val="24"/>
          <w:highlight w:val="none"/>
        </w:rPr>
        <w:t>2.2.2 投标函；</w:t>
      </w:r>
      <w:r>
        <w:rPr>
          <w:rFonts w:hint="eastAsia" w:cs="仿宋" w:asciiTheme="majorEastAsia" w:hAnsiTheme="majorEastAsia" w:eastAsiaTheme="majorEastAsia"/>
          <w:color w:val="auto"/>
          <w:sz w:val="24"/>
          <w:highlight w:val="none"/>
          <w:lang w:val="zh-CN"/>
        </w:rPr>
        <w:t xml:space="preserve"> </w:t>
      </w:r>
    </w:p>
    <w:p w14:paraId="4DE245BF">
      <w:pP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2.2.3 授权委托书；</w:t>
      </w:r>
    </w:p>
    <w:p w14:paraId="3E710066">
      <w:pP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2.2.4 供应商情况表；</w:t>
      </w:r>
    </w:p>
    <w:p w14:paraId="3EB23706">
      <w:pP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2.2.5 距采购人最近或者能为本项目提供最优服务的网点情况表；</w:t>
      </w:r>
    </w:p>
    <w:p w14:paraId="4BD150DA">
      <w:pP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2.2.6 评标标准相应的商务技术资料；</w:t>
      </w:r>
    </w:p>
    <w:p w14:paraId="1A869D16">
      <w:pP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7 商务偏离表；</w:t>
      </w:r>
    </w:p>
    <w:p w14:paraId="1FB4EEB3">
      <w:pP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8 技术偏离表；</w:t>
      </w:r>
    </w:p>
    <w:p w14:paraId="2712874B">
      <w:pP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9 同类业绩情况一览表；</w:t>
      </w:r>
    </w:p>
    <w:p w14:paraId="39DC2D5A">
      <w:pPr>
        <w:snapToGrid w:val="0"/>
        <w:spacing w:line="360" w:lineRule="auto"/>
        <w:ind w:left="420" w:leftChars="200"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 xml:space="preserve">2.2.10 </w:t>
      </w:r>
      <w:r>
        <w:rPr>
          <w:rFonts w:hint="eastAsia" w:cs="仿宋" w:asciiTheme="majorEastAsia" w:hAnsiTheme="majorEastAsia" w:eastAsiaTheme="majorEastAsia"/>
          <w:color w:val="auto"/>
          <w:sz w:val="24"/>
          <w:highlight w:val="none"/>
          <w:lang w:val="zh-CN"/>
        </w:rPr>
        <w:t>政府采购供应商廉洁自律承诺书；</w:t>
      </w:r>
    </w:p>
    <w:p w14:paraId="0E24CD6A">
      <w:pPr>
        <w:snapToGrid w:val="0"/>
        <w:spacing w:line="360" w:lineRule="auto"/>
        <w:ind w:left="420" w:leftChars="200" w:firstLine="480" w:firstLineChars="20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2.2.11 其他资料。</w:t>
      </w:r>
    </w:p>
    <w:p w14:paraId="05C9E5F2">
      <w:pP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3报价文件</w:t>
      </w:r>
    </w:p>
    <w:p w14:paraId="4B02594F">
      <w:pP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2.3.1 开标一览表；</w:t>
      </w:r>
    </w:p>
    <w:p w14:paraId="3B1F0C23">
      <w:pP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2.3.2投标报价明细表；</w:t>
      </w:r>
    </w:p>
    <w:p w14:paraId="03A6E861">
      <w:pP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2.3.3 中小企业声明函（如有）；</w:t>
      </w:r>
    </w:p>
    <w:p w14:paraId="7B96B4E6">
      <w:pP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2.3.4 残疾人福利性单位声明函（如有）；</w:t>
      </w:r>
    </w:p>
    <w:p w14:paraId="1E4813EB">
      <w:pP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2.3.5 监狱企业的证明文件（如有）；</w:t>
      </w:r>
    </w:p>
    <w:p w14:paraId="0ECA618A">
      <w:pP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2.3.6 政府采购统计基础信息表。</w:t>
      </w:r>
    </w:p>
    <w:p w14:paraId="0100DB98">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3、我方承诺除商务技术偏离表列出的偏离外，我方响应招标文件的全部要求。</w:t>
      </w:r>
    </w:p>
    <w:p w14:paraId="51A91320">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4、如我方中标，我方承诺：</w:t>
      </w:r>
    </w:p>
    <w:p w14:paraId="5A7A9642">
      <w:pP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4.1在收到中标通知书后，在中标通知书规定的期限内与你方签订合同； </w:t>
      </w:r>
    </w:p>
    <w:p w14:paraId="59A77D62">
      <w:pP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4.2在签订合同时不向你方提出附加条件； </w:t>
      </w:r>
    </w:p>
    <w:p w14:paraId="57F73EE5">
      <w:pP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4.3按照招标文件要求提交履约保证金； </w:t>
      </w:r>
    </w:p>
    <w:p w14:paraId="590A6EB4">
      <w:pP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4.4在合同约定的期限内完成合同规定的全部义务。 </w:t>
      </w:r>
    </w:p>
    <w:p w14:paraId="32E2B423">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5、其他补充说明: </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 xml:space="preserve"> 。</w:t>
      </w:r>
    </w:p>
    <w:p w14:paraId="45F33C93">
      <w:pPr>
        <w:spacing w:line="360" w:lineRule="auto"/>
        <w:ind w:firstLine="3600" w:firstLineChars="1500"/>
        <w:rPr>
          <w:rFonts w:cs="仿宋" w:asciiTheme="majorEastAsia" w:hAnsiTheme="majorEastAsia" w:eastAsiaTheme="majorEastAsia"/>
          <w:color w:val="auto"/>
          <w:sz w:val="24"/>
          <w:highlight w:val="none"/>
        </w:rPr>
      </w:pPr>
    </w:p>
    <w:p w14:paraId="330ED3DB">
      <w:pPr>
        <w:spacing w:line="360" w:lineRule="auto"/>
        <w:ind w:firstLine="3600" w:firstLineChars="1500"/>
        <w:rPr>
          <w:rFonts w:cs="仿宋" w:asciiTheme="majorEastAsia" w:hAnsiTheme="majorEastAsia" w:eastAsiaTheme="majorEastAsia"/>
          <w:color w:val="auto"/>
          <w:sz w:val="24"/>
          <w:highlight w:val="none"/>
        </w:rPr>
      </w:pPr>
    </w:p>
    <w:p w14:paraId="7F03E8A4">
      <w:pPr>
        <w:spacing w:line="360" w:lineRule="auto"/>
        <w:ind w:right="420" w:firstLine="5250" w:firstLineChars="2500"/>
        <w:rPr>
          <w:rFonts w:ascii="宋体" w:hAnsi="宋体" w:cs="宋体"/>
          <w:color w:val="auto"/>
          <w:highlight w:val="none"/>
        </w:rPr>
      </w:pPr>
      <w:r>
        <w:rPr>
          <w:rFonts w:hint="eastAsia" w:ascii="宋体" w:hAnsi="宋体" w:cs="宋体"/>
          <w:color w:val="auto"/>
          <w:highlight w:val="none"/>
        </w:rPr>
        <w:t xml:space="preserve">法定代表人（签名或印章）：     </w:t>
      </w:r>
    </w:p>
    <w:p w14:paraId="02FC533B">
      <w:pPr>
        <w:spacing w:line="360" w:lineRule="auto"/>
        <w:ind w:right="420" w:firstLine="5460" w:firstLineChars="2600"/>
        <w:rPr>
          <w:rFonts w:ascii="宋体" w:hAnsi="宋体" w:cs="宋体"/>
          <w:color w:val="auto"/>
          <w:highlight w:val="none"/>
        </w:rPr>
      </w:pPr>
      <w:r>
        <w:rPr>
          <w:rFonts w:hint="eastAsia" w:ascii="宋体" w:hAnsi="宋体" w:cs="宋体"/>
          <w:color w:val="auto"/>
          <w:highlight w:val="none"/>
        </w:rPr>
        <w:t xml:space="preserve">投标人（盖章）：   </w:t>
      </w:r>
    </w:p>
    <w:p w14:paraId="13F05ECF">
      <w:pPr>
        <w:spacing w:line="360" w:lineRule="auto"/>
        <w:ind w:right="420" w:firstLine="5355" w:firstLineChars="2550"/>
        <w:rPr>
          <w:rFonts w:ascii="宋体" w:hAnsi="宋体" w:cs="宋体"/>
          <w:color w:val="auto"/>
          <w:highlight w:val="none"/>
        </w:rPr>
      </w:pPr>
      <w:r>
        <w:rPr>
          <w:rFonts w:hint="eastAsia" w:ascii="宋体" w:hAnsi="宋体" w:cs="宋体"/>
          <w:color w:val="auto"/>
          <w:highlight w:val="none"/>
        </w:rPr>
        <w:t xml:space="preserve"> 年    月    日</w:t>
      </w:r>
    </w:p>
    <w:p w14:paraId="766B0617">
      <w:pPr>
        <w:spacing w:line="360" w:lineRule="auto"/>
        <w:jc w:val="center"/>
        <w:rPr>
          <w:rFonts w:cs="仿宋" w:asciiTheme="majorEastAsia" w:hAnsiTheme="majorEastAsia" w:eastAsiaTheme="majorEastAsia"/>
          <w:b/>
          <w:color w:val="auto"/>
          <w:kern w:val="0"/>
          <w:sz w:val="32"/>
          <w:szCs w:val="32"/>
          <w:highlight w:val="none"/>
        </w:rPr>
      </w:pPr>
    </w:p>
    <w:p w14:paraId="5CE6A0D0">
      <w:pPr>
        <w:spacing w:line="360" w:lineRule="auto"/>
        <w:jc w:val="center"/>
        <w:rPr>
          <w:rFonts w:cs="仿宋" w:asciiTheme="majorEastAsia" w:hAnsiTheme="majorEastAsia" w:eastAsiaTheme="majorEastAsia"/>
          <w:b/>
          <w:color w:val="auto"/>
          <w:kern w:val="0"/>
          <w:sz w:val="32"/>
          <w:szCs w:val="32"/>
          <w:highlight w:val="none"/>
          <w:lang w:val="zh-CN"/>
        </w:rPr>
      </w:pPr>
    </w:p>
    <w:p w14:paraId="12D21F29">
      <w:pPr>
        <w:spacing w:line="360" w:lineRule="auto"/>
        <w:rPr>
          <w:rFonts w:cs="仿宋" w:asciiTheme="majorEastAsia" w:hAnsiTheme="majorEastAsia" w:eastAsiaTheme="majorEastAsia"/>
          <w:b/>
          <w:color w:val="auto"/>
          <w:sz w:val="32"/>
          <w:szCs w:val="32"/>
          <w:highlight w:val="none"/>
        </w:rPr>
      </w:pPr>
      <w:bookmarkStart w:id="399" w:name="_Toc225223761"/>
      <w:bookmarkStart w:id="400" w:name="_Toc110393361"/>
      <w:bookmarkStart w:id="401" w:name="_Toc14746861"/>
      <w:bookmarkStart w:id="402" w:name="_Toc483379796"/>
      <w:bookmarkStart w:id="403" w:name="_Toc488936100"/>
      <w:bookmarkStart w:id="404" w:name="_Toc479927873"/>
    </w:p>
    <w:p w14:paraId="7F49FF8B">
      <w:pPr>
        <w:numPr>
          <w:ilvl w:val="0"/>
          <w:numId w:val="3"/>
        </w:numP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授权委托书</w:t>
      </w:r>
    </w:p>
    <w:p w14:paraId="7157AF4F">
      <w:pPr>
        <w:jc w:val="left"/>
        <w:rPr>
          <w:rFonts w:ascii="宋体" w:hAnsi="宋体" w:cs="宋体"/>
          <w:b/>
          <w:color w:val="auto"/>
          <w:sz w:val="32"/>
          <w:szCs w:val="32"/>
          <w:highlight w:val="none"/>
        </w:rPr>
      </w:pPr>
      <w:r>
        <w:rPr>
          <w:rFonts w:hint="eastAsia" w:cs="仿宋" w:asciiTheme="majorEastAsia" w:hAnsiTheme="majorEastAsia" w:eastAsiaTheme="majorEastAsia"/>
          <w:color w:val="auto"/>
          <w:sz w:val="24"/>
          <w:highlight w:val="none"/>
        </w:rPr>
        <w:t xml:space="preserve">                           </w:t>
      </w:r>
      <w:r>
        <w:rPr>
          <w:rFonts w:hint="eastAsia" w:ascii="宋体" w:hAnsi="宋体" w:cs="宋体"/>
          <w:b/>
          <w:color w:val="auto"/>
          <w:sz w:val="32"/>
          <w:szCs w:val="32"/>
          <w:highlight w:val="none"/>
        </w:rPr>
        <w:t>法定代表人授权委托书</w:t>
      </w:r>
    </w:p>
    <w:p w14:paraId="38BCE125">
      <w:pPr>
        <w:jc w:val="center"/>
        <w:rPr>
          <w:rFonts w:ascii="宋体" w:hAnsi="宋体" w:cs="宋体"/>
          <w:b/>
          <w:color w:val="auto"/>
          <w:sz w:val="32"/>
          <w:szCs w:val="32"/>
          <w:highlight w:val="none"/>
        </w:rPr>
      </w:pPr>
      <w:r>
        <w:rPr>
          <w:rFonts w:hint="eastAsia" w:ascii="宋体" w:hAnsi="宋体" w:cs="宋体"/>
          <w:bCs/>
          <w:color w:val="auto"/>
          <w:sz w:val="24"/>
          <w:highlight w:val="none"/>
        </w:rPr>
        <w:t>（法定代表人来投标的，此表不用）</w:t>
      </w:r>
    </w:p>
    <w:p w14:paraId="542ACC98">
      <w:pPr>
        <w:snapToGrid w:val="0"/>
        <w:spacing w:line="360" w:lineRule="auto"/>
        <w:rPr>
          <w:rFonts w:ascii="宋体" w:hAnsi="宋体" w:cs="宋体"/>
          <w:bCs/>
          <w:color w:val="auto"/>
          <w:sz w:val="24"/>
          <w:highlight w:val="none"/>
        </w:rPr>
      </w:pPr>
    </w:p>
    <w:p w14:paraId="0813E550">
      <w:pPr>
        <w:snapToGrid w:val="0"/>
        <w:spacing w:line="360" w:lineRule="auto"/>
        <w:rPr>
          <w:rFonts w:ascii="宋体" w:hAnsi="宋体" w:cs="宋体"/>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（采购单位名称）</w:t>
      </w:r>
      <w:r>
        <w:rPr>
          <w:rFonts w:hint="eastAsia" w:ascii="宋体" w:hAnsi="宋体" w:cs="宋体"/>
          <w:b/>
          <w:bCs/>
          <w:color w:val="auto"/>
          <w:szCs w:val="21"/>
          <w:highlight w:val="none"/>
        </w:rPr>
        <w:t xml:space="preserve"> </w:t>
      </w:r>
      <w:r>
        <w:rPr>
          <w:rFonts w:hint="eastAsia" w:ascii="宋体" w:hAnsi="宋体" w:cs="宋体"/>
          <w:color w:val="auto"/>
          <w:szCs w:val="21"/>
          <w:highlight w:val="none"/>
        </w:rPr>
        <w:t>：</w:t>
      </w:r>
    </w:p>
    <w:p w14:paraId="72F7D58D">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（投标人名称）的法定代表人，现授权委托本单位在职职工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（姓名）以我方的名义参加</w:t>
      </w:r>
      <w:r>
        <w:rPr>
          <w:rFonts w:hint="eastAsia" w:ascii="宋体" w:hAnsi="宋体" w:cs="宋体"/>
          <w:color w:val="auto"/>
          <w:szCs w:val="21"/>
          <w:highlight w:val="none"/>
          <w:u w:val="single"/>
        </w:rPr>
        <w:t xml:space="preserve">                       政府采购 </w:t>
      </w:r>
      <w:r>
        <w:rPr>
          <w:rFonts w:hint="eastAsia" w:ascii="宋体" w:hAnsi="宋体" w:cs="宋体"/>
          <w:color w:val="auto"/>
          <w:szCs w:val="21"/>
          <w:highlight w:val="none"/>
        </w:rPr>
        <w:t>项目的投标活动，并代表我方全权办理针对上述项目的投标、开标、评标、签约等具体事务和签署相关文件。</w:t>
      </w:r>
    </w:p>
    <w:p w14:paraId="335FC88E">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我方对被授权人的签名事项负全部责任。</w:t>
      </w:r>
    </w:p>
    <w:p w14:paraId="6D9BCE3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在撤销授权的书面通知以前，本授权书一直有效。被授权人在授权书有效期内签署的所有文件不因授权的撤销而失效。</w:t>
      </w:r>
    </w:p>
    <w:p w14:paraId="7E7C77D4">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被授权人无转委托权，特此委托。</w:t>
      </w:r>
    </w:p>
    <w:p w14:paraId="061D32D8">
      <w:pPr>
        <w:snapToGrid w:val="0"/>
        <w:spacing w:line="360" w:lineRule="auto"/>
        <w:rPr>
          <w:rFonts w:ascii="宋体" w:hAnsi="宋体" w:cs="宋体"/>
          <w:color w:val="auto"/>
          <w:szCs w:val="21"/>
          <w:highlight w:val="none"/>
        </w:rPr>
      </w:pPr>
    </w:p>
    <w:p w14:paraId="3F8C4463">
      <w:pPr>
        <w:snapToGrid w:val="0"/>
        <w:spacing w:line="360" w:lineRule="auto"/>
        <w:rPr>
          <w:rFonts w:ascii="宋体" w:hAnsi="宋体" w:cs="宋体"/>
          <w:color w:val="auto"/>
          <w:szCs w:val="21"/>
          <w:highlight w:val="none"/>
        </w:rPr>
      </w:pPr>
    </w:p>
    <w:p w14:paraId="7B3EE90D">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被授权人签名：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法定代表人签名：</w:t>
      </w:r>
      <w:r>
        <w:rPr>
          <w:rFonts w:hint="eastAsia" w:ascii="宋体" w:hAnsi="宋体" w:cs="宋体"/>
          <w:color w:val="auto"/>
          <w:szCs w:val="21"/>
          <w:highlight w:val="none"/>
          <w:u w:val="single"/>
        </w:rPr>
        <w:t xml:space="preserve">          </w:t>
      </w:r>
    </w:p>
    <w:p w14:paraId="63B50C64">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p>
    <w:p w14:paraId="1AB7645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被授权人身份证号码：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7A5B297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14:paraId="78D2BC69">
      <w:pPr>
        <w:snapToGrid w:val="0"/>
        <w:spacing w:line="360" w:lineRule="auto"/>
        <w:rPr>
          <w:rFonts w:ascii="宋体" w:hAnsi="宋体" w:cs="宋体"/>
          <w:color w:val="auto"/>
          <w:szCs w:val="21"/>
          <w:highlight w:val="none"/>
        </w:rPr>
      </w:pPr>
    </w:p>
    <w:p w14:paraId="166AB93A">
      <w:pPr>
        <w:spacing w:line="360" w:lineRule="auto"/>
        <w:ind w:firstLine="4830" w:firstLineChars="2300"/>
        <w:rPr>
          <w:rFonts w:ascii="宋体" w:hAnsi="宋体" w:cs="宋体"/>
          <w:color w:val="auto"/>
          <w:highlight w:val="none"/>
        </w:rPr>
      </w:pPr>
      <w:r>
        <w:rPr>
          <w:rFonts w:hint="eastAsia" w:ascii="宋体" w:hAnsi="宋体" w:cs="宋体"/>
          <w:color w:val="auto"/>
          <w:highlight w:val="none"/>
        </w:rPr>
        <w:t>投标人（盖章）：</w:t>
      </w:r>
    </w:p>
    <w:p w14:paraId="030CB7C0">
      <w:pPr>
        <w:spacing w:line="360" w:lineRule="auto"/>
        <w:ind w:firstLine="1260" w:firstLineChars="600"/>
        <w:rPr>
          <w:rFonts w:ascii="宋体" w:hAnsi="宋体" w:cs="宋体"/>
          <w:color w:val="auto"/>
          <w:highlight w:val="none"/>
        </w:rPr>
      </w:pPr>
      <w:r>
        <w:rPr>
          <w:rFonts w:hint="eastAsia" w:ascii="宋体" w:hAnsi="宋体" w:cs="宋体"/>
          <w:color w:val="auto"/>
          <w:highlight w:val="none"/>
        </w:rPr>
        <w:t xml:space="preserve">                                  日期：</w:t>
      </w:r>
    </w:p>
    <w:p w14:paraId="70C7C89A">
      <w:pPr>
        <w:spacing w:line="360" w:lineRule="auto"/>
        <w:rPr>
          <w:rFonts w:ascii="宋体" w:hAnsi="宋体" w:cs="宋体"/>
          <w:b/>
          <w:color w:val="auto"/>
          <w:szCs w:val="21"/>
          <w:highlight w:val="none"/>
        </w:rPr>
      </w:pPr>
    </w:p>
    <w:p w14:paraId="70A87AD3">
      <w:pPr>
        <w:spacing w:line="360" w:lineRule="auto"/>
        <w:rPr>
          <w:rFonts w:ascii="宋体" w:hAnsi="宋体" w:cs="宋体"/>
          <w:b/>
          <w:color w:val="auto"/>
          <w:szCs w:val="21"/>
          <w:highlight w:val="none"/>
        </w:rPr>
      </w:pPr>
    </w:p>
    <w:p w14:paraId="029AC09B">
      <w:pPr>
        <w:spacing w:line="360" w:lineRule="auto"/>
        <w:rPr>
          <w:rFonts w:ascii="宋体" w:hAnsi="宋体" w:cs="宋体"/>
          <w:b/>
          <w:color w:val="auto"/>
          <w:szCs w:val="21"/>
          <w:highlight w:val="none"/>
        </w:rPr>
      </w:pPr>
      <w:r>
        <w:rPr>
          <w:rFonts w:hint="eastAsia" w:ascii="宋体" w:hAnsi="宋体" w:cs="宋体"/>
          <w:b/>
          <w:color w:val="auto"/>
          <w:szCs w:val="21"/>
          <w:highlight w:val="none"/>
        </w:rPr>
        <w:t>附：法定代表人身份证复印件（正反面）、授权代表身份证复印件（正反面）：</w:t>
      </w:r>
    </w:p>
    <w:p w14:paraId="5552A563">
      <w:pPr>
        <w:snapToGrid w:val="0"/>
        <w:spacing w:line="360" w:lineRule="auto"/>
        <w:rPr>
          <w:rFonts w:cs="仿宋" w:asciiTheme="majorEastAsia" w:hAnsiTheme="majorEastAsia" w:eastAsiaTheme="majorEastAsia"/>
          <w:color w:val="auto"/>
          <w:sz w:val="24"/>
          <w:highlight w:val="none"/>
        </w:rPr>
      </w:pPr>
    </w:p>
    <w:p w14:paraId="48FBE63E">
      <w:pPr>
        <w:spacing w:line="360" w:lineRule="auto"/>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b/>
          <w:color w:val="auto"/>
          <w:kern w:val="0"/>
          <w:sz w:val="32"/>
          <w:szCs w:val="32"/>
          <w:highlight w:val="none"/>
          <w:lang w:val="zh-CN"/>
        </w:rPr>
        <w:t xml:space="preserve">      </w:t>
      </w:r>
      <w:r>
        <w:rPr>
          <w:rFonts w:hint="eastAsia" w:cs="仿宋" w:asciiTheme="majorEastAsia" w:hAnsiTheme="majorEastAsia" w:eastAsiaTheme="majorEastAsia"/>
          <w:b/>
          <w:color w:val="auto"/>
          <w:kern w:val="0"/>
          <w:sz w:val="32"/>
          <w:szCs w:val="32"/>
          <w:highlight w:val="none"/>
        </w:rPr>
        <w:t xml:space="preserve"> </w:t>
      </w:r>
    </w:p>
    <w:p w14:paraId="14494A1F">
      <w:pPr>
        <w:spacing w:line="360" w:lineRule="auto"/>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en-US" w:eastAsia="zh-CN"/>
        </w:rPr>
        <w:t>四、</w:t>
      </w:r>
      <w:r>
        <w:rPr>
          <w:rFonts w:hint="eastAsia" w:cs="仿宋" w:asciiTheme="majorEastAsia" w:hAnsiTheme="majorEastAsia" w:eastAsiaTheme="majorEastAsia"/>
          <w:b/>
          <w:color w:val="auto"/>
          <w:kern w:val="0"/>
          <w:sz w:val="32"/>
          <w:szCs w:val="32"/>
          <w:highlight w:val="none"/>
          <w:lang w:val="zh-CN"/>
        </w:rPr>
        <w:t>投标人基本情况</w:t>
      </w:r>
      <w:bookmarkEnd w:id="399"/>
      <w:bookmarkEnd w:id="400"/>
      <w:bookmarkEnd w:id="401"/>
      <w:bookmarkEnd w:id="402"/>
      <w:bookmarkEnd w:id="403"/>
      <w:bookmarkEnd w:id="404"/>
      <w:r>
        <w:rPr>
          <w:rFonts w:hint="eastAsia" w:cs="仿宋" w:asciiTheme="majorEastAsia" w:hAnsiTheme="majorEastAsia" w:eastAsiaTheme="majorEastAsia"/>
          <w:b/>
          <w:color w:val="auto"/>
          <w:kern w:val="0"/>
          <w:sz w:val="32"/>
          <w:szCs w:val="32"/>
          <w:highlight w:val="none"/>
          <w:lang w:val="zh-CN"/>
        </w:rPr>
        <w:t>表</w:t>
      </w:r>
    </w:p>
    <w:tbl>
      <w:tblPr>
        <w:tblStyle w:val="19"/>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171E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5591166">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投标人名称</w:t>
            </w:r>
          </w:p>
        </w:tc>
        <w:tc>
          <w:tcPr>
            <w:tcW w:w="7647" w:type="dxa"/>
            <w:gridSpan w:val="5"/>
            <w:vAlign w:val="center"/>
          </w:tcPr>
          <w:p w14:paraId="7E9CF245">
            <w:pP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6B53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28ADB66">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注册地址</w:t>
            </w:r>
          </w:p>
        </w:tc>
        <w:tc>
          <w:tcPr>
            <w:tcW w:w="2809" w:type="dxa"/>
            <w:gridSpan w:val="2"/>
            <w:vAlign w:val="center"/>
          </w:tcPr>
          <w:p w14:paraId="12879FA2">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4C45DCA4">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成立时间</w:t>
            </w:r>
          </w:p>
        </w:tc>
        <w:tc>
          <w:tcPr>
            <w:tcW w:w="3052" w:type="dxa"/>
            <w:gridSpan w:val="2"/>
            <w:vAlign w:val="center"/>
          </w:tcPr>
          <w:p w14:paraId="5984F64C">
            <w:pP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F6E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49CBFE9">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统一信用代码</w:t>
            </w:r>
          </w:p>
        </w:tc>
        <w:tc>
          <w:tcPr>
            <w:tcW w:w="2809" w:type="dxa"/>
            <w:gridSpan w:val="2"/>
            <w:vAlign w:val="center"/>
          </w:tcPr>
          <w:p w14:paraId="09A62A69">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3A55C893">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注册资金</w:t>
            </w:r>
          </w:p>
        </w:tc>
        <w:tc>
          <w:tcPr>
            <w:tcW w:w="3052" w:type="dxa"/>
            <w:gridSpan w:val="2"/>
            <w:vAlign w:val="center"/>
          </w:tcPr>
          <w:p w14:paraId="1047CE1B">
            <w:pP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2D46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361BE99">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投标联系人姓名</w:t>
            </w:r>
          </w:p>
        </w:tc>
        <w:tc>
          <w:tcPr>
            <w:tcW w:w="1936" w:type="dxa"/>
            <w:vAlign w:val="center"/>
          </w:tcPr>
          <w:p w14:paraId="0F2A991E">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4ED92475">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3B28798C">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62A27CCE">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手机</w:t>
            </w:r>
          </w:p>
        </w:tc>
        <w:tc>
          <w:tcPr>
            <w:tcW w:w="1852" w:type="dxa"/>
            <w:vAlign w:val="center"/>
          </w:tcPr>
          <w:p w14:paraId="67357357">
            <w:pP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0819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E6FD2CA">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法定代表人姓名</w:t>
            </w:r>
          </w:p>
        </w:tc>
        <w:tc>
          <w:tcPr>
            <w:tcW w:w="1936" w:type="dxa"/>
            <w:vAlign w:val="center"/>
          </w:tcPr>
          <w:p w14:paraId="162484DC">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6AE1A35F">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3E26B752">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628CE27F">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手机</w:t>
            </w:r>
          </w:p>
        </w:tc>
        <w:tc>
          <w:tcPr>
            <w:tcW w:w="1852" w:type="dxa"/>
            <w:vAlign w:val="center"/>
          </w:tcPr>
          <w:p w14:paraId="6CA124C4">
            <w:pP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090FD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71EAC4B">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项目负责人姓名</w:t>
            </w:r>
          </w:p>
        </w:tc>
        <w:tc>
          <w:tcPr>
            <w:tcW w:w="1936" w:type="dxa"/>
            <w:vAlign w:val="center"/>
          </w:tcPr>
          <w:p w14:paraId="2D58FAF3">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325A9D0E">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5EF64C60">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5FC05AC8">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技术职称</w:t>
            </w:r>
          </w:p>
        </w:tc>
        <w:tc>
          <w:tcPr>
            <w:tcW w:w="1852" w:type="dxa"/>
            <w:vAlign w:val="center"/>
          </w:tcPr>
          <w:p w14:paraId="2FD364F3">
            <w:pP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64C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5117F577">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员工总人数：</w:t>
            </w:r>
          </w:p>
        </w:tc>
        <w:tc>
          <w:tcPr>
            <w:tcW w:w="1936" w:type="dxa"/>
            <w:vMerge w:val="restart"/>
            <w:vAlign w:val="center"/>
          </w:tcPr>
          <w:p w14:paraId="62722011">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restart"/>
            <w:vAlign w:val="center"/>
          </w:tcPr>
          <w:p w14:paraId="20B56052">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w:t>
            </w:r>
          </w:p>
        </w:tc>
        <w:tc>
          <w:tcPr>
            <w:tcW w:w="1786" w:type="dxa"/>
            <w:vAlign w:val="center"/>
          </w:tcPr>
          <w:p w14:paraId="635C553C">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高级职称</w:t>
            </w:r>
          </w:p>
        </w:tc>
        <w:tc>
          <w:tcPr>
            <w:tcW w:w="3052" w:type="dxa"/>
            <w:gridSpan w:val="2"/>
            <w:vAlign w:val="center"/>
          </w:tcPr>
          <w:p w14:paraId="63F3449F">
            <w:pP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0777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7E640CE8">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936" w:type="dxa"/>
            <w:vMerge w:val="continue"/>
            <w:vAlign w:val="center"/>
          </w:tcPr>
          <w:p w14:paraId="049F8186">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continue"/>
            <w:vAlign w:val="center"/>
          </w:tcPr>
          <w:p w14:paraId="51F1FE49">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7F5F906D">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中级职称</w:t>
            </w:r>
          </w:p>
        </w:tc>
        <w:tc>
          <w:tcPr>
            <w:tcW w:w="3052" w:type="dxa"/>
            <w:gridSpan w:val="2"/>
            <w:vAlign w:val="center"/>
          </w:tcPr>
          <w:p w14:paraId="0C5CCD9A">
            <w:pP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353E5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481279A4">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936" w:type="dxa"/>
            <w:vMerge w:val="continue"/>
            <w:vAlign w:val="center"/>
          </w:tcPr>
          <w:p w14:paraId="62BFA509">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continue"/>
            <w:vAlign w:val="center"/>
          </w:tcPr>
          <w:p w14:paraId="79B46A54">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37EB6212">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各类注册人员</w:t>
            </w:r>
          </w:p>
        </w:tc>
        <w:tc>
          <w:tcPr>
            <w:tcW w:w="3052" w:type="dxa"/>
            <w:gridSpan w:val="2"/>
            <w:vAlign w:val="center"/>
          </w:tcPr>
          <w:p w14:paraId="07B775CA">
            <w:pP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3654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64FC285">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基本账户开户银行</w:t>
            </w:r>
          </w:p>
        </w:tc>
        <w:tc>
          <w:tcPr>
            <w:tcW w:w="7647" w:type="dxa"/>
            <w:gridSpan w:val="5"/>
            <w:vAlign w:val="center"/>
          </w:tcPr>
          <w:p w14:paraId="4F308D69">
            <w:pP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958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CA172F3">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基本账户账号</w:t>
            </w:r>
          </w:p>
        </w:tc>
        <w:tc>
          <w:tcPr>
            <w:tcW w:w="7647" w:type="dxa"/>
            <w:gridSpan w:val="5"/>
            <w:vAlign w:val="center"/>
          </w:tcPr>
          <w:p w14:paraId="7EBCC6BB">
            <w:pP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61F2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4ADD8390">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经营范围</w:t>
            </w:r>
          </w:p>
        </w:tc>
        <w:tc>
          <w:tcPr>
            <w:tcW w:w="7647" w:type="dxa"/>
            <w:gridSpan w:val="5"/>
            <w:vAlign w:val="center"/>
          </w:tcPr>
          <w:p w14:paraId="4E59834B">
            <w:pP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6496F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7B794AA9">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备注</w:t>
            </w:r>
          </w:p>
        </w:tc>
        <w:tc>
          <w:tcPr>
            <w:tcW w:w="7647" w:type="dxa"/>
            <w:gridSpan w:val="5"/>
            <w:vAlign w:val="center"/>
          </w:tcPr>
          <w:p w14:paraId="52BDF1FD">
            <w:pPr>
              <w:adjustRightInd w:val="0"/>
              <w:snapToGrid w:val="0"/>
              <w:spacing w:line="360" w:lineRule="auto"/>
              <w:rPr>
                <w:rFonts w:cs="仿宋" w:asciiTheme="majorEastAsia" w:hAnsiTheme="majorEastAsia" w:eastAsiaTheme="majorEastAsia"/>
                <w:color w:val="auto"/>
                <w:kern w:val="0"/>
                <w:sz w:val="24"/>
                <w:highlight w:val="none"/>
                <w:lang w:val="zh-CN"/>
              </w:rPr>
            </w:pPr>
          </w:p>
        </w:tc>
      </w:tr>
    </w:tbl>
    <w:p w14:paraId="4788C5CE">
      <w:pPr>
        <w:adjustRightInd w:val="0"/>
        <w:snapToGrid w:val="0"/>
        <w:spacing w:line="360" w:lineRule="auto"/>
        <w:ind w:firstLine="482" w:firstLineChars="200"/>
        <w:rPr>
          <w:rFonts w:cs="仿宋" w:asciiTheme="majorEastAsia" w:hAnsiTheme="majorEastAsia" w:eastAsiaTheme="majorEastAsia"/>
          <w:b/>
          <w:bCs/>
          <w:color w:val="auto"/>
          <w:kern w:val="0"/>
          <w:sz w:val="24"/>
          <w:highlight w:val="none"/>
          <w:lang w:val="zh-CN"/>
        </w:rPr>
      </w:pPr>
      <w:r>
        <w:rPr>
          <w:rFonts w:hint="eastAsia" w:cs="仿宋" w:asciiTheme="majorEastAsia" w:hAnsiTheme="majorEastAsia" w:eastAsiaTheme="majorEastAsia"/>
          <w:b/>
          <w:bCs/>
          <w:color w:val="auto"/>
          <w:kern w:val="0"/>
          <w:sz w:val="24"/>
          <w:highlight w:val="none"/>
          <w:lang w:val="zh-CN"/>
        </w:rPr>
        <w:t>兹证明上述声明是真实、正确的，并提供了全部能提供的资料和数据，我们同意遵照贵方要求出示有关证明文件。</w:t>
      </w:r>
    </w:p>
    <w:p w14:paraId="040071FE">
      <w:pPr>
        <w:adjustRightInd w:val="0"/>
        <w:snapToGrid w:val="0"/>
        <w:spacing w:line="360" w:lineRule="auto"/>
        <w:rPr>
          <w:rFonts w:cs="仿宋" w:asciiTheme="majorEastAsia" w:hAnsiTheme="majorEastAsia" w:eastAsiaTheme="majorEastAsia"/>
          <w:color w:val="auto"/>
          <w:kern w:val="0"/>
          <w:sz w:val="24"/>
          <w:highlight w:val="none"/>
          <w:lang w:val="zh-CN"/>
        </w:rPr>
      </w:pPr>
    </w:p>
    <w:p w14:paraId="457A1DB8">
      <w:pPr>
        <w:pStyle w:val="26"/>
        <w:spacing w:line="360" w:lineRule="auto"/>
        <w:ind w:firstLine="560"/>
        <w:rPr>
          <w:rFonts w:cs="仿宋" w:asciiTheme="majorEastAsia" w:hAnsiTheme="majorEastAsia" w:eastAsiaTheme="majorEastAsia"/>
          <w:color w:val="auto"/>
          <w:highlight w:val="none"/>
          <w:lang w:val="zh-CN"/>
        </w:rPr>
      </w:pPr>
    </w:p>
    <w:p w14:paraId="09C98DD7">
      <w:pPr>
        <w:adjustRightInd w:val="0"/>
        <w:snapToGrid w:val="0"/>
        <w:spacing w:line="360" w:lineRule="auto"/>
        <w:ind w:firstLine="4080" w:firstLineChars="17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340D1A63">
      <w:pPr>
        <w:adjustRightInd w:val="0"/>
        <w:snapToGrid w:val="0"/>
        <w:spacing w:line="360" w:lineRule="auto"/>
        <w:ind w:firstLine="4080" w:firstLineChars="17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2E67B3C4">
      <w:pPr>
        <w:adjustRightInd w:val="0"/>
        <w:snapToGrid w:val="0"/>
        <w:spacing w:line="360" w:lineRule="auto"/>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p>
    <w:p w14:paraId="72960BE9">
      <w:pPr>
        <w:numPr>
          <w:ilvl w:val="0"/>
          <w:numId w:val="0"/>
        </w:numP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en-US" w:eastAsia="zh-CN"/>
        </w:rPr>
        <w:t>五、</w:t>
      </w:r>
      <w:r>
        <w:rPr>
          <w:rFonts w:hint="eastAsia" w:cs="仿宋" w:asciiTheme="majorEastAsia" w:hAnsiTheme="majorEastAsia" w:eastAsiaTheme="majorEastAsia"/>
          <w:b/>
          <w:color w:val="auto"/>
          <w:kern w:val="0"/>
          <w:sz w:val="32"/>
          <w:szCs w:val="32"/>
          <w:highlight w:val="none"/>
          <w:lang w:val="zh-CN"/>
        </w:rPr>
        <w:t>距采购人最近或者能为本项目提供最优服务的网点情况表</w:t>
      </w:r>
    </w:p>
    <w:p w14:paraId="606E0682">
      <w:pPr>
        <w:spacing w:line="360" w:lineRule="auto"/>
        <w:rPr>
          <w:rFonts w:cs="仿宋" w:asciiTheme="majorEastAsia" w:hAnsiTheme="majorEastAsia" w:eastAsiaTheme="majorEastAsia"/>
          <w:color w:val="auto"/>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14:paraId="051CB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339B745">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服务网点名称</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314F67C5">
            <w:pP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86E33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77DAC9F">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地址</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30B34F98">
            <w:pP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ABE6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A9369A3">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注册资本金</w:t>
            </w:r>
          </w:p>
        </w:tc>
        <w:tc>
          <w:tcPr>
            <w:tcW w:w="1624" w:type="dxa"/>
            <w:tcBorders>
              <w:top w:val="single" w:color="auto" w:sz="4" w:space="0"/>
              <w:left w:val="single" w:color="auto" w:sz="4" w:space="0"/>
              <w:bottom w:val="single" w:color="auto" w:sz="4" w:space="0"/>
              <w:right w:val="single" w:color="auto" w:sz="4" w:space="0"/>
            </w:tcBorders>
            <w:vAlign w:val="center"/>
          </w:tcPr>
          <w:p w14:paraId="5B4FC9AE">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67650613">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其中：投标人出资比例</w:t>
            </w:r>
          </w:p>
        </w:tc>
        <w:tc>
          <w:tcPr>
            <w:tcW w:w="2600" w:type="dxa"/>
            <w:tcBorders>
              <w:top w:val="single" w:color="auto" w:sz="4" w:space="0"/>
              <w:left w:val="single" w:color="auto" w:sz="4" w:space="0"/>
              <w:bottom w:val="single" w:color="auto" w:sz="4" w:space="0"/>
              <w:right w:val="single" w:color="auto" w:sz="4" w:space="0"/>
            </w:tcBorders>
            <w:vAlign w:val="center"/>
          </w:tcPr>
          <w:p w14:paraId="6E380223">
            <w:pP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02F4E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69092A3">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员工总人数</w:t>
            </w:r>
          </w:p>
        </w:tc>
        <w:tc>
          <w:tcPr>
            <w:tcW w:w="1624" w:type="dxa"/>
            <w:tcBorders>
              <w:top w:val="single" w:color="auto" w:sz="4" w:space="0"/>
              <w:left w:val="single" w:color="auto" w:sz="4" w:space="0"/>
              <w:bottom w:val="single" w:color="auto" w:sz="4" w:space="0"/>
              <w:right w:val="single" w:color="auto" w:sz="4" w:space="0"/>
            </w:tcBorders>
            <w:vAlign w:val="center"/>
          </w:tcPr>
          <w:p w14:paraId="268EE806">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65274BD7">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其中：技术人员数</w:t>
            </w:r>
          </w:p>
        </w:tc>
        <w:tc>
          <w:tcPr>
            <w:tcW w:w="2600" w:type="dxa"/>
            <w:tcBorders>
              <w:top w:val="single" w:color="auto" w:sz="4" w:space="0"/>
              <w:left w:val="single" w:color="auto" w:sz="4" w:space="0"/>
              <w:bottom w:val="single" w:color="auto" w:sz="4" w:space="0"/>
              <w:right w:val="single" w:color="auto" w:sz="4" w:space="0"/>
            </w:tcBorders>
            <w:vAlign w:val="center"/>
          </w:tcPr>
          <w:p w14:paraId="76314815">
            <w:pP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6AC1D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A9AA757">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经营期限</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04D3415C">
            <w:pP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3E5A6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521ECF6">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售后服务协议</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684CBF3B">
            <w:pP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DC46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42B2C60">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售后服务内容</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558AC05E">
            <w:pP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F05C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E85AD03">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工作业绩</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29B9FEE6">
            <w:pP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293C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14D77FC">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服务承诺</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4C2E77C3">
            <w:pP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6EB49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EF38D9F">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业务咨询电话</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4471F048">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5CBE6D2A">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传 真</w:t>
            </w:r>
          </w:p>
        </w:tc>
        <w:tc>
          <w:tcPr>
            <w:tcW w:w="3489" w:type="dxa"/>
            <w:gridSpan w:val="2"/>
            <w:tcBorders>
              <w:top w:val="single" w:color="auto" w:sz="4" w:space="0"/>
              <w:left w:val="single" w:color="auto" w:sz="2" w:space="0"/>
              <w:bottom w:val="single" w:color="auto" w:sz="4" w:space="0"/>
              <w:right w:val="single" w:color="auto" w:sz="2" w:space="0"/>
            </w:tcBorders>
            <w:vAlign w:val="center"/>
          </w:tcPr>
          <w:p w14:paraId="3A6F6836">
            <w:pP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6102B6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B8A5F37">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负责人</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035AC668">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1430ADB3">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联系电话</w:t>
            </w:r>
          </w:p>
        </w:tc>
        <w:tc>
          <w:tcPr>
            <w:tcW w:w="3489" w:type="dxa"/>
            <w:gridSpan w:val="2"/>
            <w:tcBorders>
              <w:top w:val="single" w:color="auto" w:sz="4" w:space="0"/>
              <w:left w:val="single" w:color="auto" w:sz="2" w:space="0"/>
              <w:bottom w:val="single" w:color="auto" w:sz="4" w:space="0"/>
              <w:right w:val="single" w:color="auto" w:sz="4" w:space="0"/>
            </w:tcBorders>
            <w:vAlign w:val="center"/>
          </w:tcPr>
          <w:p w14:paraId="57387F36">
            <w:pPr>
              <w:adjustRightInd w:val="0"/>
              <w:snapToGrid w:val="0"/>
              <w:spacing w:line="360" w:lineRule="auto"/>
              <w:rPr>
                <w:rFonts w:cs="仿宋" w:asciiTheme="majorEastAsia" w:hAnsiTheme="majorEastAsia" w:eastAsiaTheme="majorEastAsia"/>
                <w:color w:val="auto"/>
                <w:kern w:val="0"/>
                <w:sz w:val="24"/>
                <w:highlight w:val="none"/>
                <w:lang w:val="zh-CN"/>
              </w:rPr>
            </w:pPr>
          </w:p>
        </w:tc>
      </w:tr>
    </w:tbl>
    <w:p w14:paraId="68B4654D">
      <w:pPr>
        <w:spacing w:line="360" w:lineRule="auto"/>
        <w:rPr>
          <w:rFonts w:cs="仿宋" w:asciiTheme="majorEastAsia" w:hAnsiTheme="majorEastAsia" w:eastAsiaTheme="majorEastAsia"/>
          <w:color w:val="auto"/>
          <w:highlight w:val="none"/>
        </w:rPr>
      </w:pPr>
    </w:p>
    <w:p w14:paraId="59ED7358">
      <w:pPr>
        <w:spacing w:line="360" w:lineRule="auto"/>
        <w:rPr>
          <w:rFonts w:cs="仿宋" w:asciiTheme="majorEastAsia" w:hAnsiTheme="majorEastAsia" w:eastAsiaTheme="majorEastAsia"/>
          <w:color w:val="auto"/>
          <w:highlight w:val="none"/>
        </w:rPr>
      </w:pPr>
    </w:p>
    <w:p w14:paraId="7CE76C0F">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highlight w:val="none"/>
        </w:rPr>
        <w:t xml:space="preserve">       </w:t>
      </w:r>
    </w:p>
    <w:p w14:paraId="2EF1FC2A">
      <w:pPr>
        <w:adjustRightInd w:val="0"/>
        <w:snapToGrid w:val="0"/>
        <w:spacing w:line="360" w:lineRule="auto"/>
        <w:ind w:left="3990" w:leftChars="19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6A6D8BBC">
      <w:pPr>
        <w:adjustRightInd w:val="0"/>
        <w:snapToGrid w:val="0"/>
        <w:spacing w:line="360" w:lineRule="auto"/>
        <w:ind w:left="3990" w:leftChars="19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0CBC2AC3">
      <w:pPr>
        <w:adjustRightInd w:val="0"/>
        <w:snapToGrid w:val="0"/>
        <w:spacing w:line="360" w:lineRule="auto"/>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2BFC5289">
      <w:pPr>
        <w:numPr>
          <w:ilvl w:val="0"/>
          <w:numId w:val="0"/>
        </w:numP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en-US" w:eastAsia="zh-CN"/>
        </w:rPr>
        <w:t>六、</w:t>
      </w:r>
      <w:r>
        <w:rPr>
          <w:rFonts w:hint="eastAsia" w:cs="仿宋" w:asciiTheme="majorEastAsia" w:hAnsiTheme="majorEastAsia" w:eastAsiaTheme="majorEastAsia"/>
          <w:b/>
          <w:color w:val="auto"/>
          <w:kern w:val="0"/>
          <w:sz w:val="32"/>
          <w:szCs w:val="32"/>
          <w:highlight w:val="none"/>
          <w:lang w:val="zh-CN"/>
        </w:rPr>
        <w:t>评标标准相应的商务技术资料</w:t>
      </w:r>
    </w:p>
    <w:p w14:paraId="279B38ED">
      <w:pPr>
        <w:snapToGrid w:val="0"/>
        <w:spacing w:line="360" w:lineRule="auto"/>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（按招标文件第四部分评标办法前附表中“投标文件中评标标准相应的商务技术资料目录”提供资料）</w:t>
      </w:r>
    </w:p>
    <w:p w14:paraId="5DB7879A">
      <w:pPr>
        <w:pStyle w:val="26"/>
        <w:ind w:firstLine="560"/>
        <w:rPr>
          <w:rFonts w:asciiTheme="majorEastAsia" w:hAnsiTheme="majorEastAsia" w:eastAsiaTheme="majorEastAsia"/>
          <w:color w:val="auto"/>
          <w:highlight w:val="none"/>
          <w:lang w:val="zh-CN"/>
        </w:rPr>
      </w:pPr>
    </w:p>
    <w:p w14:paraId="6BBC60DD">
      <w:pPr>
        <w:numPr>
          <w:ilvl w:val="0"/>
          <w:numId w:val="0"/>
        </w:numP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en-US" w:eastAsia="zh-CN"/>
        </w:rPr>
        <w:t>七、</w:t>
      </w:r>
      <w:r>
        <w:rPr>
          <w:rFonts w:hint="eastAsia" w:cs="仿宋" w:asciiTheme="majorEastAsia" w:hAnsiTheme="majorEastAsia" w:eastAsiaTheme="majorEastAsia"/>
          <w:b/>
          <w:color w:val="auto"/>
          <w:kern w:val="0"/>
          <w:sz w:val="32"/>
          <w:szCs w:val="32"/>
          <w:highlight w:val="none"/>
          <w:lang w:val="zh-CN"/>
        </w:rPr>
        <w:t>商务</w:t>
      </w:r>
      <w:r>
        <w:rPr>
          <w:rFonts w:hint="eastAsia" w:cs="仿宋" w:asciiTheme="majorEastAsia" w:hAnsiTheme="majorEastAsia" w:eastAsiaTheme="majorEastAsia"/>
          <w:b/>
          <w:color w:val="auto"/>
          <w:kern w:val="0"/>
          <w:sz w:val="32"/>
          <w:szCs w:val="32"/>
          <w:highlight w:val="none"/>
          <w:lang w:val="en-US" w:eastAsia="zh-CN"/>
        </w:rPr>
        <w:t>响应</w:t>
      </w:r>
      <w:r>
        <w:rPr>
          <w:rFonts w:hint="eastAsia" w:cs="仿宋" w:asciiTheme="majorEastAsia" w:hAnsiTheme="majorEastAsia" w:eastAsiaTheme="majorEastAsia"/>
          <w:b/>
          <w:color w:val="auto"/>
          <w:kern w:val="0"/>
          <w:sz w:val="32"/>
          <w:szCs w:val="32"/>
          <w:highlight w:val="none"/>
          <w:lang w:val="zh-CN"/>
        </w:rPr>
        <w:t>表</w:t>
      </w:r>
    </w:p>
    <w:tbl>
      <w:tblPr>
        <w:tblStyle w:val="2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72"/>
        <w:gridCol w:w="3285"/>
        <w:gridCol w:w="1948"/>
      </w:tblGrid>
      <w:tr w14:paraId="27B2B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516F0BA">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272" w:type="dxa"/>
          </w:tcPr>
          <w:p w14:paraId="7C07CAB3">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285" w:type="dxa"/>
          </w:tcPr>
          <w:p w14:paraId="5FE9C662">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948" w:type="dxa"/>
          </w:tcPr>
          <w:p w14:paraId="71EAB440">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响应或偏离说明</w:t>
            </w:r>
          </w:p>
        </w:tc>
      </w:tr>
      <w:tr w14:paraId="4F6D9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2DADB5">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272" w:type="dxa"/>
          </w:tcPr>
          <w:p w14:paraId="42BE8A25">
            <w:pPr>
              <w:spacing w:line="360" w:lineRule="auto"/>
              <w:jc w:val="center"/>
              <w:rPr>
                <w:rFonts w:ascii="仿宋" w:hAnsi="仿宋" w:eastAsia="仿宋" w:cs="仿宋"/>
                <w:b/>
                <w:color w:val="auto"/>
                <w:kern w:val="0"/>
                <w:sz w:val="32"/>
                <w:szCs w:val="32"/>
                <w:highlight w:val="none"/>
              </w:rPr>
            </w:pPr>
          </w:p>
        </w:tc>
        <w:tc>
          <w:tcPr>
            <w:tcW w:w="3285" w:type="dxa"/>
          </w:tcPr>
          <w:p w14:paraId="38F9A7DE">
            <w:pPr>
              <w:spacing w:line="360" w:lineRule="auto"/>
              <w:jc w:val="center"/>
              <w:rPr>
                <w:rFonts w:ascii="仿宋" w:hAnsi="仿宋" w:eastAsia="仿宋" w:cs="仿宋"/>
                <w:b/>
                <w:color w:val="auto"/>
                <w:kern w:val="0"/>
                <w:sz w:val="32"/>
                <w:szCs w:val="32"/>
                <w:highlight w:val="none"/>
              </w:rPr>
            </w:pPr>
          </w:p>
        </w:tc>
        <w:tc>
          <w:tcPr>
            <w:tcW w:w="1948" w:type="dxa"/>
          </w:tcPr>
          <w:p w14:paraId="23E4C271">
            <w:pPr>
              <w:spacing w:line="360" w:lineRule="auto"/>
              <w:jc w:val="center"/>
              <w:rPr>
                <w:rFonts w:ascii="仿宋" w:hAnsi="仿宋" w:eastAsia="仿宋" w:cs="仿宋"/>
                <w:b/>
                <w:color w:val="auto"/>
                <w:kern w:val="0"/>
                <w:sz w:val="32"/>
                <w:szCs w:val="32"/>
                <w:highlight w:val="none"/>
              </w:rPr>
            </w:pPr>
          </w:p>
        </w:tc>
      </w:tr>
      <w:tr w14:paraId="2E76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F1B6CB">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272" w:type="dxa"/>
          </w:tcPr>
          <w:p w14:paraId="6A28E7FE">
            <w:pPr>
              <w:spacing w:line="360" w:lineRule="auto"/>
              <w:jc w:val="center"/>
              <w:rPr>
                <w:rFonts w:ascii="仿宋" w:hAnsi="仿宋" w:eastAsia="仿宋" w:cs="仿宋"/>
                <w:b/>
                <w:color w:val="auto"/>
                <w:kern w:val="0"/>
                <w:sz w:val="32"/>
                <w:szCs w:val="32"/>
                <w:highlight w:val="none"/>
              </w:rPr>
            </w:pPr>
          </w:p>
        </w:tc>
        <w:tc>
          <w:tcPr>
            <w:tcW w:w="3285" w:type="dxa"/>
          </w:tcPr>
          <w:p w14:paraId="71620953">
            <w:pPr>
              <w:spacing w:line="360" w:lineRule="auto"/>
              <w:jc w:val="center"/>
              <w:rPr>
                <w:rFonts w:ascii="仿宋" w:hAnsi="仿宋" w:eastAsia="仿宋" w:cs="仿宋"/>
                <w:b/>
                <w:color w:val="auto"/>
                <w:kern w:val="0"/>
                <w:sz w:val="32"/>
                <w:szCs w:val="32"/>
                <w:highlight w:val="none"/>
              </w:rPr>
            </w:pPr>
          </w:p>
        </w:tc>
        <w:tc>
          <w:tcPr>
            <w:tcW w:w="1948" w:type="dxa"/>
          </w:tcPr>
          <w:p w14:paraId="0D17991A">
            <w:pPr>
              <w:spacing w:line="360" w:lineRule="auto"/>
              <w:jc w:val="center"/>
              <w:rPr>
                <w:rFonts w:ascii="仿宋" w:hAnsi="仿宋" w:eastAsia="仿宋" w:cs="仿宋"/>
                <w:b/>
                <w:color w:val="auto"/>
                <w:kern w:val="0"/>
                <w:sz w:val="32"/>
                <w:szCs w:val="32"/>
                <w:highlight w:val="none"/>
              </w:rPr>
            </w:pPr>
          </w:p>
        </w:tc>
      </w:tr>
      <w:tr w14:paraId="7774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8BAABF">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272" w:type="dxa"/>
          </w:tcPr>
          <w:p w14:paraId="3ACBB3A6">
            <w:pPr>
              <w:spacing w:line="360" w:lineRule="auto"/>
              <w:jc w:val="center"/>
              <w:rPr>
                <w:rFonts w:ascii="仿宋" w:hAnsi="仿宋" w:eastAsia="仿宋" w:cs="仿宋"/>
                <w:b/>
                <w:color w:val="auto"/>
                <w:kern w:val="0"/>
                <w:sz w:val="32"/>
                <w:szCs w:val="32"/>
                <w:highlight w:val="none"/>
              </w:rPr>
            </w:pPr>
          </w:p>
        </w:tc>
        <w:tc>
          <w:tcPr>
            <w:tcW w:w="3285" w:type="dxa"/>
          </w:tcPr>
          <w:p w14:paraId="54FDB6BA">
            <w:pPr>
              <w:spacing w:line="360" w:lineRule="auto"/>
              <w:jc w:val="center"/>
              <w:rPr>
                <w:rFonts w:ascii="仿宋" w:hAnsi="仿宋" w:eastAsia="仿宋" w:cs="仿宋"/>
                <w:b/>
                <w:color w:val="auto"/>
                <w:kern w:val="0"/>
                <w:sz w:val="32"/>
                <w:szCs w:val="32"/>
                <w:highlight w:val="none"/>
              </w:rPr>
            </w:pPr>
          </w:p>
        </w:tc>
        <w:tc>
          <w:tcPr>
            <w:tcW w:w="1948" w:type="dxa"/>
          </w:tcPr>
          <w:p w14:paraId="4A3AB8AB">
            <w:pPr>
              <w:spacing w:line="360" w:lineRule="auto"/>
              <w:jc w:val="center"/>
              <w:rPr>
                <w:rFonts w:ascii="仿宋" w:hAnsi="仿宋" w:eastAsia="仿宋" w:cs="仿宋"/>
                <w:b/>
                <w:color w:val="auto"/>
                <w:kern w:val="0"/>
                <w:sz w:val="32"/>
                <w:szCs w:val="32"/>
                <w:highlight w:val="none"/>
              </w:rPr>
            </w:pPr>
          </w:p>
        </w:tc>
      </w:tr>
    </w:tbl>
    <w:p w14:paraId="3E285503">
      <w:pP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投标人保证：除商务偏离表列出的偏离外，投标人响应招标文件的全部商务要求。</w:t>
      </w:r>
    </w:p>
    <w:p w14:paraId="0848E93D">
      <w:pP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7BBB6A27">
      <w:pP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4184C92F">
      <w:pP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579FBECB">
      <w:pPr>
        <w:widowControl/>
        <w:jc w:val="left"/>
        <w:rPr>
          <w:rFonts w:asciiTheme="majorEastAsia" w:hAnsiTheme="majorEastAsia" w:eastAsiaTheme="majorEastAsia"/>
          <w:color w:val="auto"/>
          <w:sz w:val="28"/>
          <w:highlight w:val="none"/>
          <w:lang w:val="zh-CN"/>
        </w:rPr>
      </w:pPr>
    </w:p>
    <w:p w14:paraId="4AC7612F">
      <w:pPr>
        <w:widowControl/>
        <w:jc w:val="left"/>
        <w:rPr>
          <w:rFonts w:asciiTheme="majorEastAsia" w:hAnsiTheme="majorEastAsia" w:eastAsiaTheme="majorEastAsia"/>
          <w:color w:val="auto"/>
          <w:sz w:val="28"/>
          <w:highlight w:val="none"/>
          <w:lang w:val="zh-CN"/>
        </w:rPr>
      </w:pPr>
      <w:r>
        <w:rPr>
          <w:rFonts w:asciiTheme="majorEastAsia" w:hAnsiTheme="majorEastAsia" w:eastAsiaTheme="majorEastAsia"/>
          <w:color w:val="auto"/>
          <w:highlight w:val="none"/>
          <w:lang w:val="zh-CN"/>
        </w:rPr>
        <w:br w:type="page"/>
      </w:r>
    </w:p>
    <w:p w14:paraId="330F4E65">
      <w:pPr>
        <w:pStyle w:val="26"/>
        <w:ind w:firstLine="560"/>
        <w:rPr>
          <w:rFonts w:asciiTheme="majorEastAsia" w:hAnsiTheme="majorEastAsia" w:eastAsiaTheme="majorEastAsia"/>
          <w:color w:val="auto"/>
          <w:highlight w:val="none"/>
          <w:lang w:val="zh-CN"/>
        </w:rPr>
      </w:pPr>
    </w:p>
    <w:p w14:paraId="17CFF96A">
      <w:pPr>
        <w:numPr>
          <w:ilvl w:val="0"/>
          <w:numId w:val="0"/>
        </w:numP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en-US" w:eastAsia="zh-CN"/>
        </w:rPr>
        <w:t>八、</w:t>
      </w:r>
      <w:r>
        <w:rPr>
          <w:rFonts w:hint="eastAsia" w:cs="仿宋" w:asciiTheme="majorEastAsia" w:hAnsiTheme="majorEastAsia" w:eastAsiaTheme="majorEastAsia"/>
          <w:b/>
          <w:color w:val="auto"/>
          <w:kern w:val="0"/>
          <w:sz w:val="32"/>
          <w:szCs w:val="32"/>
          <w:highlight w:val="none"/>
          <w:lang w:val="zh-CN"/>
        </w:rPr>
        <w:t>技术</w:t>
      </w:r>
      <w:r>
        <w:rPr>
          <w:rFonts w:hint="eastAsia" w:cs="仿宋" w:asciiTheme="majorEastAsia" w:hAnsiTheme="majorEastAsia" w:eastAsiaTheme="majorEastAsia"/>
          <w:b/>
          <w:color w:val="auto"/>
          <w:kern w:val="0"/>
          <w:sz w:val="32"/>
          <w:szCs w:val="32"/>
          <w:highlight w:val="none"/>
          <w:lang w:val="en-US" w:eastAsia="zh-CN"/>
        </w:rPr>
        <w:t>响应</w:t>
      </w:r>
      <w:r>
        <w:rPr>
          <w:rFonts w:hint="eastAsia" w:cs="仿宋" w:asciiTheme="majorEastAsia" w:hAnsiTheme="majorEastAsia" w:eastAsiaTheme="majorEastAsia"/>
          <w:b/>
          <w:color w:val="auto"/>
          <w:kern w:val="0"/>
          <w:sz w:val="32"/>
          <w:szCs w:val="32"/>
          <w:highlight w:val="none"/>
          <w:lang w:val="zh-CN"/>
        </w:rPr>
        <w:t>表</w:t>
      </w:r>
    </w:p>
    <w:tbl>
      <w:tblPr>
        <w:tblStyle w:val="2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27"/>
        <w:gridCol w:w="3270"/>
        <w:gridCol w:w="2008"/>
      </w:tblGrid>
      <w:tr w14:paraId="0ADA2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625B8C">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227" w:type="dxa"/>
          </w:tcPr>
          <w:p w14:paraId="63F9DBA9">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270" w:type="dxa"/>
          </w:tcPr>
          <w:p w14:paraId="04940609">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2008" w:type="dxa"/>
          </w:tcPr>
          <w:p w14:paraId="149BF9F2">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响应或偏离说明</w:t>
            </w:r>
          </w:p>
        </w:tc>
      </w:tr>
      <w:tr w14:paraId="217E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BE8876">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227" w:type="dxa"/>
          </w:tcPr>
          <w:p w14:paraId="5BC24DB8">
            <w:pPr>
              <w:spacing w:line="360" w:lineRule="auto"/>
              <w:jc w:val="center"/>
              <w:rPr>
                <w:rFonts w:ascii="仿宋" w:hAnsi="仿宋" w:eastAsia="仿宋" w:cs="仿宋"/>
                <w:b/>
                <w:color w:val="auto"/>
                <w:kern w:val="0"/>
                <w:sz w:val="32"/>
                <w:szCs w:val="32"/>
                <w:highlight w:val="none"/>
              </w:rPr>
            </w:pPr>
          </w:p>
        </w:tc>
        <w:tc>
          <w:tcPr>
            <w:tcW w:w="3270" w:type="dxa"/>
          </w:tcPr>
          <w:p w14:paraId="03831FFC">
            <w:pPr>
              <w:spacing w:line="360" w:lineRule="auto"/>
              <w:jc w:val="center"/>
              <w:rPr>
                <w:rFonts w:ascii="仿宋" w:hAnsi="仿宋" w:eastAsia="仿宋" w:cs="仿宋"/>
                <w:b/>
                <w:color w:val="auto"/>
                <w:kern w:val="0"/>
                <w:sz w:val="32"/>
                <w:szCs w:val="32"/>
                <w:highlight w:val="none"/>
              </w:rPr>
            </w:pPr>
          </w:p>
        </w:tc>
        <w:tc>
          <w:tcPr>
            <w:tcW w:w="2008" w:type="dxa"/>
          </w:tcPr>
          <w:p w14:paraId="3C321FA3">
            <w:pPr>
              <w:spacing w:line="360" w:lineRule="auto"/>
              <w:jc w:val="center"/>
              <w:rPr>
                <w:rFonts w:ascii="仿宋" w:hAnsi="仿宋" w:eastAsia="仿宋" w:cs="仿宋"/>
                <w:b/>
                <w:color w:val="auto"/>
                <w:kern w:val="0"/>
                <w:sz w:val="32"/>
                <w:szCs w:val="32"/>
                <w:highlight w:val="none"/>
              </w:rPr>
            </w:pPr>
          </w:p>
        </w:tc>
      </w:tr>
      <w:tr w14:paraId="70798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98F885">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227" w:type="dxa"/>
          </w:tcPr>
          <w:p w14:paraId="6DFF05E9">
            <w:pPr>
              <w:spacing w:line="360" w:lineRule="auto"/>
              <w:jc w:val="center"/>
              <w:rPr>
                <w:rFonts w:ascii="仿宋" w:hAnsi="仿宋" w:eastAsia="仿宋" w:cs="仿宋"/>
                <w:b/>
                <w:color w:val="auto"/>
                <w:kern w:val="0"/>
                <w:sz w:val="32"/>
                <w:szCs w:val="32"/>
                <w:highlight w:val="none"/>
              </w:rPr>
            </w:pPr>
          </w:p>
        </w:tc>
        <w:tc>
          <w:tcPr>
            <w:tcW w:w="3270" w:type="dxa"/>
          </w:tcPr>
          <w:p w14:paraId="10CA6262">
            <w:pPr>
              <w:spacing w:line="360" w:lineRule="auto"/>
              <w:jc w:val="center"/>
              <w:rPr>
                <w:rFonts w:ascii="仿宋" w:hAnsi="仿宋" w:eastAsia="仿宋" w:cs="仿宋"/>
                <w:b/>
                <w:color w:val="auto"/>
                <w:kern w:val="0"/>
                <w:sz w:val="32"/>
                <w:szCs w:val="32"/>
                <w:highlight w:val="none"/>
              </w:rPr>
            </w:pPr>
          </w:p>
        </w:tc>
        <w:tc>
          <w:tcPr>
            <w:tcW w:w="2008" w:type="dxa"/>
          </w:tcPr>
          <w:p w14:paraId="09DA3A96">
            <w:pPr>
              <w:spacing w:line="360" w:lineRule="auto"/>
              <w:jc w:val="center"/>
              <w:rPr>
                <w:rFonts w:ascii="仿宋" w:hAnsi="仿宋" w:eastAsia="仿宋" w:cs="仿宋"/>
                <w:b/>
                <w:color w:val="auto"/>
                <w:kern w:val="0"/>
                <w:sz w:val="32"/>
                <w:szCs w:val="32"/>
                <w:highlight w:val="none"/>
              </w:rPr>
            </w:pPr>
          </w:p>
        </w:tc>
      </w:tr>
      <w:tr w14:paraId="2E2E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455EAF">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227" w:type="dxa"/>
          </w:tcPr>
          <w:p w14:paraId="7E8BFBDF">
            <w:pPr>
              <w:spacing w:line="360" w:lineRule="auto"/>
              <w:jc w:val="center"/>
              <w:rPr>
                <w:rFonts w:ascii="仿宋" w:hAnsi="仿宋" w:eastAsia="仿宋" w:cs="仿宋"/>
                <w:b/>
                <w:color w:val="auto"/>
                <w:kern w:val="0"/>
                <w:sz w:val="32"/>
                <w:szCs w:val="32"/>
                <w:highlight w:val="none"/>
              </w:rPr>
            </w:pPr>
          </w:p>
        </w:tc>
        <w:tc>
          <w:tcPr>
            <w:tcW w:w="3270" w:type="dxa"/>
          </w:tcPr>
          <w:p w14:paraId="366BC619">
            <w:pPr>
              <w:spacing w:line="360" w:lineRule="auto"/>
              <w:jc w:val="center"/>
              <w:rPr>
                <w:rFonts w:ascii="仿宋" w:hAnsi="仿宋" w:eastAsia="仿宋" w:cs="仿宋"/>
                <w:b/>
                <w:color w:val="auto"/>
                <w:kern w:val="0"/>
                <w:sz w:val="32"/>
                <w:szCs w:val="32"/>
                <w:highlight w:val="none"/>
              </w:rPr>
            </w:pPr>
          </w:p>
        </w:tc>
        <w:tc>
          <w:tcPr>
            <w:tcW w:w="2008" w:type="dxa"/>
          </w:tcPr>
          <w:p w14:paraId="376F54D5">
            <w:pPr>
              <w:spacing w:line="360" w:lineRule="auto"/>
              <w:jc w:val="center"/>
              <w:rPr>
                <w:rFonts w:ascii="仿宋" w:hAnsi="仿宋" w:eastAsia="仿宋" w:cs="仿宋"/>
                <w:b/>
                <w:color w:val="auto"/>
                <w:kern w:val="0"/>
                <w:sz w:val="32"/>
                <w:szCs w:val="32"/>
                <w:highlight w:val="none"/>
              </w:rPr>
            </w:pPr>
          </w:p>
        </w:tc>
      </w:tr>
    </w:tbl>
    <w:p w14:paraId="142A79FB">
      <w:pPr>
        <w:spacing w:line="360" w:lineRule="auto"/>
        <w:ind w:firstLine="3360" w:firstLineChars="1600"/>
        <w:rPr>
          <w:rFonts w:ascii="宋体" w:hAnsi="宋体" w:cs="宋体"/>
          <w:color w:val="auto"/>
          <w:highlight w:val="none"/>
        </w:rPr>
      </w:pPr>
      <w:r>
        <w:rPr>
          <w:rFonts w:hint="eastAsia" w:ascii="宋体" w:hAnsi="宋体" w:cs="宋体"/>
          <w:color w:val="auto"/>
          <w:highlight w:val="none"/>
        </w:rPr>
        <w:t>法定代表人或其授权委托人（签名或印章）：</w:t>
      </w:r>
    </w:p>
    <w:p w14:paraId="78716DC0">
      <w:pPr>
        <w:spacing w:line="360" w:lineRule="auto"/>
        <w:ind w:firstLine="4830" w:firstLineChars="2300"/>
        <w:rPr>
          <w:rFonts w:ascii="宋体" w:hAnsi="宋体" w:cs="宋体"/>
          <w:color w:val="auto"/>
          <w:highlight w:val="none"/>
        </w:rPr>
      </w:pPr>
      <w:r>
        <w:rPr>
          <w:rFonts w:hint="eastAsia" w:ascii="宋体" w:hAnsi="宋体" w:cs="宋体"/>
          <w:color w:val="auto"/>
          <w:highlight w:val="none"/>
        </w:rPr>
        <w:t>投标人（盖章）：</w:t>
      </w:r>
    </w:p>
    <w:p w14:paraId="3112AB43">
      <w:pPr>
        <w:spacing w:line="360" w:lineRule="auto"/>
        <w:rPr>
          <w:rFonts w:ascii="宋体" w:hAnsi="宋体" w:cs="宋体"/>
          <w:color w:val="auto"/>
          <w:sz w:val="24"/>
          <w:highlight w:val="none"/>
        </w:rPr>
      </w:pPr>
      <w:r>
        <w:rPr>
          <w:rFonts w:hint="eastAsia" w:ascii="宋体" w:hAnsi="宋体" w:cs="宋体"/>
          <w:color w:val="auto"/>
          <w:highlight w:val="none"/>
        </w:rPr>
        <w:t xml:space="preserve">                                              日期：</w:t>
      </w:r>
    </w:p>
    <w:p w14:paraId="49C5F9A3">
      <w:pPr>
        <w:pStyle w:val="26"/>
        <w:ind w:firstLine="560"/>
        <w:rPr>
          <w:color w:val="auto"/>
          <w:highlight w:val="none"/>
        </w:rPr>
      </w:pPr>
    </w:p>
    <w:p w14:paraId="5D549DA8">
      <w:pPr>
        <w:numPr>
          <w:ilvl w:val="0"/>
          <w:numId w:val="0"/>
        </w:numP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rPr>
        <w:br w:type="page"/>
      </w:r>
      <w:r>
        <w:rPr>
          <w:rFonts w:hint="eastAsia" w:cs="仿宋" w:asciiTheme="majorEastAsia" w:hAnsiTheme="majorEastAsia" w:eastAsiaTheme="majorEastAsia"/>
          <w:b/>
          <w:color w:val="auto"/>
          <w:kern w:val="0"/>
          <w:sz w:val="32"/>
          <w:szCs w:val="32"/>
          <w:highlight w:val="none"/>
          <w:lang w:val="en-US" w:eastAsia="zh-CN"/>
        </w:rPr>
        <w:t>九、</w:t>
      </w:r>
      <w:r>
        <w:rPr>
          <w:rFonts w:hint="eastAsia" w:cs="仿宋" w:asciiTheme="majorEastAsia" w:hAnsiTheme="majorEastAsia" w:eastAsiaTheme="majorEastAsia"/>
          <w:b/>
          <w:color w:val="auto"/>
          <w:kern w:val="0"/>
          <w:sz w:val="32"/>
          <w:szCs w:val="32"/>
          <w:highlight w:val="none"/>
        </w:rPr>
        <w:t>同类业绩情况一览表</w:t>
      </w:r>
    </w:p>
    <w:p w14:paraId="601D1BB0">
      <w:pPr>
        <w:spacing w:line="360" w:lineRule="auto"/>
        <w:jc w:val="center"/>
        <w:rPr>
          <w:rFonts w:cs="仿宋" w:asciiTheme="majorEastAsia" w:hAnsiTheme="majorEastAsia" w:eastAsiaTheme="majorEastAsia"/>
          <w:color w:val="auto"/>
          <w:highlight w:val="none"/>
        </w:rPr>
      </w:pPr>
    </w:p>
    <w:tbl>
      <w:tblPr>
        <w:tblStyle w:val="19"/>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750"/>
        <w:gridCol w:w="1537"/>
        <w:gridCol w:w="1936"/>
        <w:gridCol w:w="1950"/>
        <w:gridCol w:w="1792"/>
      </w:tblGrid>
      <w:tr w14:paraId="485B7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6B2CB0DC">
            <w:pP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序号</w:t>
            </w:r>
          </w:p>
        </w:tc>
        <w:tc>
          <w:tcPr>
            <w:tcW w:w="1750" w:type="dxa"/>
            <w:tcBorders>
              <w:top w:val="single" w:color="auto" w:sz="4" w:space="0"/>
              <w:left w:val="single" w:color="auto" w:sz="4" w:space="0"/>
              <w:bottom w:val="single" w:color="auto" w:sz="4" w:space="0"/>
              <w:right w:val="single" w:color="auto" w:sz="4" w:space="0"/>
            </w:tcBorders>
            <w:vAlign w:val="center"/>
          </w:tcPr>
          <w:p w14:paraId="7CF7ABF8">
            <w:pP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采购单位名称</w:t>
            </w:r>
          </w:p>
        </w:tc>
        <w:tc>
          <w:tcPr>
            <w:tcW w:w="1537" w:type="dxa"/>
            <w:tcBorders>
              <w:top w:val="single" w:color="auto" w:sz="4" w:space="0"/>
              <w:left w:val="single" w:color="auto" w:sz="4" w:space="0"/>
              <w:right w:val="single" w:color="auto" w:sz="4" w:space="0"/>
            </w:tcBorders>
            <w:vAlign w:val="center"/>
          </w:tcPr>
          <w:p w14:paraId="7AE56F9D">
            <w:pP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149C2C35">
            <w:pP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合同金额（万元）</w:t>
            </w:r>
          </w:p>
        </w:tc>
        <w:tc>
          <w:tcPr>
            <w:tcW w:w="1950" w:type="dxa"/>
            <w:tcBorders>
              <w:top w:val="single" w:color="auto" w:sz="4" w:space="0"/>
              <w:left w:val="single" w:color="auto" w:sz="4" w:space="0"/>
              <w:bottom w:val="single" w:color="auto" w:sz="4" w:space="0"/>
              <w:right w:val="single" w:color="auto" w:sz="4" w:space="0"/>
            </w:tcBorders>
            <w:vAlign w:val="center"/>
          </w:tcPr>
          <w:p w14:paraId="75021520">
            <w:pP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1EDC5D57">
            <w:pP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合同签订时间</w:t>
            </w:r>
          </w:p>
        </w:tc>
      </w:tr>
      <w:tr w14:paraId="79D102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14D92C20">
            <w:pP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1</w:t>
            </w:r>
          </w:p>
        </w:tc>
        <w:tc>
          <w:tcPr>
            <w:tcW w:w="1750" w:type="dxa"/>
            <w:tcBorders>
              <w:top w:val="single" w:color="auto" w:sz="4" w:space="0"/>
              <w:left w:val="single" w:color="auto" w:sz="4" w:space="0"/>
              <w:bottom w:val="single" w:color="auto" w:sz="4" w:space="0"/>
              <w:right w:val="single" w:color="auto" w:sz="4" w:space="0"/>
            </w:tcBorders>
            <w:vAlign w:val="center"/>
          </w:tcPr>
          <w:p w14:paraId="60D7FF94">
            <w:pPr>
              <w:spacing w:line="360" w:lineRule="auto"/>
              <w:jc w:val="left"/>
              <w:rPr>
                <w:rFonts w:cs="仿宋" w:asciiTheme="majorEastAsia" w:hAnsiTheme="majorEastAsia" w:eastAsiaTheme="majorEastAsia"/>
                <w:color w:val="auto"/>
                <w:kern w:val="0"/>
                <w:sz w:val="24"/>
                <w:highlight w:val="none"/>
              </w:rPr>
            </w:pPr>
          </w:p>
        </w:tc>
        <w:tc>
          <w:tcPr>
            <w:tcW w:w="1537" w:type="dxa"/>
            <w:tcBorders>
              <w:top w:val="single" w:color="auto" w:sz="4" w:space="0"/>
              <w:left w:val="single" w:color="auto" w:sz="4" w:space="0"/>
              <w:bottom w:val="single" w:color="auto" w:sz="4" w:space="0"/>
              <w:right w:val="single" w:color="auto" w:sz="4" w:space="0"/>
            </w:tcBorders>
            <w:vAlign w:val="center"/>
          </w:tcPr>
          <w:p w14:paraId="563B504B">
            <w:pP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12A91AC1">
            <w:pP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115B545D">
            <w:pP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513CCFD6">
            <w:pPr>
              <w:spacing w:line="360" w:lineRule="auto"/>
              <w:jc w:val="left"/>
              <w:rPr>
                <w:rFonts w:cs="仿宋" w:asciiTheme="majorEastAsia" w:hAnsiTheme="majorEastAsia" w:eastAsiaTheme="majorEastAsia"/>
                <w:color w:val="auto"/>
                <w:kern w:val="0"/>
                <w:sz w:val="24"/>
                <w:highlight w:val="none"/>
              </w:rPr>
            </w:pPr>
          </w:p>
        </w:tc>
      </w:tr>
      <w:tr w14:paraId="08E7B5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6196BB3A">
            <w:pP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w:t>
            </w:r>
          </w:p>
        </w:tc>
        <w:tc>
          <w:tcPr>
            <w:tcW w:w="1750" w:type="dxa"/>
            <w:tcBorders>
              <w:top w:val="single" w:color="auto" w:sz="4" w:space="0"/>
              <w:left w:val="single" w:color="auto" w:sz="4" w:space="0"/>
              <w:bottom w:val="single" w:color="auto" w:sz="4" w:space="0"/>
              <w:right w:val="single" w:color="auto" w:sz="4" w:space="0"/>
            </w:tcBorders>
            <w:vAlign w:val="center"/>
          </w:tcPr>
          <w:p w14:paraId="5FE5D52C">
            <w:pPr>
              <w:spacing w:line="360" w:lineRule="auto"/>
              <w:jc w:val="left"/>
              <w:rPr>
                <w:rFonts w:cs="仿宋" w:asciiTheme="majorEastAsia" w:hAnsiTheme="majorEastAsia" w:eastAsiaTheme="majorEastAsia"/>
                <w:color w:val="auto"/>
                <w:kern w:val="0"/>
                <w:sz w:val="24"/>
                <w:highlight w:val="none"/>
              </w:rPr>
            </w:pPr>
          </w:p>
        </w:tc>
        <w:tc>
          <w:tcPr>
            <w:tcW w:w="1537" w:type="dxa"/>
            <w:tcBorders>
              <w:top w:val="single" w:color="auto" w:sz="4" w:space="0"/>
              <w:left w:val="single" w:color="auto" w:sz="4" w:space="0"/>
              <w:bottom w:val="single" w:color="auto" w:sz="4" w:space="0"/>
              <w:right w:val="single" w:color="auto" w:sz="4" w:space="0"/>
            </w:tcBorders>
            <w:vAlign w:val="center"/>
          </w:tcPr>
          <w:p w14:paraId="337C709E">
            <w:pP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63DCE5E4">
            <w:pP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414616C8">
            <w:pP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577C06B">
            <w:pPr>
              <w:spacing w:line="360" w:lineRule="auto"/>
              <w:jc w:val="left"/>
              <w:rPr>
                <w:rFonts w:cs="仿宋" w:asciiTheme="majorEastAsia" w:hAnsiTheme="majorEastAsia" w:eastAsiaTheme="majorEastAsia"/>
                <w:color w:val="auto"/>
                <w:kern w:val="0"/>
                <w:sz w:val="24"/>
                <w:highlight w:val="none"/>
              </w:rPr>
            </w:pPr>
          </w:p>
        </w:tc>
      </w:tr>
      <w:tr w14:paraId="76126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5F2E50FE">
            <w:pP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w:t>
            </w:r>
          </w:p>
        </w:tc>
        <w:tc>
          <w:tcPr>
            <w:tcW w:w="1750" w:type="dxa"/>
            <w:tcBorders>
              <w:top w:val="single" w:color="auto" w:sz="4" w:space="0"/>
              <w:left w:val="single" w:color="auto" w:sz="4" w:space="0"/>
              <w:bottom w:val="single" w:color="auto" w:sz="4" w:space="0"/>
              <w:right w:val="single" w:color="auto" w:sz="4" w:space="0"/>
            </w:tcBorders>
            <w:vAlign w:val="center"/>
          </w:tcPr>
          <w:p w14:paraId="38A8C262">
            <w:pPr>
              <w:spacing w:line="360" w:lineRule="auto"/>
              <w:jc w:val="left"/>
              <w:rPr>
                <w:rFonts w:cs="仿宋" w:asciiTheme="majorEastAsia" w:hAnsiTheme="majorEastAsia" w:eastAsiaTheme="majorEastAsia"/>
                <w:color w:val="auto"/>
                <w:kern w:val="0"/>
                <w:sz w:val="24"/>
                <w:highlight w:val="none"/>
              </w:rPr>
            </w:pPr>
          </w:p>
        </w:tc>
        <w:tc>
          <w:tcPr>
            <w:tcW w:w="1537" w:type="dxa"/>
            <w:tcBorders>
              <w:top w:val="single" w:color="auto" w:sz="4" w:space="0"/>
              <w:left w:val="single" w:color="auto" w:sz="4" w:space="0"/>
              <w:bottom w:val="single" w:color="auto" w:sz="4" w:space="0"/>
              <w:right w:val="single" w:color="auto" w:sz="4" w:space="0"/>
            </w:tcBorders>
            <w:vAlign w:val="center"/>
          </w:tcPr>
          <w:p w14:paraId="337F5BE5">
            <w:pP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04C1AE83">
            <w:pP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1C28214F">
            <w:pP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7DC189E7">
            <w:pPr>
              <w:spacing w:line="360" w:lineRule="auto"/>
              <w:jc w:val="left"/>
              <w:rPr>
                <w:rFonts w:cs="仿宋" w:asciiTheme="majorEastAsia" w:hAnsiTheme="majorEastAsia" w:eastAsiaTheme="majorEastAsia"/>
                <w:color w:val="auto"/>
                <w:kern w:val="0"/>
                <w:sz w:val="24"/>
                <w:highlight w:val="none"/>
              </w:rPr>
            </w:pPr>
          </w:p>
        </w:tc>
      </w:tr>
      <w:tr w14:paraId="7DFC6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3D54E9C2">
            <w:pP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w:t>
            </w:r>
          </w:p>
        </w:tc>
        <w:tc>
          <w:tcPr>
            <w:tcW w:w="1750" w:type="dxa"/>
            <w:tcBorders>
              <w:top w:val="single" w:color="auto" w:sz="4" w:space="0"/>
              <w:left w:val="single" w:color="auto" w:sz="4" w:space="0"/>
              <w:bottom w:val="single" w:color="auto" w:sz="4" w:space="0"/>
              <w:right w:val="single" w:color="auto" w:sz="4" w:space="0"/>
            </w:tcBorders>
            <w:vAlign w:val="center"/>
          </w:tcPr>
          <w:p w14:paraId="0B4BC975">
            <w:pPr>
              <w:spacing w:line="360" w:lineRule="auto"/>
              <w:jc w:val="left"/>
              <w:rPr>
                <w:rFonts w:cs="仿宋" w:asciiTheme="majorEastAsia" w:hAnsiTheme="majorEastAsia" w:eastAsiaTheme="majorEastAsia"/>
                <w:color w:val="auto"/>
                <w:kern w:val="0"/>
                <w:sz w:val="24"/>
                <w:highlight w:val="none"/>
              </w:rPr>
            </w:pPr>
          </w:p>
        </w:tc>
        <w:tc>
          <w:tcPr>
            <w:tcW w:w="1537" w:type="dxa"/>
            <w:tcBorders>
              <w:top w:val="single" w:color="auto" w:sz="4" w:space="0"/>
              <w:left w:val="single" w:color="auto" w:sz="4" w:space="0"/>
              <w:bottom w:val="single" w:color="auto" w:sz="4" w:space="0"/>
              <w:right w:val="single" w:color="auto" w:sz="4" w:space="0"/>
            </w:tcBorders>
            <w:vAlign w:val="center"/>
          </w:tcPr>
          <w:p w14:paraId="431CF350">
            <w:pP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7C2BC051">
            <w:pP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794BB169">
            <w:pP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0F4DBAAE">
            <w:pPr>
              <w:spacing w:line="360" w:lineRule="auto"/>
              <w:jc w:val="left"/>
              <w:rPr>
                <w:rFonts w:cs="仿宋" w:asciiTheme="majorEastAsia" w:hAnsiTheme="majorEastAsia" w:eastAsiaTheme="majorEastAsia"/>
                <w:color w:val="auto"/>
                <w:kern w:val="0"/>
                <w:sz w:val="24"/>
                <w:highlight w:val="none"/>
              </w:rPr>
            </w:pPr>
          </w:p>
        </w:tc>
      </w:tr>
      <w:tr w14:paraId="37720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7D4F91C0">
            <w:pP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5</w:t>
            </w:r>
          </w:p>
        </w:tc>
        <w:tc>
          <w:tcPr>
            <w:tcW w:w="1750" w:type="dxa"/>
            <w:tcBorders>
              <w:top w:val="single" w:color="auto" w:sz="4" w:space="0"/>
              <w:left w:val="single" w:color="auto" w:sz="4" w:space="0"/>
              <w:bottom w:val="single" w:color="auto" w:sz="4" w:space="0"/>
              <w:right w:val="single" w:color="auto" w:sz="4" w:space="0"/>
            </w:tcBorders>
            <w:vAlign w:val="center"/>
          </w:tcPr>
          <w:p w14:paraId="3774A3A0">
            <w:pPr>
              <w:spacing w:line="360" w:lineRule="auto"/>
              <w:jc w:val="left"/>
              <w:rPr>
                <w:rFonts w:cs="仿宋" w:asciiTheme="majorEastAsia" w:hAnsiTheme="majorEastAsia" w:eastAsiaTheme="majorEastAsia"/>
                <w:color w:val="auto"/>
                <w:kern w:val="0"/>
                <w:sz w:val="24"/>
                <w:highlight w:val="none"/>
              </w:rPr>
            </w:pPr>
          </w:p>
        </w:tc>
        <w:tc>
          <w:tcPr>
            <w:tcW w:w="1537" w:type="dxa"/>
            <w:tcBorders>
              <w:top w:val="single" w:color="auto" w:sz="4" w:space="0"/>
              <w:left w:val="single" w:color="auto" w:sz="4" w:space="0"/>
              <w:bottom w:val="single" w:color="auto" w:sz="4" w:space="0"/>
              <w:right w:val="single" w:color="auto" w:sz="4" w:space="0"/>
            </w:tcBorders>
            <w:vAlign w:val="center"/>
          </w:tcPr>
          <w:p w14:paraId="583C7FA8">
            <w:pP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4EF09914">
            <w:pP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3E25866E">
            <w:pP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786B0BC1">
            <w:pPr>
              <w:spacing w:line="360" w:lineRule="auto"/>
              <w:jc w:val="left"/>
              <w:rPr>
                <w:rFonts w:cs="仿宋" w:asciiTheme="majorEastAsia" w:hAnsiTheme="majorEastAsia" w:eastAsiaTheme="majorEastAsia"/>
                <w:color w:val="auto"/>
                <w:kern w:val="0"/>
                <w:sz w:val="24"/>
                <w:highlight w:val="none"/>
              </w:rPr>
            </w:pPr>
          </w:p>
        </w:tc>
      </w:tr>
    </w:tbl>
    <w:p w14:paraId="18B8B2F2">
      <w:pPr>
        <w:spacing w:line="360" w:lineRule="auto"/>
        <w:jc w:val="left"/>
        <w:rPr>
          <w:rFonts w:cs="仿宋" w:asciiTheme="majorEastAsia" w:hAnsiTheme="majorEastAsia" w:eastAsiaTheme="majorEastAsia"/>
          <w:color w:val="auto"/>
          <w:kern w:val="0"/>
          <w:sz w:val="24"/>
          <w:highlight w:val="none"/>
        </w:rPr>
      </w:pPr>
    </w:p>
    <w:p w14:paraId="0AAE5283">
      <w:pPr>
        <w:spacing w:line="360" w:lineRule="auto"/>
        <w:jc w:val="left"/>
        <w:rPr>
          <w:rFonts w:cs="仿宋" w:asciiTheme="majorEastAsia" w:hAnsiTheme="majorEastAsia" w:eastAsiaTheme="majorEastAsia"/>
          <w:color w:val="auto"/>
          <w:kern w:val="0"/>
          <w:sz w:val="24"/>
          <w:highlight w:val="none"/>
        </w:rPr>
      </w:pPr>
    </w:p>
    <w:p w14:paraId="7896D7B3">
      <w:pPr>
        <w:spacing w:line="360" w:lineRule="auto"/>
        <w:jc w:val="left"/>
        <w:rPr>
          <w:rFonts w:cs="仿宋" w:asciiTheme="majorEastAsia" w:hAnsiTheme="majorEastAsia" w:eastAsiaTheme="majorEastAsia"/>
          <w:color w:val="auto"/>
          <w:kern w:val="0"/>
          <w:sz w:val="24"/>
          <w:highlight w:val="none"/>
        </w:rPr>
      </w:pPr>
    </w:p>
    <w:p w14:paraId="4256B0D7">
      <w:pP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19AC0947">
      <w:pP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6D4AF60D">
      <w:pP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510DAE78">
      <w:pPr>
        <w:spacing w:line="360" w:lineRule="auto"/>
        <w:ind w:left="4620" w:leftChars="2200"/>
        <w:jc w:val="left"/>
        <w:rPr>
          <w:rFonts w:cs="仿宋" w:asciiTheme="majorEastAsia" w:hAnsiTheme="majorEastAsia" w:eastAsiaTheme="majorEastAsia"/>
          <w:b/>
          <w:color w:val="auto"/>
          <w:kern w:val="0"/>
          <w:sz w:val="32"/>
          <w:szCs w:val="32"/>
          <w:highlight w:val="none"/>
          <w:lang w:val="zh-CN"/>
        </w:rPr>
      </w:pPr>
    </w:p>
    <w:p w14:paraId="41D46925">
      <w:pPr>
        <w:numPr>
          <w:ilvl w:val="0"/>
          <w:numId w:val="0"/>
        </w:numP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en-US" w:eastAsia="zh-CN"/>
        </w:rPr>
        <w:t>十、</w:t>
      </w:r>
      <w:r>
        <w:rPr>
          <w:rFonts w:hint="eastAsia" w:cs="仿宋" w:asciiTheme="majorEastAsia" w:hAnsiTheme="majorEastAsia" w:eastAsiaTheme="majorEastAsia"/>
          <w:b/>
          <w:color w:val="auto"/>
          <w:kern w:val="0"/>
          <w:sz w:val="32"/>
          <w:szCs w:val="32"/>
          <w:highlight w:val="none"/>
          <w:lang w:val="zh-CN"/>
        </w:rPr>
        <w:t>政府采购供应商廉洁自律承诺书</w:t>
      </w:r>
    </w:p>
    <w:p w14:paraId="6872A4C3">
      <w:pPr>
        <w:snapToGrid w:val="0"/>
        <w:spacing w:line="360" w:lineRule="auto"/>
        <w:rPr>
          <w:rFonts w:cs="仿宋" w:asciiTheme="majorEastAsia" w:hAnsiTheme="majorEastAsia" w:eastAsiaTheme="majorEastAsia"/>
          <w:color w:val="auto"/>
          <w:sz w:val="24"/>
          <w:highlight w:val="none"/>
        </w:rPr>
      </w:pPr>
    </w:p>
    <w:p w14:paraId="590C639B">
      <w:pPr>
        <w:snapToGrid w:val="0"/>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sz w:val="24"/>
          <w:highlight w:val="none"/>
        </w:rPr>
        <w:t>（采购人）、（采购代理机构）</w:t>
      </w:r>
      <w:r>
        <w:rPr>
          <w:rFonts w:hint="eastAsia" w:cs="仿宋" w:asciiTheme="majorEastAsia" w:hAnsiTheme="majorEastAsia" w:eastAsiaTheme="majorEastAsia"/>
          <w:color w:val="auto"/>
          <w:kern w:val="0"/>
          <w:sz w:val="24"/>
          <w:highlight w:val="none"/>
          <w:lang w:val="zh-CN"/>
        </w:rPr>
        <w:t>：</w:t>
      </w:r>
    </w:p>
    <w:p w14:paraId="7AD17241">
      <w:pP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我单位响应你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项目招标要求参加投标。在这次投标过程中和中标后，我们将严格遵守国家法律法规要求，并郑重承诺：</w:t>
      </w:r>
    </w:p>
    <w:p w14:paraId="1611DEC7">
      <w:pP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一、不向项目有关人员及部门赠送礼金礼物、有价证券、回扣以及中介费、介绍费、咨询费等好处费； </w:t>
      </w:r>
    </w:p>
    <w:p w14:paraId="2BC79EE4">
      <w:pP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二、不为项目有关人员及部门报销应由你方单位或个人支付的费用； </w:t>
      </w:r>
    </w:p>
    <w:p w14:paraId="63273F20">
      <w:pP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三、不向项目有关人员及部门提供有可能影响公正的宴请和健身娱乐等活动； </w:t>
      </w:r>
    </w:p>
    <w:p w14:paraId="18401E2B">
      <w:pP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四、不为项目有关人员及部门出国（境）、旅游等提供方便；</w:t>
      </w:r>
    </w:p>
    <w:p w14:paraId="4B15171F">
      <w:pPr>
        <w:autoSpaceDE w:val="0"/>
        <w:autoSpaceDN w:val="0"/>
        <w:spacing w:line="360" w:lineRule="auto"/>
        <w:ind w:left="481" w:leftChars="229"/>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五、不为项目有关人员个人装修住房、婚丧嫁娶、配偶子女工作安排等提供</w:t>
      </w:r>
    </w:p>
    <w:p w14:paraId="4E089814">
      <w:pPr>
        <w:autoSpaceDE w:val="0"/>
        <w:autoSpaceDN w:val="0"/>
        <w:spacing w:line="360" w:lineRule="auto"/>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好处；</w:t>
      </w:r>
    </w:p>
    <w:p w14:paraId="47F980E4">
      <w:pPr>
        <w:autoSpaceDE w:val="0"/>
        <w:autoSpaceDN w:val="0"/>
        <w:spacing w:line="360" w:lineRule="auto"/>
        <w:ind w:left="481" w:leftChars="229"/>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六、严格遵守《</w:t>
      </w:r>
      <w:r>
        <w:rPr>
          <w:rFonts w:hint="eastAsia" w:cs="仿宋" w:asciiTheme="majorEastAsia" w:hAnsiTheme="majorEastAsia" w:eastAsiaTheme="majorEastAsia"/>
          <w:color w:val="auto"/>
          <w:sz w:val="24"/>
          <w:highlight w:val="none"/>
          <w:lang w:val="zh-CN"/>
        </w:rPr>
        <w:t>中华人民共和国</w:t>
      </w:r>
      <w:r>
        <w:rPr>
          <w:rFonts w:hint="eastAsia" w:cs="仿宋" w:asciiTheme="majorEastAsia" w:hAnsiTheme="majorEastAsia" w:eastAsiaTheme="majorEastAsia"/>
          <w:color w:val="auto"/>
          <w:kern w:val="0"/>
          <w:sz w:val="24"/>
          <w:highlight w:val="none"/>
          <w:lang w:val="zh-CN"/>
        </w:rPr>
        <w:t>政府采购法》《</w:t>
      </w:r>
      <w:r>
        <w:rPr>
          <w:rFonts w:hint="eastAsia" w:cs="仿宋" w:asciiTheme="majorEastAsia" w:hAnsiTheme="majorEastAsia" w:eastAsiaTheme="majorEastAsia"/>
          <w:color w:val="auto"/>
          <w:sz w:val="24"/>
          <w:highlight w:val="none"/>
          <w:lang w:val="zh-CN"/>
        </w:rPr>
        <w:t>中华人民共和国</w:t>
      </w:r>
      <w:r>
        <w:rPr>
          <w:rFonts w:hint="eastAsia" w:cs="仿宋" w:asciiTheme="majorEastAsia" w:hAnsiTheme="majorEastAsia" w:eastAsiaTheme="majorEastAsia"/>
          <w:color w:val="auto"/>
          <w:kern w:val="0"/>
          <w:sz w:val="24"/>
          <w:highlight w:val="none"/>
          <w:lang w:val="zh-CN"/>
        </w:rPr>
        <w:t>招标投标</w:t>
      </w:r>
    </w:p>
    <w:p w14:paraId="166B4C63">
      <w:pPr>
        <w:autoSpaceDE w:val="0"/>
        <w:autoSpaceDN w:val="0"/>
        <w:spacing w:line="360" w:lineRule="auto"/>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w:t>
      </w:r>
      <w:r>
        <w:rPr>
          <w:rFonts w:hint="eastAsia" w:cs="仿宋" w:asciiTheme="majorEastAsia" w:hAnsiTheme="majorEastAsia" w:eastAsiaTheme="majorEastAsia"/>
          <w:color w:val="auto"/>
          <w:sz w:val="24"/>
          <w:highlight w:val="none"/>
          <w:lang w:val="zh-CN"/>
        </w:rPr>
        <w:t>《中华人民共和国民法典》</w:t>
      </w:r>
      <w:r>
        <w:rPr>
          <w:rFonts w:hint="eastAsia" w:cs="仿宋" w:asciiTheme="majorEastAsia" w:hAnsiTheme="majorEastAsia" w:eastAsiaTheme="majorEastAsia"/>
          <w:color w:val="auto"/>
          <w:kern w:val="0"/>
          <w:sz w:val="24"/>
          <w:highlight w:val="none"/>
          <w:lang w:val="zh-CN"/>
        </w:rPr>
        <w:t xml:space="preserve">等法律法规，诚实守信，合法经营，坚决抵制各种违法违纪行为。 </w:t>
      </w:r>
    </w:p>
    <w:p w14:paraId="4C5F3B39">
      <w:pPr>
        <w:autoSpaceDE w:val="0"/>
        <w:autoSpaceDN w:val="0"/>
        <w:spacing w:line="360" w:lineRule="auto"/>
        <w:ind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如违反上述承诺，你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有权立即取消我单位投标、中标或在建项目的建设资格，有权拒绝我单位在一定时期内进入你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进行项目建设或其他经营活动，并通报市财政局。由此引起的相应损失均由我单位承担。</w:t>
      </w:r>
    </w:p>
    <w:p w14:paraId="5636DC22">
      <w:pP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45E638DB">
      <w:pP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54EA9911">
      <w:pP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286353AF">
      <w:pP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7BBC9308">
      <w:pP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779C933C">
      <w:pPr>
        <w:adjustRightInd w:val="0"/>
        <w:snapToGrid w:val="0"/>
        <w:spacing w:line="360" w:lineRule="auto"/>
        <w:ind w:right="1920"/>
        <w:jc w:val="center"/>
        <w:rPr>
          <w:rFonts w:hint="eastAsia"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0E307926">
      <w:pPr>
        <w:rPr>
          <w:rFonts w:hint="eastAsia"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br w:type="page"/>
      </w:r>
    </w:p>
    <w:p w14:paraId="6F892760">
      <w:pPr>
        <w:keepNext w:val="0"/>
        <w:keepLines w:val="0"/>
        <w:pageBreakBefore w:val="0"/>
        <w:widowControl w:val="0"/>
        <w:numPr>
          <w:ilvl w:val="0"/>
          <w:numId w:val="0"/>
        </w:numPr>
        <w:kinsoku/>
        <w:wordWrap/>
        <w:overflowPunct/>
        <w:topLinePunct w:val="0"/>
        <w:bidi w:val="0"/>
        <w:snapToGrid w:val="0"/>
        <w:spacing w:line="360" w:lineRule="auto"/>
        <w:jc w:val="center"/>
        <w:textAlignment w:val="auto"/>
        <w:outlineLvl w:val="0"/>
        <w:rPr>
          <w:rFonts w:hint="eastAsia"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en-US" w:eastAsia="zh-CN"/>
        </w:rPr>
        <w:t>十一、</w:t>
      </w:r>
      <w:r>
        <w:rPr>
          <w:rFonts w:hint="eastAsia" w:cs="仿宋" w:asciiTheme="majorEastAsia" w:hAnsiTheme="majorEastAsia" w:eastAsiaTheme="majorEastAsia"/>
          <w:b/>
          <w:color w:val="auto"/>
          <w:kern w:val="0"/>
          <w:sz w:val="32"/>
          <w:szCs w:val="32"/>
          <w:highlight w:val="none"/>
          <w:lang w:val="zh-CN"/>
        </w:rPr>
        <w:t>项目管理机构配备情况表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2"/>
        <w:gridCol w:w="927"/>
        <w:gridCol w:w="927"/>
        <w:gridCol w:w="742"/>
        <w:gridCol w:w="742"/>
        <w:gridCol w:w="1297"/>
        <w:gridCol w:w="1284"/>
        <w:gridCol w:w="1766"/>
        <w:gridCol w:w="1112"/>
      </w:tblGrid>
      <w:tr w14:paraId="4EFFAB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42" w:type="dxa"/>
            <w:noWrap w:val="0"/>
            <w:vAlign w:val="center"/>
          </w:tcPr>
          <w:p w14:paraId="41B40A97">
            <w:pPr>
              <w:spacing w:line="360" w:lineRule="auto"/>
              <w:jc w:val="center"/>
              <w:rPr>
                <w:rFonts w:hint="eastAsia" w:ascii="宋体" w:hAnsi="宋体"/>
                <w:color w:val="auto"/>
                <w:szCs w:val="21"/>
                <w:highlight w:val="none"/>
              </w:rPr>
            </w:pPr>
            <w:r>
              <w:rPr>
                <w:rFonts w:hint="eastAsia" w:ascii="宋体" w:hAnsi="宋体"/>
                <w:color w:val="auto"/>
                <w:szCs w:val="21"/>
                <w:highlight w:val="none"/>
              </w:rPr>
              <w:t>序号</w:t>
            </w:r>
          </w:p>
        </w:tc>
        <w:tc>
          <w:tcPr>
            <w:tcW w:w="927" w:type="dxa"/>
            <w:noWrap w:val="0"/>
            <w:vAlign w:val="center"/>
          </w:tcPr>
          <w:p w14:paraId="1DA4E274">
            <w:pPr>
              <w:spacing w:line="360" w:lineRule="auto"/>
              <w:jc w:val="center"/>
              <w:rPr>
                <w:rFonts w:hint="eastAsia" w:ascii="宋体" w:hAnsi="宋体"/>
                <w:color w:val="auto"/>
                <w:szCs w:val="21"/>
                <w:highlight w:val="none"/>
              </w:rPr>
            </w:pPr>
            <w:r>
              <w:rPr>
                <w:rFonts w:hint="eastAsia" w:ascii="宋体" w:hAnsi="宋体"/>
                <w:color w:val="auto"/>
                <w:szCs w:val="21"/>
                <w:highlight w:val="none"/>
              </w:rPr>
              <w:t>姓名</w:t>
            </w:r>
          </w:p>
        </w:tc>
        <w:tc>
          <w:tcPr>
            <w:tcW w:w="927" w:type="dxa"/>
            <w:noWrap w:val="0"/>
            <w:vAlign w:val="center"/>
          </w:tcPr>
          <w:p w14:paraId="0E0F4375">
            <w:pPr>
              <w:spacing w:line="360" w:lineRule="auto"/>
              <w:jc w:val="center"/>
              <w:rPr>
                <w:rFonts w:hint="eastAsia" w:ascii="宋体" w:hAnsi="宋体"/>
                <w:color w:val="auto"/>
                <w:szCs w:val="21"/>
                <w:highlight w:val="none"/>
              </w:rPr>
            </w:pPr>
            <w:r>
              <w:rPr>
                <w:rFonts w:hint="eastAsia" w:ascii="宋体" w:hAnsi="宋体"/>
                <w:color w:val="auto"/>
                <w:szCs w:val="21"/>
                <w:highlight w:val="none"/>
              </w:rPr>
              <w:t>性别</w:t>
            </w:r>
          </w:p>
        </w:tc>
        <w:tc>
          <w:tcPr>
            <w:tcW w:w="742" w:type="dxa"/>
            <w:noWrap w:val="0"/>
            <w:vAlign w:val="center"/>
          </w:tcPr>
          <w:p w14:paraId="45C76B31">
            <w:pPr>
              <w:spacing w:line="360" w:lineRule="auto"/>
              <w:jc w:val="center"/>
              <w:rPr>
                <w:rFonts w:hint="eastAsia" w:ascii="宋体" w:hAnsi="宋体"/>
                <w:color w:val="auto"/>
                <w:szCs w:val="21"/>
                <w:highlight w:val="none"/>
              </w:rPr>
            </w:pPr>
            <w:r>
              <w:rPr>
                <w:rFonts w:hint="eastAsia" w:ascii="宋体" w:hAnsi="宋体"/>
                <w:color w:val="auto"/>
                <w:szCs w:val="21"/>
                <w:highlight w:val="none"/>
              </w:rPr>
              <w:t>年龄</w:t>
            </w:r>
          </w:p>
        </w:tc>
        <w:tc>
          <w:tcPr>
            <w:tcW w:w="742" w:type="dxa"/>
            <w:noWrap w:val="0"/>
            <w:vAlign w:val="center"/>
          </w:tcPr>
          <w:p w14:paraId="181A6B34">
            <w:pPr>
              <w:spacing w:line="360" w:lineRule="auto"/>
              <w:jc w:val="center"/>
              <w:rPr>
                <w:rFonts w:hint="eastAsia" w:ascii="宋体" w:hAnsi="宋体"/>
                <w:color w:val="auto"/>
                <w:szCs w:val="21"/>
                <w:highlight w:val="none"/>
              </w:rPr>
            </w:pPr>
            <w:r>
              <w:rPr>
                <w:rFonts w:hint="eastAsia" w:ascii="宋体" w:hAnsi="宋体"/>
                <w:color w:val="auto"/>
                <w:szCs w:val="21"/>
                <w:highlight w:val="none"/>
              </w:rPr>
              <w:t>学历</w:t>
            </w:r>
          </w:p>
        </w:tc>
        <w:tc>
          <w:tcPr>
            <w:tcW w:w="1297" w:type="dxa"/>
            <w:noWrap w:val="0"/>
            <w:vAlign w:val="center"/>
          </w:tcPr>
          <w:p w14:paraId="37F9B4ED">
            <w:pPr>
              <w:spacing w:line="280" w:lineRule="exact"/>
              <w:jc w:val="center"/>
              <w:rPr>
                <w:rFonts w:hint="eastAsia" w:ascii="宋体" w:hAnsi="宋体"/>
                <w:color w:val="auto"/>
                <w:szCs w:val="21"/>
                <w:highlight w:val="none"/>
              </w:rPr>
            </w:pPr>
            <w:r>
              <w:rPr>
                <w:rFonts w:hint="eastAsia" w:ascii="宋体" w:hAnsi="宋体"/>
                <w:color w:val="auto"/>
                <w:szCs w:val="21"/>
                <w:highlight w:val="none"/>
              </w:rPr>
              <w:t>职称/职务</w:t>
            </w:r>
          </w:p>
        </w:tc>
        <w:tc>
          <w:tcPr>
            <w:tcW w:w="1284" w:type="dxa"/>
            <w:noWrap w:val="0"/>
            <w:vAlign w:val="center"/>
          </w:tcPr>
          <w:p w14:paraId="46887095">
            <w:pPr>
              <w:spacing w:line="280" w:lineRule="exact"/>
              <w:jc w:val="center"/>
              <w:rPr>
                <w:rFonts w:hint="eastAsia" w:ascii="宋体" w:hAnsi="宋体"/>
                <w:color w:val="auto"/>
                <w:szCs w:val="21"/>
                <w:highlight w:val="none"/>
              </w:rPr>
            </w:pPr>
            <w:r>
              <w:rPr>
                <w:rFonts w:hint="eastAsia" w:ascii="宋体" w:hAnsi="宋体"/>
                <w:color w:val="auto"/>
                <w:szCs w:val="21"/>
                <w:highlight w:val="none"/>
              </w:rPr>
              <w:t>本项目中的岗位</w:t>
            </w:r>
          </w:p>
        </w:tc>
        <w:tc>
          <w:tcPr>
            <w:tcW w:w="1766" w:type="dxa"/>
            <w:noWrap w:val="0"/>
            <w:vAlign w:val="center"/>
          </w:tcPr>
          <w:p w14:paraId="75A39295">
            <w:pPr>
              <w:spacing w:line="360" w:lineRule="auto"/>
              <w:jc w:val="center"/>
              <w:rPr>
                <w:rFonts w:hint="eastAsia" w:ascii="宋体" w:hAnsi="宋体"/>
                <w:color w:val="auto"/>
                <w:szCs w:val="21"/>
                <w:highlight w:val="none"/>
              </w:rPr>
            </w:pPr>
            <w:r>
              <w:rPr>
                <w:rFonts w:hint="eastAsia" w:ascii="宋体" w:hAnsi="宋体"/>
                <w:color w:val="auto"/>
                <w:szCs w:val="21"/>
                <w:highlight w:val="none"/>
              </w:rPr>
              <w:t>从事专业年限</w:t>
            </w:r>
          </w:p>
        </w:tc>
        <w:tc>
          <w:tcPr>
            <w:tcW w:w="1112" w:type="dxa"/>
            <w:noWrap w:val="0"/>
            <w:vAlign w:val="center"/>
          </w:tcPr>
          <w:p w14:paraId="6CE7EDC2">
            <w:pPr>
              <w:spacing w:line="360" w:lineRule="auto"/>
              <w:jc w:val="center"/>
              <w:rPr>
                <w:rFonts w:hint="eastAsia" w:ascii="宋体" w:hAnsi="宋体"/>
                <w:color w:val="auto"/>
                <w:szCs w:val="21"/>
                <w:highlight w:val="none"/>
              </w:rPr>
            </w:pPr>
            <w:r>
              <w:rPr>
                <w:rFonts w:hint="eastAsia" w:ascii="宋体" w:hAnsi="宋体"/>
                <w:color w:val="auto"/>
                <w:szCs w:val="21"/>
                <w:highlight w:val="none"/>
              </w:rPr>
              <w:t>备注</w:t>
            </w:r>
          </w:p>
        </w:tc>
      </w:tr>
      <w:tr w14:paraId="51ECBC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noWrap w:val="0"/>
            <w:vAlign w:val="center"/>
          </w:tcPr>
          <w:p w14:paraId="02991A64">
            <w:pPr>
              <w:spacing w:line="360" w:lineRule="auto"/>
              <w:jc w:val="center"/>
              <w:rPr>
                <w:rFonts w:hint="eastAsia" w:ascii="宋体" w:hAnsi="宋体"/>
                <w:color w:val="auto"/>
                <w:szCs w:val="21"/>
                <w:highlight w:val="none"/>
              </w:rPr>
            </w:pPr>
          </w:p>
        </w:tc>
        <w:tc>
          <w:tcPr>
            <w:tcW w:w="927" w:type="dxa"/>
            <w:noWrap w:val="0"/>
            <w:vAlign w:val="center"/>
          </w:tcPr>
          <w:p w14:paraId="145C84B8">
            <w:pPr>
              <w:spacing w:line="360" w:lineRule="auto"/>
              <w:jc w:val="center"/>
              <w:rPr>
                <w:rFonts w:hint="eastAsia" w:ascii="宋体" w:hAnsi="宋体"/>
                <w:color w:val="auto"/>
                <w:szCs w:val="21"/>
                <w:highlight w:val="none"/>
              </w:rPr>
            </w:pPr>
          </w:p>
        </w:tc>
        <w:tc>
          <w:tcPr>
            <w:tcW w:w="927" w:type="dxa"/>
            <w:noWrap w:val="0"/>
            <w:vAlign w:val="center"/>
          </w:tcPr>
          <w:p w14:paraId="4351DEF2">
            <w:pPr>
              <w:spacing w:line="360" w:lineRule="auto"/>
              <w:jc w:val="center"/>
              <w:rPr>
                <w:rFonts w:hint="eastAsia" w:ascii="宋体" w:hAnsi="宋体"/>
                <w:color w:val="auto"/>
                <w:szCs w:val="21"/>
                <w:highlight w:val="none"/>
              </w:rPr>
            </w:pPr>
          </w:p>
        </w:tc>
        <w:tc>
          <w:tcPr>
            <w:tcW w:w="742" w:type="dxa"/>
            <w:noWrap w:val="0"/>
            <w:vAlign w:val="center"/>
          </w:tcPr>
          <w:p w14:paraId="67BDF4FC">
            <w:pPr>
              <w:spacing w:line="360" w:lineRule="auto"/>
              <w:jc w:val="center"/>
              <w:rPr>
                <w:rFonts w:hint="eastAsia" w:ascii="宋体" w:hAnsi="宋体"/>
                <w:color w:val="auto"/>
                <w:szCs w:val="21"/>
                <w:highlight w:val="none"/>
              </w:rPr>
            </w:pPr>
          </w:p>
        </w:tc>
        <w:tc>
          <w:tcPr>
            <w:tcW w:w="742" w:type="dxa"/>
            <w:noWrap w:val="0"/>
            <w:vAlign w:val="center"/>
          </w:tcPr>
          <w:p w14:paraId="55E8F342">
            <w:pPr>
              <w:spacing w:line="360" w:lineRule="auto"/>
              <w:jc w:val="center"/>
              <w:rPr>
                <w:rFonts w:hint="eastAsia" w:ascii="宋体" w:hAnsi="宋体"/>
                <w:color w:val="auto"/>
                <w:szCs w:val="21"/>
                <w:highlight w:val="none"/>
              </w:rPr>
            </w:pPr>
          </w:p>
        </w:tc>
        <w:tc>
          <w:tcPr>
            <w:tcW w:w="1297" w:type="dxa"/>
            <w:noWrap w:val="0"/>
            <w:vAlign w:val="center"/>
          </w:tcPr>
          <w:p w14:paraId="1524AAD9">
            <w:pPr>
              <w:spacing w:line="360" w:lineRule="auto"/>
              <w:jc w:val="center"/>
              <w:rPr>
                <w:rFonts w:hint="eastAsia" w:ascii="宋体" w:hAnsi="宋体"/>
                <w:color w:val="auto"/>
                <w:szCs w:val="21"/>
                <w:highlight w:val="none"/>
              </w:rPr>
            </w:pPr>
          </w:p>
        </w:tc>
        <w:tc>
          <w:tcPr>
            <w:tcW w:w="1284" w:type="dxa"/>
            <w:noWrap w:val="0"/>
            <w:vAlign w:val="center"/>
          </w:tcPr>
          <w:p w14:paraId="5D07D157">
            <w:pPr>
              <w:spacing w:line="360" w:lineRule="auto"/>
              <w:jc w:val="center"/>
              <w:rPr>
                <w:rFonts w:hint="eastAsia" w:ascii="宋体" w:hAnsi="宋体"/>
                <w:color w:val="auto"/>
                <w:szCs w:val="21"/>
                <w:highlight w:val="none"/>
              </w:rPr>
            </w:pPr>
          </w:p>
        </w:tc>
        <w:tc>
          <w:tcPr>
            <w:tcW w:w="1766" w:type="dxa"/>
            <w:noWrap w:val="0"/>
            <w:vAlign w:val="top"/>
          </w:tcPr>
          <w:p w14:paraId="1986F34A">
            <w:pPr>
              <w:spacing w:line="360" w:lineRule="auto"/>
              <w:jc w:val="center"/>
              <w:rPr>
                <w:rFonts w:hint="eastAsia" w:ascii="宋体" w:hAnsi="宋体"/>
                <w:color w:val="auto"/>
                <w:szCs w:val="21"/>
                <w:highlight w:val="none"/>
              </w:rPr>
            </w:pPr>
          </w:p>
        </w:tc>
        <w:tc>
          <w:tcPr>
            <w:tcW w:w="1112" w:type="dxa"/>
            <w:noWrap w:val="0"/>
            <w:vAlign w:val="center"/>
          </w:tcPr>
          <w:p w14:paraId="0FBC4A97">
            <w:pPr>
              <w:spacing w:line="360" w:lineRule="auto"/>
              <w:jc w:val="center"/>
              <w:rPr>
                <w:rFonts w:hint="eastAsia" w:ascii="宋体" w:hAnsi="宋体"/>
                <w:color w:val="auto"/>
                <w:szCs w:val="21"/>
                <w:highlight w:val="none"/>
              </w:rPr>
            </w:pPr>
          </w:p>
        </w:tc>
      </w:tr>
      <w:tr w14:paraId="082EE6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noWrap w:val="0"/>
            <w:vAlign w:val="center"/>
          </w:tcPr>
          <w:p w14:paraId="5DBA09FB">
            <w:pPr>
              <w:spacing w:line="360" w:lineRule="auto"/>
              <w:jc w:val="center"/>
              <w:rPr>
                <w:rFonts w:hint="eastAsia" w:ascii="宋体" w:hAnsi="宋体"/>
                <w:color w:val="auto"/>
                <w:szCs w:val="21"/>
                <w:highlight w:val="none"/>
              </w:rPr>
            </w:pPr>
          </w:p>
        </w:tc>
        <w:tc>
          <w:tcPr>
            <w:tcW w:w="927" w:type="dxa"/>
            <w:noWrap w:val="0"/>
            <w:vAlign w:val="center"/>
          </w:tcPr>
          <w:p w14:paraId="6436243C">
            <w:pPr>
              <w:spacing w:line="360" w:lineRule="auto"/>
              <w:jc w:val="center"/>
              <w:rPr>
                <w:rFonts w:hint="eastAsia" w:ascii="宋体" w:hAnsi="宋体"/>
                <w:color w:val="auto"/>
                <w:szCs w:val="21"/>
                <w:highlight w:val="none"/>
              </w:rPr>
            </w:pPr>
          </w:p>
        </w:tc>
        <w:tc>
          <w:tcPr>
            <w:tcW w:w="927" w:type="dxa"/>
            <w:noWrap w:val="0"/>
            <w:vAlign w:val="center"/>
          </w:tcPr>
          <w:p w14:paraId="78F2F513">
            <w:pPr>
              <w:spacing w:line="360" w:lineRule="auto"/>
              <w:jc w:val="center"/>
              <w:rPr>
                <w:rFonts w:hint="eastAsia" w:ascii="宋体" w:hAnsi="宋体"/>
                <w:color w:val="auto"/>
                <w:szCs w:val="21"/>
                <w:highlight w:val="none"/>
              </w:rPr>
            </w:pPr>
          </w:p>
        </w:tc>
        <w:tc>
          <w:tcPr>
            <w:tcW w:w="742" w:type="dxa"/>
            <w:noWrap w:val="0"/>
            <w:vAlign w:val="center"/>
          </w:tcPr>
          <w:p w14:paraId="66C58E1B">
            <w:pPr>
              <w:spacing w:line="360" w:lineRule="auto"/>
              <w:jc w:val="center"/>
              <w:rPr>
                <w:rFonts w:hint="eastAsia" w:ascii="宋体" w:hAnsi="宋体"/>
                <w:color w:val="auto"/>
                <w:szCs w:val="21"/>
                <w:highlight w:val="none"/>
              </w:rPr>
            </w:pPr>
          </w:p>
        </w:tc>
        <w:tc>
          <w:tcPr>
            <w:tcW w:w="742" w:type="dxa"/>
            <w:noWrap w:val="0"/>
            <w:vAlign w:val="center"/>
          </w:tcPr>
          <w:p w14:paraId="2167004D">
            <w:pPr>
              <w:spacing w:line="360" w:lineRule="auto"/>
              <w:jc w:val="center"/>
              <w:rPr>
                <w:rFonts w:hint="eastAsia" w:ascii="宋体" w:hAnsi="宋体"/>
                <w:color w:val="auto"/>
                <w:szCs w:val="21"/>
                <w:highlight w:val="none"/>
              </w:rPr>
            </w:pPr>
          </w:p>
        </w:tc>
        <w:tc>
          <w:tcPr>
            <w:tcW w:w="1297" w:type="dxa"/>
            <w:noWrap w:val="0"/>
            <w:vAlign w:val="center"/>
          </w:tcPr>
          <w:p w14:paraId="4A79DF1E">
            <w:pPr>
              <w:spacing w:line="360" w:lineRule="auto"/>
              <w:jc w:val="center"/>
              <w:rPr>
                <w:rFonts w:hint="eastAsia" w:ascii="宋体" w:hAnsi="宋体"/>
                <w:color w:val="auto"/>
                <w:szCs w:val="21"/>
                <w:highlight w:val="none"/>
              </w:rPr>
            </w:pPr>
          </w:p>
        </w:tc>
        <w:tc>
          <w:tcPr>
            <w:tcW w:w="1284" w:type="dxa"/>
            <w:noWrap w:val="0"/>
            <w:vAlign w:val="center"/>
          </w:tcPr>
          <w:p w14:paraId="59E1820C">
            <w:pPr>
              <w:spacing w:line="360" w:lineRule="auto"/>
              <w:jc w:val="center"/>
              <w:rPr>
                <w:rFonts w:hint="eastAsia" w:ascii="宋体" w:hAnsi="宋体"/>
                <w:color w:val="auto"/>
                <w:szCs w:val="21"/>
                <w:highlight w:val="none"/>
              </w:rPr>
            </w:pPr>
          </w:p>
        </w:tc>
        <w:tc>
          <w:tcPr>
            <w:tcW w:w="1766" w:type="dxa"/>
            <w:noWrap w:val="0"/>
            <w:vAlign w:val="top"/>
          </w:tcPr>
          <w:p w14:paraId="7BB55B0B">
            <w:pPr>
              <w:spacing w:line="360" w:lineRule="auto"/>
              <w:jc w:val="center"/>
              <w:rPr>
                <w:rFonts w:hint="eastAsia" w:ascii="宋体" w:hAnsi="宋体"/>
                <w:color w:val="auto"/>
                <w:szCs w:val="21"/>
                <w:highlight w:val="none"/>
              </w:rPr>
            </w:pPr>
          </w:p>
        </w:tc>
        <w:tc>
          <w:tcPr>
            <w:tcW w:w="1112" w:type="dxa"/>
            <w:noWrap w:val="0"/>
            <w:vAlign w:val="center"/>
          </w:tcPr>
          <w:p w14:paraId="45F887CF">
            <w:pPr>
              <w:spacing w:line="360" w:lineRule="auto"/>
              <w:jc w:val="center"/>
              <w:rPr>
                <w:rFonts w:hint="eastAsia" w:ascii="宋体" w:hAnsi="宋体"/>
                <w:color w:val="auto"/>
                <w:szCs w:val="21"/>
                <w:highlight w:val="none"/>
              </w:rPr>
            </w:pPr>
          </w:p>
        </w:tc>
      </w:tr>
      <w:tr w14:paraId="0221FE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noWrap w:val="0"/>
            <w:vAlign w:val="center"/>
          </w:tcPr>
          <w:p w14:paraId="2306CDBB">
            <w:pPr>
              <w:spacing w:line="360" w:lineRule="auto"/>
              <w:jc w:val="center"/>
              <w:rPr>
                <w:rFonts w:hint="eastAsia" w:ascii="宋体" w:hAnsi="宋体"/>
                <w:color w:val="auto"/>
                <w:szCs w:val="21"/>
                <w:highlight w:val="none"/>
              </w:rPr>
            </w:pPr>
          </w:p>
        </w:tc>
        <w:tc>
          <w:tcPr>
            <w:tcW w:w="927" w:type="dxa"/>
            <w:noWrap w:val="0"/>
            <w:vAlign w:val="center"/>
          </w:tcPr>
          <w:p w14:paraId="5C46C29B">
            <w:pPr>
              <w:spacing w:line="360" w:lineRule="auto"/>
              <w:jc w:val="center"/>
              <w:rPr>
                <w:rFonts w:hint="eastAsia" w:ascii="宋体" w:hAnsi="宋体"/>
                <w:color w:val="auto"/>
                <w:szCs w:val="21"/>
                <w:highlight w:val="none"/>
              </w:rPr>
            </w:pPr>
          </w:p>
        </w:tc>
        <w:tc>
          <w:tcPr>
            <w:tcW w:w="927" w:type="dxa"/>
            <w:noWrap w:val="0"/>
            <w:vAlign w:val="center"/>
          </w:tcPr>
          <w:p w14:paraId="6705FA63">
            <w:pPr>
              <w:spacing w:line="360" w:lineRule="auto"/>
              <w:jc w:val="center"/>
              <w:rPr>
                <w:rFonts w:hint="eastAsia" w:ascii="宋体" w:hAnsi="宋体"/>
                <w:color w:val="auto"/>
                <w:szCs w:val="21"/>
                <w:highlight w:val="none"/>
              </w:rPr>
            </w:pPr>
          </w:p>
        </w:tc>
        <w:tc>
          <w:tcPr>
            <w:tcW w:w="742" w:type="dxa"/>
            <w:noWrap w:val="0"/>
            <w:vAlign w:val="center"/>
          </w:tcPr>
          <w:p w14:paraId="7C9F8174">
            <w:pPr>
              <w:spacing w:line="360" w:lineRule="auto"/>
              <w:jc w:val="center"/>
              <w:rPr>
                <w:rFonts w:hint="eastAsia" w:ascii="宋体" w:hAnsi="宋体"/>
                <w:color w:val="auto"/>
                <w:szCs w:val="21"/>
                <w:highlight w:val="none"/>
              </w:rPr>
            </w:pPr>
          </w:p>
        </w:tc>
        <w:tc>
          <w:tcPr>
            <w:tcW w:w="742" w:type="dxa"/>
            <w:noWrap w:val="0"/>
            <w:vAlign w:val="center"/>
          </w:tcPr>
          <w:p w14:paraId="6C44F5EB">
            <w:pPr>
              <w:spacing w:line="360" w:lineRule="auto"/>
              <w:jc w:val="center"/>
              <w:rPr>
                <w:rFonts w:hint="eastAsia" w:ascii="宋体" w:hAnsi="宋体"/>
                <w:color w:val="auto"/>
                <w:szCs w:val="21"/>
                <w:highlight w:val="none"/>
              </w:rPr>
            </w:pPr>
          </w:p>
        </w:tc>
        <w:tc>
          <w:tcPr>
            <w:tcW w:w="1297" w:type="dxa"/>
            <w:noWrap w:val="0"/>
            <w:vAlign w:val="center"/>
          </w:tcPr>
          <w:p w14:paraId="771EC826">
            <w:pPr>
              <w:spacing w:line="360" w:lineRule="auto"/>
              <w:jc w:val="center"/>
              <w:rPr>
                <w:rFonts w:hint="eastAsia" w:ascii="宋体" w:hAnsi="宋体"/>
                <w:color w:val="auto"/>
                <w:szCs w:val="21"/>
                <w:highlight w:val="none"/>
              </w:rPr>
            </w:pPr>
          </w:p>
        </w:tc>
        <w:tc>
          <w:tcPr>
            <w:tcW w:w="1284" w:type="dxa"/>
            <w:noWrap w:val="0"/>
            <w:vAlign w:val="center"/>
          </w:tcPr>
          <w:p w14:paraId="33DC61FE">
            <w:pPr>
              <w:spacing w:line="360" w:lineRule="auto"/>
              <w:jc w:val="center"/>
              <w:rPr>
                <w:rFonts w:hint="eastAsia" w:ascii="宋体" w:hAnsi="宋体"/>
                <w:color w:val="auto"/>
                <w:szCs w:val="21"/>
                <w:highlight w:val="none"/>
              </w:rPr>
            </w:pPr>
          </w:p>
        </w:tc>
        <w:tc>
          <w:tcPr>
            <w:tcW w:w="1766" w:type="dxa"/>
            <w:noWrap w:val="0"/>
            <w:vAlign w:val="top"/>
          </w:tcPr>
          <w:p w14:paraId="6C028775">
            <w:pPr>
              <w:spacing w:line="360" w:lineRule="auto"/>
              <w:jc w:val="center"/>
              <w:rPr>
                <w:rFonts w:hint="eastAsia" w:ascii="宋体" w:hAnsi="宋体"/>
                <w:color w:val="auto"/>
                <w:szCs w:val="21"/>
                <w:highlight w:val="none"/>
              </w:rPr>
            </w:pPr>
          </w:p>
        </w:tc>
        <w:tc>
          <w:tcPr>
            <w:tcW w:w="1112" w:type="dxa"/>
            <w:noWrap w:val="0"/>
            <w:vAlign w:val="center"/>
          </w:tcPr>
          <w:p w14:paraId="1F3D6105">
            <w:pPr>
              <w:spacing w:line="360" w:lineRule="auto"/>
              <w:jc w:val="center"/>
              <w:rPr>
                <w:rFonts w:hint="eastAsia" w:ascii="宋体" w:hAnsi="宋体"/>
                <w:color w:val="auto"/>
                <w:szCs w:val="21"/>
                <w:highlight w:val="none"/>
              </w:rPr>
            </w:pPr>
          </w:p>
        </w:tc>
      </w:tr>
      <w:tr w14:paraId="0E0369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noWrap w:val="0"/>
            <w:vAlign w:val="center"/>
          </w:tcPr>
          <w:p w14:paraId="7D7F7B04">
            <w:pPr>
              <w:spacing w:line="360" w:lineRule="auto"/>
              <w:jc w:val="center"/>
              <w:rPr>
                <w:rFonts w:hint="eastAsia" w:ascii="宋体" w:hAnsi="宋体"/>
                <w:color w:val="auto"/>
                <w:szCs w:val="21"/>
                <w:highlight w:val="none"/>
              </w:rPr>
            </w:pPr>
          </w:p>
        </w:tc>
        <w:tc>
          <w:tcPr>
            <w:tcW w:w="927" w:type="dxa"/>
            <w:noWrap w:val="0"/>
            <w:vAlign w:val="center"/>
          </w:tcPr>
          <w:p w14:paraId="0DF2361F">
            <w:pPr>
              <w:spacing w:line="360" w:lineRule="auto"/>
              <w:jc w:val="center"/>
              <w:rPr>
                <w:rFonts w:hint="eastAsia" w:ascii="宋体" w:hAnsi="宋体"/>
                <w:color w:val="auto"/>
                <w:szCs w:val="21"/>
                <w:highlight w:val="none"/>
              </w:rPr>
            </w:pPr>
          </w:p>
        </w:tc>
        <w:tc>
          <w:tcPr>
            <w:tcW w:w="927" w:type="dxa"/>
            <w:noWrap w:val="0"/>
            <w:vAlign w:val="center"/>
          </w:tcPr>
          <w:p w14:paraId="1E932848">
            <w:pPr>
              <w:spacing w:line="360" w:lineRule="auto"/>
              <w:jc w:val="center"/>
              <w:rPr>
                <w:rFonts w:hint="eastAsia" w:ascii="宋体" w:hAnsi="宋体"/>
                <w:color w:val="auto"/>
                <w:szCs w:val="21"/>
                <w:highlight w:val="none"/>
              </w:rPr>
            </w:pPr>
          </w:p>
        </w:tc>
        <w:tc>
          <w:tcPr>
            <w:tcW w:w="742" w:type="dxa"/>
            <w:noWrap w:val="0"/>
            <w:vAlign w:val="center"/>
          </w:tcPr>
          <w:p w14:paraId="19A90A49">
            <w:pPr>
              <w:spacing w:line="360" w:lineRule="auto"/>
              <w:jc w:val="center"/>
              <w:rPr>
                <w:rFonts w:hint="eastAsia" w:ascii="宋体" w:hAnsi="宋体"/>
                <w:color w:val="auto"/>
                <w:szCs w:val="21"/>
                <w:highlight w:val="none"/>
              </w:rPr>
            </w:pPr>
          </w:p>
        </w:tc>
        <w:tc>
          <w:tcPr>
            <w:tcW w:w="742" w:type="dxa"/>
            <w:noWrap w:val="0"/>
            <w:vAlign w:val="center"/>
          </w:tcPr>
          <w:p w14:paraId="76831F62">
            <w:pPr>
              <w:spacing w:line="360" w:lineRule="auto"/>
              <w:jc w:val="center"/>
              <w:rPr>
                <w:rFonts w:hint="eastAsia" w:ascii="宋体" w:hAnsi="宋体"/>
                <w:color w:val="auto"/>
                <w:szCs w:val="21"/>
                <w:highlight w:val="none"/>
              </w:rPr>
            </w:pPr>
          </w:p>
        </w:tc>
        <w:tc>
          <w:tcPr>
            <w:tcW w:w="1297" w:type="dxa"/>
            <w:noWrap w:val="0"/>
            <w:vAlign w:val="center"/>
          </w:tcPr>
          <w:p w14:paraId="795F7314">
            <w:pPr>
              <w:spacing w:line="360" w:lineRule="auto"/>
              <w:jc w:val="center"/>
              <w:rPr>
                <w:rFonts w:hint="eastAsia" w:ascii="宋体" w:hAnsi="宋体"/>
                <w:color w:val="auto"/>
                <w:szCs w:val="21"/>
                <w:highlight w:val="none"/>
              </w:rPr>
            </w:pPr>
          </w:p>
        </w:tc>
        <w:tc>
          <w:tcPr>
            <w:tcW w:w="1284" w:type="dxa"/>
            <w:noWrap w:val="0"/>
            <w:vAlign w:val="center"/>
          </w:tcPr>
          <w:p w14:paraId="4FC98C01">
            <w:pPr>
              <w:spacing w:line="360" w:lineRule="auto"/>
              <w:jc w:val="center"/>
              <w:rPr>
                <w:rFonts w:hint="eastAsia" w:ascii="宋体" w:hAnsi="宋体"/>
                <w:color w:val="auto"/>
                <w:szCs w:val="21"/>
                <w:highlight w:val="none"/>
              </w:rPr>
            </w:pPr>
          </w:p>
        </w:tc>
        <w:tc>
          <w:tcPr>
            <w:tcW w:w="1766" w:type="dxa"/>
            <w:noWrap w:val="0"/>
            <w:vAlign w:val="top"/>
          </w:tcPr>
          <w:p w14:paraId="62D19FCE">
            <w:pPr>
              <w:spacing w:line="360" w:lineRule="auto"/>
              <w:jc w:val="center"/>
              <w:rPr>
                <w:rFonts w:hint="eastAsia" w:ascii="宋体" w:hAnsi="宋体"/>
                <w:color w:val="auto"/>
                <w:szCs w:val="21"/>
                <w:highlight w:val="none"/>
              </w:rPr>
            </w:pPr>
          </w:p>
        </w:tc>
        <w:tc>
          <w:tcPr>
            <w:tcW w:w="1112" w:type="dxa"/>
            <w:noWrap w:val="0"/>
            <w:vAlign w:val="center"/>
          </w:tcPr>
          <w:p w14:paraId="688970C1">
            <w:pPr>
              <w:spacing w:line="360" w:lineRule="auto"/>
              <w:jc w:val="center"/>
              <w:rPr>
                <w:rFonts w:hint="eastAsia" w:ascii="宋体" w:hAnsi="宋体"/>
                <w:color w:val="auto"/>
                <w:szCs w:val="21"/>
                <w:highlight w:val="none"/>
              </w:rPr>
            </w:pPr>
          </w:p>
        </w:tc>
      </w:tr>
      <w:tr w14:paraId="61D184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noWrap w:val="0"/>
            <w:vAlign w:val="center"/>
          </w:tcPr>
          <w:p w14:paraId="72CEDEBD">
            <w:pPr>
              <w:spacing w:line="360" w:lineRule="auto"/>
              <w:jc w:val="center"/>
              <w:rPr>
                <w:rFonts w:hint="eastAsia" w:ascii="宋体" w:hAnsi="宋体"/>
                <w:color w:val="auto"/>
                <w:szCs w:val="21"/>
                <w:highlight w:val="none"/>
              </w:rPr>
            </w:pPr>
          </w:p>
        </w:tc>
        <w:tc>
          <w:tcPr>
            <w:tcW w:w="927" w:type="dxa"/>
            <w:noWrap w:val="0"/>
            <w:vAlign w:val="center"/>
          </w:tcPr>
          <w:p w14:paraId="55F08745">
            <w:pPr>
              <w:spacing w:line="360" w:lineRule="auto"/>
              <w:jc w:val="center"/>
              <w:rPr>
                <w:rFonts w:hint="eastAsia" w:ascii="宋体" w:hAnsi="宋体"/>
                <w:color w:val="auto"/>
                <w:szCs w:val="21"/>
                <w:highlight w:val="none"/>
              </w:rPr>
            </w:pPr>
          </w:p>
        </w:tc>
        <w:tc>
          <w:tcPr>
            <w:tcW w:w="927" w:type="dxa"/>
            <w:noWrap w:val="0"/>
            <w:vAlign w:val="center"/>
          </w:tcPr>
          <w:p w14:paraId="66D694DB">
            <w:pPr>
              <w:spacing w:line="360" w:lineRule="auto"/>
              <w:jc w:val="center"/>
              <w:rPr>
                <w:rFonts w:hint="eastAsia" w:ascii="宋体" w:hAnsi="宋体"/>
                <w:color w:val="auto"/>
                <w:szCs w:val="21"/>
                <w:highlight w:val="none"/>
              </w:rPr>
            </w:pPr>
          </w:p>
        </w:tc>
        <w:tc>
          <w:tcPr>
            <w:tcW w:w="742" w:type="dxa"/>
            <w:noWrap w:val="0"/>
            <w:vAlign w:val="center"/>
          </w:tcPr>
          <w:p w14:paraId="40BFF586">
            <w:pPr>
              <w:spacing w:line="360" w:lineRule="auto"/>
              <w:jc w:val="center"/>
              <w:rPr>
                <w:rFonts w:hint="eastAsia" w:ascii="宋体" w:hAnsi="宋体"/>
                <w:color w:val="auto"/>
                <w:szCs w:val="21"/>
                <w:highlight w:val="none"/>
              </w:rPr>
            </w:pPr>
          </w:p>
        </w:tc>
        <w:tc>
          <w:tcPr>
            <w:tcW w:w="742" w:type="dxa"/>
            <w:noWrap w:val="0"/>
            <w:vAlign w:val="center"/>
          </w:tcPr>
          <w:p w14:paraId="485C6254">
            <w:pPr>
              <w:spacing w:line="360" w:lineRule="auto"/>
              <w:jc w:val="center"/>
              <w:rPr>
                <w:rFonts w:hint="eastAsia" w:ascii="宋体" w:hAnsi="宋体"/>
                <w:color w:val="auto"/>
                <w:szCs w:val="21"/>
                <w:highlight w:val="none"/>
              </w:rPr>
            </w:pPr>
          </w:p>
        </w:tc>
        <w:tc>
          <w:tcPr>
            <w:tcW w:w="1297" w:type="dxa"/>
            <w:noWrap w:val="0"/>
            <w:vAlign w:val="center"/>
          </w:tcPr>
          <w:p w14:paraId="3BD7A940">
            <w:pPr>
              <w:spacing w:line="360" w:lineRule="auto"/>
              <w:jc w:val="center"/>
              <w:rPr>
                <w:rFonts w:hint="eastAsia" w:ascii="宋体" w:hAnsi="宋体"/>
                <w:color w:val="auto"/>
                <w:szCs w:val="21"/>
                <w:highlight w:val="none"/>
              </w:rPr>
            </w:pPr>
          </w:p>
        </w:tc>
        <w:tc>
          <w:tcPr>
            <w:tcW w:w="1284" w:type="dxa"/>
            <w:noWrap w:val="0"/>
            <w:vAlign w:val="center"/>
          </w:tcPr>
          <w:p w14:paraId="33864E90">
            <w:pPr>
              <w:spacing w:line="360" w:lineRule="auto"/>
              <w:jc w:val="center"/>
              <w:rPr>
                <w:rFonts w:hint="eastAsia" w:ascii="宋体" w:hAnsi="宋体"/>
                <w:color w:val="auto"/>
                <w:szCs w:val="21"/>
                <w:highlight w:val="none"/>
              </w:rPr>
            </w:pPr>
          </w:p>
        </w:tc>
        <w:tc>
          <w:tcPr>
            <w:tcW w:w="1766" w:type="dxa"/>
            <w:noWrap w:val="0"/>
            <w:vAlign w:val="top"/>
          </w:tcPr>
          <w:p w14:paraId="157C573D">
            <w:pPr>
              <w:spacing w:line="360" w:lineRule="auto"/>
              <w:jc w:val="center"/>
              <w:rPr>
                <w:rFonts w:hint="eastAsia" w:ascii="宋体" w:hAnsi="宋体"/>
                <w:color w:val="auto"/>
                <w:szCs w:val="21"/>
                <w:highlight w:val="none"/>
              </w:rPr>
            </w:pPr>
          </w:p>
        </w:tc>
        <w:tc>
          <w:tcPr>
            <w:tcW w:w="1112" w:type="dxa"/>
            <w:noWrap w:val="0"/>
            <w:vAlign w:val="center"/>
          </w:tcPr>
          <w:p w14:paraId="2008558D">
            <w:pPr>
              <w:spacing w:line="360" w:lineRule="auto"/>
              <w:jc w:val="center"/>
              <w:rPr>
                <w:rFonts w:hint="eastAsia" w:ascii="宋体" w:hAnsi="宋体"/>
                <w:color w:val="auto"/>
                <w:szCs w:val="21"/>
                <w:highlight w:val="none"/>
              </w:rPr>
            </w:pPr>
          </w:p>
        </w:tc>
      </w:tr>
      <w:tr w14:paraId="13DF18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noWrap w:val="0"/>
            <w:vAlign w:val="center"/>
          </w:tcPr>
          <w:p w14:paraId="2CCC1F91">
            <w:pPr>
              <w:spacing w:line="360" w:lineRule="auto"/>
              <w:jc w:val="center"/>
              <w:rPr>
                <w:rFonts w:hint="eastAsia" w:ascii="宋体" w:hAnsi="宋体"/>
                <w:color w:val="auto"/>
                <w:szCs w:val="21"/>
                <w:highlight w:val="none"/>
              </w:rPr>
            </w:pPr>
          </w:p>
        </w:tc>
        <w:tc>
          <w:tcPr>
            <w:tcW w:w="927" w:type="dxa"/>
            <w:noWrap w:val="0"/>
            <w:vAlign w:val="center"/>
          </w:tcPr>
          <w:p w14:paraId="061CAAD5">
            <w:pPr>
              <w:spacing w:line="360" w:lineRule="auto"/>
              <w:jc w:val="center"/>
              <w:rPr>
                <w:rFonts w:hint="eastAsia" w:ascii="宋体" w:hAnsi="宋体"/>
                <w:color w:val="auto"/>
                <w:szCs w:val="21"/>
                <w:highlight w:val="none"/>
              </w:rPr>
            </w:pPr>
          </w:p>
        </w:tc>
        <w:tc>
          <w:tcPr>
            <w:tcW w:w="927" w:type="dxa"/>
            <w:noWrap w:val="0"/>
            <w:vAlign w:val="center"/>
          </w:tcPr>
          <w:p w14:paraId="3C20E3E3">
            <w:pPr>
              <w:spacing w:line="360" w:lineRule="auto"/>
              <w:jc w:val="center"/>
              <w:rPr>
                <w:rFonts w:hint="eastAsia" w:ascii="宋体" w:hAnsi="宋体"/>
                <w:color w:val="auto"/>
                <w:szCs w:val="21"/>
                <w:highlight w:val="none"/>
              </w:rPr>
            </w:pPr>
          </w:p>
        </w:tc>
        <w:tc>
          <w:tcPr>
            <w:tcW w:w="742" w:type="dxa"/>
            <w:noWrap w:val="0"/>
            <w:vAlign w:val="center"/>
          </w:tcPr>
          <w:p w14:paraId="798545E1">
            <w:pPr>
              <w:spacing w:line="360" w:lineRule="auto"/>
              <w:jc w:val="center"/>
              <w:rPr>
                <w:rFonts w:hint="eastAsia" w:ascii="宋体" w:hAnsi="宋体"/>
                <w:color w:val="auto"/>
                <w:szCs w:val="21"/>
                <w:highlight w:val="none"/>
              </w:rPr>
            </w:pPr>
          </w:p>
        </w:tc>
        <w:tc>
          <w:tcPr>
            <w:tcW w:w="742" w:type="dxa"/>
            <w:noWrap w:val="0"/>
            <w:vAlign w:val="center"/>
          </w:tcPr>
          <w:p w14:paraId="2639BF0B">
            <w:pPr>
              <w:spacing w:line="360" w:lineRule="auto"/>
              <w:jc w:val="center"/>
              <w:rPr>
                <w:rFonts w:hint="eastAsia" w:ascii="宋体" w:hAnsi="宋体"/>
                <w:color w:val="auto"/>
                <w:szCs w:val="21"/>
                <w:highlight w:val="none"/>
              </w:rPr>
            </w:pPr>
          </w:p>
        </w:tc>
        <w:tc>
          <w:tcPr>
            <w:tcW w:w="1297" w:type="dxa"/>
            <w:noWrap w:val="0"/>
            <w:vAlign w:val="center"/>
          </w:tcPr>
          <w:p w14:paraId="23D9B832">
            <w:pPr>
              <w:spacing w:line="360" w:lineRule="auto"/>
              <w:jc w:val="center"/>
              <w:rPr>
                <w:rFonts w:hint="eastAsia" w:ascii="宋体" w:hAnsi="宋体"/>
                <w:color w:val="auto"/>
                <w:szCs w:val="21"/>
                <w:highlight w:val="none"/>
              </w:rPr>
            </w:pPr>
          </w:p>
        </w:tc>
        <w:tc>
          <w:tcPr>
            <w:tcW w:w="1284" w:type="dxa"/>
            <w:noWrap w:val="0"/>
            <w:vAlign w:val="center"/>
          </w:tcPr>
          <w:p w14:paraId="59C4C83B">
            <w:pPr>
              <w:spacing w:line="360" w:lineRule="auto"/>
              <w:jc w:val="center"/>
              <w:rPr>
                <w:rFonts w:hint="eastAsia" w:ascii="宋体" w:hAnsi="宋体"/>
                <w:color w:val="auto"/>
                <w:szCs w:val="21"/>
                <w:highlight w:val="none"/>
              </w:rPr>
            </w:pPr>
          </w:p>
        </w:tc>
        <w:tc>
          <w:tcPr>
            <w:tcW w:w="1766" w:type="dxa"/>
            <w:noWrap w:val="0"/>
            <w:vAlign w:val="top"/>
          </w:tcPr>
          <w:p w14:paraId="7BEB9668">
            <w:pPr>
              <w:spacing w:line="360" w:lineRule="auto"/>
              <w:jc w:val="center"/>
              <w:rPr>
                <w:rFonts w:hint="eastAsia" w:ascii="宋体" w:hAnsi="宋体"/>
                <w:color w:val="auto"/>
                <w:szCs w:val="21"/>
                <w:highlight w:val="none"/>
              </w:rPr>
            </w:pPr>
          </w:p>
        </w:tc>
        <w:tc>
          <w:tcPr>
            <w:tcW w:w="1112" w:type="dxa"/>
            <w:noWrap w:val="0"/>
            <w:vAlign w:val="center"/>
          </w:tcPr>
          <w:p w14:paraId="71AA12FE">
            <w:pPr>
              <w:spacing w:line="360" w:lineRule="auto"/>
              <w:jc w:val="center"/>
              <w:rPr>
                <w:rFonts w:hint="eastAsia" w:ascii="宋体" w:hAnsi="宋体"/>
                <w:color w:val="auto"/>
                <w:szCs w:val="21"/>
                <w:highlight w:val="none"/>
              </w:rPr>
            </w:pPr>
          </w:p>
        </w:tc>
      </w:tr>
      <w:tr w14:paraId="4FF428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noWrap w:val="0"/>
            <w:vAlign w:val="center"/>
          </w:tcPr>
          <w:p w14:paraId="3B3A420E">
            <w:pPr>
              <w:spacing w:line="360" w:lineRule="auto"/>
              <w:jc w:val="center"/>
              <w:rPr>
                <w:rFonts w:hint="eastAsia" w:ascii="宋体" w:hAnsi="宋体"/>
                <w:color w:val="auto"/>
                <w:szCs w:val="21"/>
                <w:highlight w:val="none"/>
              </w:rPr>
            </w:pPr>
          </w:p>
        </w:tc>
        <w:tc>
          <w:tcPr>
            <w:tcW w:w="927" w:type="dxa"/>
            <w:noWrap w:val="0"/>
            <w:vAlign w:val="center"/>
          </w:tcPr>
          <w:p w14:paraId="44FCDB3A">
            <w:pPr>
              <w:spacing w:line="360" w:lineRule="auto"/>
              <w:jc w:val="center"/>
              <w:rPr>
                <w:rFonts w:hint="eastAsia" w:ascii="宋体" w:hAnsi="宋体"/>
                <w:color w:val="auto"/>
                <w:szCs w:val="21"/>
                <w:highlight w:val="none"/>
              </w:rPr>
            </w:pPr>
          </w:p>
        </w:tc>
        <w:tc>
          <w:tcPr>
            <w:tcW w:w="927" w:type="dxa"/>
            <w:noWrap w:val="0"/>
            <w:vAlign w:val="center"/>
          </w:tcPr>
          <w:p w14:paraId="283A8966">
            <w:pPr>
              <w:spacing w:line="360" w:lineRule="auto"/>
              <w:jc w:val="center"/>
              <w:rPr>
                <w:rFonts w:hint="eastAsia" w:ascii="宋体" w:hAnsi="宋体"/>
                <w:color w:val="auto"/>
                <w:szCs w:val="21"/>
                <w:highlight w:val="none"/>
              </w:rPr>
            </w:pPr>
          </w:p>
        </w:tc>
        <w:tc>
          <w:tcPr>
            <w:tcW w:w="742" w:type="dxa"/>
            <w:noWrap w:val="0"/>
            <w:vAlign w:val="center"/>
          </w:tcPr>
          <w:p w14:paraId="12625A4C">
            <w:pPr>
              <w:spacing w:line="360" w:lineRule="auto"/>
              <w:jc w:val="center"/>
              <w:rPr>
                <w:rFonts w:hint="eastAsia" w:ascii="宋体" w:hAnsi="宋体"/>
                <w:color w:val="auto"/>
                <w:szCs w:val="21"/>
                <w:highlight w:val="none"/>
              </w:rPr>
            </w:pPr>
          </w:p>
        </w:tc>
        <w:tc>
          <w:tcPr>
            <w:tcW w:w="742" w:type="dxa"/>
            <w:noWrap w:val="0"/>
            <w:vAlign w:val="center"/>
          </w:tcPr>
          <w:p w14:paraId="3108100D">
            <w:pPr>
              <w:spacing w:line="360" w:lineRule="auto"/>
              <w:jc w:val="center"/>
              <w:rPr>
                <w:rFonts w:hint="eastAsia" w:ascii="宋体" w:hAnsi="宋体"/>
                <w:color w:val="auto"/>
                <w:szCs w:val="21"/>
                <w:highlight w:val="none"/>
              </w:rPr>
            </w:pPr>
          </w:p>
        </w:tc>
        <w:tc>
          <w:tcPr>
            <w:tcW w:w="1297" w:type="dxa"/>
            <w:noWrap w:val="0"/>
            <w:vAlign w:val="center"/>
          </w:tcPr>
          <w:p w14:paraId="4DC367B2">
            <w:pPr>
              <w:spacing w:line="360" w:lineRule="auto"/>
              <w:jc w:val="center"/>
              <w:rPr>
                <w:rFonts w:hint="eastAsia" w:ascii="宋体" w:hAnsi="宋体"/>
                <w:color w:val="auto"/>
                <w:szCs w:val="21"/>
                <w:highlight w:val="none"/>
              </w:rPr>
            </w:pPr>
          </w:p>
        </w:tc>
        <w:tc>
          <w:tcPr>
            <w:tcW w:w="1284" w:type="dxa"/>
            <w:noWrap w:val="0"/>
            <w:vAlign w:val="center"/>
          </w:tcPr>
          <w:p w14:paraId="0F96F8CC">
            <w:pPr>
              <w:spacing w:line="360" w:lineRule="auto"/>
              <w:jc w:val="center"/>
              <w:rPr>
                <w:rFonts w:hint="eastAsia" w:ascii="宋体" w:hAnsi="宋体"/>
                <w:color w:val="auto"/>
                <w:szCs w:val="21"/>
                <w:highlight w:val="none"/>
              </w:rPr>
            </w:pPr>
          </w:p>
        </w:tc>
        <w:tc>
          <w:tcPr>
            <w:tcW w:w="1766" w:type="dxa"/>
            <w:noWrap w:val="0"/>
            <w:vAlign w:val="top"/>
          </w:tcPr>
          <w:p w14:paraId="4FB8ED8C">
            <w:pPr>
              <w:spacing w:line="360" w:lineRule="auto"/>
              <w:jc w:val="center"/>
              <w:rPr>
                <w:rFonts w:hint="eastAsia" w:ascii="宋体" w:hAnsi="宋体"/>
                <w:color w:val="auto"/>
                <w:szCs w:val="21"/>
                <w:highlight w:val="none"/>
              </w:rPr>
            </w:pPr>
          </w:p>
        </w:tc>
        <w:tc>
          <w:tcPr>
            <w:tcW w:w="1112" w:type="dxa"/>
            <w:noWrap w:val="0"/>
            <w:vAlign w:val="center"/>
          </w:tcPr>
          <w:p w14:paraId="4867168A">
            <w:pPr>
              <w:spacing w:line="360" w:lineRule="auto"/>
              <w:jc w:val="center"/>
              <w:rPr>
                <w:rFonts w:hint="eastAsia" w:ascii="宋体" w:hAnsi="宋体"/>
                <w:color w:val="auto"/>
                <w:szCs w:val="21"/>
                <w:highlight w:val="none"/>
              </w:rPr>
            </w:pPr>
          </w:p>
        </w:tc>
      </w:tr>
      <w:tr w14:paraId="42C89D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noWrap w:val="0"/>
            <w:vAlign w:val="center"/>
          </w:tcPr>
          <w:p w14:paraId="3D93464D">
            <w:pPr>
              <w:spacing w:line="360" w:lineRule="auto"/>
              <w:jc w:val="center"/>
              <w:rPr>
                <w:rFonts w:hint="eastAsia" w:ascii="宋体" w:hAnsi="宋体"/>
                <w:color w:val="auto"/>
                <w:szCs w:val="21"/>
                <w:highlight w:val="none"/>
              </w:rPr>
            </w:pPr>
          </w:p>
        </w:tc>
        <w:tc>
          <w:tcPr>
            <w:tcW w:w="927" w:type="dxa"/>
            <w:noWrap w:val="0"/>
            <w:vAlign w:val="center"/>
          </w:tcPr>
          <w:p w14:paraId="762BCB4F">
            <w:pPr>
              <w:spacing w:line="360" w:lineRule="auto"/>
              <w:jc w:val="center"/>
              <w:rPr>
                <w:rFonts w:hint="eastAsia" w:ascii="宋体" w:hAnsi="宋体"/>
                <w:color w:val="auto"/>
                <w:szCs w:val="21"/>
                <w:highlight w:val="none"/>
              </w:rPr>
            </w:pPr>
          </w:p>
        </w:tc>
        <w:tc>
          <w:tcPr>
            <w:tcW w:w="927" w:type="dxa"/>
            <w:noWrap w:val="0"/>
            <w:vAlign w:val="center"/>
          </w:tcPr>
          <w:p w14:paraId="7467634A">
            <w:pPr>
              <w:spacing w:line="360" w:lineRule="auto"/>
              <w:jc w:val="center"/>
              <w:rPr>
                <w:rFonts w:hint="eastAsia" w:ascii="宋体" w:hAnsi="宋体"/>
                <w:color w:val="auto"/>
                <w:szCs w:val="21"/>
                <w:highlight w:val="none"/>
              </w:rPr>
            </w:pPr>
          </w:p>
        </w:tc>
        <w:tc>
          <w:tcPr>
            <w:tcW w:w="742" w:type="dxa"/>
            <w:noWrap w:val="0"/>
            <w:vAlign w:val="center"/>
          </w:tcPr>
          <w:p w14:paraId="5F742027">
            <w:pPr>
              <w:spacing w:line="360" w:lineRule="auto"/>
              <w:jc w:val="center"/>
              <w:rPr>
                <w:rFonts w:hint="eastAsia" w:ascii="宋体" w:hAnsi="宋体"/>
                <w:color w:val="auto"/>
                <w:szCs w:val="21"/>
                <w:highlight w:val="none"/>
              </w:rPr>
            </w:pPr>
          </w:p>
        </w:tc>
        <w:tc>
          <w:tcPr>
            <w:tcW w:w="742" w:type="dxa"/>
            <w:noWrap w:val="0"/>
            <w:vAlign w:val="center"/>
          </w:tcPr>
          <w:p w14:paraId="79CD268B">
            <w:pPr>
              <w:spacing w:line="360" w:lineRule="auto"/>
              <w:jc w:val="center"/>
              <w:rPr>
                <w:rFonts w:hint="eastAsia" w:ascii="宋体" w:hAnsi="宋体"/>
                <w:color w:val="auto"/>
                <w:szCs w:val="21"/>
                <w:highlight w:val="none"/>
              </w:rPr>
            </w:pPr>
          </w:p>
        </w:tc>
        <w:tc>
          <w:tcPr>
            <w:tcW w:w="1297" w:type="dxa"/>
            <w:noWrap w:val="0"/>
            <w:vAlign w:val="center"/>
          </w:tcPr>
          <w:p w14:paraId="26DBF465">
            <w:pPr>
              <w:spacing w:line="360" w:lineRule="auto"/>
              <w:jc w:val="center"/>
              <w:rPr>
                <w:rFonts w:hint="eastAsia" w:ascii="宋体" w:hAnsi="宋体"/>
                <w:color w:val="auto"/>
                <w:szCs w:val="21"/>
                <w:highlight w:val="none"/>
              </w:rPr>
            </w:pPr>
          </w:p>
        </w:tc>
        <w:tc>
          <w:tcPr>
            <w:tcW w:w="1284" w:type="dxa"/>
            <w:noWrap w:val="0"/>
            <w:vAlign w:val="center"/>
          </w:tcPr>
          <w:p w14:paraId="20001338">
            <w:pPr>
              <w:spacing w:line="360" w:lineRule="auto"/>
              <w:jc w:val="center"/>
              <w:rPr>
                <w:rFonts w:hint="eastAsia" w:ascii="宋体" w:hAnsi="宋体"/>
                <w:color w:val="auto"/>
                <w:szCs w:val="21"/>
                <w:highlight w:val="none"/>
              </w:rPr>
            </w:pPr>
          </w:p>
        </w:tc>
        <w:tc>
          <w:tcPr>
            <w:tcW w:w="1766" w:type="dxa"/>
            <w:noWrap w:val="0"/>
            <w:vAlign w:val="top"/>
          </w:tcPr>
          <w:p w14:paraId="23063733">
            <w:pPr>
              <w:spacing w:line="360" w:lineRule="auto"/>
              <w:jc w:val="center"/>
              <w:rPr>
                <w:rFonts w:hint="eastAsia" w:ascii="宋体" w:hAnsi="宋体"/>
                <w:color w:val="auto"/>
                <w:szCs w:val="21"/>
                <w:highlight w:val="none"/>
              </w:rPr>
            </w:pPr>
          </w:p>
        </w:tc>
        <w:tc>
          <w:tcPr>
            <w:tcW w:w="1112" w:type="dxa"/>
            <w:noWrap w:val="0"/>
            <w:vAlign w:val="center"/>
          </w:tcPr>
          <w:p w14:paraId="1562A111">
            <w:pPr>
              <w:spacing w:line="360" w:lineRule="auto"/>
              <w:jc w:val="center"/>
              <w:rPr>
                <w:rFonts w:hint="eastAsia" w:ascii="宋体" w:hAnsi="宋体"/>
                <w:color w:val="auto"/>
                <w:szCs w:val="21"/>
                <w:highlight w:val="none"/>
              </w:rPr>
            </w:pPr>
          </w:p>
        </w:tc>
      </w:tr>
    </w:tbl>
    <w:p w14:paraId="5BE1DEEF">
      <w:pPr>
        <w:rPr>
          <w:rFonts w:hint="eastAsia" w:ascii="宋体" w:hAnsi="宋体" w:cs="宋体"/>
          <w:iCs/>
          <w:color w:val="auto"/>
          <w:szCs w:val="21"/>
          <w:highlight w:val="none"/>
          <w:lang w:val="zh-CN"/>
        </w:rPr>
      </w:pPr>
      <w:r>
        <w:rPr>
          <w:rFonts w:hint="eastAsia" w:ascii="宋体" w:hAnsi="宋体" w:cs="宋体"/>
          <w:iCs/>
          <w:color w:val="auto"/>
          <w:szCs w:val="21"/>
          <w:highlight w:val="none"/>
          <w:lang w:val="zh-CN"/>
        </w:rPr>
        <w:t>注：</w:t>
      </w:r>
      <w:r>
        <w:rPr>
          <w:rFonts w:hint="eastAsia" w:ascii="宋体" w:hAnsi="宋体" w:cs="宋体"/>
          <w:iCs/>
          <w:color w:val="auto"/>
          <w:szCs w:val="21"/>
          <w:highlight w:val="none"/>
          <w:lang w:val="en-US" w:eastAsia="zh-CN"/>
        </w:rPr>
        <w:t>1.</w:t>
      </w:r>
      <w:r>
        <w:rPr>
          <w:rFonts w:hint="eastAsia" w:ascii="宋体" w:hAnsi="宋体" w:cs="宋体"/>
          <w:iCs/>
          <w:color w:val="auto"/>
          <w:szCs w:val="21"/>
          <w:highlight w:val="none"/>
          <w:lang w:val="zh-CN"/>
        </w:rPr>
        <w:t>供应商也可以自行设计表格，但需涵盖以上内容。</w:t>
      </w:r>
    </w:p>
    <w:p w14:paraId="62EC1C4E">
      <w:pPr>
        <w:rPr>
          <w:rFonts w:hint="default" w:ascii="宋体" w:hAnsi="宋体" w:eastAsia="宋体" w:cs="宋体"/>
          <w:iCs/>
          <w:color w:val="auto"/>
          <w:szCs w:val="21"/>
          <w:highlight w:val="none"/>
          <w:lang w:val="en-US" w:eastAsia="zh-CN"/>
        </w:rPr>
      </w:pPr>
      <w:r>
        <w:rPr>
          <w:rFonts w:hint="eastAsia" w:ascii="宋体" w:hAnsi="宋体" w:eastAsia="宋体" w:cs="宋体"/>
          <w:iCs/>
          <w:color w:val="auto"/>
          <w:szCs w:val="21"/>
          <w:highlight w:val="none"/>
          <w:lang w:val="en-US" w:eastAsia="zh-CN"/>
        </w:rPr>
        <w:t xml:space="preserve">    2.表格后附相关资格证书及社保证明等复印件。</w:t>
      </w:r>
    </w:p>
    <w:p w14:paraId="0542A86D">
      <w:pPr>
        <w:pStyle w:val="9"/>
        <w:rPr>
          <w:rFonts w:hint="eastAsia"/>
          <w:color w:val="auto"/>
          <w:highlight w:val="none"/>
        </w:rPr>
      </w:pPr>
    </w:p>
    <w:p w14:paraId="17DB875A">
      <w:pPr>
        <w:keepNext w:val="0"/>
        <w:keepLines w:val="0"/>
        <w:pageBreakBefore w:val="0"/>
        <w:widowControl w:val="0"/>
        <w:kinsoku/>
        <w:wordWrap/>
        <w:overflowPunct/>
        <w:topLinePunct w:val="0"/>
        <w:bidi w:val="0"/>
        <w:spacing w:line="360" w:lineRule="auto"/>
        <w:ind w:firstLine="4080" w:firstLineChars="1700"/>
        <w:jc w:val="left"/>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7E69CA13">
      <w:pPr>
        <w:keepNext w:val="0"/>
        <w:keepLines w:val="0"/>
        <w:pageBreakBefore w:val="0"/>
        <w:widowControl w:val="0"/>
        <w:kinsoku/>
        <w:wordWrap/>
        <w:overflowPunct/>
        <w:topLinePunct w:val="0"/>
        <w:bidi w:val="0"/>
        <w:adjustRightInd w:val="0"/>
        <w:snapToGrid w:val="0"/>
        <w:spacing w:line="360" w:lineRule="auto"/>
        <w:ind w:left="3990" w:leftChars="1900"/>
        <w:jc w:val="center"/>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42E2308F">
      <w:pPr>
        <w:keepNext w:val="0"/>
        <w:keepLines w:val="0"/>
        <w:pageBreakBefore w:val="0"/>
        <w:widowControl w:val="0"/>
        <w:kinsoku/>
        <w:wordWrap/>
        <w:overflowPunct/>
        <w:topLinePunct w:val="0"/>
        <w:bidi w:val="0"/>
        <w:adjustRightInd w:val="0"/>
        <w:snapToGrid w:val="0"/>
        <w:spacing w:line="360" w:lineRule="auto"/>
        <w:ind w:right="1920"/>
        <w:jc w:val="center"/>
        <w:textAlignment w:val="auto"/>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788EB4CD">
      <w:pPr>
        <w:pStyle w:val="2"/>
        <w:rPr>
          <w:lang w:val="zh-CN"/>
        </w:rPr>
      </w:pPr>
    </w:p>
    <w:p w14:paraId="4FE98013">
      <w:pPr>
        <w:spacing w:line="360" w:lineRule="auto"/>
        <w:ind w:left="4620" w:leftChars="2200"/>
        <w:rPr>
          <w:rFonts w:cs="仿宋" w:asciiTheme="majorEastAsia" w:hAnsiTheme="majorEastAsia" w:eastAsiaTheme="majorEastAsia"/>
          <w:color w:val="auto"/>
          <w:sz w:val="24"/>
          <w:highlight w:val="none"/>
        </w:rPr>
      </w:pPr>
    </w:p>
    <w:p w14:paraId="0B85AFCE">
      <w:pPr>
        <w:spacing w:line="360" w:lineRule="auto"/>
        <w:jc w:val="center"/>
        <w:rPr>
          <w:rFonts w:cs="仿宋" w:asciiTheme="majorEastAsia" w:hAnsiTheme="majorEastAsia" w:eastAsiaTheme="majorEastAsia"/>
          <w:b/>
          <w:bCs/>
          <w:color w:val="auto"/>
          <w:sz w:val="24"/>
          <w:highlight w:val="none"/>
        </w:rPr>
      </w:pPr>
    </w:p>
    <w:p w14:paraId="1CE5E290">
      <w:pPr>
        <w:spacing w:line="360" w:lineRule="auto"/>
        <w:jc w:val="center"/>
        <w:rPr>
          <w:rFonts w:cs="仿宋" w:asciiTheme="majorEastAsia" w:hAnsiTheme="majorEastAsia" w:eastAsiaTheme="majorEastAsia"/>
          <w:b/>
          <w:bCs/>
          <w:color w:val="auto"/>
          <w:sz w:val="24"/>
          <w:highlight w:val="none"/>
        </w:rPr>
        <w:sectPr>
          <w:pgSz w:w="11906" w:h="16838"/>
          <w:pgMar w:top="1276" w:right="1418" w:bottom="1247" w:left="1418" w:header="851" w:footer="992" w:gutter="0"/>
          <w:cols w:space="720" w:num="1"/>
          <w:titlePg/>
          <w:docGrid w:linePitch="312" w:charSpace="0"/>
        </w:sectPr>
      </w:pPr>
    </w:p>
    <w:p w14:paraId="6B600578">
      <w:pPr>
        <w:spacing w:line="360" w:lineRule="auto"/>
        <w:jc w:val="center"/>
        <w:outlineLvl w:val="0"/>
        <w:rPr>
          <w:rFonts w:cs="仿宋" w:asciiTheme="majorEastAsia" w:hAnsiTheme="majorEastAsia" w:eastAsiaTheme="majorEastAsia"/>
          <w:b/>
          <w:color w:val="auto"/>
          <w:kern w:val="0"/>
          <w:sz w:val="36"/>
          <w:szCs w:val="36"/>
          <w:highlight w:val="none"/>
        </w:rPr>
      </w:pPr>
    </w:p>
    <w:p w14:paraId="1EC28925">
      <w:pP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报价文件部分</w:t>
      </w:r>
    </w:p>
    <w:p w14:paraId="21F0BE71">
      <w:pP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目录</w:t>
      </w:r>
    </w:p>
    <w:p w14:paraId="73521535">
      <w:pPr>
        <w:snapToGrid w:val="0"/>
        <w:spacing w:line="360" w:lineRule="auto"/>
        <w:ind w:firstLine="480" w:firstLineChars="200"/>
        <w:rPr>
          <w:rFonts w:cs="仿宋" w:asciiTheme="majorEastAsia" w:hAnsiTheme="majorEastAsia" w:eastAsiaTheme="majorEastAsia"/>
          <w:color w:val="auto"/>
          <w:sz w:val="24"/>
          <w:highlight w:val="none"/>
          <w:u w:val="single"/>
          <w:lang w:val="zh-CN"/>
        </w:rPr>
      </w:pPr>
      <w:r>
        <w:rPr>
          <w:rFonts w:hint="eastAsia" w:cs="仿宋" w:asciiTheme="majorEastAsia" w:hAnsiTheme="majorEastAsia" w:eastAsiaTheme="majorEastAsia"/>
          <w:color w:val="auto"/>
          <w:sz w:val="24"/>
          <w:highlight w:val="none"/>
        </w:rPr>
        <w:t xml:space="preserve"> </w:t>
      </w:r>
    </w:p>
    <w:p w14:paraId="105648FB">
      <w:pP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开标一览表；</w:t>
      </w:r>
    </w:p>
    <w:p w14:paraId="525E13B4">
      <w:pP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投标报价明细表；</w:t>
      </w:r>
    </w:p>
    <w:p w14:paraId="3F105699">
      <w:pP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中小企业声明函（如有）；</w:t>
      </w:r>
    </w:p>
    <w:p w14:paraId="319AD994">
      <w:pP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残疾人福利性单位声明函（如有）；</w:t>
      </w:r>
    </w:p>
    <w:p w14:paraId="2F6169A2">
      <w:pP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5 监狱企业的证明文件（如有）；</w:t>
      </w:r>
    </w:p>
    <w:p w14:paraId="0D0C7AF4">
      <w:pP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6 政府采购统计基础信息表；</w:t>
      </w:r>
    </w:p>
    <w:p w14:paraId="67DD0828">
      <w:pP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7 其他资料（如有）。</w:t>
      </w:r>
    </w:p>
    <w:p w14:paraId="21060FC1">
      <w:pPr>
        <w:snapToGrid w:val="0"/>
        <w:spacing w:line="360" w:lineRule="auto"/>
        <w:ind w:right="480"/>
        <w:rPr>
          <w:rFonts w:cs="仿宋" w:asciiTheme="majorEastAsia" w:hAnsiTheme="majorEastAsia" w:eastAsiaTheme="majorEastAsia"/>
          <w:b/>
          <w:color w:val="auto"/>
          <w:kern w:val="0"/>
          <w:sz w:val="32"/>
          <w:szCs w:val="32"/>
          <w:highlight w:val="none"/>
        </w:rPr>
      </w:pPr>
    </w:p>
    <w:p w14:paraId="4729FE28">
      <w:pPr>
        <w:pStyle w:val="36"/>
        <w:keepNext w:val="0"/>
        <w:pageBreakBefore w:val="0"/>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527277BD">
      <w:pPr>
        <w:pStyle w:val="36"/>
        <w:keepNext w:val="0"/>
        <w:pageBreakBefore w:val="0"/>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pPr>
      <w:r>
        <w:rPr>
          <w:rFonts w:hint="eastAsia" w:cs="仿宋" w:asciiTheme="majorEastAsia" w:hAnsiTheme="majorEastAsia" w:eastAsiaTheme="majorEastAsia"/>
          <w:color w:val="auto"/>
          <w:kern w:val="2"/>
          <w:sz w:val="32"/>
          <w:szCs w:val="32"/>
          <w:highlight w:val="none"/>
        </w:rPr>
        <w:t>一、开标一览表（报价表）</w:t>
      </w:r>
    </w:p>
    <w:p w14:paraId="732DEF5A">
      <w:pPr>
        <w:snapToGrid w:val="0"/>
        <w:spacing w:line="360" w:lineRule="auto"/>
        <w:rPr>
          <w:rFonts w:cs="仿宋" w:asciiTheme="majorEastAsia" w:hAnsiTheme="majorEastAsia" w:eastAsiaTheme="majorEastAsia"/>
          <w:color w:val="auto"/>
          <w:kern w:val="0"/>
          <w:sz w:val="24"/>
          <w:highlight w:val="none"/>
          <w:u w:val="single"/>
        </w:rPr>
      </w:pPr>
      <w:r>
        <w:rPr>
          <w:rFonts w:hint="eastAsia" w:cs="仿宋" w:asciiTheme="majorEastAsia" w:hAnsiTheme="majorEastAsia" w:eastAsiaTheme="majorEastAsia"/>
          <w:color w:val="auto"/>
          <w:sz w:val="24"/>
          <w:highlight w:val="none"/>
        </w:rPr>
        <w:t>（采购人）、（采购代理机构）</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color w:val="auto"/>
          <w:kern w:val="0"/>
          <w:sz w:val="24"/>
          <w:highlight w:val="none"/>
          <w:u w:val="single"/>
        </w:rPr>
        <w:t xml:space="preserve">                                     </w:t>
      </w:r>
    </w:p>
    <w:p w14:paraId="24835406">
      <w:pPr>
        <w:snapToGrid w:val="0"/>
        <w:spacing w:line="360" w:lineRule="auto"/>
        <w:ind w:firstLine="482"/>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cs="仿宋" w:asciiTheme="majorEastAsia" w:hAnsiTheme="majorEastAsia" w:eastAsiaTheme="majorEastAsia"/>
          <w:color w:val="auto"/>
          <w:sz w:val="24"/>
          <w:highlight w:val="none"/>
        </w:rPr>
        <w:t>（项目名称）</w:t>
      </w:r>
      <w:r>
        <w:rPr>
          <w:rFonts w:hint="eastAsia" w:cs="仿宋" w:asciiTheme="majorEastAsia" w:hAnsiTheme="majorEastAsia" w:eastAsiaTheme="majorEastAsia"/>
          <w:color w:val="auto"/>
          <w:kern w:val="0"/>
          <w:sz w:val="24"/>
          <w:highlight w:val="none"/>
          <w:lang w:val="zh-CN"/>
        </w:rPr>
        <w:t>【招标编号：</w:t>
      </w:r>
      <w:r>
        <w:rPr>
          <w:rFonts w:hint="eastAsia" w:cs="仿宋" w:asciiTheme="majorEastAsia" w:hAnsiTheme="majorEastAsia" w:eastAsiaTheme="majorEastAsia"/>
          <w:color w:val="auto"/>
          <w:sz w:val="24"/>
          <w:highlight w:val="none"/>
        </w:rPr>
        <w:t>（采购编号）】的实施</w:t>
      </w:r>
      <w:r>
        <w:rPr>
          <w:rFonts w:hint="eastAsia" w:cs="仿宋" w:asciiTheme="majorEastAsia" w:hAnsiTheme="majorEastAsia" w:eastAsiaTheme="majorEastAsia"/>
          <w:color w:val="auto"/>
          <w:kern w:val="0"/>
          <w:sz w:val="24"/>
          <w:highlight w:val="none"/>
          <w:lang w:val="zh-CN"/>
        </w:rPr>
        <w:t>。</w:t>
      </w:r>
    </w:p>
    <w:p w14:paraId="5FA2D4D2">
      <w:pPr>
        <w:spacing w:line="360" w:lineRule="auto"/>
        <w:jc w:val="center"/>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开标一览表（报价表）(单位均为人民币元)</w:t>
      </w:r>
    </w:p>
    <w:tbl>
      <w:tblPr>
        <w:tblStyle w:val="19"/>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3045"/>
        <w:gridCol w:w="3118"/>
        <w:gridCol w:w="2773"/>
        <w:gridCol w:w="2005"/>
        <w:gridCol w:w="2877"/>
      </w:tblGrid>
      <w:tr w14:paraId="20AC5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49" w:type="dxa"/>
            <w:vAlign w:val="center"/>
          </w:tcPr>
          <w:p w14:paraId="78848994">
            <w:pP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序号</w:t>
            </w:r>
          </w:p>
        </w:tc>
        <w:tc>
          <w:tcPr>
            <w:tcW w:w="3045" w:type="dxa"/>
            <w:vAlign w:val="center"/>
          </w:tcPr>
          <w:p w14:paraId="60542AB1">
            <w:pP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lang w:val="en-US" w:eastAsia="zh-CN"/>
              </w:rPr>
              <w:t>项目</w:t>
            </w:r>
            <w:r>
              <w:rPr>
                <w:rFonts w:hint="eastAsia" w:cs="仿宋" w:asciiTheme="majorEastAsia" w:hAnsiTheme="majorEastAsia" w:eastAsiaTheme="majorEastAsia"/>
                <w:b/>
                <w:color w:val="auto"/>
                <w:sz w:val="24"/>
                <w:highlight w:val="none"/>
              </w:rPr>
              <w:t>名称</w:t>
            </w:r>
          </w:p>
        </w:tc>
        <w:tc>
          <w:tcPr>
            <w:tcW w:w="3118" w:type="dxa"/>
            <w:vAlign w:val="center"/>
          </w:tcPr>
          <w:p w14:paraId="672B684B">
            <w:pP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具体服务</w:t>
            </w:r>
          </w:p>
        </w:tc>
        <w:tc>
          <w:tcPr>
            <w:tcW w:w="2773" w:type="dxa"/>
            <w:vAlign w:val="center"/>
          </w:tcPr>
          <w:p w14:paraId="1A63430C">
            <w:pP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lang w:val="en-US" w:eastAsia="zh-CN"/>
              </w:rPr>
              <w:t>数量及</w:t>
            </w:r>
            <w:r>
              <w:rPr>
                <w:rFonts w:hint="eastAsia" w:cs="仿宋" w:asciiTheme="majorEastAsia" w:hAnsiTheme="majorEastAsia" w:eastAsiaTheme="majorEastAsia"/>
                <w:b/>
                <w:color w:val="auto"/>
                <w:sz w:val="24"/>
                <w:highlight w:val="none"/>
              </w:rPr>
              <w:t>单价</w:t>
            </w:r>
          </w:p>
        </w:tc>
        <w:tc>
          <w:tcPr>
            <w:tcW w:w="2005" w:type="dxa"/>
            <w:vAlign w:val="center"/>
          </w:tcPr>
          <w:p w14:paraId="562BDCF3">
            <w:pP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总价</w:t>
            </w:r>
          </w:p>
        </w:tc>
        <w:tc>
          <w:tcPr>
            <w:tcW w:w="2877" w:type="dxa"/>
            <w:vAlign w:val="center"/>
          </w:tcPr>
          <w:p w14:paraId="6D2C0F70">
            <w:pPr>
              <w:spacing w:line="360" w:lineRule="auto"/>
              <w:jc w:val="center"/>
              <w:rPr>
                <w:rFonts w:cs="仿宋" w:asciiTheme="majorEastAsia" w:hAnsiTheme="majorEastAsia" w:eastAsiaTheme="majorEastAsia"/>
                <w:b/>
                <w:color w:val="auto"/>
                <w:sz w:val="24"/>
                <w:highlight w:val="none"/>
              </w:rPr>
            </w:pPr>
          </w:p>
          <w:p w14:paraId="5D0360AB">
            <w:pPr>
              <w:spacing w:line="360" w:lineRule="auto"/>
              <w:jc w:val="center"/>
              <w:rPr>
                <w:rFonts w:hint="eastAsia" w:cs="仿宋" w:asciiTheme="majorEastAsia" w:hAnsiTheme="majorEastAsia" w:eastAsiaTheme="majorEastAsia"/>
                <w:b/>
                <w:color w:val="auto"/>
                <w:sz w:val="24"/>
                <w:highlight w:val="none"/>
                <w:lang w:eastAsia="zh-CN"/>
              </w:rPr>
            </w:pPr>
            <w:r>
              <w:rPr>
                <w:rFonts w:hint="eastAsia" w:cs="仿宋" w:asciiTheme="majorEastAsia" w:hAnsiTheme="majorEastAsia" w:eastAsiaTheme="majorEastAsia"/>
                <w:b/>
                <w:color w:val="auto"/>
                <w:sz w:val="24"/>
                <w:highlight w:val="none"/>
              </w:rPr>
              <w:t>服务</w:t>
            </w:r>
            <w:r>
              <w:rPr>
                <w:rFonts w:hint="eastAsia" w:cs="仿宋" w:asciiTheme="majorEastAsia" w:hAnsiTheme="majorEastAsia" w:eastAsiaTheme="majorEastAsia"/>
                <w:b/>
                <w:color w:val="auto"/>
                <w:sz w:val="24"/>
                <w:highlight w:val="none"/>
                <w:lang w:val="en-US" w:eastAsia="zh-CN"/>
              </w:rPr>
              <w:t>期限</w:t>
            </w:r>
          </w:p>
          <w:p w14:paraId="7354140D">
            <w:pPr>
              <w:spacing w:line="360" w:lineRule="auto"/>
              <w:jc w:val="center"/>
              <w:rPr>
                <w:rFonts w:cs="仿宋" w:asciiTheme="majorEastAsia" w:hAnsiTheme="majorEastAsia" w:eastAsiaTheme="majorEastAsia"/>
                <w:b/>
                <w:color w:val="auto"/>
                <w:sz w:val="24"/>
                <w:highlight w:val="none"/>
              </w:rPr>
            </w:pPr>
          </w:p>
        </w:tc>
      </w:tr>
      <w:tr w14:paraId="551BC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49" w:type="dxa"/>
            <w:vAlign w:val="center"/>
          </w:tcPr>
          <w:p w14:paraId="75EAFFE0">
            <w:pP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3045" w:type="dxa"/>
            <w:vAlign w:val="center"/>
          </w:tcPr>
          <w:p w14:paraId="1AC7B958">
            <w:pPr>
              <w:snapToGrid w:val="0"/>
              <w:spacing w:line="360" w:lineRule="auto"/>
              <w:jc w:val="center"/>
              <w:rPr>
                <w:rFonts w:cs="仿宋" w:asciiTheme="majorEastAsia" w:hAnsiTheme="majorEastAsia" w:eastAsiaTheme="majorEastAsia"/>
                <w:color w:val="auto"/>
                <w:sz w:val="24"/>
                <w:highlight w:val="none"/>
              </w:rPr>
            </w:pPr>
          </w:p>
        </w:tc>
        <w:tc>
          <w:tcPr>
            <w:tcW w:w="3118" w:type="dxa"/>
            <w:vAlign w:val="center"/>
          </w:tcPr>
          <w:p w14:paraId="242B62C0">
            <w:pPr>
              <w:snapToGrid w:val="0"/>
              <w:spacing w:line="360" w:lineRule="auto"/>
              <w:jc w:val="center"/>
              <w:rPr>
                <w:rFonts w:hint="default" w:cs="仿宋" w:asciiTheme="majorEastAsia" w:hAnsiTheme="majorEastAsia" w:eastAsiaTheme="majorEastAsia"/>
                <w:color w:val="auto"/>
                <w:sz w:val="24"/>
                <w:highlight w:val="none"/>
                <w:lang w:val="en-US" w:eastAsia="zh-CN"/>
              </w:rPr>
            </w:pPr>
            <w:r>
              <w:rPr>
                <w:rFonts w:hint="eastAsia" w:cs="仿宋" w:asciiTheme="majorEastAsia" w:hAnsiTheme="majorEastAsia" w:eastAsiaTheme="majorEastAsia"/>
                <w:color w:val="auto"/>
                <w:sz w:val="24"/>
                <w:highlight w:val="none"/>
                <w:lang w:val="en-US" w:eastAsia="zh-CN"/>
              </w:rPr>
              <w:t>桩基检测</w:t>
            </w:r>
          </w:p>
        </w:tc>
        <w:tc>
          <w:tcPr>
            <w:tcW w:w="2773" w:type="dxa"/>
            <w:vAlign w:val="center"/>
          </w:tcPr>
          <w:p w14:paraId="7AE91B65">
            <w:pP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详见“投标报价明细表”</w:t>
            </w:r>
          </w:p>
        </w:tc>
        <w:tc>
          <w:tcPr>
            <w:tcW w:w="2005" w:type="dxa"/>
            <w:vAlign w:val="center"/>
          </w:tcPr>
          <w:p w14:paraId="4D66BA74">
            <w:pPr>
              <w:spacing w:line="360" w:lineRule="auto"/>
              <w:jc w:val="center"/>
              <w:rPr>
                <w:rFonts w:cs="仿宋" w:asciiTheme="majorEastAsia" w:hAnsiTheme="majorEastAsia" w:eastAsiaTheme="majorEastAsia"/>
                <w:color w:val="auto"/>
                <w:sz w:val="24"/>
                <w:highlight w:val="none"/>
              </w:rPr>
            </w:pPr>
          </w:p>
        </w:tc>
        <w:tc>
          <w:tcPr>
            <w:tcW w:w="2877" w:type="dxa"/>
            <w:vAlign w:val="center"/>
          </w:tcPr>
          <w:p w14:paraId="07FD4A61">
            <w:pPr>
              <w:spacing w:line="360" w:lineRule="auto"/>
              <w:jc w:val="center"/>
              <w:rPr>
                <w:rFonts w:cs="仿宋" w:asciiTheme="majorEastAsia" w:hAnsiTheme="majorEastAsia" w:eastAsiaTheme="majorEastAsia"/>
                <w:color w:val="auto"/>
                <w:sz w:val="24"/>
                <w:highlight w:val="none"/>
              </w:rPr>
            </w:pPr>
          </w:p>
        </w:tc>
      </w:tr>
      <w:tr w14:paraId="4D2E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912" w:type="dxa"/>
            <w:gridSpan w:val="3"/>
            <w:vAlign w:val="center"/>
          </w:tcPr>
          <w:p w14:paraId="70AF9904">
            <w:pP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投标报价（小写）</w:t>
            </w:r>
          </w:p>
        </w:tc>
        <w:tc>
          <w:tcPr>
            <w:tcW w:w="7655" w:type="dxa"/>
            <w:gridSpan w:val="3"/>
            <w:vAlign w:val="center"/>
          </w:tcPr>
          <w:p w14:paraId="1CE822A1">
            <w:pPr>
              <w:spacing w:line="360" w:lineRule="auto"/>
              <w:jc w:val="center"/>
              <w:rPr>
                <w:rFonts w:cs="仿宋" w:asciiTheme="majorEastAsia" w:hAnsiTheme="majorEastAsia" w:eastAsiaTheme="majorEastAsia"/>
                <w:color w:val="auto"/>
                <w:sz w:val="24"/>
                <w:highlight w:val="none"/>
              </w:rPr>
            </w:pPr>
          </w:p>
        </w:tc>
      </w:tr>
      <w:tr w14:paraId="349C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912" w:type="dxa"/>
            <w:gridSpan w:val="3"/>
            <w:vAlign w:val="center"/>
          </w:tcPr>
          <w:p w14:paraId="3BDD851C">
            <w:pP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投标报价（大写）</w:t>
            </w:r>
          </w:p>
        </w:tc>
        <w:tc>
          <w:tcPr>
            <w:tcW w:w="7655" w:type="dxa"/>
            <w:gridSpan w:val="3"/>
            <w:vAlign w:val="center"/>
          </w:tcPr>
          <w:p w14:paraId="3895E311">
            <w:pPr>
              <w:spacing w:line="360" w:lineRule="auto"/>
              <w:jc w:val="center"/>
              <w:rPr>
                <w:rFonts w:cs="仿宋" w:asciiTheme="majorEastAsia" w:hAnsiTheme="majorEastAsia" w:eastAsiaTheme="majorEastAsia"/>
                <w:color w:val="auto"/>
                <w:sz w:val="24"/>
                <w:highlight w:val="none"/>
              </w:rPr>
            </w:pPr>
          </w:p>
        </w:tc>
      </w:tr>
    </w:tbl>
    <w:p w14:paraId="637F496C">
      <w:pPr>
        <w:keepNext w:val="0"/>
        <w:keepLines w:val="0"/>
        <w:pageBreakBefore w:val="0"/>
        <w:widowControl w:val="0"/>
        <w:kinsoku/>
        <w:wordWrap/>
        <w:overflowPunct/>
        <w:topLinePunct w:val="0"/>
        <w:autoSpaceDE/>
        <w:autoSpaceDN/>
        <w:bidi w:val="0"/>
        <w:adjustRightInd/>
        <w:snapToGrid w:val="0"/>
        <w:spacing w:line="336" w:lineRule="auto"/>
        <w:ind w:left="480"/>
        <w:textAlignment w:val="auto"/>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注：</w:t>
      </w:r>
    </w:p>
    <w:p w14:paraId="627244D0">
      <w:pPr>
        <w:keepNext w:val="0"/>
        <w:keepLines w:val="0"/>
        <w:pageBreakBefore w:val="0"/>
        <w:widowControl w:val="0"/>
        <w:kinsoku/>
        <w:wordWrap/>
        <w:overflowPunct/>
        <w:topLinePunct w:val="0"/>
        <w:autoSpaceDE/>
        <w:autoSpaceDN/>
        <w:bidi w:val="0"/>
        <w:adjustRightInd/>
        <w:spacing w:line="336" w:lineRule="auto"/>
        <w:ind w:left="-2" w:leftChars="-1" w:firstLine="480" w:firstLineChars="200"/>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1、投标人需按本表格式填写，不得自行更改。</w:t>
      </w:r>
    </w:p>
    <w:p w14:paraId="21AE623F">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2、有关本项目实施所涉及的一切费用均计入报价。</w:t>
      </w:r>
      <w:r>
        <w:rPr>
          <w:rFonts w:hint="eastAsia" w:cs="仿宋" w:asciiTheme="majorEastAsia" w:hAnsiTheme="majorEastAsia" w:eastAsiaTheme="majorEastAsia"/>
          <w:b/>
          <w:color w:val="auto"/>
          <w:kern w:val="0"/>
          <w:sz w:val="24"/>
          <w:highlight w:val="none"/>
          <w:lang w:val="zh-CN"/>
        </w:rPr>
        <w:t>采购人将以合同形式有偿取得货物或服务，不接受投标人给予的赠品、回扣或者与采购无关的其他商品、服务</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b/>
          <w:color w:val="auto"/>
          <w:kern w:val="0"/>
          <w:sz w:val="24"/>
          <w:highlight w:val="none"/>
          <w:lang w:val="zh-CN"/>
        </w:rPr>
        <w:t>不得出现“0元”“免费赠送”等形式的无偿报价，</w:t>
      </w:r>
      <w:r>
        <w:rPr>
          <w:rFonts w:hint="eastAsia" w:cs="仿宋" w:asciiTheme="majorEastAsia" w:hAnsiTheme="majorEastAsia" w:eastAsiaTheme="majorEastAsia"/>
          <w:b/>
          <w:color w:val="auto"/>
          <w:kern w:val="0"/>
          <w:sz w:val="24"/>
          <w:highlight w:val="none"/>
        </w:rPr>
        <w:t>否则视为</w:t>
      </w:r>
      <w:r>
        <w:rPr>
          <w:rFonts w:hint="eastAsia" w:cs="仿宋" w:asciiTheme="majorEastAsia" w:hAnsiTheme="majorEastAsia" w:eastAsiaTheme="majorEastAsia"/>
          <w:b/>
          <w:color w:val="auto"/>
          <w:sz w:val="24"/>
          <w:highlight w:val="none"/>
        </w:rPr>
        <w:t>投标文件含有采购人不能接受的附加条件的，投标无效</w:t>
      </w:r>
      <w:r>
        <w:rPr>
          <w:rFonts w:hint="eastAsia" w:cs="仿宋" w:asciiTheme="majorEastAsia" w:hAnsiTheme="majorEastAsia" w:eastAsiaTheme="majorEastAsia"/>
          <w:b/>
          <w:color w:val="auto"/>
          <w:kern w:val="0"/>
          <w:sz w:val="24"/>
          <w:highlight w:val="none"/>
          <w:lang w:val="zh-CN"/>
        </w:rPr>
        <w:t>。</w:t>
      </w:r>
    </w:p>
    <w:p w14:paraId="0330AE32">
      <w:pPr>
        <w:keepNext w:val="0"/>
        <w:keepLines w:val="0"/>
        <w:pageBreakBefore w:val="0"/>
        <w:widowControl w:val="0"/>
        <w:kinsoku/>
        <w:wordWrap/>
        <w:overflowPunct/>
        <w:topLinePunct w:val="0"/>
        <w:autoSpaceDE/>
        <w:autoSpaceDN/>
        <w:bidi w:val="0"/>
        <w:adjustRightInd/>
        <w:spacing w:line="336" w:lineRule="auto"/>
        <w:ind w:left="7560" w:leftChars="36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法定代表人或其授权委托人（签名或印章）：        </w:t>
      </w:r>
    </w:p>
    <w:p w14:paraId="42FB09C3">
      <w:pPr>
        <w:keepNext w:val="0"/>
        <w:keepLines w:val="0"/>
        <w:pageBreakBefore w:val="0"/>
        <w:widowControl w:val="0"/>
        <w:kinsoku/>
        <w:wordWrap/>
        <w:overflowPunct/>
        <w:topLinePunct w:val="0"/>
        <w:autoSpaceDE/>
        <w:autoSpaceDN/>
        <w:bidi w:val="0"/>
        <w:adjustRightInd/>
        <w:spacing w:line="336" w:lineRule="auto"/>
        <w:ind w:left="7560" w:leftChars="36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投标人（盖章）：         </w:t>
      </w:r>
    </w:p>
    <w:p w14:paraId="09543761">
      <w:pPr>
        <w:keepNext w:val="0"/>
        <w:keepLines w:val="0"/>
        <w:pageBreakBefore w:val="0"/>
        <w:widowControl w:val="0"/>
        <w:kinsoku/>
        <w:wordWrap/>
        <w:overflowPunct/>
        <w:topLinePunct w:val="0"/>
        <w:autoSpaceDE/>
        <w:autoSpaceDN/>
        <w:bidi w:val="0"/>
        <w:adjustRightInd/>
        <w:spacing w:line="336" w:lineRule="auto"/>
        <w:ind w:left="7560" w:leftChars="3600"/>
        <w:textAlignment w:val="auto"/>
        <w:rPr>
          <w:rFonts w:asciiTheme="majorEastAsia" w:hAnsiTheme="majorEastAsia" w:eastAsiaTheme="majorEastAsia"/>
          <w:color w:val="auto"/>
          <w:highlight w:val="none"/>
        </w:rPr>
        <w:sectPr>
          <w:pgSz w:w="16838" w:h="11906" w:orient="landscape"/>
          <w:pgMar w:top="1418" w:right="1247" w:bottom="1418" w:left="1276" w:header="851" w:footer="992" w:gutter="0"/>
          <w:cols w:space="720" w:num="1"/>
          <w:titlePg/>
          <w:docGrid w:linePitch="312" w:charSpace="0"/>
        </w:sectPr>
      </w:pPr>
      <w:r>
        <w:rPr>
          <w:rFonts w:hint="eastAsia" w:cs="仿宋" w:asciiTheme="majorEastAsia" w:hAnsiTheme="majorEastAsia" w:eastAsiaTheme="majorEastAsia"/>
          <w:color w:val="auto"/>
          <w:sz w:val="24"/>
          <w:highlight w:val="none"/>
        </w:rPr>
        <w:t>日  期：</w:t>
      </w:r>
    </w:p>
    <w:p w14:paraId="63183D7E">
      <w:pPr>
        <w:pStyle w:val="36"/>
        <w:keepNext w:val="0"/>
        <w:pageBreakBefore w:val="0"/>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pPr>
      <w:r>
        <w:rPr>
          <w:rFonts w:hint="eastAsia" w:cs="仿宋" w:asciiTheme="majorEastAsia" w:hAnsiTheme="majorEastAsia" w:eastAsiaTheme="majorEastAsia"/>
          <w:color w:val="auto"/>
          <w:kern w:val="2"/>
          <w:sz w:val="32"/>
          <w:szCs w:val="32"/>
          <w:highlight w:val="none"/>
        </w:rPr>
        <w:t>二、投标报价明细表</w:t>
      </w:r>
    </w:p>
    <w:p w14:paraId="27542121">
      <w:pP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投标人名称：</w:t>
      </w:r>
      <w:r>
        <w:rPr>
          <w:rFonts w:hint="eastAsia" w:cs="仿宋" w:asciiTheme="majorEastAsia" w:hAnsiTheme="majorEastAsia" w:eastAsiaTheme="majorEastAsia"/>
          <w:color w:val="auto"/>
          <w:kern w:val="0"/>
          <w:sz w:val="24"/>
          <w:highlight w:val="none"/>
          <w:u w:val="single"/>
        </w:rPr>
        <w:t xml:space="preserve">                            </w:t>
      </w:r>
    </w:p>
    <w:p w14:paraId="3D06A7AA">
      <w:pP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标    项：</w:t>
      </w:r>
      <w:r>
        <w:rPr>
          <w:rFonts w:hint="eastAsia" w:cs="仿宋" w:asciiTheme="majorEastAsia" w:hAnsiTheme="majorEastAsia" w:eastAsiaTheme="majorEastAsia"/>
          <w:color w:val="auto"/>
          <w:kern w:val="0"/>
          <w:sz w:val="24"/>
          <w:highlight w:val="none"/>
          <w:u w:val="single"/>
        </w:rPr>
        <w:t xml:space="preserve">                              </w:t>
      </w:r>
    </w:p>
    <w:p w14:paraId="06BA8B6E">
      <w:pPr>
        <w:snapToGri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项目编号： </w:t>
      </w:r>
      <w:r>
        <w:rPr>
          <w:rFonts w:hint="eastAsia" w:cs="仿宋" w:asciiTheme="majorEastAsia" w:hAnsiTheme="majorEastAsia" w:eastAsiaTheme="majorEastAsia"/>
          <w:color w:val="auto"/>
          <w:kern w:val="0"/>
          <w:sz w:val="24"/>
          <w:highlight w:val="none"/>
          <w:u w:val="single"/>
        </w:rPr>
        <w:t xml:space="preserve">                             </w:t>
      </w:r>
      <w:r>
        <w:rPr>
          <w:rFonts w:hint="eastAsia" w:cs="仿宋" w:asciiTheme="majorEastAsia" w:hAnsiTheme="majorEastAsia" w:eastAsiaTheme="majorEastAsia"/>
          <w:color w:val="auto"/>
          <w:sz w:val="24"/>
          <w:highlight w:val="none"/>
        </w:rPr>
        <w:t xml:space="preserve">           </w:t>
      </w:r>
      <w:r>
        <w:rPr>
          <w:rFonts w:hint="eastAsia" w:cs="仿宋" w:asciiTheme="majorEastAsia" w:hAnsiTheme="majorEastAsia" w:eastAsiaTheme="majorEastAsia"/>
          <w:color w:val="auto"/>
          <w:sz w:val="24"/>
          <w:highlight w:val="none"/>
          <w:lang w:val="en-US" w:eastAsia="zh-CN"/>
        </w:rPr>
        <w:t xml:space="preserve">                                         </w:t>
      </w:r>
      <w:r>
        <w:rPr>
          <w:rFonts w:hint="eastAsia" w:cs="仿宋" w:asciiTheme="majorEastAsia" w:hAnsiTheme="majorEastAsia" w:eastAsiaTheme="majorEastAsia"/>
          <w:color w:val="auto"/>
          <w:sz w:val="24"/>
          <w:highlight w:val="none"/>
        </w:rPr>
        <w:t>金额单位：人民币（元）</w:t>
      </w:r>
    </w:p>
    <w:tbl>
      <w:tblPr>
        <w:tblStyle w:val="19"/>
        <w:tblW w:w="147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4"/>
        <w:gridCol w:w="1281"/>
        <w:gridCol w:w="1062"/>
        <w:gridCol w:w="2723"/>
        <w:gridCol w:w="1373"/>
        <w:gridCol w:w="761"/>
        <w:gridCol w:w="1016"/>
        <w:gridCol w:w="830"/>
        <w:gridCol w:w="785"/>
        <w:gridCol w:w="890"/>
        <w:gridCol w:w="859"/>
        <w:gridCol w:w="873"/>
        <w:gridCol w:w="846"/>
        <w:gridCol w:w="818"/>
      </w:tblGrid>
      <w:tr w14:paraId="79B27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644"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31EA2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1281"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EA73A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类别</w:t>
            </w:r>
          </w:p>
        </w:tc>
        <w:tc>
          <w:tcPr>
            <w:tcW w:w="1062"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EC49A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桩类别</w:t>
            </w:r>
          </w:p>
        </w:tc>
        <w:tc>
          <w:tcPr>
            <w:tcW w:w="272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1A1E2F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桩直径及总桩数</w:t>
            </w:r>
          </w:p>
        </w:tc>
        <w:tc>
          <w:tcPr>
            <w:tcW w:w="13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388E56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静载荷载数</w:t>
            </w:r>
          </w:p>
          <w:p w14:paraId="415B94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（KN）</w:t>
            </w:r>
          </w:p>
        </w:tc>
        <w:tc>
          <w:tcPr>
            <w:tcW w:w="761"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5A0373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静载根数</w:t>
            </w:r>
          </w:p>
          <w:p w14:paraId="728D89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（枚）</w:t>
            </w:r>
          </w:p>
        </w:tc>
        <w:tc>
          <w:tcPr>
            <w:tcW w:w="101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7CE7B8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抗拔荷载数（KN）</w:t>
            </w:r>
          </w:p>
        </w:tc>
        <w:tc>
          <w:tcPr>
            <w:tcW w:w="83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617B1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抗拔根数（枚）</w:t>
            </w:r>
          </w:p>
        </w:tc>
        <w:tc>
          <w:tcPr>
            <w:tcW w:w="785"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DEAAF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静载吨位（吨）</w:t>
            </w:r>
          </w:p>
        </w:tc>
        <w:tc>
          <w:tcPr>
            <w:tcW w:w="89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EE728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抗拔≥2000KN（根）</w:t>
            </w:r>
          </w:p>
        </w:tc>
        <w:tc>
          <w:tcPr>
            <w:tcW w:w="859"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1A02A32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抗拔＜2000KN（根）</w:t>
            </w:r>
          </w:p>
        </w:tc>
        <w:tc>
          <w:tcPr>
            <w:tcW w:w="8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12B2D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钢筋笼（枚）</w:t>
            </w:r>
          </w:p>
        </w:tc>
        <w:tc>
          <w:tcPr>
            <w:tcW w:w="84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467CD7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小应变（根）</w:t>
            </w:r>
          </w:p>
        </w:tc>
        <w:tc>
          <w:tcPr>
            <w:tcW w:w="818"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1050DB0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钻芯检测（根）</w:t>
            </w:r>
          </w:p>
        </w:tc>
      </w:tr>
      <w:tr w14:paraId="0053B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644"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8A237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281" w:type="dxa"/>
            <w:vMerge w:val="restart"/>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1FD22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设计试桩</w:t>
            </w:r>
          </w:p>
        </w:tc>
        <w:tc>
          <w:tcPr>
            <w:tcW w:w="1062" w:type="dxa"/>
            <w:vMerge w:val="restart"/>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EC39B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旋挖钻孔灌注桩</w:t>
            </w:r>
          </w:p>
        </w:tc>
        <w:tc>
          <w:tcPr>
            <w:tcW w:w="272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6B15F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Φ800</w:t>
            </w:r>
          </w:p>
        </w:tc>
        <w:tc>
          <w:tcPr>
            <w:tcW w:w="13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16453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9200</w:t>
            </w:r>
          </w:p>
        </w:tc>
        <w:tc>
          <w:tcPr>
            <w:tcW w:w="761"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F9205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3</w:t>
            </w:r>
          </w:p>
        </w:tc>
        <w:tc>
          <w:tcPr>
            <w:tcW w:w="101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797C3D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3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773A00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785"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393B7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2760</w:t>
            </w:r>
          </w:p>
        </w:tc>
        <w:tc>
          <w:tcPr>
            <w:tcW w:w="89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385C7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9"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BE793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3990C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4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9E9ED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3</w:t>
            </w:r>
          </w:p>
        </w:tc>
        <w:tc>
          <w:tcPr>
            <w:tcW w:w="818"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768076C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6E666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644"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7CCA461A">
            <w:pPr>
              <w:keepNext w:val="0"/>
              <w:keepLines w:val="0"/>
              <w:widowControl/>
              <w:suppressLineNumbers w:val="0"/>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81" w:type="dxa"/>
            <w:vMerge w:val="continue"/>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7E1689C7">
            <w:pPr>
              <w:jc w:val="center"/>
              <w:rPr>
                <w:rFonts w:hint="eastAsia" w:ascii="宋体" w:hAnsi="宋体" w:eastAsia="宋体" w:cs="宋体"/>
                <w:i w:val="0"/>
                <w:iCs w:val="0"/>
                <w:color w:val="auto"/>
                <w:sz w:val="21"/>
                <w:szCs w:val="21"/>
                <w:u w:val="none"/>
              </w:rPr>
            </w:pPr>
          </w:p>
        </w:tc>
        <w:tc>
          <w:tcPr>
            <w:tcW w:w="1062" w:type="dxa"/>
            <w:vMerge w:val="continue"/>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F1BAEAD">
            <w:pPr>
              <w:jc w:val="center"/>
              <w:rPr>
                <w:rFonts w:hint="eastAsia" w:ascii="宋体" w:hAnsi="宋体" w:eastAsia="宋体" w:cs="宋体"/>
                <w:i w:val="0"/>
                <w:iCs w:val="0"/>
                <w:color w:val="auto"/>
                <w:sz w:val="21"/>
                <w:szCs w:val="21"/>
                <w:u w:val="none"/>
              </w:rPr>
            </w:pPr>
          </w:p>
        </w:tc>
        <w:tc>
          <w:tcPr>
            <w:tcW w:w="272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FD288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Φ800</w:t>
            </w:r>
          </w:p>
        </w:tc>
        <w:tc>
          <w:tcPr>
            <w:tcW w:w="13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4A7F9E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5300</w:t>
            </w:r>
          </w:p>
        </w:tc>
        <w:tc>
          <w:tcPr>
            <w:tcW w:w="761"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5231E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3</w:t>
            </w:r>
          </w:p>
        </w:tc>
        <w:tc>
          <w:tcPr>
            <w:tcW w:w="101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9EAFC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3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750CBF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785"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461763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1590</w:t>
            </w:r>
          </w:p>
        </w:tc>
        <w:tc>
          <w:tcPr>
            <w:tcW w:w="89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159BBB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9"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921FB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F9A20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4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8CB02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3</w:t>
            </w:r>
          </w:p>
        </w:tc>
        <w:tc>
          <w:tcPr>
            <w:tcW w:w="818"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8A50AE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5A0D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644"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18050E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281" w:type="dxa"/>
            <w:vMerge w:val="continue"/>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7591233C">
            <w:pPr>
              <w:jc w:val="center"/>
              <w:rPr>
                <w:rFonts w:hint="eastAsia" w:ascii="宋体" w:hAnsi="宋体" w:eastAsia="宋体" w:cs="宋体"/>
                <w:i w:val="0"/>
                <w:iCs w:val="0"/>
                <w:color w:val="auto"/>
                <w:sz w:val="21"/>
                <w:szCs w:val="21"/>
                <w:u w:val="none"/>
              </w:rPr>
            </w:pPr>
          </w:p>
        </w:tc>
        <w:tc>
          <w:tcPr>
            <w:tcW w:w="1062" w:type="dxa"/>
            <w:vMerge w:val="continue"/>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864083D">
            <w:pPr>
              <w:jc w:val="center"/>
              <w:rPr>
                <w:rFonts w:hint="eastAsia" w:ascii="宋体" w:hAnsi="宋体" w:eastAsia="宋体" w:cs="宋体"/>
                <w:i w:val="0"/>
                <w:iCs w:val="0"/>
                <w:color w:val="auto"/>
                <w:sz w:val="21"/>
                <w:szCs w:val="21"/>
                <w:u w:val="none"/>
              </w:rPr>
            </w:pPr>
          </w:p>
        </w:tc>
        <w:tc>
          <w:tcPr>
            <w:tcW w:w="272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C6ADC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Φ800</w:t>
            </w:r>
          </w:p>
        </w:tc>
        <w:tc>
          <w:tcPr>
            <w:tcW w:w="13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4DDA8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761"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53CFE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0</w:t>
            </w:r>
          </w:p>
        </w:tc>
        <w:tc>
          <w:tcPr>
            <w:tcW w:w="101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32963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5300</w:t>
            </w:r>
          </w:p>
        </w:tc>
        <w:tc>
          <w:tcPr>
            <w:tcW w:w="83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70C5C7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3</w:t>
            </w:r>
          </w:p>
        </w:tc>
        <w:tc>
          <w:tcPr>
            <w:tcW w:w="785"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450A4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0</w:t>
            </w:r>
          </w:p>
        </w:tc>
        <w:tc>
          <w:tcPr>
            <w:tcW w:w="89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E202F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3</w:t>
            </w:r>
          </w:p>
        </w:tc>
        <w:tc>
          <w:tcPr>
            <w:tcW w:w="859"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74F244C">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p>
        </w:tc>
        <w:tc>
          <w:tcPr>
            <w:tcW w:w="8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3D401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4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5862D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3</w:t>
            </w:r>
          </w:p>
        </w:tc>
        <w:tc>
          <w:tcPr>
            <w:tcW w:w="818"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749E93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5F3E4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jc w:val="center"/>
        </w:trPr>
        <w:tc>
          <w:tcPr>
            <w:tcW w:w="644"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E196B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281" w:type="dxa"/>
            <w:vMerge w:val="restart"/>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0B7CF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工程桩</w:t>
            </w:r>
          </w:p>
        </w:tc>
        <w:tc>
          <w:tcPr>
            <w:tcW w:w="1062" w:type="dxa"/>
            <w:vMerge w:val="restart"/>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BBA92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旋挖钻孔灌注桩</w:t>
            </w:r>
          </w:p>
        </w:tc>
        <w:tc>
          <w:tcPr>
            <w:tcW w:w="272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149A8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Φ700</w:t>
            </w:r>
            <w:r>
              <w:rPr>
                <w:rFonts w:hint="eastAsia" w:ascii="宋体" w:hAnsi="宋体" w:eastAsia="宋体" w:cs="宋体"/>
                <w:i w:val="0"/>
                <w:iCs w:val="0"/>
                <w:color w:val="auto"/>
                <w:sz w:val="21"/>
                <w:szCs w:val="21"/>
                <w:u w:val="none"/>
                <w:lang w:val="en-US" w:eastAsia="zh-CN"/>
              </w:rPr>
              <w:t>：118枚</w:t>
            </w:r>
          </w:p>
        </w:tc>
        <w:tc>
          <w:tcPr>
            <w:tcW w:w="13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F5F3B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7300</w:t>
            </w:r>
          </w:p>
        </w:tc>
        <w:tc>
          <w:tcPr>
            <w:tcW w:w="761"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E1CF0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10</w:t>
            </w:r>
          </w:p>
        </w:tc>
        <w:tc>
          <w:tcPr>
            <w:tcW w:w="101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0635D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3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F8B9A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785"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937DB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7300</w:t>
            </w:r>
          </w:p>
        </w:tc>
        <w:tc>
          <w:tcPr>
            <w:tcW w:w="89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1831FF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9"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402B98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48E31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4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1E30FB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118</w:t>
            </w:r>
          </w:p>
        </w:tc>
        <w:tc>
          <w:tcPr>
            <w:tcW w:w="818"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F2F5C5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0FB7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644"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520D7C8">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5</w:t>
            </w:r>
          </w:p>
        </w:tc>
        <w:tc>
          <w:tcPr>
            <w:tcW w:w="1281" w:type="dxa"/>
            <w:vMerge w:val="continue"/>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FE08F2B">
            <w:pPr>
              <w:jc w:val="center"/>
              <w:rPr>
                <w:rFonts w:hint="eastAsia" w:ascii="宋体" w:hAnsi="宋体" w:eastAsia="宋体" w:cs="宋体"/>
                <w:i w:val="0"/>
                <w:iCs w:val="0"/>
                <w:color w:val="auto"/>
                <w:sz w:val="21"/>
                <w:szCs w:val="21"/>
                <w:u w:val="none"/>
              </w:rPr>
            </w:pPr>
          </w:p>
        </w:tc>
        <w:tc>
          <w:tcPr>
            <w:tcW w:w="1062" w:type="dxa"/>
            <w:vMerge w:val="continue"/>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42318A9F">
            <w:pPr>
              <w:jc w:val="center"/>
              <w:rPr>
                <w:rFonts w:hint="eastAsia" w:ascii="宋体" w:hAnsi="宋体" w:eastAsia="宋体" w:cs="宋体"/>
                <w:i w:val="0"/>
                <w:iCs w:val="0"/>
                <w:color w:val="auto"/>
                <w:sz w:val="21"/>
                <w:szCs w:val="21"/>
                <w:u w:val="none"/>
              </w:rPr>
            </w:pPr>
          </w:p>
        </w:tc>
        <w:tc>
          <w:tcPr>
            <w:tcW w:w="272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6D1CE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Φ800</w:t>
            </w:r>
            <w:r>
              <w:rPr>
                <w:rFonts w:hint="eastAsia" w:ascii="宋体" w:hAnsi="宋体" w:eastAsia="宋体" w:cs="宋体"/>
                <w:i w:val="0"/>
                <w:iCs w:val="0"/>
                <w:color w:val="auto"/>
                <w:sz w:val="21"/>
                <w:szCs w:val="21"/>
                <w:u w:val="none"/>
                <w:lang w:val="en-US" w:eastAsia="zh-CN"/>
              </w:rPr>
              <w:t>：115枚</w:t>
            </w:r>
          </w:p>
        </w:tc>
        <w:tc>
          <w:tcPr>
            <w:tcW w:w="13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00793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9200</w:t>
            </w:r>
          </w:p>
        </w:tc>
        <w:tc>
          <w:tcPr>
            <w:tcW w:w="761"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41342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10</w:t>
            </w:r>
          </w:p>
        </w:tc>
        <w:tc>
          <w:tcPr>
            <w:tcW w:w="101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1F9EC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3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1DB07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785"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E2EE6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9200</w:t>
            </w:r>
          </w:p>
        </w:tc>
        <w:tc>
          <w:tcPr>
            <w:tcW w:w="89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26D7D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9"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336E4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B1013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4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7D43DB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115</w:t>
            </w:r>
          </w:p>
        </w:tc>
        <w:tc>
          <w:tcPr>
            <w:tcW w:w="818"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5607E2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14195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644"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BEA84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281" w:type="dxa"/>
            <w:vMerge w:val="continue"/>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7E1ED099">
            <w:pPr>
              <w:jc w:val="center"/>
              <w:rPr>
                <w:rFonts w:hint="eastAsia" w:ascii="宋体" w:hAnsi="宋体" w:eastAsia="宋体" w:cs="宋体"/>
                <w:i w:val="0"/>
                <w:iCs w:val="0"/>
                <w:color w:val="auto"/>
                <w:sz w:val="21"/>
                <w:szCs w:val="21"/>
                <w:u w:val="none"/>
              </w:rPr>
            </w:pPr>
          </w:p>
        </w:tc>
        <w:tc>
          <w:tcPr>
            <w:tcW w:w="1062" w:type="dxa"/>
            <w:vMerge w:val="continue"/>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967967C">
            <w:pPr>
              <w:jc w:val="center"/>
              <w:rPr>
                <w:rFonts w:hint="eastAsia" w:ascii="宋体" w:hAnsi="宋体" w:eastAsia="宋体" w:cs="宋体"/>
                <w:i w:val="0"/>
                <w:iCs w:val="0"/>
                <w:color w:val="auto"/>
                <w:sz w:val="21"/>
                <w:szCs w:val="21"/>
                <w:u w:val="none"/>
              </w:rPr>
            </w:pPr>
          </w:p>
        </w:tc>
        <w:tc>
          <w:tcPr>
            <w:tcW w:w="272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D4CB9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Φ700</w:t>
            </w:r>
            <w:r>
              <w:rPr>
                <w:rFonts w:hint="eastAsia" w:ascii="宋体" w:hAnsi="宋体" w:eastAsia="宋体" w:cs="宋体"/>
                <w:i w:val="0"/>
                <w:iCs w:val="0"/>
                <w:color w:val="auto"/>
                <w:sz w:val="21"/>
                <w:szCs w:val="21"/>
                <w:u w:val="none"/>
                <w:lang w:val="en-US" w:eastAsia="zh-CN"/>
              </w:rPr>
              <w:t>：1585枚</w:t>
            </w:r>
          </w:p>
        </w:tc>
        <w:tc>
          <w:tcPr>
            <w:tcW w:w="13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872E9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4500</w:t>
            </w:r>
          </w:p>
        </w:tc>
        <w:tc>
          <w:tcPr>
            <w:tcW w:w="761"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2F667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16</w:t>
            </w:r>
          </w:p>
        </w:tc>
        <w:tc>
          <w:tcPr>
            <w:tcW w:w="101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1A3C3F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850</w:t>
            </w:r>
          </w:p>
        </w:tc>
        <w:tc>
          <w:tcPr>
            <w:tcW w:w="83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12599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16</w:t>
            </w:r>
          </w:p>
        </w:tc>
        <w:tc>
          <w:tcPr>
            <w:tcW w:w="785"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B1CDF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7200</w:t>
            </w:r>
          </w:p>
        </w:tc>
        <w:tc>
          <w:tcPr>
            <w:tcW w:w="89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178F3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9"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0C31BB7">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16</w:t>
            </w:r>
          </w:p>
        </w:tc>
        <w:tc>
          <w:tcPr>
            <w:tcW w:w="8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35D71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4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C1E78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1585</w:t>
            </w:r>
          </w:p>
        </w:tc>
        <w:tc>
          <w:tcPr>
            <w:tcW w:w="818"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6D4CA4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D0D3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644"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8EED99D">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7</w:t>
            </w:r>
          </w:p>
        </w:tc>
        <w:tc>
          <w:tcPr>
            <w:tcW w:w="1281" w:type="dxa"/>
            <w:vMerge w:val="continue"/>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46B6FEE4">
            <w:pPr>
              <w:jc w:val="center"/>
              <w:rPr>
                <w:rFonts w:hint="eastAsia" w:ascii="宋体" w:hAnsi="宋体" w:eastAsia="宋体" w:cs="宋体"/>
                <w:i w:val="0"/>
                <w:iCs w:val="0"/>
                <w:color w:val="auto"/>
                <w:sz w:val="21"/>
                <w:szCs w:val="21"/>
                <w:u w:val="none"/>
              </w:rPr>
            </w:pPr>
          </w:p>
        </w:tc>
        <w:tc>
          <w:tcPr>
            <w:tcW w:w="1062" w:type="dxa"/>
            <w:vMerge w:val="continue"/>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1C0C515">
            <w:pPr>
              <w:jc w:val="center"/>
              <w:rPr>
                <w:rFonts w:hint="eastAsia" w:ascii="宋体" w:hAnsi="宋体" w:eastAsia="宋体" w:cs="宋体"/>
                <w:i w:val="0"/>
                <w:iCs w:val="0"/>
                <w:color w:val="auto"/>
                <w:sz w:val="21"/>
                <w:szCs w:val="21"/>
                <w:u w:val="none"/>
              </w:rPr>
            </w:pPr>
          </w:p>
        </w:tc>
        <w:tc>
          <w:tcPr>
            <w:tcW w:w="272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C7188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Φ700</w:t>
            </w:r>
            <w:r>
              <w:rPr>
                <w:rFonts w:hint="eastAsia" w:ascii="宋体" w:hAnsi="宋体" w:eastAsia="宋体" w:cs="宋体"/>
                <w:i w:val="0"/>
                <w:iCs w:val="0"/>
                <w:color w:val="auto"/>
                <w:sz w:val="21"/>
                <w:szCs w:val="21"/>
                <w:u w:val="none"/>
                <w:lang w:val="en-US" w:eastAsia="zh-CN"/>
              </w:rPr>
              <w:t>：165枚</w:t>
            </w:r>
          </w:p>
        </w:tc>
        <w:tc>
          <w:tcPr>
            <w:tcW w:w="13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47CD1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4500</w:t>
            </w:r>
          </w:p>
        </w:tc>
        <w:tc>
          <w:tcPr>
            <w:tcW w:w="761"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37B14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3</w:t>
            </w:r>
          </w:p>
        </w:tc>
        <w:tc>
          <w:tcPr>
            <w:tcW w:w="101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1C68D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1250</w:t>
            </w:r>
          </w:p>
        </w:tc>
        <w:tc>
          <w:tcPr>
            <w:tcW w:w="83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4C5ED5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3</w:t>
            </w:r>
          </w:p>
        </w:tc>
        <w:tc>
          <w:tcPr>
            <w:tcW w:w="785"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65A7F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1350</w:t>
            </w:r>
          </w:p>
        </w:tc>
        <w:tc>
          <w:tcPr>
            <w:tcW w:w="89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74360C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9"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9F39457">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3</w:t>
            </w:r>
          </w:p>
        </w:tc>
        <w:tc>
          <w:tcPr>
            <w:tcW w:w="8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DE994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4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054E9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165</w:t>
            </w:r>
          </w:p>
        </w:tc>
        <w:tc>
          <w:tcPr>
            <w:tcW w:w="818"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5701D8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7F322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644"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328CE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281" w:type="dxa"/>
            <w:vMerge w:val="continue"/>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59A9A93">
            <w:pPr>
              <w:jc w:val="center"/>
              <w:rPr>
                <w:rFonts w:hint="eastAsia" w:ascii="宋体" w:hAnsi="宋体" w:eastAsia="宋体" w:cs="宋体"/>
                <w:i w:val="0"/>
                <w:iCs w:val="0"/>
                <w:color w:val="auto"/>
                <w:sz w:val="21"/>
                <w:szCs w:val="21"/>
                <w:u w:val="none"/>
              </w:rPr>
            </w:pPr>
          </w:p>
        </w:tc>
        <w:tc>
          <w:tcPr>
            <w:tcW w:w="1062" w:type="dxa"/>
            <w:vMerge w:val="continue"/>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433285AC">
            <w:pPr>
              <w:jc w:val="center"/>
              <w:rPr>
                <w:rFonts w:hint="eastAsia" w:ascii="宋体" w:hAnsi="宋体" w:eastAsia="宋体" w:cs="宋体"/>
                <w:i w:val="0"/>
                <w:iCs w:val="0"/>
                <w:color w:val="auto"/>
                <w:sz w:val="21"/>
                <w:szCs w:val="21"/>
                <w:u w:val="none"/>
              </w:rPr>
            </w:pPr>
          </w:p>
        </w:tc>
        <w:tc>
          <w:tcPr>
            <w:tcW w:w="272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77218F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Φ800</w:t>
            </w:r>
            <w:r>
              <w:rPr>
                <w:rFonts w:hint="eastAsia" w:ascii="宋体" w:hAnsi="宋体" w:eastAsia="宋体" w:cs="宋体"/>
                <w:i w:val="0"/>
                <w:iCs w:val="0"/>
                <w:color w:val="auto"/>
                <w:sz w:val="21"/>
                <w:szCs w:val="21"/>
                <w:u w:val="none"/>
                <w:lang w:val="en-US" w:eastAsia="zh-CN"/>
              </w:rPr>
              <w:t>：288枚</w:t>
            </w:r>
          </w:p>
        </w:tc>
        <w:tc>
          <w:tcPr>
            <w:tcW w:w="13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91F67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5300</w:t>
            </w:r>
          </w:p>
        </w:tc>
        <w:tc>
          <w:tcPr>
            <w:tcW w:w="761"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1BE241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3</w:t>
            </w:r>
          </w:p>
        </w:tc>
        <w:tc>
          <w:tcPr>
            <w:tcW w:w="101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714411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920</w:t>
            </w:r>
          </w:p>
        </w:tc>
        <w:tc>
          <w:tcPr>
            <w:tcW w:w="83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7CE163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3</w:t>
            </w:r>
          </w:p>
        </w:tc>
        <w:tc>
          <w:tcPr>
            <w:tcW w:w="785"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18C163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1590</w:t>
            </w:r>
          </w:p>
        </w:tc>
        <w:tc>
          <w:tcPr>
            <w:tcW w:w="89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31981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9"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C23C3CD">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3</w:t>
            </w:r>
          </w:p>
        </w:tc>
        <w:tc>
          <w:tcPr>
            <w:tcW w:w="8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6CB58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4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E77FC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288</w:t>
            </w:r>
          </w:p>
        </w:tc>
        <w:tc>
          <w:tcPr>
            <w:tcW w:w="818"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560A41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5EFA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644"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FA8F2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281" w:type="dxa"/>
            <w:vMerge w:val="restart"/>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FEEA6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工程围护桩</w:t>
            </w:r>
          </w:p>
        </w:tc>
        <w:tc>
          <w:tcPr>
            <w:tcW w:w="1062" w:type="dxa"/>
            <w:vMerge w:val="restart"/>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C5744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旋挖钻孔灌注桩</w:t>
            </w:r>
          </w:p>
        </w:tc>
        <w:tc>
          <w:tcPr>
            <w:tcW w:w="272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5A13B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Φ700</w:t>
            </w:r>
            <w:r>
              <w:rPr>
                <w:rFonts w:hint="eastAsia" w:ascii="宋体" w:hAnsi="宋体" w:eastAsia="宋体" w:cs="宋体"/>
                <w:i w:val="0"/>
                <w:iCs w:val="0"/>
                <w:color w:val="auto"/>
                <w:sz w:val="21"/>
                <w:szCs w:val="21"/>
                <w:u w:val="none"/>
                <w:lang w:val="en-US" w:eastAsia="zh-CN"/>
              </w:rPr>
              <w:t>：</w:t>
            </w:r>
            <w:r>
              <w:rPr>
                <w:rFonts w:hint="default" w:ascii="宋体" w:hAnsi="宋体" w:eastAsia="宋体" w:cs="宋体"/>
                <w:i w:val="0"/>
                <w:iCs w:val="0"/>
                <w:color w:val="auto"/>
                <w:sz w:val="21"/>
                <w:szCs w:val="21"/>
                <w:u w:val="none"/>
                <w:lang w:val="en-US" w:eastAsia="zh-CN"/>
              </w:rPr>
              <w:t>610</w:t>
            </w:r>
            <w:r>
              <w:rPr>
                <w:rFonts w:hint="eastAsia" w:ascii="宋体" w:hAnsi="宋体" w:eastAsia="宋体" w:cs="宋体"/>
                <w:i w:val="0"/>
                <w:iCs w:val="0"/>
                <w:color w:val="auto"/>
                <w:sz w:val="21"/>
                <w:szCs w:val="21"/>
                <w:u w:val="none"/>
                <w:lang w:val="en-US" w:eastAsia="zh-CN"/>
              </w:rPr>
              <w:t>枚</w:t>
            </w:r>
          </w:p>
        </w:tc>
        <w:tc>
          <w:tcPr>
            <w:tcW w:w="13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9FA73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761"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2F744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01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78F9F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3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141D29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785"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2974D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0</w:t>
            </w:r>
          </w:p>
        </w:tc>
        <w:tc>
          <w:tcPr>
            <w:tcW w:w="89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157DD4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9"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84D85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774FE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4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4B2A76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610</w:t>
            </w:r>
          </w:p>
        </w:tc>
        <w:tc>
          <w:tcPr>
            <w:tcW w:w="818"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1C18DA7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46BD5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644"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17F7F004">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8</w:t>
            </w:r>
          </w:p>
        </w:tc>
        <w:tc>
          <w:tcPr>
            <w:tcW w:w="1281" w:type="dxa"/>
            <w:vMerge w:val="continue"/>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4B8458FA">
            <w:pPr>
              <w:jc w:val="center"/>
              <w:rPr>
                <w:rFonts w:hint="eastAsia" w:ascii="宋体" w:hAnsi="宋体" w:eastAsia="宋体" w:cs="宋体"/>
                <w:i w:val="0"/>
                <w:iCs w:val="0"/>
                <w:color w:val="auto"/>
                <w:sz w:val="21"/>
                <w:szCs w:val="21"/>
                <w:u w:val="none"/>
              </w:rPr>
            </w:pPr>
          </w:p>
        </w:tc>
        <w:tc>
          <w:tcPr>
            <w:tcW w:w="1062" w:type="dxa"/>
            <w:vMerge w:val="continue"/>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43EE9130">
            <w:pPr>
              <w:jc w:val="center"/>
              <w:rPr>
                <w:rFonts w:hint="eastAsia" w:ascii="宋体" w:hAnsi="宋体" w:eastAsia="宋体" w:cs="宋体"/>
                <w:i w:val="0"/>
                <w:iCs w:val="0"/>
                <w:color w:val="auto"/>
                <w:sz w:val="21"/>
                <w:szCs w:val="21"/>
                <w:u w:val="none"/>
              </w:rPr>
            </w:pPr>
          </w:p>
        </w:tc>
        <w:tc>
          <w:tcPr>
            <w:tcW w:w="272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4874B9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Φ800</w:t>
            </w:r>
            <w:r>
              <w:rPr>
                <w:rFonts w:hint="eastAsia" w:ascii="宋体" w:hAnsi="宋体" w:eastAsia="宋体" w:cs="宋体"/>
                <w:i w:val="0"/>
                <w:iCs w:val="0"/>
                <w:color w:val="auto"/>
                <w:sz w:val="21"/>
                <w:szCs w:val="21"/>
                <w:u w:val="none"/>
                <w:lang w:val="en-US" w:eastAsia="zh-CN"/>
              </w:rPr>
              <w:t>：</w:t>
            </w:r>
            <w:r>
              <w:rPr>
                <w:rFonts w:hint="default" w:ascii="宋体" w:hAnsi="宋体" w:eastAsia="宋体" w:cs="宋体"/>
                <w:i w:val="0"/>
                <w:iCs w:val="0"/>
                <w:color w:val="auto"/>
                <w:sz w:val="21"/>
                <w:szCs w:val="21"/>
                <w:u w:val="none"/>
                <w:lang w:val="en-US" w:eastAsia="zh-CN"/>
              </w:rPr>
              <w:t>532</w:t>
            </w:r>
            <w:r>
              <w:rPr>
                <w:rFonts w:hint="eastAsia" w:ascii="宋体" w:hAnsi="宋体" w:eastAsia="宋体" w:cs="宋体"/>
                <w:i w:val="0"/>
                <w:iCs w:val="0"/>
                <w:color w:val="auto"/>
                <w:sz w:val="21"/>
                <w:szCs w:val="21"/>
                <w:u w:val="none"/>
                <w:lang w:val="en-US" w:eastAsia="zh-CN"/>
              </w:rPr>
              <w:t>枚</w:t>
            </w:r>
          </w:p>
        </w:tc>
        <w:tc>
          <w:tcPr>
            <w:tcW w:w="13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CAB6B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761"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369B8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01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1643F9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3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D96E3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785"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3A4AC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0</w:t>
            </w:r>
          </w:p>
        </w:tc>
        <w:tc>
          <w:tcPr>
            <w:tcW w:w="89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82E22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9"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87486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12E6A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4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4979A3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532</w:t>
            </w:r>
          </w:p>
        </w:tc>
        <w:tc>
          <w:tcPr>
            <w:tcW w:w="818"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E582D8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0E3FE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644"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4049B8FF">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9</w:t>
            </w:r>
          </w:p>
        </w:tc>
        <w:tc>
          <w:tcPr>
            <w:tcW w:w="1281" w:type="dxa"/>
            <w:vMerge w:val="continue"/>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2008C49">
            <w:pPr>
              <w:jc w:val="center"/>
              <w:rPr>
                <w:rFonts w:hint="eastAsia" w:ascii="宋体" w:hAnsi="宋体" w:eastAsia="宋体" w:cs="宋体"/>
                <w:i w:val="0"/>
                <w:iCs w:val="0"/>
                <w:color w:val="auto"/>
                <w:sz w:val="21"/>
                <w:szCs w:val="21"/>
                <w:u w:val="none"/>
              </w:rPr>
            </w:pPr>
          </w:p>
        </w:tc>
        <w:tc>
          <w:tcPr>
            <w:tcW w:w="1062" w:type="dxa"/>
            <w:vMerge w:val="continue"/>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474E9009">
            <w:pPr>
              <w:jc w:val="center"/>
              <w:rPr>
                <w:rFonts w:hint="eastAsia" w:ascii="宋体" w:hAnsi="宋体" w:eastAsia="宋体" w:cs="宋体"/>
                <w:i w:val="0"/>
                <w:iCs w:val="0"/>
                <w:color w:val="auto"/>
                <w:sz w:val="21"/>
                <w:szCs w:val="21"/>
                <w:u w:val="none"/>
              </w:rPr>
            </w:pPr>
          </w:p>
        </w:tc>
        <w:tc>
          <w:tcPr>
            <w:tcW w:w="272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1794AD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高压旋喷</w:t>
            </w:r>
            <w:r>
              <w:rPr>
                <w:rFonts w:hint="default" w:ascii="宋体" w:hAnsi="宋体" w:eastAsia="宋体" w:cs="宋体"/>
                <w:i w:val="0"/>
                <w:iCs w:val="0"/>
                <w:color w:val="auto"/>
                <w:sz w:val="21"/>
                <w:szCs w:val="21"/>
                <w:u w:val="none"/>
                <w:lang w:val="en-US" w:eastAsia="zh-CN"/>
              </w:rPr>
              <w:t>Φ700</w:t>
            </w:r>
            <w:r>
              <w:rPr>
                <w:rFonts w:hint="eastAsia" w:ascii="宋体" w:hAnsi="宋体" w:eastAsia="宋体" w:cs="宋体"/>
                <w:i w:val="0"/>
                <w:iCs w:val="0"/>
                <w:color w:val="auto"/>
                <w:sz w:val="21"/>
                <w:szCs w:val="21"/>
                <w:u w:val="none"/>
                <w:lang w:val="en-US" w:eastAsia="zh-CN"/>
              </w:rPr>
              <w:t>：</w:t>
            </w:r>
            <w:r>
              <w:rPr>
                <w:rFonts w:hint="default" w:ascii="宋体" w:hAnsi="宋体" w:eastAsia="宋体" w:cs="宋体"/>
                <w:i w:val="0"/>
                <w:iCs w:val="0"/>
                <w:color w:val="auto"/>
                <w:sz w:val="21"/>
                <w:szCs w:val="21"/>
                <w:u w:val="none"/>
                <w:lang w:val="en-US" w:eastAsia="zh-CN"/>
              </w:rPr>
              <w:t>2141</w:t>
            </w:r>
            <w:r>
              <w:rPr>
                <w:rFonts w:hint="eastAsia" w:ascii="宋体" w:hAnsi="宋体" w:eastAsia="宋体" w:cs="宋体"/>
                <w:i w:val="0"/>
                <w:iCs w:val="0"/>
                <w:color w:val="auto"/>
                <w:sz w:val="21"/>
                <w:szCs w:val="21"/>
                <w:u w:val="none"/>
                <w:lang w:val="en-US" w:eastAsia="zh-CN"/>
              </w:rPr>
              <w:t>枚</w:t>
            </w:r>
          </w:p>
        </w:tc>
        <w:tc>
          <w:tcPr>
            <w:tcW w:w="13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47ABD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761"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409EC1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01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73CBD8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3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7E3A12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785"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5BBAE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0</w:t>
            </w:r>
          </w:p>
        </w:tc>
        <w:tc>
          <w:tcPr>
            <w:tcW w:w="89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1E63A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59"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D9378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1E6D41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4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1EA4CD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宋体" w:hAnsi="宋体" w:eastAsia="宋体" w:cs="宋体"/>
                <w:i w:val="0"/>
                <w:iCs w:val="0"/>
                <w:color w:val="auto"/>
                <w:sz w:val="21"/>
                <w:szCs w:val="21"/>
                <w:u w:val="none"/>
                <w:lang w:val="en-US" w:eastAsia="zh-CN"/>
              </w:rPr>
              <w:t>2141</w:t>
            </w:r>
          </w:p>
        </w:tc>
        <w:tc>
          <w:tcPr>
            <w:tcW w:w="818"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03DF34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14:paraId="201E5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5710" w:type="dxa"/>
            <w:gridSpan w:val="4"/>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1FB9114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2"/>
                <w:sz w:val="21"/>
                <w:szCs w:val="21"/>
                <w:u w:val="none"/>
                <w:lang w:val="en-US" w:eastAsia="zh-CN" w:bidi="ar-SA"/>
              </w:rPr>
              <w:t>数量小计</w:t>
            </w:r>
          </w:p>
        </w:tc>
        <w:tc>
          <w:tcPr>
            <w:tcW w:w="13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99F53FA">
            <w:pPr>
              <w:jc w:val="center"/>
              <w:rPr>
                <w:rFonts w:hint="eastAsia" w:ascii="宋体" w:hAnsi="宋体" w:eastAsia="宋体" w:cs="宋体"/>
                <w:i w:val="0"/>
                <w:iCs w:val="0"/>
                <w:color w:val="auto"/>
                <w:sz w:val="21"/>
                <w:szCs w:val="21"/>
                <w:u w:val="none"/>
              </w:rPr>
            </w:pPr>
          </w:p>
        </w:tc>
        <w:tc>
          <w:tcPr>
            <w:tcW w:w="761"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1EC08B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48</w:t>
            </w:r>
          </w:p>
        </w:tc>
        <w:tc>
          <w:tcPr>
            <w:tcW w:w="101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1CB504E">
            <w:pPr>
              <w:jc w:val="center"/>
              <w:rPr>
                <w:rFonts w:hint="eastAsia" w:ascii="宋体" w:hAnsi="宋体" w:eastAsia="宋体" w:cs="宋体"/>
                <w:i w:val="0"/>
                <w:iCs w:val="0"/>
                <w:color w:val="auto"/>
                <w:sz w:val="21"/>
                <w:szCs w:val="21"/>
                <w:u w:val="none"/>
              </w:rPr>
            </w:pPr>
          </w:p>
        </w:tc>
        <w:tc>
          <w:tcPr>
            <w:tcW w:w="83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46B2E9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25</w:t>
            </w:r>
          </w:p>
        </w:tc>
        <w:tc>
          <w:tcPr>
            <w:tcW w:w="785"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2EDDA0F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30990</w:t>
            </w:r>
          </w:p>
        </w:tc>
        <w:tc>
          <w:tcPr>
            <w:tcW w:w="89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1D95E7B3">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default" w:ascii="宋体" w:hAnsi="宋体" w:eastAsia="宋体" w:cs="宋体"/>
                <w:b/>
                <w:bCs/>
                <w:i w:val="0"/>
                <w:iCs w:val="0"/>
                <w:color w:val="auto"/>
                <w:kern w:val="0"/>
                <w:sz w:val="21"/>
                <w:szCs w:val="21"/>
                <w:u w:val="none"/>
                <w:lang w:val="en-US" w:eastAsia="zh-CN" w:bidi="ar"/>
              </w:rPr>
              <w:t>3</w:t>
            </w:r>
          </w:p>
        </w:tc>
        <w:tc>
          <w:tcPr>
            <w:tcW w:w="859"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5226E94">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default" w:ascii="宋体" w:hAnsi="宋体" w:eastAsia="宋体" w:cs="宋体"/>
                <w:b/>
                <w:bCs/>
                <w:i w:val="0"/>
                <w:iCs w:val="0"/>
                <w:color w:val="auto"/>
                <w:kern w:val="0"/>
                <w:sz w:val="21"/>
                <w:szCs w:val="21"/>
                <w:u w:val="none"/>
                <w:lang w:val="en-US" w:eastAsia="zh-CN" w:bidi="ar"/>
              </w:rPr>
              <w:t>22</w:t>
            </w:r>
          </w:p>
        </w:tc>
        <w:tc>
          <w:tcPr>
            <w:tcW w:w="8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36084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21</w:t>
            </w:r>
          </w:p>
        </w:tc>
        <w:tc>
          <w:tcPr>
            <w:tcW w:w="84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5BDB43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5563</w:t>
            </w:r>
          </w:p>
        </w:tc>
        <w:tc>
          <w:tcPr>
            <w:tcW w:w="818"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2E8DDF3">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22</w:t>
            </w:r>
          </w:p>
        </w:tc>
      </w:tr>
      <w:tr w14:paraId="7B175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9690" w:type="dxa"/>
            <w:gridSpan w:val="8"/>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9C614E3">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单价</w:t>
            </w:r>
          </w:p>
        </w:tc>
        <w:tc>
          <w:tcPr>
            <w:tcW w:w="785"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16D3781E">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89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25D3F07">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u w:val="none"/>
                <w:lang w:val="en-US" w:eastAsia="zh-CN" w:bidi="ar"/>
              </w:rPr>
            </w:pPr>
          </w:p>
        </w:tc>
        <w:tc>
          <w:tcPr>
            <w:tcW w:w="859"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924EBC3">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u w:val="none"/>
                <w:lang w:val="en-US" w:eastAsia="zh-CN" w:bidi="ar"/>
              </w:rPr>
            </w:pPr>
          </w:p>
        </w:tc>
        <w:tc>
          <w:tcPr>
            <w:tcW w:w="8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4D2CF50">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84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1CD4250B">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818"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1C2B8A7C">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p>
        </w:tc>
      </w:tr>
      <w:tr w14:paraId="1661C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9690" w:type="dxa"/>
            <w:gridSpan w:val="8"/>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37CF778">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合价</w:t>
            </w:r>
          </w:p>
        </w:tc>
        <w:tc>
          <w:tcPr>
            <w:tcW w:w="785"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B3A1A04">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890"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6FFA6CE">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u w:val="none"/>
                <w:lang w:val="en-US" w:eastAsia="zh-CN" w:bidi="ar"/>
              </w:rPr>
            </w:pPr>
          </w:p>
        </w:tc>
        <w:tc>
          <w:tcPr>
            <w:tcW w:w="859"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6513EF64">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u w:val="none"/>
                <w:lang w:val="en-US" w:eastAsia="zh-CN" w:bidi="ar"/>
              </w:rPr>
            </w:pPr>
          </w:p>
        </w:tc>
        <w:tc>
          <w:tcPr>
            <w:tcW w:w="873"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136089D5">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846"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0B94A29D">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p>
        </w:tc>
        <w:tc>
          <w:tcPr>
            <w:tcW w:w="818" w:type="dxa"/>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76F9156">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p>
        </w:tc>
      </w:tr>
      <w:tr w14:paraId="4BC43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9690" w:type="dxa"/>
            <w:gridSpan w:val="8"/>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3FD7CACA">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总价</w:t>
            </w:r>
          </w:p>
        </w:tc>
        <w:tc>
          <w:tcPr>
            <w:tcW w:w="5071" w:type="dxa"/>
            <w:gridSpan w:val="6"/>
            <w:tcBorders>
              <w:top w:val="single" w:color="000000" w:sz="2" w:space="0"/>
              <w:left w:val="single" w:color="000000" w:sz="2" w:space="0"/>
              <w:bottom w:val="single" w:color="000000" w:sz="2" w:space="0"/>
              <w:right w:val="single" w:color="000000" w:sz="2" w:space="0"/>
            </w:tcBorders>
            <w:shd w:val="clear" w:color="auto" w:fill="FFFFFF" w:themeFill="background1"/>
            <w:vAlign w:val="center"/>
          </w:tcPr>
          <w:p w14:paraId="5134AC6A">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p>
        </w:tc>
      </w:tr>
    </w:tbl>
    <w:p w14:paraId="3A75E23D">
      <w:pPr>
        <w:pStyle w:val="3"/>
        <w:spacing w:line="360" w:lineRule="auto"/>
        <w:ind w:left="-178" w:leftChars="-85"/>
        <w:rPr>
          <w:rFonts w:hint="eastAsia" w:cs="仿宋" w:asciiTheme="majorEastAsia" w:hAnsiTheme="majorEastAsia" w:eastAsiaTheme="majorEastAsia"/>
          <w:color w:val="auto"/>
          <w:highlight w:val="none"/>
        </w:rPr>
      </w:pPr>
    </w:p>
    <w:p w14:paraId="4FD10D24">
      <w:pPr>
        <w:pStyle w:val="3"/>
        <w:spacing w:line="360" w:lineRule="auto"/>
        <w:ind w:left="-178" w:leftChars="-85"/>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注：</w:t>
      </w:r>
    </w:p>
    <w:p w14:paraId="763CEF9A">
      <w:pPr>
        <w:pStyle w:val="3"/>
        <w:spacing w:line="360" w:lineRule="auto"/>
        <w:ind w:left="-178" w:leftChars="-85"/>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1.本表格仅供参考，投标人可根据项目实际情况扩展表格。</w:t>
      </w:r>
    </w:p>
    <w:p w14:paraId="5EBCC0B9">
      <w:pPr>
        <w:pStyle w:val="3"/>
        <w:spacing w:line="360" w:lineRule="auto"/>
        <w:ind w:left="-178" w:leftChars="-85"/>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2.投标总价应与开标一览表的投标报价一致。</w:t>
      </w:r>
    </w:p>
    <w:p w14:paraId="0FAD9C36">
      <w:pPr>
        <w:spacing w:line="360" w:lineRule="auto"/>
        <w:rPr>
          <w:rFonts w:cs="仿宋" w:asciiTheme="majorEastAsia" w:hAnsiTheme="majorEastAsia" w:eastAsiaTheme="majorEastAsia"/>
          <w:color w:val="auto"/>
          <w:sz w:val="24"/>
          <w:highlight w:val="none"/>
        </w:rPr>
      </w:pPr>
    </w:p>
    <w:p w14:paraId="5D5D9B98">
      <w:pP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法定代表人或其授权委托人（签名或印章）：        </w:t>
      </w:r>
    </w:p>
    <w:p w14:paraId="673F7032">
      <w:pP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投标人（盖章）：         </w:t>
      </w:r>
    </w:p>
    <w:p w14:paraId="394A8125">
      <w:pPr>
        <w:pStyle w:val="36"/>
        <w:keepNext w:val="0"/>
        <w:pageBreakBefore w:val="0"/>
        <w:tabs>
          <w:tab w:val="clear" w:pos="720"/>
        </w:tabs>
        <w:snapToGrid w:val="0"/>
        <w:spacing w:before="120" w:after="120"/>
        <w:ind w:firstLine="3840" w:firstLineChars="1600"/>
        <w:jc w:val="both"/>
        <w:outlineLvl w:val="9"/>
        <w:rPr>
          <w:rFonts w:hint="eastAsia" w:cs="仿宋" w:asciiTheme="majorEastAsia" w:hAnsiTheme="majorEastAsia" w:eastAsiaTheme="majorEastAsia"/>
          <w:color w:val="auto"/>
          <w:kern w:val="2"/>
          <w:sz w:val="32"/>
          <w:szCs w:val="32"/>
          <w:highlight w:val="none"/>
        </w:rPr>
        <w:sectPr>
          <w:pgSz w:w="16838" w:h="11906" w:orient="landscape"/>
          <w:pgMar w:top="1800" w:right="1440" w:bottom="1800" w:left="1440" w:header="851" w:footer="992" w:gutter="0"/>
          <w:cols w:space="425" w:num="1"/>
          <w:docGrid w:type="lines" w:linePitch="312" w:charSpace="0"/>
        </w:sectPr>
      </w:pPr>
      <w:r>
        <w:rPr>
          <w:rFonts w:hint="eastAsia" w:cs="仿宋" w:asciiTheme="majorEastAsia" w:hAnsiTheme="majorEastAsia" w:eastAsiaTheme="majorEastAsia"/>
          <w:b w:val="0"/>
          <w:color w:val="auto"/>
          <w:kern w:val="2"/>
          <w:sz w:val="24"/>
          <w:szCs w:val="24"/>
          <w:highlight w:val="none"/>
        </w:rPr>
        <w:t>日  期：</w:t>
      </w:r>
    </w:p>
    <w:p w14:paraId="3FAF860A">
      <w:pPr>
        <w:pStyle w:val="36"/>
        <w:keepNext w:val="0"/>
        <w:pageBreakBefore w:val="0"/>
        <w:tabs>
          <w:tab w:val="clear" w:pos="720"/>
        </w:tabs>
        <w:snapToGrid w:val="0"/>
        <w:spacing w:before="120" w:after="120"/>
        <w:outlineLvl w:val="9"/>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kern w:val="2"/>
          <w:sz w:val="32"/>
          <w:szCs w:val="32"/>
          <w:highlight w:val="none"/>
        </w:rPr>
        <w:t>三、</w:t>
      </w:r>
      <w:r>
        <w:rPr>
          <w:rFonts w:hint="eastAsia" w:cs="仿宋" w:asciiTheme="majorEastAsia" w:hAnsiTheme="majorEastAsia" w:eastAsiaTheme="majorEastAsia"/>
          <w:color w:val="auto"/>
          <w:sz w:val="32"/>
          <w:szCs w:val="32"/>
          <w:highlight w:val="none"/>
        </w:rPr>
        <w:t>中小企业声明函</w:t>
      </w:r>
    </w:p>
    <w:p w14:paraId="1BF1DE7E">
      <w:pPr>
        <w:widowControl/>
        <w:spacing w:line="360" w:lineRule="auto"/>
        <w:ind w:firstLine="120" w:firstLineChars="50"/>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750D6D46">
      <w:pPr>
        <w:spacing w:line="360" w:lineRule="auto"/>
        <w:jc w:val="center"/>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32"/>
          <w:szCs w:val="32"/>
          <w:highlight w:val="none"/>
        </w:rPr>
        <w:t>中小企业声明函</w:t>
      </w:r>
    </w:p>
    <w:p w14:paraId="4C91EE2A">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本公司（联合体）郑重声明，根据《政府采购促进中小企业发展管理办法》（财库﹝2020﹞46 号）的规定，本公司（联合体）参加 （单位名称） 的 （项目名称） 采购活动，提供的</w:t>
      </w:r>
      <w:r>
        <w:rPr>
          <w:rFonts w:hint="eastAsia" w:cs="仿宋" w:asciiTheme="majorEastAsia" w:hAnsiTheme="majorEastAsia" w:eastAsiaTheme="majorEastAsia"/>
          <w:color w:val="auto"/>
          <w:sz w:val="24"/>
          <w:highlight w:val="none"/>
          <w:u w:val="single"/>
          <w:lang w:val="en-US" w:eastAsia="zh-CN"/>
        </w:rPr>
        <w:t>服务</w:t>
      </w:r>
      <w:r>
        <w:rPr>
          <w:rFonts w:hint="eastAsia" w:cs="仿宋" w:asciiTheme="majorEastAsia" w:hAnsiTheme="majorEastAsia" w:eastAsiaTheme="majorEastAsia"/>
          <w:color w:val="auto"/>
          <w:sz w:val="24"/>
          <w:highlight w:val="none"/>
        </w:rPr>
        <w:t>全部由符合政策要求的中小企业</w:t>
      </w:r>
      <w:r>
        <w:rPr>
          <w:rFonts w:hint="eastAsia" w:cs="仿宋" w:asciiTheme="majorEastAsia" w:hAnsiTheme="majorEastAsia" w:eastAsiaTheme="majorEastAsia"/>
          <w:color w:val="auto"/>
          <w:sz w:val="24"/>
          <w:highlight w:val="none"/>
          <w:u w:val="single"/>
          <w:lang w:val="en-US" w:eastAsia="zh-CN"/>
        </w:rPr>
        <w:t>承接</w:t>
      </w:r>
      <w:r>
        <w:rPr>
          <w:rFonts w:hint="eastAsia" w:cs="仿宋" w:asciiTheme="majorEastAsia" w:hAnsiTheme="majorEastAsia" w:eastAsiaTheme="majorEastAsia"/>
          <w:color w:val="auto"/>
          <w:sz w:val="24"/>
          <w:highlight w:val="none"/>
        </w:rPr>
        <w:t>。相关企业（含联合体中的中小企业、签订分包意向协议的中小企业）的具体情况如下：</w:t>
      </w:r>
    </w:p>
    <w:p w14:paraId="62294CFE">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r>
        <w:rPr>
          <w:rFonts w:hint="eastAsia" w:cs="仿宋" w:asciiTheme="majorEastAsia" w:hAnsiTheme="majorEastAsia" w:eastAsiaTheme="majorEastAsia"/>
          <w:color w:val="auto"/>
          <w:highlight w:val="none"/>
        </w:rPr>
        <w:t xml:space="preserve"> </w:t>
      </w:r>
      <w:r>
        <w:rPr>
          <w:rFonts w:hint="eastAsia" w:cs="仿宋" w:asciiTheme="majorEastAsia" w:hAnsiTheme="majorEastAsia" w:eastAsiaTheme="majorEastAsia"/>
          <w:color w:val="auto"/>
          <w:sz w:val="24"/>
          <w:highlight w:val="none"/>
          <w:u w:val="single"/>
        </w:rPr>
        <w:t>（标的名称）</w:t>
      </w:r>
      <w:r>
        <w:rPr>
          <w:rFonts w:hint="eastAsia" w:cs="仿宋" w:asciiTheme="majorEastAsia" w:hAnsiTheme="majorEastAsia" w:eastAsiaTheme="majorEastAsia"/>
          <w:color w:val="auto"/>
          <w:sz w:val="24"/>
          <w:highlight w:val="none"/>
        </w:rPr>
        <w:t xml:space="preserve"> ，属于 </w:t>
      </w:r>
      <w:r>
        <w:rPr>
          <w:rFonts w:hint="eastAsia" w:cs="仿宋" w:asciiTheme="majorEastAsia" w:hAnsiTheme="majorEastAsia" w:eastAsiaTheme="majorEastAsia"/>
          <w:color w:val="auto"/>
          <w:sz w:val="24"/>
          <w:highlight w:val="none"/>
          <w:u w:val="single"/>
        </w:rPr>
        <w:t>（其他未列明行业）</w:t>
      </w:r>
      <w:r>
        <w:rPr>
          <w:rFonts w:hint="eastAsia" w:cs="仿宋" w:asciiTheme="majorEastAsia" w:hAnsiTheme="majorEastAsia" w:eastAsiaTheme="majorEastAsia"/>
          <w:color w:val="auto"/>
          <w:sz w:val="24"/>
          <w:highlight w:val="none"/>
        </w:rPr>
        <w:t>行业 ；</w:t>
      </w:r>
      <w:r>
        <w:rPr>
          <w:rFonts w:hint="eastAsia" w:cs="仿宋" w:asciiTheme="majorEastAsia" w:hAnsiTheme="majorEastAsia" w:eastAsiaTheme="majorEastAsia"/>
          <w:color w:val="auto"/>
          <w:sz w:val="24"/>
          <w:highlight w:val="none"/>
          <w:u w:val="none"/>
          <w:lang w:val="en-US" w:eastAsia="zh-CN"/>
        </w:rPr>
        <w:t>承接企业</w:t>
      </w:r>
      <w:r>
        <w:rPr>
          <w:rFonts w:hint="eastAsia" w:cs="仿宋" w:asciiTheme="majorEastAsia" w:hAnsiTheme="majorEastAsia" w:eastAsiaTheme="majorEastAsia"/>
          <w:color w:val="auto"/>
          <w:sz w:val="24"/>
          <w:highlight w:val="none"/>
        </w:rPr>
        <w:t>为</w:t>
      </w:r>
      <w:r>
        <w:rPr>
          <w:rFonts w:hint="eastAsia" w:cs="仿宋" w:asciiTheme="majorEastAsia" w:hAnsiTheme="majorEastAsia" w:eastAsiaTheme="majorEastAsia"/>
          <w:color w:val="auto"/>
          <w:sz w:val="24"/>
          <w:highlight w:val="none"/>
          <w:u w:val="single"/>
        </w:rPr>
        <w:t xml:space="preserve"> （企业名称）</w:t>
      </w:r>
      <w:r>
        <w:rPr>
          <w:rFonts w:hint="eastAsia" w:cs="仿宋" w:asciiTheme="majorEastAsia" w:hAnsiTheme="majorEastAsia" w:eastAsiaTheme="majorEastAsia"/>
          <w:color w:val="auto"/>
          <w:sz w:val="24"/>
          <w:highlight w:val="none"/>
        </w:rPr>
        <w:t xml:space="preserve"> ，从业人员</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人，营业收入为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万元，资产总额为</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万元，属于</w:t>
      </w:r>
      <w:r>
        <w:rPr>
          <w:rFonts w:hint="eastAsia" w:cs="仿宋" w:asciiTheme="majorEastAsia" w:hAnsiTheme="majorEastAsia" w:eastAsiaTheme="majorEastAsia"/>
          <w:color w:val="auto"/>
          <w:sz w:val="24"/>
          <w:highlight w:val="none"/>
          <w:u w:val="single"/>
        </w:rPr>
        <w:t xml:space="preserve"> （中型企业、小型企业、微型企业）</w:t>
      </w:r>
      <w:r>
        <w:rPr>
          <w:rFonts w:hint="eastAsia" w:cs="仿宋" w:asciiTheme="majorEastAsia" w:hAnsiTheme="majorEastAsia" w:eastAsiaTheme="majorEastAsia"/>
          <w:color w:val="auto"/>
          <w:sz w:val="24"/>
          <w:highlight w:val="none"/>
        </w:rPr>
        <w:t xml:space="preserve"> ；</w:t>
      </w:r>
    </w:p>
    <w:p w14:paraId="4A4EA7F1">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w:t>
      </w:r>
    </w:p>
    <w:p w14:paraId="5A76DC2D">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以上企业，不属于大企业的分支机构，不存在控股股东为大企业的情形，也不存在与大企业的负责人为同一人的情形。</w:t>
      </w:r>
    </w:p>
    <w:p w14:paraId="49B03EC9">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本企业对上述声明内容的真实性负责。如有虚假，将依法承担相应责任。</w:t>
      </w:r>
    </w:p>
    <w:p w14:paraId="7C080D7B">
      <w:pPr>
        <w:snapToGrid w:val="0"/>
        <w:spacing w:line="360" w:lineRule="auto"/>
        <w:ind w:firstLine="5160" w:firstLineChars="2150"/>
        <w:rPr>
          <w:rFonts w:cs="仿宋" w:asciiTheme="majorEastAsia" w:hAnsiTheme="majorEastAsia" w:eastAsiaTheme="majorEastAsia"/>
          <w:color w:val="auto"/>
          <w:kern w:val="0"/>
          <w:sz w:val="24"/>
          <w:highlight w:val="none"/>
          <w:lang w:val="zh-CN"/>
        </w:rPr>
      </w:pPr>
    </w:p>
    <w:p w14:paraId="4D3D2F04">
      <w:pP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法定代表人或其授权委托人（签名或印章）：        </w:t>
      </w:r>
    </w:p>
    <w:p w14:paraId="0412D2D6">
      <w:pP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投标人（盖章）：         </w:t>
      </w:r>
    </w:p>
    <w:p w14:paraId="05713AB8">
      <w:pP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日  期：</w:t>
      </w:r>
    </w:p>
    <w:p w14:paraId="629004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仿宋" w:asciiTheme="majorEastAsia" w:hAnsiTheme="majorEastAsia" w:eastAsiaTheme="majorEastAsia"/>
          <w:color w:val="auto"/>
          <w:sz w:val="18"/>
          <w:szCs w:val="18"/>
          <w:highlight w:val="none"/>
        </w:rPr>
      </w:pPr>
      <w:r>
        <w:rPr>
          <w:rFonts w:hint="eastAsia" w:cs="仿宋" w:asciiTheme="majorEastAsia" w:hAnsiTheme="majorEastAsia" w:eastAsiaTheme="majorEastAsia"/>
          <w:color w:val="auto"/>
          <w:sz w:val="24"/>
          <w:highlight w:val="none"/>
        </w:rPr>
        <w:t>从业人员、营业收入、资产总额填报上一年度数据，无上一年度数据的新成立企业可不填报。</w:t>
      </w:r>
    </w:p>
    <w:p w14:paraId="65716772">
      <w:pPr>
        <w:spacing w:line="360" w:lineRule="auto"/>
        <w:ind w:right="-420" w:rightChars="-200" w:firstLine="480" w:firstLineChars="200"/>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color w:val="auto"/>
          <w:sz w:val="24"/>
          <w:highlight w:val="none"/>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34B187D">
      <w:pPr>
        <w:spacing w:line="360" w:lineRule="auto"/>
        <w:jc w:val="center"/>
        <w:rPr>
          <w:rFonts w:cs="仿宋" w:asciiTheme="majorEastAsia" w:hAnsiTheme="majorEastAsia" w:eastAsiaTheme="majorEastAsia"/>
          <w:b/>
          <w:bCs/>
          <w:color w:val="auto"/>
          <w:sz w:val="32"/>
          <w:szCs w:val="32"/>
          <w:highlight w:val="none"/>
        </w:rPr>
      </w:pPr>
      <w:r>
        <w:rPr>
          <w:rFonts w:hint="eastAsia" w:cs="仿宋" w:asciiTheme="majorEastAsia" w:hAnsiTheme="majorEastAsia" w:eastAsiaTheme="majorEastAsia"/>
          <w:b/>
          <w:color w:val="auto"/>
          <w:sz w:val="32"/>
          <w:szCs w:val="32"/>
          <w:highlight w:val="none"/>
        </w:rPr>
        <w:br w:type="page"/>
      </w:r>
    </w:p>
    <w:p w14:paraId="02927E62">
      <w:pPr>
        <w:spacing w:line="360" w:lineRule="auto"/>
        <w:jc w:val="center"/>
        <w:rPr>
          <w:rFonts w:hint="eastAsia" w:cs="仿宋" w:asciiTheme="majorEastAsia" w:hAnsiTheme="majorEastAsia" w:eastAsiaTheme="majorEastAsia"/>
          <w:b/>
          <w:bCs/>
          <w:color w:val="auto"/>
          <w:sz w:val="32"/>
          <w:szCs w:val="32"/>
          <w:highlight w:val="none"/>
        </w:rPr>
        <w:sectPr>
          <w:pgSz w:w="11906" w:h="16838"/>
          <w:pgMar w:top="1440" w:right="1800" w:bottom="1440" w:left="1800" w:header="851" w:footer="992" w:gutter="0"/>
          <w:cols w:space="425" w:num="1"/>
          <w:docGrid w:type="lines" w:linePitch="312" w:charSpace="0"/>
        </w:sectPr>
      </w:pPr>
    </w:p>
    <w:tbl>
      <w:tblPr>
        <w:tblStyle w:val="19"/>
        <w:tblW w:w="15014" w:type="dxa"/>
        <w:tblInd w:w="-176" w:type="dxa"/>
        <w:tblLayout w:type="fixed"/>
        <w:tblCellMar>
          <w:top w:w="0" w:type="dxa"/>
          <w:left w:w="108" w:type="dxa"/>
          <w:bottom w:w="0" w:type="dxa"/>
          <w:right w:w="108" w:type="dxa"/>
        </w:tblCellMar>
      </w:tblPr>
      <w:tblGrid>
        <w:gridCol w:w="1985"/>
        <w:gridCol w:w="1498"/>
        <w:gridCol w:w="1763"/>
        <w:gridCol w:w="1660"/>
        <w:gridCol w:w="1324"/>
        <w:gridCol w:w="1552"/>
        <w:gridCol w:w="1520"/>
        <w:gridCol w:w="1285"/>
        <w:gridCol w:w="1275"/>
        <w:gridCol w:w="1152"/>
      </w:tblGrid>
      <w:tr w14:paraId="2FA91CBE">
        <w:tblPrEx>
          <w:tblCellMar>
            <w:top w:w="0" w:type="dxa"/>
            <w:left w:w="108" w:type="dxa"/>
            <w:bottom w:w="0" w:type="dxa"/>
            <w:right w:w="108" w:type="dxa"/>
          </w:tblCellMar>
        </w:tblPrEx>
        <w:trPr>
          <w:trHeight w:val="323" w:hRule="atLeast"/>
        </w:trPr>
        <w:tc>
          <w:tcPr>
            <w:tcW w:w="15014" w:type="dxa"/>
            <w:gridSpan w:val="10"/>
            <w:tcBorders>
              <w:top w:val="nil"/>
              <w:left w:val="nil"/>
              <w:bottom w:val="nil"/>
              <w:right w:val="nil"/>
            </w:tcBorders>
            <w:noWrap w:val="0"/>
            <w:vAlign w:val="bottom"/>
          </w:tcPr>
          <w:p w14:paraId="0029299D">
            <w:pPr>
              <w:widowControl/>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24"/>
                <w:highlight w:val="none"/>
              </w:rPr>
              <w:t>中小微行业划型标准规定（根据工信部联企业〔2011〕300号制定）</w:t>
            </w:r>
          </w:p>
        </w:tc>
      </w:tr>
      <w:tr w14:paraId="5E252D1D">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noWrap w:val="0"/>
            <w:vAlign w:val="center"/>
          </w:tcPr>
          <w:p w14:paraId="24259C0F">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行业</w:t>
            </w:r>
          </w:p>
        </w:tc>
        <w:tc>
          <w:tcPr>
            <w:tcW w:w="4921" w:type="dxa"/>
            <w:gridSpan w:val="3"/>
            <w:tcBorders>
              <w:top w:val="single" w:color="auto" w:sz="8" w:space="0"/>
              <w:left w:val="nil"/>
              <w:bottom w:val="single" w:color="auto" w:sz="4" w:space="0"/>
              <w:right w:val="single" w:color="000000" w:sz="8" w:space="0"/>
            </w:tcBorders>
            <w:noWrap w:val="0"/>
            <w:vAlign w:val="bottom"/>
          </w:tcPr>
          <w:p w14:paraId="26A76368">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中型企业</w:t>
            </w:r>
          </w:p>
        </w:tc>
        <w:tc>
          <w:tcPr>
            <w:tcW w:w="4396" w:type="dxa"/>
            <w:gridSpan w:val="3"/>
            <w:tcBorders>
              <w:top w:val="single" w:color="auto" w:sz="8" w:space="0"/>
              <w:left w:val="nil"/>
              <w:bottom w:val="single" w:color="auto" w:sz="4" w:space="0"/>
              <w:right w:val="single" w:color="000000" w:sz="8" w:space="0"/>
            </w:tcBorders>
            <w:noWrap w:val="0"/>
            <w:vAlign w:val="bottom"/>
          </w:tcPr>
          <w:p w14:paraId="3BB94BE4">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小型企业</w:t>
            </w:r>
          </w:p>
        </w:tc>
        <w:tc>
          <w:tcPr>
            <w:tcW w:w="3712" w:type="dxa"/>
            <w:gridSpan w:val="3"/>
            <w:tcBorders>
              <w:top w:val="single" w:color="auto" w:sz="8" w:space="0"/>
              <w:left w:val="nil"/>
              <w:bottom w:val="single" w:color="auto" w:sz="4" w:space="0"/>
              <w:right w:val="single" w:color="000000" w:sz="8" w:space="0"/>
            </w:tcBorders>
            <w:noWrap w:val="0"/>
            <w:vAlign w:val="bottom"/>
          </w:tcPr>
          <w:p w14:paraId="14771527">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微型企业</w:t>
            </w:r>
          </w:p>
        </w:tc>
      </w:tr>
      <w:tr w14:paraId="09437569">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noWrap w:val="0"/>
            <w:vAlign w:val="center"/>
          </w:tcPr>
          <w:p w14:paraId="71CD9B56">
            <w:pPr>
              <w:widowControl/>
              <w:jc w:val="left"/>
              <w:rPr>
                <w:rFonts w:hint="eastAsia" w:ascii="仿宋" w:hAnsi="仿宋" w:eastAsia="仿宋" w:cs="仿宋"/>
                <w:b/>
                <w:bCs/>
                <w:color w:val="auto"/>
                <w:kern w:val="0"/>
                <w:sz w:val="24"/>
                <w:highlight w:val="none"/>
              </w:rPr>
            </w:pPr>
          </w:p>
        </w:tc>
        <w:tc>
          <w:tcPr>
            <w:tcW w:w="1498" w:type="dxa"/>
            <w:tcBorders>
              <w:top w:val="nil"/>
              <w:left w:val="nil"/>
              <w:bottom w:val="single" w:color="auto" w:sz="4" w:space="0"/>
              <w:right w:val="single" w:color="auto" w:sz="4" w:space="0"/>
            </w:tcBorders>
            <w:noWrap w:val="0"/>
            <w:vAlign w:val="bottom"/>
          </w:tcPr>
          <w:p w14:paraId="0F7E74E4">
            <w:pPr>
              <w:widowControl/>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从业人员X（人）</w:t>
            </w:r>
          </w:p>
        </w:tc>
        <w:tc>
          <w:tcPr>
            <w:tcW w:w="1763" w:type="dxa"/>
            <w:tcBorders>
              <w:top w:val="nil"/>
              <w:left w:val="nil"/>
              <w:bottom w:val="single" w:color="auto" w:sz="4" w:space="0"/>
              <w:right w:val="single" w:color="auto" w:sz="4" w:space="0"/>
            </w:tcBorders>
            <w:noWrap w:val="0"/>
            <w:vAlign w:val="bottom"/>
          </w:tcPr>
          <w:p w14:paraId="2A4E8379">
            <w:pPr>
              <w:widowControl/>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营业收入Y</w:t>
            </w:r>
          </w:p>
          <w:p w14:paraId="7491EA2F">
            <w:pPr>
              <w:widowControl/>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（万元）</w:t>
            </w:r>
          </w:p>
        </w:tc>
        <w:tc>
          <w:tcPr>
            <w:tcW w:w="1660" w:type="dxa"/>
            <w:tcBorders>
              <w:top w:val="nil"/>
              <w:left w:val="nil"/>
              <w:bottom w:val="single" w:color="auto" w:sz="4" w:space="0"/>
              <w:right w:val="single" w:color="auto" w:sz="8" w:space="0"/>
            </w:tcBorders>
            <w:noWrap w:val="0"/>
            <w:vAlign w:val="bottom"/>
          </w:tcPr>
          <w:p w14:paraId="1C28A894">
            <w:pPr>
              <w:widowControl/>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资产总额Z</w:t>
            </w:r>
          </w:p>
          <w:p w14:paraId="0EC247BF">
            <w:pPr>
              <w:widowControl/>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（万元）</w:t>
            </w:r>
          </w:p>
        </w:tc>
        <w:tc>
          <w:tcPr>
            <w:tcW w:w="1324" w:type="dxa"/>
            <w:tcBorders>
              <w:top w:val="nil"/>
              <w:left w:val="nil"/>
              <w:bottom w:val="single" w:color="auto" w:sz="4" w:space="0"/>
              <w:right w:val="single" w:color="auto" w:sz="4" w:space="0"/>
            </w:tcBorders>
            <w:noWrap w:val="0"/>
            <w:vAlign w:val="bottom"/>
          </w:tcPr>
          <w:p w14:paraId="3D24E08D">
            <w:pPr>
              <w:widowControl/>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从业人员X（人）</w:t>
            </w:r>
          </w:p>
        </w:tc>
        <w:tc>
          <w:tcPr>
            <w:tcW w:w="1552" w:type="dxa"/>
            <w:tcBorders>
              <w:top w:val="nil"/>
              <w:left w:val="nil"/>
              <w:bottom w:val="single" w:color="auto" w:sz="4" w:space="0"/>
              <w:right w:val="single" w:color="auto" w:sz="4" w:space="0"/>
            </w:tcBorders>
            <w:noWrap w:val="0"/>
            <w:vAlign w:val="bottom"/>
          </w:tcPr>
          <w:p w14:paraId="65AA4E77">
            <w:pPr>
              <w:widowControl/>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营业收入Y</w:t>
            </w:r>
          </w:p>
          <w:p w14:paraId="3571278B">
            <w:pPr>
              <w:widowControl/>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（万元）</w:t>
            </w:r>
          </w:p>
        </w:tc>
        <w:tc>
          <w:tcPr>
            <w:tcW w:w="1520" w:type="dxa"/>
            <w:tcBorders>
              <w:top w:val="nil"/>
              <w:left w:val="nil"/>
              <w:bottom w:val="single" w:color="auto" w:sz="4" w:space="0"/>
              <w:right w:val="single" w:color="auto" w:sz="8" w:space="0"/>
            </w:tcBorders>
            <w:noWrap w:val="0"/>
            <w:vAlign w:val="bottom"/>
          </w:tcPr>
          <w:p w14:paraId="5E89462B">
            <w:pPr>
              <w:widowControl/>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资产总额Z</w:t>
            </w:r>
          </w:p>
          <w:p w14:paraId="047226A4">
            <w:pPr>
              <w:widowControl/>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（万元）</w:t>
            </w:r>
          </w:p>
        </w:tc>
        <w:tc>
          <w:tcPr>
            <w:tcW w:w="1285" w:type="dxa"/>
            <w:tcBorders>
              <w:top w:val="nil"/>
              <w:left w:val="nil"/>
              <w:bottom w:val="single" w:color="auto" w:sz="4" w:space="0"/>
              <w:right w:val="single" w:color="auto" w:sz="4" w:space="0"/>
            </w:tcBorders>
            <w:noWrap w:val="0"/>
            <w:vAlign w:val="bottom"/>
          </w:tcPr>
          <w:p w14:paraId="497B4903">
            <w:pPr>
              <w:widowControl/>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从业人员X（人）</w:t>
            </w:r>
          </w:p>
        </w:tc>
        <w:tc>
          <w:tcPr>
            <w:tcW w:w="1275" w:type="dxa"/>
            <w:tcBorders>
              <w:top w:val="nil"/>
              <w:left w:val="nil"/>
              <w:bottom w:val="single" w:color="auto" w:sz="4" w:space="0"/>
              <w:right w:val="single" w:color="auto" w:sz="4" w:space="0"/>
            </w:tcBorders>
            <w:noWrap w:val="0"/>
            <w:vAlign w:val="bottom"/>
          </w:tcPr>
          <w:p w14:paraId="2F3FEBA8">
            <w:pPr>
              <w:widowControl/>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营业收入Y（万元）</w:t>
            </w:r>
          </w:p>
        </w:tc>
        <w:tc>
          <w:tcPr>
            <w:tcW w:w="1152" w:type="dxa"/>
            <w:tcBorders>
              <w:top w:val="nil"/>
              <w:left w:val="nil"/>
              <w:bottom w:val="single" w:color="auto" w:sz="4" w:space="0"/>
              <w:right w:val="single" w:color="auto" w:sz="8" w:space="0"/>
            </w:tcBorders>
            <w:noWrap w:val="0"/>
            <w:vAlign w:val="bottom"/>
          </w:tcPr>
          <w:p w14:paraId="72AD97C4">
            <w:pPr>
              <w:widowControl/>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资产总额Z（万元）</w:t>
            </w:r>
          </w:p>
        </w:tc>
      </w:tr>
      <w:tr w14:paraId="5A190E1D">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499E0DC5">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1、农林牧渔业</w:t>
            </w:r>
          </w:p>
        </w:tc>
        <w:tc>
          <w:tcPr>
            <w:tcW w:w="1498" w:type="dxa"/>
            <w:tcBorders>
              <w:top w:val="nil"/>
              <w:left w:val="nil"/>
              <w:bottom w:val="single" w:color="auto" w:sz="4" w:space="0"/>
              <w:right w:val="single" w:color="auto" w:sz="4" w:space="0"/>
            </w:tcBorders>
            <w:noWrap w:val="0"/>
            <w:vAlign w:val="bottom"/>
          </w:tcPr>
          <w:p w14:paraId="2C2BAC90">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763" w:type="dxa"/>
            <w:tcBorders>
              <w:top w:val="nil"/>
              <w:left w:val="nil"/>
              <w:bottom w:val="single" w:color="auto" w:sz="4" w:space="0"/>
              <w:right w:val="single" w:color="auto" w:sz="4" w:space="0"/>
            </w:tcBorders>
            <w:noWrap w:val="0"/>
            <w:vAlign w:val="bottom"/>
          </w:tcPr>
          <w:p w14:paraId="58FCE460">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500≤Y＜20000</w:t>
            </w:r>
          </w:p>
        </w:tc>
        <w:tc>
          <w:tcPr>
            <w:tcW w:w="1660" w:type="dxa"/>
            <w:tcBorders>
              <w:top w:val="nil"/>
              <w:left w:val="nil"/>
              <w:bottom w:val="single" w:color="auto" w:sz="4" w:space="0"/>
              <w:right w:val="single" w:color="auto" w:sz="8" w:space="0"/>
            </w:tcBorders>
            <w:noWrap w:val="0"/>
            <w:vAlign w:val="bottom"/>
          </w:tcPr>
          <w:p w14:paraId="055FE6DF">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324" w:type="dxa"/>
            <w:tcBorders>
              <w:top w:val="nil"/>
              <w:left w:val="nil"/>
              <w:bottom w:val="single" w:color="auto" w:sz="4" w:space="0"/>
              <w:right w:val="single" w:color="auto" w:sz="4" w:space="0"/>
            </w:tcBorders>
            <w:noWrap w:val="0"/>
            <w:vAlign w:val="bottom"/>
          </w:tcPr>
          <w:p w14:paraId="4D74742B">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552" w:type="dxa"/>
            <w:tcBorders>
              <w:top w:val="nil"/>
              <w:left w:val="nil"/>
              <w:bottom w:val="single" w:color="auto" w:sz="4" w:space="0"/>
              <w:right w:val="single" w:color="auto" w:sz="4" w:space="0"/>
            </w:tcBorders>
            <w:noWrap w:val="0"/>
            <w:vAlign w:val="bottom"/>
          </w:tcPr>
          <w:p w14:paraId="21FD7124">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50≤Y＜500</w:t>
            </w:r>
          </w:p>
        </w:tc>
        <w:tc>
          <w:tcPr>
            <w:tcW w:w="1520" w:type="dxa"/>
            <w:tcBorders>
              <w:top w:val="nil"/>
              <w:left w:val="nil"/>
              <w:bottom w:val="single" w:color="auto" w:sz="4" w:space="0"/>
              <w:right w:val="single" w:color="auto" w:sz="8" w:space="0"/>
            </w:tcBorders>
            <w:noWrap w:val="0"/>
            <w:vAlign w:val="bottom"/>
          </w:tcPr>
          <w:p w14:paraId="4ADB30A2">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27D89CB5">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75" w:type="dxa"/>
            <w:tcBorders>
              <w:top w:val="nil"/>
              <w:left w:val="nil"/>
              <w:bottom w:val="single" w:color="auto" w:sz="4" w:space="0"/>
              <w:right w:val="single" w:color="auto" w:sz="4" w:space="0"/>
            </w:tcBorders>
            <w:noWrap w:val="0"/>
            <w:vAlign w:val="bottom"/>
          </w:tcPr>
          <w:p w14:paraId="5E3C1445">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Y＜50</w:t>
            </w:r>
          </w:p>
        </w:tc>
        <w:tc>
          <w:tcPr>
            <w:tcW w:w="1152" w:type="dxa"/>
            <w:tcBorders>
              <w:top w:val="nil"/>
              <w:left w:val="nil"/>
              <w:bottom w:val="single" w:color="auto" w:sz="4" w:space="0"/>
              <w:right w:val="single" w:color="auto" w:sz="8" w:space="0"/>
            </w:tcBorders>
            <w:noWrap w:val="0"/>
            <w:vAlign w:val="bottom"/>
          </w:tcPr>
          <w:p w14:paraId="31348D86">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r>
      <w:tr w14:paraId="30ADE67D">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0DA135C7">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2、工业</w:t>
            </w:r>
          </w:p>
        </w:tc>
        <w:tc>
          <w:tcPr>
            <w:tcW w:w="1498" w:type="dxa"/>
            <w:tcBorders>
              <w:top w:val="nil"/>
              <w:left w:val="nil"/>
              <w:bottom w:val="single" w:color="auto" w:sz="4" w:space="0"/>
              <w:right w:val="single" w:color="auto" w:sz="4" w:space="0"/>
            </w:tcBorders>
            <w:noWrap w:val="0"/>
            <w:vAlign w:val="bottom"/>
          </w:tcPr>
          <w:p w14:paraId="30480DF6">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300≤X＜1000</w:t>
            </w:r>
          </w:p>
        </w:tc>
        <w:tc>
          <w:tcPr>
            <w:tcW w:w="1763" w:type="dxa"/>
            <w:tcBorders>
              <w:top w:val="nil"/>
              <w:left w:val="nil"/>
              <w:bottom w:val="single" w:color="auto" w:sz="4" w:space="0"/>
              <w:right w:val="single" w:color="auto" w:sz="4" w:space="0"/>
            </w:tcBorders>
            <w:noWrap w:val="0"/>
            <w:vAlign w:val="bottom"/>
          </w:tcPr>
          <w:p w14:paraId="59F0E24E">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2000≤Y＜40000</w:t>
            </w:r>
          </w:p>
        </w:tc>
        <w:tc>
          <w:tcPr>
            <w:tcW w:w="1660" w:type="dxa"/>
            <w:tcBorders>
              <w:top w:val="nil"/>
              <w:left w:val="nil"/>
              <w:bottom w:val="single" w:color="auto" w:sz="4" w:space="0"/>
              <w:right w:val="single" w:color="auto" w:sz="8" w:space="0"/>
            </w:tcBorders>
            <w:noWrap w:val="0"/>
            <w:vAlign w:val="bottom"/>
          </w:tcPr>
          <w:p w14:paraId="2E617169">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324" w:type="dxa"/>
            <w:tcBorders>
              <w:top w:val="nil"/>
              <w:left w:val="nil"/>
              <w:bottom w:val="single" w:color="auto" w:sz="4" w:space="0"/>
              <w:right w:val="single" w:color="auto" w:sz="4" w:space="0"/>
            </w:tcBorders>
            <w:noWrap w:val="0"/>
            <w:vAlign w:val="bottom"/>
          </w:tcPr>
          <w:p w14:paraId="622CFB26">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20≤X＜300</w:t>
            </w:r>
          </w:p>
        </w:tc>
        <w:tc>
          <w:tcPr>
            <w:tcW w:w="1552" w:type="dxa"/>
            <w:tcBorders>
              <w:top w:val="nil"/>
              <w:left w:val="nil"/>
              <w:bottom w:val="single" w:color="auto" w:sz="4" w:space="0"/>
              <w:right w:val="single" w:color="auto" w:sz="4" w:space="0"/>
            </w:tcBorders>
            <w:noWrap w:val="0"/>
            <w:vAlign w:val="bottom"/>
          </w:tcPr>
          <w:p w14:paraId="7B3BD2AA">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300≤Y＜2000</w:t>
            </w:r>
          </w:p>
        </w:tc>
        <w:tc>
          <w:tcPr>
            <w:tcW w:w="1520" w:type="dxa"/>
            <w:tcBorders>
              <w:top w:val="nil"/>
              <w:left w:val="nil"/>
              <w:bottom w:val="single" w:color="auto" w:sz="4" w:space="0"/>
              <w:right w:val="single" w:color="auto" w:sz="8" w:space="0"/>
            </w:tcBorders>
            <w:noWrap w:val="0"/>
            <w:vAlign w:val="bottom"/>
          </w:tcPr>
          <w:p w14:paraId="5B62634E">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45C38B84">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X＜20</w:t>
            </w:r>
          </w:p>
        </w:tc>
        <w:tc>
          <w:tcPr>
            <w:tcW w:w="1275" w:type="dxa"/>
            <w:tcBorders>
              <w:top w:val="nil"/>
              <w:left w:val="nil"/>
              <w:bottom w:val="single" w:color="auto" w:sz="4" w:space="0"/>
              <w:right w:val="single" w:color="auto" w:sz="4" w:space="0"/>
            </w:tcBorders>
            <w:noWrap w:val="0"/>
            <w:vAlign w:val="bottom"/>
          </w:tcPr>
          <w:p w14:paraId="560EE8C8">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Y＜300</w:t>
            </w:r>
          </w:p>
        </w:tc>
        <w:tc>
          <w:tcPr>
            <w:tcW w:w="1152" w:type="dxa"/>
            <w:tcBorders>
              <w:top w:val="nil"/>
              <w:left w:val="nil"/>
              <w:bottom w:val="single" w:color="auto" w:sz="4" w:space="0"/>
              <w:right w:val="single" w:color="auto" w:sz="8" w:space="0"/>
            </w:tcBorders>
            <w:noWrap w:val="0"/>
            <w:vAlign w:val="bottom"/>
          </w:tcPr>
          <w:p w14:paraId="609B6CD9">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r>
      <w:tr w14:paraId="35D61995">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15EDEDC6">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3、建筑业</w:t>
            </w:r>
          </w:p>
        </w:tc>
        <w:tc>
          <w:tcPr>
            <w:tcW w:w="1498" w:type="dxa"/>
            <w:tcBorders>
              <w:top w:val="nil"/>
              <w:left w:val="nil"/>
              <w:bottom w:val="single" w:color="auto" w:sz="4" w:space="0"/>
              <w:right w:val="single" w:color="auto" w:sz="4" w:space="0"/>
            </w:tcBorders>
            <w:noWrap w:val="0"/>
            <w:vAlign w:val="bottom"/>
          </w:tcPr>
          <w:p w14:paraId="756666F5">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763" w:type="dxa"/>
            <w:tcBorders>
              <w:top w:val="nil"/>
              <w:left w:val="nil"/>
              <w:bottom w:val="single" w:color="auto" w:sz="4" w:space="0"/>
              <w:right w:val="single" w:color="auto" w:sz="4" w:space="0"/>
            </w:tcBorders>
            <w:noWrap w:val="0"/>
            <w:vAlign w:val="bottom"/>
          </w:tcPr>
          <w:p w14:paraId="50B2EB2E">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6000≤Y＜80000</w:t>
            </w:r>
          </w:p>
        </w:tc>
        <w:tc>
          <w:tcPr>
            <w:tcW w:w="1660" w:type="dxa"/>
            <w:tcBorders>
              <w:top w:val="nil"/>
              <w:left w:val="nil"/>
              <w:bottom w:val="single" w:color="auto" w:sz="4" w:space="0"/>
              <w:right w:val="single" w:color="auto" w:sz="8" w:space="0"/>
            </w:tcBorders>
            <w:noWrap w:val="0"/>
            <w:vAlign w:val="bottom"/>
          </w:tcPr>
          <w:p w14:paraId="7436960F">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5000≤Z＜80000</w:t>
            </w:r>
          </w:p>
        </w:tc>
        <w:tc>
          <w:tcPr>
            <w:tcW w:w="1324" w:type="dxa"/>
            <w:tcBorders>
              <w:top w:val="nil"/>
              <w:left w:val="nil"/>
              <w:bottom w:val="single" w:color="auto" w:sz="4" w:space="0"/>
              <w:right w:val="single" w:color="auto" w:sz="4" w:space="0"/>
            </w:tcBorders>
            <w:noWrap w:val="0"/>
            <w:vAlign w:val="bottom"/>
          </w:tcPr>
          <w:p w14:paraId="4E627619">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552" w:type="dxa"/>
            <w:tcBorders>
              <w:top w:val="nil"/>
              <w:left w:val="nil"/>
              <w:bottom w:val="single" w:color="auto" w:sz="4" w:space="0"/>
              <w:right w:val="single" w:color="auto" w:sz="4" w:space="0"/>
            </w:tcBorders>
            <w:noWrap w:val="0"/>
            <w:vAlign w:val="bottom"/>
          </w:tcPr>
          <w:p w14:paraId="684D2E80">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300≤Y＜6000</w:t>
            </w:r>
          </w:p>
        </w:tc>
        <w:tc>
          <w:tcPr>
            <w:tcW w:w="1520" w:type="dxa"/>
            <w:tcBorders>
              <w:top w:val="nil"/>
              <w:left w:val="nil"/>
              <w:bottom w:val="single" w:color="auto" w:sz="4" w:space="0"/>
              <w:right w:val="single" w:color="auto" w:sz="8" w:space="0"/>
            </w:tcBorders>
            <w:noWrap w:val="0"/>
            <w:vAlign w:val="bottom"/>
          </w:tcPr>
          <w:p w14:paraId="5FC0EBD7">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300≤Z＜5000</w:t>
            </w:r>
          </w:p>
        </w:tc>
        <w:tc>
          <w:tcPr>
            <w:tcW w:w="1285" w:type="dxa"/>
            <w:tcBorders>
              <w:top w:val="nil"/>
              <w:left w:val="nil"/>
              <w:bottom w:val="single" w:color="auto" w:sz="4" w:space="0"/>
              <w:right w:val="single" w:color="auto" w:sz="4" w:space="0"/>
            </w:tcBorders>
            <w:noWrap w:val="0"/>
            <w:vAlign w:val="bottom"/>
          </w:tcPr>
          <w:p w14:paraId="6014F9ED">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75" w:type="dxa"/>
            <w:tcBorders>
              <w:top w:val="nil"/>
              <w:left w:val="nil"/>
              <w:bottom w:val="single" w:color="auto" w:sz="4" w:space="0"/>
              <w:right w:val="single" w:color="auto" w:sz="4" w:space="0"/>
            </w:tcBorders>
            <w:noWrap w:val="0"/>
            <w:vAlign w:val="bottom"/>
          </w:tcPr>
          <w:p w14:paraId="17966582">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Y＜300</w:t>
            </w:r>
          </w:p>
        </w:tc>
        <w:tc>
          <w:tcPr>
            <w:tcW w:w="1152" w:type="dxa"/>
            <w:tcBorders>
              <w:top w:val="nil"/>
              <w:left w:val="nil"/>
              <w:bottom w:val="single" w:color="auto" w:sz="4" w:space="0"/>
              <w:right w:val="single" w:color="auto" w:sz="8" w:space="0"/>
            </w:tcBorders>
            <w:noWrap w:val="0"/>
            <w:vAlign w:val="bottom"/>
          </w:tcPr>
          <w:p w14:paraId="3C65C15F">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Z＜300</w:t>
            </w:r>
          </w:p>
        </w:tc>
      </w:tr>
      <w:tr w14:paraId="348FCD7E">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0724E835">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4、批发业</w:t>
            </w:r>
          </w:p>
        </w:tc>
        <w:tc>
          <w:tcPr>
            <w:tcW w:w="1498" w:type="dxa"/>
            <w:tcBorders>
              <w:top w:val="nil"/>
              <w:left w:val="nil"/>
              <w:bottom w:val="single" w:color="auto" w:sz="4" w:space="0"/>
              <w:right w:val="single" w:color="auto" w:sz="4" w:space="0"/>
            </w:tcBorders>
            <w:noWrap w:val="0"/>
            <w:vAlign w:val="bottom"/>
          </w:tcPr>
          <w:p w14:paraId="54E1DFE6">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20≤X＜200</w:t>
            </w:r>
          </w:p>
        </w:tc>
        <w:tc>
          <w:tcPr>
            <w:tcW w:w="1763" w:type="dxa"/>
            <w:tcBorders>
              <w:top w:val="nil"/>
              <w:left w:val="nil"/>
              <w:bottom w:val="single" w:color="auto" w:sz="4" w:space="0"/>
              <w:right w:val="single" w:color="auto" w:sz="4" w:space="0"/>
            </w:tcBorders>
            <w:noWrap w:val="0"/>
            <w:vAlign w:val="bottom"/>
          </w:tcPr>
          <w:p w14:paraId="5D601587">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5000≤Y＜40000</w:t>
            </w:r>
          </w:p>
        </w:tc>
        <w:tc>
          <w:tcPr>
            <w:tcW w:w="1660" w:type="dxa"/>
            <w:tcBorders>
              <w:top w:val="nil"/>
              <w:left w:val="nil"/>
              <w:bottom w:val="single" w:color="auto" w:sz="4" w:space="0"/>
              <w:right w:val="single" w:color="auto" w:sz="8" w:space="0"/>
            </w:tcBorders>
            <w:noWrap w:val="0"/>
            <w:vAlign w:val="bottom"/>
          </w:tcPr>
          <w:p w14:paraId="2818DAAC">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324" w:type="dxa"/>
            <w:tcBorders>
              <w:top w:val="nil"/>
              <w:left w:val="nil"/>
              <w:bottom w:val="single" w:color="auto" w:sz="4" w:space="0"/>
              <w:right w:val="single" w:color="auto" w:sz="4" w:space="0"/>
            </w:tcBorders>
            <w:noWrap w:val="0"/>
            <w:vAlign w:val="bottom"/>
          </w:tcPr>
          <w:p w14:paraId="107322FD">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5≤X＜20</w:t>
            </w:r>
          </w:p>
        </w:tc>
        <w:tc>
          <w:tcPr>
            <w:tcW w:w="1552" w:type="dxa"/>
            <w:tcBorders>
              <w:top w:val="nil"/>
              <w:left w:val="nil"/>
              <w:bottom w:val="single" w:color="auto" w:sz="4" w:space="0"/>
              <w:right w:val="single" w:color="auto" w:sz="4" w:space="0"/>
            </w:tcBorders>
            <w:noWrap w:val="0"/>
            <w:vAlign w:val="bottom"/>
          </w:tcPr>
          <w:p w14:paraId="5C948640">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1000≤Y＜5000</w:t>
            </w:r>
          </w:p>
        </w:tc>
        <w:tc>
          <w:tcPr>
            <w:tcW w:w="1520" w:type="dxa"/>
            <w:tcBorders>
              <w:top w:val="nil"/>
              <w:left w:val="nil"/>
              <w:bottom w:val="single" w:color="auto" w:sz="4" w:space="0"/>
              <w:right w:val="single" w:color="auto" w:sz="8" w:space="0"/>
            </w:tcBorders>
            <w:noWrap w:val="0"/>
            <w:vAlign w:val="bottom"/>
          </w:tcPr>
          <w:p w14:paraId="4A68B84C">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6D487B4C">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X＜5</w:t>
            </w:r>
          </w:p>
        </w:tc>
        <w:tc>
          <w:tcPr>
            <w:tcW w:w="1275" w:type="dxa"/>
            <w:tcBorders>
              <w:top w:val="nil"/>
              <w:left w:val="nil"/>
              <w:bottom w:val="single" w:color="auto" w:sz="4" w:space="0"/>
              <w:right w:val="single" w:color="auto" w:sz="4" w:space="0"/>
            </w:tcBorders>
            <w:noWrap w:val="0"/>
            <w:vAlign w:val="bottom"/>
          </w:tcPr>
          <w:p w14:paraId="26465FBE">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Y＜1000</w:t>
            </w:r>
          </w:p>
        </w:tc>
        <w:tc>
          <w:tcPr>
            <w:tcW w:w="1152" w:type="dxa"/>
            <w:tcBorders>
              <w:top w:val="nil"/>
              <w:left w:val="nil"/>
              <w:bottom w:val="single" w:color="auto" w:sz="4" w:space="0"/>
              <w:right w:val="single" w:color="auto" w:sz="8" w:space="0"/>
            </w:tcBorders>
            <w:noWrap w:val="0"/>
            <w:vAlign w:val="bottom"/>
          </w:tcPr>
          <w:p w14:paraId="167A3A95">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r>
      <w:tr w14:paraId="57224097">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4B0AFA9F">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5、零售业</w:t>
            </w:r>
          </w:p>
        </w:tc>
        <w:tc>
          <w:tcPr>
            <w:tcW w:w="1498" w:type="dxa"/>
            <w:tcBorders>
              <w:top w:val="nil"/>
              <w:left w:val="nil"/>
              <w:bottom w:val="single" w:color="auto" w:sz="4" w:space="0"/>
              <w:right w:val="single" w:color="auto" w:sz="4" w:space="0"/>
            </w:tcBorders>
            <w:noWrap w:val="0"/>
            <w:vAlign w:val="bottom"/>
          </w:tcPr>
          <w:p w14:paraId="2C2562B0">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50≤X＜300</w:t>
            </w:r>
          </w:p>
        </w:tc>
        <w:tc>
          <w:tcPr>
            <w:tcW w:w="1763" w:type="dxa"/>
            <w:tcBorders>
              <w:top w:val="nil"/>
              <w:left w:val="nil"/>
              <w:bottom w:val="single" w:color="auto" w:sz="4" w:space="0"/>
              <w:right w:val="single" w:color="auto" w:sz="4" w:space="0"/>
            </w:tcBorders>
            <w:noWrap w:val="0"/>
            <w:vAlign w:val="bottom"/>
          </w:tcPr>
          <w:p w14:paraId="5FB2EFEB">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500≤Y＜20000</w:t>
            </w:r>
          </w:p>
        </w:tc>
        <w:tc>
          <w:tcPr>
            <w:tcW w:w="1660" w:type="dxa"/>
            <w:tcBorders>
              <w:top w:val="nil"/>
              <w:left w:val="nil"/>
              <w:bottom w:val="single" w:color="auto" w:sz="4" w:space="0"/>
              <w:right w:val="single" w:color="auto" w:sz="8" w:space="0"/>
            </w:tcBorders>
            <w:noWrap w:val="0"/>
            <w:vAlign w:val="bottom"/>
          </w:tcPr>
          <w:p w14:paraId="7C3F8910">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324" w:type="dxa"/>
            <w:tcBorders>
              <w:top w:val="nil"/>
              <w:left w:val="nil"/>
              <w:bottom w:val="single" w:color="auto" w:sz="4" w:space="0"/>
              <w:right w:val="single" w:color="auto" w:sz="4" w:space="0"/>
            </w:tcBorders>
            <w:noWrap w:val="0"/>
            <w:vAlign w:val="bottom"/>
          </w:tcPr>
          <w:p w14:paraId="4FAE6882">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10≤X＜50</w:t>
            </w:r>
          </w:p>
        </w:tc>
        <w:tc>
          <w:tcPr>
            <w:tcW w:w="1552" w:type="dxa"/>
            <w:tcBorders>
              <w:top w:val="nil"/>
              <w:left w:val="nil"/>
              <w:bottom w:val="single" w:color="auto" w:sz="4" w:space="0"/>
              <w:right w:val="single" w:color="auto" w:sz="4" w:space="0"/>
            </w:tcBorders>
            <w:noWrap w:val="0"/>
            <w:vAlign w:val="bottom"/>
          </w:tcPr>
          <w:p w14:paraId="4AFAD4AB">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100≤Y＜500</w:t>
            </w:r>
          </w:p>
        </w:tc>
        <w:tc>
          <w:tcPr>
            <w:tcW w:w="1520" w:type="dxa"/>
            <w:tcBorders>
              <w:top w:val="nil"/>
              <w:left w:val="nil"/>
              <w:bottom w:val="single" w:color="auto" w:sz="4" w:space="0"/>
              <w:right w:val="single" w:color="auto" w:sz="8" w:space="0"/>
            </w:tcBorders>
            <w:noWrap w:val="0"/>
            <w:vAlign w:val="bottom"/>
          </w:tcPr>
          <w:p w14:paraId="57EDFB68">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6E74D079">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3009A902">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Y＜100</w:t>
            </w:r>
          </w:p>
        </w:tc>
        <w:tc>
          <w:tcPr>
            <w:tcW w:w="1152" w:type="dxa"/>
            <w:tcBorders>
              <w:top w:val="nil"/>
              <w:left w:val="nil"/>
              <w:bottom w:val="single" w:color="auto" w:sz="4" w:space="0"/>
              <w:right w:val="single" w:color="auto" w:sz="8" w:space="0"/>
            </w:tcBorders>
            <w:noWrap w:val="0"/>
            <w:vAlign w:val="bottom"/>
          </w:tcPr>
          <w:p w14:paraId="1CCBC537">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r>
      <w:tr w14:paraId="1924C929">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70524593">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6、交通运输业</w:t>
            </w:r>
          </w:p>
        </w:tc>
        <w:tc>
          <w:tcPr>
            <w:tcW w:w="1498" w:type="dxa"/>
            <w:tcBorders>
              <w:top w:val="nil"/>
              <w:left w:val="nil"/>
              <w:bottom w:val="single" w:color="auto" w:sz="4" w:space="0"/>
              <w:right w:val="single" w:color="auto" w:sz="4" w:space="0"/>
            </w:tcBorders>
            <w:noWrap w:val="0"/>
            <w:vAlign w:val="bottom"/>
          </w:tcPr>
          <w:p w14:paraId="54D53596">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300≤X＜1000</w:t>
            </w:r>
          </w:p>
        </w:tc>
        <w:tc>
          <w:tcPr>
            <w:tcW w:w="1763" w:type="dxa"/>
            <w:tcBorders>
              <w:top w:val="nil"/>
              <w:left w:val="nil"/>
              <w:bottom w:val="single" w:color="auto" w:sz="4" w:space="0"/>
              <w:right w:val="single" w:color="auto" w:sz="4" w:space="0"/>
            </w:tcBorders>
            <w:noWrap w:val="0"/>
            <w:vAlign w:val="bottom"/>
          </w:tcPr>
          <w:p w14:paraId="15CFB816">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3000≤Y＜30000</w:t>
            </w:r>
          </w:p>
        </w:tc>
        <w:tc>
          <w:tcPr>
            <w:tcW w:w="1660" w:type="dxa"/>
            <w:tcBorders>
              <w:top w:val="nil"/>
              <w:left w:val="nil"/>
              <w:bottom w:val="single" w:color="auto" w:sz="4" w:space="0"/>
              <w:right w:val="single" w:color="auto" w:sz="8" w:space="0"/>
            </w:tcBorders>
            <w:noWrap w:val="0"/>
            <w:vAlign w:val="bottom"/>
          </w:tcPr>
          <w:p w14:paraId="5F242C85">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324" w:type="dxa"/>
            <w:tcBorders>
              <w:top w:val="nil"/>
              <w:left w:val="nil"/>
              <w:bottom w:val="single" w:color="auto" w:sz="4" w:space="0"/>
              <w:right w:val="single" w:color="auto" w:sz="4" w:space="0"/>
            </w:tcBorders>
            <w:noWrap w:val="0"/>
            <w:vAlign w:val="bottom"/>
          </w:tcPr>
          <w:p w14:paraId="5A073C4A">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20≤X＜300</w:t>
            </w:r>
          </w:p>
        </w:tc>
        <w:tc>
          <w:tcPr>
            <w:tcW w:w="1552" w:type="dxa"/>
            <w:tcBorders>
              <w:top w:val="nil"/>
              <w:left w:val="nil"/>
              <w:bottom w:val="single" w:color="auto" w:sz="4" w:space="0"/>
              <w:right w:val="single" w:color="auto" w:sz="4" w:space="0"/>
            </w:tcBorders>
            <w:noWrap w:val="0"/>
            <w:vAlign w:val="bottom"/>
          </w:tcPr>
          <w:p w14:paraId="189B292A">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200≤Y＜3000</w:t>
            </w:r>
          </w:p>
        </w:tc>
        <w:tc>
          <w:tcPr>
            <w:tcW w:w="1520" w:type="dxa"/>
            <w:tcBorders>
              <w:top w:val="nil"/>
              <w:left w:val="nil"/>
              <w:bottom w:val="single" w:color="auto" w:sz="4" w:space="0"/>
              <w:right w:val="single" w:color="auto" w:sz="8" w:space="0"/>
            </w:tcBorders>
            <w:noWrap w:val="0"/>
            <w:vAlign w:val="bottom"/>
          </w:tcPr>
          <w:p w14:paraId="5255BF8C">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43CBC3B3">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X＜20</w:t>
            </w:r>
          </w:p>
        </w:tc>
        <w:tc>
          <w:tcPr>
            <w:tcW w:w="1275" w:type="dxa"/>
            <w:tcBorders>
              <w:top w:val="nil"/>
              <w:left w:val="nil"/>
              <w:bottom w:val="single" w:color="auto" w:sz="4" w:space="0"/>
              <w:right w:val="single" w:color="auto" w:sz="4" w:space="0"/>
            </w:tcBorders>
            <w:noWrap w:val="0"/>
            <w:vAlign w:val="bottom"/>
          </w:tcPr>
          <w:p w14:paraId="70D64E29">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V＜200</w:t>
            </w:r>
          </w:p>
        </w:tc>
        <w:tc>
          <w:tcPr>
            <w:tcW w:w="1152" w:type="dxa"/>
            <w:tcBorders>
              <w:top w:val="nil"/>
              <w:left w:val="nil"/>
              <w:bottom w:val="single" w:color="auto" w:sz="4" w:space="0"/>
              <w:right w:val="single" w:color="auto" w:sz="8" w:space="0"/>
            </w:tcBorders>
            <w:noWrap w:val="0"/>
            <w:vAlign w:val="bottom"/>
          </w:tcPr>
          <w:p w14:paraId="13B4F47B">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r>
      <w:tr w14:paraId="5930D33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1BDDBEC3">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7、仓储业</w:t>
            </w:r>
          </w:p>
        </w:tc>
        <w:tc>
          <w:tcPr>
            <w:tcW w:w="1498" w:type="dxa"/>
            <w:tcBorders>
              <w:top w:val="nil"/>
              <w:left w:val="nil"/>
              <w:bottom w:val="single" w:color="auto" w:sz="4" w:space="0"/>
              <w:right w:val="single" w:color="auto" w:sz="4" w:space="0"/>
            </w:tcBorders>
            <w:noWrap w:val="0"/>
            <w:vAlign w:val="bottom"/>
          </w:tcPr>
          <w:p w14:paraId="59388956">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100≤X＜200</w:t>
            </w:r>
          </w:p>
        </w:tc>
        <w:tc>
          <w:tcPr>
            <w:tcW w:w="1763" w:type="dxa"/>
            <w:tcBorders>
              <w:top w:val="nil"/>
              <w:left w:val="nil"/>
              <w:bottom w:val="single" w:color="auto" w:sz="4" w:space="0"/>
              <w:right w:val="single" w:color="auto" w:sz="4" w:space="0"/>
            </w:tcBorders>
            <w:noWrap w:val="0"/>
            <w:vAlign w:val="bottom"/>
          </w:tcPr>
          <w:p w14:paraId="5CEC031A">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1000≤Y＜30000</w:t>
            </w:r>
          </w:p>
        </w:tc>
        <w:tc>
          <w:tcPr>
            <w:tcW w:w="1660" w:type="dxa"/>
            <w:tcBorders>
              <w:top w:val="nil"/>
              <w:left w:val="nil"/>
              <w:bottom w:val="single" w:color="auto" w:sz="4" w:space="0"/>
              <w:right w:val="single" w:color="auto" w:sz="8" w:space="0"/>
            </w:tcBorders>
            <w:noWrap w:val="0"/>
            <w:vAlign w:val="bottom"/>
          </w:tcPr>
          <w:p w14:paraId="305ADD19">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324" w:type="dxa"/>
            <w:tcBorders>
              <w:top w:val="nil"/>
              <w:left w:val="nil"/>
              <w:bottom w:val="single" w:color="auto" w:sz="4" w:space="0"/>
              <w:right w:val="single" w:color="auto" w:sz="4" w:space="0"/>
            </w:tcBorders>
            <w:noWrap w:val="0"/>
            <w:vAlign w:val="bottom"/>
          </w:tcPr>
          <w:p w14:paraId="08FF94A8">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20≤X＜100</w:t>
            </w:r>
          </w:p>
        </w:tc>
        <w:tc>
          <w:tcPr>
            <w:tcW w:w="1552" w:type="dxa"/>
            <w:tcBorders>
              <w:top w:val="nil"/>
              <w:left w:val="nil"/>
              <w:bottom w:val="single" w:color="auto" w:sz="4" w:space="0"/>
              <w:right w:val="single" w:color="auto" w:sz="4" w:space="0"/>
            </w:tcBorders>
            <w:noWrap w:val="0"/>
            <w:vAlign w:val="bottom"/>
          </w:tcPr>
          <w:p w14:paraId="191262FA">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100≤Y＜1000</w:t>
            </w:r>
          </w:p>
        </w:tc>
        <w:tc>
          <w:tcPr>
            <w:tcW w:w="1520" w:type="dxa"/>
            <w:tcBorders>
              <w:top w:val="nil"/>
              <w:left w:val="nil"/>
              <w:bottom w:val="single" w:color="auto" w:sz="4" w:space="0"/>
              <w:right w:val="single" w:color="auto" w:sz="8" w:space="0"/>
            </w:tcBorders>
            <w:noWrap w:val="0"/>
            <w:vAlign w:val="bottom"/>
          </w:tcPr>
          <w:p w14:paraId="2A18141E">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123A16AA">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X＜20</w:t>
            </w:r>
          </w:p>
        </w:tc>
        <w:tc>
          <w:tcPr>
            <w:tcW w:w="1275" w:type="dxa"/>
            <w:tcBorders>
              <w:top w:val="nil"/>
              <w:left w:val="nil"/>
              <w:bottom w:val="single" w:color="auto" w:sz="4" w:space="0"/>
              <w:right w:val="single" w:color="auto" w:sz="4" w:space="0"/>
            </w:tcBorders>
            <w:noWrap w:val="0"/>
            <w:vAlign w:val="bottom"/>
          </w:tcPr>
          <w:p w14:paraId="4A4EEDD7">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Y＜100</w:t>
            </w:r>
          </w:p>
        </w:tc>
        <w:tc>
          <w:tcPr>
            <w:tcW w:w="1152" w:type="dxa"/>
            <w:tcBorders>
              <w:top w:val="nil"/>
              <w:left w:val="nil"/>
              <w:bottom w:val="single" w:color="auto" w:sz="4" w:space="0"/>
              <w:right w:val="single" w:color="auto" w:sz="8" w:space="0"/>
            </w:tcBorders>
            <w:noWrap w:val="0"/>
            <w:vAlign w:val="bottom"/>
          </w:tcPr>
          <w:p w14:paraId="703EACC6">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r>
      <w:tr w14:paraId="35FE9D5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15DF7D78">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8、邮政业</w:t>
            </w:r>
          </w:p>
        </w:tc>
        <w:tc>
          <w:tcPr>
            <w:tcW w:w="1498" w:type="dxa"/>
            <w:tcBorders>
              <w:top w:val="nil"/>
              <w:left w:val="nil"/>
              <w:bottom w:val="single" w:color="auto" w:sz="4" w:space="0"/>
              <w:right w:val="single" w:color="auto" w:sz="4" w:space="0"/>
            </w:tcBorders>
            <w:noWrap w:val="0"/>
            <w:vAlign w:val="bottom"/>
          </w:tcPr>
          <w:p w14:paraId="4B93C9E7">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300≤X＜1000</w:t>
            </w:r>
          </w:p>
        </w:tc>
        <w:tc>
          <w:tcPr>
            <w:tcW w:w="1763" w:type="dxa"/>
            <w:tcBorders>
              <w:top w:val="nil"/>
              <w:left w:val="nil"/>
              <w:bottom w:val="single" w:color="auto" w:sz="4" w:space="0"/>
              <w:right w:val="single" w:color="auto" w:sz="4" w:space="0"/>
            </w:tcBorders>
            <w:noWrap w:val="0"/>
            <w:vAlign w:val="bottom"/>
          </w:tcPr>
          <w:p w14:paraId="7590AB66">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2000≤Y＜30000</w:t>
            </w:r>
          </w:p>
        </w:tc>
        <w:tc>
          <w:tcPr>
            <w:tcW w:w="1660" w:type="dxa"/>
            <w:tcBorders>
              <w:top w:val="nil"/>
              <w:left w:val="nil"/>
              <w:bottom w:val="single" w:color="auto" w:sz="4" w:space="0"/>
              <w:right w:val="single" w:color="auto" w:sz="8" w:space="0"/>
            </w:tcBorders>
            <w:noWrap w:val="0"/>
            <w:vAlign w:val="bottom"/>
          </w:tcPr>
          <w:p w14:paraId="3C2008C2">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324" w:type="dxa"/>
            <w:tcBorders>
              <w:top w:val="nil"/>
              <w:left w:val="nil"/>
              <w:bottom w:val="single" w:color="auto" w:sz="4" w:space="0"/>
              <w:right w:val="single" w:color="auto" w:sz="4" w:space="0"/>
            </w:tcBorders>
            <w:noWrap w:val="0"/>
            <w:vAlign w:val="bottom"/>
          </w:tcPr>
          <w:p w14:paraId="2FCE0BF5">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20≤X＜300</w:t>
            </w:r>
          </w:p>
        </w:tc>
        <w:tc>
          <w:tcPr>
            <w:tcW w:w="1552" w:type="dxa"/>
            <w:tcBorders>
              <w:top w:val="nil"/>
              <w:left w:val="nil"/>
              <w:bottom w:val="single" w:color="auto" w:sz="4" w:space="0"/>
              <w:right w:val="single" w:color="auto" w:sz="4" w:space="0"/>
            </w:tcBorders>
            <w:noWrap w:val="0"/>
            <w:vAlign w:val="bottom"/>
          </w:tcPr>
          <w:p w14:paraId="19EC0507">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100≤Y＜2000</w:t>
            </w:r>
          </w:p>
        </w:tc>
        <w:tc>
          <w:tcPr>
            <w:tcW w:w="1520" w:type="dxa"/>
            <w:tcBorders>
              <w:top w:val="nil"/>
              <w:left w:val="nil"/>
              <w:bottom w:val="single" w:color="auto" w:sz="4" w:space="0"/>
              <w:right w:val="single" w:color="auto" w:sz="8" w:space="0"/>
            </w:tcBorders>
            <w:noWrap w:val="0"/>
            <w:vAlign w:val="bottom"/>
          </w:tcPr>
          <w:p w14:paraId="7209EA17">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3F660B0E">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X＜20</w:t>
            </w:r>
          </w:p>
        </w:tc>
        <w:tc>
          <w:tcPr>
            <w:tcW w:w="1275" w:type="dxa"/>
            <w:tcBorders>
              <w:top w:val="nil"/>
              <w:left w:val="nil"/>
              <w:bottom w:val="single" w:color="auto" w:sz="4" w:space="0"/>
              <w:right w:val="single" w:color="auto" w:sz="4" w:space="0"/>
            </w:tcBorders>
            <w:noWrap w:val="0"/>
            <w:vAlign w:val="bottom"/>
          </w:tcPr>
          <w:p w14:paraId="6CD72D60">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Y＜100</w:t>
            </w:r>
          </w:p>
        </w:tc>
        <w:tc>
          <w:tcPr>
            <w:tcW w:w="1152" w:type="dxa"/>
            <w:tcBorders>
              <w:top w:val="nil"/>
              <w:left w:val="nil"/>
              <w:bottom w:val="single" w:color="auto" w:sz="4" w:space="0"/>
              <w:right w:val="single" w:color="auto" w:sz="8" w:space="0"/>
            </w:tcBorders>
            <w:noWrap w:val="0"/>
            <w:vAlign w:val="bottom"/>
          </w:tcPr>
          <w:p w14:paraId="4E677EA2">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r>
      <w:tr w14:paraId="00B34EF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12328EFD">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9、住宿业</w:t>
            </w:r>
          </w:p>
        </w:tc>
        <w:tc>
          <w:tcPr>
            <w:tcW w:w="1498" w:type="dxa"/>
            <w:tcBorders>
              <w:top w:val="nil"/>
              <w:left w:val="nil"/>
              <w:bottom w:val="single" w:color="auto" w:sz="4" w:space="0"/>
              <w:right w:val="single" w:color="auto" w:sz="4" w:space="0"/>
            </w:tcBorders>
            <w:noWrap w:val="0"/>
            <w:vAlign w:val="bottom"/>
          </w:tcPr>
          <w:p w14:paraId="75996142">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100≤X＜300</w:t>
            </w:r>
          </w:p>
        </w:tc>
        <w:tc>
          <w:tcPr>
            <w:tcW w:w="1763" w:type="dxa"/>
            <w:tcBorders>
              <w:top w:val="nil"/>
              <w:left w:val="nil"/>
              <w:bottom w:val="single" w:color="auto" w:sz="4" w:space="0"/>
              <w:right w:val="single" w:color="auto" w:sz="4" w:space="0"/>
            </w:tcBorders>
            <w:noWrap w:val="0"/>
            <w:vAlign w:val="bottom"/>
          </w:tcPr>
          <w:p w14:paraId="6A1FE7B0">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2000≤Y＜10000</w:t>
            </w:r>
          </w:p>
        </w:tc>
        <w:tc>
          <w:tcPr>
            <w:tcW w:w="1660" w:type="dxa"/>
            <w:tcBorders>
              <w:top w:val="nil"/>
              <w:left w:val="nil"/>
              <w:bottom w:val="single" w:color="auto" w:sz="4" w:space="0"/>
              <w:right w:val="single" w:color="auto" w:sz="8" w:space="0"/>
            </w:tcBorders>
            <w:noWrap w:val="0"/>
            <w:vAlign w:val="bottom"/>
          </w:tcPr>
          <w:p w14:paraId="19D5F5C3">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324" w:type="dxa"/>
            <w:tcBorders>
              <w:top w:val="nil"/>
              <w:left w:val="nil"/>
              <w:bottom w:val="single" w:color="auto" w:sz="4" w:space="0"/>
              <w:right w:val="single" w:color="auto" w:sz="4" w:space="0"/>
            </w:tcBorders>
            <w:noWrap w:val="0"/>
            <w:vAlign w:val="bottom"/>
          </w:tcPr>
          <w:p w14:paraId="0EA4AA27">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10≤X＜100</w:t>
            </w:r>
          </w:p>
        </w:tc>
        <w:tc>
          <w:tcPr>
            <w:tcW w:w="1552" w:type="dxa"/>
            <w:tcBorders>
              <w:top w:val="nil"/>
              <w:left w:val="nil"/>
              <w:bottom w:val="single" w:color="auto" w:sz="4" w:space="0"/>
              <w:right w:val="single" w:color="auto" w:sz="4" w:space="0"/>
            </w:tcBorders>
            <w:noWrap w:val="0"/>
            <w:vAlign w:val="bottom"/>
          </w:tcPr>
          <w:p w14:paraId="4062BFAC">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100≤Y＜2000</w:t>
            </w:r>
          </w:p>
        </w:tc>
        <w:tc>
          <w:tcPr>
            <w:tcW w:w="1520" w:type="dxa"/>
            <w:tcBorders>
              <w:top w:val="nil"/>
              <w:left w:val="nil"/>
              <w:bottom w:val="single" w:color="auto" w:sz="4" w:space="0"/>
              <w:right w:val="single" w:color="auto" w:sz="8" w:space="0"/>
            </w:tcBorders>
            <w:noWrap w:val="0"/>
            <w:vAlign w:val="bottom"/>
          </w:tcPr>
          <w:p w14:paraId="707FDAAD">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72EC0AEE">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73E5F937">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Y＜100</w:t>
            </w:r>
          </w:p>
        </w:tc>
        <w:tc>
          <w:tcPr>
            <w:tcW w:w="1152" w:type="dxa"/>
            <w:tcBorders>
              <w:top w:val="nil"/>
              <w:left w:val="nil"/>
              <w:bottom w:val="single" w:color="auto" w:sz="4" w:space="0"/>
              <w:right w:val="single" w:color="auto" w:sz="8" w:space="0"/>
            </w:tcBorders>
            <w:noWrap w:val="0"/>
            <w:vAlign w:val="bottom"/>
          </w:tcPr>
          <w:p w14:paraId="3055A3C5">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r>
      <w:tr w14:paraId="2DB80B2A">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17D2B0D7">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10、餐饮业</w:t>
            </w:r>
          </w:p>
        </w:tc>
        <w:tc>
          <w:tcPr>
            <w:tcW w:w="1498" w:type="dxa"/>
            <w:tcBorders>
              <w:top w:val="nil"/>
              <w:left w:val="nil"/>
              <w:bottom w:val="single" w:color="auto" w:sz="4" w:space="0"/>
              <w:right w:val="single" w:color="auto" w:sz="4" w:space="0"/>
            </w:tcBorders>
            <w:noWrap w:val="0"/>
            <w:vAlign w:val="bottom"/>
          </w:tcPr>
          <w:p w14:paraId="1D0B059B">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100≤X＜300</w:t>
            </w:r>
          </w:p>
        </w:tc>
        <w:tc>
          <w:tcPr>
            <w:tcW w:w="1763" w:type="dxa"/>
            <w:tcBorders>
              <w:top w:val="nil"/>
              <w:left w:val="nil"/>
              <w:bottom w:val="single" w:color="auto" w:sz="4" w:space="0"/>
              <w:right w:val="single" w:color="auto" w:sz="4" w:space="0"/>
            </w:tcBorders>
            <w:noWrap w:val="0"/>
            <w:vAlign w:val="bottom"/>
          </w:tcPr>
          <w:p w14:paraId="046AFDEC">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2000≤Y＜10000</w:t>
            </w:r>
          </w:p>
        </w:tc>
        <w:tc>
          <w:tcPr>
            <w:tcW w:w="1660" w:type="dxa"/>
            <w:tcBorders>
              <w:top w:val="nil"/>
              <w:left w:val="nil"/>
              <w:bottom w:val="single" w:color="auto" w:sz="4" w:space="0"/>
              <w:right w:val="single" w:color="auto" w:sz="8" w:space="0"/>
            </w:tcBorders>
            <w:noWrap w:val="0"/>
            <w:vAlign w:val="bottom"/>
          </w:tcPr>
          <w:p w14:paraId="6A563EA4">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324" w:type="dxa"/>
            <w:tcBorders>
              <w:top w:val="nil"/>
              <w:left w:val="nil"/>
              <w:bottom w:val="single" w:color="auto" w:sz="4" w:space="0"/>
              <w:right w:val="single" w:color="auto" w:sz="4" w:space="0"/>
            </w:tcBorders>
            <w:noWrap w:val="0"/>
            <w:vAlign w:val="bottom"/>
          </w:tcPr>
          <w:p w14:paraId="63F33D5D">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10≤X＜100</w:t>
            </w:r>
          </w:p>
        </w:tc>
        <w:tc>
          <w:tcPr>
            <w:tcW w:w="1552" w:type="dxa"/>
            <w:tcBorders>
              <w:top w:val="nil"/>
              <w:left w:val="nil"/>
              <w:bottom w:val="single" w:color="auto" w:sz="4" w:space="0"/>
              <w:right w:val="single" w:color="auto" w:sz="4" w:space="0"/>
            </w:tcBorders>
            <w:noWrap w:val="0"/>
            <w:vAlign w:val="bottom"/>
          </w:tcPr>
          <w:p w14:paraId="39DD19C3">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100≤Y＜2000</w:t>
            </w:r>
          </w:p>
        </w:tc>
        <w:tc>
          <w:tcPr>
            <w:tcW w:w="1520" w:type="dxa"/>
            <w:tcBorders>
              <w:top w:val="nil"/>
              <w:left w:val="nil"/>
              <w:bottom w:val="single" w:color="auto" w:sz="4" w:space="0"/>
              <w:right w:val="single" w:color="auto" w:sz="8" w:space="0"/>
            </w:tcBorders>
            <w:noWrap w:val="0"/>
            <w:vAlign w:val="bottom"/>
          </w:tcPr>
          <w:p w14:paraId="62A59C7D">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24945A70">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4FE25676">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V＜100</w:t>
            </w:r>
          </w:p>
        </w:tc>
        <w:tc>
          <w:tcPr>
            <w:tcW w:w="1152" w:type="dxa"/>
            <w:tcBorders>
              <w:top w:val="nil"/>
              <w:left w:val="nil"/>
              <w:bottom w:val="single" w:color="auto" w:sz="4" w:space="0"/>
              <w:right w:val="single" w:color="auto" w:sz="8" w:space="0"/>
            </w:tcBorders>
            <w:noWrap w:val="0"/>
            <w:vAlign w:val="bottom"/>
          </w:tcPr>
          <w:p w14:paraId="158BB576">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r>
      <w:tr w14:paraId="3057BCB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2EE8B8EE">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11、信息传输业</w:t>
            </w:r>
          </w:p>
        </w:tc>
        <w:tc>
          <w:tcPr>
            <w:tcW w:w="1498" w:type="dxa"/>
            <w:tcBorders>
              <w:top w:val="nil"/>
              <w:left w:val="nil"/>
              <w:bottom w:val="single" w:color="auto" w:sz="4" w:space="0"/>
              <w:right w:val="single" w:color="auto" w:sz="4" w:space="0"/>
            </w:tcBorders>
            <w:noWrap w:val="0"/>
            <w:vAlign w:val="bottom"/>
          </w:tcPr>
          <w:p w14:paraId="3BC8E8A0">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100≤X＜2000</w:t>
            </w:r>
          </w:p>
        </w:tc>
        <w:tc>
          <w:tcPr>
            <w:tcW w:w="1763" w:type="dxa"/>
            <w:tcBorders>
              <w:top w:val="nil"/>
              <w:left w:val="nil"/>
              <w:bottom w:val="single" w:color="auto" w:sz="4" w:space="0"/>
              <w:right w:val="single" w:color="auto" w:sz="4" w:space="0"/>
            </w:tcBorders>
            <w:noWrap w:val="0"/>
            <w:vAlign w:val="bottom"/>
          </w:tcPr>
          <w:p w14:paraId="02B4C8BF">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1000≤Y＜100000</w:t>
            </w:r>
          </w:p>
        </w:tc>
        <w:tc>
          <w:tcPr>
            <w:tcW w:w="1660" w:type="dxa"/>
            <w:tcBorders>
              <w:top w:val="nil"/>
              <w:left w:val="nil"/>
              <w:bottom w:val="single" w:color="auto" w:sz="4" w:space="0"/>
              <w:right w:val="single" w:color="auto" w:sz="8" w:space="0"/>
            </w:tcBorders>
            <w:noWrap w:val="0"/>
            <w:vAlign w:val="bottom"/>
          </w:tcPr>
          <w:p w14:paraId="4923996A">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324" w:type="dxa"/>
            <w:tcBorders>
              <w:top w:val="nil"/>
              <w:left w:val="nil"/>
              <w:bottom w:val="single" w:color="auto" w:sz="4" w:space="0"/>
              <w:right w:val="single" w:color="auto" w:sz="4" w:space="0"/>
            </w:tcBorders>
            <w:noWrap w:val="0"/>
            <w:vAlign w:val="bottom"/>
          </w:tcPr>
          <w:p w14:paraId="7132249F">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10≤X＜100</w:t>
            </w:r>
          </w:p>
        </w:tc>
        <w:tc>
          <w:tcPr>
            <w:tcW w:w="1552" w:type="dxa"/>
            <w:tcBorders>
              <w:top w:val="nil"/>
              <w:left w:val="nil"/>
              <w:bottom w:val="single" w:color="auto" w:sz="4" w:space="0"/>
              <w:right w:val="single" w:color="auto" w:sz="4" w:space="0"/>
            </w:tcBorders>
            <w:noWrap w:val="0"/>
            <w:vAlign w:val="bottom"/>
          </w:tcPr>
          <w:p w14:paraId="2F3A0FDE">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100≤Y＜1000</w:t>
            </w:r>
          </w:p>
        </w:tc>
        <w:tc>
          <w:tcPr>
            <w:tcW w:w="1520" w:type="dxa"/>
            <w:tcBorders>
              <w:top w:val="nil"/>
              <w:left w:val="nil"/>
              <w:bottom w:val="single" w:color="auto" w:sz="4" w:space="0"/>
              <w:right w:val="single" w:color="auto" w:sz="8" w:space="0"/>
            </w:tcBorders>
            <w:noWrap w:val="0"/>
            <w:vAlign w:val="bottom"/>
          </w:tcPr>
          <w:p w14:paraId="45E7A607">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395D149A">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732EC126">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Y＜100</w:t>
            </w:r>
          </w:p>
        </w:tc>
        <w:tc>
          <w:tcPr>
            <w:tcW w:w="1152" w:type="dxa"/>
            <w:tcBorders>
              <w:top w:val="nil"/>
              <w:left w:val="nil"/>
              <w:bottom w:val="single" w:color="auto" w:sz="4" w:space="0"/>
              <w:right w:val="single" w:color="auto" w:sz="8" w:space="0"/>
            </w:tcBorders>
            <w:noWrap w:val="0"/>
            <w:vAlign w:val="bottom"/>
          </w:tcPr>
          <w:p w14:paraId="0DC05B73">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r>
      <w:tr w14:paraId="092019A7">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2FF7B3EE">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15"/>
                <w:highlight w:val="none"/>
              </w:rPr>
              <w:t>12、软件和信息技术服务业</w:t>
            </w:r>
          </w:p>
        </w:tc>
        <w:tc>
          <w:tcPr>
            <w:tcW w:w="1498" w:type="dxa"/>
            <w:tcBorders>
              <w:top w:val="nil"/>
              <w:left w:val="nil"/>
              <w:bottom w:val="single" w:color="auto" w:sz="4" w:space="0"/>
              <w:right w:val="single" w:color="auto" w:sz="4" w:space="0"/>
            </w:tcBorders>
            <w:noWrap w:val="0"/>
            <w:vAlign w:val="bottom"/>
          </w:tcPr>
          <w:p w14:paraId="1EED2F76">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100≤X＜300</w:t>
            </w:r>
          </w:p>
        </w:tc>
        <w:tc>
          <w:tcPr>
            <w:tcW w:w="1763" w:type="dxa"/>
            <w:tcBorders>
              <w:top w:val="nil"/>
              <w:left w:val="nil"/>
              <w:bottom w:val="single" w:color="auto" w:sz="4" w:space="0"/>
              <w:right w:val="single" w:color="auto" w:sz="4" w:space="0"/>
            </w:tcBorders>
            <w:noWrap w:val="0"/>
            <w:vAlign w:val="bottom"/>
          </w:tcPr>
          <w:p w14:paraId="30674ADD">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1000≤Y＜10000</w:t>
            </w:r>
          </w:p>
        </w:tc>
        <w:tc>
          <w:tcPr>
            <w:tcW w:w="1660" w:type="dxa"/>
            <w:tcBorders>
              <w:top w:val="nil"/>
              <w:left w:val="nil"/>
              <w:bottom w:val="single" w:color="auto" w:sz="4" w:space="0"/>
              <w:right w:val="single" w:color="auto" w:sz="8" w:space="0"/>
            </w:tcBorders>
            <w:noWrap w:val="0"/>
            <w:vAlign w:val="bottom"/>
          </w:tcPr>
          <w:p w14:paraId="632E4FAD">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324" w:type="dxa"/>
            <w:tcBorders>
              <w:top w:val="nil"/>
              <w:left w:val="nil"/>
              <w:bottom w:val="single" w:color="auto" w:sz="4" w:space="0"/>
              <w:right w:val="single" w:color="auto" w:sz="4" w:space="0"/>
            </w:tcBorders>
            <w:noWrap w:val="0"/>
            <w:vAlign w:val="bottom"/>
          </w:tcPr>
          <w:p w14:paraId="63426097">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10≤X＜100</w:t>
            </w:r>
          </w:p>
        </w:tc>
        <w:tc>
          <w:tcPr>
            <w:tcW w:w="1552" w:type="dxa"/>
            <w:tcBorders>
              <w:top w:val="nil"/>
              <w:left w:val="nil"/>
              <w:bottom w:val="single" w:color="auto" w:sz="4" w:space="0"/>
              <w:right w:val="single" w:color="auto" w:sz="4" w:space="0"/>
            </w:tcBorders>
            <w:noWrap w:val="0"/>
            <w:vAlign w:val="bottom"/>
          </w:tcPr>
          <w:p w14:paraId="555CA380">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50≤Y＜1000</w:t>
            </w:r>
          </w:p>
        </w:tc>
        <w:tc>
          <w:tcPr>
            <w:tcW w:w="1520" w:type="dxa"/>
            <w:tcBorders>
              <w:top w:val="nil"/>
              <w:left w:val="nil"/>
              <w:bottom w:val="single" w:color="auto" w:sz="4" w:space="0"/>
              <w:right w:val="single" w:color="auto" w:sz="8" w:space="0"/>
            </w:tcBorders>
            <w:noWrap w:val="0"/>
            <w:vAlign w:val="bottom"/>
          </w:tcPr>
          <w:p w14:paraId="078B778E">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52471AFF">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6021E9E4">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Y＜50</w:t>
            </w:r>
          </w:p>
        </w:tc>
        <w:tc>
          <w:tcPr>
            <w:tcW w:w="1152" w:type="dxa"/>
            <w:tcBorders>
              <w:top w:val="nil"/>
              <w:left w:val="nil"/>
              <w:bottom w:val="single" w:color="auto" w:sz="4" w:space="0"/>
              <w:right w:val="single" w:color="auto" w:sz="8" w:space="0"/>
            </w:tcBorders>
            <w:noWrap w:val="0"/>
            <w:vAlign w:val="bottom"/>
          </w:tcPr>
          <w:p w14:paraId="088C1B79">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r>
      <w:tr w14:paraId="791FC8C4">
        <w:tblPrEx>
          <w:tblCellMar>
            <w:top w:w="0" w:type="dxa"/>
            <w:left w:w="108" w:type="dxa"/>
            <w:bottom w:w="0" w:type="dxa"/>
            <w:right w:w="108" w:type="dxa"/>
          </w:tblCellMar>
        </w:tblPrEx>
        <w:trPr>
          <w:trHeight w:val="117" w:hRule="atLeast"/>
        </w:trPr>
        <w:tc>
          <w:tcPr>
            <w:tcW w:w="1985" w:type="dxa"/>
            <w:tcBorders>
              <w:top w:val="nil"/>
              <w:left w:val="single" w:color="auto" w:sz="8" w:space="0"/>
              <w:bottom w:val="single" w:color="auto" w:sz="4" w:space="0"/>
              <w:right w:val="single" w:color="auto" w:sz="8" w:space="0"/>
            </w:tcBorders>
            <w:noWrap w:val="0"/>
            <w:vAlign w:val="bottom"/>
          </w:tcPr>
          <w:p w14:paraId="217ECA15">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13、房地产开发经营</w:t>
            </w:r>
          </w:p>
        </w:tc>
        <w:tc>
          <w:tcPr>
            <w:tcW w:w="1498" w:type="dxa"/>
            <w:tcBorders>
              <w:top w:val="nil"/>
              <w:left w:val="nil"/>
              <w:bottom w:val="single" w:color="auto" w:sz="4" w:space="0"/>
              <w:right w:val="single" w:color="auto" w:sz="4" w:space="0"/>
            </w:tcBorders>
            <w:noWrap w:val="0"/>
            <w:vAlign w:val="bottom"/>
          </w:tcPr>
          <w:p w14:paraId="34AFD781">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763" w:type="dxa"/>
            <w:tcBorders>
              <w:top w:val="nil"/>
              <w:left w:val="nil"/>
              <w:bottom w:val="single" w:color="auto" w:sz="4" w:space="0"/>
              <w:right w:val="single" w:color="auto" w:sz="4" w:space="0"/>
            </w:tcBorders>
            <w:noWrap w:val="0"/>
            <w:vAlign w:val="bottom"/>
          </w:tcPr>
          <w:p w14:paraId="2C483915">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1000≤Y＜200000</w:t>
            </w:r>
          </w:p>
        </w:tc>
        <w:tc>
          <w:tcPr>
            <w:tcW w:w="1660" w:type="dxa"/>
            <w:tcBorders>
              <w:top w:val="nil"/>
              <w:left w:val="nil"/>
              <w:bottom w:val="single" w:color="auto" w:sz="4" w:space="0"/>
              <w:right w:val="single" w:color="auto" w:sz="8" w:space="0"/>
            </w:tcBorders>
            <w:noWrap w:val="0"/>
            <w:vAlign w:val="bottom"/>
          </w:tcPr>
          <w:p w14:paraId="597D9033">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5000≤Z＜10000</w:t>
            </w:r>
          </w:p>
        </w:tc>
        <w:tc>
          <w:tcPr>
            <w:tcW w:w="1324" w:type="dxa"/>
            <w:tcBorders>
              <w:top w:val="nil"/>
              <w:left w:val="nil"/>
              <w:bottom w:val="single" w:color="auto" w:sz="4" w:space="0"/>
              <w:right w:val="single" w:color="auto" w:sz="4" w:space="0"/>
            </w:tcBorders>
            <w:noWrap w:val="0"/>
            <w:vAlign w:val="bottom"/>
          </w:tcPr>
          <w:p w14:paraId="6E71C275">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552" w:type="dxa"/>
            <w:tcBorders>
              <w:top w:val="nil"/>
              <w:left w:val="nil"/>
              <w:bottom w:val="single" w:color="auto" w:sz="4" w:space="0"/>
              <w:right w:val="single" w:color="auto" w:sz="4" w:space="0"/>
            </w:tcBorders>
            <w:noWrap w:val="0"/>
            <w:vAlign w:val="bottom"/>
          </w:tcPr>
          <w:p w14:paraId="104E227C">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100≤Y＜1000</w:t>
            </w:r>
          </w:p>
        </w:tc>
        <w:tc>
          <w:tcPr>
            <w:tcW w:w="1520" w:type="dxa"/>
            <w:tcBorders>
              <w:top w:val="nil"/>
              <w:left w:val="nil"/>
              <w:bottom w:val="single" w:color="auto" w:sz="4" w:space="0"/>
              <w:right w:val="single" w:color="auto" w:sz="8" w:space="0"/>
            </w:tcBorders>
            <w:noWrap w:val="0"/>
            <w:vAlign w:val="bottom"/>
          </w:tcPr>
          <w:p w14:paraId="3DE23C39">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2000≤Z＜5000</w:t>
            </w:r>
          </w:p>
        </w:tc>
        <w:tc>
          <w:tcPr>
            <w:tcW w:w="1285" w:type="dxa"/>
            <w:tcBorders>
              <w:top w:val="nil"/>
              <w:left w:val="nil"/>
              <w:bottom w:val="single" w:color="auto" w:sz="4" w:space="0"/>
              <w:right w:val="single" w:color="auto" w:sz="4" w:space="0"/>
            </w:tcBorders>
            <w:noWrap w:val="0"/>
            <w:vAlign w:val="bottom"/>
          </w:tcPr>
          <w:p w14:paraId="4866B781">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75" w:type="dxa"/>
            <w:tcBorders>
              <w:top w:val="nil"/>
              <w:left w:val="nil"/>
              <w:bottom w:val="single" w:color="auto" w:sz="4" w:space="0"/>
              <w:right w:val="single" w:color="auto" w:sz="4" w:space="0"/>
            </w:tcBorders>
            <w:noWrap w:val="0"/>
            <w:vAlign w:val="bottom"/>
          </w:tcPr>
          <w:p w14:paraId="18188BF0">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Y＜100</w:t>
            </w:r>
          </w:p>
        </w:tc>
        <w:tc>
          <w:tcPr>
            <w:tcW w:w="1152" w:type="dxa"/>
            <w:tcBorders>
              <w:top w:val="nil"/>
              <w:left w:val="nil"/>
              <w:bottom w:val="single" w:color="auto" w:sz="4" w:space="0"/>
              <w:right w:val="single" w:color="auto" w:sz="8" w:space="0"/>
            </w:tcBorders>
            <w:noWrap w:val="0"/>
            <w:vAlign w:val="bottom"/>
          </w:tcPr>
          <w:p w14:paraId="4A40C890">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Z＜2000</w:t>
            </w:r>
          </w:p>
        </w:tc>
      </w:tr>
      <w:tr w14:paraId="2132CE7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4" w:space="0"/>
              <w:right w:val="single" w:color="auto" w:sz="8" w:space="0"/>
            </w:tcBorders>
            <w:noWrap w:val="0"/>
            <w:vAlign w:val="bottom"/>
          </w:tcPr>
          <w:p w14:paraId="0C090D68">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14、物业管理</w:t>
            </w:r>
          </w:p>
        </w:tc>
        <w:tc>
          <w:tcPr>
            <w:tcW w:w="1498" w:type="dxa"/>
            <w:tcBorders>
              <w:top w:val="nil"/>
              <w:left w:val="nil"/>
              <w:bottom w:val="single" w:color="auto" w:sz="4" w:space="0"/>
              <w:right w:val="single" w:color="auto" w:sz="4" w:space="0"/>
            </w:tcBorders>
            <w:noWrap w:val="0"/>
            <w:vAlign w:val="bottom"/>
          </w:tcPr>
          <w:p w14:paraId="7A4A1919">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300≤X＜1000</w:t>
            </w:r>
          </w:p>
        </w:tc>
        <w:tc>
          <w:tcPr>
            <w:tcW w:w="1763" w:type="dxa"/>
            <w:tcBorders>
              <w:top w:val="nil"/>
              <w:left w:val="nil"/>
              <w:bottom w:val="single" w:color="auto" w:sz="4" w:space="0"/>
              <w:right w:val="single" w:color="auto" w:sz="4" w:space="0"/>
            </w:tcBorders>
            <w:noWrap w:val="0"/>
            <w:vAlign w:val="bottom"/>
          </w:tcPr>
          <w:p w14:paraId="135D0B11">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1000≤Y＜5000</w:t>
            </w:r>
          </w:p>
        </w:tc>
        <w:tc>
          <w:tcPr>
            <w:tcW w:w="1660" w:type="dxa"/>
            <w:tcBorders>
              <w:top w:val="nil"/>
              <w:left w:val="nil"/>
              <w:bottom w:val="single" w:color="auto" w:sz="4" w:space="0"/>
              <w:right w:val="single" w:color="auto" w:sz="8" w:space="0"/>
            </w:tcBorders>
            <w:noWrap w:val="0"/>
            <w:vAlign w:val="bottom"/>
          </w:tcPr>
          <w:p w14:paraId="455D1CD1">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324" w:type="dxa"/>
            <w:tcBorders>
              <w:top w:val="nil"/>
              <w:left w:val="nil"/>
              <w:bottom w:val="single" w:color="auto" w:sz="4" w:space="0"/>
              <w:right w:val="single" w:color="auto" w:sz="4" w:space="0"/>
            </w:tcBorders>
            <w:noWrap w:val="0"/>
            <w:vAlign w:val="bottom"/>
          </w:tcPr>
          <w:p w14:paraId="0CDC1ADB">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100≤X＜300</w:t>
            </w:r>
          </w:p>
        </w:tc>
        <w:tc>
          <w:tcPr>
            <w:tcW w:w="1552" w:type="dxa"/>
            <w:tcBorders>
              <w:top w:val="nil"/>
              <w:left w:val="nil"/>
              <w:bottom w:val="single" w:color="auto" w:sz="4" w:space="0"/>
              <w:right w:val="single" w:color="auto" w:sz="4" w:space="0"/>
            </w:tcBorders>
            <w:noWrap w:val="0"/>
            <w:vAlign w:val="bottom"/>
          </w:tcPr>
          <w:p w14:paraId="3209FED7">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500≤Y＜1000</w:t>
            </w:r>
          </w:p>
        </w:tc>
        <w:tc>
          <w:tcPr>
            <w:tcW w:w="1520" w:type="dxa"/>
            <w:tcBorders>
              <w:top w:val="nil"/>
              <w:left w:val="nil"/>
              <w:bottom w:val="single" w:color="auto" w:sz="4" w:space="0"/>
              <w:right w:val="single" w:color="auto" w:sz="8" w:space="0"/>
            </w:tcBorders>
            <w:noWrap w:val="0"/>
            <w:vAlign w:val="bottom"/>
          </w:tcPr>
          <w:p w14:paraId="399CAE8C">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85" w:type="dxa"/>
            <w:tcBorders>
              <w:top w:val="nil"/>
              <w:left w:val="nil"/>
              <w:bottom w:val="single" w:color="auto" w:sz="4" w:space="0"/>
              <w:right w:val="single" w:color="auto" w:sz="4" w:space="0"/>
            </w:tcBorders>
            <w:noWrap w:val="0"/>
            <w:vAlign w:val="bottom"/>
          </w:tcPr>
          <w:p w14:paraId="51999DAA">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X＜100</w:t>
            </w:r>
          </w:p>
        </w:tc>
        <w:tc>
          <w:tcPr>
            <w:tcW w:w="1275" w:type="dxa"/>
            <w:tcBorders>
              <w:top w:val="nil"/>
              <w:left w:val="nil"/>
              <w:bottom w:val="single" w:color="auto" w:sz="4" w:space="0"/>
              <w:right w:val="single" w:color="auto" w:sz="4" w:space="0"/>
            </w:tcBorders>
            <w:noWrap w:val="0"/>
            <w:vAlign w:val="bottom"/>
          </w:tcPr>
          <w:p w14:paraId="2A75599A">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Y＜500</w:t>
            </w:r>
          </w:p>
        </w:tc>
        <w:tc>
          <w:tcPr>
            <w:tcW w:w="1152" w:type="dxa"/>
            <w:tcBorders>
              <w:top w:val="nil"/>
              <w:left w:val="nil"/>
              <w:bottom w:val="single" w:color="auto" w:sz="4" w:space="0"/>
              <w:right w:val="single" w:color="auto" w:sz="8" w:space="0"/>
            </w:tcBorders>
            <w:noWrap w:val="0"/>
            <w:vAlign w:val="bottom"/>
          </w:tcPr>
          <w:p w14:paraId="7437AAC9">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r>
      <w:tr w14:paraId="66FDBCB9">
        <w:tblPrEx>
          <w:tblCellMar>
            <w:top w:w="0" w:type="dxa"/>
            <w:left w:w="108" w:type="dxa"/>
            <w:bottom w:w="0" w:type="dxa"/>
            <w:right w:w="108" w:type="dxa"/>
          </w:tblCellMar>
        </w:tblPrEx>
        <w:trPr>
          <w:trHeight w:val="191" w:hRule="atLeast"/>
        </w:trPr>
        <w:tc>
          <w:tcPr>
            <w:tcW w:w="1985" w:type="dxa"/>
            <w:tcBorders>
              <w:top w:val="nil"/>
              <w:left w:val="single" w:color="auto" w:sz="8" w:space="0"/>
              <w:bottom w:val="single" w:color="auto" w:sz="4" w:space="0"/>
              <w:right w:val="single" w:color="auto" w:sz="8" w:space="0"/>
            </w:tcBorders>
            <w:noWrap w:val="0"/>
            <w:vAlign w:val="bottom"/>
          </w:tcPr>
          <w:p w14:paraId="546A2EC3">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18"/>
                <w:highlight w:val="none"/>
              </w:rPr>
              <w:t>15、租赁和商务服务业</w:t>
            </w:r>
          </w:p>
        </w:tc>
        <w:tc>
          <w:tcPr>
            <w:tcW w:w="1498" w:type="dxa"/>
            <w:tcBorders>
              <w:top w:val="nil"/>
              <w:left w:val="nil"/>
              <w:bottom w:val="single" w:color="auto" w:sz="4" w:space="0"/>
              <w:right w:val="single" w:color="auto" w:sz="4" w:space="0"/>
            </w:tcBorders>
            <w:noWrap w:val="0"/>
            <w:vAlign w:val="bottom"/>
          </w:tcPr>
          <w:p w14:paraId="2B4B09DE">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100≤X＜300</w:t>
            </w:r>
          </w:p>
        </w:tc>
        <w:tc>
          <w:tcPr>
            <w:tcW w:w="1763" w:type="dxa"/>
            <w:tcBorders>
              <w:top w:val="nil"/>
              <w:left w:val="nil"/>
              <w:bottom w:val="single" w:color="auto" w:sz="4" w:space="0"/>
              <w:right w:val="single" w:color="auto" w:sz="4" w:space="0"/>
            </w:tcBorders>
            <w:noWrap w:val="0"/>
            <w:vAlign w:val="bottom"/>
          </w:tcPr>
          <w:p w14:paraId="5AB13DEC">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660" w:type="dxa"/>
            <w:tcBorders>
              <w:top w:val="nil"/>
              <w:left w:val="nil"/>
              <w:bottom w:val="single" w:color="auto" w:sz="4" w:space="0"/>
              <w:right w:val="single" w:color="auto" w:sz="8" w:space="0"/>
            </w:tcBorders>
            <w:noWrap w:val="0"/>
            <w:vAlign w:val="bottom"/>
          </w:tcPr>
          <w:p w14:paraId="4A6F80B1">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18"/>
                <w:highlight w:val="none"/>
              </w:rPr>
              <w:t>8000≤Z＜120000</w:t>
            </w:r>
          </w:p>
        </w:tc>
        <w:tc>
          <w:tcPr>
            <w:tcW w:w="1324" w:type="dxa"/>
            <w:tcBorders>
              <w:top w:val="nil"/>
              <w:left w:val="nil"/>
              <w:bottom w:val="single" w:color="auto" w:sz="4" w:space="0"/>
              <w:right w:val="single" w:color="auto" w:sz="4" w:space="0"/>
            </w:tcBorders>
            <w:noWrap w:val="0"/>
            <w:vAlign w:val="bottom"/>
          </w:tcPr>
          <w:p w14:paraId="300E09C9">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10≤X＜100</w:t>
            </w:r>
          </w:p>
        </w:tc>
        <w:tc>
          <w:tcPr>
            <w:tcW w:w="1552" w:type="dxa"/>
            <w:tcBorders>
              <w:top w:val="nil"/>
              <w:left w:val="nil"/>
              <w:bottom w:val="single" w:color="auto" w:sz="4" w:space="0"/>
              <w:right w:val="single" w:color="auto" w:sz="4" w:space="0"/>
            </w:tcBorders>
            <w:noWrap w:val="0"/>
            <w:vAlign w:val="bottom"/>
          </w:tcPr>
          <w:p w14:paraId="7F28719C">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520" w:type="dxa"/>
            <w:tcBorders>
              <w:top w:val="nil"/>
              <w:left w:val="nil"/>
              <w:bottom w:val="single" w:color="auto" w:sz="4" w:space="0"/>
              <w:right w:val="single" w:color="auto" w:sz="8" w:space="0"/>
            </w:tcBorders>
            <w:noWrap w:val="0"/>
            <w:vAlign w:val="bottom"/>
          </w:tcPr>
          <w:p w14:paraId="3C4464D9">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100≤Z＜8000</w:t>
            </w:r>
          </w:p>
        </w:tc>
        <w:tc>
          <w:tcPr>
            <w:tcW w:w="1285" w:type="dxa"/>
            <w:tcBorders>
              <w:top w:val="nil"/>
              <w:left w:val="nil"/>
              <w:bottom w:val="single" w:color="auto" w:sz="4" w:space="0"/>
              <w:right w:val="single" w:color="auto" w:sz="4" w:space="0"/>
            </w:tcBorders>
            <w:noWrap w:val="0"/>
            <w:vAlign w:val="bottom"/>
          </w:tcPr>
          <w:p w14:paraId="50B73D50">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X＜10</w:t>
            </w:r>
          </w:p>
        </w:tc>
        <w:tc>
          <w:tcPr>
            <w:tcW w:w="1275" w:type="dxa"/>
            <w:tcBorders>
              <w:top w:val="nil"/>
              <w:left w:val="nil"/>
              <w:bottom w:val="single" w:color="auto" w:sz="4" w:space="0"/>
              <w:right w:val="single" w:color="auto" w:sz="4" w:space="0"/>
            </w:tcBorders>
            <w:noWrap w:val="0"/>
            <w:vAlign w:val="bottom"/>
          </w:tcPr>
          <w:p w14:paraId="5ADDA435">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152" w:type="dxa"/>
            <w:tcBorders>
              <w:top w:val="nil"/>
              <w:left w:val="nil"/>
              <w:bottom w:val="single" w:color="auto" w:sz="4" w:space="0"/>
              <w:right w:val="single" w:color="auto" w:sz="8" w:space="0"/>
            </w:tcBorders>
            <w:noWrap w:val="0"/>
            <w:vAlign w:val="bottom"/>
          </w:tcPr>
          <w:p w14:paraId="486B603E">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Z＜100</w:t>
            </w:r>
          </w:p>
        </w:tc>
      </w:tr>
      <w:tr w14:paraId="0A44009C">
        <w:tblPrEx>
          <w:tblCellMar>
            <w:top w:w="0" w:type="dxa"/>
            <w:left w:w="108" w:type="dxa"/>
            <w:bottom w:w="0" w:type="dxa"/>
            <w:right w:w="108" w:type="dxa"/>
          </w:tblCellMar>
        </w:tblPrEx>
        <w:trPr>
          <w:trHeight w:val="164" w:hRule="atLeast"/>
        </w:trPr>
        <w:tc>
          <w:tcPr>
            <w:tcW w:w="1985" w:type="dxa"/>
            <w:tcBorders>
              <w:top w:val="nil"/>
              <w:left w:val="single" w:color="auto" w:sz="8" w:space="0"/>
              <w:bottom w:val="single" w:color="auto" w:sz="8" w:space="0"/>
              <w:right w:val="single" w:color="auto" w:sz="8" w:space="0"/>
            </w:tcBorders>
            <w:noWrap w:val="0"/>
            <w:vAlign w:val="bottom"/>
          </w:tcPr>
          <w:p w14:paraId="42A83E55">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16、其他未列明行业</w:t>
            </w:r>
          </w:p>
        </w:tc>
        <w:tc>
          <w:tcPr>
            <w:tcW w:w="1498" w:type="dxa"/>
            <w:tcBorders>
              <w:top w:val="nil"/>
              <w:left w:val="nil"/>
              <w:bottom w:val="single" w:color="auto" w:sz="8" w:space="0"/>
              <w:right w:val="single" w:color="auto" w:sz="4" w:space="0"/>
            </w:tcBorders>
            <w:noWrap w:val="0"/>
            <w:vAlign w:val="bottom"/>
          </w:tcPr>
          <w:p w14:paraId="1C7A7F24">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100≤X＜300</w:t>
            </w:r>
          </w:p>
        </w:tc>
        <w:tc>
          <w:tcPr>
            <w:tcW w:w="1763" w:type="dxa"/>
            <w:tcBorders>
              <w:top w:val="nil"/>
              <w:left w:val="nil"/>
              <w:bottom w:val="single" w:color="auto" w:sz="8" w:space="0"/>
              <w:right w:val="single" w:color="auto" w:sz="4" w:space="0"/>
            </w:tcBorders>
            <w:noWrap w:val="0"/>
            <w:vAlign w:val="bottom"/>
          </w:tcPr>
          <w:p w14:paraId="2ACA1607">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660" w:type="dxa"/>
            <w:tcBorders>
              <w:top w:val="nil"/>
              <w:left w:val="nil"/>
              <w:bottom w:val="single" w:color="auto" w:sz="8" w:space="0"/>
              <w:right w:val="single" w:color="auto" w:sz="8" w:space="0"/>
            </w:tcBorders>
            <w:noWrap w:val="0"/>
            <w:vAlign w:val="bottom"/>
          </w:tcPr>
          <w:p w14:paraId="5A5007F0">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324" w:type="dxa"/>
            <w:tcBorders>
              <w:top w:val="nil"/>
              <w:left w:val="nil"/>
              <w:bottom w:val="single" w:color="auto" w:sz="8" w:space="0"/>
              <w:right w:val="single" w:color="auto" w:sz="4" w:space="0"/>
            </w:tcBorders>
            <w:noWrap w:val="0"/>
            <w:vAlign w:val="bottom"/>
          </w:tcPr>
          <w:p w14:paraId="4D0B94BC">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10≤X＜100</w:t>
            </w:r>
          </w:p>
        </w:tc>
        <w:tc>
          <w:tcPr>
            <w:tcW w:w="1552" w:type="dxa"/>
            <w:tcBorders>
              <w:top w:val="nil"/>
              <w:left w:val="nil"/>
              <w:bottom w:val="single" w:color="auto" w:sz="8" w:space="0"/>
              <w:right w:val="single" w:color="auto" w:sz="4" w:space="0"/>
            </w:tcBorders>
            <w:noWrap w:val="0"/>
            <w:vAlign w:val="bottom"/>
          </w:tcPr>
          <w:p w14:paraId="4D9BA666">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520" w:type="dxa"/>
            <w:tcBorders>
              <w:top w:val="nil"/>
              <w:left w:val="nil"/>
              <w:bottom w:val="single" w:color="auto" w:sz="8" w:space="0"/>
              <w:right w:val="single" w:color="auto" w:sz="8" w:space="0"/>
            </w:tcBorders>
            <w:noWrap w:val="0"/>
            <w:vAlign w:val="bottom"/>
          </w:tcPr>
          <w:p w14:paraId="3E8CFF13">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285" w:type="dxa"/>
            <w:tcBorders>
              <w:top w:val="nil"/>
              <w:left w:val="nil"/>
              <w:bottom w:val="single" w:color="auto" w:sz="8" w:space="0"/>
              <w:right w:val="single" w:color="auto" w:sz="4" w:space="0"/>
            </w:tcBorders>
            <w:noWrap w:val="0"/>
            <w:vAlign w:val="bottom"/>
          </w:tcPr>
          <w:p w14:paraId="6AFCDBD2">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X＜10</w:t>
            </w:r>
          </w:p>
        </w:tc>
        <w:tc>
          <w:tcPr>
            <w:tcW w:w="1275" w:type="dxa"/>
            <w:tcBorders>
              <w:top w:val="nil"/>
              <w:left w:val="nil"/>
              <w:bottom w:val="single" w:color="auto" w:sz="8" w:space="0"/>
              <w:right w:val="single" w:color="auto" w:sz="4" w:space="0"/>
            </w:tcBorders>
            <w:noWrap w:val="0"/>
            <w:vAlign w:val="bottom"/>
          </w:tcPr>
          <w:p w14:paraId="638E9EF9">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c>
          <w:tcPr>
            <w:tcW w:w="1152" w:type="dxa"/>
            <w:tcBorders>
              <w:top w:val="nil"/>
              <w:left w:val="nil"/>
              <w:bottom w:val="single" w:color="auto" w:sz="8" w:space="0"/>
              <w:right w:val="single" w:color="auto" w:sz="8" w:space="0"/>
            </w:tcBorders>
            <w:noWrap w:val="0"/>
            <w:vAlign w:val="bottom"/>
          </w:tcPr>
          <w:p w14:paraId="38A01DAE">
            <w:pPr>
              <w:widowControl/>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w:t>
            </w:r>
          </w:p>
        </w:tc>
      </w:tr>
    </w:tbl>
    <w:p w14:paraId="4830D5F4">
      <w:pPr>
        <w:widowControl/>
        <w:spacing w:line="240" w:lineRule="auto"/>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说明</w:t>
      </w:r>
      <w:r>
        <w:rPr>
          <w:rFonts w:hint="eastAsia" w:ascii="仿宋" w:hAnsi="仿宋" w:eastAsia="仿宋" w:cs="仿宋"/>
          <w:color w:val="auto"/>
          <w:kern w:val="0"/>
          <w:sz w:val="20"/>
          <w:highlight w:val="none"/>
          <w:lang w:eastAsia="zh-CN"/>
        </w:rPr>
        <w:t>：</w:t>
      </w:r>
      <w:r>
        <w:rPr>
          <w:rFonts w:hint="eastAsia" w:ascii="仿宋" w:hAnsi="仿宋" w:eastAsia="仿宋" w:cs="仿宋"/>
          <w:color w:val="auto"/>
          <w:kern w:val="0"/>
          <w:sz w:val="20"/>
          <w:highlight w:val="none"/>
        </w:rPr>
        <w:t>1</w:t>
      </w:r>
      <w:r>
        <w:rPr>
          <w:rFonts w:hint="eastAsia" w:ascii="仿宋" w:hAnsi="仿宋" w:eastAsia="仿宋" w:cs="仿宋"/>
          <w:color w:val="auto"/>
          <w:kern w:val="0"/>
          <w:sz w:val="20"/>
          <w:highlight w:val="none"/>
          <w:lang w:val="en-US" w:eastAsia="zh-CN"/>
        </w:rPr>
        <w:t>.</w:t>
      </w:r>
      <w:r>
        <w:rPr>
          <w:rFonts w:hint="eastAsia" w:ascii="仿宋" w:hAnsi="仿宋" w:eastAsia="仿宋" w:cs="仿宋"/>
          <w:color w:val="auto"/>
          <w:kern w:val="0"/>
          <w:sz w:val="20"/>
          <w:highlight w:val="none"/>
        </w:rPr>
        <w:t>企业类型的划分以统计部门的统计数据为依据。</w:t>
      </w:r>
    </w:p>
    <w:p w14:paraId="2833F3EC">
      <w:pPr>
        <w:widowControl/>
        <w:numPr>
          <w:ilvl w:val="0"/>
          <w:numId w:val="0"/>
        </w:numPr>
        <w:spacing w:line="240" w:lineRule="auto"/>
        <w:ind w:firstLine="600" w:firstLineChars="300"/>
        <w:jc w:val="left"/>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lang w:val="en-US" w:eastAsia="zh-CN"/>
        </w:rPr>
        <w:t>2.</w:t>
      </w:r>
      <w:r>
        <w:rPr>
          <w:rFonts w:hint="eastAsia" w:ascii="仿宋" w:hAnsi="仿宋" w:eastAsia="仿宋" w:cs="仿宋"/>
          <w:color w:val="auto"/>
          <w:kern w:val="0"/>
          <w:sz w:val="20"/>
          <w:highlight w:val="none"/>
        </w:rPr>
        <w:t>个体工商户和本规定以外的行业，参照本规定进行划型。</w:t>
      </w:r>
    </w:p>
    <w:p w14:paraId="029AD224">
      <w:pPr>
        <w:keepNext w:val="0"/>
        <w:keepLines w:val="0"/>
        <w:pageBreakBefore w:val="0"/>
        <w:widowControl w:val="0"/>
        <w:kinsoku/>
        <w:wordWrap/>
        <w:overflowPunct/>
        <w:topLinePunct w:val="0"/>
        <w:autoSpaceDE/>
        <w:autoSpaceDN/>
        <w:bidi w:val="0"/>
        <w:adjustRightInd/>
        <w:snapToGrid/>
        <w:spacing w:line="240" w:lineRule="auto"/>
        <w:ind w:right="-283" w:firstLine="600" w:firstLineChars="300"/>
        <w:jc w:val="both"/>
        <w:textAlignment w:val="auto"/>
        <w:rPr>
          <w:rFonts w:hint="eastAsia" w:cs="仿宋" w:asciiTheme="majorEastAsia" w:hAnsiTheme="majorEastAsia" w:eastAsiaTheme="majorEastAsia"/>
          <w:b/>
          <w:bCs/>
          <w:color w:val="auto"/>
          <w:sz w:val="32"/>
          <w:szCs w:val="32"/>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auto"/>
          <w:kern w:val="0"/>
          <w:sz w:val="20"/>
          <w:highlight w:val="none"/>
        </w:rPr>
        <w:t>3</w:t>
      </w:r>
      <w:r>
        <w:rPr>
          <w:rFonts w:hint="eastAsia" w:ascii="仿宋" w:hAnsi="仿宋" w:eastAsia="仿宋" w:cs="仿宋"/>
          <w:color w:val="auto"/>
          <w:kern w:val="0"/>
          <w:sz w:val="20"/>
          <w:highlight w:val="none"/>
          <w:lang w:val="en-US" w:eastAsia="zh-CN"/>
        </w:rPr>
        <w:t>.</w:t>
      </w:r>
      <w:r>
        <w:rPr>
          <w:rFonts w:hint="eastAsia" w:ascii="仿宋" w:hAnsi="仿宋" w:eastAsia="仿宋" w:cs="仿宋"/>
          <w:color w:val="auto"/>
          <w:kern w:val="0"/>
          <w:sz w:val="20"/>
          <w:highlight w:val="none"/>
        </w:rPr>
        <w:t>本规定的中型企业标准上限即为大型企业标准的下限。</w:t>
      </w:r>
    </w:p>
    <w:p w14:paraId="4D114FE0">
      <w:pPr>
        <w:spacing w:line="360" w:lineRule="auto"/>
        <w:jc w:val="center"/>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b/>
          <w:bCs/>
          <w:color w:val="auto"/>
          <w:sz w:val="32"/>
          <w:szCs w:val="32"/>
          <w:highlight w:val="none"/>
        </w:rPr>
        <w:t>四、残疾人福利性单位声明函</w:t>
      </w:r>
    </w:p>
    <w:p w14:paraId="32B34F04">
      <w:pPr>
        <w:spacing w:line="360" w:lineRule="auto"/>
        <w:rPr>
          <w:rFonts w:cs="仿宋" w:asciiTheme="majorEastAsia" w:hAnsiTheme="majorEastAsia" w:eastAsiaTheme="majorEastAsia"/>
          <w:b/>
          <w:color w:val="auto"/>
          <w:spacing w:val="6"/>
          <w:sz w:val="30"/>
          <w:szCs w:val="30"/>
          <w:highlight w:val="none"/>
        </w:rPr>
      </w:pPr>
    </w:p>
    <w:p w14:paraId="3B00A818">
      <w:pPr>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0E8E5C4">
      <w:pPr>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本单位对上述声明的真实性负责。如有虚假，将依法承担相应责任。</w:t>
      </w:r>
    </w:p>
    <w:p w14:paraId="11A00646">
      <w:pPr>
        <w:spacing w:line="360" w:lineRule="auto"/>
        <w:ind w:firstLine="480" w:firstLineChars="200"/>
        <w:jc w:val="left"/>
        <w:rPr>
          <w:rFonts w:cs="仿宋" w:asciiTheme="majorEastAsia" w:hAnsiTheme="majorEastAsia" w:eastAsiaTheme="majorEastAsia"/>
          <w:color w:val="auto"/>
          <w:sz w:val="24"/>
          <w:highlight w:val="none"/>
        </w:rPr>
      </w:pPr>
    </w:p>
    <w:p w14:paraId="15D8D7CE">
      <w:pPr>
        <w:spacing w:line="360" w:lineRule="auto"/>
        <w:ind w:firstLine="480" w:firstLineChars="200"/>
        <w:jc w:val="left"/>
        <w:rPr>
          <w:rFonts w:cs="仿宋" w:asciiTheme="majorEastAsia" w:hAnsiTheme="majorEastAsia" w:eastAsiaTheme="majorEastAsia"/>
          <w:color w:val="auto"/>
          <w:sz w:val="24"/>
          <w:highlight w:val="none"/>
        </w:rPr>
      </w:pPr>
    </w:p>
    <w:p w14:paraId="259EB6DF">
      <w:pP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法定代表人或其授权委托人（签名或印章）：</w:t>
      </w:r>
    </w:p>
    <w:p w14:paraId="124B7856">
      <w:pPr>
        <w:adjustRightInd w:val="0"/>
        <w:spacing w:line="360" w:lineRule="auto"/>
        <w:ind w:firstLine="3840" w:firstLineChars="16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投标人（盖章）：</w:t>
      </w:r>
    </w:p>
    <w:p w14:paraId="22251C0D">
      <w:pPr>
        <w:rPr>
          <w:rFonts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 xml:space="preserve">                                日期：</w:t>
      </w:r>
    </w:p>
    <w:p w14:paraId="6B4DBC24">
      <w:pPr>
        <w:spacing w:line="360" w:lineRule="auto"/>
        <w:ind w:firstLine="643" w:firstLineChars="200"/>
        <w:jc w:val="left"/>
        <w:rPr>
          <w:rFonts w:cs="仿宋" w:asciiTheme="majorEastAsia" w:hAnsiTheme="majorEastAsia" w:eastAsiaTheme="majorEastAsia"/>
          <w:b/>
          <w:color w:val="auto"/>
          <w:sz w:val="32"/>
          <w:szCs w:val="32"/>
          <w:highlight w:val="none"/>
        </w:rPr>
      </w:pPr>
    </w:p>
    <w:p w14:paraId="65885FAF">
      <w:pPr>
        <w:spacing w:line="360" w:lineRule="auto"/>
        <w:rPr>
          <w:rFonts w:cs="仿宋" w:asciiTheme="majorEastAsia" w:hAnsiTheme="majorEastAsia" w:eastAsiaTheme="majorEastAsia"/>
          <w:b/>
          <w:color w:val="auto"/>
          <w:sz w:val="32"/>
          <w:szCs w:val="32"/>
          <w:highlight w:val="none"/>
        </w:rPr>
      </w:pPr>
    </w:p>
    <w:p w14:paraId="6C0AC695">
      <w:pPr>
        <w:numPr>
          <w:ilvl w:val="0"/>
          <w:numId w:val="4"/>
        </w:numPr>
        <w:spacing w:line="360" w:lineRule="auto"/>
        <w:jc w:val="center"/>
        <w:rPr>
          <w:rFonts w:cs="仿宋" w:asciiTheme="majorEastAsia" w:hAnsiTheme="majorEastAsia" w:eastAsiaTheme="majorEastAsia"/>
          <w:b/>
          <w:color w:val="auto"/>
          <w:spacing w:val="6"/>
          <w:sz w:val="32"/>
          <w:szCs w:val="32"/>
          <w:highlight w:val="none"/>
        </w:rPr>
      </w:pPr>
      <w:r>
        <w:rPr>
          <w:rFonts w:hint="eastAsia" w:cs="仿宋" w:asciiTheme="majorEastAsia" w:hAnsiTheme="majorEastAsia" w:eastAsiaTheme="majorEastAsia"/>
          <w:b/>
          <w:color w:val="auto"/>
          <w:spacing w:val="6"/>
          <w:sz w:val="32"/>
          <w:szCs w:val="32"/>
          <w:highlight w:val="none"/>
        </w:rPr>
        <w:br w:type="page"/>
      </w:r>
      <w:r>
        <w:rPr>
          <w:rFonts w:hint="eastAsia" w:cs="仿宋" w:asciiTheme="majorEastAsia" w:hAnsiTheme="majorEastAsia" w:eastAsiaTheme="majorEastAsia"/>
          <w:b/>
          <w:color w:val="auto"/>
          <w:spacing w:val="6"/>
          <w:sz w:val="32"/>
          <w:szCs w:val="32"/>
          <w:highlight w:val="none"/>
        </w:rPr>
        <w:t>政府采购统计基础信息表</w:t>
      </w:r>
    </w:p>
    <w:p w14:paraId="38DD3109">
      <w:pPr>
        <w:pStyle w:val="26"/>
        <w:spacing w:line="360" w:lineRule="auto"/>
        <w:ind w:firstLine="0" w:firstLineChars="0"/>
        <w:rPr>
          <w:rFonts w:cs="仿宋" w:asciiTheme="majorEastAsia" w:hAnsiTheme="majorEastAsia" w:eastAsiaTheme="majorEastAsia"/>
          <w:color w:val="auto"/>
          <w:highlight w:val="none"/>
        </w:rPr>
      </w:pPr>
    </w:p>
    <w:tbl>
      <w:tblPr>
        <w:tblStyle w:val="19"/>
        <w:tblW w:w="8537" w:type="dxa"/>
        <w:jc w:val="center"/>
        <w:tblLayout w:type="fixed"/>
        <w:tblCellMar>
          <w:top w:w="0" w:type="dxa"/>
          <w:left w:w="108" w:type="dxa"/>
          <w:bottom w:w="0" w:type="dxa"/>
          <w:right w:w="108" w:type="dxa"/>
        </w:tblCellMar>
      </w:tblPr>
      <w:tblGrid>
        <w:gridCol w:w="4998"/>
        <w:gridCol w:w="3539"/>
      </w:tblGrid>
      <w:tr w14:paraId="40560EDA">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6D398E9">
            <w:pP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采购人及采购项目名称</w:t>
            </w:r>
          </w:p>
        </w:tc>
        <w:tc>
          <w:tcPr>
            <w:tcW w:w="3539" w:type="dxa"/>
            <w:tcBorders>
              <w:top w:val="single" w:color="000000" w:sz="4" w:space="0"/>
              <w:left w:val="nil"/>
              <w:bottom w:val="single" w:color="000000" w:sz="4" w:space="0"/>
              <w:right w:val="single" w:color="000000" w:sz="4" w:space="0"/>
            </w:tcBorders>
          </w:tcPr>
          <w:p w14:paraId="6042AA01">
            <w:pPr>
              <w:spacing w:line="360" w:lineRule="auto"/>
              <w:rPr>
                <w:rFonts w:cs="仿宋" w:asciiTheme="majorEastAsia" w:hAnsiTheme="majorEastAsia" w:eastAsiaTheme="majorEastAsia"/>
                <w:color w:val="auto"/>
                <w:highlight w:val="none"/>
              </w:rPr>
            </w:pPr>
          </w:p>
        </w:tc>
      </w:tr>
      <w:tr w14:paraId="591F9489">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949017C">
            <w:pP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投标单位名称</w:t>
            </w:r>
          </w:p>
        </w:tc>
        <w:tc>
          <w:tcPr>
            <w:tcW w:w="3539" w:type="dxa"/>
            <w:tcBorders>
              <w:top w:val="single" w:color="000000" w:sz="4" w:space="0"/>
              <w:left w:val="nil"/>
              <w:bottom w:val="single" w:color="000000" w:sz="4" w:space="0"/>
              <w:right w:val="single" w:color="000000" w:sz="4" w:space="0"/>
            </w:tcBorders>
          </w:tcPr>
          <w:p w14:paraId="70A02347">
            <w:pPr>
              <w:spacing w:line="360" w:lineRule="auto"/>
              <w:rPr>
                <w:rFonts w:cs="仿宋" w:asciiTheme="majorEastAsia" w:hAnsiTheme="majorEastAsia" w:eastAsiaTheme="majorEastAsia"/>
                <w:color w:val="auto"/>
                <w:highlight w:val="none"/>
              </w:rPr>
            </w:pPr>
          </w:p>
        </w:tc>
      </w:tr>
      <w:tr w14:paraId="1472C8A0">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4C7D7DF">
            <w:pP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投标单位是否为外商投资企业</w:t>
            </w:r>
          </w:p>
        </w:tc>
        <w:tc>
          <w:tcPr>
            <w:tcW w:w="3539" w:type="dxa"/>
            <w:tcBorders>
              <w:top w:val="single" w:color="000000" w:sz="4" w:space="0"/>
              <w:left w:val="nil"/>
              <w:bottom w:val="single" w:color="000000" w:sz="4" w:space="0"/>
              <w:right w:val="single" w:color="000000" w:sz="4" w:space="0"/>
            </w:tcBorders>
          </w:tcPr>
          <w:p w14:paraId="7FEE259D">
            <w:pPr>
              <w:spacing w:line="360" w:lineRule="auto"/>
              <w:rPr>
                <w:rFonts w:cs="仿宋" w:asciiTheme="majorEastAsia" w:hAnsiTheme="majorEastAsia" w:eastAsiaTheme="majorEastAsia"/>
                <w:color w:val="auto"/>
                <w:highlight w:val="none"/>
              </w:rPr>
            </w:pPr>
          </w:p>
        </w:tc>
      </w:tr>
      <w:tr w14:paraId="2155F1E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D9E5141">
            <w:pP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投标单位是否为宁波企业</w:t>
            </w:r>
          </w:p>
        </w:tc>
        <w:tc>
          <w:tcPr>
            <w:tcW w:w="3539" w:type="dxa"/>
            <w:tcBorders>
              <w:top w:val="single" w:color="000000" w:sz="4" w:space="0"/>
              <w:left w:val="nil"/>
              <w:bottom w:val="single" w:color="000000" w:sz="4" w:space="0"/>
              <w:right w:val="single" w:color="000000" w:sz="4" w:space="0"/>
            </w:tcBorders>
          </w:tcPr>
          <w:p w14:paraId="4A904114">
            <w:pPr>
              <w:spacing w:line="360" w:lineRule="auto"/>
              <w:rPr>
                <w:rFonts w:cs="仿宋" w:asciiTheme="majorEastAsia" w:hAnsiTheme="majorEastAsia" w:eastAsiaTheme="majorEastAsia"/>
                <w:color w:val="auto"/>
                <w:highlight w:val="none"/>
              </w:rPr>
            </w:pPr>
          </w:p>
        </w:tc>
      </w:tr>
      <w:tr w14:paraId="3D2CF43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17612AD">
            <w:pP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08884413">
            <w:pPr>
              <w:spacing w:line="360" w:lineRule="auto"/>
              <w:rPr>
                <w:rFonts w:cs="仿宋" w:asciiTheme="majorEastAsia" w:hAnsiTheme="majorEastAsia" w:eastAsiaTheme="majorEastAsia"/>
                <w:color w:val="auto"/>
                <w:highlight w:val="none"/>
              </w:rPr>
            </w:pPr>
          </w:p>
        </w:tc>
      </w:tr>
      <w:tr w14:paraId="69C1D35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8952145">
            <w:pP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提供的货物是否本企业制造</w:t>
            </w:r>
          </w:p>
        </w:tc>
        <w:tc>
          <w:tcPr>
            <w:tcW w:w="3539" w:type="dxa"/>
            <w:tcBorders>
              <w:top w:val="single" w:color="000000" w:sz="4" w:space="0"/>
              <w:left w:val="nil"/>
              <w:bottom w:val="single" w:color="000000" w:sz="4" w:space="0"/>
              <w:right w:val="single" w:color="000000" w:sz="4" w:space="0"/>
            </w:tcBorders>
          </w:tcPr>
          <w:p w14:paraId="1C06867E">
            <w:pPr>
              <w:spacing w:line="360" w:lineRule="auto"/>
              <w:rPr>
                <w:rFonts w:cs="仿宋" w:asciiTheme="majorEastAsia" w:hAnsiTheme="majorEastAsia" w:eastAsiaTheme="majorEastAsia"/>
                <w:color w:val="auto"/>
                <w:highlight w:val="none"/>
              </w:rPr>
            </w:pPr>
          </w:p>
        </w:tc>
      </w:tr>
      <w:tr w14:paraId="65DD59F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37D9242">
            <w:pP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货物原产地国别</w:t>
            </w:r>
          </w:p>
        </w:tc>
        <w:tc>
          <w:tcPr>
            <w:tcW w:w="3539" w:type="dxa"/>
            <w:tcBorders>
              <w:top w:val="single" w:color="000000" w:sz="4" w:space="0"/>
              <w:left w:val="nil"/>
              <w:bottom w:val="single" w:color="000000" w:sz="4" w:space="0"/>
              <w:right w:val="single" w:color="000000" w:sz="4" w:space="0"/>
            </w:tcBorders>
          </w:tcPr>
          <w:p w14:paraId="4B17BCCC">
            <w:pPr>
              <w:spacing w:line="360" w:lineRule="auto"/>
              <w:rPr>
                <w:rFonts w:cs="仿宋" w:asciiTheme="majorEastAsia" w:hAnsiTheme="majorEastAsia" w:eastAsiaTheme="majorEastAsia"/>
                <w:color w:val="auto"/>
                <w:highlight w:val="none"/>
              </w:rPr>
            </w:pPr>
          </w:p>
        </w:tc>
      </w:tr>
      <w:tr w14:paraId="0D7C1A3C">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2C20A4B">
            <w:pP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提供的货物是否为节能清单产品</w:t>
            </w:r>
          </w:p>
        </w:tc>
        <w:tc>
          <w:tcPr>
            <w:tcW w:w="3539" w:type="dxa"/>
            <w:tcBorders>
              <w:top w:val="single" w:color="000000" w:sz="4" w:space="0"/>
              <w:left w:val="nil"/>
              <w:bottom w:val="single" w:color="000000" w:sz="4" w:space="0"/>
              <w:right w:val="single" w:color="000000" w:sz="4" w:space="0"/>
            </w:tcBorders>
          </w:tcPr>
          <w:p w14:paraId="1C98B59D">
            <w:pPr>
              <w:spacing w:line="360" w:lineRule="auto"/>
              <w:rPr>
                <w:rFonts w:cs="仿宋" w:asciiTheme="majorEastAsia" w:hAnsiTheme="majorEastAsia" w:eastAsiaTheme="majorEastAsia"/>
                <w:color w:val="auto"/>
                <w:highlight w:val="none"/>
              </w:rPr>
            </w:pPr>
          </w:p>
        </w:tc>
      </w:tr>
      <w:tr w14:paraId="4AFECA5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D1DA4CF">
            <w:pP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20A436DF">
            <w:pPr>
              <w:spacing w:line="360" w:lineRule="auto"/>
              <w:rPr>
                <w:rFonts w:cs="仿宋" w:asciiTheme="majorEastAsia" w:hAnsiTheme="majorEastAsia" w:eastAsiaTheme="majorEastAsia"/>
                <w:color w:val="auto"/>
                <w:highlight w:val="none"/>
              </w:rPr>
            </w:pPr>
          </w:p>
        </w:tc>
      </w:tr>
      <w:tr w14:paraId="391CC405">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F08AE7B">
            <w:pP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3E408189">
            <w:pPr>
              <w:spacing w:line="360" w:lineRule="auto"/>
              <w:rPr>
                <w:rFonts w:cs="仿宋" w:asciiTheme="majorEastAsia" w:hAnsiTheme="majorEastAsia" w:eastAsiaTheme="majorEastAsia"/>
                <w:color w:val="auto"/>
                <w:highlight w:val="none"/>
              </w:rPr>
            </w:pPr>
          </w:p>
        </w:tc>
      </w:tr>
    </w:tbl>
    <w:p w14:paraId="70BD0926">
      <w:pPr>
        <w:adjustRightInd w:val="0"/>
        <w:spacing w:line="360" w:lineRule="auto"/>
        <w:jc w:val="left"/>
        <w:rPr>
          <w:rFonts w:cs="仿宋" w:asciiTheme="majorEastAsia" w:hAnsiTheme="majorEastAsia" w:eastAsiaTheme="majorEastAsia"/>
          <w:color w:val="auto"/>
          <w:sz w:val="24"/>
          <w:highlight w:val="none"/>
        </w:rPr>
      </w:pPr>
    </w:p>
    <w:p w14:paraId="383EE92C">
      <w:pP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备注：请各投标人务必填写此表作为投标文件的组成部分。</w:t>
      </w:r>
    </w:p>
    <w:p w14:paraId="2A961BE5">
      <w:pPr>
        <w:adjustRightInd w:val="0"/>
        <w:spacing w:line="360" w:lineRule="auto"/>
        <w:jc w:val="left"/>
        <w:rPr>
          <w:rFonts w:cs="仿宋" w:asciiTheme="majorEastAsia" w:hAnsiTheme="majorEastAsia" w:eastAsiaTheme="majorEastAsia"/>
          <w:color w:val="auto"/>
          <w:sz w:val="24"/>
          <w:highlight w:val="none"/>
        </w:rPr>
      </w:pPr>
    </w:p>
    <w:p w14:paraId="2A81E3D2">
      <w:pPr>
        <w:adjustRightInd w:val="0"/>
        <w:spacing w:line="360" w:lineRule="auto"/>
        <w:jc w:val="left"/>
        <w:rPr>
          <w:rFonts w:cs="仿宋" w:asciiTheme="majorEastAsia" w:hAnsiTheme="majorEastAsia" w:eastAsiaTheme="majorEastAsia"/>
          <w:color w:val="auto"/>
          <w:sz w:val="24"/>
          <w:highlight w:val="none"/>
        </w:rPr>
      </w:pPr>
    </w:p>
    <w:p w14:paraId="23D1A69E">
      <w:pP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法定代表人或其授权委托人（签名或印章）：</w:t>
      </w:r>
    </w:p>
    <w:p w14:paraId="57E8F393">
      <w:pP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投标人（盖章）：</w:t>
      </w:r>
    </w:p>
    <w:p w14:paraId="5371498E">
      <w:pPr>
        <w:rPr>
          <w:rFonts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FF96D">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062FAC81">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91F4A">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5599BF22">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3CBBF">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47174DC4">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01508">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44A2580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73BB1">
    <w:pPr>
      <w:pStyle w:val="17"/>
      <w:pBdr>
        <w:bottom w:val="none" w:color="auto" w:sz="0" w:space="0"/>
      </w:pBdr>
      <w:jc w:val="right"/>
      <w:rPr>
        <w:rFonts w:ascii="仿宋_GB2312" w:eastAsia="仿宋_GB2312"/>
        <w:b/>
        <w:i/>
        <w:u w:val="single"/>
      </w:rPr>
    </w:pPr>
    <w:r>
      <w:t></w:t>
    </w:r>
    <w:r>
      <w:rPr>
        <w:rFonts w:hint="eastAsia"/>
      </w:rPr>
      <w:t xml:space="preserve">                                               </w:t>
    </w:r>
  </w:p>
  <w:p w14:paraId="215528C1">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9112C">
    <w:pPr>
      <w:pStyle w:val="17"/>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C3E5C">
    <w:pPr>
      <w:pStyle w:val="17"/>
      <w:jc w:val="right"/>
      <w:rPr>
        <w:rFonts w:ascii="仿宋_GB2312" w:eastAsia="仿宋_GB2312"/>
        <w:b/>
        <w:i/>
        <w:u w:val="single"/>
      </w:rPr>
    </w:pPr>
    <w:r>
      <w:rPr>
        <w:rFonts w:hint="eastAsia"/>
      </w:rPr>
      <w:t xml:space="preserve">                                 </w:t>
    </w:r>
  </w:p>
  <w:p w14:paraId="5FF80A3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E1EE6">
    <w:pPr>
      <w:pStyle w:val="17"/>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2">
    <w:nsid w:val="2DC53F9C"/>
    <w:multiLevelType w:val="singleLevel"/>
    <w:tmpl w:val="2DC53F9C"/>
    <w:lvl w:ilvl="0" w:tentative="0">
      <w:start w:val="5"/>
      <w:numFmt w:val="chineseCounting"/>
      <w:suff w:val="space"/>
      <w:lvlText w:val="第%1部分"/>
      <w:lvlJc w:val="left"/>
      <w:rPr>
        <w:rFonts w:hint="eastAsia"/>
      </w:rPr>
    </w:lvl>
  </w:abstractNum>
  <w:abstractNum w:abstractNumId="3">
    <w:nsid w:val="495C2BCE"/>
    <w:multiLevelType w:val="singleLevel"/>
    <w:tmpl w:val="495C2BCE"/>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hMWU4MTYwMWQ0N2Y5ODI0MWFlYzM2YmUxYWZjODcifQ=="/>
  </w:docVars>
  <w:rsids>
    <w:rsidRoot w:val="00982EB4"/>
    <w:rsid w:val="00011DC0"/>
    <w:rsid w:val="00016734"/>
    <w:rsid w:val="000331D4"/>
    <w:rsid w:val="00061CE1"/>
    <w:rsid w:val="00095D46"/>
    <w:rsid w:val="000E448A"/>
    <w:rsid w:val="000F198F"/>
    <w:rsid w:val="001553AB"/>
    <w:rsid w:val="001716B0"/>
    <w:rsid w:val="001B2FBB"/>
    <w:rsid w:val="001C1283"/>
    <w:rsid w:val="001F3EFC"/>
    <w:rsid w:val="00215736"/>
    <w:rsid w:val="00223803"/>
    <w:rsid w:val="0024092E"/>
    <w:rsid w:val="00257FDF"/>
    <w:rsid w:val="0027141A"/>
    <w:rsid w:val="002936BF"/>
    <w:rsid w:val="003549BF"/>
    <w:rsid w:val="003773A8"/>
    <w:rsid w:val="003874A0"/>
    <w:rsid w:val="00452882"/>
    <w:rsid w:val="004A3340"/>
    <w:rsid w:val="004C3E57"/>
    <w:rsid w:val="004E23EB"/>
    <w:rsid w:val="004E36CD"/>
    <w:rsid w:val="005047BD"/>
    <w:rsid w:val="00507B69"/>
    <w:rsid w:val="00545EB5"/>
    <w:rsid w:val="00550EE6"/>
    <w:rsid w:val="005537BE"/>
    <w:rsid w:val="00555D80"/>
    <w:rsid w:val="005657F7"/>
    <w:rsid w:val="005B0674"/>
    <w:rsid w:val="005B09B1"/>
    <w:rsid w:val="005D37FA"/>
    <w:rsid w:val="0065305C"/>
    <w:rsid w:val="0065579D"/>
    <w:rsid w:val="00673D9C"/>
    <w:rsid w:val="00686437"/>
    <w:rsid w:val="00693366"/>
    <w:rsid w:val="006A264B"/>
    <w:rsid w:val="006B593D"/>
    <w:rsid w:val="006D63C7"/>
    <w:rsid w:val="00706C27"/>
    <w:rsid w:val="00764A69"/>
    <w:rsid w:val="00773362"/>
    <w:rsid w:val="007E5A2D"/>
    <w:rsid w:val="008232A9"/>
    <w:rsid w:val="0083502E"/>
    <w:rsid w:val="00886BF0"/>
    <w:rsid w:val="008B0252"/>
    <w:rsid w:val="008C7259"/>
    <w:rsid w:val="008F739E"/>
    <w:rsid w:val="009024C2"/>
    <w:rsid w:val="00982EB4"/>
    <w:rsid w:val="00995301"/>
    <w:rsid w:val="009F5B94"/>
    <w:rsid w:val="00A23DA0"/>
    <w:rsid w:val="00B3449C"/>
    <w:rsid w:val="00B408F1"/>
    <w:rsid w:val="00BA7F9C"/>
    <w:rsid w:val="00BF605B"/>
    <w:rsid w:val="00C33E5A"/>
    <w:rsid w:val="00C56A2B"/>
    <w:rsid w:val="00C73083"/>
    <w:rsid w:val="00C82E86"/>
    <w:rsid w:val="00C830F1"/>
    <w:rsid w:val="00CB17EC"/>
    <w:rsid w:val="00CF24DB"/>
    <w:rsid w:val="00D62310"/>
    <w:rsid w:val="00D75034"/>
    <w:rsid w:val="00D75BB4"/>
    <w:rsid w:val="00DF259A"/>
    <w:rsid w:val="00DF7E6B"/>
    <w:rsid w:val="00E23AD0"/>
    <w:rsid w:val="00E80BD5"/>
    <w:rsid w:val="00EB2459"/>
    <w:rsid w:val="00EB25A8"/>
    <w:rsid w:val="00EC3260"/>
    <w:rsid w:val="00ED669C"/>
    <w:rsid w:val="00F0217B"/>
    <w:rsid w:val="00F128C1"/>
    <w:rsid w:val="00F36900"/>
    <w:rsid w:val="00F4077A"/>
    <w:rsid w:val="00F51917"/>
    <w:rsid w:val="00F60919"/>
    <w:rsid w:val="00F85EC7"/>
    <w:rsid w:val="00FD3F44"/>
    <w:rsid w:val="00FF2980"/>
    <w:rsid w:val="00FF710F"/>
    <w:rsid w:val="00FF796A"/>
    <w:rsid w:val="011B0B5F"/>
    <w:rsid w:val="03D567D9"/>
    <w:rsid w:val="04086AAE"/>
    <w:rsid w:val="053D567E"/>
    <w:rsid w:val="053F6339"/>
    <w:rsid w:val="05FC5851"/>
    <w:rsid w:val="06D9153E"/>
    <w:rsid w:val="07180BD8"/>
    <w:rsid w:val="073071A3"/>
    <w:rsid w:val="08C739B9"/>
    <w:rsid w:val="08D566D9"/>
    <w:rsid w:val="095B740D"/>
    <w:rsid w:val="096C5A91"/>
    <w:rsid w:val="09FB55B8"/>
    <w:rsid w:val="0B0B0AFA"/>
    <w:rsid w:val="0B414C9C"/>
    <w:rsid w:val="0B5331D2"/>
    <w:rsid w:val="0B840A61"/>
    <w:rsid w:val="0CB87956"/>
    <w:rsid w:val="0CF22653"/>
    <w:rsid w:val="0CF277B3"/>
    <w:rsid w:val="0D4F246E"/>
    <w:rsid w:val="0D9C1E70"/>
    <w:rsid w:val="0F864DCA"/>
    <w:rsid w:val="0F9515B3"/>
    <w:rsid w:val="0F9868A8"/>
    <w:rsid w:val="10C5081C"/>
    <w:rsid w:val="122F1BC6"/>
    <w:rsid w:val="14230AD2"/>
    <w:rsid w:val="148825E3"/>
    <w:rsid w:val="14A5708D"/>
    <w:rsid w:val="15FF01DE"/>
    <w:rsid w:val="166C623B"/>
    <w:rsid w:val="18523CF5"/>
    <w:rsid w:val="1C0024A2"/>
    <w:rsid w:val="1CF612C5"/>
    <w:rsid w:val="1D14249C"/>
    <w:rsid w:val="1D957D51"/>
    <w:rsid w:val="1E1C0EC6"/>
    <w:rsid w:val="1E351FC5"/>
    <w:rsid w:val="1E366369"/>
    <w:rsid w:val="1F4376BA"/>
    <w:rsid w:val="20F81DB3"/>
    <w:rsid w:val="211863F6"/>
    <w:rsid w:val="21313ED2"/>
    <w:rsid w:val="23056925"/>
    <w:rsid w:val="23D80F5D"/>
    <w:rsid w:val="24A00DDE"/>
    <w:rsid w:val="2648584B"/>
    <w:rsid w:val="28B85E58"/>
    <w:rsid w:val="298652AC"/>
    <w:rsid w:val="29FD2AF3"/>
    <w:rsid w:val="2C963E95"/>
    <w:rsid w:val="2CD37B9C"/>
    <w:rsid w:val="2E046C17"/>
    <w:rsid w:val="2ECB1285"/>
    <w:rsid w:val="2FC772F6"/>
    <w:rsid w:val="305277BA"/>
    <w:rsid w:val="30CE781C"/>
    <w:rsid w:val="31611F90"/>
    <w:rsid w:val="316136A3"/>
    <w:rsid w:val="31744DBB"/>
    <w:rsid w:val="325E6B06"/>
    <w:rsid w:val="329F46CB"/>
    <w:rsid w:val="34BB04F4"/>
    <w:rsid w:val="35C15D38"/>
    <w:rsid w:val="36994613"/>
    <w:rsid w:val="377E7A4C"/>
    <w:rsid w:val="3B5F67F9"/>
    <w:rsid w:val="3BDF2354"/>
    <w:rsid w:val="3CC07DAB"/>
    <w:rsid w:val="3CFE221E"/>
    <w:rsid w:val="3D2F3740"/>
    <w:rsid w:val="3D5819D3"/>
    <w:rsid w:val="3F593D26"/>
    <w:rsid w:val="412000B0"/>
    <w:rsid w:val="426E64C1"/>
    <w:rsid w:val="42B9270F"/>
    <w:rsid w:val="42E44EEB"/>
    <w:rsid w:val="42F848B2"/>
    <w:rsid w:val="43402962"/>
    <w:rsid w:val="43E05717"/>
    <w:rsid w:val="44A407BE"/>
    <w:rsid w:val="45AE2179"/>
    <w:rsid w:val="47CA7A66"/>
    <w:rsid w:val="48E57894"/>
    <w:rsid w:val="4B9D6558"/>
    <w:rsid w:val="4E095BDA"/>
    <w:rsid w:val="4EDA3037"/>
    <w:rsid w:val="4F506D57"/>
    <w:rsid w:val="4F7C5E20"/>
    <w:rsid w:val="547F36AC"/>
    <w:rsid w:val="55871246"/>
    <w:rsid w:val="56A549A9"/>
    <w:rsid w:val="57CF5D62"/>
    <w:rsid w:val="592D341F"/>
    <w:rsid w:val="5A3B1BE1"/>
    <w:rsid w:val="5A7D40C4"/>
    <w:rsid w:val="5C2A2760"/>
    <w:rsid w:val="5EC57D89"/>
    <w:rsid w:val="5F3401D7"/>
    <w:rsid w:val="5F9B6EAB"/>
    <w:rsid w:val="62234D9F"/>
    <w:rsid w:val="628D22CC"/>
    <w:rsid w:val="6419059A"/>
    <w:rsid w:val="64634072"/>
    <w:rsid w:val="64EF3414"/>
    <w:rsid w:val="66EB39CB"/>
    <w:rsid w:val="680052B6"/>
    <w:rsid w:val="682C5DF4"/>
    <w:rsid w:val="68CC6A50"/>
    <w:rsid w:val="69682F9F"/>
    <w:rsid w:val="69A90A64"/>
    <w:rsid w:val="6A6F2F99"/>
    <w:rsid w:val="6AA22991"/>
    <w:rsid w:val="6AE07B4D"/>
    <w:rsid w:val="6B8F2CD0"/>
    <w:rsid w:val="6C766813"/>
    <w:rsid w:val="6C936C6A"/>
    <w:rsid w:val="6D6922EF"/>
    <w:rsid w:val="6DBF4921"/>
    <w:rsid w:val="6EEF3DC1"/>
    <w:rsid w:val="6F2A2565"/>
    <w:rsid w:val="6F997ED1"/>
    <w:rsid w:val="6FD470B5"/>
    <w:rsid w:val="710D0DE4"/>
    <w:rsid w:val="711B71B0"/>
    <w:rsid w:val="71C60867"/>
    <w:rsid w:val="71FC02A3"/>
    <w:rsid w:val="7296325C"/>
    <w:rsid w:val="73FC528E"/>
    <w:rsid w:val="73FE00E0"/>
    <w:rsid w:val="75CD747E"/>
    <w:rsid w:val="761B3DA1"/>
    <w:rsid w:val="79150532"/>
    <w:rsid w:val="7A1C5FCA"/>
    <w:rsid w:val="7AD504EF"/>
    <w:rsid w:val="7B0E5842"/>
    <w:rsid w:val="7B303FA7"/>
    <w:rsid w:val="7CE14943"/>
    <w:rsid w:val="7EFE12DE"/>
    <w:rsid w:val="7F091583"/>
    <w:rsid w:val="7F5C1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5"/>
    <w:qFormat/>
    <w:uiPriority w:val="9"/>
    <w:pPr>
      <w:keepNext/>
      <w:keepLines/>
      <w:spacing w:before="340" w:after="330" w:line="576" w:lineRule="auto"/>
      <w:outlineLvl w:val="0"/>
    </w:pPr>
    <w:rPr>
      <w:rFonts w:ascii="Calibri" w:hAnsi="Calibri"/>
      <w:b/>
      <w:kern w:val="44"/>
      <w:sz w:val="44"/>
    </w:rPr>
  </w:style>
  <w:style w:type="paragraph" w:styleId="6">
    <w:name w:val="heading 2"/>
    <w:basedOn w:val="1"/>
    <w:next w:val="1"/>
    <w:link w:val="30"/>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link w:val="44"/>
    <w:semiHidden/>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4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1"/>
    <w:link w:val="31"/>
    <w:qFormat/>
    <w:uiPriority w:val="0"/>
    <w:pPr>
      <w:spacing w:line="480" w:lineRule="exact"/>
      <w:ind w:firstLine="480" w:firstLineChars="200"/>
    </w:pPr>
    <w:rPr>
      <w:rFonts w:ascii="宋体" w:hAnsi="宋体"/>
      <w:sz w:val="24"/>
    </w:r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9">
    <w:name w:val="Body Text"/>
    <w:basedOn w:val="1"/>
    <w:next w:val="10"/>
    <w:link w:val="34"/>
    <w:qFormat/>
    <w:uiPriority w:val="0"/>
    <w:pPr>
      <w:autoSpaceDE w:val="0"/>
      <w:autoSpaceDN w:val="0"/>
      <w:spacing w:line="360" w:lineRule="auto"/>
    </w:pPr>
    <w:rPr>
      <w:rFonts w:ascii="宋体" w:hAnsi="Arial" w:cs="Arial"/>
      <w:snapToGrid w:val="0"/>
      <w:sz w:val="24"/>
      <w:szCs w:val="21"/>
      <w:lang w:val="zh-CN"/>
    </w:rPr>
  </w:style>
  <w:style w:type="paragraph" w:styleId="10">
    <w:name w:val="Body Text First Indent"/>
    <w:basedOn w:val="9"/>
    <w:next w:val="11"/>
    <w:qFormat/>
    <w:uiPriority w:val="0"/>
    <w:pPr>
      <w:widowControl w:val="0"/>
      <w:autoSpaceDE w:val="0"/>
      <w:autoSpaceDN w:val="0"/>
      <w:adjustRightInd w:val="0"/>
      <w:spacing w:after="0"/>
      <w:jc w:val="left"/>
    </w:pPr>
    <w:rPr>
      <w:rFonts w:ascii="Times New Roman" w:hAnsi="Times New Roman" w:eastAsia="宋体" w:cs="Times New Roman"/>
      <w:kern w:val="0"/>
      <w:sz w:val="28"/>
      <w:szCs w:val="20"/>
      <w:lang w:val="en-US" w:eastAsia="zh-CN" w:bidi="ar-SA"/>
    </w:rPr>
  </w:style>
  <w:style w:type="paragraph" w:styleId="11">
    <w:name w:val="toc 6"/>
    <w:basedOn w:val="1"/>
    <w:next w:val="1"/>
    <w:qFormat/>
    <w:uiPriority w:val="39"/>
    <w:pPr>
      <w:ind w:left="1000" w:leftChars="1000"/>
    </w:pPr>
  </w:style>
  <w:style w:type="paragraph" w:styleId="12">
    <w:name w:val="toc 3"/>
    <w:basedOn w:val="1"/>
    <w:next w:val="1"/>
    <w:qFormat/>
    <w:uiPriority w:val="0"/>
    <w:pPr>
      <w:ind w:left="840" w:leftChars="400"/>
    </w:pPr>
    <w:rPr>
      <w:rFonts w:ascii="Times New Roman" w:hAnsi="Times New Roman"/>
    </w:rPr>
  </w:style>
  <w:style w:type="paragraph" w:styleId="13">
    <w:name w:val="Plain Text"/>
    <w:basedOn w:val="1"/>
    <w:link w:val="33"/>
    <w:qFormat/>
    <w:uiPriority w:val="0"/>
    <w:rPr>
      <w:rFonts w:ascii="宋体" w:hAnsi="Courier New" w:cs="Arial"/>
      <w:snapToGrid w:val="0"/>
      <w:szCs w:val="21"/>
    </w:rPr>
  </w:style>
  <w:style w:type="paragraph" w:styleId="14">
    <w:name w:val="Date"/>
    <w:basedOn w:val="1"/>
    <w:next w:val="1"/>
    <w:link w:val="32"/>
    <w:qFormat/>
    <w:uiPriority w:val="0"/>
    <w:pPr>
      <w:ind w:left="100" w:leftChars="2500"/>
    </w:pPr>
    <w:rPr>
      <w:rFonts w:ascii="宋体"/>
      <w:sz w:val="24"/>
      <w:szCs w:val="21"/>
      <w:lang w:val="zh-CN"/>
    </w:rPr>
  </w:style>
  <w:style w:type="paragraph" w:styleId="15">
    <w:name w:val="Balloon Text"/>
    <w:basedOn w:val="1"/>
    <w:link w:val="47"/>
    <w:semiHidden/>
    <w:unhideWhenUsed/>
    <w:qFormat/>
    <w:uiPriority w:val="99"/>
    <w:rPr>
      <w:sz w:val="18"/>
      <w:szCs w:val="18"/>
    </w:rPr>
  </w:style>
  <w:style w:type="paragraph" w:styleId="16">
    <w:name w:val="footer"/>
    <w:basedOn w:val="1"/>
    <w:link w:val="29"/>
    <w:unhideWhenUsed/>
    <w:qFormat/>
    <w:uiPriority w:val="99"/>
    <w:pPr>
      <w:tabs>
        <w:tab w:val="center" w:pos="4153"/>
        <w:tab w:val="right" w:pos="8306"/>
      </w:tabs>
      <w:snapToGrid w:val="0"/>
      <w:jc w:val="left"/>
    </w:pPr>
    <w:rPr>
      <w:sz w:val="18"/>
      <w:szCs w:val="18"/>
    </w:rPr>
  </w:style>
  <w:style w:type="paragraph" w:styleId="17">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20">
    <w:name w:val="Table Grid"/>
    <w:basedOn w:val="19"/>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rPr>
      <w:rFonts w:ascii="Arial" w:hAnsi="Arial" w:eastAsia="黑体" w:cs="Arial"/>
      <w:snapToGrid w:val="0"/>
      <w:kern w:val="0"/>
      <w:szCs w:val="21"/>
    </w:rPr>
  </w:style>
  <w:style w:type="character" w:styleId="23">
    <w:name w:val="FollowedHyperlink"/>
    <w:basedOn w:val="21"/>
    <w:semiHidden/>
    <w:unhideWhenUsed/>
    <w:qFormat/>
    <w:uiPriority w:val="99"/>
    <w:rPr>
      <w:color w:val="333333"/>
      <w:u w:val="none"/>
    </w:rPr>
  </w:style>
  <w:style w:type="character" w:styleId="24">
    <w:name w:val="Hyperlink"/>
    <w:qFormat/>
    <w:uiPriority w:val="99"/>
    <w:rPr>
      <w:rFonts w:ascii="Arial" w:hAnsi="Arial" w:eastAsia="黑体" w:cs="Arial"/>
      <w:snapToGrid w:val="0"/>
      <w:color w:val="000000"/>
      <w:kern w:val="0"/>
      <w:sz w:val="18"/>
      <w:szCs w:val="18"/>
      <w:u w:val="none"/>
    </w:rPr>
  </w:style>
  <w:style w:type="character" w:styleId="25">
    <w:name w:val="HTML Sample"/>
    <w:basedOn w:val="21"/>
    <w:semiHidden/>
    <w:unhideWhenUsed/>
    <w:qFormat/>
    <w:uiPriority w:val="99"/>
    <w:rPr>
      <w:rFonts w:ascii="Courier New" w:hAnsi="Courier New"/>
    </w:rPr>
  </w:style>
  <w:style w:type="paragraph" w:customStyle="1" w:styleId="26">
    <w:name w:val="_Style 3"/>
    <w:basedOn w:val="1"/>
    <w:qFormat/>
    <w:uiPriority w:val="0"/>
    <w:pPr>
      <w:ind w:firstLine="420" w:firstLineChars="200"/>
    </w:pPr>
    <w:rPr>
      <w:rFonts w:eastAsia="仿宋_GB2312"/>
      <w:sz w:val="28"/>
    </w:rPr>
  </w:style>
  <w:style w:type="paragraph" w:customStyle="1" w:styleId="27">
    <w:name w:val="[Normal]"/>
    <w:qFormat/>
    <w:uiPriority w:val="0"/>
    <w:rPr>
      <w:rFonts w:ascii="宋体" w:hAnsi="宋体" w:eastAsia="宋体" w:cs="Times New Roman"/>
      <w:sz w:val="24"/>
      <w:szCs w:val="22"/>
      <w:lang w:val="zh-CN" w:eastAsia="zh-CN" w:bidi="ar-SA"/>
    </w:rPr>
  </w:style>
  <w:style w:type="character" w:customStyle="1" w:styleId="28">
    <w:name w:val="页眉 Char"/>
    <w:basedOn w:val="21"/>
    <w:link w:val="17"/>
    <w:qFormat/>
    <w:uiPriority w:val="99"/>
    <w:rPr>
      <w:sz w:val="18"/>
      <w:szCs w:val="18"/>
    </w:rPr>
  </w:style>
  <w:style w:type="character" w:customStyle="1" w:styleId="29">
    <w:name w:val="页脚 Char"/>
    <w:basedOn w:val="21"/>
    <w:link w:val="16"/>
    <w:qFormat/>
    <w:uiPriority w:val="99"/>
    <w:rPr>
      <w:sz w:val="18"/>
      <w:szCs w:val="18"/>
    </w:rPr>
  </w:style>
  <w:style w:type="character" w:customStyle="1" w:styleId="30">
    <w:name w:val="标题 2 Char"/>
    <w:basedOn w:val="21"/>
    <w:link w:val="6"/>
    <w:qFormat/>
    <w:uiPriority w:val="0"/>
    <w:rPr>
      <w:rFonts w:ascii="仿宋_GB2312" w:hAnsi="仿宋" w:eastAsia="仿宋_GB2312" w:cs="Times New Roman"/>
      <w:b/>
      <w:bCs/>
      <w:sz w:val="32"/>
      <w:szCs w:val="32"/>
      <w:lang w:val="zh-CN"/>
    </w:rPr>
  </w:style>
  <w:style w:type="character" w:customStyle="1" w:styleId="31">
    <w:name w:val="正文文本缩进 Char"/>
    <w:basedOn w:val="21"/>
    <w:link w:val="3"/>
    <w:qFormat/>
    <w:uiPriority w:val="0"/>
    <w:rPr>
      <w:rFonts w:ascii="宋体" w:hAnsi="宋体" w:eastAsia="宋体" w:cs="Times New Roman"/>
      <w:sz w:val="24"/>
      <w:szCs w:val="24"/>
    </w:rPr>
  </w:style>
  <w:style w:type="character" w:customStyle="1" w:styleId="32">
    <w:name w:val="日期 Char"/>
    <w:basedOn w:val="21"/>
    <w:link w:val="14"/>
    <w:qFormat/>
    <w:uiPriority w:val="0"/>
    <w:rPr>
      <w:rFonts w:ascii="宋体" w:hAnsi="Calibri" w:eastAsia="宋体" w:cs="Times New Roman"/>
      <w:sz w:val="24"/>
      <w:szCs w:val="21"/>
      <w:lang w:val="zh-CN"/>
    </w:rPr>
  </w:style>
  <w:style w:type="character" w:customStyle="1" w:styleId="33">
    <w:name w:val="纯文本 Char"/>
    <w:basedOn w:val="21"/>
    <w:link w:val="13"/>
    <w:qFormat/>
    <w:uiPriority w:val="0"/>
    <w:rPr>
      <w:rFonts w:ascii="宋体" w:hAnsi="Courier New" w:eastAsia="宋体" w:cs="Arial"/>
      <w:snapToGrid w:val="0"/>
      <w:szCs w:val="21"/>
    </w:rPr>
  </w:style>
  <w:style w:type="character" w:customStyle="1" w:styleId="34">
    <w:name w:val="正文文本 Char"/>
    <w:basedOn w:val="21"/>
    <w:link w:val="9"/>
    <w:qFormat/>
    <w:uiPriority w:val="0"/>
    <w:rPr>
      <w:rFonts w:ascii="宋体" w:hAnsi="Arial" w:eastAsia="宋体" w:cs="Arial"/>
      <w:snapToGrid w:val="0"/>
      <w:sz w:val="24"/>
      <w:szCs w:val="21"/>
      <w:lang w:val="zh-CN"/>
    </w:rPr>
  </w:style>
  <w:style w:type="paragraph" w:customStyle="1" w:styleId="35">
    <w:name w:val="索引 11"/>
    <w:basedOn w:val="1"/>
    <w:next w:val="1"/>
    <w:qFormat/>
    <w:uiPriority w:val="99"/>
    <w:pPr>
      <w:spacing w:line="360" w:lineRule="auto"/>
    </w:pPr>
    <w:rPr>
      <w:rFonts w:ascii="仿宋_GB2312" w:eastAsia="仿宋_GB2312"/>
      <w:sz w:val="24"/>
      <w:szCs w:val="20"/>
    </w:rPr>
  </w:style>
  <w:style w:type="paragraph" w:customStyle="1" w:styleId="3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39">
    <w:name w:val="纯文本1"/>
    <w:basedOn w:val="1"/>
    <w:qFormat/>
    <w:uiPriority w:val="0"/>
    <w:rPr>
      <w:rFonts w:ascii="宋体" w:hAnsi="Courier New"/>
      <w:kern w:val="0"/>
      <w:sz w:val="20"/>
      <w:szCs w:val="20"/>
    </w:rPr>
  </w:style>
  <w:style w:type="paragraph" w:customStyle="1" w:styleId="4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纯文本_0_0"/>
    <w:basedOn w:val="40"/>
    <w:qFormat/>
    <w:uiPriority w:val="0"/>
    <w:rPr>
      <w:rFonts w:ascii="宋体" w:hAnsi="Courier New"/>
      <w:szCs w:val="21"/>
    </w:rPr>
  </w:style>
  <w:style w:type="paragraph" w:customStyle="1" w:styleId="42">
    <w:name w:val="正文2"/>
    <w:basedOn w:val="1"/>
    <w:qFormat/>
    <w:uiPriority w:val="0"/>
    <w:pPr>
      <w:spacing w:before="156" w:line="360" w:lineRule="auto"/>
      <w:ind w:firstLine="510" w:firstLineChars="200"/>
    </w:pPr>
    <w:rPr>
      <w:sz w:val="24"/>
      <w:szCs w:val="20"/>
    </w:rPr>
  </w:style>
  <w:style w:type="paragraph" w:customStyle="1" w:styleId="43">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44">
    <w:name w:val="标题 3 Char"/>
    <w:basedOn w:val="21"/>
    <w:link w:val="7"/>
    <w:semiHidden/>
    <w:qFormat/>
    <w:uiPriority w:val="9"/>
    <w:rPr>
      <w:rFonts w:ascii="Calibri" w:hAnsi="Calibri" w:eastAsia="宋体" w:cs="Times New Roman"/>
      <w:b/>
      <w:bCs/>
      <w:sz w:val="32"/>
      <w:szCs w:val="32"/>
    </w:rPr>
  </w:style>
  <w:style w:type="character" w:customStyle="1" w:styleId="45">
    <w:name w:val="标题 4 Char"/>
    <w:basedOn w:val="21"/>
    <w:link w:val="8"/>
    <w:semiHidden/>
    <w:qFormat/>
    <w:uiPriority w:val="9"/>
    <w:rPr>
      <w:rFonts w:asciiTheme="majorHAnsi" w:hAnsiTheme="majorHAnsi" w:eastAsiaTheme="majorEastAsia" w:cstheme="majorBidi"/>
      <w:b/>
      <w:bCs/>
      <w:sz w:val="28"/>
      <w:szCs w:val="28"/>
    </w:rPr>
  </w:style>
  <w:style w:type="paragraph" w:customStyle="1" w:styleId="46">
    <w:name w:val="标题4"/>
    <w:basedOn w:val="1"/>
    <w:qFormat/>
    <w:uiPriority w:val="0"/>
    <w:rPr>
      <w:rFonts w:ascii="Times New Roman" w:hAnsi="Times New Roman" w:eastAsia="仿宋_GB2312"/>
      <w:sz w:val="32"/>
      <w:szCs w:val="20"/>
    </w:rPr>
  </w:style>
  <w:style w:type="character" w:customStyle="1" w:styleId="47">
    <w:name w:val="批注框文本 Char"/>
    <w:basedOn w:val="21"/>
    <w:link w:val="15"/>
    <w:semiHidden/>
    <w:qFormat/>
    <w:uiPriority w:val="99"/>
    <w:rPr>
      <w:rFonts w:ascii="Calibri" w:hAnsi="Calibri" w:eastAsia="宋体" w:cs="Times New Roman"/>
      <w:sz w:val="18"/>
      <w:szCs w:val="18"/>
    </w:rPr>
  </w:style>
  <w:style w:type="character" w:customStyle="1" w:styleId="48">
    <w:name w:val="List Paragraph Char"/>
    <w:link w:val="49"/>
    <w:qFormat/>
    <w:locked/>
    <w:uiPriority w:val="0"/>
    <w:rPr>
      <w:rFonts w:ascii="Times New Roman" w:hAnsi="Times New Roman"/>
      <w:szCs w:val="24"/>
    </w:rPr>
  </w:style>
  <w:style w:type="paragraph" w:customStyle="1" w:styleId="49">
    <w:name w:val="列出段落1"/>
    <w:basedOn w:val="1"/>
    <w:link w:val="48"/>
    <w:qFormat/>
    <w:uiPriority w:val="0"/>
    <w:pPr>
      <w:ind w:firstLine="420" w:firstLineChars="200"/>
    </w:pPr>
    <w:rPr>
      <w:rFonts w:ascii="Times New Roman" w:hAnsi="Times New Roman" w:eastAsiaTheme="minorEastAsia" w:cstheme="minorBidi"/>
    </w:rPr>
  </w:style>
  <w:style w:type="character" w:customStyle="1" w:styleId="50">
    <w:name w:val="layui-laypage-curr"/>
    <w:basedOn w:val="21"/>
    <w:qFormat/>
    <w:uiPriority w:val="0"/>
  </w:style>
  <w:style w:type="character" w:customStyle="1" w:styleId="51">
    <w:name w:val="cur"/>
    <w:basedOn w:val="21"/>
    <w:qFormat/>
    <w:uiPriority w:val="0"/>
  </w:style>
  <w:style w:type="character" w:customStyle="1" w:styleId="52">
    <w:name w:val="font41"/>
    <w:basedOn w:val="21"/>
    <w:qFormat/>
    <w:uiPriority w:val="0"/>
    <w:rPr>
      <w:rFonts w:hint="eastAsia" w:ascii="仿宋" w:hAnsi="仿宋" w:eastAsia="仿宋" w:cs="仿宋"/>
      <w:b/>
      <w:bCs/>
      <w:color w:val="333333"/>
      <w:sz w:val="21"/>
      <w:szCs w:val="21"/>
      <w:u w:val="none"/>
    </w:rPr>
  </w:style>
  <w:style w:type="paragraph" w:customStyle="1" w:styleId="53">
    <w:name w:val="Table Paragraph"/>
    <w:basedOn w:val="1"/>
    <w:qFormat/>
    <w:uiPriority w:val="0"/>
    <w:pPr>
      <w:autoSpaceDE w:val="0"/>
      <w:autoSpaceDN w:val="0"/>
      <w:jc w:val="left"/>
    </w:pPr>
    <w:rPr>
      <w:rFonts w:ascii="宋体" w:hAnsi="宋体" w:cs="宋体"/>
      <w:kern w:val="0"/>
      <w:sz w:val="22"/>
      <w:szCs w:val="22"/>
      <w:lang w:val="zh-CN"/>
    </w:rPr>
  </w:style>
  <w:style w:type="paragraph" w:customStyle="1" w:styleId="54">
    <w:name w:val="公告正文"/>
    <w:basedOn w:val="1"/>
    <w:qFormat/>
    <w:uiPriority w:val="0"/>
    <w:pPr>
      <w:spacing w:line="400" w:lineRule="atLeast"/>
      <w:ind w:firstLine="437"/>
    </w:pPr>
    <w:rPr>
      <w:rFonts w:ascii="宋体" w:hAnsi="宋体"/>
      <w:kern w:val="0"/>
      <w:sz w:val="24"/>
    </w:rPr>
  </w:style>
  <w:style w:type="paragraph" w:customStyle="1" w:styleId="55">
    <w:name w:val="彩色列表 - 强调文字颜色 11"/>
    <w:basedOn w:val="1"/>
    <w:qFormat/>
    <w:uiPriority w:val="34"/>
    <w:pPr>
      <w:ind w:firstLine="420" w:firstLineChars="200"/>
    </w:pPr>
    <w:rPr>
      <w:rFonts w:ascii="Times New Roman" w:hAnsi="Times New Roman"/>
    </w:rPr>
  </w:style>
  <w:style w:type="character" w:customStyle="1" w:styleId="56">
    <w:name w:val="font21"/>
    <w:basedOn w:val="21"/>
    <w:qFormat/>
    <w:uiPriority w:val="0"/>
    <w:rPr>
      <w:rFonts w:hint="eastAsia" w:ascii="宋体" w:hAnsi="宋体" w:eastAsia="宋体" w:cs="宋体"/>
      <w:b/>
      <w:bCs/>
      <w:color w:val="000000"/>
      <w:sz w:val="22"/>
      <w:szCs w:val="22"/>
      <w:u w:val="none"/>
    </w:rPr>
  </w:style>
  <w:style w:type="character" w:customStyle="1" w:styleId="57">
    <w:name w:val="font11"/>
    <w:basedOn w:val="21"/>
    <w:qFormat/>
    <w:uiPriority w:val="0"/>
    <w:rPr>
      <w:rFonts w:hint="default" w:ascii="Tahoma" w:hAnsi="Tahoma" w:eastAsia="Tahoma" w:cs="Tahoma"/>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67</Pages>
  <Words>2108</Words>
  <Characters>2664</Characters>
  <Lines>222</Lines>
  <Paragraphs>62</Paragraphs>
  <TotalTime>202</TotalTime>
  <ScaleCrop>false</ScaleCrop>
  <LinksUpToDate>false</LinksUpToDate>
  <CharactersWithSpaces>2888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2022-04-06T06:41:00Z</dcterms:created>
  <dc:creator>Microsoft</dc:creator>
  <cp:lastModifiedBy>月寒秋夜无影</cp:lastModifiedBy>
  <cp:lastPrinted>2024-10-10T23:43:00Z</cp:lastPrinted>
  <dcterms:modified xsi:type="dcterms:W3CDTF">2025-02-19T05:27:17Z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C87EA1BC90AA4D959B08755A8541A98E_13</vt:lpwstr>
  </property>
  <property fmtid="{D5CDD505-2E9C-101B-9397-08002B2CF9AE}" pid="4" name="KSOTemplateDocerSaveRecord">
    <vt:lpwstr>eyJoZGlkIjoiMDJjNjczOGRiNTUyYzkwN2VhNDEwMTdjMjc3ZWJkYWUiLCJ1c2VySWQiOiI0NjAzMjEwMzgifQ==</vt:lpwstr>
  </property>
</Properties>
</file>