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B3FDB">
      <w:pPr>
        <w:jc w:val="center"/>
        <w:rPr>
          <w:rFonts w:hint="eastAsia" w:ascii="宋体" w:hAnsi="宋体" w:cs="宋体"/>
          <w:b/>
          <w:bCs/>
          <w:spacing w:val="100"/>
          <w:sz w:val="72"/>
          <w:szCs w:val="72"/>
        </w:rPr>
      </w:pPr>
    </w:p>
    <w:p w14:paraId="76072D53">
      <w:pPr>
        <w:jc w:val="center"/>
        <w:rPr>
          <w:rFonts w:hint="eastAsia" w:ascii="宋体" w:hAnsi="宋体" w:cs="宋体"/>
          <w:b/>
          <w:bCs/>
          <w:spacing w:val="100"/>
          <w:sz w:val="72"/>
          <w:szCs w:val="72"/>
        </w:rPr>
      </w:pPr>
      <w:r>
        <w:rPr>
          <w:rFonts w:hint="eastAsia" w:ascii="宋体" w:hAnsi="宋体" w:cs="宋体"/>
          <w:b/>
          <w:bCs/>
          <w:spacing w:val="100"/>
          <w:sz w:val="72"/>
          <w:szCs w:val="72"/>
        </w:rPr>
        <w:t>文成县国有企业采购</w:t>
      </w:r>
    </w:p>
    <w:p w14:paraId="445BB278">
      <w:pPr>
        <w:jc w:val="center"/>
        <w:rPr>
          <w:rFonts w:hint="eastAsia" w:ascii="宋体" w:hAnsi="宋体" w:cs="宋体"/>
          <w:b/>
          <w:bCs/>
          <w:spacing w:val="26"/>
          <w:sz w:val="52"/>
        </w:rPr>
      </w:pPr>
    </w:p>
    <w:p w14:paraId="26C8C26C">
      <w:pPr>
        <w:spacing w:line="900" w:lineRule="exact"/>
        <w:rPr>
          <w:rFonts w:hint="eastAsia" w:ascii="宋体" w:hAnsi="宋体" w:cs="宋体"/>
          <w:b/>
          <w:bCs/>
          <w:spacing w:val="140"/>
          <w:sz w:val="84"/>
          <w:szCs w:val="84"/>
        </w:rPr>
      </w:pPr>
    </w:p>
    <w:p w14:paraId="578E540D">
      <w:pPr>
        <w:spacing w:line="900" w:lineRule="exact"/>
        <w:jc w:val="center"/>
        <w:rPr>
          <w:rFonts w:hint="eastAsia" w:ascii="宋体" w:hAnsi="宋体" w:cs="宋体"/>
          <w:b/>
          <w:bCs/>
          <w:spacing w:val="140"/>
          <w:sz w:val="72"/>
          <w:szCs w:val="72"/>
        </w:rPr>
      </w:pPr>
      <w:r>
        <w:rPr>
          <w:rFonts w:hint="eastAsia" w:ascii="宋体" w:hAnsi="宋体" w:cs="宋体"/>
          <w:b/>
          <w:bCs/>
          <w:spacing w:val="140"/>
          <w:sz w:val="72"/>
          <w:szCs w:val="72"/>
        </w:rPr>
        <w:t xml:space="preserve"> 采购文件</w:t>
      </w:r>
    </w:p>
    <w:p w14:paraId="0A1D8348">
      <w:pPr>
        <w:spacing w:line="600" w:lineRule="exact"/>
        <w:jc w:val="center"/>
        <w:rPr>
          <w:rFonts w:hint="eastAsia" w:ascii="宋体" w:hAnsi="宋体" w:cs="宋体"/>
          <w:b/>
          <w:bCs/>
          <w:spacing w:val="140"/>
          <w:sz w:val="84"/>
          <w:szCs w:val="84"/>
        </w:rPr>
      </w:pPr>
    </w:p>
    <w:p w14:paraId="749DADF4">
      <w:pPr>
        <w:spacing w:line="360" w:lineRule="auto"/>
        <w:jc w:val="center"/>
        <w:rPr>
          <w:rFonts w:hint="eastAsia" w:ascii="宋体" w:hAnsi="宋体" w:cs="宋体"/>
          <w:b/>
          <w:bCs/>
          <w:sz w:val="32"/>
          <w:szCs w:val="32"/>
        </w:rPr>
      </w:pPr>
      <w:r>
        <w:rPr>
          <w:rFonts w:hint="eastAsia" w:ascii="Arial" w:hAnsi="Arial" w:cs="Arial"/>
          <w:color w:val="000000"/>
          <w:sz w:val="36"/>
          <w:szCs w:val="32"/>
        </w:rPr>
        <w:t>（线上电子招投标）</w:t>
      </w:r>
    </w:p>
    <w:p w14:paraId="6A71DBFD">
      <w:pPr>
        <w:spacing w:line="360" w:lineRule="auto"/>
        <w:jc w:val="center"/>
        <w:rPr>
          <w:rFonts w:hint="eastAsia" w:ascii="宋体" w:hAnsi="宋体" w:cs="宋体"/>
          <w:spacing w:val="40"/>
          <w:sz w:val="30"/>
          <w:szCs w:val="30"/>
        </w:rPr>
      </w:pPr>
    </w:p>
    <w:p w14:paraId="1F701482">
      <w:pPr>
        <w:pStyle w:val="11"/>
      </w:pPr>
    </w:p>
    <w:p w14:paraId="43C44AAB">
      <w:pPr>
        <w:spacing w:line="360" w:lineRule="auto"/>
        <w:ind w:firstLine="904" w:firstLineChars="300"/>
        <w:outlineLvl w:val="0"/>
        <w:rPr>
          <w:rFonts w:hint="eastAsia" w:ascii="宋体" w:hAnsi="宋体" w:eastAsia="宋体" w:cs="宋体"/>
          <w:b/>
          <w:bCs/>
          <w:sz w:val="30"/>
          <w:szCs w:val="30"/>
          <w:lang w:eastAsia="zh-CN"/>
        </w:rPr>
      </w:pPr>
      <w:bookmarkStart w:id="0" w:name="_Toc12778"/>
      <w:bookmarkStart w:id="1" w:name="_Toc5218"/>
      <w:bookmarkStart w:id="2" w:name="_Toc30315"/>
      <w:r>
        <w:rPr>
          <w:rFonts w:hint="eastAsia" w:ascii="宋体" w:hAnsi="宋体" w:cs="宋体"/>
          <w:b/>
          <w:bCs/>
          <w:sz w:val="30"/>
          <w:szCs w:val="30"/>
        </w:rPr>
        <w:t>项目编号：</w:t>
      </w:r>
      <w:bookmarkEnd w:id="0"/>
      <w:bookmarkEnd w:id="1"/>
      <w:bookmarkEnd w:id="2"/>
      <w:r>
        <w:rPr>
          <w:rFonts w:hint="eastAsia" w:ascii="宋体" w:hAnsi="宋体" w:cs="宋体"/>
          <w:b/>
          <w:bCs/>
          <w:sz w:val="30"/>
          <w:szCs w:val="30"/>
          <w:highlight w:val="none"/>
          <w:lang w:eastAsia="zh-CN"/>
        </w:rPr>
        <w:t>WGWC-LNGS-2024001</w:t>
      </w:r>
    </w:p>
    <w:p w14:paraId="7E450AF2">
      <w:pPr>
        <w:spacing w:line="360" w:lineRule="auto"/>
        <w:ind w:left="2401" w:leftChars="426" w:hanging="1506" w:hangingChars="500"/>
        <w:outlineLvl w:val="0"/>
        <w:rPr>
          <w:rFonts w:hint="eastAsia" w:ascii="宋体" w:hAnsi="宋体" w:cs="宋体"/>
          <w:b/>
          <w:bCs/>
          <w:sz w:val="30"/>
          <w:szCs w:val="30"/>
        </w:rPr>
      </w:pPr>
      <w:bookmarkStart w:id="3" w:name="_Toc3683"/>
      <w:bookmarkStart w:id="4" w:name="_Toc17503"/>
      <w:r>
        <w:rPr>
          <w:rFonts w:hint="eastAsia" w:ascii="宋体" w:hAnsi="宋体" w:cs="宋体"/>
          <w:b/>
          <w:bCs/>
          <w:sz w:val="30"/>
          <w:szCs w:val="30"/>
        </w:rPr>
        <w:t>项目名称：</w:t>
      </w:r>
      <w:bookmarkEnd w:id="3"/>
      <w:bookmarkEnd w:id="4"/>
      <w:r>
        <w:rPr>
          <w:rFonts w:hint="eastAsia" w:ascii="宋体" w:hAnsi="宋体" w:cs="宋体"/>
          <w:b/>
          <w:bCs/>
          <w:sz w:val="30"/>
          <w:szCs w:val="30"/>
        </w:rPr>
        <w:t>文成县新型能源体系构建白皮书（2024-2035年）</w:t>
      </w:r>
    </w:p>
    <w:p w14:paraId="3D570A42">
      <w:pPr>
        <w:spacing w:line="360" w:lineRule="auto"/>
        <w:ind w:firstLine="904" w:firstLineChars="300"/>
        <w:outlineLvl w:val="0"/>
        <w:rPr>
          <w:rFonts w:hint="eastAsia" w:ascii="宋体" w:hAnsi="宋体" w:cs="宋体"/>
          <w:b/>
          <w:bCs/>
          <w:sz w:val="30"/>
          <w:szCs w:val="30"/>
        </w:rPr>
      </w:pPr>
      <w:bookmarkStart w:id="5" w:name="_Toc16534"/>
      <w:bookmarkStart w:id="6" w:name="_Toc6464"/>
      <w:r>
        <w:rPr>
          <w:rFonts w:hint="eastAsia" w:ascii="宋体" w:hAnsi="宋体" w:cs="宋体"/>
          <w:b/>
          <w:bCs/>
          <w:sz w:val="30"/>
          <w:szCs w:val="30"/>
        </w:rPr>
        <w:t>采购方式：</w:t>
      </w:r>
      <w:bookmarkEnd w:id="5"/>
      <w:bookmarkEnd w:id="6"/>
      <w:r>
        <w:rPr>
          <w:rFonts w:hint="eastAsia" w:ascii="宋体" w:hAnsi="宋体" w:cs="宋体"/>
          <w:b/>
          <w:bCs/>
          <w:sz w:val="30"/>
          <w:szCs w:val="30"/>
        </w:rPr>
        <w:t>竞争性磋商</w:t>
      </w:r>
    </w:p>
    <w:p w14:paraId="65FE282F">
      <w:pPr>
        <w:spacing w:line="600" w:lineRule="exact"/>
        <w:jc w:val="center"/>
        <w:rPr>
          <w:rFonts w:hint="eastAsia" w:ascii="宋体" w:hAnsi="宋体" w:cs="宋体"/>
          <w:b/>
          <w:sz w:val="30"/>
          <w:szCs w:val="30"/>
        </w:rPr>
      </w:pPr>
    </w:p>
    <w:p w14:paraId="6A38DEE4">
      <w:pPr>
        <w:spacing w:line="600" w:lineRule="exact"/>
        <w:rPr>
          <w:rFonts w:hint="eastAsia" w:ascii="宋体" w:hAnsi="宋体" w:cs="宋体"/>
          <w:b/>
          <w:sz w:val="30"/>
          <w:szCs w:val="30"/>
        </w:rPr>
      </w:pPr>
    </w:p>
    <w:p w14:paraId="2A3182C6">
      <w:pPr>
        <w:spacing w:line="480" w:lineRule="auto"/>
        <w:ind w:firstLine="1807" w:firstLineChars="600"/>
        <w:outlineLvl w:val="0"/>
        <w:rPr>
          <w:rFonts w:hint="eastAsia" w:ascii="宋体" w:hAnsi="宋体" w:cs="宋体"/>
          <w:b/>
          <w:bCs/>
          <w:sz w:val="30"/>
          <w:szCs w:val="30"/>
        </w:rPr>
      </w:pPr>
      <w:bookmarkStart w:id="7" w:name="_Toc13898"/>
      <w:bookmarkStart w:id="8" w:name="_Toc12378"/>
      <w:bookmarkStart w:id="9" w:name="_Toc18771"/>
      <w:r>
        <w:rPr>
          <w:rFonts w:hint="eastAsia" w:ascii="宋体" w:hAnsi="宋体" w:cs="宋体"/>
          <w:b/>
          <w:bCs/>
          <w:sz w:val="30"/>
          <w:szCs w:val="30"/>
        </w:rPr>
        <w:t xml:space="preserve">采 购 人: </w:t>
      </w:r>
      <w:bookmarkEnd w:id="7"/>
      <w:bookmarkEnd w:id="8"/>
      <w:bookmarkEnd w:id="9"/>
      <w:r>
        <w:rPr>
          <w:rFonts w:hint="eastAsia" w:ascii="宋体" w:hAnsi="宋体" w:cs="宋体"/>
          <w:b/>
          <w:bCs/>
          <w:sz w:val="30"/>
          <w:szCs w:val="30"/>
        </w:rPr>
        <w:t>文成县绿色能源发展有限公司</w:t>
      </w:r>
    </w:p>
    <w:p w14:paraId="202B8086">
      <w:pPr>
        <w:spacing w:line="480" w:lineRule="auto"/>
        <w:ind w:firstLine="1807" w:firstLineChars="600"/>
        <w:outlineLvl w:val="0"/>
        <w:rPr>
          <w:rFonts w:hint="eastAsia" w:ascii="宋体" w:hAnsi="宋体" w:cs="宋体"/>
          <w:b/>
          <w:bCs/>
          <w:sz w:val="30"/>
          <w:szCs w:val="30"/>
        </w:rPr>
      </w:pPr>
      <w:bookmarkStart w:id="10" w:name="_Toc29353"/>
      <w:bookmarkStart w:id="11" w:name="_Toc7732"/>
      <w:bookmarkStart w:id="12" w:name="_Toc10615"/>
      <w:r>
        <w:rPr>
          <w:rFonts w:hint="eastAsia" w:ascii="宋体" w:hAnsi="宋体" w:cs="宋体"/>
          <w:b/>
          <w:bCs/>
          <w:sz w:val="30"/>
          <w:szCs w:val="30"/>
        </w:rPr>
        <w:t>代理机构:</w:t>
      </w:r>
      <w:bookmarkEnd w:id="10"/>
      <w:bookmarkEnd w:id="11"/>
      <w:bookmarkEnd w:id="12"/>
      <w:r>
        <w:rPr>
          <w:rFonts w:hint="eastAsia" w:ascii="宋体" w:hAnsi="宋体" w:cs="宋体"/>
          <w:b/>
          <w:bCs/>
          <w:sz w:val="30"/>
          <w:szCs w:val="30"/>
        </w:rPr>
        <w:t xml:space="preserve"> 浙江信达咨询监理有限公司</w:t>
      </w:r>
    </w:p>
    <w:p w14:paraId="0532B382">
      <w:pPr>
        <w:spacing w:line="480" w:lineRule="auto"/>
        <w:ind w:firstLine="2711" w:firstLineChars="900"/>
        <w:outlineLvl w:val="0"/>
        <w:rPr>
          <w:rFonts w:hint="eastAsia" w:ascii="宋体" w:hAnsi="宋体" w:cs="宋体"/>
          <w:b/>
          <w:bCs/>
          <w:sz w:val="30"/>
          <w:szCs w:val="30"/>
        </w:rPr>
      </w:pPr>
      <w:bookmarkStart w:id="13" w:name="_Toc32674"/>
      <w:bookmarkStart w:id="14" w:name="_Toc10113"/>
      <w:bookmarkStart w:id="15" w:name="_Toc14568"/>
      <w:r>
        <w:rPr>
          <w:rFonts w:hint="eastAsia" w:ascii="宋体" w:hAnsi="宋体" w:cs="宋体"/>
          <w:b/>
          <w:bCs/>
          <w:sz w:val="30"/>
          <w:szCs w:val="30"/>
        </w:rPr>
        <w:t>日    期：二〇二四年</w:t>
      </w:r>
      <w:r>
        <w:rPr>
          <w:rFonts w:hint="eastAsia" w:ascii="宋体" w:hAnsi="宋体" w:cs="宋体"/>
          <w:b/>
          <w:bCs/>
          <w:sz w:val="30"/>
          <w:szCs w:val="30"/>
          <w:lang w:val="en-US" w:eastAsia="zh-CN"/>
        </w:rPr>
        <w:t>十</w:t>
      </w:r>
      <w:r>
        <w:rPr>
          <w:rFonts w:hint="eastAsia" w:ascii="宋体" w:hAnsi="宋体" w:cs="宋体"/>
          <w:b/>
          <w:bCs/>
          <w:sz w:val="30"/>
          <w:szCs w:val="30"/>
        </w:rPr>
        <w:t>月</w:t>
      </w:r>
      <w:bookmarkEnd w:id="13"/>
      <w:bookmarkEnd w:id="14"/>
      <w:bookmarkEnd w:id="15"/>
    </w:p>
    <w:p w14:paraId="4CE7F231">
      <w:pPr>
        <w:rPr>
          <w:rFonts w:hint="eastAsia" w:ascii="宋体" w:hAnsi="宋体" w:cs="宋体"/>
          <w:b/>
          <w:bCs/>
          <w:sz w:val="36"/>
          <w:szCs w:val="36"/>
        </w:rPr>
        <w:sectPr>
          <w:headerReference r:id="rId3" w:type="default"/>
          <w:footerReference r:id="rId4" w:type="default"/>
          <w:pgSz w:w="11906" w:h="16838"/>
          <w:pgMar w:top="1440" w:right="1080" w:bottom="1440" w:left="1080" w:header="851" w:footer="992" w:gutter="0"/>
          <w:pgNumType w:start="1"/>
          <w:cols w:space="720" w:num="1"/>
          <w:docGrid w:linePitch="312" w:charSpace="0"/>
        </w:sectPr>
      </w:pPr>
    </w:p>
    <w:p w14:paraId="17645E72">
      <w:pPr>
        <w:spacing w:line="360" w:lineRule="auto"/>
        <w:ind w:left="210" w:leftChars="100"/>
        <w:jc w:val="center"/>
        <w:rPr>
          <w:color w:val="000000"/>
          <w:sz w:val="48"/>
        </w:rPr>
      </w:pPr>
      <w:r>
        <w:rPr>
          <w:color w:val="000000"/>
          <w:sz w:val="48"/>
          <w:lang w:val="zh-CN"/>
        </w:rPr>
        <w:t>目</w:t>
      </w:r>
      <w:r>
        <w:rPr>
          <w:rFonts w:hint="eastAsia"/>
          <w:color w:val="000000"/>
          <w:sz w:val="48"/>
          <w:lang w:val="zh-CN"/>
        </w:rPr>
        <w:t xml:space="preserve"> </w:t>
      </w:r>
      <w:r>
        <w:rPr>
          <w:color w:val="000000"/>
          <w:sz w:val="48"/>
          <w:lang w:val="zh-CN"/>
        </w:rPr>
        <w:t>录</w:t>
      </w:r>
    </w:p>
    <w:p w14:paraId="3D1DA1E3">
      <w:pPr>
        <w:pStyle w:val="19"/>
        <w:tabs>
          <w:tab w:val="right" w:leader="dot" w:pos="8963"/>
        </w:tabs>
        <w:rPr>
          <w:color w:val="000000"/>
        </w:rPr>
      </w:pPr>
      <w:r>
        <w:rPr>
          <w:color w:val="000000"/>
        </w:rPr>
        <w:fldChar w:fldCharType="begin"/>
      </w:r>
      <w:r>
        <w:rPr>
          <w:color w:val="000000"/>
        </w:rPr>
        <w:instrText xml:space="preserve">TOC \o "1-1" \h \u </w:instrText>
      </w:r>
      <w:r>
        <w:rPr>
          <w:color w:val="000000"/>
        </w:rPr>
        <w:fldChar w:fldCharType="separate"/>
      </w:r>
      <w:r>
        <w:fldChar w:fldCharType="begin"/>
      </w:r>
      <w:r>
        <w:instrText xml:space="preserve"> HYPERLINK \l "_Toc4755" </w:instrText>
      </w:r>
      <w:r>
        <w:fldChar w:fldCharType="separate"/>
      </w:r>
      <w:r>
        <w:rPr>
          <w:rFonts w:hAnsi="宋体"/>
          <w:szCs w:val="28"/>
        </w:rPr>
        <w:t>第一部分  招标公告</w:t>
      </w:r>
      <w:r>
        <w:tab/>
      </w:r>
      <w:r>
        <w:fldChar w:fldCharType="begin"/>
      </w:r>
      <w:r>
        <w:instrText xml:space="preserve"> PAGEREF _Toc4755 \h </w:instrText>
      </w:r>
      <w:r>
        <w:fldChar w:fldCharType="separate"/>
      </w:r>
      <w:r>
        <w:t>3</w:t>
      </w:r>
      <w:r>
        <w:fldChar w:fldCharType="end"/>
      </w:r>
      <w:r>
        <w:fldChar w:fldCharType="end"/>
      </w:r>
    </w:p>
    <w:p w14:paraId="29D97118"/>
    <w:p w14:paraId="5EDEDB81">
      <w:pPr>
        <w:pStyle w:val="19"/>
        <w:tabs>
          <w:tab w:val="right" w:leader="dot" w:pos="8963"/>
        </w:tabs>
        <w:rPr>
          <w:color w:val="000000"/>
        </w:rPr>
      </w:pPr>
      <w:r>
        <w:fldChar w:fldCharType="begin"/>
      </w:r>
      <w:r>
        <w:instrText xml:space="preserve"> HYPERLINK \l "_Toc25857" </w:instrText>
      </w:r>
      <w:r>
        <w:fldChar w:fldCharType="separate"/>
      </w:r>
      <w:r>
        <w:rPr>
          <w:rFonts w:hAnsi="宋体"/>
          <w:szCs w:val="28"/>
        </w:rPr>
        <w:t>第二部分</w:t>
      </w:r>
      <w:r>
        <w:rPr>
          <w:szCs w:val="28"/>
        </w:rPr>
        <w:t xml:space="preserve">  </w:t>
      </w:r>
      <w:r>
        <w:rPr>
          <w:rFonts w:hAnsi="宋体"/>
          <w:szCs w:val="28"/>
        </w:rPr>
        <w:t>投标须知及前附表</w:t>
      </w:r>
      <w:r>
        <w:tab/>
      </w:r>
      <w:r>
        <w:fldChar w:fldCharType="begin"/>
      </w:r>
      <w:r>
        <w:instrText xml:space="preserve"> PAGEREF _Toc25857 \h </w:instrText>
      </w:r>
      <w:r>
        <w:fldChar w:fldCharType="separate"/>
      </w:r>
      <w:r>
        <w:t>7</w:t>
      </w:r>
      <w:r>
        <w:fldChar w:fldCharType="end"/>
      </w:r>
      <w:r>
        <w:fldChar w:fldCharType="end"/>
      </w:r>
    </w:p>
    <w:p w14:paraId="0BFDA728"/>
    <w:p w14:paraId="3477C3E6">
      <w:pPr>
        <w:pStyle w:val="19"/>
        <w:tabs>
          <w:tab w:val="right" w:leader="dot" w:pos="8963"/>
        </w:tabs>
        <w:rPr>
          <w:color w:val="000000"/>
        </w:rPr>
      </w:pPr>
      <w:r>
        <w:fldChar w:fldCharType="begin"/>
      </w:r>
      <w:r>
        <w:instrText xml:space="preserve"> HYPERLINK \l "_Toc5616" </w:instrText>
      </w:r>
      <w:r>
        <w:fldChar w:fldCharType="separate"/>
      </w:r>
      <w:r>
        <w:rPr>
          <w:rFonts w:hAnsi="宋体"/>
          <w:szCs w:val="28"/>
        </w:rPr>
        <w:t>第三部分</w:t>
      </w:r>
      <w:r>
        <w:rPr>
          <w:rFonts w:hint="eastAsia" w:hAnsi="宋体"/>
          <w:szCs w:val="28"/>
        </w:rPr>
        <w:t xml:space="preserve"> </w:t>
      </w:r>
      <w:r>
        <w:rPr>
          <w:rFonts w:hAnsi="宋体"/>
          <w:szCs w:val="28"/>
        </w:rPr>
        <w:t xml:space="preserve"> </w:t>
      </w:r>
      <w:r>
        <w:rPr>
          <w:rFonts w:hint="eastAsia" w:hAnsi="宋体"/>
          <w:szCs w:val="28"/>
        </w:rPr>
        <w:t>招标内容及要求</w:t>
      </w:r>
      <w:r>
        <w:tab/>
      </w:r>
      <w:r>
        <w:fldChar w:fldCharType="begin"/>
      </w:r>
      <w:r>
        <w:instrText xml:space="preserve"> PAGEREF _Toc5616 \h </w:instrText>
      </w:r>
      <w:r>
        <w:fldChar w:fldCharType="separate"/>
      </w:r>
      <w:r>
        <w:t>22</w:t>
      </w:r>
      <w:r>
        <w:fldChar w:fldCharType="end"/>
      </w:r>
      <w:r>
        <w:fldChar w:fldCharType="end"/>
      </w:r>
    </w:p>
    <w:p w14:paraId="2800AFE3"/>
    <w:p w14:paraId="0BFCEA94">
      <w:pPr>
        <w:pStyle w:val="19"/>
        <w:tabs>
          <w:tab w:val="right" w:leader="dot" w:pos="8963"/>
        </w:tabs>
      </w:pPr>
      <w:r>
        <w:fldChar w:fldCharType="begin"/>
      </w:r>
      <w:r>
        <w:instrText xml:space="preserve"> HYPERLINK \l "_Toc3955" </w:instrText>
      </w:r>
      <w:r>
        <w:fldChar w:fldCharType="separate"/>
      </w:r>
      <w:r>
        <w:rPr>
          <w:rFonts w:hint="eastAsia" w:hAnsi="宋体"/>
          <w:szCs w:val="28"/>
        </w:rPr>
        <w:t>第四部分 合同条款</w:t>
      </w:r>
      <w:r>
        <w:tab/>
      </w:r>
      <w:r>
        <w:fldChar w:fldCharType="begin"/>
      </w:r>
      <w:r>
        <w:instrText xml:space="preserve"> PAGEREF _Toc3955 \h </w:instrText>
      </w:r>
      <w:r>
        <w:fldChar w:fldCharType="separate"/>
      </w:r>
      <w:r>
        <w:t>22</w:t>
      </w:r>
      <w:r>
        <w:fldChar w:fldCharType="end"/>
      </w:r>
      <w:r>
        <w:fldChar w:fldCharType="end"/>
      </w:r>
    </w:p>
    <w:p w14:paraId="283403F6">
      <w:pPr>
        <w:pStyle w:val="19"/>
        <w:tabs>
          <w:tab w:val="right" w:leader="dot" w:pos="8963"/>
        </w:tabs>
        <w:rPr>
          <w:color w:val="000000"/>
        </w:rPr>
      </w:pPr>
    </w:p>
    <w:p w14:paraId="14624F7F">
      <w:pPr>
        <w:pStyle w:val="19"/>
        <w:tabs>
          <w:tab w:val="right" w:leader="dot" w:pos="8963"/>
        </w:tabs>
        <w:rPr>
          <w:color w:val="000000"/>
        </w:rPr>
      </w:pPr>
      <w:r>
        <w:fldChar w:fldCharType="begin"/>
      </w:r>
      <w:r>
        <w:instrText xml:space="preserve"> HYPERLINK \l "_Toc8947" </w:instrText>
      </w:r>
      <w:r>
        <w:fldChar w:fldCharType="separate"/>
      </w:r>
      <w:r>
        <w:rPr>
          <w:rFonts w:hAnsi="宋体"/>
          <w:szCs w:val="28"/>
        </w:rPr>
        <w:t>第五部分  投标文件格式</w:t>
      </w:r>
      <w:r>
        <w:tab/>
      </w:r>
      <w:r>
        <w:fldChar w:fldCharType="begin"/>
      </w:r>
      <w:r>
        <w:instrText xml:space="preserve"> PAGEREF _Toc8947 \h </w:instrText>
      </w:r>
      <w:r>
        <w:fldChar w:fldCharType="separate"/>
      </w:r>
      <w:r>
        <w:t>40</w:t>
      </w:r>
      <w:r>
        <w:fldChar w:fldCharType="end"/>
      </w:r>
      <w:r>
        <w:fldChar w:fldCharType="end"/>
      </w:r>
    </w:p>
    <w:p w14:paraId="1F34B45F"/>
    <w:p w14:paraId="12D21A2C">
      <w:pPr>
        <w:pStyle w:val="19"/>
        <w:tabs>
          <w:tab w:val="right" w:leader="dot" w:pos="8963"/>
        </w:tabs>
        <w:rPr>
          <w:color w:val="000000"/>
        </w:rPr>
      </w:pPr>
      <w:r>
        <w:fldChar w:fldCharType="begin"/>
      </w:r>
      <w:r>
        <w:instrText xml:space="preserve"> HYPERLINK \l "_Toc25036" </w:instrText>
      </w:r>
      <w:r>
        <w:fldChar w:fldCharType="separate"/>
      </w:r>
      <w:r>
        <w:rPr>
          <w:rFonts w:hint="eastAsia" w:ascii="宋体" w:hAnsi="宋体" w:cs="Times New Roman"/>
          <w:bCs w:val="0"/>
          <w:kern w:val="2"/>
          <w:szCs w:val="32"/>
        </w:rPr>
        <w:t xml:space="preserve">第六部分  </w:t>
      </w:r>
      <w:r>
        <w:rPr>
          <w:rFonts w:hint="eastAsia" w:ascii="宋体" w:hAnsi="宋体" w:cs="宋体"/>
          <w:szCs w:val="36"/>
        </w:rPr>
        <w:t>评标原则及方法</w:t>
      </w:r>
      <w:r>
        <w:tab/>
      </w:r>
      <w:r>
        <w:fldChar w:fldCharType="begin"/>
      </w:r>
      <w:r>
        <w:instrText xml:space="preserve"> PAGEREF _Toc25036 \h </w:instrText>
      </w:r>
      <w:r>
        <w:fldChar w:fldCharType="separate"/>
      </w:r>
      <w:r>
        <w:t>54</w:t>
      </w:r>
      <w:r>
        <w:fldChar w:fldCharType="end"/>
      </w:r>
      <w:r>
        <w:fldChar w:fldCharType="end"/>
      </w:r>
    </w:p>
    <w:p w14:paraId="6F19F628"/>
    <w:p w14:paraId="7A2CDD40">
      <w:pPr>
        <w:pStyle w:val="19"/>
        <w:tabs>
          <w:tab w:val="right" w:leader="dot" w:pos="8963"/>
        </w:tabs>
        <w:rPr>
          <w:color w:val="000000"/>
        </w:rPr>
      </w:pPr>
      <w:r>
        <w:fldChar w:fldCharType="begin"/>
      </w:r>
      <w:r>
        <w:instrText xml:space="preserve"> HYPERLINK \l "_Toc26399" </w:instrText>
      </w:r>
      <w:r>
        <w:fldChar w:fldCharType="separate"/>
      </w:r>
      <w:r>
        <w:rPr>
          <w:rFonts w:hint="eastAsia" w:ascii="宋体" w:hAnsi="宋体" w:cs="宋体"/>
          <w:szCs w:val="22"/>
        </w:rPr>
        <w:t>四. 评标办法</w:t>
      </w:r>
      <w:r>
        <w:tab/>
      </w:r>
      <w:r>
        <w:fldChar w:fldCharType="begin"/>
      </w:r>
      <w:r>
        <w:instrText xml:space="preserve"> PAGEREF _Toc26399 \h </w:instrText>
      </w:r>
      <w:r>
        <w:fldChar w:fldCharType="separate"/>
      </w:r>
      <w:r>
        <w:t>54</w:t>
      </w:r>
      <w:r>
        <w:fldChar w:fldCharType="end"/>
      </w:r>
      <w:r>
        <w:fldChar w:fldCharType="end"/>
      </w:r>
    </w:p>
    <w:p w14:paraId="5B67F84D"/>
    <w:p w14:paraId="33641F2F">
      <w:pPr>
        <w:pStyle w:val="19"/>
        <w:tabs>
          <w:tab w:val="right" w:leader="dot" w:pos="8963"/>
        </w:tabs>
        <w:rPr>
          <w:color w:val="000000"/>
        </w:rPr>
      </w:pPr>
      <w:r>
        <w:fldChar w:fldCharType="begin"/>
      </w:r>
      <w:r>
        <w:instrText xml:space="preserve"> HYPERLINK \l "_Toc31975" </w:instrText>
      </w:r>
      <w:r>
        <w:fldChar w:fldCharType="separate"/>
      </w:r>
      <w:r>
        <w:rPr>
          <w:rFonts w:hint="eastAsia" w:ascii="宋体" w:hAnsi="宋体" w:cs="宋体"/>
          <w:szCs w:val="22"/>
        </w:rPr>
        <w:t>五. 评分细则</w:t>
      </w:r>
      <w:r>
        <w:tab/>
      </w:r>
      <w:r>
        <w:fldChar w:fldCharType="begin"/>
      </w:r>
      <w:r>
        <w:instrText xml:space="preserve"> PAGEREF _Toc31975 \h </w:instrText>
      </w:r>
      <w:r>
        <w:fldChar w:fldCharType="separate"/>
      </w:r>
      <w:r>
        <w:t>54</w:t>
      </w:r>
      <w:r>
        <w:fldChar w:fldCharType="end"/>
      </w:r>
      <w:r>
        <w:fldChar w:fldCharType="end"/>
      </w:r>
    </w:p>
    <w:p w14:paraId="01B38638"/>
    <w:p w14:paraId="1F77B63A">
      <w:pPr>
        <w:pStyle w:val="19"/>
        <w:tabs>
          <w:tab w:val="right" w:leader="dot" w:pos="8963"/>
        </w:tabs>
        <w:rPr>
          <w:color w:val="000000"/>
        </w:rPr>
      </w:pPr>
      <w:r>
        <w:fldChar w:fldCharType="begin"/>
      </w:r>
      <w:r>
        <w:instrText xml:space="preserve"> HYPERLINK \l "_Toc22332" </w:instrText>
      </w:r>
      <w:r>
        <w:fldChar w:fldCharType="separate"/>
      </w:r>
      <w:r>
        <w:rPr>
          <w:rFonts w:hint="eastAsia" w:ascii="宋体" w:hAnsi="宋体" w:cs="宋体"/>
          <w:szCs w:val="22"/>
        </w:rPr>
        <w:t>六. 定标办法</w:t>
      </w:r>
      <w:r>
        <w:tab/>
      </w:r>
      <w:r>
        <w:fldChar w:fldCharType="begin"/>
      </w:r>
      <w:r>
        <w:instrText xml:space="preserve"> PAGEREF _Toc22332 \h </w:instrText>
      </w:r>
      <w:r>
        <w:fldChar w:fldCharType="separate"/>
      </w:r>
      <w:r>
        <w:t>56</w:t>
      </w:r>
      <w:r>
        <w:fldChar w:fldCharType="end"/>
      </w:r>
      <w:r>
        <w:fldChar w:fldCharType="end"/>
      </w:r>
    </w:p>
    <w:p w14:paraId="0DCDB9FB"/>
    <w:p w14:paraId="18C1FF0C">
      <w:pPr>
        <w:pStyle w:val="19"/>
        <w:tabs>
          <w:tab w:val="right" w:leader="dot" w:pos="8963"/>
        </w:tabs>
      </w:pPr>
      <w:r>
        <w:fldChar w:fldCharType="begin"/>
      </w:r>
      <w:r>
        <w:instrText xml:space="preserve"> HYPERLINK \l "_Toc7729" </w:instrText>
      </w:r>
      <w:r>
        <w:fldChar w:fldCharType="separate"/>
      </w:r>
      <w:r>
        <w:rPr>
          <w:rFonts w:hint="eastAsia" w:ascii="宋体" w:hAnsi="宋体" w:cs="宋体"/>
          <w:szCs w:val="22"/>
        </w:rPr>
        <w:t>七. 确定中标供应商</w:t>
      </w:r>
      <w:r>
        <w:tab/>
      </w:r>
      <w:r>
        <w:fldChar w:fldCharType="begin"/>
      </w:r>
      <w:r>
        <w:instrText xml:space="preserve"> PAGEREF _Toc7729 \h </w:instrText>
      </w:r>
      <w:r>
        <w:fldChar w:fldCharType="separate"/>
      </w:r>
      <w:r>
        <w:t>57</w:t>
      </w:r>
      <w:r>
        <w:fldChar w:fldCharType="end"/>
      </w:r>
      <w:r>
        <w:fldChar w:fldCharType="end"/>
      </w:r>
    </w:p>
    <w:p w14:paraId="5F327282">
      <w:pPr>
        <w:spacing w:line="400" w:lineRule="exact"/>
        <w:rPr>
          <w:color w:val="000000"/>
        </w:rPr>
      </w:pPr>
      <w:r>
        <w:rPr>
          <w:color w:val="000000"/>
        </w:rPr>
        <w:fldChar w:fldCharType="end"/>
      </w:r>
    </w:p>
    <w:p w14:paraId="2DBE6B23">
      <w:pPr>
        <w:spacing w:line="360" w:lineRule="auto"/>
        <w:jc w:val="center"/>
        <w:outlineLvl w:val="0"/>
        <w:rPr>
          <w:rFonts w:ascii="Arial" w:hAnsi="Arial" w:cs="Arial"/>
          <w:b/>
          <w:bCs/>
          <w:color w:val="000000"/>
          <w:sz w:val="28"/>
          <w:szCs w:val="28"/>
        </w:rPr>
      </w:pPr>
      <w:r>
        <w:rPr>
          <w:color w:val="000000"/>
        </w:rPr>
        <w:br w:type="page"/>
      </w:r>
      <w:bookmarkStart w:id="16" w:name="_Toc26976"/>
      <w:bookmarkStart w:id="17" w:name="_Toc4755"/>
      <w:bookmarkStart w:id="18" w:name="_Toc20959"/>
      <w:r>
        <w:rPr>
          <w:rFonts w:ascii="Arial" w:hAnsi="宋体" w:cs="Arial"/>
          <w:b/>
          <w:bCs/>
          <w:color w:val="000000"/>
          <w:sz w:val="28"/>
          <w:szCs w:val="28"/>
        </w:rPr>
        <w:t xml:space="preserve">第一部分  </w:t>
      </w:r>
      <w:bookmarkStart w:id="19" w:name="_Toc101297031"/>
      <w:r>
        <w:rPr>
          <w:rFonts w:ascii="Arial" w:hAnsi="宋体" w:cs="Arial"/>
          <w:b/>
          <w:bCs/>
          <w:color w:val="000000"/>
          <w:sz w:val="28"/>
          <w:szCs w:val="28"/>
        </w:rPr>
        <w:t>招标公告</w:t>
      </w:r>
      <w:bookmarkEnd w:id="16"/>
      <w:bookmarkEnd w:id="17"/>
      <w:bookmarkEnd w:id="18"/>
      <w:bookmarkEnd w:id="19"/>
    </w:p>
    <w:p w14:paraId="6FCBE770">
      <w:pPr>
        <w:spacing w:line="360" w:lineRule="auto"/>
        <w:jc w:val="center"/>
        <w:outlineLvl w:val="0"/>
        <w:rPr>
          <w:rFonts w:hint="eastAsia" w:ascii="楷体" w:hAnsi="楷体" w:eastAsia="Adobe 楷体 Std R"/>
          <w:sz w:val="40"/>
          <w:szCs w:val="40"/>
        </w:rPr>
      </w:pPr>
      <w:bookmarkStart w:id="20" w:name="_Toc26319"/>
      <w:bookmarkStart w:id="21" w:name="_Toc26555"/>
      <w:bookmarkStart w:id="22" w:name="_Toc23940"/>
      <w:r>
        <w:rPr>
          <w:rFonts w:ascii="宋体" w:hAnsi="宋体"/>
          <w:b/>
          <w:sz w:val="32"/>
          <w:szCs w:val="32"/>
        </w:rPr>
        <w:t>浙江信达咨询监理有限公司关于</w:t>
      </w:r>
      <w:r>
        <w:rPr>
          <w:rFonts w:hint="eastAsia" w:ascii="宋体" w:hAnsi="宋体"/>
          <w:b/>
          <w:sz w:val="32"/>
          <w:szCs w:val="32"/>
        </w:rPr>
        <w:t>文成县新型能源体系构建白皮书（2024-2035年）</w:t>
      </w:r>
      <w:r>
        <w:rPr>
          <w:rFonts w:ascii="宋体" w:hAnsi="宋体"/>
          <w:b/>
          <w:sz w:val="32"/>
          <w:szCs w:val="32"/>
        </w:rPr>
        <w:t>的</w:t>
      </w:r>
      <w:bookmarkEnd w:id="20"/>
      <w:bookmarkEnd w:id="21"/>
      <w:r>
        <w:rPr>
          <w:rFonts w:ascii="宋体" w:hAnsi="宋体"/>
          <w:b/>
          <w:sz w:val="32"/>
          <w:szCs w:val="32"/>
        </w:rPr>
        <w:t>竞争性磋商公告</w:t>
      </w:r>
    </w:p>
    <w:p w14:paraId="1F98C693">
      <w:pPr>
        <w:tabs>
          <w:tab w:val="left" w:pos="420"/>
        </w:tabs>
        <w:spacing w:line="360" w:lineRule="auto"/>
        <w:ind w:firstLine="550" w:firstLineChars="250"/>
        <w:rPr>
          <w:rFonts w:hint="eastAsia" w:ascii="宋体" w:hAnsi="宋体" w:cs="宋体"/>
          <w:kern w:val="0"/>
          <w:sz w:val="22"/>
          <w:szCs w:val="22"/>
        </w:rPr>
      </w:pPr>
      <w:r>
        <w:rPr>
          <w:rFonts w:hint="eastAsia" w:ascii="宋体" w:hAnsi="宋体" w:cs="宋体"/>
          <w:kern w:val="0"/>
          <w:sz w:val="22"/>
          <w:szCs w:val="22"/>
        </w:rPr>
        <w:t>根据《温州市市属国有企业采购管理办法（试行）》等有关法律、法规的规定，浙江信达咨询监理有限公司受文成县绿色能源发展有限公司的委托，就文成县新型能源体系构建白皮书（2024-2035年）以竞争性磋商的方式进行国有企业采购，欢迎国内合格的投标供应商前来投标。</w:t>
      </w:r>
    </w:p>
    <w:p w14:paraId="23566E51">
      <w:pPr>
        <w:widowControl/>
        <w:tabs>
          <w:tab w:val="left" w:pos="420"/>
        </w:tabs>
        <w:spacing w:line="360" w:lineRule="auto"/>
        <w:ind w:right="60"/>
        <w:jc w:val="left"/>
        <w:outlineLvl w:val="0"/>
        <w:rPr>
          <w:rFonts w:hint="eastAsia" w:ascii="宋体" w:hAnsi="宋体" w:eastAsia="宋体" w:cs="宋体"/>
          <w:kern w:val="0"/>
          <w:sz w:val="22"/>
          <w:szCs w:val="22"/>
          <w:lang w:eastAsia="zh-CN"/>
        </w:rPr>
      </w:pPr>
      <w:bookmarkStart w:id="23" w:name="_Toc30962"/>
      <w:bookmarkStart w:id="24" w:name="_Toc21272"/>
      <w:bookmarkStart w:id="25" w:name="_Toc26625"/>
      <w:r>
        <w:rPr>
          <w:rFonts w:hint="eastAsia" w:ascii="宋体" w:hAnsi="宋体" w:cs="宋体"/>
          <w:b/>
          <w:kern w:val="0"/>
          <w:sz w:val="22"/>
          <w:szCs w:val="22"/>
        </w:rPr>
        <w:t>一、项目编号：</w:t>
      </w:r>
      <w:bookmarkEnd w:id="23"/>
      <w:bookmarkEnd w:id="24"/>
      <w:bookmarkEnd w:id="25"/>
      <w:r>
        <w:rPr>
          <w:rFonts w:hint="eastAsia" w:ascii="宋体" w:hAnsi="宋体" w:cs="宋体"/>
          <w:bCs/>
          <w:kern w:val="0"/>
          <w:sz w:val="22"/>
          <w:szCs w:val="22"/>
          <w:lang w:eastAsia="zh-CN"/>
        </w:rPr>
        <w:t>WGWC-LNGS-2024001</w:t>
      </w:r>
    </w:p>
    <w:p w14:paraId="15BD64E9">
      <w:pPr>
        <w:widowControl/>
        <w:tabs>
          <w:tab w:val="left" w:pos="420"/>
        </w:tabs>
        <w:spacing w:line="360" w:lineRule="auto"/>
        <w:ind w:right="60"/>
        <w:jc w:val="left"/>
        <w:outlineLvl w:val="0"/>
        <w:rPr>
          <w:rFonts w:hint="eastAsia" w:ascii="宋体" w:hAnsi="宋体" w:cs="宋体"/>
          <w:kern w:val="0"/>
          <w:sz w:val="22"/>
          <w:szCs w:val="22"/>
        </w:rPr>
      </w:pPr>
      <w:bookmarkStart w:id="26" w:name="_Toc22504"/>
      <w:bookmarkStart w:id="27" w:name="_Toc27956"/>
      <w:bookmarkStart w:id="28" w:name="_Toc12849"/>
      <w:r>
        <w:rPr>
          <w:rFonts w:hint="eastAsia" w:ascii="宋体" w:hAnsi="宋体" w:cs="宋体"/>
          <w:b/>
          <w:kern w:val="0"/>
          <w:sz w:val="22"/>
          <w:szCs w:val="22"/>
        </w:rPr>
        <w:t>二、项目名称：</w:t>
      </w:r>
      <w:bookmarkEnd w:id="26"/>
      <w:bookmarkEnd w:id="27"/>
      <w:bookmarkEnd w:id="28"/>
      <w:r>
        <w:rPr>
          <w:rFonts w:hint="eastAsia" w:ascii="宋体" w:hAnsi="宋体" w:cs="宋体"/>
          <w:kern w:val="0"/>
          <w:sz w:val="22"/>
          <w:szCs w:val="22"/>
        </w:rPr>
        <w:t>文成县新型能源体系构建白皮书（2024-2035年）</w:t>
      </w:r>
    </w:p>
    <w:p w14:paraId="026F6680">
      <w:pPr>
        <w:widowControl/>
        <w:tabs>
          <w:tab w:val="left" w:pos="420"/>
        </w:tabs>
        <w:spacing w:line="360" w:lineRule="auto"/>
        <w:ind w:right="60"/>
        <w:jc w:val="left"/>
        <w:outlineLvl w:val="0"/>
        <w:rPr>
          <w:rFonts w:hint="eastAsia" w:ascii="宋体" w:hAnsi="宋体" w:cs="宋体"/>
          <w:kern w:val="0"/>
          <w:sz w:val="22"/>
          <w:szCs w:val="22"/>
        </w:rPr>
      </w:pPr>
      <w:bookmarkStart w:id="29" w:name="_Toc7397"/>
      <w:bookmarkStart w:id="30" w:name="_Toc518"/>
      <w:bookmarkStart w:id="31" w:name="_Toc29739"/>
      <w:r>
        <w:rPr>
          <w:rFonts w:hint="eastAsia" w:ascii="宋体" w:hAnsi="宋体" w:cs="宋体"/>
          <w:b/>
          <w:kern w:val="0"/>
          <w:sz w:val="22"/>
          <w:szCs w:val="22"/>
        </w:rPr>
        <w:t>三、项目性质：</w:t>
      </w:r>
      <w:r>
        <w:rPr>
          <w:rFonts w:hint="eastAsia" w:ascii="宋体" w:hAnsi="宋体" w:cs="宋体"/>
          <w:kern w:val="0"/>
          <w:sz w:val="22"/>
          <w:szCs w:val="22"/>
        </w:rPr>
        <w:t>国企采购（非政府采购项目）</w:t>
      </w:r>
      <w:bookmarkEnd w:id="29"/>
      <w:bookmarkEnd w:id="30"/>
      <w:bookmarkEnd w:id="31"/>
    </w:p>
    <w:p w14:paraId="660EBD6F">
      <w:pPr>
        <w:widowControl/>
        <w:tabs>
          <w:tab w:val="left" w:pos="420"/>
        </w:tabs>
        <w:spacing w:line="360" w:lineRule="auto"/>
        <w:ind w:right="60"/>
        <w:jc w:val="left"/>
        <w:outlineLvl w:val="0"/>
        <w:rPr>
          <w:rFonts w:hint="eastAsia" w:ascii="宋体" w:hAnsi="宋体" w:cs="宋体"/>
          <w:b/>
          <w:kern w:val="0"/>
          <w:sz w:val="22"/>
          <w:szCs w:val="22"/>
        </w:rPr>
      </w:pPr>
      <w:bookmarkStart w:id="32" w:name="_Toc3415"/>
      <w:bookmarkStart w:id="33" w:name="_Toc18644"/>
      <w:bookmarkStart w:id="34" w:name="_Toc6976"/>
      <w:r>
        <w:rPr>
          <w:rFonts w:hint="eastAsia" w:ascii="宋体" w:hAnsi="宋体" w:cs="宋体"/>
          <w:b/>
          <w:kern w:val="0"/>
          <w:sz w:val="22"/>
          <w:szCs w:val="22"/>
        </w:rPr>
        <w:t>四、采购内容（具体采购内容及详细技术要求见采购文件相关部分）：</w:t>
      </w:r>
      <w:bookmarkEnd w:id="32"/>
      <w:bookmarkEnd w:id="33"/>
      <w:bookmarkEnd w:id="34"/>
    </w:p>
    <w:tbl>
      <w:tblPr>
        <w:tblStyle w:val="23"/>
        <w:tblW w:w="5000" w:type="pct"/>
        <w:jc w:val="center"/>
        <w:tblLayout w:type="fixed"/>
        <w:tblCellMar>
          <w:top w:w="0" w:type="dxa"/>
          <w:left w:w="108" w:type="dxa"/>
          <w:bottom w:w="0" w:type="dxa"/>
          <w:right w:w="108" w:type="dxa"/>
        </w:tblCellMar>
      </w:tblPr>
      <w:tblGrid>
        <w:gridCol w:w="779"/>
        <w:gridCol w:w="2374"/>
        <w:gridCol w:w="777"/>
        <w:gridCol w:w="799"/>
        <w:gridCol w:w="1309"/>
        <w:gridCol w:w="3141"/>
      </w:tblGrid>
      <w:tr w14:paraId="69817625">
        <w:tblPrEx>
          <w:tblCellMar>
            <w:top w:w="0" w:type="dxa"/>
            <w:left w:w="108" w:type="dxa"/>
            <w:bottom w:w="0" w:type="dxa"/>
            <w:right w:w="108" w:type="dxa"/>
          </w:tblCellMar>
        </w:tblPrEx>
        <w:trPr>
          <w:trHeight w:val="693" w:hRule="atLeast"/>
          <w:jc w:val="center"/>
        </w:trPr>
        <w:tc>
          <w:tcPr>
            <w:tcW w:w="424" w:type="pct"/>
            <w:tcBorders>
              <w:top w:val="single" w:color="000000" w:sz="4" w:space="0"/>
              <w:left w:val="single" w:color="000000" w:sz="4" w:space="0"/>
              <w:bottom w:val="single" w:color="000000" w:sz="4" w:space="0"/>
              <w:right w:val="single" w:color="000000" w:sz="4" w:space="0"/>
            </w:tcBorders>
            <w:noWrap/>
            <w:vAlign w:val="center"/>
          </w:tcPr>
          <w:p w14:paraId="4AD10956">
            <w:pPr>
              <w:widowControl/>
              <w:ind w:left="60" w:right="60"/>
              <w:jc w:val="center"/>
              <w:rPr>
                <w:rFonts w:hint="eastAsia" w:ascii="宋体" w:hAnsi="宋体" w:cs="宋体"/>
                <w:bCs/>
                <w:kern w:val="0"/>
                <w:sz w:val="22"/>
                <w:szCs w:val="22"/>
              </w:rPr>
            </w:pPr>
            <w:r>
              <w:rPr>
                <w:rFonts w:hint="eastAsia" w:ascii="宋体" w:hAnsi="宋体" w:cs="宋体"/>
                <w:bCs/>
                <w:kern w:val="0"/>
                <w:sz w:val="22"/>
                <w:szCs w:val="22"/>
              </w:rPr>
              <w:t>序号</w:t>
            </w:r>
          </w:p>
        </w:tc>
        <w:tc>
          <w:tcPr>
            <w:tcW w:w="1292" w:type="pct"/>
            <w:tcBorders>
              <w:top w:val="single" w:color="000000" w:sz="4" w:space="0"/>
              <w:left w:val="single" w:color="000000" w:sz="4" w:space="0"/>
              <w:bottom w:val="single" w:color="000000" w:sz="4" w:space="0"/>
              <w:right w:val="single" w:color="000000" w:sz="4" w:space="0"/>
            </w:tcBorders>
            <w:noWrap/>
            <w:vAlign w:val="center"/>
          </w:tcPr>
          <w:p w14:paraId="311A6CD8">
            <w:pPr>
              <w:widowControl/>
              <w:ind w:left="60" w:right="60"/>
              <w:jc w:val="center"/>
              <w:rPr>
                <w:rFonts w:hint="eastAsia" w:ascii="宋体" w:hAnsi="宋体" w:cs="宋体"/>
                <w:bCs/>
                <w:kern w:val="0"/>
                <w:sz w:val="22"/>
                <w:szCs w:val="22"/>
              </w:rPr>
            </w:pPr>
            <w:r>
              <w:rPr>
                <w:rFonts w:hint="eastAsia" w:ascii="宋体" w:hAnsi="宋体" w:cs="宋体"/>
                <w:bCs/>
                <w:kern w:val="0"/>
                <w:sz w:val="22"/>
                <w:szCs w:val="22"/>
              </w:rPr>
              <w:t>标项内容</w:t>
            </w: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42CC492D">
            <w:pPr>
              <w:pStyle w:val="9"/>
              <w:spacing w:before="0" w:beforeAutospacing="0" w:after="0" w:afterAutospacing="0"/>
              <w:ind w:left="60" w:right="60"/>
              <w:jc w:val="center"/>
              <w:rPr>
                <w:color w:val="auto"/>
                <w:sz w:val="22"/>
                <w:szCs w:val="22"/>
              </w:rPr>
            </w:pPr>
            <w:r>
              <w:rPr>
                <w:rFonts w:hint="eastAsia"/>
                <w:color w:val="auto"/>
                <w:sz w:val="22"/>
                <w:szCs w:val="22"/>
              </w:rPr>
              <w:t>数量</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444D7A9">
            <w:pPr>
              <w:pStyle w:val="9"/>
              <w:spacing w:before="0" w:beforeAutospacing="0" w:after="0" w:afterAutospacing="0"/>
              <w:ind w:left="60" w:right="60"/>
              <w:jc w:val="center"/>
              <w:rPr>
                <w:color w:val="auto"/>
                <w:sz w:val="22"/>
                <w:szCs w:val="22"/>
              </w:rPr>
            </w:pPr>
            <w:r>
              <w:rPr>
                <w:rFonts w:hint="eastAsia"/>
                <w:color w:val="auto"/>
                <w:sz w:val="22"/>
                <w:szCs w:val="22"/>
              </w:rPr>
              <w:t>单位</w:t>
            </w:r>
          </w:p>
        </w:tc>
        <w:tc>
          <w:tcPr>
            <w:tcW w:w="713" w:type="pct"/>
            <w:tcBorders>
              <w:top w:val="single" w:color="000000" w:sz="4" w:space="0"/>
              <w:left w:val="single" w:color="000000" w:sz="4" w:space="0"/>
              <w:bottom w:val="single" w:color="000000" w:sz="4" w:space="0"/>
              <w:right w:val="single" w:color="000000" w:sz="4" w:space="0"/>
            </w:tcBorders>
            <w:noWrap/>
            <w:vAlign w:val="center"/>
          </w:tcPr>
          <w:p w14:paraId="2BA1F1B4">
            <w:pPr>
              <w:widowControl/>
              <w:ind w:left="60" w:right="60"/>
              <w:jc w:val="center"/>
              <w:rPr>
                <w:rFonts w:hint="eastAsia" w:ascii="宋体" w:hAnsi="宋体" w:cs="宋体"/>
                <w:bCs/>
                <w:kern w:val="0"/>
                <w:sz w:val="22"/>
                <w:szCs w:val="22"/>
              </w:rPr>
            </w:pPr>
            <w:r>
              <w:rPr>
                <w:rFonts w:hint="eastAsia" w:ascii="宋体" w:hAnsi="宋体" w:cs="宋体"/>
                <w:sz w:val="22"/>
                <w:szCs w:val="22"/>
              </w:rPr>
              <w:t>预算金额（元）</w:t>
            </w:r>
          </w:p>
        </w:tc>
        <w:tc>
          <w:tcPr>
            <w:tcW w:w="1710" w:type="pct"/>
            <w:tcBorders>
              <w:top w:val="single" w:color="000000" w:sz="4" w:space="0"/>
              <w:left w:val="single" w:color="000000" w:sz="4" w:space="0"/>
              <w:bottom w:val="single" w:color="000000" w:sz="4" w:space="0"/>
              <w:right w:val="single" w:color="000000" w:sz="4" w:space="0"/>
            </w:tcBorders>
            <w:noWrap/>
            <w:vAlign w:val="center"/>
          </w:tcPr>
          <w:p w14:paraId="79186E64">
            <w:pPr>
              <w:widowControl/>
              <w:spacing w:line="360" w:lineRule="auto"/>
              <w:ind w:left="60" w:right="60"/>
              <w:jc w:val="center"/>
              <w:rPr>
                <w:rFonts w:hint="eastAsia" w:ascii="宋体" w:hAnsi="宋体" w:cs="宋体"/>
                <w:bCs/>
                <w:kern w:val="0"/>
                <w:sz w:val="22"/>
                <w:szCs w:val="22"/>
              </w:rPr>
            </w:pPr>
            <w:r>
              <w:rPr>
                <w:rFonts w:hint="eastAsia" w:ascii="宋体" w:hAnsi="宋体" w:cs="宋体"/>
                <w:bCs/>
                <w:kern w:val="0"/>
                <w:sz w:val="22"/>
                <w:szCs w:val="22"/>
              </w:rPr>
              <w:t>简要说明</w:t>
            </w:r>
          </w:p>
        </w:tc>
      </w:tr>
      <w:tr w14:paraId="2AA723B8">
        <w:tblPrEx>
          <w:tblCellMar>
            <w:top w:w="0" w:type="dxa"/>
            <w:left w:w="108" w:type="dxa"/>
            <w:bottom w:w="0" w:type="dxa"/>
            <w:right w:w="108" w:type="dxa"/>
          </w:tblCellMar>
        </w:tblPrEx>
        <w:trPr>
          <w:trHeight w:val="1936" w:hRule="atLeast"/>
          <w:jc w:val="center"/>
        </w:trPr>
        <w:tc>
          <w:tcPr>
            <w:tcW w:w="424" w:type="pct"/>
            <w:tcBorders>
              <w:top w:val="single" w:color="000000" w:sz="4" w:space="0"/>
              <w:left w:val="single" w:color="000000" w:sz="4" w:space="0"/>
              <w:bottom w:val="single" w:color="000000" w:sz="4" w:space="0"/>
              <w:right w:val="single" w:color="000000" w:sz="4" w:space="0"/>
            </w:tcBorders>
            <w:noWrap/>
            <w:vAlign w:val="center"/>
          </w:tcPr>
          <w:p w14:paraId="1D2CD85A">
            <w:pPr>
              <w:widowControl/>
              <w:spacing w:line="360" w:lineRule="auto"/>
              <w:jc w:val="center"/>
              <w:rPr>
                <w:rFonts w:hint="eastAsia" w:ascii="宋体" w:hAnsi="宋体" w:cs="宋体"/>
                <w:bCs/>
                <w:kern w:val="0"/>
                <w:sz w:val="22"/>
                <w:szCs w:val="22"/>
              </w:rPr>
            </w:pPr>
            <w:r>
              <w:rPr>
                <w:rFonts w:hint="eastAsia" w:ascii="宋体" w:hAnsi="宋体" w:cs="宋体"/>
                <w:bCs/>
                <w:kern w:val="0"/>
                <w:sz w:val="22"/>
                <w:szCs w:val="22"/>
              </w:rPr>
              <w:t>1</w:t>
            </w:r>
          </w:p>
        </w:tc>
        <w:tc>
          <w:tcPr>
            <w:tcW w:w="1292" w:type="pct"/>
            <w:tcBorders>
              <w:top w:val="single" w:color="000000" w:sz="4" w:space="0"/>
              <w:left w:val="single" w:color="000000" w:sz="4" w:space="0"/>
              <w:bottom w:val="single" w:color="000000" w:sz="4" w:space="0"/>
              <w:right w:val="single" w:color="000000" w:sz="4" w:space="0"/>
            </w:tcBorders>
            <w:noWrap/>
            <w:vAlign w:val="center"/>
          </w:tcPr>
          <w:p w14:paraId="289D6C6C">
            <w:pPr>
              <w:widowControl/>
              <w:spacing w:line="360" w:lineRule="auto"/>
              <w:jc w:val="center"/>
              <w:rPr>
                <w:rFonts w:hint="eastAsia" w:ascii="宋体" w:hAnsi="宋体" w:cs="宋体"/>
                <w:bCs/>
                <w:kern w:val="0"/>
                <w:sz w:val="22"/>
                <w:szCs w:val="22"/>
              </w:rPr>
            </w:pPr>
            <w:r>
              <w:rPr>
                <w:rFonts w:hint="eastAsia" w:ascii="宋体" w:hAnsi="宋体" w:cs="宋体"/>
                <w:bCs/>
                <w:kern w:val="0"/>
                <w:sz w:val="22"/>
                <w:szCs w:val="22"/>
              </w:rPr>
              <w:t>文成县新型能源体系构建白皮书（2024-2035年）</w:t>
            </w: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5D049BC9">
            <w:pPr>
              <w:pStyle w:val="9"/>
              <w:spacing w:before="0" w:beforeAutospacing="0" w:after="0" w:afterAutospacing="0" w:line="360" w:lineRule="auto"/>
              <w:ind w:left="60" w:right="60"/>
              <w:jc w:val="center"/>
              <w:rPr>
                <w:bCs/>
                <w:color w:val="auto"/>
                <w:sz w:val="22"/>
                <w:szCs w:val="22"/>
              </w:rPr>
            </w:pPr>
            <w:r>
              <w:rPr>
                <w:rFonts w:hint="eastAsia"/>
                <w:color w:val="auto"/>
                <w:sz w:val="22"/>
                <w:szCs w:val="22"/>
              </w:rPr>
              <w:t>1</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5B00F041">
            <w:pPr>
              <w:pStyle w:val="9"/>
              <w:spacing w:before="0" w:beforeAutospacing="0" w:after="0" w:afterAutospacing="0" w:line="360" w:lineRule="auto"/>
              <w:ind w:left="60" w:right="60"/>
              <w:jc w:val="center"/>
              <w:rPr>
                <w:rFonts w:hint="eastAsia" w:eastAsia="宋体"/>
                <w:bCs/>
                <w:color w:val="auto"/>
                <w:sz w:val="22"/>
                <w:szCs w:val="22"/>
              </w:rPr>
            </w:pPr>
            <w:r>
              <w:rPr>
                <w:rFonts w:hint="eastAsia"/>
                <w:color w:val="auto"/>
                <w:sz w:val="22"/>
                <w:szCs w:val="22"/>
              </w:rPr>
              <w:t>项</w:t>
            </w:r>
          </w:p>
        </w:tc>
        <w:tc>
          <w:tcPr>
            <w:tcW w:w="713" w:type="pct"/>
            <w:tcBorders>
              <w:top w:val="single" w:color="000000" w:sz="4" w:space="0"/>
              <w:left w:val="single" w:color="000000" w:sz="4" w:space="0"/>
              <w:bottom w:val="single" w:color="000000" w:sz="4" w:space="0"/>
              <w:right w:val="single" w:color="000000" w:sz="4" w:space="0"/>
            </w:tcBorders>
            <w:noWrap/>
            <w:vAlign w:val="center"/>
          </w:tcPr>
          <w:p w14:paraId="4D206911">
            <w:pPr>
              <w:pStyle w:val="30"/>
              <w:widowControl w:val="0"/>
              <w:tabs>
                <w:tab w:val="left" w:pos="426"/>
              </w:tabs>
              <w:spacing w:line="380" w:lineRule="exact"/>
              <w:ind w:firstLine="0" w:firstLineChars="0"/>
              <w:jc w:val="center"/>
              <w:rPr>
                <w:rFonts w:hint="eastAsia" w:ascii="宋体" w:hAnsi="宋体" w:cs="宋体"/>
                <w:bCs/>
                <w:sz w:val="22"/>
                <w:szCs w:val="22"/>
              </w:rPr>
            </w:pPr>
            <w:r>
              <w:rPr>
                <w:rFonts w:hint="eastAsia" w:ascii="宋体" w:hAnsi="宋体" w:cs="宋体"/>
                <w:bCs/>
                <w:sz w:val="22"/>
                <w:szCs w:val="22"/>
                <w:highlight w:val="none"/>
              </w:rPr>
              <w:t>600000</w:t>
            </w:r>
          </w:p>
        </w:tc>
        <w:tc>
          <w:tcPr>
            <w:tcW w:w="1710" w:type="pct"/>
            <w:tcBorders>
              <w:top w:val="single" w:color="000000" w:sz="4" w:space="0"/>
              <w:left w:val="single" w:color="000000" w:sz="4" w:space="0"/>
              <w:bottom w:val="single" w:color="000000" w:sz="4" w:space="0"/>
              <w:right w:val="single" w:color="000000" w:sz="4" w:space="0"/>
            </w:tcBorders>
            <w:noWrap/>
            <w:vAlign w:val="center"/>
          </w:tcPr>
          <w:p w14:paraId="0E0740B9">
            <w:pPr>
              <w:widowControl/>
              <w:snapToGrid w:val="0"/>
              <w:spacing w:line="360" w:lineRule="auto"/>
              <w:rPr>
                <w:rFonts w:hint="eastAsia" w:ascii="宋体" w:hAnsi="宋体" w:cs="宋体"/>
                <w:bCs/>
                <w:kern w:val="0"/>
                <w:sz w:val="22"/>
                <w:szCs w:val="22"/>
              </w:rPr>
            </w:pPr>
            <w:r>
              <w:rPr>
                <w:rFonts w:hint="eastAsia" w:ascii="宋体" w:hAnsi="宋体" w:cs="宋体"/>
                <w:bCs/>
                <w:kern w:val="0"/>
                <w:sz w:val="22"/>
                <w:szCs w:val="22"/>
              </w:rPr>
              <w:t>文成县新型能源体系构建白皮书（2024-2035年）</w:t>
            </w:r>
            <w:r>
              <w:rPr>
                <w:rFonts w:ascii="宋体" w:hAnsi="宋体" w:cs="宋体"/>
                <w:bCs/>
                <w:kern w:val="0"/>
                <w:sz w:val="22"/>
                <w:szCs w:val="22"/>
              </w:rPr>
              <w:t>，具体招标内容及要求见招标文件相关部分。</w:t>
            </w:r>
          </w:p>
        </w:tc>
      </w:tr>
    </w:tbl>
    <w:p w14:paraId="06E6D9EC">
      <w:pPr>
        <w:widowControl/>
        <w:tabs>
          <w:tab w:val="left" w:pos="420"/>
        </w:tabs>
        <w:spacing w:line="360" w:lineRule="auto"/>
        <w:ind w:right="60"/>
        <w:jc w:val="left"/>
        <w:outlineLvl w:val="0"/>
        <w:rPr>
          <w:rFonts w:hint="eastAsia" w:ascii="宋体" w:hAnsi="宋体" w:cs="宋体"/>
          <w:b/>
          <w:kern w:val="0"/>
          <w:sz w:val="22"/>
          <w:szCs w:val="22"/>
        </w:rPr>
      </w:pPr>
      <w:bookmarkStart w:id="35" w:name="_Toc29191"/>
      <w:bookmarkStart w:id="36" w:name="_Toc8045"/>
      <w:bookmarkStart w:id="37" w:name="_Toc4578"/>
      <w:r>
        <w:rPr>
          <w:rFonts w:hint="eastAsia" w:ascii="宋体" w:hAnsi="宋体" w:cs="宋体"/>
          <w:b/>
          <w:kern w:val="0"/>
          <w:sz w:val="22"/>
          <w:szCs w:val="22"/>
        </w:rPr>
        <w:t>五、投标供应商资格要求：</w:t>
      </w:r>
      <w:bookmarkEnd w:id="35"/>
      <w:bookmarkEnd w:id="36"/>
      <w:bookmarkEnd w:id="37"/>
    </w:p>
    <w:p w14:paraId="547A3BC9">
      <w:pPr>
        <w:widowControl/>
        <w:tabs>
          <w:tab w:val="left" w:pos="420"/>
        </w:tabs>
        <w:spacing w:line="360" w:lineRule="auto"/>
        <w:ind w:right="60" w:firstLine="440" w:firstLineChars="200"/>
        <w:jc w:val="left"/>
        <w:rPr>
          <w:rFonts w:hint="eastAsia" w:ascii="宋体" w:hAnsi="宋体" w:cs="宋体"/>
          <w:kern w:val="0"/>
          <w:sz w:val="22"/>
          <w:szCs w:val="22"/>
        </w:rPr>
      </w:pPr>
      <w:r>
        <w:rPr>
          <w:rFonts w:hint="eastAsia" w:ascii="宋体" w:hAnsi="宋体" w:cs="宋体"/>
          <w:kern w:val="0"/>
          <w:sz w:val="22"/>
          <w:szCs w:val="22"/>
        </w:rPr>
        <w:t>1.符合《温州市市属国有企业采购管理办法（试行）》第十五条对供应商参加温州市国有企业采购活动应当具备的条件的要求。</w:t>
      </w:r>
    </w:p>
    <w:p w14:paraId="573622B0">
      <w:pPr>
        <w:pStyle w:val="9"/>
        <w:spacing w:before="0" w:beforeAutospacing="0" w:after="0" w:afterAutospacing="0" w:line="360" w:lineRule="auto"/>
        <w:ind w:firstLine="450"/>
        <w:rPr>
          <w:rFonts w:hint="eastAsia" w:ascii="sans-serif" w:hAnsi="sans-serif" w:eastAsia="sans-serif" w:cs="sans-serif"/>
          <w:color w:val="auto"/>
        </w:rPr>
      </w:pPr>
      <w:r>
        <w:rPr>
          <w:rFonts w:hint="eastAsia"/>
          <w:color w:val="auto"/>
          <w:sz w:val="22"/>
          <w:szCs w:val="22"/>
        </w:rPr>
        <w:t>（1）具有独立承担民事责任的能力；</w:t>
      </w:r>
    </w:p>
    <w:p w14:paraId="630A228E">
      <w:pPr>
        <w:pStyle w:val="9"/>
        <w:spacing w:before="0" w:beforeAutospacing="0" w:after="0" w:afterAutospacing="0" w:line="360" w:lineRule="auto"/>
        <w:ind w:firstLine="450"/>
        <w:rPr>
          <w:rFonts w:hint="eastAsia" w:ascii="sans-serif" w:hAnsi="sans-serif" w:eastAsia="sans-serif" w:cs="sans-serif"/>
          <w:color w:val="auto"/>
        </w:rPr>
      </w:pPr>
      <w:r>
        <w:rPr>
          <w:rFonts w:hint="eastAsia"/>
          <w:color w:val="auto"/>
          <w:sz w:val="22"/>
          <w:szCs w:val="22"/>
        </w:rPr>
        <w:t>（2）具有良好的商业信誉和健全的财务会计制度；</w:t>
      </w:r>
    </w:p>
    <w:p w14:paraId="69278202">
      <w:pPr>
        <w:pStyle w:val="9"/>
        <w:spacing w:before="0" w:beforeAutospacing="0" w:after="0" w:afterAutospacing="0" w:line="360" w:lineRule="auto"/>
        <w:ind w:firstLine="450"/>
        <w:rPr>
          <w:rFonts w:hint="eastAsia" w:ascii="sans-serif" w:hAnsi="sans-serif" w:eastAsia="sans-serif" w:cs="sans-serif"/>
          <w:color w:val="auto"/>
        </w:rPr>
      </w:pPr>
      <w:r>
        <w:rPr>
          <w:rFonts w:hint="eastAsia"/>
          <w:color w:val="auto"/>
          <w:sz w:val="22"/>
          <w:szCs w:val="22"/>
        </w:rPr>
        <w:t>（3）具有履行合同所必需的设备和专业技术、售后保障等能力；</w:t>
      </w:r>
    </w:p>
    <w:p w14:paraId="6FC6C2A9">
      <w:pPr>
        <w:pStyle w:val="9"/>
        <w:spacing w:before="0" w:beforeAutospacing="0" w:after="0" w:afterAutospacing="0" w:line="360" w:lineRule="auto"/>
        <w:ind w:firstLine="450"/>
        <w:rPr>
          <w:rFonts w:hint="eastAsia" w:ascii="sans-serif" w:hAnsi="sans-serif" w:eastAsia="sans-serif" w:cs="sans-serif"/>
          <w:color w:val="auto"/>
        </w:rPr>
      </w:pPr>
      <w:r>
        <w:rPr>
          <w:rFonts w:hint="eastAsia"/>
          <w:color w:val="auto"/>
          <w:sz w:val="22"/>
          <w:szCs w:val="22"/>
        </w:rPr>
        <w:t>（4）有依法缴纳税收和社会保障资金的良好记录；</w:t>
      </w:r>
    </w:p>
    <w:p w14:paraId="3EDD12F2">
      <w:pPr>
        <w:pStyle w:val="9"/>
        <w:spacing w:before="0" w:beforeAutospacing="0" w:after="0" w:afterAutospacing="0" w:line="360" w:lineRule="auto"/>
        <w:ind w:firstLine="450"/>
        <w:rPr>
          <w:rFonts w:hint="eastAsia" w:ascii="sans-serif" w:hAnsi="sans-serif" w:eastAsia="sans-serif" w:cs="sans-serif"/>
          <w:color w:val="auto"/>
        </w:rPr>
      </w:pPr>
      <w:r>
        <w:rPr>
          <w:rFonts w:hint="eastAsia"/>
          <w:color w:val="auto"/>
          <w:sz w:val="22"/>
          <w:szCs w:val="22"/>
        </w:rPr>
        <w:t>（5）参加采购、招投标等活动前三年内，在经营活动中没有重大违法记录、严重失信行为和行贿记录；</w:t>
      </w:r>
    </w:p>
    <w:p w14:paraId="255FA388">
      <w:pPr>
        <w:widowControl/>
        <w:tabs>
          <w:tab w:val="left" w:pos="420"/>
        </w:tabs>
        <w:spacing w:line="360" w:lineRule="auto"/>
        <w:ind w:right="60" w:firstLine="440" w:firstLineChars="200"/>
        <w:rPr>
          <w:rFonts w:hint="eastAsia" w:ascii="宋体" w:hAnsi="宋体" w:cs="宋体"/>
          <w:kern w:val="0"/>
          <w:sz w:val="22"/>
          <w:szCs w:val="22"/>
        </w:rPr>
      </w:pPr>
      <w:r>
        <w:rPr>
          <w:rFonts w:hint="eastAsia" w:ascii="宋体" w:cs="宋体"/>
          <w:sz w:val="22"/>
          <w:szCs w:val="22"/>
        </w:rPr>
        <w:t>（6）法律、行政法规规定的其他条件。</w:t>
      </w:r>
    </w:p>
    <w:p w14:paraId="72A32D44">
      <w:pPr>
        <w:widowControl/>
        <w:tabs>
          <w:tab w:val="left" w:pos="420"/>
        </w:tabs>
        <w:spacing w:line="360" w:lineRule="auto"/>
        <w:ind w:right="60" w:firstLine="440" w:firstLineChars="200"/>
        <w:rPr>
          <w:rFonts w:hint="eastAsia" w:ascii="宋体" w:hAnsi="宋体" w:cs="宋体"/>
          <w:kern w:val="0"/>
          <w:sz w:val="22"/>
          <w:szCs w:val="22"/>
        </w:rPr>
      </w:pPr>
      <w:r>
        <w:rPr>
          <w:rFonts w:hint="eastAsia" w:ascii="宋体" w:hAnsi="宋体" w:cs="宋体"/>
          <w:kern w:val="0"/>
          <w:sz w:val="22"/>
          <w:szCs w:val="22"/>
        </w:rPr>
        <w:t>2.投标供应商未被“信用中国”（www.creditchina.gov.cn）、中国政府采购网（www.ccgp.gov.cn）列入失信被执行人、重大税收违法案件当事人名单、采购严重违法失信行为记录名单。</w:t>
      </w:r>
    </w:p>
    <w:p w14:paraId="06856A10">
      <w:pPr>
        <w:widowControl/>
        <w:tabs>
          <w:tab w:val="left" w:pos="420"/>
        </w:tabs>
        <w:spacing w:line="360" w:lineRule="auto"/>
        <w:ind w:right="60" w:firstLine="440" w:firstLineChars="200"/>
        <w:jc w:val="left"/>
        <w:rPr>
          <w:rFonts w:hint="eastAsia" w:ascii="宋体" w:hAnsi="宋体" w:cs="宋体"/>
          <w:kern w:val="0"/>
          <w:sz w:val="22"/>
          <w:szCs w:val="22"/>
        </w:rPr>
      </w:pPr>
      <w:r>
        <w:rPr>
          <w:rFonts w:hint="eastAsia" w:hAnsi="宋体" w:cs="宋体"/>
          <w:kern w:val="0"/>
          <w:sz w:val="22"/>
          <w:szCs w:val="22"/>
        </w:rPr>
        <w:t>3.</w:t>
      </w:r>
      <w:r>
        <w:rPr>
          <w:rFonts w:hint="eastAsia" w:ascii="宋体" w:hAnsi="宋体" w:cs="宋体"/>
          <w:kern w:val="0"/>
          <w:sz w:val="22"/>
          <w:szCs w:val="22"/>
        </w:rPr>
        <w:t>本项目不接受联合体投标</w:t>
      </w:r>
      <w:r>
        <w:rPr>
          <w:rFonts w:hint="eastAsia" w:ascii="宋体" w:hAnsi="宋体" w:cs="宋体"/>
          <w:bCs/>
          <w:sz w:val="22"/>
          <w:szCs w:val="22"/>
        </w:rPr>
        <w:t>。</w:t>
      </w:r>
    </w:p>
    <w:p w14:paraId="162E47A6">
      <w:pPr>
        <w:widowControl/>
        <w:tabs>
          <w:tab w:val="left" w:pos="420"/>
        </w:tabs>
        <w:spacing w:line="360" w:lineRule="auto"/>
        <w:ind w:right="60"/>
        <w:jc w:val="left"/>
        <w:outlineLvl w:val="0"/>
        <w:rPr>
          <w:rFonts w:hint="eastAsia" w:ascii="宋体" w:hAnsi="宋体" w:cs="宋体"/>
          <w:b/>
          <w:kern w:val="0"/>
          <w:sz w:val="22"/>
          <w:szCs w:val="22"/>
        </w:rPr>
      </w:pPr>
      <w:bookmarkStart w:id="38" w:name="_Toc5774"/>
      <w:bookmarkStart w:id="39" w:name="_Toc8087"/>
      <w:bookmarkStart w:id="40" w:name="_Toc30268"/>
      <w:r>
        <w:rPr>
          <w:rFonts w:hint="eastAsia" w:ascii="宋体" w:hAnsi="宋体" w:cs="宋体"/>
          <w:b/>
          <w:kern w:val="0"/>
          <w:sz w:val="22"/>
          <w:szCs w:val="22"/>
        </w:rPr>
        <w:t>六、报名、发售采购文件时间及地点：</w:t>
      </w:r>
      <w:bookmarkEnd w:id="38"/>
      <w:bookmarkEnd w:id="39"/>
      <w:bookmarkEnd w:id="40"/>
    </w:p>
    <w:p w14:paraId="015C897D">
      <w:pPr>
        <w:widowControl/>
        <w:tabs>
          <w:tab w:val="left" w:pos="420"/>
        </w:tabs>
        <w:spacing w:line="360" w:lineRule="auto"/>
        <w:ind w:firstLine="440" w:firstLineChars="200"/>
        <w:jc w:val="left"/>
        <w:rPr>
          <w:rFonts w:hint="eastAsia" w:ascii="宋体" w:hAnsi="宋体" w:cs="宋体"/>
          <w:kern w:val="0"/>
          <w:sz w:val="22"/>
          <w:szCs w:val="22"/>
        </w:rPr>
      </w:pPr>
      <w:r>
        <w:rPr>
          <w:rFonts w:hint="eastAsia" w:ascii="宋体" w:hAnsi="宋体" w:cs="宋体"/>
          <w:kern w:val="0"/>
          <w:sz w:val="22"/>
          <w:szCs w:val="22"/>
        </w:rPr>
        <w:t>1.报名、采购文件发售时间：自本公告公布日起至投标文件递交截止时间之前报名、购买采购文件均有效，未按规定购买采购文件的潜在投标供应商拒绝参加投标。</w:t>
      </w:r>
    </w:p>
    <w:p w14:paraId="08D8BB62">
      <w:pPr>
        <w:widowControl/>
        <w:tabs>
          <w:tab w:val="left" w:pos="420"/>
        </w:tabs>
        <w:spacing w:line="360" w:lineRule="auto"/>
        <w:ind w:firstLine="440" w:firstLineChars="200"/>
        <w:jc w:val="left"/>
        <w:rPr>
          <w:rFonts w:hint="eastAsia" w:ascii="宋体" w:hAnsi="宋体" w:cs="宋体"/>
          <w:kern w:val="0"/>
          <w:sz w:val="22"/>
          <w:szCs w:val="22"/>
        </w:rPr>
      </w:pPr>
      <w:r>
        <w:rPr>
          <w:rFonts w:hint="eastAsia" w:ascii="宋体" w:hAnsi="宋体" w:cs="宋体"/>
          <w:kern w:val="0"/>
          <w:sz w:val="22"/>
          <w:szCs w:val="22"/>
        </w:rPr>
        <w:t>2.报名方式：</w:t>
      </w:r>
    </w:p>
    <w:p w14:paraId="46C98047">
      <w:pPr>
        <w:widowControl/>
        <w:tabs>
          <w:tab w:val="left" w:pos="420"/>
        </w:tabs>
        <w:spacing w:line="360" w:lineRule="auto"/>
        <w:ind w:firstLine="440" w:firstLineChars="200"/>
        <w:jc w:val="left"/>
        <w:rPr>
          <w:rFonts w:hint="eastAsia" w:ascii="宋体" w:hAnsi="宋体" w:cs="宋体"/>
          <w:kern w:val="0"/>
          <w:sz w:val="22"/>
          <w:szCs w:val="22"/>
        </w:rPr>
      </w:pPr>
      <w:r>
        <w:rPr>
          <w:rFonts w:hint="eastAsia" w:ascii="宋体" w:hAnsi="宋体" w:cs="宋体"/>
          <w:kern w:val="0"/>
          <w:sz w:val="22"/>
          <w:szCs w:val="22"/>
        </w:rPr>
        <w:t>网上报名获取采购文件，供应商须注册浙江政府采购网（http://zfcg.czt.zj.gov.cn/）帐号，登录进入“政采云”平台进行报名获取采购文件（获取采购文件时须在政采云平台上传有效的供应商法定代表人授权书、营业执照复印件、文成县国有企业采购投标报名申请表，以上资料加盖公章上传）。网上报名获取采购文件成功后，请供应商将“政采云”平台获取采购文件成功后的界面截图并填写联系人、联系方式后发送电子邮件至代理机构电子邮箱：75808147@</w:t>
      </w:r>
      <w:r>
        <w:rPr>
          <w:rFonts w:hint="eastAsia" w:ascii="宋体" w:hAnsi="宋体" w:cs="宋体"/>
          <w:kern w:val="0"/>
          <w:sz w:val="22"/>
          <w:szCs w:val="22"/>
          <w:lang w:val="en-US" w:eastAsia="zh-CN"/>
        </w:rPr>
        <w:t>qq.com</w:t>
      </w:r>
      <w:r>
        <w:rPr>
          <w:rFonts w:hint="eastAsia" w:ascii="宋体" w:hAnsi="宋体" w:cs="宋体"/>
          <w:kern w:val="0"/>
          <w:sz w:val="22"/>
          <w:szCs w:val="22"/>
        </w:rPr>
        <w:t>。代理机构经过审核</w:t>
      </w:r>
      <w:r>
        <w:rPr>
          <w:rFonts w:hint="eastAsia" w:ascii="宋体" w:hAnsi="宋体" w:cs="宋体"/>
          <w:kern w:val="0"/>
          <w:sz w:val="22"/>
          <w:szCs w:val="22"/>
          <w:lang w:val="en-US" w:eastAsia="zh-CN"/>
        </w:rPr>
        <w:t>合格</w:t>
      </w:r>
      <w:r>
        <w:rPr>
          <w:rFonts w:hint="eastAsia" w:ascii="宋体" w:hAnsi="宋体" w:cs="宋体"/>
          <w:kern w:val="0"/>
          <w:sz w:val="22"/>
          <w:szCs w:val="22"/>
        </w:rPr>
        <w:t>后</w:t>
      </w:r>
      <w:r>
        <w:rPr>
          <w:rFonts w:hint="eastAsia" w:ascii="宋体" w:hAnsi="宋体" w:cs="宋体"/>
          <w:kern w:val="0"/>
          <w:sz w:val="22"/>
          <w:szCs w:val="22"/>
          <w:lang w:eastAsia="zh-CN"/>
        </w:rPr>
        <w:t>，</w:t>
      </w:r>
      <w:r>
        <w:rPr>
          <w:rFonts w:hint="eastAsia" w:ascii="宋体" w:hAnsi="宋体" w:cs="宋体"/>
          <w:kern w:val="0"/>
          <w:sz w:val="22"/>
          <w:szCs w:val="22"/>
          <w:lang w:val="en-US" w:eastAsia="zh-CN"/>
        </w:rPr>
        <w:t>且</w:t>
      </w:r>
      <w:r>
        <w:rPr>
          <w:rFonts w:hint="eastAsia" w:ascii="宋体" w:hAnsi="宋体" w:cs="宋体"/>
          <w:kern w:val="0"/>
          <w:sz w:val="22"/>
          <w:szCs w:val="22"/>
        </w:rPr>
        <w:t>供应商将标书购买费汇入代理机构账户（支付宝：13868685553</w:t>
      </w:r>
      <w:r>
        <w:rPr>
          <w:rFonts w:hint="eastAsia" w:ascii="宋体" w:hAnsi="宋体" w:cs="宋体"/>
          <w:kern w:val="0"/>
          <w:sz w:val="22"/>
          <w:szCs w:val="22"/>
          <w:lang w:eastAsia="zh-CN"/>
        </w:rPr>
        <w:t>）；</w:t>
      </w:r>
      <w:r>
        <w:rPr>
          <w:rFonts w:hint="eastAsia" w:ascii="宋体" w:hAnsi="宋体" w:cs="宋体"/>
          <w:kern w:val="0"/>
          <w:sz w:val="22"/>
          <w:szCs w:val="22"/>
        </w:rPr>
        <w:t>才视作依法获取</w:t>
      </w:r>
      <w:r>
        <w:rPr>
          <w:rFonts w:hint="eastAsia" w:ascii="宋体" w:hAnsi="宋体" w:cs="宋体"/>
          <w:kern w:val="0"/>
          <w:sz w:val="22"/>
          <w:szCs w:val="22"/>
          <w:lang w:val="en-US" w:eastAsia="zh-CN"/>
        </w:rPr>
        <w:t>采购</w:t>
      </w:r>
      <w:r>
        <w:rPr>
          <w:rFonts w:hint="eastAsia" w:ascii="宋体" w:hAnsi="宋体" w:cs="宋体"/>
          <w:kern w:val="0"/>
          <w:sz w:val="22"/>
          <w:szCs w:val="22"/>
        </w:rPr>
        <w:t>文件</w:t>
      </w:r>
      <w:r>
        <w:rPr>
          <w:rFonts w:hint="eastAsia" w:ascii="宋体" w:hAnsi="宋体" w:cs="宋体"/>
          <w:kern w:val="0"/>
          <w:sz w:val="22"/>
          <w:szCs w:val="22"/>
          <w:lang w:eastAsia="zh-CN"/>
        </w:rPr>
        <w:t>，</w:t>
      </w:r>
      <w:r>
        <w:rPr>
          <w:rFonts w:hint="eastAsia" w:ascii="宋体" w:hAnsi="宋体" w:cs="宋体"/>
          <w:kern w:val="0"/>
          <w:sz w:val="22"/>
          <w:szCs w:val="22"/>
        </w:rPr>
        <w:t>方可参加</w:t>
      </w:r>
      <w:r>
        <w:rPr>
          <w:rFonts w:hint="eastAsia" w:ascii="宋体" w:hAnsi="宋体" w:cs="宋体"/>
          <w:kern w:val="0"/>
          <w:sz w:val="22"/>
          <w:szCs w:val="22"/>
          <w:lang w:val="en-US" w:eastAsia="zh-CN"/>
        </w:rPr>
        <w:t>投标</w:t>
      </w:r>
      <w:r>
        <w:rPr>
          <w:rFonts w:hint="eastAsia" w:ascii="宋体" w:hAnsi="宋体" w:cs="宋体"/>
          <w:kern w:val="0"/>
          <w:sz w:val="22"/>
          <w:szCs w:val="22"/>
        </w:rPr>
        <w:t>活动。</w:t>
      </w:r>
    </w:p>
    <w:p w14:paraId="2D534EAF">
      <w:pPr>
        <w:widowControl/>
        <w:tabs>
          <w:tab w:val="left" w:pos="420"/>
        </w:tabs>
        <w:spacing w:line="360" w:lineRule="auto"/>
        <w:ind w:firstLine="440" w:firstLineChars="200"/>
        <w:jc w:val="left"/>
        <w:rPr>
          <w:rFonts w:hint="eastAsia" w:ascii="宋体" w:hAnsi="宋体" w:cs="宋体"/>
          <w:kern w:val="0"/>
          <w:sz w:val="22"/>
          <w:szCs w:val="22"/>
        </w:rPr>
      </w:pPr>
      <w:r>
        <w:rPr>
          <w:rFonts w:hint="eastAsia" w:ascii="宋体" w:hAnsi="宋体" w:cs="宋体"/>
          <w:kern w:val="0"/>
          <w:sz w:val="22"/>
          <w:szCs w:val="22"/>
        </w:rPr>
        <w:t>3.报名及采购文件发售地点：文成县大峃镇金龙公寓上首201室。</w:t>
      </w:r>
    </w:p>
    <w:p w14:paraId="2E83A189">
      <w:pPr>
        <w:widowControl/>
        <w:tabs>
          <w:tab w:val="left" w:pos="420"/>
        </w:tabs>
        <w:spacing w:line="360" w:lineRule="auto"/>
        <w:ind w:firstLine="440" w:firstLineChars="200"/>
        <w:jc w:val="left"/>
        <w:rPr>
          <w:rFonts w:hint="eastAsia" w:ascii="宋体" w:hAnsi="宋体" w:cs="宋体"/>
          <w:kern w:val="0"/>
          <w:sz w:val="22"/>
          <w:szCs w:val="22"/>
        </w:rPr>
      </w:pPr>
      <w:r>
        <w:rPr>
          <w:rFonts w:hint="eastAsia" w:ascii="宋体" w:hAnsi="宋体" w:cs="宋体"/>
          <w:kern w:val="0"/>
          <w:sz w:val="22"/>
          <w:szCs w:val="22"/>
        </w:rPr>
        <w:t>4.采购文件售价：人民币500元整(售后不退)</w:t>
      </w:r>
    </w:p>
    <w:p w14:paraId="6CB8CA4C">
      <w:pPr>
        <w:widowControl/>
        <w:tabs>
          <w:tab w:val="left" w:pos="420"/>
        </w:tabs>
        <w:spacing w:line="360" w:lineRule="auto"/>
        <w:ind w:firstLine="440" w:firstLineChars="200"/>
        <w:jc w:val="left"/>
        <w:rPr>
          <w:rFonts w:hint="eastAsia" w:ascii="宋体" w:hAnsi="宋体" w:cs="宋体"/>
          <w:kern w:val="0"/>
          <w:sz w:val="22"/>
          <w:szCs w:val="22"/>
        </w:rPr>
      </w:pPr>
      <w:r>
        <w:rPr>
          <w:rFonts w:hint="eastAsia" w:ascii="宋体" w:hAnsi="宋体" w:cs="宋体"/>
          <w:kern w:val="0"/>
          <w:sz w:val="22"/>
          <w:szCs w:val="22"/>
        </w:rPr>
        <w:t>5.报名时须提交以下文件资料（纸质或扫描件，纸质须装订成册）：</w:t>
      </w:r>
    </w:p>
    <w:p w14:paraId="190EEB2A">
      <w:pPr>
        <w:widowControl/>
        <w:tabs>
          <w:tab w:val="left" w:pos="420"/>
          <w:tab w:val="left" w:pos="840"/>
        </w:tabs>
        <w:spacing w:line="360" w:lineRule="auto"/>
        <w:ind w:firstLine="479" w:firstLineChars="218"/>
        <w:jc w:val="left"/>
        <w:rPr>
          <w:rFonts w:hint="eastAsia" w:ascii="宋体" w:hAnsi="宋体" w:cs="宋体"/>
          <w:kern w:val="0"/>
          <w:sz w:val="22"/>
          <w:szCs w:val="22"/>
        </w:rPr>
      </w:pPr>
      <w:r>
        <w:rPr>
          <w:rFonts w:hint="eastAsia" w:ascii="宋体" w:hAnsi="宋体" w:cs="宋体"/>
          <w:kern w:val="0"/>
          <w:sz w:val="22"/>
          <w:szCs w:val="22"/>
        </w:rPr>
        <w:t>（1）投标供应商单位法定代表人授权书，被授权人身份证复印件；</w:t>
      </w:r>
    </w:p>
    <w:p w14:paraId="1F6039CE">
      <w:pPr>
        <w:widowControl/>
        <w:tabs>
          <w:tab w:val="left" w:pos="420"/>
          <w:tab w:val="left" w:pos="840"/>
        </w:tabs>
        <w:spacing w:line="360" w:lineRule="auto"/>
        <w:ind w:firstLine="479" w:firstLineChars="218"/>
        <w:jc w:val="left"/>
        <w:rPr>
          <w:rFonts w:hint="eastAsia" w:ascii="宋体" w:hAnsi="宋体" w:cs="宋体"/>
          <w:kern w:val="0"/>
          <w:sz w:val="22"/>
          <w:szCs w:val="22"/>
        </w:rPr>
      </w:pPr>
      <w:r>
        <w:rPr>
          <w:rFonts w:hint="eastAsia" w:ascii="宋体" w:hAnsi="宋体" w:cs="宋体"/>
          <w:kern w:val="0"/>
          <w:sz w:val="22"/>
          <w:szCs w:val="22"/>
        </w:rPr>
        <w:t>（2）投标供应商有效的营业执照复印件（加盖单位有效公章）；</w:t>
      </w:r>
    </w:p>
    <w:p w14:paraId="33D1D6B9">
      <w:pPr>
        <w:widowControl/>
        <w:tabs>
          <w:tab w:val="left" w:pos="420"/>
          <w:tab w:val="left" w:pos="840"/>
        </w:tabs>
        <w:spacing w:line="360" w:lineRule="auto"/>
        <w:ind w:firstLine="479" w:firstLineChars="218"/>
        <w:jc w:val="left"/>
        <w:rPr>
          <w:rFonts w:hint="eastAsia" w:ascii="宋体" w:hAnsi="宋体" w:cs="宋体"/>
          <w:kern w:val="0"/>
          <w:sz w:val="22"/>
          <w:szCs w:val="22"/>
        </w:rPr>
      </w:pPr>
      <w:r>
        <w:rPr>
          <w:rFonts w:hint="eastAsia" w:ascii="宋体" w:hAnsi="宋体" w:cs="宋体"/>
          <w:kern w:val="0"/>
          <w:sz w:val="22"/>
          <w:szCs w:val="22"/>
        </w:rPr>
        <w:t>（3）</w:t>
      </w:r>
      <w:r>
        <w:rPr>
          <w:rFonts w:hint="eastAsia" w:ascii="宋体" w:hAnsi="宋体" w:cs="宋体"/>
          <w:kern w:val="0"/>
          <w:sz w:val="22"/>
          <w:szCs w:val="22"/>
          <w:lang w:val="en-US" w:eastAsia="zh-CN"/>
        </w:rPr>
        <w:t>文成县</w:t>
      </w:r>
      <w:r>
        <w:rPr>
          <w:rFonts w:hint="eastAsia" w:ascii="宋体" w:hAnsi="宋体" w:cs="宋体"/>
          <w:kern w:val="0"/>
          <w:sz w:val="22"/>
          <w:szCs w:val="22"/>
        </w:rPr>
        <w:t>国有企业采购投标报名申请表。</w:t>
      </w:r>
    </w:p>
    <w:p w14:paraId="3D4E21C0">
      <w:pPr>
        <w:widowControl/>
        <w:tabs>
          <w:tab w:val="left" w:pos="420"/>
        </w:tabs>
        <w:spacing w:line="360" w:lineRule="auto"/>
        <w:ind w:right="60"/>
        <w:jc w:val="left"/>
        <w:outlineLvl w:val="0"/>
        <w:rPr>
          <w:rFonts w:hint="eastAsia" w:ascii="宋体" w:hAnsi="宋体" w:cs="宋体"/>
          <w:b/>
          <w:kern w:val="0"/>
          <w:sz w:val="22"/>
          <w:szCs w:val="22"/>
        </w:rPr>
      </w:pPr>
      <w:bookmarkStart w:id="41" w:name="_Toc2613"/>
      <w:bookmarkStart w:id="42" w:name="_Toc6583"/>
      <w:bookmarkStart w:id="43" w:name="_Toc3903"/>
      <w:r>
        <w:rPr>
          <w:rFonts w:hint="eastAsia" w:ascii="宋体" w:hAnsi="宋体" w:cs="宋体"/>
          <w:b/>
          <w:kern w:val="0"/>
          <w:sz w:val="22"/>
          <w:szCs w:val="22"/>
        </w:rPr>
        <w:t>七、投标文件递交截止时间、开标时间及地点：</w:t>
      </w:r>
      <w:bookmarkEnd w:id="41"/>
      <w:bookmarkEnd w:id="42"/>
      <w:bookmarkEnd w:id="43"/>
    </w:p>
    <w:p w14:paraId="58B9A049">
      <w:pPr>
        <w:widowControl/>
        <w:tabs>
          <w:tab w:val="left" w:pos="420"/>
        </w:tabs>
        <w:spacing w:line="360" w:lineRule="auto"/>
        <w:ind w:right="60" w:firstLine="440" w:firstLineChars="200"/>
        <w:jc w:val="left"/>
        <w:rPr>
          <w:rFonts w:hint="eastAsia" w:ascii="宋体" w:hAnsi="宋体" w:cs="宋体"/>
          <w:kern w:val="0"/>
          <w:sz w:val="22"/>
          <w:szCs w:val="22"/>
        </w:rPr>
      </w:pPr>
      <w:r>
        <w:rPr>
          <w:rFonts w:hint="eastAsia" w:ascii="宋体" w:hAnsi="宋体" w:cs="宋体"/>
          <w:kern w:val="0"/>
          <w:sz w:val="22"/>
          <w:szCs w:val="22"/>
        </w:rPr>
        <w:t>1.投标截止时间：</w:t>
      </w:r>
      <w:bookmarkStart w:id="44" w:name="B23_谈判响应文件提交截止日期"/>
      <w:bookmarkEnd w:id="44"/>
      <w:r>
        <w:rPr>
          <w:rFonts w:hint="eastAsia" w:ascii="宋体" w:hAnsi="宋体" w:cs="宋体"/>
          <w:kern w:val="0"/>
          <w:sz w:val="22"/>
          <w:szCs w:val="22"/>
          <w:highlight w:val="none"/>
          <w:lang w:eastAsia="zh-CN"/>
        </w:rPr>
        <w:t>2024年11月12日</w:t>
      </w:r>
      <w:r>
        <w:rPr>
          <w:rFonts w:hint="eastAsia" w:ascii="宋体" w:hAnsi="宋体" w:cs="宋体"/>
          <w:kern w:val="0"/>
          <w:sz w:val="22"/>
          <w:szCs w:val="22"/>
          <w:highlight w:val="none"/>
        </w:rPr>
        <w:t>下午14：30</w:t>
      </w:r>
      <w:r>
        <w:rPr>
          <w:rFonts w:hint="eastAsia" w:ascii="宋体" w:hAnsi="宋体" w:cs="宋体"/>
          <w:kern w:val="0"/>
          <w:sz w:val="22"/>
          <w:szCs w:val="22"/>
        </w:rPr>
        <w:t>(北京时间，下同)。</w:t>
      </w:r>
    </w:p>
    <w:p w14:paraId="2A5C6FFD">
      <w:pPr>
        <w:widowControl/>
        <w:tabs>
          <w:tab w:val="left" w:pos="420"/>
        </w:tabs>
        <w:spacing w:line="360" w:lineRule="auto"/>
        <w:ind w:right="60" w:firstLine="440" w:firstLineChars="200"/>
        <w:jc w:val="left"/>
        <w:rPr>
          <w:rFonts w:hint="eastAsia" w:ascii="宋体" w:hAnsi="宋体" w:cs="宋体"/>
          <w:kern w:val="0"/>
          <w:sz w:val="22"/>
          <w:szCs w:val="22"/>
        </w:rPr>
      </w:pPr>
      <w:r>
        <w:rPr>
          <w:rFonts w:hint="eastAsia" w:ascii="宋体" w:hAnsi="宋体" w:cs="宋体"/>
          <w:kern w:val="0"/>
          <w:sz w:val="22"/>
          <w:szCs w:val="22"/>
        </w:rPr>
        <w:t>2.投标文件提交地点：通过“乐采云平台（www.lecaiyun.com）”，实行在线投标响应（电子投标）；</w:t>
      </w:r>
    </w:p>
    <w:p w14:paraId="31FD5FA4">
      <w:pPr>
        <w:widowControl/>
        <w:tabs>
          <w:tab w:val="left" w:pos="420"/>
        </w:tabs>
        <w:spacing w:line="360" w:lineRule="auto"/>
        <w:ind w:right="60" w:firstLine="440" w:firstLineChars="200"/>
        <w:jc w:val="left"/>
        <w:rPr>
          <w:rFonts w:hint="eastAsia" w:ascii="宋体" w:hAnsi="宋体" w:cs="宋体"/>
          <w:kern w:val="0"/>
          <w:sz w:val="22"/>
          <w:szCs w:val="22"/>
        </w:rPr>
      </w:pPr>
      <w:r>
        <w:rPr>
          <w:rFonts w:hint="eastAsia" w:ascii="宋体" w:hAnsi="宋体" w:cs="宋体"/>
          <w:kern w:val="0"/>
          <w:sz w:val="22"/>
          <w:szCs w:val="22"/>
        </w:rPr>
        <w:t>3.开标时间：</w:t>
      </w:r>
      <w:bookmarkStart w:id="45" w:name="B26_谈判时间日期"/>
      <w:bookmarkEnd w:id="45"/>
      <w:r>
        <w:rPr>
          <w:rFonts w:hint="eastAsia" w:ascii="宋体" w:hAnsi="宋体" w:cs="宋体"/>
          <w:kern w:val="0"/>
          <w:sz w:val="22"/>
          <w:szCs w:val="22"/>
        </w:rPr>
        <w:t>同投标截止时间。</w:t>
      </w:r>
    </w:p>
    <w:p w14:paraId="0E4533D2">
      <w:pPr>
        <w:widowControl/>
        <w:tabs>
          <w:tab w:val="left" w:pos="420"/>
        </w:tabs>
        <w:spacing w:line="360" w:lineRule="auto"/>
        <w:ind w:right="60" w:firstLine="440" w:firstLineChars="200"/>
        <w:jc w:val="left"/>
        <w:rPr>
          <w:rFonts w:hint="eastAsia" w:ascii="宋体" w:hAnsi="宋体" w:cs="宋体"/>
          <w:kern w:val="0"/>
          <w:sz w:val="22"/>
          <w:szCs w:val="22"/>
        </w:rPr>
      </w:pPr>
      <w:r>
        <w:rPr>
          <w:rFonts w:hint="eastAsia" w:ascii="宋体" w:hAnsi="宋体" w:cs="宋体"/>
          <w:kern w:val="0"/>
          <w:sz w:val="22"/>
          <w:szCs w:val="22"/>
        </w:rPr>
        <w:t>4.开标地点：乐采云（www.lecaiyun.com）线上开标。</w:t>
      </w:r>
    </w:p>
    <w:p w14:paraId="42D9490C">
      <w:pPr>
        <w:widowControl/>
        <w:tabs>
          <w:tab w:val="left" w:pos="420"/>
        </w:tabs>
        <w:spacing w:line="360" w:lineRule="auto"/>
        <w:ind w:right="60"/>
        <w:jc w:val="left"/>
        <w:outlineLvl w:val="0"/>
        <w:rPr>
          <w:rFonts w:hint="eastAsia" w:ascii="宋体" w:hAnsi="宋体" w:cs="宋体"/>
          <w:b/>
          <w:kern w:val="0"/>
          <w:sz w:val="22"/>
          <w:szCs w:val="22"/>
        </w:rPr>
      </w:pPr>
      <w:bookmarkStart w:id="46" w:name="_Toc1707"/>
      <w:bookmarkStart w:id="47" w:name="_Toc24062"/>
      <w:bookmarkStart w:id="48" w:name="_Toc6507"/>
      <w:r>
        <w:rPr>
          <w:rFonts w:hint="eastAsia" w:ascii="宋体" w:hAnsi="宋体" w:cs="宋体"/>
          <w:b/>
          <w:kern w:val="0"/>
          <w:sz w:val="22"/>
          <w:szCs w:val="22"/>
        </w:rPr>
        <w:t>八、投标保证金及交付方式：</w:t>
      </w:r>
      <w:bookmarkEnd w:id="46"/>
      <w:bookmarkEnd w:id="47"/>
      <w:bookmarkEnd w:id="48"/>
    </w:p>
    <w:p w14:paraId="7E010609">
      <w:pPr>
        <w:widowControl/>
        <w:tabs>
          <w:tab w:val="left" w:pos="420"/>
        </w:tabs>
        <w:spacing w:line="360" w:lineRule="auto"/>
        <w:ind w:firstLine="435"/>
        <w:jc w:val="left"/>
        <w:rPr>
          <w:rFonts w:hint="eastAsia" w:ascii="宋体" w:hAnsi="宋体" w:cs="宋体"/>
          <w:kern w:val="0"/>
          <w:sz w:val="22"/>
          <w:szCs w:val="22"/>
        </w:rPr>
      </w:pPr>
      <w:bookmarkStart w:id="49" w:name="_Toc17501"/>
      <w:r>
        <w:rPr>
          <w:rFonts w:hint="eastAsia" w:ascii="宋体" w:hAnsi="宋体" w:cs="宋体"/>
          <w:kern w:val="0"/>
          <w:sz w:val="22"/>
          <w:szCs w:val="22"/>
        </w:rPr>
        <w:t>本项目无需投标保证金</w:t>
      </w:r>
    </w:p>
    <w:p w14:paraId="07F2F1B8">
      <w:pPr>
        <w:widowControl/>
        <w:tabs>
          <w:tab w:val="left" w:pos="420"/>
        </w:tabs>
        <w:spacing w:line="360" w:lineRule="auto"/>
        <w:ind w:right="60"/>
        <w:jc w:val="left"/>
        <w:outlineLvl w:val="0"/>
        <w:rPr>
          <w:rFonts w:hint="eastAsia" w:ascii="宋体" w:hAnsi="宋体" w:cs="宋体"/>
          <w:b/>
          <w:kern w:val="0"/>
          <w:sz w:val="22"/>
          <w:szCs w:val="22"/>
        </w:rPr>
      </w:pPr>
      <w:bookmarkStart w:id="50" w:name="_Toc30276"/>
      <w:bookmarkStart w:id="51" w:name="_Toc13753"/>
      <w:r>
        <w:rPr>
          <w:rFonts w:hint="eastAsia" w:ascii="宋体" w:hAnsi="宋体" w:cs="宋体"/>
          <w:b/>
          <w:kern w:val="0"/>
          <w:sz w:val="22"/>
          <w:szCs w:val="22"/>
        </w:rPr>
        <w:t>九、其他事项：</w:t>
      </w:r>
      <w:bookmarkEnd w:id="49"/>
      <w:bookmarkEnd w:id="50"/>
      <w:bookmarkEnd w:id="51"/>
    </w:p>
    <w:p w14:paraId="077475BD">
      <w:pPr>
        <w:widowControl/>
        <w:tabs>
          <w:tab w:val="left" w:pos="420"/>
        </w:tabs>
        <w:spacing w:line="360" w:lineRule="auto"/>
        <w:ind w:firstLine="435"/>
        <w:jc w:val="left"/>
        <w:rPr>
          <w:rFonts w:hint="eastAsia" w:ascii="宋体" w:hAnsi="宋体" w:cs="宋体"/>
          <w:kern w:val="0"/>
          <w:sz w:val="22"/>
          <w:szCs w:val="22"/>
        </w:rPr>
      </w:pPr>
      <w:r>
        <w:rPr>
          <w:rFonts w:hint="eastAsia" w:ascii="宋体" w:hAnsi="宋体" w:cs="宋体"/>
          <w:kern w:val="0"/>
          <w:sz w:val="22"/>
          <w:szCs w:val="22"/>
        </w:rPr>
        <w:t>1.采购公告期限：5个工作日，从公告在浙江政府采购网和温州国企采购平台上发布的次日起算。</w:t>
      </w:r>
    </w:p>
    <w:p w14:paraId="4EFC5BD6">
      <w:pPr>
        <w:widowControl/>
        <w:tabs>
          <w:tab w:val="left" w:pos="420"/>
        </w:tabs>
        <w:spacing w:line="360" w:lineRule="auto"/>
        <w:ind w:firstLine="435"/>
        <w:jc w:val="left"/>
        <w:rPr>
          <w:rFonts w:hint="eastAsia" w:ascii="宋体" w:hAnsi="宋体" w:cs="宋体"/>
          <w:kern w:val="0"/>
          <w:sz w:val="22"/>
          <w:szCs w:val="22"/>
        </w:rPr>
      </w:pPr>
      <w:r>
        <w:rPr>
          <w:rFonts w:hint="eastAsia" w:ascii="宋体" w:hAnsi="宋体" w:cs="宋体"/>
          <w:kern w:val="0"/>
          <w:sz w:val="22"/>
          <w:szCs w:val="22"/>
        </w:rPr>
        <w:t>2.</w:t>
      </w:r>
      <w:r>
        <w:rPr>
          <w:rFonts w:hint="eastAsia" w:ascii="宋体" w:hAnsi="宋体" w:cs="宋体"/>
          <w:b/>
          <w:bCs/>
          <w:kern w:val="0"/>
          <w:sz w:val="22"/>
          <w:szCs w:val="22"/>
          <w:u w:val="single"/>
        </w:rPr>
        <w:t>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采购人的采购监管部门投诉</w:t>
      </w:r>
      <w:r>
        <w:rPr>
          <w:rFonts w:hint="eastAsia" w:ascii="宋体" w:hAnsi="宋体" w:cs="宋体"/>
          <w:kern w:val="0"/>
          <w:sz w:val="22"/>
          <w:szCs w:val="22"/>
        </w:rPr>
        <w:t>。</w:t>
      </w:r>
    </w:p>
    <w:p w14:paraId="5F933866">
      <w:pPr>
        <w:widowControl/>
        <w:tabs>
          <w:tab w:val="left" w:pos="420"/>
        </w:tabs>
        <w:spacing w:line="360" w:lineRule="auto"/>
        <w:ind w:firstLine="435"/>
        <w:jc w:val="left"/>
        <w:rPr>
          <w:rFonts w:hint="eastAsia" w:ascii="宋体" w:hAnsi="宋体" w:cs="宋体"/>
          <w:kern w:val="0"/>
          <w:sz w:val="22"/>
          <w:szCs w:val="22"/>
        </w:rPr>
      </w:pPr>
      <w:r>
        <w:rPr>
          <w:rFonts w:hint="eastAsia" w:ascii="宋体" w:hAnsi="宋体" w:cs="宋体"/>
          <w:kern w:val="0"/>
          <w:sz w:val="22"/>
          <w:szCs w:val="22"/>
        </w:rPr>
        <w:t>3.</w:t>
      </w:r>
      <w:r>
        <w:rPr>
          <w:rFonts w:hint="eastAsia" w:ascii="宋体" w:hAnsi="宋体" w:cs="宋体"/>
          <w:b/>
          <w:kern w:val="0"/>
          <w:sz w:val="22"/>
          <w:szCs w:val="22"/>
          <w:u w:val="single"/>
        </w:rPr>
        <w:t>文成县绿色能源发展有限公司负责</w:t>
      </w:r>
      <w:r>
        <w:rPr>
          <w:rFonts w:hint="eastAsia" w:ascii="宋体" w:hAnsi="宋体" w:cs="宋体"/>
          <w:b/>
          <w:bCs/>
          <w:kern w:val="0"/>
          <w:sz w:val="22"/>
          <w:szCs w:val="22"/>
          <w:u w:val="single"/>
        </w:rPr>
        <w:t>对</w:t>
      </w:r>
      <w:r>
        <w:rPr>
          <w:rFonts w:hint="eastAsia" w:ascii="宋体" w:hAnsi="宋体" w:cs="宋体"/>
          <w:b/>
          <w:kern w:val="0"/>
          <w:sz w:val="22"/>
          <w:szCs w:val="22"/>
          <w:u w:val="single"/>
        </w:rPr>
        <w:t>投标供应商反映的企业本部及所属企业在采购活动中出现的违法违规问题进行投诉回复。投标供应商认为文成县绿色能源发展有限公司投诉回复处理结果不合法的，可以采购人或代理机构为对象依法向人民法院提起诉讼。</w:t>
      </w:r>
    </w:p>
    <w:p w14:paraId="170A9DD1">
      <w:pPr>
        <w:widowControl/>
        <w:tabs>
          <w:tab w:val="left" w:pos="420"/>
        </w:tabs>
        <w:spacing w:line="360" w:lineRule="auto"/>
        <w:ind w:firstLine="435"/>
        <w:jc w:val="left"/>
        <w:rPr>
          <w:rFonts w:hint="eastAsia" w:ascii="宋体" w:hAnsi="宋体" w:cs="宋体"/>
          <w:kern w:val="0"/>
          <w:sz w:val="22"/>
          <w:szCs w:val="22"/>
        </w:rPr>
      </w:pPr>
      <w:r>
        <w:rPr>
          <w:rFonts w:hint="eastAsia" w:ascii="宋体" w:hAnsi="宋体" w:cs="宋体"/>
          <w:kern w:val="0"/>
          <w:sz w:val="22"/>
          <w:szCs w:val="22"/>
        </w:rPr>
        <w:t>4.采购公告附件的采购文件仅供阅览使用，未按照本公告规定的方式获取采购文件的潜在供应商提起的质疑，采购人及采购组织机构将不予受理、答复。</w:t>
      </w:r>
    </w:p>
    <w:p w14:paraId="48C40CD2">
      <w:pPr>
        <w:widowControl/>
        <w:tabs>
          <w:tab w:val="left" w:pos="420"/>
        </w:tabs>
        <w:spacing w:line="360" w:lineRule="auto"/>
        <w:ind w:firstLine="435"/>
        <w:jc w:val="left"/>
        <w:rPr>
          <w:rFonts w:hint="eastAsia" w:ascii="宋体" w:hAnsi="宋体" w:cs="宋体"/>
          <w:kern w:val="0"/>
          <w:sz w:val="22"/>
          <w:szCs w:val="22"/>
        </w:rPr>
      </w:pPr>
      <w:r>
        <w:rPr>
          <w:rFonts w:hint="eastAsia" w:ascii="宋体" w:hAnsi="宋体" w:cs="宋体"/>
          <w:kern w:val="0"/>
          <w:sz w:val="22"/>
          <w:szCs w:val="22"/>
        </w:rPr>
        <w:t>5.供应商如对采购文件有疑问应按采购文件规定的询疑截止时间前提出，逾期提出的，采购组织机构可以不予受理、答复。</w:t>
      </w:r>
    </w:p>
    <w:p w14:paraId="1A3DDDD4">
      <w:pPr>
        <w:widowControl/>
        <w:tabs>
          <w:tab w:val="left" w:pos="420"/>
        </w:tabs>
        <w:spacing w:line="360" w:lineRule="auto"/>
        <w:ind w:firstLine="435"/>
        <w:jc w:val="left"/>
        <w:rPr>
          <w:rFonts w:hint="eastAsia" w:ascii="宋体" w:hAnsi="宋体" w:cs="宋体"/>
          <w:kern w:val="0"/>
          <w:sz w:val="22"/>
          <w:szCs w:val="22"/>
        </w:rPr>
      </w:pPr>
      <w:r>
        <w:rPr>
          <w:rFonts w:hint="eastAsia" w:ascii="宋体" w:hAnsi="宋体" w:cs="宋体"/>
          <w:kern w:val="0"/>
          <w:sz w:val="22"/>
          <w:szCs w:val="22"/>
        </w:rPr>
        <w:t>6.</w:t>
      </w:r>
      <w:r>
        <w:rPr>
          <w:rFonts w:hint="eastAsia" w:ascii="宋体" w:hAnsi="宋体" w:cs="宋体"/>
          <w:b/>
          <w:bCs/>
          <w:kern w:val="0"/>
          <w:sz w:val="22"/>
          <w:szCs w:val="22"/>
          <w:u w:val="single"/>
        </w:rPr>
        <w:t>书面质疑受理地点：文成县大峃镇金龙公寓上首201室，书面质疑受理人：吴先生，质疑联系电话：13868685553。</w:t>
      </w:r>
    </w:p>
    <w:p w14:paraId="6578777D">
      <w:pPr>
        <w:widowControl/>
        <w:tabs>
          <w:tab w:val="left" w:pos="420"/>
        </w:tabs>
        <w:spacing w:line="360" w:lineRule="auto"/>
        <w:ind w:firstLine="435"/>
        <w:jc w:val="left"/>
        <w:rPr>
          <w:rFonts w:hint="eastAsia" w:ascii="宋体" w:hAnsi="宋体" w:cs="宋体"/>
          <w:kern w:val="0"/>
          <w:sz w:val="22"/>
          <w:szCs w:val="22"/>
        </w:rPr>
      </w:pPr>
      <w:r>
        <w:rPr>
          <w:rFonts w:hint="eastAsia" w:ascii="宋体" w:hAnsi="宋体" w:cs="宋体"/>
          <w:kern w:val="0"/>
          <w:sz w:val="22"/>
          <w:szCs w:val="22"/>
        </w:rPr>
        <w:t>7.供应商在使用系统进行投标的过程中遇到涉及平台使用的任何问题，可致电乐采云平台技术支持热线咨询，联系方式：95763。</w:t>
      </w:r>
    </w:p>
    <w:p w14:paraId="0675555C">
      <w:pPr>
        <w:widowControl/>
        <w:tabs>
          <w:tab w:val="left" w:pos="420"/>
        </w:tabs>
        <w:spacing w:line="360" w:lineRule="auto"/>
        <w:ind w:right="60"/>
        <w:jc w:val="left"/>
        <w:outlineLvl w:val="0"/>
        <w:rPr>
          <w:rFonts w:hint="eastAsia" w:ascii="宋体" w:hAnsi="宋体" w:cs="宋体"/>
          <w:b/>
          <w:kern w:val="0"/>
          <w:sz w:val="22"/>
          <w:szCs w:val="22"/>
        </w:rPr>
      </w:pPr>
      <w:bookmarkStart w:id="52" w:name="_Toc31137"/>
      <w:bookmarkStart w:id="53" w:name="_Toc31535"/>
      <w:bookmarkStart w:id="54" w:name="_Toc6475"/>
      <w:r>
        <w:rPr>
          <w:rFonts w:hint="eastAsia" w:ascii="宋体" w:hAnsi="宋体" w:cs="宋体"/>
          <w:b/>
          <w:kern w:val="0"/>
          <w:sz w:val="22"/>
          <w:szCs w:val="22"/>
        </w:rPr>
        <w:t>十、联系方式</w:t>
      </w:r>
      <w:bookmarkEnd w:id="52"/>
      <w:bookmarkEnd w:id="53"/>
      <w:bookmarkEnd w:id="54"/>
    </w:p>
    <w:p w14:paraId="49D78C20">
      <w:pPr>
        <w:widowControl/>
        <w:tabs>
          <w:tab w:val="left" w:pos="420"/>
        </w:tabs>
        <w:spacing w:line="360" w:lineRule="auto"/>
        <w:ind w:firstLine="440" w:firstLineChars="200"/>
        <w:jc w:val="left"/>
        <w:outlineLvl w:val="1"/>
        <w:rPr>
          <w:rFonts w:hint="eastAsia" w:ascii="宋体" w:hAnsi="宋体" w:cs="宋体"/>
          <w:kern w:val="0"/>
          <w:sz w:val="22"/>
          <w:szCs w:val="22"/>
        </w:rPr>
      </w:pPr>
      <w:bookmarkStart w:id="55" w:name="_Toc16417"/>
      <w:r>
        <w:rPr>
          <w:rFonts w:hint="eastAsia" w:ascii="宋体" w:hAnsi="宋体" w:cs="宋体"/>
          <w:kern w:val="0"/>
          <w:sz w:val="22"/>
          <w:szCs w:val="22"/>
        </w:rPr>
        <w:t>1.采购人：</w:t>
      </w:r>
      <w:bookmarkEnd w:id="55"/>
      <w:r>
        <w:rPr>
          <w:rFonts w:hint="eastAsia" w:ascii="宋体" w:hAnsi="宋体" w:cs="宋体"/>
          <w:kern w:val="0"/>
          <w:sz w:val="22"/>
          <w:szCs w:val="22"/>
        </w:rPr>
        <w:t>文成县绿色能源发展有限公司</w:t>
      </w:r>
    </w:p>
    <w:p w14:paraId="7379A9FA">
      <w:pPr>
        <w:widowControl/>
        <w:tabs>
          <w:tab w:val="left" w:pos="420"/>
        </w:tabs>
        <w:spacing w:line="360" w:lineRule="auto"/>
        <w:ind w:firstLine="440" w:firstLineChars="200"/>
        <w:jc w:val="left"/>
        <w:outlineLvl w:val="1"/>
        <w:rPr>
          <w:rFonts w:hint="eastAsia" w:ascii="宋体" w:hAnsi="宋体" w:cs="宋体"/>
          <w:kern w:val="0"/>
          <w:sz w:val="22"/>
          <w:szCs w:val="22"/>
        </w:rPr>
      </w:pPr>
      <w:r>
        <w:rPr>
          <w:rFonts w:hint="eastAsia" w:ascii="宋体" w:hAnsi="宋体" w:cs="宋体"/>
          <w:kern w:val="0"/>
          <w:sz w:val="22"/>
          <w:szCs w:val="22"/>
        </w:rPr>
        <w:t xml:space="preserve">联系人：陈先生     </w:t>
      </w:r>
    </w:p>
    <w:p w14:paraId="72C2A085">
      <w:pPr>
        <w:widowControl/>
        <w:tabs>
          <w:tab w:val="left" w:pos="420"/>
        </w:tabs>
        <w:spacing w:line="360" w:lineRule="auto"/>
        <w:ind w:firstLine="440" w:firstLineChars="200"/>
        <w:jc w:val="left"/>
        <w:outlineLvl w:val="1"/>
        <w:rPr>
          <w:rFonts w:hint="eastAsia" w:ascii="宋体" w:hAnsi="宋体" w:eastAsia="宋体" w:cs="宋体"/>
          <w:kern w:val="0"/>
          <w:sz w:val="22"/>
          <w:szCs w:val="22"/>
          <w:lang w:eastAsia="zh-CN"/>
        </w:rPr>
      </w:pPr>
      <w:r>
        <w:rPr>
          <w:rFonts w:hint="eastAsia" w:ascii="宋体" w:hAnsi="宋体" w:cs="宋体"/>
          <w:kern w:val="0"/>
          <w:sz w:val="22"/>
          <w:szCs w:val="22"/>
        </w:rPr>
        <w:t>联系方式：</w:t>
      </w:r>
      <w:r>
        <w:rPr>
          <w:rFonts w:hint="eastAsia" w:ascii="宋体" w:hAnsi="宋体" w:cs="宋体"/>
          <w:kern w:val="0"/>
          <w:sz w:val="22"/>
          <w:szCs w:val="22"/>
          <w:lang w:eastAsia="zh-CN"/>
        </w:rPr>
        <w:t>0577-67821516</w:t>
      </w:r>
    </w:p>
    <w:p w14:paraId="50EB574A">
      <w:pPr>
        <w:widowControl/>
        <w:tabs>
          <w:tab w:val="left" w:pos="420"/>
        </w:tabs>
        <w:spacing w:line="360" w:lineRule="auto"/>
        <w:ind w:firstLine="440" w:firstLineChars="200"/>
        <w:jc w:val="left"/>
        <w:outlineLvl w:val="1"/>
        <w:rPr>
          <w:rFonts w:hint="eastAsia" w:ascii="宋体" w:hAnsi="宋体" w:cs="宋体"/>
          <w:kern w:val="0"/>
          <w:sz w:val="22"/>
          <w:szCs w:val="22"/>
        </w:rPr>
      </w:pPr>
      <w:bookmarkStart w:id="56" w:name="_Toc7017"/>
      <w:r>
        <w:rPr>
          <w:rFonts w:hint="eastAsia" w:ascii="宋体" w:hAnsi="宋体" w:cs="宋体"/>
          <w:kern w:val="0"/>
          <w:sz w:val="22"/>
          <w:szCs w:val="22"/>
        </w:rPr>
        <w:t>2.采购代理机构名称：</w:t>
      </w:r>
      <w:bookmarkEnd w:id="56"/>
      <w:r>
        <w:rPr>
          <w:rFonts w:hint="eastAsia" w:ascii="宋体" w:hAnsi="宋体" w:cs="宋体"/>
          <w:kern w:val="0"/>
          <w:sz w:val="22"/>
          <w:szCs w:val="22"/>
        </w:rPr>
        <w:t>浙江信达咨询监理有限公司</w:t>
      </w:r>
    </w:p>
    <w:p w14:paraId="32523149">
      <w:pPr>
        <w:widowControl/>
        <w:tabs>
          <w:tab w:val="left" w:pos="420"/>
        </w:tabs>
        <w:spacing w:line="360" w:lineRule="auto"/>
        <w:ind w:firstLine="440" w:firstLineChars="200"/>
        <w:jc w:val="left"/>
        <w:outlineLvl w:val="1"/>
        <w:rPr>
          <w:rFonts w:hint="eastAsia" w:ascii="宋体" w:hAnsi="宋体" w:cs="宋体"/>
          <w:kern w:val="0"/>
          <w:sz w:val="22"/>
          <w:szCs w:val="22"/>
        </w:rPr>
      </w:pPr>
      <w:r>
        <w:rPr>
          <w:rFonts w:hint="eastAsia" w:ascii="宋体" w:hAnsi="宋体" w:cs="宋体"/>
          <w:kern w:val="0"/>
          <w:sz w:val="22"/>
          <w:szCs w:val="22"/>
        </w:rPr>
        <w:t>地址：文成县大峃镇金龙公寓上首201室</w:t>
      </w:r>
    </w:p>
    <w:p w14:paraId="5595DA87">
      <w:pPr>
        <w:widowControl/>
        <w:tabs>
          <w:tab w:val="left" w:pos="420"/>
        </w:tabs>
        <w:spacing w:line="360" w:lineRule="auto"/>
        <w:ind w:firstLine="440" w:firstLineChars="200"/>
        <w:jc w:val="left"/>
        <w:outlineLvl w:val="1"/>
        <w:rPr>
          <w:rFonts w:hint="eastAsia" w:ascii="宋体" w:hAnsi="宋体" w:cs="宋体"/>
          <w:kern w:val="0"/>
          <w:sz w:val="22"/>
          <w:szCs w:val="22"/>
        </w:rPr>
      </w:pPr>
      <w:r>
        <w:rPr>
          <w:rFonts w:hint="eastAsia" w:ascii="宋体" w:hAnsi="宋体" w:cs="宋体"/>
          <w:kern w:val="0"/>
          <w:sz w:val="22"/>
          <w:szCs w:val="22"/>
        </w:rPr>
        <w:t xml:space="preserve">联系人：吴先生    </w:t>
      </w:r>
    </w:p>
    <w:p w14:paraId="5C7E18FC">
      <w:pPr>
        <w:widowControl/>
        <w:tabs>
          <w:tab w:val="left" w:pos="420"/>
        </w:tabs>
        <w:spacing w:line="360" w:lineRule="auto"/>
        <w:ind w:firstLine="440" w:firstLineChars="200"/>
        <w:jc w:val="left"/>
        <w:outlineLvl w:val="1"/>
        <w:rPr>
          <w:rFonts w:hint="eastAsia" w:ascii="宋体" w:hAnsi="宋体" w:cs="宋体"/>
          <w:kern w:val="0"/>
          <w:sz w:val="22"/>
          <w:szCs w:val="22"/>
        </w:rPr>
      </w:pPr>
      <w:r>
        <w:rPr>
          <w:rFonts w:hint="eastAsia" w:ascii="宋体" w:hAnsi="宋体" w:cs="宋体"/>
          <w:kern w:val="0"/>
          <w:sz w:val="22"/>
          <w:szCs w:val="22"/>
        </w:rPr>
        <w:t>联系方式：13868685553</w:t>
      </w:r>
    </w:p>
    <w:p w14:paraId="488C1684">
      <w:pPr>
        <w:pStyle w:val="20"/>
      </w:pPr>
    </w:p>
    <w:p w14:paraId="74903ADF"/>
    <w:p w14:paraId="59BDD7BE">
      <w:pPr>
        <w:widowControl/>
        <w:tabs>
          <w:tab w:val="left" w:pos="420"/>
        </w:tabs>
        <w:spacing w:line="360" w:lineRule="auto"/>
        <w:ind w:firstLine="435"/>
        <w:jc w:val="right"/>
        <w:rPr>
          <w:rFonts w:hint="eastAsia" w:ascii="宋体" w:hAnsi="宋体" w:cs="宋体"/>
          <w:bCs/>
          <w:kern w:val="36"/>
          <w:sz w:val="22"/>
          <w:szCs w:val="22"/>
        </w:rPr>
      </w:pPr>
      <w:r>
        <w:rPr>
          <w:rFonts w:hint="eastAsia" w:ascii="宋体" w:hAnsi="宋体" w:cs="宋体"/>
          <w:bCs/>
          <w:kern w:val="36"/>
          <w:sz w:val="22"/>
          <w:szCs w:val="22"/>
        </w:rPr>
        <w:t>文成县绿色能源发展有限公司</w:t>
      </w:r>
    </w:p>
    <w:p w14:paraId="36E7026F">
      <w:pPr>
        <w:widowControl/>
        <w:tabs>
          <w:tab w:val="left" w:pos="420"/>
        </w:tabs>
        <w:spacing w:line="360" w:lineRule="auto"/>
        <w:ind w:firstLine="435"/>
        <w:jc w:val="right"/>
        <w:rPr>
          <w:rFonts w:hint="eastAsia" w:ascii="宋体" w:hAnsi="宋体" w:cs="宋体"/>
          <w:bCs/>
          <w:kern w:val="36"/>
          <w:sz w:val="22"/>
          <w:szCs w:val="22"/>
        </w:rPr>
      </w:pPr>
      <w:r>
        <w:rPr>
          <w:rFonts w:hint="eastAsia" w:ascii="宋体" w:hAnsi="宋体" w:cs="宋体"/>
          <w:bCs/>
          <w:kern w:val="36"/>
          <w:sz w:val="22"/>
          <w:szCs w:val="22"/>
        </w:rPr>
        <w:t>浙江信达咨询监理有限公司</w:t>
      </w:r>
    </w:p>
    <w:p w14:paraId="5D94989C">
      <w:pPr>
        <w:spacing w:line="360" w:lineRule="auto"/>
        <w:ind w:firstLine="418" w:firstLineChars="190"/>
        <w:jc w:val="right"/>
        <w:rPr>
          <w:rFonts w:hint="eastAsia" w:ascii="宋体" w:hAnsi="宋体" w:cs="宋体"/>
          <w:kern w:val="0"/>
          <w:sz w:val="22"/>
          <w:szCs w:val="22"/>
          <w:highlight w:val="none"/>
        </w:rPr>
      </w:pPr>
      <w:r>
        <w:rPr>
          <w:rFonts w:hint="eastAsia" w:ascii="宋体" w:hAnsi="宋体" w:cs="宋体"/>
          <w:kern w:val="0"/>
          <w:sz w:val="22"/>
          <w:szCs w:val="22"/>
          <w:highlight w:val="none"/>
        </w:rPr>
        <w:t>2024年</w:t>
      </w:r>
      <w:r>
        <w:rPr>
          <w:rFonts w:hint="eastAsia" w:ascii="宋体" w:hAnsi="宋体" w:cs="宋体"/>
          <w:kern w:val="0"/>
          <w:sz w:val="22"/>
          <w:szCs w:val="22"/>
          <w:highlight w:val="none"/>
          <w:lang w:val="en-US" w:eastAsia="zh-CN"/>
        </w:rPr>
        <w:t>10</w:t>
      </w:r>
      <w:r>
        <w:rPr>
          <w:rFonts w:hint="eastAsia" w:ascii="宋体" w:hAnsi="宋体" w:cs="宋体"/>
          <w:kern w:val="0"/>
          <w:sz w:val="22"/>
          <w:szCs w:val="22"/>
          <w:highlight w:val="none"/>
        </w:rPr>
        <w:t>月</w:t>
      </w:r>
      <w:r>
        <w:rPr>
          <w:rFonts w:hint="eastAsia" w:ascii="宋体" w:hAnsi="宋体" w:cs="宋体"/>
          <w:kern w:val="0"/>
          <w:sz w:val="22"/>
          <w:szCs w:val="22"/>
          <w:highlight w:val="none"/>
          <w:lang w:val="en-US" w:eastAsia="zh-CN"/>
        </w:rPr>
        <w:t>31</w:t>
      </w:r>
      <w:r>
        <w:rPr>
          <w:rFonts w:hint="eastAsia" w:ascii="宋体" w:hAnsi="宋体" w:cs="宋体"/>
          <w:kern w:val="0"/>
          <w:sz w:val="22"/>
          <w:szCs w:val="22"/>
          <w:highlight w:val="none"/>
        </w:rPr>
        <w:t>日</w:t>
      </w:r>
    </w:p>
    <w:p w14:paraId="7ACE9B40">
      <w:pPr>
        <w:rPr>
          <w:rFonts w:hint="eastAsia" w:ascii="宋体" w:hAnsi="宋体"/>
          <w:b/>
          <w:sz w:val="28"/>
          <w:szCs w:val="28"/>
        </w:rPr>
      </w:pPr>
      <w:r>
        <w:rPr>
          <w:rFonts w:hint="eastAsia" w:ascii="宋体" w:hAnsi="宋体"/>
          <w:b/>
          <w:sz w:val="28"/>
          <w:szCs w:val="28"/>
        </w:rPr>
        <w:br w:type="page"/>
      </w:r>
    </w:p>
    <w:p w14:paraId="2939194F">
      <w:pPr>
        <w:spacing w:line="360" w:lineRule="auto"/>
        <w:jc w:val="center"/>
        <w:rPr>
          <w:rFonts w:hint="eastAsia" w:ascii="宋体" w:hAnsi="宋体" w:cs="Tahoma"/>
          <w:kern w:val="0"/>
          <w:sz w:val="28"/>
          <w:szCs w:val="28"/>
        </w:rPr>
      </w:pPr>
      <w:r>
        <w:rPr>
          <w:rFonts w:hint="eastAsia" w:ascii="宋体" w:hAnsi="宋体"/>
          <w:b/>
          <w:sz w:val="28"/>
          <w:szCs w:val="28"/>
        </w:rPr>
        <w:t>文成县绿色能源发展有限公司</w:t>
      </w:r>
      <w:r>
        <w:rPr>
          <w:rFonts w:ascii="宋体" w:hAnsi="宋体"/>
          <w:b/>
          <w:sz w:val="28"/>
          <w:szCs w:val="28"/>
        </w:rPr>
        <w:t>关于</w:t>
      </w:r>
      <w:r>
        <w:rPr>
          <w:rFonts w:hint="eastAsia" w:ascii="宋体" w:hAnsi="宋体"/>
          <w:b/>
          <w:sz w:val="28"/>
          <w:szCs w:val="28"/>
        </w:rPr>
        <w:t>文成县新型能源体系构建白皮书（2024-2035年）</w:t>
      </w:r>
      <w:r>
        <w:rPr>
          <w:rFonts w:ascii="宋体" w:hAnsi="宋体"/>
          <w:b/>
          <w:sz w:val="28"/>
          <w:szCs w:val="28"/>
        </w:rPr>
        <w:t>的征求意见公示</w:t>
      </w:r>
    </w:p>
    <w:p w14:paraId="4B561449">
      <w:pPr>
        <w:widowControl/>
        <w:spacing w:line="360" w:lineRule="auto"/>
        <w:ind w:firstLine="480"/>
        <w:jc w:val="left"/>
        <w:rPr>
          <w:rFonts w:hint="eastAsia" w:ascii="宋体" w:hAnsi="宋体" w:cs="宋体"/>
          <w:kern w:val="0"/>
          <w:sz w:val="22"/>
          <w:szCs w:val="22"/>
        </w:rPr>
      </w:pPr>
      <w:r>
        <w:rPr>
          <w:rFonts w:hint="eastAsia" w:ascii="宋体" w:hAnsi="宋体" w:cs="宋体"/>
          <w:kern w:val="0"/>
          <w:sz w:val="22"/>
          <w:szCs w:val="22"/>
        </w:rPr>
        <w:t>浙江信达咨询监理有限公司受文成县绿色能源发展有限公司的委托，就其文成县新型能源体系构建白皮书（2024-2035年）以竞争性磋商方式进行国有企业采购，现将该项目采购文件公布如下，并公开征求供应商及专家意见。</w:t>
      </w:r>
    </w:p>
    <w:p w14:paraId="50ED3954">
      <w:pPr>
        <w:widowControl/>
        <w:spacing w:line="360" w:lineRule="auto"/>
        <w:jc w:val="left"/>
        <w:outlineLvl w:val="0"/>
        <w:rPr>
          <w:rFonts w:hint="eastAsia" w:ascii="宋体" w:hAnsi="宋体" w:cs="宋体"/>
          <w:kern w:val="0"/>
          <w:sz w:val="22"/>
          <w:szCs w:val="22"/>
        </w:rPr>
      </w:pPr>
      <w:bookmarkStart w:id="57" w:name="_Toc25964"/>
      <w:bookmarkStart w:id="58" w:name="_Toc13079"/>
      <w:bookmarkStart w:id="59" w:name="_Toc23343"/>
      <w:r>
        <w:rPr>
          <w:rFonts w:hint="eastAsia" w:ascii="宋体" w:hAnsi="宋体" w:cs="宋体"/>
          <w:b/>
          <w:bCs/>
          <w:kern w:val="0"/>
          <w:sz w:val="22"/>
          <w:szCs w:val="22"/>
        </w:rPr>
        <w:t>一、征求意见范围：</w:t>
      </w:r>
      <w:bookmarkEnd w:id="57"/>
      <w:bookmarkEnd w:id="58"/>
      <w:bookmarkEnd w:id="59"/>
    </w:p>
    <w:p w14:paraId="34E9224E">
      <w:pPr>
        <w:widowControl/>
        <w:spacing w:line="360" w:lineRule="auto"/>
        <w:ind w:firstLine="440" w:firstLineChars="200"/>
        <w:jc w:val="left"/>
        <w:rPr>
          <w:rFonts w:hint="eastAsia" w:ascii="宋体" w:hAnsi="宋体" w:cs="宋体"/>
          <w:kern w:val="0"/>
          <w:sz w:val="22"/>
          <w:szCs w:val="22"/>
        </w:rPr>
      </w:pPr>
      <w:r>
        <w:rPr>
          <w:rFonts w:hint="eastAsia" w:ascii="宋体" w:hAnsi="宋体" w:cs="宋体"/>
          <w:kern w:val="0"/>
          <w:sz w:val="22"/>
          <w:szCs w:val="22"/>
        </w:rPr>
        <w:t>1.是否出现明显的倾向性意见和特定的性能指标；</w:t>
      </w:r>
    </w:p>
    <w:p w14:paraId="635136FF">
      <w:pPr>
        <w:widowControl/>
        <w:spacing w:line="360" w:lineRule="auto"/>
        <w:ind w:firstLine="440" w:firstLineChars="200"/>
        <w:jc w:val="left"/>
        <w:rPr>
          <w:rFonts w:hint="eastAsia" w:ascii="宋体" w:hAnsi="宋体" w:cs="宋体"/>
          <w:kern w:val="0"/>
          <w:sz w:val="22"/>
          <w:szCs w:val="22"/>
        </w:rPr>
      </w:pPr>
      <w:r>
        <w:rPr>
          <w:rFonts w:hint="eastAsia" w:ascii="宋体" w:hAnsi="宋体" w:cs="宋体"/>
          <w:kern w:val="0"/>
          <w:sz w:val="22"/>
          <w:szCs w:val="22"/>
        </w:rPr>
        <w:t>2.投标供应商资格条件是否具有明显倾向性和歧视性；</w:t>
      </w:r>
    </w:p>
    <w:p w14:paraId="1E271FFE">
      <w:pPr>
        <w:widowControl/>
        <w:spacing w:line="360" w:lineRule="auto"/>
        <w:ind w:firstLine="440" w:firstLineChars="200"/>
        <w:jc w:val="left"/>
        <w:rPr>
          <w:rFonts w:hint="eastAsia" w:ascii="宋体" w:hAnsi="宋体" w:cs="宋体"/>
          <w:kern w:val="0"/>
          <w:sz w:val="22"/>
          <w:szCs w:val="22"/>
        </w:rPr>
      </w:pPr>
      <w:r>
        <w:rPr>
          <w:rFonts w:hint="eastAsia" w:ascii="宋体" w:hAnsi="宋体" w:cs="宋体"/>
          <w:kern w:val="0"/>
          <w:sz w:val="22"/>
          <w:szCs w:val="22"/>
        </w:rPr>
        <w:t>3.影响温州市国有企业采购“公开、公平、公正”原则的其他情况。</w:t>
      </w:r>
    </w:p>
    <w:p w14:paraId="7B5A59C9">
      <w:pPr>
        <w:widowControl/>
        <w:spacing w:line="360" w:lineRule="auto"/>
        <w:jc w:val="left"/>
        <w:outlineLvl w:val="0"/>
        <w:rPr>
          <w:rFonts w:hint="eastAsia" w:ascii="宋体" w:hAnsi="宋体" w:cs="宋体"/>
          <w:kern w:val="0"/>
          <w:sz w:val="22"/>
          <w:szCs w:val="22"/>
        </w:rPr>
      </w:pPr>
      <w:bookmarkStart w:id="60" w:name="_Toc9624"/>
      <w:bookmarkStart w:id="61" w:name="_Toc19846"/>
      <w:bookmarkStart w:id="62" w:name="_Toc12789"/>
      <w:r>
        <w:rPr>
          <w:rFonts w:hint="eastAsia" w:ascii="宋体" w:hAnsi="宋体" w:cs="宋体"/>
          <w:b/>
          <w:bCs/>
          <w:kern w:val="0"/>
          <w:sz w:val="22"/>
          <w:szCs w:val="22"/>
        </w:rPr>
        <w:t>二、征求意见的回复：</w:t>
      </w:r>
      <w:bookmarkEnd w:id="60"/>
      <w:bookmarkEnd w:id="61"/>
      <w:bookmarkEnd w:id="62"/>
    </w:p>
    <w:p w14:paraId="4449B395">
      <w:pPr>
        <w:widowControl/>
        <w:spacing w:line="360" w:lineRule="auto"/>
        <w:ind w:firstLine="440" w:firstLineChars="200"/>
        <w:jc w:val="left"/>
        <w:rPr>
          <w:rFonts w:hint="eastAsia" w:ascii="宋体" w:hAnsi="宋体" w:cs="宋体"/>
          <w:sz w:val="22"/>
          <w:szCs w:val="22"/>
        </w:rPr>
      </w:pPr>
      <w:r>
        <w:rPr>
          <w:rFonts w:hint="eastAsia" w:ascii="宋体" w:hAnsi="宋体" w:cs="宋体"/>
          <w:kern w:val="0"/>
          <w:sz w:val="22"/>
          <w:szCs w:val="22"/>
        </w:rPr>
        <w:t>各供应商及专家提出修改理由和建议的，请于</w:t>
      </w:r>
      <w:r>
        <w:rPr>
          <w:rFonts w:hint="eastAsia" w:ascii="宋体" w:hAnsi="宋体" w:cs="宋体"/>
          <w:kern w:val="0"/>
          <w:sz w:val="22"/>
          <w:szCs w:val="22"/>
          <w:highlight w:val="none"/>
        </w:rPr>
        <w:t>2024年</w:t>
      </w:r>
      <w:r>
        <w:rPr>
          <w:rFonts w:hint="eastAsia" w:ascii="宋体" w:hAnsi="宋体" w:cs="宋体"/>
          <w:kern w:val="0"/>
          <w:sz w:val="22"/>
          <w:szCs w:val="22"/>
          <w:highlight w:val="none"/>
          <w:lang w:val="en-US" w:eastAsia="zh-CN"/>
        </w:rPr>
        <w:t>11</w:t>
      </w:r>
      <w:r>
        <w:rPr>
          <w:rFonts w:hint="eastAsia" w:ascii="宋体" w:hAnsi="宋体" w:cs="宋体"/>
          <w:kern w:val="0"/>
          <w:sz w:val="22"/>
          <w:szCs w:val="22"/>
          <w:highlight w:val="none"/>
        </w:rPr>
        <w:t>月</w:t>
      </w:r>
      <w:r>
        <w:rPr>
          <w:rFonts w:hint="eastAsia" w:ascii="宋体" w:hAnsi="宋体" w:cs="宋体"/>
          <w:kern w:val="0"/>
          <w:sz w:val="22"/>
          <w:szCs w:val="22"/>
          <w:highlight w:val="none"/>
          <w:lang w:val="en-US" w:eastAsia="zh-CN"/>
        </w:rPr>
        <w:t>5</w:t>
      </w:r>
      <w:r>
        <w:rPr>
          <w:rFonts w:hint="eastAsia" w:ascii="宋体" w:hAnsi="宋体" w:cs="宋体"/>
          <w:kern w:val="0"/>
          <w:sz w:val="22"/>
          <w:szCs w:val="22"/>
          <w:highlight w:val="none"/>
        </w:rPr>
        <w:t>日</w:t>
      </w:r>
      <w:r>
        <w:rPr>
          <w:rFonts w:hint="eastAsia" w:ascii="宋体" w:hAnsi="宋体" w:cs="宋体"/>
          <w:kern w:val="0"/>
          <w:sz w:val="22"/>
          <w:szCs w:val="22"/>
        </w:rPr>
        <w:t>下午17：00前（节假日除外）将书面材料签字（盖章）并密封后送至温州市文成县大峃镇金龙公寓上首201室，或先将扫描件及电子版发送至邮箱：</w:t>
      </w:r>
      <w:r>
        <w:fldChar w:fldCharType="begin"/>
      </w:r>
      <w:r>
        <w:instrText xml:space="preserve"> HYPERLINK "mailto:735135867@qq.com" </w:instrText>
      </w:r>
      <w:r>
        <w:fldChar w:fldCharType="separate"/>
      </w:r>
      <w:r>
        <w:rPr>
          <w:rStyle w:val="25"/>
          <w:rFonts w:hint="eastAsia" w:ascii="宋体" w:hAnsi="宋体" w:cs="宋体"/>
          <w:color w:val="auto"/>
          <w:kern w:val="0"/>
          <w:sz w:val="22"/>
          <w:szCs w:val="22"/>
        </w:rPr>
        <w:t>75808147@QQ.COM</w:t>
      </w:r>
      <w:r>
        <w:rPr>
          <w:rStyle w:val="25"/>
          <w:rFonts w:hint="eastAsia" w:ascii="宋体" w:hAnsi="宋体" w:cs="宋体"/>
          <w:color w:val="auto"/>
          <w:kern w:val="0"/>
          <w:sz w:val="22"/>
          <w:szCs w:val="22"/>
        </w:rPr>
        <w:fldChar w:fldCharType="end"/>
      </w:r>
      <w:r>
        <w:rPr>
          <w:rFonts w:hint="eastAsia" w:ascii="宋体" w:hAnsi="宋体" w:cs="宋体"/>
          <w:kern w:val="0"/>
          <w:sz w:val="22"/>
          <w:szCs w:val="22"/>
        </w:rPr>
        <w:t>，并同时将该原件书面寄至浙江信达咨询监理有限公司。</w:t>
      </w:r>
    </w:p>
    <w:p w14:paraId="32E3F517">
      <w:pPr>
        <w:pStyle w:val="11"/>
        <w:spacing w:after="0" w:line="360" w:lineRule="auto"/>
        <w:ind w:firstLine="465"/>
        <w:rPr>
          <w:rFonts w:hint="eastAsia" w:ascii="宋体" w:hAnsi="宋体" w:cs="宋体"/>
          <w:sz w:val="22"/>
          <w:szCs w:val="22"/>
        </w:rPr>
      </w:pPr>
      <w:r>
        <w:rPr>
          <w:rFonts w:hint="eastAsia" w:ascii="宋体" w:hAnsi="宋体" w:cs="宋体"/>
          <w:sz w:val="22"/>
          <w:szCs w:val="22"/>
        </w:rPr>
        <w:t>联系人：吴先生，联系电话：13868685553。</w:t>
      </w:r>
    </w:p>
    <w:p w14:paraId="3DF78607">
      <w:pPr>
        <w:pStyle w:val="11"/>
        <w:spacing w:after="0" w:line="360" w:lineRule="auto"/>
        <w:ind w:firstLine="465"/>
        <w:rPr>
          <w:rFonts w:hint="eastAsia" w:ascii="宋体" w:hAnsi="宋体" w:cs="宋体"/>
          <w:sz w:val="22"/>
          <w:szCs w:val="22"/>
        </w:rPr>
      </w:pPr>
      <w:r>
        <w:rPr>
          <w:rFonts w:hint="eastAsia" w:ascii="宋体" w:hAnsi="宋体" w:cs="宋体"/>
          <w:kern w:val="0"/>
          <w:sz w:val="22"/>
          <w:szCs w:val="22"/>
        </w:rPr>
        <w:t>对逾期送达的意见、建议书恕不接受。</w:t>
      </w:r>
    </w:p>
    <w:p w14:paraId="7BF4F930">
      <w:pPr>
        <w:widowControl/>
        <w:spacing w:line="360" w:lineRule="auto"/>
        <w:jc w:val="left"/>
        <w:outlineLvl w:val="0"/>
        <w:rPr>
          <w:rFonts w:hint="eastAsia" w:ascii="宋体" w:hAnsi="宋体" w:cs="宋体"/>
          <w:b/>
          <w:kern w:val="0"/>
          <w:sz w:val="22"/>
          <w:szCs w:val="22"/>
        </w:rPr>
      </w:pPr>
      <w:bookmarkStart w:id="63" w:name="_Toc21948"/>
      <w:bookmarkStart w:id="64" w:name="_Toc25511"/>
      <w:bookmarkStart w:id="65" w:name="_Toc17228"/>
      <w:r>
        <w:rPr>
          <w:rFonts w:hint="eastAsia" w:ascii="宋体" w:hAnsi="宋体" w:cs="宋体"/>
          <w:b/>
          <w:kern w:val="0"/>
          <w:sz w:val="22"/>
          <w:szCs w:val="22"/>
        </w:rPr>
        <w:t>三、附本项目采购文件</w:t>
      </w:r>
      <w:bookmarkEnd w:id="63"/>
      <w:bookmarkEnd w:id="64"/>
      <w:bookmarkEnd w:id="65"/>
    </w:p>
    <w:p w14:paraId="262E3B71">
      <w:pPr>
        <w:spacing w:line="360" w:lineRule="auto"/>
        <w:ind w:firstLine="418" w:firstLineChars="190"/>
        <w:jc w:val="right"/>
        <w:rPr>
          <w:rFonts w:hint="eastAsia" w:ascii="宋体" w:hAnsi="宋体" w:cs="宋体"/>
          <w:kern w:val="0"/>
          <w:sz w:val="22"/>
          <w:szCs w:val="22"/>
        </w:rPr>
      </w:pPr>
    </w:p>
    <w:p w14:paraId="43D9ACB7">
      <w:pPr>
        <w:spacing w:line="360" w:lineRule="auto"/>
        <w:ind w:firstLine="418" w:firstLineChars="190"/>
        <w:jc w:val="right"/>
        <w:outlineLvl w:val="0"/>
        <w:rPr>
          <w:rFonts w:hint="eastAsia" w:ascii="宋体" w:hAnsi="宋体" w:cs="宋体"/>
          <w:kern w:val="0"/>
          <w:sz w:val="22"/>
          <w:szCs w:val="22"/>
        </w:rPr>
      </w:pPr>
      <w:r>
        <w:rPr>
          <w:rFonts w:hint="eastAsia" w:ascii="宋体" w:hAnsi="宋体" w:cs="宋体"/>
          <w:kern w:val="0"/>
          <w:sz w:val="22"/>
          <w:szCs w:val="22"/>
        </w:rPr>
        <w:t>文成县绿色能源发展有限公司</w:t>
      </w:r>
    </w:p>
    <w:p w14:paraId="779E3527">
      <w:pPr>
        <w:spacing w:line="360" w:lineRule="auto"/>
        <w:ind w:firstLine="418" w:firstLineChars="190"/>
        <w:jc w:val="right"/>
        <w:rPr>
          <w:rFonts w:hint="eastAsia" w:ascii="宋体" w:hAnsi="宋体" w:cs="宋体"/>
          <w:kern w:val="0"/>
          <w:sz w:val="22"/>
          <w:szCs w:val="22"/>
        </w:rPr>
      </w:pPr>
      <w:r>
        <w:rPr>
          <w:rFonts w:hint="eastAsia" w:ascii="宋体" w:hAnsi="宋体" w:cs="宋体"/>
          <w:kern w:val="0"/>
          <w:sz w:val="22"/>
          <w:szCs w:val="22"/>
        </w:rPr>
        <w:t>浙江信达咨询监理有限公司</w:t>
      </w:r>
    </w:p>
    <w:p w14:paraId="68F03BF7">
      <w:pPr>
        <w:spacing w:line="360" w:lineRule="auto"/>
        <w:ind w:firstLine="418" w:firstLineChars="190"/>
        <w:jc w:val="right"/>
        <w:rPr>
          <w:rFonts w:hint="eastAsia" w:ascii="宋体" w:hAnsi="宋体" w:cs="宋体"/>
          <w:sz w:val="22"/>
          <w:szCs w:val="22"/>
          <w:highlight w:val="none"/>
        </w:rPr>
      </w:pPr>
      <w:r>
        <w:rPr>
          <w:rFonts w:hint="eastAsia" w:ascii="宋体" w:hAnsi="宋体" w:cs="宋体"/>
          <w:kern w:val="0"/>
          <w:sz w:val="22"/>
          <w:szCs w:val="22"/>
          <w:highlight w:val="none"/>
        </w:rPr>
        <w:t>2024年</w:t>
      </w:r>
      <w:r>
        <w:rPr>
          <w:rFonts w:hint="eastAsia" w:ascii="宋体" w:hAnsi="宋体" w:cs="宋体"/>
          <w:kern w:val="0"/>
          <w:sz w:val="22"/>
          <w:szCs w:val="22"/>
          <w:highlight w:val="none"/>
          <w:lang w:val="en-US" w:eastAsia="zh-CN"/>
        </w:rPr>
        <w:t>10</w:t>
      </w:r>
      <w:r>
        <w:rPr>
          <w:rFonts w:hint="eastAsia" w:ascii="宋体" w:hAnsi="宋体" w:cs="宋体"/>
          <w:kern w:val="0"/>
          <w:sz w:val="22"/>
          <w:szCs w:val="22"/>
          <w:highlight w:val="none"/>
        </w:rPr>
        <w:t>月</w:t>
      </w:r>
      <w:r>
        <w:rPr>
          <w:rFonts w:hint="eastAsia" w:ascii="宋体" w:hAnsi="宋体" w:cs="宋体"/>
          <w:kern w:val="0"/>
          <w:sz w:val="22"/>
          <w:szCs w:val="22"/>
          <w:highlight w:val="none"/>
          <w:lang w:val="en-US" w:eastAsia="zh-CN"/>
        </w:rPr>
        <w:t>31</w:t>
      </w:r>
      <w:r>
        <w:rPr>
          <w:rFonts w:hint="eastAsia" w:ascii="宋体" w:hAnsi="宋体" w:cs="宋体"/>
          <w:kern w:val="0"/>
          <w:sz w:val="22"/>
          <w:szCs w:val="22"/>
          <w:highlight w:val="none"/>
        </w:rPr>
        <w:t>日</w:t>
      </w:r>
    </w:p>
    <w:p w14:paraId="479BEDD7">
      <w:pPr>
        <w:pStyle w:val="3"/>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outlineLvl w:val="0"/>
        <w:rPr>
          <w:rFonts w:ascii="Arial" w:hAnsi="Arial" w:cs="Arial"/>
          <w:b/>
          <w:bCs/>
          <w:color w:val="000000"/>
          <w:szCs w:val="28"/>
        </w:rPr>
      </w:pPr>
      <w:r>
        <w:rPr>
          <w:rFonts w:ascii="Arial" w:hAnsi="宋体" w:cs="Arial"/>
          <w:b/>
          <w:bCs/>
          <w:color w:val="000000"/>
          <w:szCs w:val="28"/>
        </w:rPr>
        <w:br w:type="page"/>
      </w:r>
      <w:bookmarkStart w:id="66" w:name="_Toc2586"/>
      <w:bookmarkStart w:id="67" w:name="_Toc25857"/>
      <w:r>
        <w:rPr>
          <w:rFonts w:ascii="Arial" w:hAnsi="宋体" w:cs="Arial"/>
          <w:b/>
          <w:bCs/>
          <w:color w:val="000000"/>
          <w:szCs w:val="28"/>
        </w:rPr>
        <w:t>第二部分</w:t>
      </w:r>
      <w:r>
        <w:rPr>
          <w:rFonts w:ascii="Arial" w:hAnsi="Arial" w:cs="Arial"/>
          <w:b/>
          <w:bCs/>
          <w:color w:val="000000"/>
          <w:szCs w:val="28"/>
        </w:rPr>
        <w:t xml:space="preserve">  </w:t>
      </w:r>
      <w:r>
        <w:rPr>
          <w:rFonts w:ascii="Arial" w:hAnsi="宋体" w:cs="Arial"/>
          <w:b/>
          <w:bCs/>
          <w:color w:val="000000"/>
          <w:szCs w:val="28"/>
        </w:rPr>
        <w:t>投标须知及前附表</w:t>
      </w:r>
      <w:bookmarkEnd w:id="22"/>
      <w:bookmarkEnd w:id="66"/>
      <w:bookmarkEnd w:id="67"/>
    </w:p>
    <w:p w14:paraId="78B31BF6">
      <w:pPr>
        <w:spacing w:line="360" w:lineRule="auto"/>
        <w:jc w:val="center"/>
        <w:outlineLvl w:val="1"/>
        <w:rPr>
          <w:rFonts w:ascii="Arial" w:hAnsi="Arial" w:cs="Arial"/>
          <w:b/>
          <w:bCs/>
          <w:color w:val="000000"/>
          <w:sz w:val="24"/>
        </w:rPr>
      </w:pPr>
      <w:bookmarkStart w:id="68" w:name="_Toc26694"/>
      <w:r>
        <w:rPr>
          <w:rFonts w:ascii="Arial" w:hAnsi="宋体" w:cs="Arial"/>
          <w:b/>
          <w:bCs/>
          <w:color w:val="000000"/>
          <w:sz w:val="24"/>
        </w:rPr>
        <w:t>（</w:t>
      </w:r>
      <w:r>
        <w:rPr>
          <w:rFonts w:hint="eastAsia" w:ascii="Arial" w:hAnsi="宋体" w:cs="Arial"/>
          <w:b/>
          <w:bCs/>
          <w:color w:val="000000"/>
          <w:sz w:val="24"/>
        </w:rPr>
        <w:t>一</w:t>
      </w:r>
      <w:r>
        <w:rPr>
          <w:rFonts w:ascii="Arial" w:hAnsi="宋体" w:cs="Arial"/>
          <w:b/>
          <w:bCs/>
          <w:color w:val="000000"/>
          <w:sz w:val="24"/>
        </w:rPr>
        <w:t>）投标须知前附表</w:t>
      </w:r>
      <w:bookmarkEnd w:id="68"/>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2009"/>
        <w:gridCol w:w="6620"/>
      </w:tblGrid>
      <w:tr w14:paraId="76EE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189B52E5">
            <w:pPr>
              <w:spacing w:line="370" w:lineRule="atLeast"/>
              <w:jc w:val="center"/>
              <w:rPr>
                <w:rFonts w:hint="eastAsia" w:ascii="宋体" w:hAnsi="宋体" w:cs="宋体"/>
                <w:b/>
                <w:color w:val="000000"/>
                <w:szCs w:val="21"/>
              </w:rPr>
            </w:pPr>
            <w:r>
              <w:rPr>
                <w:rFonts w:hint="eastAsia" w:ascii="宋体" w:hAnsi="宋体" w:cs="宋体"/>
                <w:b/>
                <w:color w:val="000000"/>
                <w:szCs w:val="21"/>
              </w:rPr>
              <w:t>项号</w:t>
            </w:r>
          </w:p>
        </w:tc>
        <w:tc>
          <w:tcPr>
            <w:tcW w:w="2009" w:type="dxa"/>
            <w:vAlign w:val="center"/>
          </w:tcPr>
          <w:p w14:paraId="5A5D9C53">
            <w:pPr>
              <w:spacing w:line="370" w:lineRule="atLeast"/>
              <w:jc w:val="center"/>
              <w:rPr>
                <w:rFonts w:hint="eastAsia" w:ascii="宋体" w:hAnsi="宋体" w:cs="宋体"/>
                <w:b/>
                <w:color w:val="000000"/>
                <w:szCs w:val="21"/>
              </w:rPr>
            </w:pPr>
            <w:r>
              <w:rPr>
                <w:rFonts w:hint="eastAsia" w:ascii="宋体" w:hAnsi="宋体" w:cs="宋体"/>
                <w:b/>
                <w:color w:val="000000"/>
                <w:szCs w:val="21"/>
              </w:rPr>
              <w:t>内容</w:t>
            </w:r>
          </w:p>
        </w:tc>
        <w:tc>
          <w:tcPr>
            <w:tcW w:w="6620" w:type="dxa"/>
            <w:vAlign w:val="center"/>
          </w:tcPr>
          <w:p w14:paraId="64C89F54">
            <w:pPr>
              <w:spacing w:line="370" w:lineRule="atLeast"/>
              <w:jc w:val="center"/>
              <w:rPr>
                <w:rFonts w:hint="eastAsia" w:ascii="宋体" w:hAnsi="宋体" w:cs="宋体"/>
                <w:b/>
                <w:color w:val="000000"/>
                <w:szCs w:val="21"/>
              </w:rPr>
            </w:pPr>
            <w:r>
              <w:rPr>
                <w:rFonts w:hint="eastAsia" w:ascii="宋体" w:hAnsi="宋体" w:cs="宋体"/>
                <w:b/>
                <w:color w:val="000000"/>
                <w:szCs w:val="21"/>
              </w:rPr>
              <w:t>说明与要求</w:t>
            </w:r>
          </w:p>
        </w:tc>
      </w:tr>
      <w:tr w14:paraId="497393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14:paraId="4BBD27C1">
            <w:pPr>
              <w:spacing w:line="370" w:lineRule="atLeast"/>
              <w:jc w:val="center"/>
              <w:rPr>
                <w:rFonts w:hint="eastAsia" w:ascii="宋体" w:hAnsi="宋体" w:cs="宋体"/>
                <w:color w:val="000000"/>
                <w:szCs w:val="21"/>
              </w:rPr>
            </w:pPr>
            <w:r>
              <w:rPr>
                <w:rFonts w:hint="eastAsia" w:ascii="宋体" w:hAnsi="宋体" w:cs="宋体"/>
                <w:color w:val="000000"/>
                <w:szCs w:val="21"/>
              </w:rPr>
              <w:t>1</w:t>
            </w:r>
          </w:p>
        </w:tc>
        <w:tc>
          <w:tcPr>
            <w:tcW w:w="2009" w:type="dxa"/>
            <w:vAlign w:val="center"/>
          </w:tcPr>
          <w:p w14:paraId="43316324">
            <w:pPr>
              <w:spacing w:line="370" w:lineRule="atLeast"/>
              <w:jc w:val="center"/>
              <w:rPr>
                <w:rFonts w:hint="eastAsia" w:ascii="宋体" w:hAnsi="宋体" w:cs="宋体"/>
                <w:color w:val="000000"/>
                <w:szCs w:val="21"/>
              </w:rPr>
            </w:pPr>
            <w:r>
              <w:rPr>
                <w:rFonts w:hint="eastAsia" w:ascii="宋体" w:hAnsi="宋体" w:cs="宋体"/>
                <w:color w:val="000000"/>
                <w:szCs w:val="21"/>
              </w:rPr>
              <w:t>项目名称</w:t>
            </w:r>
          </w:p>
        </w:tc>
        <w:tc>
          <w:tcPr>
            <w:tcW w:w="6620" w:type="dxa"/>
            <w:vAlign w:val="center"/>
          </w:tcPr>
          <w:p w14:paraId="0B15BEB9">
            <w:pPr>
              <w:spacing w:line="370" w:lineRule="atLeast"/>
              <w:rPr>
                <w:rFonts w:hint="eastAsia" w:ascii="宋体" w:hAnsi="宋体" w:cs="宋体"/>
                <w:color w:val="000000"/>
                <w:szCs w:val="21"/>
              </w:rPr>
            </w:pPr>
            <w:r>
              <w:rPr>
                <w:rFonts w:hint="eastAsia" w:ascii="宋体" w:hAnsi="宋体" w:cs="宋体"/>
                <w:bCs/>
                <w:color w:val="000000"/>
                <w:kern w:val="0"/>
                <w:szCs w:val="21"/>
              </w:rPr>
              <w:t>文成县新型能源体系构建白皮书（2024-2035年）</w:t>
            </w:r>
          </w:p>
        </w:tc>
      </w:tr>
      <w:tr w14:paraId="7C441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9" w:hRule="atLeast"/>
          <w:jc w:val="center"/>
        </w:trPr>
        <w:tc>
          <w:tcPr>
            <w:tcW w:w="645" w:type="dxa"/>
            <w:vAlign w:val="center"/>
          </w:tcPr>
          <w:p w14:paraId="79131DDB">
            <w:pPr>
              <w:spacing w:line="370" w:lineRule="atLeast"/>
              <w:jc w:val="center"/>
              <w:rPr>
                <w:rFonts w:hint="eastAsia" w:ascii="宋体" w:hAnsi="宋体" w:cs="宋体"/>
                <w:color w:val="000000"/>
                <w:szCs w:val="21"/>
              </w:rPr>
            </w:pPr>
            <w:r>
              <w:rPr>
                <w:rFonts w:hint="eastAsia" w:ascii="宋体" w:hAnsi="宋体" w:cs="宋体"/>
                <w:color w:val="000000"/>
                <w:szCs w:val="21"/>
              </w:rPr>
              <w:t>2</w:t>
            </w:r>
          </w:p>
        </w:tc>
        <w:tc>
          <w:tcPr>
            <w:tcW w:w="2009" w:type="dxa"/>
            <w:vAlign w:val="center"/>
          </w:tcPr>
          <w:p w14:paraId="6E1109B6">
            <w:pPr>
              <w:spacing w:line="370" w:lineRule="atLeast"/>
              <w:jc w:val="center"/>
              <w:rPr>
                <w:rFonts w:hint="eastAsia" w:ascii="宋体" w:hAnsi="宋体" w:cs="宋体"/>
                <w:color w:val="000000"/>
                <w:szCs w:val="21"/>
              </w:rPr>
            </w:pPr>
            <w:r>
              <w:rPr>
                <w:rFonts w:hint="eastAsia" w:ascii="宋体" w:hAnsi="宋体" w:cs="宋体"/>
                <w:color w:val="000000"/>
                <w:szCs w:val="21"/>
              </w:rPr>
              <w:t>项目编号</w:t>
            </w:r>
          </w:p>
        </w:tc>
        <w:tc>
          <w:tcPr>
            <w:tcW w:w="6620" w:type="dxa"/>
            <w:vAlign w:val="center"/>
          </w:tcPr>
          <w:p w14:paraId="6DD797BE">
            <w:pPr>
              <w:spacing w:line="370" w:lineRule="atLeast"/>
              <w:rPr>
                <w:rFonts w:hint="eastAsia" w:ascii="宋体" w:hAnsi="宋体" w:eastAsia="宋体" w:cs="宋体"/>
                <w:bCs/>
                <w:color w:val="000000"/>
                <w:kern w:val="0"/>
                <w:szCs w:val="21"/>
                <w:lang w:eastAsia="zh-CN"/>
              </w:rPr>
            </w:pPr>
            <w:r>
              <w:rPr>
                <w:rFonts w:hint="eastAsia" w:ascii="宋体" w:hAnsi="宋体" w:cs="宋体"/>
                <w:color w:val="000000"/>
                <w:szCs w:val="21"/>
                <w:lang w:eastAsia="zh-CN"/>
              </w:rPr>
              <w:t>WGWC-LNGS-2024001</w:t>
            </w:r>
          </w:p>
        </w:tc>
      </w:tr>
      <w:tr w14:paraId="278131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6" w:hRule="atLeast"/>
          <w:jc w:val="center"/>
        </w:trPr>
        <w:tc>
          <w:tcPr>
            <w:tcW w:w="645" w:type="dxa"/>
            <w:vAlign w:val="center"/>
          </w:tcPr>
          <w:p w14:paraId="63C88272">
            <w:pPr>
              <w:spacing w:line="370" w:lineRule="atLeast"/>
              <w:jc w:val="center"/>
              <w:rPr>
                <w:rFonts w:hint="eastAsia" w:ascii="宋体" w:hAnsi="宋体" w:cs="宋体"/>
                <w:color w:val="000000"/>
                <w:szCs w:val="21"/>
              </w:rPr>
            </w:pPr>
            <w:r>
              <w:rPr>
                <w:rFonts w:hint="eastAsia" w:ascii="宋体" w:hAnsi="宋体" w:cs="宋体"/>
                <w:color w:val="000000"/>
                <w:szCs w:val="21"/>
              </w:rPr>
              <w:t>3</w:t>
            </w:r>
          </w:p>
        </w:tc>
        <w:tc>
          <w:tcPr>
            <w:tcW w:w="2009" w:type="dxa"/>
            <w:vAlign w:val="center"/>
          </w:tcPr>
          <w:p w14:paraId="0A902F4D">
            <w:pPr>
              <w:spacing w:line="370" w:lineRule="atLeast"/>
              <w:jc w:val="center"/>
              <w:rPr>
                <w:rFonts w:hint="eastAsia" w:ascii="宋体" w:hAnsi="宋体" w:cs="宋体"/>
                <w:szCs w:val="21"/>
              </w:rPr>
            </w:pPr>
            <w:r>
              <w:rPr>
                <w:rFonts w:hint="eastAsia" w:ascii="宋体" w:hAnsi="宋体" w:cs="宋体"/>
                <w:szCs w:val="21"/>
              </w:rPr>
              <w:t>采购预算</w:t>
            </w:r>
          </w:p>
          <w:p w14:paraId="2BD8C741">
            <w:pPr>
              <w:spacing w:line="370" w:lineRule="atLeast"/>
              <w:jc w:val="center"/>
              <w:rPr>
                <w:rFonts w:hint="eastAsia" w:ascii="宋体" w:hAnsi="宋体" w:cs="宋体"/>
                <w:szCs w:val="21"/>
              </w:rPr>
            </w:pPr>
            <w:r>
              <w:rPr>
                <w:rFonts w:hint="eastAsia" w:ascii="宋体" w:hAnsi="宋体" w:cs="宋体"/>
                <w:szCs w:val="21"/>
              </w:rPr>
              <w:t>（最高限价）</w:t>
            </w:r>
          </w:p>
        </w:tc>
        <w:tc>
          <w:tcPr>
            <w:tcW w:w="6620" w:type="dxa"/>
            <w:vAlign w:val="center"/>
          </w:tcPr>
          <w:p w14:paraId="37EBB783">
            <w:pPr>
              <w:spacing w:line="370" w:lineRule="atLeast"/>
              <w:rPr>
                <w:rFonts w:hint="eastAsia" w:ascii="宋体" w:hAnsi="宋体" w:cs="宋体"/>
                <w:szCs w:val="21"/>
              </w:rPr>
            </w:pPr>
            <w:r>
              <w:rPr>
                <w:rFonts w:hint="eastAsia" w:ascii="宋体" w:hAnsi="宋体" w:cs="宋体"/>
                <w:bCs/>
                <w:kern w:val="0"/>
                <w:szCs w:val="21"/>
              </w:rPr>
              <w:t>600000元</w:t>
            </w:r>
          </w:p>
        </w:tc>
      </w:tr>
      <w:tr w14:paraId="013883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49" w:hRule="atLeast"/>
          <w:jc w:val="center"/>
        </w:trPr>
        <w:tc>
          <w:tcPr>
            <w:tcW w:w="645" w:type="dxa"/>
            <w:vAlign w:val="center"/>
          </w:tcPr>
          <w:p w14:paraId="6764FAD6">
            <w:pPr>
              <w:spacing w:line="370" w:lineRule="atLeast"/>
              <w:jc w:val="center"/>
              <w:rPr>
                <w:rFonts w:hint="eastAsia" w:ascii="宋体" w:hAnsi="宋体" w:cs="宋体"/>
                <w:color w:val="000000"/>
                <w:szCs w:val="21"/>
              </w:rPr>
            </w:pPr>
            <w:r>
              <w:rPr>
                <w:rFonts w:hint="eastAsia" w:ascii="宋体" w:hAnsi="宋体" w:cs="宋体"/>
                <w:color w:val="000000"/>
                <w:szCs w:val="21"/>
              </w:rPr>
              <w:t>4</w:t>
            </w:r>
          </w:p>
        </w:tc>
        <w:tc>
          <w:tcPr>
            <w:tcW w:w="2009" w:type="dxa"/>
            <w:vAlign w:val="center"/>
          </w:tcPr>
          <w:p w14:paraId="2975CC22">
            <w:pPr>
              <w:adjustRightInd w:val="0"/>
              <w:spacing w:line="370" w:lineRule="atLeast"/>
              <w:jc w:val="center"/>
              <w:rPr>
                <w:rFonts w:hint="eastAsia" w:ascii="宋体" w:hAnsi="宋体" w:cs="宋体"/>
                <w:color w:val="000000"/>
                <w:szCs w:val="21"/>
              </w:rPr>
            </w:pPr>
            <w:r>
              <w:rPr>
                <w:rFonts w:hint="eastAsia" w:ascii="宋体" w:hAnsi="宋体" w:cs="宋体"/>
                <w:color w:val="000000"/>
                <w:szCs w:val="21"/>
              </w:rPr>
              <w:t>采购人</w:t>
            </w:r>
          </w:p>
        </w:tc>
        <w:tc>
          <w:tcPr>
            <w:tcW w:w="6620" w:type="dxa"/>
            <w:vAlign w:val="center"/>
          </w:tcPr>
          <w:p w14:paraId="2F8EC47A">
            <w:pPr>
              <w:spacing w:line="300" w:lineRule="exact"/>
              <w:rPr>
                <w:rFonts w:hint="eastAsia" w:ascii="宋体" w:hAnsi="宋体" w:eastAsia="宋体" w:cs="宋体"/>
                <w:color w:val="000000"/>
                <w:szCs w:val="21"/>
                <w:lang w:eastAsia="zh-CN"/>
              </w:rPr>
            </w:pPr>
            <w:r>
              <w:rPr>
                <w:rFonts w:hint="eastAsia" w:ascii="宋体" w:cs="宋体"/>
                <w:kern w:val="0"/>
                <w:sz w:val="22"/>
                <w:szCs w:val="22"/>
                <w:lang w:val="en-US" w:eastAsia="zh-CN"/>
              </w:rPr>
              <w:t>见采购公告</w:t>
            </w:r>
          </w:p>
        </w:tc>
      </w:tr>
      <w:tr w14:paraId="5236CC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9" w:hRule="atLeast"/>
          <w:jc w:val="center"/>
        </w:trPr>
        <w:tc>
          <w:tcPr>
            <w:tcW w:w="645" w:type="dxa"/>
            <w:vAlign w:val="center"/>
          </w:tcPr>
          <w:p w14:paraId="7FDCA961">
            <w:pPr>
              <w:spacing w:line="370" w:lineRule="atLeast"/>
              <w:jc w:val="center"/>
              <w:rPr>
                <w:rFonts w:hint="eastAsia" w:ascii="宋体" w:hAnsi="宋体" w:cs="宋体"/>
                <w:color w:val="000000"/>
                <w:szCs w:val="21"/>
              </w:rPr>
            </w:pPr>
            <w:r>
              <w:rPr>
                <w:rFonts w:hint="eastAsia" w:ascii="宋体" w:hAnsi="宋体" w:cs="宋体"/>
                <w:color w:val="000000"/>
                <w:szCs w:val="21"/>
              </w:rPr>
              <w:t>5</w:t>
            </w:r>
          </w:p>
        </w:tc>
        <w:tc>
          <w:tcPr>
            <w:tcW w:w="2009" w:type="dxa"/>
            <w:vAlign w:val="center"/>
          </w:tcPr>
          <w:p w14:paraId="2546BA8C">
            <w:pPr>
              <w:adjustRightInd w:val="0"/>
              <w:spacing w:line="370" w:lineRule="atLeast"/>
              <w:jc w:val="center"/>
              <w:rPr>
                <w:rFonts w:hint="eastAsia" w:ascii="宋体" w:hAnsi="宋体" w:cs="宋体"/>
                <w:color w:val="000000"/>
                <w:szCs w:val="21"/>
              </w:rPr>
            </w:pPr>
            <w:r>
              <w:rPr>
                <w:rFonts w:hint="eastAsia" w:ascii="宋体" w:hAnsi="宋体" w:cs="宋体"/>
                <w:color w:val="000000"/>
                <w:szCs w:val="21"/>
              </w:rPr>
              <w:t>采购代理机构</w:t>
            </w:r>
          </w:p>
        </w:tc>
        <w:tc>
          <w:tcPr>
            <w:tcW w:w="6620" w:type="dxa"/>
            <w:vAlign w:val="center"/>
          </w:tcPr>
          <w:p w14:paraId="46718E2C">
            <w:pPr>
              <w:spacing w:line="300" w:lineRule="exact"/>
              <w:rPr>
                <w:rFonts w:hint="default" w:ascii="宋体" w:hAnsi="宋体" w:eastAsia="宋体" w:cs="宋体"/>
                <w:bCs/>
                <w:color w:val="000000"/>
                <w:kern w:val="0"/>
                <w:szCs w:val="21"/>
                <w:lang w:val="en-US" w:eastAsia="zh-CN"/>
              </w:rPr>
            </w:pPr>
            <w:r>
              <w:rPr>
                <w:rFonts w:hint="eastAsia" w:ascii="宋体" w:cs="宋体"/>
                <w:kern w:val="0"/>
                <w:sz w:val="22"/>
                <w:szCs w:val="22"/>
                <w:lang w:val="en-US" w:eastAsia="zh-CN"/>
              </w:rPr>
              <w:t>见采购公告</w:t>
            </w:r>
          </w:p>
        </w:tc>
      </w:tr>
      <w:tr w14:paraId="68D051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6" w:hRule="atLeast"/>
          <w:jc w:val="center"/>
        </w:trPr>
        <w:tc>
          <w:tcPr>
            <w:tcW w:w="645" w:type="dxa"/>
            <w:vAlign w:val="center"/>
          </w:tcPr>
          <w:p w14:paraId="5588DA7F">
            <w:pPr>
              <w:spacing w:line="370" w:lineRule="atLeast"/>
              <w:jc w:val="center"/>
              <w:rPr>
                <w:rFonts w:hint="eastAsia" w:ascii="宋体" w:hAnsi="宋体" w:cs="宋体"/>
                <w:color w:val="000000"/>
                <w:szCs w:val="21"/>
              </w:rPr>
            </w:pPr>
            <w:r>
              <w:rPr>
                <w:rFonts w:hint="eastAsia" w:ascii="宋体" w:hAnsi="宋体" w:cs="宋体"/>
                <w:color w:val="000000"/>
                <w:szCs w:val="21"/>
              </w:rPr>
              <w:t>6</w:t>
            </w:r>
          </w:p>
        </w:tc>
        <w:tc>
          <w:tcPr>
            <w:tcW w:w="2009" w:type="dxa"/>
            <w:vAlign w:val="center"/>
          </w:tcPr>
          <w:p w14:paraId="4044E3B7">
            <w:pPr>
              <w:spacing w:line="370" w:lineRule="atLeast"/>
              <w:jc w:val="center"/>
              <w:rPr>
                <w:rFonts w:hint="eastAsia" w:ascii="宋体" w:hAnsi="宋体" w:cs="宋体"/>
                <w:color w:val="000000"/>
                <w:spacing w:val="-2"/>
                <w:szCs w:val="21"/>
              </w:rPr>
            </w:pPr>
            <w:r>
              <w:rPr>
                <w:rFonts w:hint="eastAsia" w:ascii="宋体" w:hAnsi="宋体" w:cs="宋体"/>
                <w:color w:val="000000"/>
                <w:spacing w:val="-2"/>
                <w:szCs w:val="21"/>
              </w:rPr>
              <w:t>招标内容</w:t>
            </w:r>
          </w:p>
        </w:tc>
        <w:tc>
          <w:tcPr>
            <w:tcW w:w="6620" w:type="dxa"/>
            <w:vAlign w:val="center"/>
          </w:tcPr>
          <w:p w14:paraId="57DF356F">
            <w:pPr>
              <w:spacing w:line="370" w:lineRule="atLeast"/>
              <w:jc w:val="left"/>
              <w:rPr>
                <w:rFonts w:hint="eastAsia" w:ascii="宋体" w:hAnsi="宋体" w:cs="宋体"/>
                <w:color w:val="000000"/>
                <w:spacing w:val="-2"/>
                <w:szCs w:val="21"/>
              </w:rPr>
            </w:pPr>
            <w:r>
              <w:rPr>
                <w:rFonts w:hint="eastAsia" w:ascii="宋体" w:hAnsi="宋体" w:cs="宋体"/>
                <w:kern w:val="0"/>
                <w:sz w:val="22"/>
                <w:szCs w:val="22"/>
              </w:rPr>
              <w:t>具体招标内容及要求见招标文件相关部分</w:t>
            </w:r>
            <w:r>
              <w:rPr>
                <w:rFonts w:hint="eastAsia" w:ascii="宋体"/>
                <w:sz w:val="22"/>
                <w:szCs w:val="22"/>
              </w:rPr>
              <w:t>。</w:t>
            </w:r>
          </w:p>
        </w:tc>
      </w:tr>
      <w:tr w14:paraId="23941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00" w:hRule="atLeast"/>
          <w:jc w:val="center"/>
        </w:trPr>
        <w:tc>
          <w:tcPr>
            <w:tcW w:w="645" w:type="dxa"/>
            <w:vAlign w:val="center"/>
          </w:tcPr>
          <w:p w14:paraId="1FB7AC5C">
            <w:pPr>
              <w:spacing w:line="370" w:lineRule="atLeast"/>
              <w:jc w:val="center"/>
              <w:rPr>
                <w:rFonts w:hint="eastAsia" w:ascii="宋体" w:hAnsi="宋体" w:cs="宋体"/>
                <w:color w:val="000000"/>
                <w:szCs w:val="21"/>
              </w:rPr>
            </w:pPr>
            <w:r>
              <w:rPr>
                <w:rFonts w:hint="eastAsia" w:ascii="宋体" w:hAnsi="宋体" w:cs="宋体"/>
                <w:color w:val="000000"/>
                <w:szCs w:val="21"/>
              </w:rPr>
              <w:t>7</w:t>
            </w:r>
          </w:p>
        </w:tc>
        <w:tc>
          <w:tcPr>
            <w:tcW w:w="2009" w:type="dxa"/>
            <w:vAlign w:val="center"/>
          </w:tcPr>
          <w:p w14:paraId="2A4E637F">
            <w:pPr>
              <w:spacing w:line="370" w:lineRule="atLeast"/>
              <w:jc w:val="center"/>
              <w:rPr>
                <w:rFonts w:hint="eastAsia" w:ascii="宋体" w:hAnsi="宋体" w:cs="宋体"/>
                <w:color w:val="000000"/>
                <w:szCs w:val="21"/>
              </w:rPr>
            </w:pPr>
            <w:r>
              <w:rPr>
                <w:rFonts w:hint="eastAsia" w:ascii="宋体" w:hAnsi="宋体" w:cs="宋体"/>
                <w:color w:val="000000"/>
                <w:szCs w:val="21"/>
              </w:rPr>
              <w:t>投标供应商</w:t>
            </w:r>
          </w:p>
          <w:p w14:paraId="5DF72499">
            <w:pPr>
              <w:spacing w:line="370" w:lineRule="atLeast"/>
              <w:jc w:val="center"/>
              <w:rPr>
                <w:rFonts w:hint="eastAsia" w:ascii="宋体" w:hAnsi="宋体" w:cs="宋体"/>
                <w:color w:val="000000"/>
                <w:szCs w:val="21"/>
              </w:rPr>
            </w:pPr>
            <w:r>
              <w:rPr>
                <w:rFonts w:hint="eastAsia" w:ascii="宋体" w:hAnsi="宋体" w:cs="宋体"/>
                <w:color w:val="000000"/>
                <w:szCs w:val="21"/>
              </w:rPr>
              <w:t>资格要求</w:t>
            </w:r>
          </w:p>
        </w:tc>
        <w:tc>
          <w:tcPr>
            <w:tcW w:w="6620" w:type="dxa"/>
            <w:vAlign w:val="center"/>
          </w:tcPr>
          <w:p w14:paraId="421606B2">
            <w:pPr>
              <w:pStyle w:val="30"/>
              <w:widowControl w:val="0"/>
              <w:tabs>
                <w:tab w:val="left" w:pos="426"/>
              </w:tabs>
              <w:spacing w:line="400" w:lineRule="exact"/>
              <w:ind w:firstLine="0" w:firstLineChars="0"/>
              <w:jc w:val="both"/>
              <w:rPr>
                <w:rFonts w:hint="eastAsia" w:ascii="宋体" w:hAnsi="宋体" w:cs="宋体"/>
                <w:color w:val="000000"/>
                <w:szCs w:val="21"/>
              </w:rPr>
            </w:pPr>
            <w:r>
              <w:rPr>
                <w:rFonts w:hint="eastAsia" w:ascii="宋体" w:hAnsi="宋体" w:cs="宋体"/>
                <w:color w:val="000000"/>
                <w:szCs w:val="21"/>
              </w:rPr>
              <w:t>1.符合《温州市市属国有企业采购管理办法（试行）》第十五条对供应商参加温州市国有企业采购活动应当具备的条件的要求。</w:t>
            </w:r>
          </w:p>
          <w:p w14:paraId="7F63CF8A">
            <w:pPr>
              <w:pStyle w:val="30"/>
              <w:widowControl w:val="0"/>
              <w:tabs>
                <w:tab w:val="left" w:pos="426"/>
              </w:tabs>
              <w:spacing w:line="400" w:lineRule="exact"/>
              <w:ind w:firstLine="0" w:firstLineChars="0"/>
              <w:jc w:val="both"/>
              <w:rPr>
                <w:rFonts w:hint="eastAsia" w:ascii="宋体" w:hAnsi="宋体" w:cs="宋体"/>
                <w:color w:val="000000"/>
                <w:szCs w:val="21"/>
              </w:rPr>
            </w:pPr>
            <w:r>
              <w:rPr>
                <w:rFonts w:hint="eastAsia" w:ascii="宋体" w:hAnsi="宋体" w:cs="宋体"/>
                <w:color w:val="000000"/>
                <w:szCs w:val="21"/>
              </w:rPr>
              <w:t>（1）具有独立承担民事责任的能力；</w:t>
            </w:r>
          </w:p>
          <w:p w14:paraId="53EBE541">
            <w:pPr>
              <w:pStyle w:val="30"/>
              <w:widowControl w:val="0"/>
              <w:tabs>
                <w:tab w:val="left" w:pos="426"/>
              </w:tabs>
              <w:spacing w:line="400" w:lineRule="exact"/>
              <w:ind w:firstLine="0" w:firstLineChars="0"/>
              <w:jc w:val="both"/>
              <w:rPr>
                <w:rFonts w:hint="eastAsia" w:ascii="宋体" w:hAnsi="宋体" w:cs="宋体"/>
                <w:color w:val="000000"/>
                <w:szCs w:val="21"/>
              </w:rPr>
            </w:pPr>
            <w:r>
              <w:rPr>
                <w:rFonts w:hint="eastAsia" w:ascii="宋体" w:hAnsi="宋体" w:cs="宋体"/>
                <w:color w:val="000000"/>
                <w:szCs w:val="21"/>
              </w:rPr>
              <w:t>（2）具有良好的商业信誉和健全的财务会计制度；</w:t>
            </w:r>
          </w:p>
          <w:p w14:paraId="600E70B5">
            <w:pPr>
              <w:pStyle w:val="30"/>
              <w:widowControl w:val="0"/>
              <w:tabs>
                <w:tab w:val="left" w:pos="426"/>
              </w:tabs>
              <w:spacing w:line="400" w:lineRule="exact"/>
              <w:ind w:firstLine="0" w:firstLineChars="0"/>
              <w:jc w:val="both"/>
              <w:rPr>
                <w:rFonts w:hint="eastAsia" w:ascii="宋体" w:hAnsi="宋体" w:cs="宋体"/>
                <w:color w:val="000000"/>
                <w:szCs w:val="21"/>
              </w:rPr>
            </w:pPr>
            <w:r>
              <w:rPr>
                <w:rFonts w:hint="eastAsia" w:ascii="宋体" w:hAnsi="宋体" w:cs="宋体"/>
                <w:color w:val="000000"/>
                <w:szCs w:val="21"/>
              </w:rPr>
              <w:t>（3）具有履行合同所必需的设备和专业技术、售后保障等能力；</w:t>
            </w:r>
          </w:p>
          <w:p w14:paraId="13CAF04A">
            <w:pPr>
              <w:pStyle w:val="30"/>
              <w:widowControl w:val="0"/>
              <w:tabs>
                <w:tab w:val="left" w:pos="426"/>
              </w:tabs>
              <w:spacing w:line="400" w:lineRule="exact"/>
              <w:ind w:firstLine="0" w:firstLineChars="0"/>
              <w:jc w:val="both"/>
              <w:rPr>
                <w:rFonts w:hint="eastAsia" w:ascii="宋体" w:hAnsi="宋体" w:cs="宋体"/>
                <w:color w:val="000000"/>
                <w:szCs w:val="21"/>
              </w:rPr>
            </w:pPr>
            <w:r>
              <w:rPr>
                <w:rFonts w:hint="eastAsia" w:ascii="宋体" w:hAnsi="宋体" w:cs="宋体"/>
                <w:color w:val="000000"/>
                <w:szCs w:val="21"/>
              </w:rPr>
              <w:t>（4）有依法缴纳税收和社会保障资金的良好记录；</w:t>
            </w:r>
          </w:p>
          <w:p w14:paraId="7AE150BC">
            <w:pPr>
              <w:pStyle w:val="30"/>
              <w:widowControl w:val="0"/>
              <w:tabs>
                <w:tab w:val="left" w:pos="426"/>
              </w:tabs>
              <w:spacing w:line="400" w:lineRule="exact"/>
              <w:ind w:firstLine="0" w:firstLineChars="0"/>
              <w:jc w:val="both"/>
              <w:rPr>
                <w:rFonts w:hint="eastAsia" w:ascii="宋体" w:hAnsi="宋体" w:cs="宋体"/>
                <w:color w:val="000000"/>
                <w:szCs w:val="21"/>
              </w:rPr>
            </w:pPr>
            <w:r>
              <w:rPr>
                <w:rFonts w:hint="eastAsia" w:ascii="宋体" w:hAnsi="宋体" w:cs="宋体"/>
                <w:color w:val="000000"/>
                <w:szCs w:val="21"/>
              </w:rPr>
              <w:t>（5）参加采购、招投标等活动前三年内，在经营活动中没有重大违法记录、严重失信行为和行贿记录；</w:t>
            </w:r>
          </w:p>
          <w:p w14:paraId="7A32CDC6">
            <w:pPr>
              <w:pStyle w:val="30"/>
              <w:widowControl w:val="0"/>
              <w:tabs>
                <w:tab w:val="left" w:pos="426"/>
              </w:tabs>
              <w:spacing w:line="400" w:lineRule="exact"/>
              <w:ind w:firstLine="0" w:firstLineChars="0"/>
              <w:jc w:val="both"/>
              <w:rPr>
                <w:rFonts w:hint="eastAsia" w:ascii="宋体" w:hAnsi="宋体" w:cs="宋体"/>
                <w:color w:val="000000"/>
                <w:szCs w:val="21"/>
              </w:rPr>
            </w:pPr>
            <w:r>
              <w:rPr>
                <w:rFonts w:hint="eastAsia" w:ascii="宋体" w:hAnsi="宋体" w:cs="宋体"/>
                <w:color w:val="000000"/>
                <w:szCs w:val="21"/>
              </w:rPr>
              <w:t>（6）法律、行政法规规定的其他条件。</w:t>
            </w:r>
          </w:p>
          <w:p w14:paraId="1DEF8371">
            <w:pPr>
              <w:pStyle w:val="30"/>
              <w:widowControl w:val="0"/>
              <w:tabs>
                <w:tab w:val="left" w:pos="426"/>
              </w:tabs>
              <w:spacing w:line="400" w:lineRule="exact"/>
              <w:ind w:firstLine="0" w:firstLineChars="0"/>
              <w:jc w:val="both"/>
              <w:rPr>
                <w:rFonts w:hint="eastAsia" w:ascii="宋体" w:hAnsi="宋体" w:cs="宋体"/>
                <w:color w:val="000000"/>
                <w:szCs w:val="21"/>
              </w:rPr>
            </w:pPr>
            <w:r>
              <w:rPr>
                <w:rFonts w:hint="eastAsia" w:ascii="宋体" w:hAnsi="宋体" w:cs="宋体"/>
                <w:color w:val="000000"/>
                <w:szCs w:val="21"/>
              </w:rPr>
              <w:t>2.投标供应商未被“信用中国”（www.creditchina.gov.cn）、中国政府采购网（www.ccgp.gov.cn）列入失信被执行人、重大税收违法案件当事人名单、采购严重违法失信行为记录名单。</w:t>
            </w:r>
          </w:p>
        </w:tc>
      </w:tr>
      <w:tr w14:paraId="73B450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645" w:type="dxa"/>
            <w:vAlign w:val="center"/>
          </w:tcPr>
          <w:p w14:paraId="0A95E873">
            <w:pPr>
              <w:spacing w:line="370" w:lineRule="atLeast"/>
              <w:jc w:val="center"/>
              <w:rPr>
                <w:rFonts w:hint="eastAsia" w:ascii="宋体" w:hAnsi="宋体" w:cs="宋体"/>
                <w:color w:val="000000"/>
                <w:szCs w:val="21"/>
              </w:rPr>
            </w:pPr>
            <w:r>
              <w:rPr>
                <w:rFonts w:hint="eastAsia" w:ascii="宋体" w:hAnsi="宋体" w:cs="宋体"/>
                <w:color w:val="000000"/>
                <w:szCs w:val="21"/>
              </w:rPr>
              <w:t>8</w:t>
            </w:r>
          </w:p>
        </w:tc>
        <w:tc>
          <w:tcPr>
            <w:tcW w:w="2009" w:type="dxa"/>
            <w:vAlign w:val="center"/>
          </w:tcPr>
          <w:p w14:paraId="52CDC8BE">
            <w:pPr>
              <w:adjustRightInd w:val="0"/>
              <w:spacing w:line="370" w:lineRule="atLeast"/>
              <w:jc w:val="center"/>
              <w:rPr>
                <w:rFonts w:hint="eastAsia" w:ascii="宋体" w:hAnsi="宋体" w:cs="宋体"/>
                <w:color w:val="000000"/>
                <w:szCs w:val="21"/>
              </w:rPr>
            </w:pPr>
            <w:r>
              <w:rPr>
                <w:rFonts w:hint="eastAsia" w:ascii="宋体" w:hAnsi="宋体" w:cs="宋体"/>
                <w:color w:val="000000"/>
                <w:szCs w:val="21"/>
              </w:rPr>
              <w:t>是否接受联合体投标</w:t>
            </w:r>
          </w:p>
        </w:tc>
        <w:tc>
          <w:tcPr>
            <w:tcW w:w="6620" w:type="dxa"/>
            <w:vAlign w:val="center"/>
          </w:tcPr>
          <w:p w14:paraId="4075998F">
            <w:pPr>
              <w:adjustRightInd w:val="0"/>
              <w:spacing w:line="370" w:lineRule="atLeast"/>
              <w:rPr>
                <w:rFonts w:hint="eastAsia" w:ascii="宋体" w:hAnsi="宋体" w:cs="宋体"/>
                <w:bCs/>
                <w:color w:val="000000"/>
                <w:kern w:val="0"/>
                <w:szCs w:val="21"/>
              </w:rPr>
            </w:pPr>
            <w:r>
              <w:rPr>
                <w:rFonts w:hint="eastAsia" w:ascii="宋体" w:hAnsi="宋体" w:cs="宋体"/>
                <w:bCs/>
                <w:color w:val="000000"/>
                <w:kern w:val="0"/>
                <w:szCs w:val="21"/>
              </w:rPr>
              <w:t>☑ 不接受</w:t>
            </w:r>
          </w:p>
        </w:tc>
      </w:tr>
      <w:tr w14:paraId="17C41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14:paraId="051C3031">
            <w:pPr>
              <w:spacing w:line="370" w:lineRule="atLeast"/>
              <w:jc w:val="center"/>
              <w:rPr>
                <w:rFonts w:hint="eastAsia" w:ascii="宋体" w:hAnsi="宋体" w:cs="宋体"/>
                <w:color w:val="000000"/>
                <w:szCs w:val="21"/>
              </w:rPr>
            </w:pPr>
            <w:r>
              <w:rPr>
                <w:rFonts w:hint="eastAsia" w:ascii="宋体" w:hAnsi="宋体" w:cs="宋体"/>
                <w:color w:val="000000"/>
                <w:szCs w:val="21"/>
              </w:rPr>
              <w:t>9</w:t>
            </w:r>
          </w:p>
        </w:tc>
        <w:tc>
          <w:tcPr>
            <w:tcW w:w="2009" w:type="dxa"/>
            <w:vAlign w:val="center"/>
          </w:tcPr>
          <w:p w14:paraId="595A88F3">
            <w:pPr>
              <w:adjustRightInd w:val="0"/>
              <w:spacing w:line="370" w:lineRule="atLeast"/>
              <w:jc w:val="center"/>
              <w:rPr>
                <w:rFonts w:hint="eastAsia" w:ascii="宋体" w:hAnsi="宋体" w:cs="宋体"/>
                <w:color w:val="000000"/>
                <w:szCs w:val="21"/>
              </w:rPr>
            </w:pPr>
            <w:r>
              <w:rPr>
                <w:rFonts w:hint="eastAsia" w:ascii="宋体" w:hAnsi="宋体" w:cs="宋体"/>
                <w:color w:val="000000"/>
                <w:szCs w:val="21"/>
              </w:rPr>
              <w:t>是否分包</w:t>
            </w:r>
          </w:p>
        </w:tc>
        <w:tc>
          <w:tcPr>
            <w:tcW w:w="6620" w:type="dxa"/>
            <w:vAlign w:val="center"/>
          </w:tcPr>
          <w:p w14:paraId="5D71A1EB">
            <w:pPr>
              <w:widowControl/>
              <w:spacing w:line="370" w:lineRule="atLeast"/>
              <w:rPr>
                <w:rFonts w:hint="eastAsia" w:ascii="宋体" w:hAnsi="宋体" w:cs="宋体"/>
                <w:bCs/>
                <w:color w:val="000000"/>
                <w:kern w:val="0"/>
                <w:szCs w:val="21"/>
              </w:rPr>
            </w:pPr>
            <w:r>
              <w:rPr>
                <w:rFonts w:hint="eastAsia" w:ascii="宋体" w:hAnsi="宋体" w:cs="宋体"/>
                <w:bCs/>
                <w:color w:val="000000"/>
                <w:kern w:val="0"/>
                <w:szCs w:val="21"/>
              </w:rPr>
              <w:t xml:space="preserve">☑ </w:t>
            </w:r>
            <w:r>
              <w:rPr>
                <w:rFonts w:hint="eastAsia" w:ascii="宋体" w:hAnsi="宋体" w:cs="宋体"/>
                <w:color w:val="000000"/>
                <w:szCs w:val="21"/>
              </w:rPr>
              <w:t>不接受</w:t>
            </w:r>
          </w:p>
        </w:tc>
      </w:tr>
      <w:tr w14:paraId="0288E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5" w:hRule="atLeast"/>
          <w:jc w:val="center"/>
        </w:trPr>
        <w:tc>
          <w:tcPr>
            <w:tcW w:w="645" w:type="dxa"/>
            <w:vAlign w:val="center"/>
          </w:tcPr>
          <w:p w14:paraId="718277A3">
            <w:pPr>
              <w:spacing w:line="370" w:lineRule="atLeast"/>
              <w:jc w:val="center"/>
              <w:rPr>
                <w:rFonts w:hint="eastAsia" w:ascii="宋体" w:hAnsi="宋体" w:cs="宋体"/>
                <w:color w:val="000000"/>
                <w:szCs w:val="21"/>
              </w:rPr>
            </w:pPr>
            <w:r>
              <w:rPr>
                <w:rFonts w:hint="eastAsia" w:ascii="宋体" w:hAnsi="宋体" w:cs="宋体"/>
                <w:color w:val="000000"/>
                <w:szCs w:val="21"/>
              </w:rPr>
              <w:t>10</w:t>
            </w:r>
          </w:p>
        </w:tc>
        <w:tc>
          <w:tcPr>
            <w:tcW w:w="2009" w:type="dxa"/>
            <w:vAlign w:val="center"/>
          </w:tcPr>
          <w:p w14:paraId="0573DB1F">
            <w:pPr>
              <w:adjustRightInd w:val="0"/>
              <w:spacing w:line="370" w:lineRule="atLeast"/>
              <w:jc w:val="center"/>
              <w:rPr>
                <w:rFonts w:hint="eastAsia" w:ascii="宋体" w:hAnsi="宋体" w:cs="宋体"/>
                <w:color w:val="000000"/>
                <w:szCs w:val="21"/>
              </w:rPr>
            </w:pPr>
            <w:r>
              <w:rPr>
                <w:rFonts w:hint="eastAsia" w:ascii="宋体" w:hAnsi="宋体" w:cs="宋体"/>
                <w:color w:val="000000"/>
                <w:szCs w:val="21"/>
              </w:rPr>
              <w:t>踏勘现场</w:t>
            </w:r>
          </w:p>
        </w:tc>
        <w:tc>
          <w:tcPr>
            <w:tcW w:w="6620" w:type="dxa"/>
            <w:vAlign w:val="center"/>
          </w:tcPr>
          <w:p w14:paraId="6D635AAE">
            <w:pPr>
              <w:adjustRightInd w:val="0"/>
              <w:spacing w:line="370" w:lineRule="atLeast"/>
              <w:rPr>
                <w:rFonts w:hint="eastAsia" w:ascii="宋体" w:hAnsi="宋体" w:cs="宋体"/>
                <w:bCs/>
                <w:color w:val="000000"/>
                <w:kern w:val="0"/>
                <w:szCs w:val="21"/>
              </w:rPr>
            </w:pPr>
            <w:r>
              <w:rPr>
                <w:rFonts w:hint="eastAsia" w:ascii="宋体" w:hAnsi="宋体" w:cs="宋体"/>
                <w:bCs/>
                <w:color w:val="000000"/>
                <w:kern w:val="0"/>
                <w:szCs w:val="21"/>
              </w:rPr>
              <w:t>☑ 自行组织</w:t>
            </w:r>
          </w:p>
        </w:tc>
      </w:tr>
      <w:tr w14:paraId="261923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14:paraId="51AF339E">
            <w:pPr>
              <w:spacing w:line="370" w:lineRule="atLeast"/>
              <w:jc w:val="center"/>
              <w:rPr>
                <w:rFonts w:hint="eastAsia" w:ascii="宋体" w:hAnsi="宋体" w:cs="宋体"/>
                <w:color w:val="000000"/>
                <w:szCs w:val="21"/>
              </w:rPr>
            </w:pPr>
            <w:r>
              <w:rPr>
                <w:rFonts w:hint="eastAsia" w:ascii="宋体" w:hAnsi="宋体" w:cs="宋体"/>
                <w:color w:val="000000"/>
                <w:szCs w:val="21"/>
              </w:rPr>
              <w:t>11</w:t>
            </w:r>
          </w:p>
        </w:tc>
        <w:tc>
          <w:tcPr>
            <w:tcW w:w="2009" w:type="dxa"/>
            <w:vAlign w:val="center"/>
          </w:tcPr>
          <w:p w14:paraId="250AF026">
            <w:pPr>
              <w:adjustRightInd w:val="0"/>
              <w:spacing w:line="370" w:lineRule="atLeast"/>
              <w:jc w:val="center"/>
              <w:rPr>
                <w:rFonts w:hint="eastAsia" w:ascii="宋体" w:hAnsi="宋体" w:cs="宋体"/>
                <w:color w:val="000000"/>
                <w:szCs w:val="21"/>
              </w:rPr>
            </w:pPr>
            <w:r>
              <w:rPr>
                <w:rFonts w:hint="eastAsia" w:ascii="宋体" w:hAnsi="宋体" w:cs="宋体"/>
                <w:color w:val="000000"/>
                <w:szCs w:val="21"/>
              </w:rPr>
              <w:t>是否允许递交备选投标方案</w:t>
            </w:r>
          </w:p>
        </w:tc>
        <w:tc>
          <w:tcPr>
            <w:tcW w:w="6620" w:type="dxa"/>
            <w:vAlign w:val="center"/>
          </w:tcPr>
          <w:p w14:paraId="33E3FB36">
            <w:pPr>
              <w:adjustRightInd w:val="0"/>
              <w:spacing w:line="370" w:lineRule="atLeast"/>
              <w:rPr>
                <w:rFonts w:hint="eastAsia" w:ascii="宋体" w:hAnsi="宋体" w:cs="宋体"/>
                <w:bCs/>
                <w:color w:val="000000"/>
                <w:kern w:val="0"/>
                <w:szCs w:val="21"/>
              </w:rPr>
            </w:pPr>
            <w:r>
              <w:rPr>
                <w:rFonts w:hint="eastAsia" w:ascii="宋体" w:hAnsi="宋体" w:cs="宋体"/>
                <w:bCs/>
                <w:color w:val="000000"/>
                <w:kern w:val="0"/>
                <w:szCs w:val="21"/>
              </w:rPr>
              <w:t>☑ 不允许</w:t>
            </w:r>
          </w:p>
        </w:tc>
      </w:tr>
      <w:tr w14:paraId="7449E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1" w:hRule="atLeast"/>
          <w:jc w:val="center"/>
        </w:trPr>
        <w:tc>
          <w:tcPr>
            <w:tcW w:w="645" w:type="dxa"/>
            <w:vAlign w:val="center"/>
          </w:tcPr>
          <w:p w14:paraId="14D7A077">
            <w:pPr>
              <w:spacing w:line="370" w:lineRule="atLeast"/>
              <w:jc w:val="center"/>
              <w:rPr>
                <w:rFonts w:hint="eastAsia" w:ascii="宋体" w:hAnsi="宋体" w:cs="宋体"/>
                <w:color w:val="000000"/>
                <w:szCs w:val="21"/>
              </w:rPr>
            </w:pPr>
            <w:r>
              <w:rPr>
                <w:rFonts w:hint="eastAsia" w:ascii="宋体" w:hAnsi="宋体" w:cs="宋体"/>
                <w:color w:val="000000"/>
                <w:szCs w:val="21"/>
              </w:rPr>
              <w:t>12</w:t>
            </w:r>
          </w:p>
        </w:tc>
        <w:tc>
          <w:tcPr>
            <w:tcW w:w="2009" w:type="dxa"/>
            <w:vAlign w:val="center"/>
          </w:tcPr>
          <w:p w14:paraId="3F003944">
            <w:pPr>
              <w:adjustRightInd w:val="0"/>
              <w:spacing w:line="370" w:lineRule="atLeast"/>
              <w:jc w:val="center"/>
              <w:rPr>
                <w:rFonts w:hint="eastAsia" w:ascii="宋体" w:hAnsi="宋体" w:cs="宋体"/>
                <w:color w:val="000000"/>
                <w:szCs w:val="21"/>
              </w:rPr>
            </w:pPr>
            <w:r>
              <w:rPr>
                <w:rFonts w:hint="eastAsia" w:ascii="宋体" w:hAnsi="宋体" w:cs="宋体"/>
                <w:color w:val="000000"/>
                <w:szCs w:val="21"/>
              </w:rPr>
              <w:t>投标货币</w:t>
            </w:r>
          </w:p>
        </w:tc>
        <w:tc>
          <w:tcPr>
            <w:tcW w:w="6620" w:type="dxa"/>
            <w:vAlign w:val="center"/>
          </w:tcPr>
          <w:p w14:paraId="73E8E362">
            <w:pPr>
              <w:adjustRightInd w:val="0"/>
              <w:spacing w:line="370" w:lineRule="atLeast"/>
              <w:rPr>
                <w:rFonts w:hint="eastAsia" w:ascii="宋体" w:hAnsi="宋体" w:cs="宋体"/>
                <w:bCs/>
                <w:color w:val="000000"/>
                <w:kern w:val="0"/>
                <w:szCs w:val="21"/>
              </w:rPr>
            </w:pPr>
            <w:r>
              <w:rPr>
                <w:rFonts w:hint="eastAsia" w:ascii="宋体" w:hAnsi="宋体" w:cs="宋体"/>
                <w:bCs/>
                <w:color w:val="000000"/>
                <w:kern w:val="0"/>
                <w:szCs w:val="21"/>
              </w:rPr>
              <w:t>人民币</w:t>
            </w:r>
          </w:p>
        </w:tc>
      </w:tr>
      <w:tr w14:paraId="605360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14:paraId="3729E2CF">
            <w:pPr>
              <w:spacing w:line="370" w:lineRule="atLeast"/>
              <w:jc w:val="center"/>
              <w:rPr>
                <w:rFonts w:hint="eastAsia" w:ascii="宋体" w:hAnsi="宋体" w:cs="宋体"/>
                <w:color w:val="000000"/>
                <w:szCs w:val="21"/>
              </w:rPr>
            </w:pPr>
            <w:r>
              <w:rPr>
                <w:rFonts w:hint="eastAsia" w:ascii="宋体" w:hAnsi="宋体" w:cs="宋体"/>
                <w:color w:val="000000"/>
                <w:szCs w:val="21"/>
              </w:rPr>
              <w:t>13</w:t>
            </w:r>
          </w:p>
        </w:tc>
        <w:tc>
          <w:tcPr>
            <w:tcW w:w="2009" w:type="dxa"/>
            <w:vAlign w:val="center"/>
          </w:tcPr>
          <w:p w14:paraId="53D1701A">
            <w:pPr>
              <w:adjustRightInd w:val="0"/>
              <w:spacing w:line="370" w:lineRule="atLeast"/>
              <w:jc w:val="center"/>
              <w:rPr>
                <w:rFonts w:hint="eastAsia" w:ascii="宋体" w:hAnsi="宋体" w:cs="宋体"/>
                <w:color w:val="000000"/>
                <w:szCs w:val="21"/>
              </w:rPr>
            </w:pPr>
            <w:r>
              <w:rPr>
                <w:rFonts w:hint="eastAsia" w:ascii="宋体" w:hAnsi="宋体" w:cs="宋体"/>
                <w:color w:val="000000"/>
                <w:szCs w:val="21"/>
              </w:rPr>
              <w:t>投标语言</w:t>
            </w:r>
          </w:p>
        </w:tc>
        <w:tc>
          <w:tcPr>
            <w:tcW w:w="6620" w:type="dxa"/>
            <w:vAlign w:val="center"/>
          </w:tcPr>
          <w:p w14:paraId="2E53AE07">
            <w:pPr>
              <w:adjustRightInd w:val="0"/>
              <w:spacing w:line="370" w:lineRule="atLeast"/>
              <w:rPr>
                <w:rFonts w:hint="eastAsia" w:ascii="宋体" w:hAnsi="宋体" w:cs="宋体"/>
                <w:bCs/>
                <w:color w:val="000000"/>
                <w:kern w:val="0"/>
                <w:szCs w:val="21"/>
              </w:rPr>
            </w:pPr>
            <w:r>
              <w:rPr>
                <w:rFonts w:hint="eastAsia" w:ascii="宋体" w:hAnsi="宋体" w:cs="宋体"/>
                <w:bCs/>
                <w:color w:val="000000"/>
                <w:kern w:val="0"/>
                <w:szCs w:val="21"/>
              </w:rPr>
              <w:t>中文</w:t>
            </w:r>
          </w:p>
        </w:tc>
      </w:tr>
      <w:tr w14:paraId="15BF44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9" w:hRule="atLeast"/>
          <w:jc w:val="center"/>
        </w:trPr>
        <w:tc>
          <w:tcPr>
            <w:tcW w:w="645" w:type="dxa"/>
            <w:vAlign w:val="center"/>
          </w:tcPr>
          <w:p w14:paraId="47E5CD95">
            <w:pPr>
              <w:widowControl/>
              <w:spacing w:line="370" w:lineRule="atLeast"/>
              <w:jc w:val="center"/>
              <w:rPr>
                <w:rFonts w:hint="eastAsia" w:ascii="宋体" w:hAnsi="宋体" w:cs="宋体"/>
                <w:color w:val="000000"/>
                <w:szCs w:val="21"/>
              </w:rPr>
            </w:pPr>
            <w:r>
              <w:rPr>
                <w:rFonts w:hint="eastAsia" w:ascii="宋体" w:hAnsi="宋体" w:cs="宋体"/>
                <w:color w:val="000000"/>
                <w:szCs w:val="21"/>
              </w:rPr>
              <w:t>14</w:t>
            </w:r>
          </w:p>
        </w:tc>
        <w:tc>
          <w:tcPr>
            <w:tcW w:w="2009" w:type="dxa"/>
            <w:vAlign w:val="center"/>
          </w:tcPr>
          <w:p w14:paraId="79F3332A">
            <w:pPr>
              <w:spacing w:line="370" w:lineRule="atLeast"/>
              <w:jc w:val="center"/>
              <w:rPr>
                <w:rFonts w:hint="eastAsia" w:ascii="宋体" w:hAnsi="宋体" w:cs="宋体"/>
                <w:color w:val="000000"/>
                <w:szCs w:val="21"/>
              </w:rPr>
            </w:pPr>
            <w:r>
              <w:rPr>
                <w:rFonts w:hint="eastAsia" w:ascii="宋体" w:hAnsi="宋体" w:cs="宋体"/>
                <w:color w:val="000000"/>
                <w:szCs w:val="21"/>
              </w:rPr>
              <w:t>投标文件份数</w:t>
            </w:r>
          </w:p>
        </w:tc>
        <w:tc>
          <w:tcPr>
            <w:tcW w:w="6620" w:type="dxa"/>
            <w:vAlign w:val="center"/>
          </w:tcPr>
          <w:p w14:paraId="155B7939">
            <w:pPr>
              <w:spacing w:line="370" w:lineRule="atLeast"/>
              <w:rPr>
                <w:rFonts w:ascii="宋体"/>
                <w:sz w:val="22"/>
                <w:szCs w:val="22"/>
              </w:rPr>
            </w:pPr>
            <w:r>
              <w:rPr>
                <w:rFonts w:hint="eastAsia" w:ascii="宋体"/>
                <w:sz w:val="22"/>
                <w:szCs w:val="22"/>
              </w:rPr>
              <w:t>“电子加密磋商响应文件”：在线上传递交，一份。</w:t>
            </w:r>
          </w:p>
          <w:p w14:paraId="4A1E62E8">
            <w:pPr>
              <w:spacing w:line="370" w:lineRule="atLeast"/>
              <w:rPr>
                <w:rFonts w:hint="eastAsia" w:ascii="宋体" w:hAnsi="宋体" w:cs="宋体"/>
                <w:color w:val="000000"/>
                <w:spacing w:val="-2"/>
                <w:szCs w:val="21"/>
              </w:rPr>
            </w:pPr>
            <w:r>
              <w:rPr>
                <w:rFonts w:hint="eastAsia" w:ascii="宋体" w:hAnsi="宋体" w:cs="宋体"/>
                <w:b/>
                <w:bCs/>
                <w:color w:val="000000"/>
                <w:spacing w:val="-2"/>
                <w:szCs w:val="21"/>
              </w:rPr>
              <w:t>中标供应商在领取中标通知书时提供全套纸质投标文件三份，电子版（u盘）二份。</w:t>
            </w:r>
          </w:p>
        </w:tc>
      </w:tr>
      <w:tr w14:paraId="39079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0" w:hRule="atLeast"/>
          <w:jc w:val="center"/>
        </w:trPr>
        <w:tc>
          <w:tcPr>
            <w:tcW w:w="645" w:type="dxa"/>
            <w:vAlign w:val="center"/>
          </w:tcPr>
          <w:p w14:paraId="4315B935">
            <w:pPr>
              <w:spacing w:line="370" w:lineRule="atLeast"/>
              <w:jc w:val="center"/>
              <w:rPr>
                <w:rFonts w:hint="eastAsia" w:ascii="宋体" w:hAnsi="宋体" w:cs="宋体"/>
                <w:color w:val="000000"/>
                <w:szCs w:val="21"/>
              </w:rPr>
            </w:pPr>
            <w:r>
              <w:rPr>
                <w:rFonts w:hint="eastAsia" w:ascii="宋体" w:hAnsi="宋体" w:cs="宋体"/>
                <w:color w:val="000000"/>
                <w:szCs w:val="21"/>
              </w:rPr>
              <w:t>15</w:t>
            </w:r>
          </w:p>
        </w:tc>
        <w:tc>
          <w:tcPr>
            <w:tcW w:w="2009" w:type="dxa"/>
            <w:vAlign w:val="center"/>
          </w:tcPr>
          <w:p w14:paraId="727502BB">
            <w:pPr>
              <w:widowControl/>
              <w:spacing w:line="370" w:lineRule="atLeast"/>
              <w:jc w:val="center"/>
              <w:rPr>
                <w:rFonts w:hint="eastAsia" w:ascii="宋体" w:hAnsi="宋体" w:cs="宋体"/>
                <w:color w:val="000000"/>
                <w:szCs w:val="21"/>
              </w:rPr>
            </w:pPr>
            <w:r>
              <w:rPr>
                <w:rFonts w:hint="eastAsia" w:ascii="宋体" w:hAnsi="宋体" w:cs="宋体"/>
                <w:b/>
                <w:color w:val="000000"/>
                <w:szCs w:val="21"/>
              </w:rPr>
              <w:t>采购代理机构指定邮箱</w:t>
            </w:r>
          </w:p>
        </w:tc>
        <w:tc>
          <w:tcPr>
            <w:tcW w:w="6620" w:type="dxa"/>
            <w:vAlign w:val="center"/>
          </w:tcPr>
          <w:p w14:paraId="1C965B9B">
            <w:pPr>
              <w:widowControl/>
              <w:spacing w:line="370" w:lineRule="atLeast"/>
              <w:rPr>
                <w:rFonts w:hint="eastAsia" w:ascii="宋体" w:hAnsi="宋体" w:cs="宋体"/>
                <w:color w:val="000000"/>
                <w:szCs w:val="21"/>
              </w:rPr>
            </w:pPr>
            <w:r>
              <w:rPr>
                <w:rFonts w:hint="eastAsia" w:ascii="宋体" w:hAnsi="宋体" w:cs="宋体"/>
                <w:b/>
                <w:bCs/>
                <w:color w:val="000000"/>
                <w:szCs w:val="21"/>
              </w:rPr>
              <w:t>75808147@QQ.COM，本采购文件凡涉及采购代理机构指定邮箱的，均指该邮箱。</w:t>
            </w:r>
          </w:p>
        </w:tc>
      </w:tr>
      <w:tr w14:paraId="06D582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69" w:hRule="atLeast"/>
          <w:jc w:val="center"/>
        </w:trPr>
        <w:tc>
          <w:tcPr>
            <w:tcW w:w="645" w:type="dxa"/>
            <w:vAlign w:val="center"/>
          </w:tcPr>
          <w:p w14:paraId="19267B6E">
            <w:pPr>
              <w:spacing w:line="370" w:lineRule="atLeast"/>
              <w:jc w:val="center"/>
              <w:rPr>
                <w:rFonts w:hint="eastAsia" w:ascii="宋体" w:hAnsi="宋体" w:cs="宋体"/>
                <w:color w:val="000000"/>
                <w:szCs w:val="21"/>
              </w:rPr>
            </w:pPr>
            <w:r>
              <w:rPr>
                <w:rFonts w:hint="eastAsia" w:ascii="宋体" w:hAnsi="宋体" w:cs="宋体"/>
                <w:color w:val="000000"/>
                <w:szCs w:val="21"/>
              </w:rPr>
              <w:t>16</w:t>
            </w:r>
          </w:p>
        </w:tc>
        <w:tc>
          <w:tcPr>
            <w:tcW w:w="2009" w:type="dxa"/>
            <w:vAlign w:val="center"/>
          </w:tcPr>
          <w:p w14:paraId="6475837E">
            <w:pPr>
              <w:spacing w:line="370" w:lineRule="atLeast"/>
              <w:jc w:val="center"/>
              <w:rPr>
                <w:rFonts w:hint="eastAsia" w:ascii="宋体" w:hAnsi="宋体" w:cs="宋体"/>
                <w:color w:val="000000"/>
                <w:szCs w:val="21"/>
              </w:rPr>
            </w:pPr>
            <w:r>
              <w:rPr>
                <w:rFonts w:hint="eastAsia" w:ascii="宋体" w:hAnsi="宋体" w:cs="宋体"/>
                <w:color w:val="000000"/>
                <w:szCs w:val="21"/>
              </w:rPr>
              <w:t>投标有效期</w:t>
            </w:r>
          </w:p>
        </w:tc>
        <w:tc>
          <w:tcPr>
            <w:tcW w:w="6620" w:type="dxa"/>
            <w:vAlign w:val="center"/>
          </w:tcPr>
          <w:p w14:paraId="194FB78A">
            <w:pPr>
              <w:spacing w:line="370" w:lineRule="atLeast"/>
              <w:rPr>
                <w:rFonts w:hint="eastAsia" w:ascii="宋体" w:hAnsi="宋体" w:cs="宋体"/>
                <w:bCs/>
                <w:color w:val="000000"/>
                <w:kern w:val="0"/>
                <w:szCs w:val="21"/>
              </w:rPr>
            </w:pPr>
            <w:r>
              <w:rPr>
                <w:rFonts w:hint="eastAsia" w:ascii="宋体" w:hAnsi="宋体" w:cs="宋体"/>
                <w:bCs/>
                <w:color w:val="000000"/>
                <w:kern w:val="0"/>
                <w:szCs w:val="21"/>
              </w:rPr>
              <w:t>90日历天</w:t>
            </w:r>
          </w:p>
        </w:tc>
      </w:tr>
      <w:tr w14:paraId="2527E0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16" w:hRule="atLeast"/>
          <w:jc w:val="center"/>
        </w:trPr>
        <w:tc>
          <w:tcPr>
            <w:tcW w:w="645" w:type="dxa"/>
            <w:vAlign w:val="center"/>
          </w:tcPr>
          <w:p w14:paraId="751B133F">
            <w:pPr>
              <w:spacing w:line="370" w:lineRule="atLeast"/>
              <w:jc w:val="center"/>
              <w:rPr>
                <w:rFonts w:hint="eastAsia" w:ascii="宋体" w:hAnsi="宋体" w:cs="宋体"/>
                <w:color w:val="000000"/>
                <w:szCs w:val="21"/>
              </w:rPr>
            </w:pPr>
            <w:r>
              <w:rPr>
                <w:rFonts w:hint="eastAsia" w:ascii="宋体" w:hAnsi="宋体" w:cs="宋体"/>
                <w:color w:val="000000"/>
                <w:szCs w:val="21"/>
              </w:rPr>
              <w:t>17</w:t>
            </w:r>
          </w:p>
        </w:tc>
        <w:tc>
          <w:tcPr>
            <w:tcW w:w="2009" w:type="dxa"/>
            <w:vAlign w:val="center"/>
          </w:tcPr>
          <w:p w14:paraId="726888FD">
            <w:pPr>
              <w:spacing w:line="370" w:lineRule="atLeast"/>
              <w:jc w:val="center"/>
              <w:rPr>
                <w:rFonts w:hint="eastAsia" w:ascii="宋体" w:hAnsi="宋体" w:cs="宋体"/>
                <w:color w:val="000000"/>
                <w:szCs w:val="21"/>
              </w:rPr>
            </w:pPr>
            <w:r>
              <w:rPr>
                <w:rFonts w:hint="eastAsia" w:ascii="宋体" w:hAnsi="宋体" w:cs="宋体"/>
                <w:color w:val="000000"/>
                <w:szCs w:val="21"/>
              </w:rPr>
              <w:t>签字或盖章要求</w:t>
            </w:r>
          </w:p>
        </w:tc>
        <w:tc>
          <w:tcPr>
            <w:tcW w:w="6620" w:type="dxa"/>
            <w:vAlign w:val="center"/>
          </w:tcPr>
          <w:p w14:paraId="57956702">
            <w:pPr>
              <w:spacing w:line="370" w:lineRule="atLeast"/>
              <w:rPr>
                <w:rFonts w:hint="eastAsia" w:ascii="宋体" w:hAnsi="宋体" w:cs="宋体"/>
                <w:bCs/>
                <w:color w:val="000000"/>
                <w:kern w:val="0"/>
                <w:szCs w:val="21"/>
              </w:rPr>
            </w:pPr>
            <w:r>
              <w:rPr>
                <w:rFonts w:hint="eastAsia" w:ascii="宋体" w:hAnsi="宋体" w:cs="宋体"/>
                <w:color w:val="000000"/>
                <w:szCs w:val="21"/>
              </w:rPr>
              <w:t>电子投标文件中所须加盖公章的地方可采用CA电子签章或供应商公章，所涉及法定代表人（或其授权代表）的签字（或盖章）的地方均由法定代表人（或其授权代表）本人签字（或盖章）。</w:t>
            </w:r>
          </w:p>
        </w:tc>
      </w:tr>
      <w:tr w14:paraId="781DA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645" w:type="dxa"/>
            <w:vAlign w:val="center"/>
          </w:tcPr>
          <w:p w14:paraId="368D7554">
            <w:pPr>
              <w:spacing w:line="370" w:lineRule="atLeast"/>
              <w:jc w:val="center"/>
              <w:rPr>
                <w:rFonts w:hint="eastAsia" w:ascii="宋体" w:hAnsi="宋体" w:cs="宋体"/>
                <w:color w:val="000000"/>
                <w:szCs w:val="21"/>
              </w:rPr>
            </w:pPr>
            <w:r>
              <w:rPr>
                <w:rFonts w:hint="eastAsia" w:ascii="宋体" w:hAnsi="宋体" w:cs="宋体"/>
                <w:color w:val="000000"/>
                <w:szCs w:val="21"/>
              </w:rPr>
              <w:t>18</w:t>
            </w:r>
          </w:p>
        </w:tc>
        <w:tc>
          <w:tcPr>
            <w:tcW w:w="2009" w:type="dxa"/>
            <w:vAlign w:val="center"/>
          </w:tcPr>
          <w:p w14:paraId="0F707944">
            <w:pPr>
              <w:spacing w:line="370" w:lineRule="atLeast"/>
              <w:jc w:val="center"/>
              <w:rPr>
                <w:rFonts w:hint="eastAsia" w:ascii="宋体" w:hAnsi="宋体" w:cs="宋体"/>
                <w:color w:val="000000"/>
                <w:szCs w:val="21"/>
              </w:rPr>
            </w:pPr>
            <w:r>
              <w:rPr>
                <w:rFonts w:hint="eastAsia" w:ascii="宋体" w:hAnsi="宋体" w:cs="宋体"/>
                <w:color w:val="000000"/>
                <w:szCs w:val="21"/>
              </w:rPr>
              <w:t>投标样品</w:t>
            </w:r>
          </w:p>
        </w:tc>
        <w:tc>
          <w:tcPr>
            <w:tcW w:w="6620" w:type="dxa"/>
            <w:vAlign w:val="center"/>
          </w:tcPr>
          <w:p w14:paraId="2C6D7AAA">
            <w:pPr>
              <w:spacing w:line="370" w:lineRule="atLeast"/>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bCs/>
                <w:color w:val="000000"/>
                <w:kern w:val="0"/>
                <w:szCs w:val="21"/>
              </w:rPr>
              <w:t>不需要</w:t>
            </w:r>
          </w:p>
        </w:tc>
      </w:tr>
      <w:tr w14:paraId="14825E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14:paraId="4000D49D">
            <w:pPr>
              <w:spacing w:line="370" w:lineRule="atLeast"/>
              <w:jc w:val="center"/>
              <w:rPr>
                <w:rFonts w:hint="eastAsia" w:ascii="宋体" w:hAnsi="宋体" w:cs="宋体"/>
                <w:color w:val="000000"/>
                <w:szCs w:val="21"/>
              </w:rPr>
            </w:pPr>
            <w:r>
              <w:rPr>
                <w:rFonts w:hint="eastAsia" w:ascii="宋体" w:hAnsi="宋体" w:cs="宋体"/>
                <w:color w:val="000000"/>
                <w:szCs w:val="21"/>
              </w:rPr>
              <w:t>19</w:t>
            </w:r>
          </w:p>
        </w:tc>
        <w:tc>
          <w:tcPr>
            <w:tcW w:w="2009" w:type="dxa"/>
            <w:vAlign w:val="center"/>
          </w:tcPr>
          <w:p w14:paraId="196A6F34">
            <w:pPr>
              <w:spacing w:line="370" w:lineRule="atLeast"/>
              <w:jc w:val="center"/>
              <w:rPr>
                <w:rFonts w:hint="eastAsia" w:ascii="宋体" w:hAnsi="宋体" w:cs="宋体"/>
                <w:color w:val="000000"/>
                <w:szCs w:val="21"/>
              </w:rPr>
            </w:pPr>
            <w:r>
              <w:rPr>
                <w:rFonts w:hint="eastAsia" w:ascii="宋体" w:hAnsi="宋体" w:cs="宋体"/>
                <w:color w:val="000000"/>
                <w:szCs w:val="21"/>
              </w:rPr>
              <w:t>投标保证金</w:t>
            </w:r>
          </w:p>
        </w:tc>
        <w:tc>
          <w:tcPr>
            <w:tcW w:w="6620" w:type="dxa"/>
            <w:vAlign w:val="center"/>
          </w:tcPr>
          <w:p w14:paraId="27406988">
            <w:pPr>
              <w:spacing w:line="370" w:lineRule="atLeast"/>
              <w:rPr>
                <w:rFonts w:hint="eastAsia" w:ascii="宋体" w:hAnsi="宋体" w:cs="宋体"/>
                <w:color w:val="000000"/>
                <w:szCs w:val="21"/>
              </w:rPr>
            </w:pPr>
            <w:r>
              <w:rPr>
                <w:rFonts w:hint="eastAsia" w:ascii="宋体" w:hAnsi="宋体" w:cs="宋体"/>
                <w:color w:val="000000"/>
                <w:szCs w:val="21"/>
              </w:rPr>
              <w:t>☑不需要</w:t>
            </w:r>
          </w:p>
        </w:tc>
      </w:tr>
      <w:tr w14:paraId="10FC7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45" w:type="dxa"/>
            <w:vAlign w:val="center"/>
          </w:tcPr>
          <w:p w14:paraId="637429F9">
            <w:pPr>
              <w:spacing w:line="370" w:lineRule="atLeast"/>
              <w:jc w:val="center"/>
              <w:rPr>
                <w:rFonts w:hint="eastAsia" w:ascii="宋体" w:hAnsi="宋体" w:cs="宋体"/>
                <w:color w:val="000000"/>
                <w:szCs w:val="21"/>
              </w:rPr>
            </w:pPr>
            <w:r>
              <w:rPr>
                <w:rFonts w:hint="eastAsia" w:ascii="宋体" w:hAnsi="宋体" w:cs="宋体"/>
                <w:color w:val="000000"/>
                <w:szCs w:val="21"/>
              </w:rPr>
              <w:t>20</w:t>
            </w:r>
          </w:p>
        </w:tc>
        <w:tc>
          <w:tcPr>
            <w:tcW w:w="2009" w:type="dxa"/>
            <w:vAlign w:val="center"/>
          </w:tcPr>
          <w:p w14:paraId="3A130E85">
            <w:pPr>
              <w:adjustRightInd w:val="0"/>
              <w:spacing w:line="370" w:lineRule="atLeast"/>
              <w:jc w:val="center"/>
              <w:rPr>
                <w:rFonts w:hint="eastAsia" w:ascii="宋体" w:hAnsi="宋体" w:cs="宋体"/>
                <w:color w:val="000000"/>
                <w:szCs w:val="21"/>
              </w:rPr>
            </w:pPr>
            <w:r>
              <w:rPr>
                <w:rFonts w:hint="eastAsia" w:ascii="宋体" w:hAnsi="宋体" w:cs="宋体"/>
                <w:color w:val="000000"/>
                <w:szCs w:val="21"/>
              </w:rPr>
              <w:t>履约担保</w:t>
            </w:r>
          </w:p>
        </w:tc>
        <w:tc>
          <w:tcPr>
            <w:tcW w:w="6620" w:type="dxa"/>
            <w:vAlign w:val="center"/>
          </w:tcPr>
          <w:p w14:paraId="29FC1D7B">
            <w:pPr>
              <w:widowControl/>
              <w:spacing w:line="370" w:lineRule="atLeast"/>
              <w:rPr>
                <w:rFonts w:hint="eastAsia" w:ascii="宋体" w:hAnsi="宋体" w:cs="宋体"/>
                <w:color w:val="000000"/>
                <w:szCs w:val="21"/>
              </w:rPr>
            </w:pPr>
            <w:r>
              <w:rPr>
                <w:rFonts w:hint="eastAsia" w:ascii="宋体" w:hAnsi="宋体" w:cs="宋体"/>
                <w:color w:val="000000"/>
                <w:szCs w:val="21"/>
              </w:rPr>
              <w:t xml:space="preserve">☑需要 </w:t>
            </w:r>
            <w:r>
              <w:rPr>
                <w:rFonts w:hint="eastAsia" w:ascii="宋体" w:hAnsi="宋体" w:cs="宋体"/>
                <w:b/>
                <w:bCs/>
                <w:color w:val="000000"/>
                <w:szCs w:val="21"/>
                <w:u w:val="single"/>
              </w:rPr>
              <w:t>在签订合同前，中标供应商应向采购人缴纳履约担保。</w:t>
            </w:r>
          </w:p>
        </w:tc>
      </w:tr>
      <w:tr w14:paraId="284D7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14:paraId="54738277">
            <w:pPr>
              <w:spacing w:line="370" w:lineRule="atLeast"/>
              <w:jc w:val="center"/>
              <w:rPr>
                <w:rFonts w:hint="eastAsia" w:ascii="宋体" w:hAnsi="宋体" w:cs="宋体"/>
                <w:color w:val="000000"/>
                <w:szCs w:val="21"/>
              </w:rPr>
            </w:pPr>
            <w:r>
              <w:rPr>
                <w:rFonts w:hint="eastAsia" w:ascii="宋体" w:hAnsi="宋体" w:cs="宋体"/>
                <w:color w:val="000000"/>
                <w:szCs w:val="21"/>
              </w:rPr>
              <w:t>21</w:t>
            </w:r>
          </w:p>
        </w:tc>
        <w:tc>
          <w:tcPr>
            <w:tcW w:w="2009" w:type="dxa"/>
            <w:vAlign w:val="center"/>
          </w:tcPr>
          <w:p w14:paraId="23C0EB86">
            <w:pPr>
              <w:spacing w:line="370" w:lineRule="atLeast"/>
              <w:jc w:val="center"/>
              <w:rPr>
                <w:rFonts w:hint="eastAsia" w:ascii="宋体" w:hAnsi="宋体" w:cs="宋体"/>
                <w:color w:val="000000"/>
                <w:szCs w:val="21"/>
              </w:rPr>
            </w:pPr>
            <w:r>
              <w:rPr>
                <w:rFonts w:hint="eastAsia" w:ascii="宋体" w:hAnsi="宋体" w:cs="宋体"/>
                <w:color w:val="000000"/>
                <w:szCs w:val="21"/>
              </w:rPr>
              <w:t>招标文件</w:t>
            </w:r>
            <w:r>
              <w:rPr>
                <w:rFonts w:hint="eastAsia" w:ascii="宋体" w:hAnsi="宋体" w:cs="宋体"/>
                <w:color w:val="000000"/>
                <w:szCs w:val="21"/>
                <w:lang w:bidi="ar"/>
              </w:rPr>
              <w:t>获取时间、地址、售价</w:t>
            </w:r>
          </w:p>
        </w:tc>
        <w:tc>
          <w:tcPr>
            <w:tcW w:w="6620" w:type="dxa"/>
            <w:vAlign w:val="center"/>
          </w:tcPr>
          <w:p w14:paraId="3DE27071">
            <w:pPr>
              <w:spacing w:line="370" w:lineRule="atLeast"/>
              <w:rPr>
                <w:rFonts w:hint="eastAsia" w:ascii="宋体" w:hAnsi="宋体" w:cs="宋体"/>
                <w:color w:val="000000"/>
                <w:szCs w:val="21"/>
              </w:rPr>
            </w:pPr>
            <w:r>
              <w:rPr>
                <w:rFonts w:hint="eastAsia" w:ascii="宋体" w:hAnsi="宋体" w:cs="宋体"/>
                <w:color w:val="000000"/>
                <w:szCs w:val="21"/>
              </w:rPr>
              <w:t>1.获取时间：至投标截止时间止；</w:t>
            </w:r>
          </w:p>
          <w:p w14:paraId="7F2F20F4">
            <w:pPr>
              <w:spacing w:line="370" w:lineRule="atLeast"/>
              <w:rPr>
                <w:rFonts w:hint="eastAsia" w:ascii="宋体" w:hAnsi="宋体" w:cs="宋体"/>
                <w:color w:val="000000"/>
                <w:szCs w:val="21"/>
              </w:rPr>
            </w:pPr>
            <w:r>
              <w:rPr>
                <w:rFonts w:hint="eastAsia" w:ascii="宋体" w:hAnsi="宋体" w:cs="宋体"/>
                <w:color w:val="000000"/>
                <w:szCs w:val="21"/>
              </w:rPr>
              <w:t>2.获取地址：乐采云（www.lecaiyun.com）；</w:t>
            </w:r>
          </w:p>
          <w:p w14:paraId="7997C460">
            <w:pPr>
              <w:spacing w:line="370" w:lineRule="atLeast"/>
              <w:rPr>
                <w:rFonts w:hint="eastAsia" w:ascii="宋体" w:hAnsi="宋体" w:cs="宋体"/>
                <w:color w:val="000000"/>
                <w:szCs w:val="21"/>
              </w:rPr>
            </w:pPr>
            <w:r>
              <w:rPr>
                <w:rFonts w:hint="eastAsia" w:ascii="宋体" w:hAnsi="宋体" w:cs="宋体"/>
                <w:color w:val="000000"/>
                <w:szCs w:val="21"/>
              </w:rPr>
              <w:t>3.本项目采购文件实行“乐采云平台”在线获取，不提供纸质采购文件。</w:t>
            </w:r>
          </w:p>
          <w:p w14:paraId="341135E5">
            <w:pPr>
              <w:pStyle w:val="26"/>
              <w:rPr>
                <w:rFonts w:hint="eastAsia" w:hAnsi="宋体" w:cs="宋体"/>
                <w:color w:val="000000"/>
                <w:szCs w:val="21"/>
              </w:rPr>
            </w:pPr>
            <w:r>
              <w:rPr>
                <w:rFonts w:hint="eastAsia" w:hAnsi="宋体" w:cs="宋体"/>
                <w:color w:val="000000"/>
                <w:szCs w:val="21"/>
              </w:rPr>
              <w:t>4.采购文件资料费用：人民币500元整(售后不退)。</w:t>
            </w:r>
          </w:p>
          <w:p w14:paraId="3BD1EDC3">
            <w:pPr>
              <w:spacing w:line="370" w:lineRule="atLeast"/>
              <w:rPr>
                <w:rFonts w:hint="eastAsia" w:ascii="宋体" w:hAnsi="宋体" w:cs="宋体"/>
                <w:bCs/>
                <w:color w:val="000000"/>
                <w:kern w:val="0"/>
                <w:szCs w:val="21"/>
              </w:rPr>
            </w:pPr>
            <w:r>
              <w:rPr>
                <w:rFonts w:hint="eastAsia" w:ascii="宋体" w:hAnsi="宋体" w:cs="宋体"/>
                <w:color w:val="000000"/>
                <w:szCs w:val="21"/>
                <w:lang w:bidi="ar"/>
              </w:rPr>
              <w:t>注：采购公告附件里的采购文件仅供阅览使用。</w:t>
            </w:r>
          </w:p>
        </w:tc>
      </w:tr>
      <w:tr w14:paraId="6F8127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14:paraId="567B09F1">
            <w:pPr>
              <w:spacing w:line="370" w:lineRule="atLeast"/>
              <w:jc w:val="center"/>
              <w:rPr>
                <w:rFonts w:hint="eastAsia" w:ascii="宋体" w:hAnsi="宋体" w:cs="宋体"/>
                <w:color w:val="000000"/>
                <w:szCs w:val="21"/>
              </w:rPr>
            </w:pPr>
            <w:r>
              <w:rPr>
                <w:rFonts w:hint="eastAsia" w:ascii="宋体" w:hAnsi="宋体" w:cs="宋体"/>
                <w:color w:val="000000"/>
                <w:szCs w:val="21"/>
              </w:rPr>
              <w:t>22</w:t>
            </w:r>
          </w:p>
        </w:tc>
        <w:tc>
          <w:tcPr>
            <w:tcW w:w="2009" w:type="dxa"/>
            <w:vAlign w:val="center"/>
          </w:tcPr>
          <w:p w14:paraId="20EBF28B">
            <w:pPr>
              <w:spacing w:line="370" w:lineRule="atLeast"/>
              <w:jc w:val="center"/>
              <w:rPr>
                <w:rFonts w:hint="eastAsia" w:ascii="宋体" w:hAnsi="宋体" w:cs="宋体"/>
                <w:color w:val="000000"/>
                <w:szCs w:val="21"/>
              </w:rPr>
            </w:pPr>
            <w:r>
              <w:rPr>
                <w:rFonts w:hint="eastAsia" w:ascii="宋体" w:hAnsi="宋体" w:cs="宋体"/>
                <w:color w:val="000000"/>
                <w:szCs w:val="21"/>
              </w:rPr>
              <w:t>投标截止时间</w:t>
            </w:r>
          </w:p>
        </w:tc>
        <w:tc>
          <w:tcPr>
            <w:tcW w:w="6620" w:type="dxa"/>
            <w:vAlign w:val="center"/>
          </w:tcPr>
          <w:p w14:paraId="1CA0E4E6">
            <w:pPr>
              <w:spacing w:line="370" w:lineRule="atLeast"/>
              <w:rPr>
                <w:rFonts w:hint="eastAsia" w:ascii="宋体" w:hAnsi="宋体" w:cs="宋体"/>
                <w:color w:val="000000"/>
                <w:szCs w:val="21"/>
              </w:rPr>
            </w:pPr>
            <w:r>
              <w:rPr>
                <w:rFonts w:hint="eastAsia" w:ascii="宋体" w:cs="宋体"/>
                <w:kern w:val="0"/>
                <w:sz w:val="22"/>
                <w:szCs w:val="22"/>
              </w:rPr>
              <w:t>见采购公告</w:t>
            </w:r>
          </w:p>
        </w:tc>
      </w:tr>
      <w:tr w14:paraId="762974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4" w:hRule="atLeast"/>
          <w:jc w:val="center"/>
        </w:trPr>
        <w:tc>
          <w:tcPr>
            <w:tcW w:w="645" w:type="dxa"/>
            <w:vAlign w:val="center"/>
          </w:tcPr>
          <w:p w14:paraId="64747E82">
            <w:pPr>
              <w:spacing w:line="370" w:lineRule="atLeast"/>
              <w:jc w:val="center"/>
              <w:rPr>
                <w:rFonts w:hint="eastAsia" w:ascii="宋体" w:hAnsi="宋体" w:cs="宋体"/>
                <w:color w:val="000000"/>
                <w:szCs w:val="21"/>
              </w:rPr>
            </w:pPr>
            <w:r>
              <w:rPr>
                <w:rFonts w:hint="eastAsia" w:ascii="宋体" w:hAnsi="宋体" w:cs="宋体"/>
                <w:color w:val="000000"/>
                <w:szCs w:val="21"/>
              </w:rPr>
              <w:t>23</w:t>
            </w:r>
          </w:p>
        </w:tc>
        <w:tc>
          <w:tcPr>
            <w:tcW w:w="2009" w:type="dxa"/>
            <w:vAlign w:val="center"/>
          </w:tcPr>
          <w:p w14:paraId="439DE651">
            <w:pPr>
              <w:spacing w:line="370" w:lineRule="atLeast"/>
              <w:jc w:val="center"/>
              <w:rPr>
                <w:rFonts w:hint="eastAsia" w:ascii="宋体" w:hAnsi="宋体" w:cs="宋体"/>
                <w:color w:val="000000"/>
                <w:szCs w:val="21"/>
              </w:rPr>
            </w:pPr>
            <w:r>
              <w:rPr>
                <w:rFonts w:hint="eastAsia" w:ascii="宋体" w:hAnsi="宋体" w:cs="宋体"/>
                <w:color w:val="000000"/>
                <w:szCs w:val="21"/>
              </w:rPr>
              <w:t>投标文件的形式及递交</w:t>
            </w:r>
          </w:p>
        </w:tc>
        <w:tc>
          <w:tcPr>
            <w:tcW w:w="6620" w:type="dxa"/>
            <w:vAlign w:val="center"/>
          </w:tcPr>
          <w:p w14:paraId="2479446E">
            <w:pPr>
              <w:spacing w:line="400" w:lineRule="exact"/>
              <w:rPr>
                <w:rFonts w:hint="eastAsia" w:ascii="宋体" w:hAnsi="宋体" w:cs="宋体"/>
                <w:color w:val="000000"/>
                <w:szCs w:val="21"/>
              </w:rPr>
            </w:pPr>
            <w:r>
              <w:rPr>
                <w:rFonts w:hint="eastAsia" w:ascii="宋体" w:hAnsi="宋体" w:cs="宋体"/>
                <w:color w:val="000000"/>
                <w:szCs w:val="21"/>
              </w:rPr>
              <w:t>本项目实行远程电子投标。</w:t>
            </w:r>
          </w:p>
          <w:p w14:paraId="336B0A57">
            <w:pPr>
              <w:spacing w:line="400" w:lineRule="exact"/>
              <w:rPr>
                <w:rFonts w:hint="eastAsia" w:ascii="宋体" w:hAnsi="宋体" w:cs="宋体"/>
                <w:color w:val="000000"/>
                <w:szCs w:val="21"/>
              </w:rPr>
            </w:pPr>
            <w:r>
              <w:rPr>
                <w:rFonts w:hint="eastAsia" w:ascii="宋体" w:hAnsi="宋体" w:cs="宋体"/>
                <w:color w:val="000000"/>
                <w:szCs w:val="21"/>
              </w:rPr>
              <w:t>供应商通过“乐采云电子投标客户端”完成投标文件编制，采用CA数字证书进行电子签章和加密并生成的“电子加密投标文件”上传递交至“政府采购云平台”。</w:t>
            </w:r>
          </w:p>
          <w:p w14:paraId="032F747F">
            <w:pPr>
              <w:spacing w:line="400" w:lineRule="exact"/>
              <w:rPr>
                <w:rFonts w:hint="eastAsia" w:ascii="宋体" w:hAnsi="宋体" w:cs="宋体"/>
                <w:color w:val="000000"/>
                <w:szCs w:val="21"/>
              </w:rPr>
            </w:pPr>
            <w:r>
              <w:rPr>
                <w:rFonts w:hint="eastAsia" w:ascii="宋体" w:hAnsi="宋体" w:cs="宋体"/>
                <w:color w:val="000000"/>
                <w:szCs w:val="21"/>
              </w:rPr>
              <w:t>1.电子加密投标文件：指数据电文形式的后缀名.jmbs文件。供应商在投标文件递交截止时间之前将生成的电子加密投标文件递交至乐采云平台，供应商未按要求递交的电子加密投标文件，乐采云平台将予以拒收。</w:t>
            </w:r>
          </w:p>
          <w:p w14:paraId="37424F59">
            <w:pPr>
              <w:spacing w:line="400" w:lineRule="exact"/>
              <w:rPr>
                <w:rFonts w:ascii="宋体"/>
                <w:sz w:val="22"/>
                <w:szCs w:val="22"/>
              </w:rPr>
            </w:pPr>
            <w:r>
              <w:rPr>
                <w:rFonts w:hint="eastAsia" w:ascii="宋体"/>
                <w:sz w:val="22"/>
                <w:szCs w:val="22"/>
              </w:rPr>
              <w:t>“电子加密投标文件”的上传、递交：</w:t>
            </w:r>
          </w:p>
          <w:p w14:paraId="24860CCB">
            <w:pPr>
              <w:spacing w:line="400" w:lineRule="exact"/>
              <w:rPr>
                <w:rFonts w:ascii="宋体"/>
                <w:sz w:val="22"/>
                <w:szCs w:val="22"/>
              </w:rPr>
            </w:pPr>
            <w:r>
              <w:rPr>
                <w:rFonts w:hint="eastAsia" w:ascii="宋体"/>
                <w:sz w:val="22"/>
                <w:szCs w:val="22"/>
              </w:rPr>
              <w:t>a.投标供应商应在响应文件递交截止时间前将“电子加密投标文件”成功上传递交至“政府采购云平台”，否则投标无效。</w:t>
            </w:r>
          </w:p>
          <w:p w14:paraId="5E3D288B">
            <w:pPr>
              <w:spacing w:line="400" w:lineRule="exact"/>
              <w:rPr>
                <w:rFonts w:hint="eastAsia" w:ascii="宋体" w:hAnsi="宋体" w:cs="宋体"/>
                <w:color w:val="000000"/>
                <w:szCs w:val="21"/>
              </w:rPr>
            </w:pPr>
            <w:r>
              <w:rPr>
                <w:rFonts w:hint="eastAsia" w:ascii="宋体"/>
                <w:sz w:val="22"/>
                <w:szCs w:val="22"/>
              </w:rPr>
              <w:t>b.“电子加密投标文件”成功上传递交后，供应商可自行打印电子投标文件接收回执。</w:t>
            </w:r>
          </w:p>
        </w:tc>
      </w:tr>
      <w:tr w14:paraId="70CEDC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27" w:hRule="atLeast"/>
          <w:jc w:val="center"/>
        </w:trPr>
        <w:tc>
          <w:tcPr>
            <w:tcW w:w="645" w:type="dxa"/>
            <w:vAlign w:val="center"/>
          </w:tcPr>
          <w:p w14:paraId="7F7CB6B6">
            <w:pPr>
              <w:spacing w:line="370" w:lineRule="atLeast"/>
              <w:jc w:val="center"/>
              <w:rPr>
                <w:rFonts w:hint="eastAsia" w:ascii="宋体" w:hAnsi="宋体" w:cs="宋体"/>
                <w:color w:val="000000"/>
                <w:szCs w:val="21"/>
              </w:rPr>
            </w:pPr>
            <w:r>
              <w:rPr>
                <w:rFonts w:hint="eastAsia" w:ascii="宋体" w:hAnsi="宋体" w:cs="宋体"/>
                <w:color w:val="000000"/>
                <w:szCs w:val="21"/>
              </w:rPr>
              <w:t>24</w:t>
            </w:r>
          </w:p>
        </w:tc>
        <w:tc>
          <w:tcPr>
            <w:tcW w:w="2009" w:type="dxa"/>
            <w:vAlign w:val="center"/>
          </w:tcPr>
          <w:p w14:paraId="39C44090">
            <w:pPr>
              <w:spacing w:line="370" w:lineRule="atLeast"/>
              <w:jc w:val="center"/>
              <w:rPr>
                <w:rFonts w:hint="eastAsia" w:ascii="宋体" w:hAnsi="宋体" w:cs="宋体"/>
                <w:color w:val="000000"/>
                <w:szCs w:val="21"/>
              </w:rPr>
            </w:pPr>
            <w:r>
              <w:rPr>
                <w:rFonts w:hint="eastAsia" w:ascii="宋体" w:hAnsi="宋体" w:cs="宋体"/>
                <w:color w:val="000000"/>
                <w:szCs w:val="21"/>
              </w:rPr>
              <w:t>电子加密投标文件的解密和异常情况处理</w:t>
            </w:r>
          </w:p>
        </w:tc>
        <w:tc>
          <w:tcPr>
            <w:tcW w:w="6620" w:type="dxa"/>
            <w:vAlign w:val="center"/>
          </w:tcPr>
          <w:p w14:paraId="20978306">
            <w:pPr>
              <w:widowControl/>
              <w:numPr>
                <w:ilvl w:val="0"/>
                <w:numId w:val="2"/>
              </w:numPr>
              <w:spacing w:line="370" w:lineRule="atLeast"/>
              <w:rPr>
                <w:rFonts w:hint="eastAsia" w:ascii="宋体" w:hAnsi="宋体" w:cs="宋体"/>
                <w:color w:val="000000"/>
                <w:szCs w:val="21"/>
              </w:rPr>
            </w:pPr>
            <w:r>
              <w:rPr>
                <w:rFonts w:hint="eastAsia" w:ascii="宋体" w:hAnsi="宋体" w:cs="宋体"/>
                <w:color w:val="000000"/>
                <w:szCs w:val="21"/>
              </w:rPr>
              <w:t>开标后，采购代理机构将向各供应商发出“电子加密投标文件”的解密通知，各供应商代表应当在接到解密通知后</w:t>
            </w:r>
            <w:r>
              <w:rPr>
                <w:rFonts w:hint="eastAsia" w:ascii="宋体" w:hAnsi="宋体" w:cs="宋体"/>
                <w:b/>
                <w:bCs/>
                <w:color w:val="000000"/>
                <w:szCs w:val="21"/>
                <w:u w:val="single"/>
              </w:rPr>
              <w:t>30分钟内</w:t>
            </w:r>
            <w:r>
              <w:rPr>
                <w:rFonts w:hint="eastAsia" w:ascii="宋体" w:hAnsi="宋体" w:cs="宋体"/>
                <w:color w:val="000000"/>
                <w:szCs w:val="21"/>
              </w:rPr>
              <w:t>自行完成“电子加密投标文件”的在线解密。</w:t>
            </w:r>
          </w:p>
          <w:p w14:paraId="6B7A4F02">
            <w:pPr>
              <w:spacing w:line="370" w:lineRule="atLeast"/>
              <w:rPr>
                <w:rFonts w:hint="eastAsia" w:ascii="宋体" w:hAnsi="宋体" w:cs="宋体"/>
                <w:color w:val="000000"/>
                <w:szCs w:val="21"/>
              </w:rPr>
            </w:pPr>
            <w:r>
              <w:rPr>
                <w:rFonts w:hint="eastAsia" w:ascii="宋体" w:hAnsi="宋体" w:cs="宋体"/>
                <w:color w:val="000000"/>
                <w:szCs w:val="21"/>
              </w:rPr>
              <w:t>2、通过“乐采云平台” 成功上传递交的“电子加密投标文件”无法按时解密的，其投标文件按拒收处理。</w:t>
            </w:r>
          </w:p>
        </w:tc>
      </w:tr>
      <w:tr w14:paraId="1D2618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645" w:type="dxa"/>
            <w:vAlign w:val="center"/>
          </w:tcPr>
          <w:p w14:paraId="20A062C8">
            <w:pPr>
              <w:spacing w:line="370" w:lineRule="atLeast"/>
              <w:jc w:val="center"/>
              <w:rPr>
                <w:rFonts w:hint="eastAsia" w:ascii="宋体" w:hAnsi="宋体" w:cs="宋体"/>
                <w:color w:val="000000"/>
                <w:szCs w:val="21"/>
              </w:rPr>
            </w:pPr>
            <w:r>
              <w:rPr>
                <w:rFonts w:hint="eastAsia" w:ascii="宋体" w:hAnsi="宋体" w:cs="宋体"/>
                <w:color w:val="000000"/>
                <w:szCs w:val="21"/>
              </w:rPr>
              <w:t>25</w:t>
            </w:r>
          </w:p>
        </w:tc>
        <w:tc>
          <w:tcPr>
            <w:tcW w:w="2009" w:type="dxa"/>
            <w:vAlign w:val="center"/>
          </w:tcPr>
          <w:p w14:paraId="0C0EA60F">
            <w:pPr>
              <w:spacing w:line="370" w:lineRule="atLeast"/>
              <w:jc w:val="center"/>
              <w:rPr>
                <w:rFonts w:hint="eastAsia" w:ascii="宋体" w:hAnsi="宋体" w:cs="宋体"/>
                <w:color w:val="000000"/>
                <w:szCs w:val="21"/>
              </w:rPr>
            </w:pPr>
            <w:r>
              <w:rPr>
                <w:rFonts w:hint="eastAsia" w:ascii="宋体" w:hAnsi="宋体" w:cs="宋体"/>
                <w:color w:val="000000"/>
                <w:szCs w:val="21"/>
              </w:rPr>
              <w:t>开标时间、</w:t>
            </w:r>
          </w:p>
          <w:p w14:paraId="1434FD67">
            <w:pPr>
              <w:spacing w:line="370" w:lineRule="atLeast"/>
              <w:jc w:val="center"/>
              <w:rPr>
                <w:rFonts w:hint="eastAsia" w:ascii="宋体" w:hAnsi="宋体" w:cs="宋体"/>
                <w:color w:val="000000"/>
                <w:szCs w:val="21"/>
              </w:rPr>
            </w:pPr>
            <w:r>
              <w:rPr>
                <w:rFonts w:hint="eastAsia" w:ascii="宋体" w:hAnsi="宋体" w:cs="宋体"/>
                <w:color w:val="000000"/>
                <w:szCs w:val="21"/>
              </w:rPr>
              <w:t>地点、形式</w:t>
            </w:r>
          </w:p>
        </w:tc>
        <w:tc>
          <w:tcPr>
            <w:tcW w:w="6620" w:type="dxa"/>
            <w:vAlign w:val="center"/>
          </w:tcPr>
          <w:p w14:paraId="7EF19E18">
            <w:pPr>
              <w:widowControl/>
              <w:spacing w:line="370" w:lineRule="atLeast"/>
              <w:rPr>
                <w:rFonts w:hint="eastAsia" w:ascii="宋体" w:hAnsi="宋体" w:cs="宋体"/>
                <w:color w:val="000000"/>
                <w:szCs w:val="21"/>
              </w:rPr>
            </w:pPr>
            <w:r>
              <w:rPr>
                <w:rFonts w:hint="eastAsia" w:ascii="宋体" w:hAnsi="宋体" w:cs="宋体"/>
                <w:color w:val="000000"/>
                <w:szCs w:val="21"/>
              </w:rPr>
              <w:t>开标时间：见采购公告</w:t>
            </w:r>
          </w:p>
          <w:p w14:paraId="471C6041">
            <w:pPr>
              <w:widowControl/>
              <w:spacing w:line="370" w:lineRule="atLeast"/>
              <w:rPr>
                <w:rFonts w:hint="eastAsia" w:ascii="宋体" w:hAnsi="宋体" w:cs="宋体"/>
                <w:color w:val="000000"/>
                <w:szCs w:val="21"/>
              </w:rPr>
            </w:pPr>
            <w:r>
              <w:rPr>
                <w:rFonts w:hint="eastAsia" w:ascii="宋体" w:hAnsi="宋体" w:cs="宋体"/>
                <w:color w:val="000000"/>
                <w:szCs w:val="21"/>
              </w:rPr>
              <w:t>开标地点：乐采云（www.lecaiyun.com）</w:t>
            </w:r>
          </w:p>
          <w:p w14:paraId="6B6DB89A">
            <w:pPr>
              <w:widowControl/>
              <w:spacing w:line="370" w:lineRule="atLeast"/>
              <w:rPr>
                <w:rFonts w:hint="eastAsia" w:ascii="宋体" w:hAnsi="宋体" w:cs="宋体"/>
                <w:color w:val="000000"/>
                <w:szCs w:val="21"/>
              </w:rPr>
            </w:pPr>
            <w:r>
              <w:rPr>
                <w:rFonts w:hint="eastAsia" w:ascii="宋体" w:hAnsi="宋体" w:cs="宋体"/>
                <w:color w:val="000000"/>
                <w:szCs w:val="21"/>
              </w:rPr>
              <w:t>采购代理机构将按照采购文件规定的开标时间通过“乐采云平台”组织开标、开启投标文件，所有供应商均应当准时在线参加。</w:t>
            </w:r>
          </w:p>
        </w:tc>
      </w:tr>
      <w:tr w14:paraId="60963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14:paraId="7602F5A2">
            <w:pPr>
              <w:spacing w:line="370" w:lineRule="atLeast"/>
              <w:jc w:val="center"/>
              <w:rPr>
                <w:rFonts w:hint="eastAsia" w:ascii="宋体" w:hAnsi="宋体" w:cs="宋体"/>
                <w:color w:val="000000"/>
                <w:szCs w:val="21"/>
              </w:rPr>
            </w:pPr>
            <w:r>
              <w:rPr>
                <w:rFonts w:hint="eastAsia" w:ascii="宋体" w:hAnsi="宋体" w:cs="宋体"/>
                <w:color w:val="000000"/>
                <w:szCs w:val="21"/>
              </w:rPr>
              <w:t>26</w:t>
            </w:r>
          </w:p>
        </w:tc>
        <w:tc>
          <w:tcPr>
            <w:tcW w:w="2009" w:type="dxa"/>
            <w:vAlign w:val="center"/>
          </w:tcPr>
          <w:p w14:paraId="38904F3D">
            <w:pPr>
              <w:spacing w:line="370" w:lineRule="atLeast"/>
              <w:jc w:val="center"/>
              <w:rPr>
                <w:rFonts w:hint="eastAsia" w:ascii="宋体" w:hAnsi="宋体" w:cs="宋体"/>
                <w:color w:val="000000"/>
                <w:szCs w:val="21"/>
              </w:rPr>
            </w:pPr>
            <w:r>
              <w:rPr>
                <w:rFonts w:hint="eastAsia" w:ascii="宋体" w:hAnsi="宋体" w:cs="宋体"/>
                <w:color w:val="000000"/>
                <w:szCs w:val="21"/>
              </w:rPr>
              <w:t>开标及评审程序</w:t>
            </w:r>
          </w:p>
        </w:tc>
        <w:tc>
          <w:tcPr>
            <w:tcW w:w="6620" w:type="dxa"/>
            <w:vAlign w:val="center"/>
          </w:tcPr>
          <w:p w14:paraId="4533AC60">
            <w:pPr>
              <w:widowControl/>
              <w:numPr>
                <w:ilvl w:val="0"/>
                <w:numId w:val="3"/>
              </w:numPr>
              <w:spacing w:line="370" w:lineRule="atLeast"/>
              <w:ind w:firstLine="0"/>
              <w:jc w:val="left"/>
              <w:rPr>
                <w:rFonts w:hint="eastAsia" w:ascii="宋体" w:hAnsi="宋体" w:cs="宋体"/>
                <w:color w:val="000000"/>
                <w:szCs w:val="21"/>
                <w:lang w:bidi="ar"/>
              </w:rPr>
            </w:pPr>
            <w:r>
              <w:rPr>
                <w:rFonts w:hint="eastAsia" w:ascii="宋体" w:hAnsi="宋体" w:cs="宋体"/>
                <w:color w:val="000000"/>
                <w:szCs w:val="21"/>
                <w:lang w:bidi="ar"/>
              </w:rPr>
              <w:t>开标程序</w:t>
            </w:r>
          </w:p>
          <w:p w14:paraId="32D4F6C0">
            <w:pPr>
              <w:tabs>
                <w:tab w:val="left" w:pos="-6"/>
              </w:tabs>
              <w:spacing w:line="370" w:lineRule="atLeast"/>
              <w:ind w:left="211" w:hanging="211" w:hangingChars="100"/>
              <w:rPr>
                <w:rFonts w:hint="eastAsia" w:ascii="宋体" w:hAnsi="宋体" w:cs="宋体"/>
                <w:b/>
                <w:color w:val="000000"/>
                <w:szCs w:val="21"/>
              </w:rPr>
            </w:pPr>
            <w:r>
              <w:rPr>
                <w:rFonts w:hint="eastAsia" w:ascii="宋体" w:hAnsi="宋体" w:cs="宋体"/>
                <w:b/>
                <w:color w:val="000000"/>
                <w:szCs w:val="21"/>
              </w:rPr>
              <w:t>（1）开标后，采购代理机构将向各投标供应商发出“电子加密投标文件”的解密通知，各投标供应商代表应当在接到解密通知后30分钟内自行完成“电子加密投标文件”的在线解密。</w:t>
            </w:r>
          </w:p>
          <w:p w14:paraId="79B3F304">
            <w:pPr>
              <w:spacing w:line="276" w:lineRule="auto"/>
              <w:rPr>
                <w:rFonts w:hint="eastAsia" w:ascii="宋体" w:hAnsi="宋体" w:cs="宋体"/>
                <w:b/>
                <w:color w:val="000000"/>
                <w:szCs w:val="21"/>
              </w:rPr>
            </w:pPr>
            <w:r>
              <w:rPr>
                <w:rFonts w:hint="eastAsia" w:ascii="宋体" w:hAnsi="宋体" w:cs="宋体"/>
                <w:b/>
                <w:color w:val="000000"/>
                <w:szCs w:val="21"/>
              </w:rPr>
              <w:t>（2）</w:t>
            </w:r>
            <w:r>
              <w:rPr>
                <w:rFonts w:hint="eastAsia" w:ascii="宋体" w:hAnsi="宋体" w:cs="宋体"/>
                <w:color w:val="000000"/>
                <w:szCs w:val="21"/>
              </w:rPr>
              <w:t>采购人或采购代理机构先进行资格性审查；</w:t>
            </w:r>
          </w:p>
          <w:p w14:paraId="38B53919">
            <w:pPr>
              <w:spacing w:line="276" w:lineRule="auto"/>
              <w:rPr>
                <w:rFonts w:hint="eastAsia" w:ascii="宋体" w:hAnsi="宋体" w:cs="宋体"/>
                <w:color w:val="000000"/>
                <w:szCs w:val="21"/>
              </w:rPr>
            </w:pPr>
            <w:r>
              <w:rPr>
                <w:rFonts w:hint="eastAsia" w:ascii="宋体" w:hAnsi="宋体" w:cs="宋体"/>
                <w:color w:val="000000"/>
                <w:szCs w:val="21"/>
              </w:rPr>
              <w:t>（3）评标委员会对资格性审查合格的投标供应商进行符合性审查；</w:t>
            </w:r>
          </w:p>
          <w:p w14:paraId="413BAB13">
            <w:pPr>
              <w:spacing w:line="276" w:lineRule="auto"/>
              <w:rPr>
                <w:rFonts w:hint="eastAsia" w:ascii="宋体" w:hAnsi="宋体" w:cs="宋体"/>
                <w:color w:val="000000"/>
                <w:szCs w:val="21"/>
              </w:rPr>
            </w:pPr>
            <w:r>
              <w:rPr>
                <w:rFonts w:hint="eastAsia" w:ascii="宋体" w:hAnsi="宋体" w:cs="宋体"/>
                <w:color w:val="000000"/>
                <w:szCs w:val="21"/>
              </w:rPr>
              <w:t>（4）评标委员会对投标供应商进行技术商务评审；</w:t>
            </w:r>
          </w:p>
          <w:p w14:paraId="2117026D">
            <w:pPr>
              <w:spacing w:line="276" w:lineRule="auto"/>
              <w:rPr>
                <w:rFonts w:hint="eastAsia" w:ascii="宋体" w:hAnsi="宋体" w:cs="宋体"/>
                <w:color w:val="000000"/>
                <w:szCs w:val="21"/>
              </w:rPr>
            </w:pPr>
            <w:r>
              <w:rPr>
                <w:rFonts w:hint="eastAsia" w:ascii="宋体" w:hAnsi="宋体" w:cs="宋体"/>
                <w:color w:val="000000"/>
                <w:szCs w:val="21"/>
              </w:rPr>
              <w:t>（5）开启报价文件，并进行报价评审。</w:t>
            </w:r>
          </w:p>
          <w:p w14:paraId="330E904D">
            <w:pPr>
              <w:spacing w:line="276" w:lineRule="auto"/>
              <w:rPr>
                <w:rFonts w:hint="eastAsia" w:ascii="宋体" w:hAnsi="宋体" w:cs="宋体"/>
                <w:color w:val="000000"/>
                <w:szCs w:val="21"/>
              </w:rPr>
            </w:pPr>
            <w:r>
              <w:rPr>
                <w:rFonts w:hint="eastAsia" w:ascii="宋体" w:hAnsi="宋体" w:cs="宋体"/>
                <w:color w:val="000000"/>
                <w:szCs w:val="21"/>
              </w:rPr>
              <w:t>（6）评标委员会根据综合评分情况，按照综合得分由高到低顺序确定一个预选中标供应商。</w:t>
            </w:r>
          </w:p>
          <w:p w14:paraId="4835E645">
            <w:pPr>
              <w:spacing w:line="370" w:lineRule="atLeast"/>
              <w:ind w:left="-4" w:leftChars="-2" w:firstLine="2"/>
              <w:rPr>
                <w:rFonts w:hint="eastAsia" w:ascii="宋体" w:hAnsi="宋体" w:cs="宋体"/>
                <w:bCs/>
                <w:color w:val="000000"/>
                <w:kern w:val="0"/>
                <w:szCs w:val="21"/>
              </w:rPr>
            </w:pPr>
            <w:r>
              <w:rPr>
                <w:rFonts w:hint="eastAsia" w:ascii="宋体" w:hAnsi="宋体" w:cs="宋体"/>
                <w:color w:val="000000"/>
                <w:szCs w:val="21"/>
              </w:rPr>
              <w:t>如遇“乐采云平台”电子化开标或评审程序调整的，按调整后程序执行。</w:t>
            </w:r>
          </w:p>
        </w:tc>
      </w:tr>
      <w:tr w14:paraId="43AD9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14:paraId="63829939">
            <w:pPr>
              <w:spacing w:line="370" w:lineRule="atLeast"/>
              <w:jc w:val="center"/>
              <w:rPr>
                <w:rFonts w:hint="eastAsia" w:ascii="宋体" w:hAnsi="宋体" w:cs="宋体"/>
                <w:color w:val="000000"/>
                <w:szCs w:val="21"/>
              </w:rPr>
            </w:pPr>
            <w:r>
              <w:rPr>
                <w:rFonts w:hint="eastAsia" w:ascii="宋体" w:hAnsi="宋体" w:cs="宋体"/>
                <w:color w:val="000000"/>
                <w:szCs w:val="21"/>
              </w:rPr>
              <w:t>27</w:t>
            </w:r>
          </w:p>
        </w:tc>
        <w:tc>
          <w:tcPr>
            <w:tcW w:w="2009" w:type="dxa"/>
            <w:vAlign w:val="center"/>
          </w:tcPr>
          <w:p w14:paraId="07BDC29D">
            <w:pPr>
              <w:spacing w:line="370" w:lineRule="atLeast"/>
              <w:jc w:val="center"/>
              <w:rPr>
                <w:rFonts w:hint="eastAsia" w:ascii="宋体" w:hAnsi="宋体" w:cs="宋体"/>
                <w:color w:val="000000"/>
                <w:szCs w:val="21"/>
              </w:rPr>
            </w:pPr>
            <w:r>
              <w:rPr>
                <w:rFonts w:hint="eastAsia" w:ascii="宋体" w:hAnsi="宋体" w:cs="宋体"/>
                <w:color w:val="000000"/>
                <w:szCs w:val="21"/>
              </w:rPr>
              <w:t>评标委员会的组建</w:t>
            </w:r>
          </w:p>
        </w:tc>
        <w:tc>
          <w:tcPr>
            <w:tcW w:w="6620" w:type="dxa"/>
            <w:vAlign w:val="center"/>
          </w:tcPr>
          <w:p w14:paraId="24A257DD">
            <w:pPr>
              <w:spacing w:line="370" w:lineRule="atLeast"/>
              <w:rPr>
                <w:rFonts w:hint="eastAsia" w:ascii="宋体" w:hAnsi="宋体" w:cs="宋体"/>
                <w:bCs/>
                <w:color w:val="000000"/>
                <w:kern w:val="0"/>
                <w:szCs w:val="21"/>
              </w:rPr>
            </w:pPr>
            <w:r>
              <w:rPr>
                <w:rFonts w:hint="eastAsia" w:ascii="宋体" w:hAnsi="宋体" w:cs="宋体"/>
                <w:bCs/>
                <w:color w:val="000000"/>
                <w:kern w:val="0"/>
                <w:szCs w:val="21"/>
              </w:rPr>
              <w:t>评标委员会构成：由采购人代表以及有关技术、经济等方面的专家组成，成员为3人及以上单数，其中技术、经济类专家不得少于总人数的2/3；评标专家确定方式：</w:t>
            </w:r>
            <w:r>
              <w:rPr>
                <w:rFonts w:hint="eastAsia" w:ascii="宋体" w:hAnsi="宋体" w:cs="宋体"/>
                <w:color w:val="000000"/>
                <w:szCs w:val="21"/>
              </w:rPr>
              <w:t>按相关规定从专家库中抽取。</w:t>
            </w:r>
          </w:p>
        </w:tc>
      </w:tr>
      <w:tr w14:paraId="446A4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4" w:hRule="atLeast"/>
          <w:jc w:val="center"/>
        </w:trPr>
        <w:tc>
          <w:tcPr>
            <w:tcW w:w="645" w:type="dxa"/>
            <w:vAlign w:val="center"/>
          </w:tcPr>
          <w:p w14:paraId="445F7E95">
            <w:pPr>
              <w:spacing w:line="370" w:lineRule="atLeast"/>
              <w:jc w:val="center"/>
              <w:rPr>
                <w:rFonts w:hint="eastAsia" w:ascii="宋体" w:hAnsi="宋体" w:cs="宋体"/>
                <w:color w:val="000000"/>
                <w:szCs w:val="21"/>
              </w:rPr>
            </w:pPr>
            <w:r>
              <w:rPr>
                <w:rFonts w:hint="eastAsia" w:ascii="宋体" w:hAnsi="宋体" w:cs="宋体"/>
                <w:color w:val="000000"/>
                <w:szCs w:val="21"/>
              </w:rPr>
              <w:t>28</w:t>
            </w:r>
          </w:p>
        </w:tc>
        <w:tc>
          <w:tcPr>
            <w:tcW w:w="2009" w:type="dxa"/>
            <w:vAlign w:val="center"/>
          </w:tcPr>
          <w:p w14:paraId="6BA3FEAC">
            <w:pPr>
              <w:spacing w:line="370" w:lineRule="atLeast"/>
              <w:jc w:val="center"/>
              <w:rPr>
                <w:rFonts w:hint="eastAsia" w:ascii="宋体" w:hAnsi="宋体" w:cs="宋体"/>
                <w:color w:val="000000"/>
                <w:szCs w:val="21"/>
              </w:rPr>
            </w:pPr>
            <w:r>
              <w:rPr>
                <w:rFonts w:hint="eastAsia" w:ascii="宋体" w:hAnsi="宋体" w:cs="宋体"/>
                <w:color w:val="000000"/>
                <w:szCs w:val="21"/>
              </w:rPr>
              <w:t>合同管理</w:t>
            </w:r>
          </w:p>
        </w:tc>
        <w:tc>
          <w:tcPr>
            <w:tcW w:w="6620" w:type="dxa"/>
            <w:vAlign w:val="center"/>
          </w:tcPr>
          <w:p w14:paraId="37B80CB7">
            <w:pPr>
              <w:spacing w:line="370" w:lineRule="atLeast"/>
              <w:rPr>
                <w:rFonts w:hint="eastAsia" w:ascii="宋体" w:hAnsi="宋体" w:cs="宋体"/>
                <w:bCs/>
                <w:color w:val="000000"/>
                <w:kern w:val="0"/>
                <w:szCs w:val="21"/>
              </w:rPr>
            </w:pPr>
            <w:r>
              <w:rPr>
                <w:rFonts w:hint="eastAsia" w:ascii="宋体" w:hAnsi="宋体" w:cs="宋体"/>
                <w:color w:val="000000"/>
                <w:szCs w:val="21"/>
              </w:rPr>
              <w:t>中标供应商与采购人签订合同后，两个工作日内将合同原件交给浙江信达咨询监理有限公司备案。</w:t>
            </w:r>
          </w:p>
        </w:tc>
      </w:tr>
      <w:tr w14:paraId="38EF0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14:paraId="06BA20D8">
            <w:pPr>
              <w:spacing w:line="370" w:lineRule="atLeast"/>
              <w:jc w:val="center"/>
              <w:rPr>
                <w:rFonts w:hint="eastAsia" w:ascii="宋体" w:hAnsi="宋体" w:cs="宋体"/>
                <w:color w:val="000000"/>
                <w:szCs w:val="21"/>
              </w:rPr>
            </w:pPr>
            <w:r>
              <w:rPr>
                <w:rFonts w:hint="eastAsia" w:ascii="宋体" w:hAnsi="宋体" w:cs="宋体"/>
                <w:color w:val="000000"/>
                <w:szCs w:val="21"/>
              </w:rPr>
              <w:t>29</w:t>
            </w:r>
          </w:p>
        </w:tc>
        <w:tc>
          <w:tcPr>
            <w:tcW w:w="2009" w:type="dxa"/>
            <w:vAlign w:val="center"/>
          </w:tcPr>
          <w:p w14:paraId="031C3FF3">
            <w:pPr>
              <w:spacing w:line="370" w:lineRule="atLeast"/>
              <w:jc w:val="center"/>
              <w:rPr>
                <w:rFonts w:hint="eastAsia" w:ascii="宋体" w:hAnsi="宋体" w:cs="宋体"/>
                <w:color w:val="000000"/>
                <w:szCs w:val="21"/>
              </w:rPr>
            </w:pPr>
            <w:r>
              <w:rPr>
                <w:rFonts w:hint="eastAsia" w:ascii="宋体" w:hAnsi="宋体" w:cs="宋体"/>
                <w:color w:val="000000"/>
                <w:szCs w:val="21"/>
              </w:rPr>
              <w:t>解释权</w:t>
            </w:r>
          </w:p>
        </w:tc>
        <w:tc>
          <w:tcPr>
            <w:tcW w:w="6620" w:type="dxa"/>
            <w:vAlign w:val="center"/>
          </w:tcPr>
          <w:p w14:paraId="62355C1E">
            <w:pPr>
              <w:spacing w:line="370" w:lineRule="atLeast"/>
              <w:rPr>
                <w:rFonts w:hint="eastAsia" w:ascii="宋体" w:hAnsi="宋体" w:cs="宋体"/>
                <w:color w:val="000000"/>
                <w:szCs w:val="21"/>
              </w:rPr>
            </w:pPr>
            <w:r>
              <w:rPr>
                <w:rFonts w:hint="eastAsia"/>
                <w:color w:val="000000"/>
              </w:rPr>
              <w:t>本招标文件的解释权属于采购人和采购代理机构</w:t>
            </w:r>
            <w:r>
              <w:rPr>
                <w:rFonts w:hint="eastAsia"/>
                <w:color w:val="000000"/>
                <w:szCs w:val="21"/>
              </w:rPr>
              <w:t>。</w:t>
            </w:r>
          </w:p>
        </w:tc>
      </w:tr>
      <w:tr w14:paraId="750682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14:paraId="0CEB7096">
            <w:pPr>
              <w:spacing w:line="370" w:lineRule="atLeast"/>
              <w:jc w:val="center"/>
              <w:rPr>
                <w:rFonts w:hint="eastAsia" w:ascii="宋体" w:hAnsi="宋体" w:cs="宋体"/>
                <w:color w:val="000000"/>
                <w:szCs w:val="21"/>
              </w:rPr>
            </w:pPr>
            <w:r>
              <w:rPr>
                <w:rFonts w:hint="eastAsia" w:ascii="宋体" w:hAnsi="宋体" w:cs="宋体"/>
                <w:color w:val="000000"/>
                <w:szCs w:val="21"/>
              </w:rPr>
              <w:t>30</w:t>
            </w:r>
          </w:p>
        </w:tc>
        <w:tc>
          <w:tcPr>
            <w:tcW w:w="2009" w:type="dxa"/>
            <w:vAlign w:val="center"/>
          </w:tcPr>
          <w:p w14:paraId="630CAB52">
            <w:pPr>
              <w:spacing w:line="370" w:lineRule="atLeast"/>
              <w:jc w:val="center"/>
              <w:rPr>
                <w:rFonts w:hint="eastAsia" w:ascii="宋体" w:hAnsi="宋体" w:cs="宋体"/>
                <w:color w:val="000000"/>
                <w:szCs w:val="21"/>
              </w:rPr>
            </w:pPr>
            <w:r>
              <w:rPr>
                <w:rFonts w:hint="eastAsia" w:ascii="宋体" w:hAnsi="宋体" w:cs="宋体"/>
                <w:color w:val="000000"/>
                <w:szCs w:val="21"/>
              </w:rPr>
              <w:t>温馨提醒</w:t>
            </w:r>
          </w:p>
        </w:tc>
        <w:tc>
          <w:tcPr>
            <w:tcW w:w="6620" w:type="dxa"/>
            <w:vAlign w:val="center"/>
          </w:tcPr>
          <w:p w14:paraId="4691C3CE">
            <w:pPr>
              <w:spacing w:line="370" w:lineRule="atLeast"/>
              <w:rPr>
                <w:rFonts w:hint="eastAsia" w:ascii="宋体" w:hAnsi="宋体" w:cs="宋体"/>
                <w:b/>
                <w:color w:val="000000"/>
                <w:kern w:val="0"/>
                <w:szCs w:val="21"/>
              </w:rPr>
            </w:pPr>
            <w:r>
              <w:rPr>
                <w:rFonts w:hint="eastAsia" w:ascii="宋体" w:hAnsi="宋体" w:cs="宋体"/>
                <w:b/>
                <w:color w:val="000000"/>
                <w:kern w:val="0"/>
                <w:szCs w:val="21"/>
              </w:rPr>
              <w:t>1．请务必确保投标文件制作客户端为最新版本，旧版本可能导致投标文件解密失败。</w:t>
            </w:r>
          </w:p>
          <w:p w14:paraId="4FBC449A">
            <w:pPr>
              <w:spacing w:line="370" w:lineRule="atLeast"/>
              <w:rPr>
                <w:rFonts w:hint="eastAsia" w:ascii="宋体" w:hAnsi="宋体" w:cs="宋体"/>
                <w:b/>
                <w:color w:val="000000"/>
                <w:kern w:val="0"/>
                <w:szCs w:val="21"/>
              </w:rPr>
            </w:pPr>
            <w:r>
              <w:rPr>
                <w:rFonts w:hint="eastAsia" w:ascii="宋体" w:hAnsi="宋体" w:cs="宋体"/>
                <w:b/>
                <w:color w:val="000000"/>
                <w:kern w:val="0"/>
                <w:szCs w:val="21"/>
              </w:rPr>
              <w:t>2．请务必确保投标文件制作时所用的CA锁与投标文件解密时的CA锁为同一把，否则可能导致投标文件解密失败。</w:t>
            </w:r>
          </w:p>
          <w:p w14:paraId="1B337327">
            <w:pPr>
              <w:spacing w:line="370" w:lineRule="atLeast"/>
              <w:rPr>
                <w:rFonts w:hint="eastAsia" w:ascii="宋体" w:hAnsi="宋体" w:cs="宋体"/>
                <w:b/>
                <w:color w:val="000000"/>
                <w:kern w:val="0"/>
                <w:szCs w:val="21"/>
              </w:rPr>
            </w:pPr>
            <w:r>
              <w:rPr>
                <w:rFonts w:hint="eastAsia" w:ascii="宋体" w:hAnsi="宋体" w:cs="宋体"/>
                <w:b/>
                <w:color w:val="000000"/>
                <w:kern w:val="0"/>
                <w:szCs w:val="21"/>
              </w:rPr>
              <w:t>3．在投标文件解密前，请务必检验CA锁与所用电脑的兼容性，部分电脑因CA驱动未正常安装、USB接口兼容性差等原因可能造成投标文件解密失败。</w:t>
            </w:r>
          </w:p>
          <w:p w14:paraId="11FCCA96">
            <w:pPr>
              <w:spacing w:line="370" w:lineRule="atLeast"/>
              <w:rPr>
                <w:rFonts w:hint="eastAsia" w:ascii="宋体" w:hAnsi="宋体" w:cs="宋体"/>
                <w:bCs/>
                <w:color w:val="000000"/>
                <w:kern w:val="0"/>
                <w:szCs w:val="21"/>
              </w:rPr>
            </w:pPr>
            <w:r>
              <w:rPr>
                <w:rFonts w:hint="eastAsia" w:ascii="宋体" w:hAnsi="宋体" w:cs="宋体"/>
                <w:b/>
                <w:color w:val="000000"/>
                <w:kern w:val="0"/>
                <w:szCs w:val="21"/>
              </w:rPr>
              <w:t>4．供应商未按采购文件规定及提醒操作的，引起的一切后果由供应商自行负责。</w:t>
            </w:r>
          </w:p>
        </w:tc>
      </w:tr>
    </w:tbl>
    <w:p w14:paraId="72063BF6">
      <w:pPr>
        <w:spacing w:line="360" w:lineRule="auto"/>
        <w:jc w:val="center"/>
        <w:outlineLvl w:val="1"/>
        <w:rPr>
          <w:rFonts w:hint="eastAsia" w:ascii="Arial" w:hAnsi="宋体" w:cs="Arial"/>
          <w:b/>
          <w:bCs/>
          <w:color w:val="000000"/>
          <w:sz w:val="30"/>
        </w:rPr>
      </w:pPr>
      <w:bookmarkStart w:id="69" w:name="_Toc2306"/>
      <w:r>
        <w:rPr>
          <w:rFonts w:ascii="Arial" w:hAnsi="宋体" w:cs="Arial"/>
          <w:b/>
          <w:bCs/>
          <w:color w:val="000000"/>
          <w:sz w:val="28"/>
        </w:rPr>
        <w:br w:type="page"/>
      </w:r>
      <w:r>
        <w:rPr>
          <w:rFonts w:ascii="Arial" w:hAnsi="宋体" w:cs="Arial"/>
          <w:b/>
          <w:bCs/>
          <w:color w:val="000000"/>
          <w:sz w:val="28"/>
        </w:rPr>
        <w:t>（</w:t>
      </w:r>
      <w:r>
        <w:rPr>
          <w:rFonts w:hint="eastAsia" w:ascii="Arial" w:hAnsi="宋体" w:cs="Arial"/>
          <w:b/>
          <w:bCs/>
          <w:color w:val="000000"/>
          <w:sz w:val="28"/>
        </w:rPr>
        <w:t>二</w:t>
      </w:r>
      <w:r>
        <w:rPr>
          <w:rFonts w:ascii="Arial" w:hAnsi="宋体" w:cs="Arial"/>
          <w:b/>
          <w:bCs/>
          <w:color w:val="000000"/>
          <w:sz w:val="28"/>
        </w:rPr>
        <w:t>）总</w:t>
      </w:r>
      <w:r>
        <w:rPr>
          <w:rFonts w:ascii="Arial" w:hAnsi="Arial" w:cs="Arial"/>
          <w:b/>
          <w:bCs/>
          <w:color w:val="000000"/>
          <w:sz w:val="28"/>
        </w:rPr>
        <w:t xml:space="preserve"> </w:t>
      </w:r>
      <w:r>
        <w:rPr>
          <w:rFonts w:ascii="Arial" w:hAnsi="宋体" w:cs="Arial"/>
          <w:b/>
          <w:bCs/>
          <w:color w:val="000000"/>
          <w:sz w:val="28"/>
        </w:rPr>
        <w:t>则</w:t>
      </w:r>
      <w:bookmarkEnd w:id="69"/>
    </w:p>
    <w:p w14:paraId="7A289B7F">
      <w:pPr>
        <w:numPr>
          <w:ilvl w:val="0"/>
          <w:numId w:val="4"/>
        </w:numPr>
        <w:snapToGrid w:val="0"/>
        <w:spacing w:line="360" w:lineRule="auto"/>
        <w:ind w:left="538" w:hanging="538" w:hangingChars="255"/>
        <w:rPr>
          <w:rFonts w:hint="eastAsia" w:ascii="宋体" w:hAnsi="宋体" w:cs="宋体"/>
          <w:b/>
          <w:color w:val="000000"/>
        </w:rPr>
      </w:pPr>
      <w:r>
        <w:rPr>
          <w:rFonts w:hint="eastAsia" w:ascii="宋体" w:hAnsi="宋体" w:cs="宋体"/>
          <w:b/>
          <w:color w:val="000000"/>
        </w:rPr>
        <w:t>说明</w:t>
      </w:r>
    </w:p>
    <w:p w14:paraId="0AD7B623">
      <w:pPr>
        <w:numPr>
          <w:ilvl w:val="1"/>
          <w:numId w:val="4"/>
        </w:numPr>
        <w:tabs>
          <w:tab w:val="left" w:pos="592"/>
        </w:tabs>
        <w:snapToGrid w:val="0"/>
        <w:spacing w:line="360" w:lineRule="auto"/>
        <w:ind w:left="588" w:hanging="588" w:hangingChars="280"/>
        <w:rPr>
          <w:rFonts w:hint="eastAsia" w:ascii="宋体" w:hAnsi="宋体" w:cs="宋体"/>
          <w:color w:val="000000"/>
        </w:rPr>
      </w:pPr>
      <w:r>
        <w:rPr>
          <w:rFonts w:hint="eastAsia" w:ascii="宋体" w:hAnsi="宋体" w:cs="宋体"/>
          <w:color w:val="000000"/>
        </w:rPr>
        <w:t>本次招标工作是按照《温州市市属国有企业采购管理办法（试行）》和浙江省及项目所在地的有关国企采购相关规定，结合本项目的实际，组织和实施。</w:t>
      </w:r>
    </w:p>
    <w:p w14:paraId="53CA4366">
      <w:pPr>
        <w:numPr>
          <w:ilvl w:val="0"/>
          <w:numId w:val="4"/>
        </w:numPr>
        <w:snapToGrid w:val="0"/>
        <w:spacing w:line="360" w:lineRule="auto"/>
        <w:ind w:left="841" w:hanging="841" w:hangingChars="399"/>
        <w:rPr>
          <w:rFonts w:hint="eastAsia" w:ascii="宋体" w:hAnsi="宋体" w:cs="宋体"/>
          <w:b/>
          <w:color w:val="000000"/>
        </w:rPr>
      </w:pPr>
      <w:r>
        <w:rPr>
          <w:rFonts w:hint="eastAsia" w:ascii="宋体" w:hAnsi="宋体" w:cs="宋体"/>
          <w:b/>
          <w:color w:val="000000"/>
        </w:rPr>
        <w:t>定义及解释</w:t>
      </w:r>
    </w:p>
    <w:p w14:paraId="3F7DBA5F">
      <w:pPr>
        <w:numPr>
          <w:ilvl w:val="1"/>
          <w:numId w:val="4"/>
        </w:numPr>
        <w:tabs>
          <w:tab w:val="left" w:pos="592"/>
        </w:tabs>
        <w:snapToGrid w:val="0"/>
        <w:spacing w:line="360" w:lineRule="auto"/>
        <w:ind w:left="588" w:hanging="588" w:hangingChars="280"/>
        <w:rPr>
          <w:rFonts w:hint="eastAsia" w:ascii="宋体" w:hAnsi="宋体" w:cs="宋体"/>
          <w:color w:val="000000"/>
        </w:rPr>
      </w:pPr>
      <w:r>
        <w:rPr>
          <w:rFonts w:hint="eastAsia" w:ascii="宋体" w:hAnsi="宋体" w:cs="宋体"/>
          <w:color w:val="000000"/>
        </w:rPr>
        <w:t>采购人：</w:t>
      </w:r>
      <w:r>
        <w:rPr>
          <w:rFonts w:hint="eastAsia" w:ascii="宋体" w:hAnsi="宋体" w:cs="宋体"/>
          <w:color w:val="000000"/>
          <w:szCs w:val="21"/>
        </w:rPr>
        <w:t>文成县绿色能源发展有限公司</w:t>
      </w:r>
      <w:r>
        <w:rPr>
          <w:rFonts w:hint="eastAsia" w:ascii="宋体" w:hAnsi="宋体" w:cs="宋体"/>
          <w:color w:val="000000"/>
        </w:rPr>
        <w:t>。</w:t>
      </w:r>
    </w:p>
    <w:p w14:paraId="73D2A5AD">
      <w:pPr>
        <w:numPr>
          <w:ilvl w:val="1"/>
          <w:numId w:val="4"/>
        </w:numPr>
        <w:tabs>
          <w:tab w:val="left" w:pos="592"/>
        </w:tabs>
        <w:snapToGrid w:val="0"/>
        <w:spacing w:line="360" w:lineRule="auto"/>
        <w:ind w:left="588" w:hanging="588" w:hangingChars="280"/>
        <w:rPr>
          <w:rFonts w:hint="eastAsia" w:ascii="宋体" w:hAnsi="宋体" w:cs="宋体"/>
          <w:color w:val="000000"/>
        </w:rPr>
      </w:pPr>
      <w:r>
        <w:rPr>
          <w:rFonts w:hint="eastAsia" w:ascii="宋体" w:hAnsi="宋体" w:cs="宋体"/>
          <w:color w:val="000000"/>
        </w:rPr>
        <w:t>采购代理机构：浙江信达咨询监理有限公司。</w:t>
      </w:r>
    </w:p>
    <w:p w14:paraId="1BB0BDAB">
      <w:pPr>
        <w:numPr>
          <w:ilvl w:val="1"/>
          <w:numId w:val="4"/>
        </w:numPr>
        <w:tabs>
          <w:tab w:val="left" w:pos="592"/>
        </w:tabs>
        <w:snapToGrid w:val="0"/>
        <w:spacing w:line="360" w:lineRule="auto"/>
        <w:ind w:left="588" w:hanging="588" w:hangingChars="280"/>
        <w:rPr>
          <w:rFonts w:hint="eastAsia" w:ascii="宋体" w:hAnsi="宋体" w:cs="宋体"/>
          <w:b/>
          <w:color w:val="000000"/>
        </w:rPr>
      </w:pPr>
      <w:r>
        <w:rPr>
          <w:rFonts w:hint="eastAsia" w:ascii="宋体" w:hAnsi="宋体" w:cs="宋体"/>
          <w:color w:val="000000"/>
        </w:rPr>
        <w:t>投标供应商：系响应招标、参加投标竞争的依法成立的供应商。</w:t>
      </w:r>
    </w:p>
    <w:p w14:paraId="444AC8D5">
      <w:pPr>
        <w:numPr>
          <w:ilvl w:val="1"/>
          <w:numId w:val="4"/>
        </w:numPr>
        <w:tabs>
          <w:tab w:val="left" w:pos="592"/>
        </w:tabs>
        <w:snapToGrid w:val="0"/>
        <w:spacing w:line="360" w:lineRule="auto"/>
        <w:ind w:left="588" w:hanging="588" w:hangingChars="280"/>
        <w:rPr>
          <w:rFonts w:hint="eastAsia" w:ascii="宋体" w:hAnsi="宋体" w:cs="宋体"/>
          <w:color w:val="000000"/>
        </w:rPr>
      </w:pPr>
      <w:r>
        <w:rPr>
          <w:rFonts w:hint="eastAsia" w:ascii="宋体" w:hAnsi="宋体" w:cs="宋体"/>
          <w:color w:val="000000"/>
        </w:rPr>
        <w:t>中标供应商：系在本次招标中，中标的投标供应商。</w:t>
      </w:r>
    </w:p>
    <w:p w14:paraId="4F1B773C">
      <w:pPr>
        <w:numPr>
          <w:ilvl w:val="1"/>
          <w:numId w:val="4"/>
        </w:numPr>
        <w:tabs>
          <w:tab w:val="left" w:pos="592"/>
        </w:tabs>
        <w:snapToGrid w:val="0"/>
        <w:spacing w:line="360" w:lineRule="auto"/>
        <w:ind w:left="588" w:hanging="588" w:hangingChars="280"/>
        <w:rPr>
          <w:rFonts w:hint="eastAsia" w:ascii="宋体" w:hAnsi="宋体" w:cs="宋体"/>
          <w:color w:val="000000"/>
        </w:rPr>
      </w:pPr>
      <w:r>
        <w:rPr>
          <w:rFonts w:hint="eastAsia" w:ascii="宋体" w:hAnsi="宋体" w:cs="宋体"/>
          <w:color w:val="000000"/>
        </w:rPr>
        <w:t>评标委员会：评标委员会是依据《温州市市属国有企业采购管理办法（试行）》和浙江省及项目所在地的有关国企采购相关规定，结合本项目的实际组建的专门负责招标评标工作的临时性机构。</w:t>
      </w:r>
    </w:p>
    <w:p w14:paraId="523D7587">
      <w:pPr>
        <w:numPr>
          <w:ilvl w:val="1"/>
          <w:numId w:val="4"/>
        </w:numPr>
        <w:tabs>
          <w:tab w:val="left" w:pos="592"/>
        </w:tabs>
        <w:snapToGrid w:val="0"/>
        <w:spacing w:line="360" w:lineRule="auto"/>
        <w:ind w:left="588" w:hanging="588" w:hangingChars="280"/>
        <w:rPr>
          <w:rFonts w:hint="eastAsia" w:ascii="宋体" w:hAnsi="宋体" w:cs="宋体"/>
          <w:color w:val="000000"/>
        </w:rPr>
      </w:pPr>
      <w:r>
        <w:rPr>
          <w:rFonts w:hint="eastAsia" w:ascii="宋体" w:hAnsi="宋体" w:cs="宋体"/>
          <w:color w:val="000000"/>
        </w:rPr>
        <w:t>日期：指公历日。</w:t>
      </w:r>
    </w:p>
    <w:p w14:paraId="2AA0EE4E">
      <w:pPr>
        <w:numPr>
          <w:ilvl w:val="1"/>
          <w:numId w:val="4"/>
        </w:numPr>
        <w:tabs>
          <w:tab w:val="left" w:pos="592"/>
        </w:tabs>
        <w:snapToGrid w:val="0"/>
        <w:spacing w:line="360" w:lineRule="auto"/>
        <w:ind w:left="588" w:hanging="588" w:hangingChars="280"/>
        <w:rPr>
          <w:rFonts w:hint="eastAsia" w:ascii="宋体" w:hAnsi="宋体" w:cs="宋体"/>
          <w:bCs/>
          <w:color w:val="000000"/>
        </w:rPr>
      </w:pPr>
      <w:r>
        <w:rPr>
          <w:rFonts w:hint="eastAsia" w:ascii="宋体" w:hAnsi="宋体" w:cs="宋体"/>
          <w:color w:val="000000"/>
        </w:rPr>
        <w:t>合同：指由招标所产生的合同或合约文件。</w:t>
      </w:r>
    </w:p>
    <w:p w14:paraId="7E78B181">
      <w:pPr>
        <w:numPr>
          <w:ilvl w:val="1"/>
          <w:numId w:val="4"/>
        </w:numPr>
        <w:tabs>
          <w:tab w:val="left" w:pos="592"/>
        </w:tabs>
        <w:snapToGrid w:val="0"/>
        <w:spacing w:line="360" w:lineRule="auto"/>
        <w:ind w:left="590" w:hanging="590" w:hangingChars="280"/>
        <w:rPr>
          <w:rFonts w:hint="eastAsia" w:ascii="宋体" w:hAnsi="宋体" w:cs="宋体"/>
          <w:b/>
          <w:bCs/>
          <w:color w:val="000000"/>
        </w:rPr>
      </w:pPr>
      <w:r>
        <w:rPr>
          <w:rFonts w:hint="eastAsia" w:ascii="宋体" w:hAnsi="宋体" w:cs="宋体"/>
          <w:b/>
          <w:bCs/>
          <w:color w:val="000000"/>
        </w:rPr>
        <w:t>电子加密投标文件：指通过“乐采云电子投标客户端”完成投标文件编制后生成并加密的数据电文 形式的投标文件，文件后缀格式.jmbs。</w:t>
      </w:r>
    </w:p>
    <w:p w14:paraId="50BAEF62">
      <w:pPr>
        <w:numPr>
          <w:ilvl w:val="1"/>
          <w:numId w:val="4"/>
        </w:numPr>
        <w:tabs>
          <w:tab w:val="left" w:pos="592"/>
        </w:tabs>
        <w:snapToGrid w:val="0"/>
        <w:spacing w:line="360" w:lineRule="auto"/>
        <w:ind w:left="590" w:hanging="590" w:hangingChars="280"/>
        <w:rPr>
          <w:rFonts w:hint="eastAsia" w:ascii="宋体" w:hAnsi="宋体" w:cs="宋体"/>
          <w:b/>
          <w:bCs/>
          <w:color w:val="000000"/>
        </w:rPr>
      </w:pPr>
      <w:r>
        <w:rPr>
          <w:rFonts w:hint="eastAsia" w:ascii="宋体" w:hAnsi="宋体" w:cs="宋体"/>
          <w:b/>
          <w:bCs/>
          <w:color w:val="000000"/>
        </w:rPr>
        <w:t>备份投标文件：不要求。</w:t>
      </w:r>
    </w:p>
    <w:p w14:paraId="5753BDF6">
      <w:pPr>
        <w:numPr>
          <w:ilvl w:val="1"/>
          <w:numId w:val="4"/>
        </w:numPr>
        <w:tabs>
          <w:tab w:val="left" w:pos="592"/>
        </w:tabs>
        <w:snapToGrid w:val="0"/>
        <w:spacing w:line="360" w:lineRule="auto"/>
        <w:ind w:left="590" w:hanging="590" w:hangingChars="280"/>
        <w:rPr>
          <w:rFonts w:hint="eastAsia" w:ascii="宋体" w:hAnsi="宋体" w:cs="宋体"/>
          <w:b/>
          <w:bCs/>
          <w:color w:val="000000"/>
        </w:rPr>
      </w:pPr>
      <w:r>
        <w:rPr>
          <w:rFonts w:hint="eastAsia" w:ascii="宋体" w:hAnsi="宋体" w:cs="宋体"/>
          <w:b/>
          <w:bCs/>
          <w:color w:val="000000"/>
        </w:rPr>
        <w:t>电子签章：投标供应商通过“乐采云平台”办理的CA锁加盖的签章。</w:t>
      </w:r>
    </w:p>
    <w:p w14:paraId="23B1BF12">
      <w:pPr>
        <w:numPr>
          <w:ilvl w:val="1"/>
          <w:numId w:val="4"/>
        </w:numPr>
        <w:tabs>
          <w:tab w:val="left" w:pos="592"/>
        </w:tabs>
        <w:snapToGrid w:val="0"/>
        <w:spacing w:line="360" w:lineRule="auto"/>
        <w:ind w:left="590" w:hanging="590" w:hangingChars="280"/>
        <w:rPr>
          <w:rFonts w:hint="eastAsia" w:ascii="宋体" w:hAnsi="宋体" w:cs="宋体"/>
          <w:b/>
          <w:bCs/>
          <w:color w:val="000000"/>
        </w:rPr>
      </w:pPr>
      <w:r>
        <w:rPr>
          <w:rFonts w:hint="eastAsia" w:ascii="宋体" w:hAnsi="宋体" w:cs="宋体"/>
          <w:b/>
          <w:bCs/>
          <w:color w:val="000000"/>
        </w:rPr>
        <w:t>招标文件中的标题或题名仅起引导作用，而不应视为对采购文件内容的理解和解释。</w:t>
      </w:r>
    </w:p>
    <w:p w14:paraId="25E016D5">
      <w:pPr>
        <w:numPr>
          <w:ilvl w:val="1"/>
          <w:numId w:val="4"/>
        </w:numPr>
        <w:tabs>
          <w:tab w:val="left" w:pos="592"/>
        </w:tabs>
        <w:snapToGrid w:val="0"/>
        <w:spacing w:line="360" w:lineRule="auto"/>
        <w:ind w:left="588" w:hanging="588" w:hangingChars="280"/>
        <w:rPr>
          <w:rFonts w:hint="eastAsia" w:ascii="宋体" w:hAnsi="宋体" w:cs="宋体"/>
          <w:color w:val="000000"/>
        </w:rPr>
      </w:pPr>
      <w:r>
        <w:rPr>
          <w:rFonts w:hint="eastAsia" w:ascii="宋体" w:hAnsi="宋体" w:cs="宋体"/>
          <w:color w:val="000000"/>
        </w:rPr>
        <w:t>“书面形式”</w:t>
      </w:r>
      <w:r>
        <w:rPr>
          <w:rFonts w:hint="eastAsia" w:ascii="宋体" w:hAnsi="宋体" w:cs="宋体"/>
          <w:szCs w:val="21"/>
        </w:rPr>
        <w:t>：包括数据电文形式与纸质形式。数据电文形式与纸质形式的采购活动具有同等法律效力</w:t>
      </w:r>
      <w:r>
        <w:rPr>
          <w:rFonts w:hint="eastAsia" w:ascii="宋体" w:hAnsi="宋体" w:cs="宋体"/>
          <w:color w:val="000000"/>
        </w:rPr>
        <w:t>。</w:t>
      </w:r>
    </w:p>
    <w:p w14:paraId="7C09AF79">
      <w:pPr>
        <w:numPr>
          <w:ilvl w:val="0"/>
          <w:numId w:val="4"/>
        </w:numPr>
        <w:snapToGrid w:val="0"/>
        <w:spacing w:line="360" w:lineRule="auto"/>
        <w:ind w:left="841" w:hanging="841" w:hangingChars="399"/>
        <w:rPr>
          <w:rFonts w:hint="eastAsia" w:ascii="宋体" w:hAnsi="宋体" w:cs="宋体"/>
          <w:color w:val="000000"/>
        </w:rPr>
      </w:pPr>
      <w:r>
        <w:rPr>
          <w:rFonts w:hint="eastAsia" w:ascii="宋体" w:hAnsi="宋体" w:cs="宋体"/>
          <w:b/>
          <w:color w:val="000000"/>
        </w:rPr>
        <w:t>合格的投标供应商</w:t>
      </w:r>
    </w:p>
    <w:p w14:paraId="7940B4BC">
      <w:pPr>
        <w:numPr>
          <w:ilvl w:val="1"/>
          <w:numId w:val="4"/>
        </w:numPr>
        <w:tabs>
          <w:tab w:val="left" w:pos="592"/>
        </w:tabs>
        <w:snapToGrid w:val="0"/>
        <w:spacing w:line="360" w:lineRule="auto"/>
        <w:ind w:left="616" w:hanging="616" w:hangingChars="280"/>
        <w:rPr>
          <w:rFonts w:hint="eastAsia" w:ascii="宋体" w:hAnsi="宋体" w:cs="宋体"/>
          <w:color w:val="000000"/>
          <w:szCs w:val="21"/>
        </w:rPr>
      </w:pPr>
      <w:r>
        <w:rPr>
          <w:rFonts w:hint="eastAsia" w:ascii="宋体" w:hAnsi="宋体" w:cs="宋体"/>
          <w:kern w:val="0"/>
          <w:sz w:val="22"/>
          <w:szCs w:val="22"/>
        </w:rPr>
        <w:t>符合《温州市市属国有企业采购管理办法（试行）》第十五条对投标供应商参加温州市国有企业采购活动应当具备的条件的要求；</w:t>
      </w:r>
    </w:p>
    <w:p w14:paraId="545D6DD5">
      <w:pPr>
        <w:numPr>
          <w:ilvl w:val="1"/>
          <w:numId w:val="4"/>
        </w:numPr>
        <w:tabs>
          <w:tab w:val="left" w:pos="592"/>
        </w:tabs>
        <w:snapToGrid w:val="0"/>
        <w:spacing w:line="360" w:lineRule="auto"/>
        <w:ind w:left="588" w:hanging="588" w:hangingChars="280"/>
        <w:rPr>
          <w:rFonts w:hint="eastAsia" w:ascii="宋体" w:hAnsi="宋体" w:cs="宋体"/>
          <w:color w:val="000000"/>
          <w:szCs w:val="21"/>
        </w:rPr>
      </w:pPr>
      <w:r>
        <w:rPr>
          <w:rFonts w:hint="eastAsia" w:ascii="宋体" w:hAnsi="宋体" w:cs="宋体"/>
          <w:color w:val="000000"/>
          <w:szCs w:val="21"/>
        </w:rPr>
        <w:t>未被“信用中国” ( www.creditchina.gov.cn )、中国政府采购网(www.ccgp.gov.cn ] 列入失信被执行人、重大税收违法案件当事人名单、政府采购严重违法失信行为记录名单。</w:t>
      </w:r>
    </w:p>
    <w:p w14:paraId="15A0924B">
      <w:pPr>
        <w:numPr>
          <w:ilvl w:val="0"/>
          <w:numId w:val="4"/>
        </w:numPr>
        <w:spacing w:line="360" w:lineRule="auto"/>
        <w:ind w:left="841" w:hanging="841" w:hangingChars="399"/>
        <w:rPr>
          <w:rFonts w:hint="eastAsia" w:ascii="宋体" w:hAnsi="宋体" w:cs="宋体"/>
          <w:b/>
          <w:color w:val="000000"/>
        </w:rPr>
      </w:pPr>
      <w:r>
        <w:rPr>
          <w:rFonts w:hint="eastAsia" w:ascii="宋体" w:hAnsi="宋体" w:cs="宋体"/>
          <w:b/>
          <w:color w:val="000000"/>
        </w:rPr>
        <w:t>信用记录：</w:t>
      </w:r>
    </w:p>
    <w:p w14:paraId="2225C663">
      <w:pPr>
        <w:numPr>
          <w:ilvl w:val="1"/>
          <w:numId w:val="4"/>
        </w:numPr>
        <w:tabs>
          <w:tab w:val="left" w:pos="592"/>
        </w:tabs>
        <w:snapToGrid w:val="0"/>
        <w:spacing w:line="360" w:lineRule="auto"/>
        <w:ind w:left="588" w:hanging="588" w:hangingChars="280"/>
        <w:rPr>
          <w:rFonts w:hint="eastAsia" w:ascii="宋体" w:hAnsi="宋体" w:cs="宋体"/>
          <w:color w:val="000000"/>
          <w:szCs w:val="21"/>
        </w:rPr>
      </w:pPr>
      <w:r>
        <w:rPr>
          <w:rFonts w:hint="eastAsia" w:ascii="宋体" w:hAnsi="宋体" w:cs="宋体"/>
          <w:color w:val="000000"/>
          <w:szCs w:val="21"/>
        </w:rPr>
        <w:t>信用信息查询的截止时点：投标截止时间前。</w:t>
      </w:r>
    </w:p>
    <w:p w14:paraId="3CF724CF">
      <w:pPr>
        <w:numPr>
          <w:ilvl w:val="1"/>
          <w:numId w:val="4"/>
        </w:numPr>
        <w:tabs>
          <w:tab w:val="left" w:pos="592"/>
        </w:tabs>
        <w:snapToGrid w:val="0"/>
        <w:spacing w:line="360" w:lineRule="auto"/>
        <w:ind w:left="588" w:hanging="588" w:hangingChars="280"/>
        <w:rPr>
          <w:rFonts w:hint="eastAsia" w:ascii="宋体" w:hAnsi="宋体" w:cs="宋体"/>
          <w:color w:val="000000"/>
          <w:szCs w:val="21"/>
        </w:rPr>
      </w:pPr>
      <w:r>
        <w:rPr>
          <w:rFonts w:hint="eastAsia" w:ascii="宋体" w:hAnsi="宋体" w:cs="宋体"/>
          <w:color w:val="000000"/>
          <w:szCs w:val="21"/>
        </w:rPr>
        <w:t>查询渠道与留存方式：采购代理机构登录“信用中国”（www.creditchina.gov.cn）、“中国政府采购网”（www.ccgp.gov.cn）网站查询各投标供应商信用记录，网页截图并打印存档。</w:t>
      </w:r>
    </w:p>
    <w:p w14:paraId="393BDA25">
      <w:pPr>
        <w:numPr>
          <w:ilvl w:val="1"/>
          <w:numId w:val="4"/>
        </w:numPr>
        <w:tabs>
          <w:tab w:val="left" w:pos="592"/>
        </w:tabs>
        <w:snapToGrid w:val="0"/>
        <w:spacing w:line="360" w:lineRule="auto"/>
        <w:ind w:left="588" w:hanging="588" w:hangingChars="280"/>
        <w:rPr>
          <w:rFonts w:hint="eastAsia" w:ascii="宋体" w:hAnsi="宋体" w:cs="宋体"/>
          <w:color w:val="000000"/>
          <w:szCs w:val="21"/>
        </w:rPr>
      </w:pPr>
      <w:r>
        <w:rPr>
          <w:rFonts w:hint="eastAsia" w:ascii="宋体" w:hAnsi="宋体" w:cs="宋体"/>
          <w:color w:val="000000"/>
          <w:szCs w:val="21"/>
        </w:rPr>
        <w:t>不良信用记录指：被列入失信被执行人、重大税收违法案件当事人名单、政府采购严重违法失信行为记录名单及其他不满足《温州市市属国有企业采购管理办法（试行）》第十二条规定条件。存在不良信用记录的投标供应商，将被拒绝参与采购活动。</w:t>
      </w:r>
    </w:p>
    <w:p w14:paraId="023F6EA3">
      <w:pPr>
        <w:numPr>
          <w:ilvl w:val="0"/>
          <w:numId w:val="4"/>
        </w:numPr>
        <w:spacing w:line="360" w:lineRule="auto"/>
        <w:ind w:left="841" w:hanging="841" w:hangingChars="399"/>
        <w:rPr>
          <w:rFonts w:hint="eastAsia" w:ascii="宋体" w:hAnsi="宋体" w:cs="宋体"/>
          <w:b/>
          <w:color w:val="000000"/>
        </w:rPr>
      </w:pPr>
      <w:r>
        <w:rPr>
          <w:rFonts w:hint="eastAsia" w:ascii="宋体" w:hAnsi="宋体" w:cs="宋体"/>
          <w:b/>
          <w:color w:val="000000"/>
        </w:rPr>
        <w:t>联合体投标：本项目不接受。</w:t>
      </w:r>
    </w:p>
    <w:p w14:paraId="406F6979">
      <w:pPr>
        <w:numPr>
          <w:ilvl w:val="0"/>
          <w:numId w:val="4"/>
        </w:numPr>
        <w:spacing w:line="360" w:lineRule="auto"/>
        <w:ind w:left="841" w:hanging="841" w:hangingChars="399"/>
        <w:rPr>
          <w:rFonts w:hint="eastAsia" w:ascii="宋体" w:hAnsi="宋体" w:cs="宋体"/>
          <w:b/>
          <w:color w:val="000000"/>
        </w:rPr>
      </w:pPr>
      <w:r>
        <w:rPr>
          <w:rFonts w:hint="eastAsia" w:ascii="宋体" w:hAnsi="宋体" w:cs="宋体"/>
          <w:b/>
          <w:color w:val="000000"/>
        </w:rPr>
        <w:t>保密与披露事项</w:t>
      </w:r>
    </w:p>
    <w:p w14:paraId="4E1C05A4">
      <w:pPr>
        <w:numPr>
          <w:ilvl w:val="1"/>
          <w:numId w:val="4"/>
        </w:numPr>
        <w:tabs>
          <w:tab w:val="left" w:pos="592"/>
        </w:tabs>
        <w:snapToGrid w:val="0"/>
        <w:spacing w:line="360" w:lineRule="auto"/>
        <w:ind w:left="588" w:hanging="588" w:hangingChars="280"/>
        <w:rPr>
          <w:rFonts w:hint="eastAsia" w:ascii="宋体" w:hAnsi="宋体" w:cs="宋体"/>
          <w:color w:val="000000"/>
        </w:rPr>
      </w:pPr>
      <w:r>
        <w:rPr>
          <w:rFonts w:hint="eastAsia" w:ascii="宋体" w:hAnsi="宋体" w:cs="宋体"/>
          <w:color w:val="000000"/>
        </w:rPr>
        <w:t>投标供应商不得串通，以不正当的手段妨碍排挤其他投标供应商，扰乱市场，破坏公平竞争原则。</w:t>
      </w:r>
    </w:p>
    <w:p w14:paraId="09124AA9">
      <w:pPr>
        <w:numPr>
          <w:ilvl w:val="1"/>
          <w:numId w:val="4"/>
        </w:numPr>
        <w:tabs>
          <w:tab w:val="left" w:pos="592"/>
        </w:tabs>
        <w:snapToGrid w:val="0"/>
        <w:spacing w:line="360" w:lineRule="auto"/>
        <w:ind w:left="588" w:hanging="588" w:hangingChars="280"/>
        <w:rPr>
          <w:rFonts w:hint="eastAsia" w:ascii="宋体" w:hAnsi="宋体" w:cs="宋体"/>
          <w:color w:val="000000"/>
        </w:rPr>
      </w:pPr>
      <w:r>
        <w:rPr>
          <w:rFonts w:hint="eastAsia" w:ascii="宋体" w:hAnsi="宋体" w:cs="宋体"/>
          <w:color w:val="000000"/>
        </w:rPr>
        <w:t>投标供应商自购买招标文件之日起，须承诺承担本招标项目的保密义务，不得将因本次招标获得的信息向第三方外传。</w:t>
      </w:r>
    </w:p>
    <w:p w14:paraId="53439BB7">
      <w:pPr>
        <w:numPr>
          <w:ilvl w:val="1"/>
          <w:numId w:val="4"/>
        </w:numPr>
        <w:tabs>
          <w:tab w:val="left" w:pos="592"/>
        </w:tabs>
        <w:snapToGrid w:val="0"/>
        <w:spacing w:line="360" w:lineRule="auto"/>
        <w:ind w:left="588" w:hanging="588" w:hangingChars="280"/>
        <w:rPr>
          <w:rFonts w:hint="eastAsia" w:ascii="宋体" w:hAnsi="宋体" w:cs="宋体"/>
          <w:color w:val="000000"/>
        </w:rPr>
      </w:pPr>
      <w:r>
        <w:rPr>
          <w:rFonts w:hint="eastAsia" w:ascii="宋体" w:hAnsi="宋体" w:cs="宋体"/>
          <w:color w:val="000000"/>
        </w:rPr>
        <w:t>采购人有权将投标供应商提供的所有资料向其他政府部门或有关的非政府机构负责评审标书的人员或与评标有关的人员披露。</w:t>
      </w:r>
    </w:p>
    <w:p w14:paraId="36D342EF">
      <w:pPr>
        <w:numPr>
          <w:ilvl w:val="1"/>
          <w:numId w:val="4"/>
        </w:numPr>
        <w:tabs>
          <w:tab w:val="left" w:pos="592"/>
        </w:tabs>
        <w:snapToGrid w:val="0"/>
        <w:spacing w:line="360" w:lineRule="auto"/>
        <w:ind w:left="588" w:hanging="588" w:hangingChars="280"/>
        <w:rPr>
          <w:rFonts w:hint="eastAsia" w:ascii="宋体" w:hAnsi="宋体" w:cs="宋体"/>
          <w:b/>
          <w:color w:val="000000"/>
        </w:rPr>
      </w:pPr>
      <w:r>
        <w:rPr>
          <w:rFonts w:hint="eastAsia" w:ascii="宋体" w:hAnsi="宋体" w:cs="宋体"/>
          <w:color w:val="000000"/>
        </w:rPr>
        <w:t>采购人有权在认为适当时，或在任何第三者提出要求（书面或其他方式）时，无须事先征求中标供应商同意而披露关于已订立合约的资料、中标供应商的名称及地址、中标服务的有关信息以及合约条款等。</w:t>
      </w:r>
    </w:p>
    <w:p w14:paraId="2EBFECFF">
      <w:pPr>
        <w:numPr>
          <w:ilvl w:val="0"/>
          <w:numId w:val="4"/>
        </w:numPr>
        <w:snapToGrid w:val="0"/>
        <w:spacing w:line="360" w:lineRule="auto"/>
        <w:ind w:left="841" w:hanging="841" w:hangingChars="399"/>
        <w:rPr>
          <w:rFonts w:hint="eastAsia" w:ascii="宋体" w:hAnsi="宋体" w:cs="宋体"/>
          <w:b/>
          <w:color w:val="000000"/>
        </w:rPr>
      </w:pPr>
      <w:r>
        <w:rPr>
          <w:rFonts w:hint="eastAsia" w:ascii="宋体" w:hAnsi="宋体" w:cs="宋体"/>
          <w:b/>
          <w:color w:val="000000"/>
        </w:rPr>
        <w:t>投标费用</w:t>
      </w:r>
    </w:p>
    <w:p w14:paraId="751473F2">
      <w:pPr>
        <w:tabs>
          <w:tab w:val="left" w:pos="640"/>
        </w:tabs>
        <w:spacing w:line="360" w:lineRule="auto"/>
        <w:rPr>
          <w:rFonts w:hint="eastAsia" w:ascii="宋体" w:hAnsi="宋体" w:cs="宋体"/>
          <w:color w:val="000000"/>
          <w:szCs w:val="21"/>
        </w:rPr>
      </w:pPr>
      <w:r>
        <w:rPr>
          <w:rFonts w:hint="eastAsia" w:ascii="宋体" w:hAnsi="宋体" w:cs="宋体"/>
          <w:color w:val="000000"/>
          <w:szCs w:val="21"/>
        </w:rPr>
        <w:t>7.1  不论投标的结果如何，投标供应商应自行承担所有与参加投标有关的全部费用。</w:t>
      </w:r>
    </w:p>
    <w:p w14:paraId="0F64E343">
      <w:pPr>
        <w:tabs>
          <w:tab w:val="left" w:pos="640"/>
        </w:tabs>
        <w:spacing w:line="360" w:lineRule="auto"/>
        <w:ind w:left="630" w:hanging="630" w:hangingChars="300"/>
        <w:rPr>
          <w:rFonts w:hint="eastAsia" w:ascii="宋体" w:hAnsi="宋体" w:cs="宋体"/>
          <w:color w:val="000000"/>
          <w:szCs w:val="21"/>
          <w:u w:val="wave"/>
        </w:rPr>
      </w:pPr>
      <w:r>
        <w:rPr>
          <w:rFonts w:hint="eastAsia" w:ascii="宋体" w:hAnsi="宋体" w:cs="宋体"/>
          <w:color w:val="000000"/>
          <w:szCs w:val="21"/>
        </w:rPr>
        <w:t>7.2  投标供应商应按中国税法有关规定交纳税费，采购人不承担投标供应商因获得上述补偿金所发生的任何税费。</w:t>
      </w:r>
    </w:p>
    <w:p w14:paraId="6C4BE976">
      <w:pPr>
        <w:numPr>
          <w:ilvl w:val="0"/>
          <w:numId w:val="4"/>
        </w:numPr>
        <w:spacing w:line="360" w:lineRule="auto"/>
        <w:ind w:left="841" w:hanging="841" w:hangingChars="399"/>
        <w:rPr>
          <w:rFonts w:hint="eastAsia" w:ascii="宋体" w:hAnsi="宋体" w:cs="宋体"/>
          <w:b/>
          <w:color w:val="000000"/>
        </w:rPr>
      </w:pPr>
      <w:r>
        <w:rPr>
          <w:rFonts w:hint="eastAsia" w:ascii="宋体" w:hAnsi="宋体" w:cs="宋体"/>
          <w:b/>
          <w:color w:val="000000"/>
        </w:rPr>
        <w:t>投标货币：人民币。</w:t>
      </w:r>
    </w:p>
    <w:p w14:paraId="093C30B8">
      <w:pPr>
        <w:numPr>
          <w:ilvl w:val="0"/>
          <w:numId w:val="4"/>
        </w:numPr>
        <w:spacing w:line="360" w:lineRule="auto"/>
        <w:ind w:left="841" w:hanging="841" w:hangingChars="399"/>
        <w:rPr>
          <w:rFonts w:hint="eastAsia" w:ascii="宋体" w:hAnsi="宋体" w:cs="宋体"/>
          <w:b/>
          <w:color w:val="000000"/>
        </w:rPr>
      </w:pPr>
      <w:r>
        <w:rPr>
          <w:rFonts w:hint="eastAsia" w:ascii="宋体" w:hAnsi="宋体" w:cs="宋体"/>
          <w:b/>
          <w:color w:val="000000"/>
        </w:rPr>
        <w:t>踏勘现场</w:t>
      </w:r>
    </w:p>
    <w:p w14:paraId="6A77E01F">
      <w:pPr>
        <w:numPr>
          <w:ilvl w:val="1"/>
          <w:numId w:val="4"/>
        </w:numPr>
        <w:tabs>
          <w:tab w:val="left" w:pos="592"/>
        </w:tabs>
        <w:snapToGrid w:val="0"/>
        <w:spacing w:line="360" w:lineRule="auto"/>
        <w:ind w:left="588" w:hanging="588" w:hangingChars="280"/>
        <w:rPr>
          <w:rFonts w:hint="eastAsia" w:ascii="宋体" w:hAnsi="宋体" w:cs="宋体"/>
          <w:color w:val="000000"/>
        </w:rPr>
      </w:pPr>
      <w:r>
        <w:rPr>
          <w:rFonts w:hint="eastAsia" w:ascii="宋体" w:hAnsi="宋体" w:cs="宋体"/>
          <w:color w:val="000000"/>
        </w:rPr>
        <w:t>投标供应商自行前往现场踏勘，以便投标供应商获取有关编制投标文件和签署合同所涉及现场的资料，投标供应商承担现场踏勘所发生的费用。</w:t>
      </w:r>
    </w:p>
    <w:p w14:paraId="6EBA8AB2">
      <w:pPr>
        <w:numPr>
          <w:ilvl w:val="1"/>
          <w:numId w:val="4"/>
        </w:numPr>
        <w:tabs>
          <w:tab w:val="left" w:pos="592"/>
        </w:tabs>
        <w:snapToGrid w:val="0"/>
        <w:spacing w:line="360" w:lineRule="auto"/>
        <w:ind w:left="588" w:hanging="588" w:hangingChars="280"/>
        <w:rPr>
          <w:rFonts w:hint="eastAsia" w:ascii="宋体" w:hAnsi="宋体" w:cs="宋体"/>
          <w:color w:val="000000"/>
        </w:rPr>
      </w:pPr>
      <w:r>
        <w:rPr>
          <w:rFonts w:hint="eastAsia" w:ascii="宋体" w:hAnsi="宋体" w:cs="宋体"/>
          <w:color w:val="000000"/>
        </w:rPr>
        <w:t>投标供应商由于对现场条件不了解而造成中标后发生一切不良后果和风险，均由投标供应商自负。</w:t>
      </w:r>
    </w:p>
    <w:p w14:paraId="5AE1FAD3">
      <w:pPr>
        <w:numPr>
          <w:ilvl w:val="0"/>
          <w:numId w:val="4"/>
        </w:numPr>
        <w:spacing w:line="360" w:lineRule="auto"/>
        <w:ind w:left="841" w:hanging="841" w:hangingChars="399"/>
        <w:rPr>
          <w:rFonts w:hint="eastAsia" w:ascii="宋体" w:hAnsi="宋体" w:cs="宋体"/>
          <w:b/>
          <w:color w:val="000000"/>
        </w:rPr>
      </w:pPr>
      <w:r>
        <w:rPr>
          <w:rFonts w:hint="eastAsia" w:ascii="宋体" w:hAnsi="宋体" w:cs="宋体"/>
          <w:b/>
          <w:color w:val="000000"/>
        </w:rPr>
        <w:t>投标委托</w:t>
      </w:r>
    </w:p>
    <w:p w14:paraId="1773B862">
      <w:pPr>
        <w:spacing w:line="480" w:lineRule="auto"/>
        <w:ind w:left="630" w:hanging="630" w:hangingChars="300"/>
        <w:rPr>
          <w:rFonts w:hint="eastAsia" w:ascii="宋体" w:hAnsi="宋体" w:cs="宋体"/>
          <w:color w:val="000000"/>
          <w:szCs w:val="21"/>
        </w:rPr>
      </w:pPr>
      <w:r>
        <w:rPr>
          <w:rFonts w:hint="eastAsia" w:ascii="宋体" w:hAnsi="宋体" w:cs="宋体"/>
          <w:color w:val="000000"/>
        </w:rPr>
        <w:t>10.1  如投标供应商</w:t>
      </w:r>
      <w:r>
        <w:rPr>
          <w:rFonts w:hint="eastAsia" w:ascii="宋体" w:hAnsi="宋体" w:cs="宋体"/>
          <w:color w:val="000000"/>
          <w:szCs w:val="21"/>
        </w:rPr>
        <w:t>代表不是法定代表人，须持有《法定代表人授权委托书》，</w:t>
      </w:r>
      <w:r>
        <w:rPr>
          <w:rFonts w:hint="eastAsia" w:ascii="宋体" w:hAnsi="宋体" w:cs="宋体"/>
          <w:b/>
          <w:color w:val="000000"/>
          <w:szCs w:val="21"/>
        </w:rPr>
        <w:t>授权委托书需具备以下几项条件。</w:t>
      </w:r>
    </w:p>
    <w:p w14:paraId="42DDABAF">
      <w:pPr>
        <w:spacing w:line="480" w:lineRule="auto"/>
        <w:ind w:left="638" w:leftChars="304"/>
        <w:rPr>
          <w:rFonts w:hint="eastAsia" w:ascii="宋体" w:hAnsi="宋体" w:cs="宋体"/>
          <w:color w:val="000000"/>
          <w:szCs w:val="21"/>
        </w:rPr>
      </w:pPr>
      <w:r>
        <w:rPr>
          <w:rFonts w:hint="eastAsia" w:ascii="宋体" w:hAnsi="宋体" w:cs="宋体"/>
          <w:color w:val="000000"/>
          <w:szCs w:val="21"/>
        </w:rPr>
        <w:t>a.加盖单位公章</w:t>
      </w:r>
    </w:p>
    <w:p w14:paraId="5EE7C1A6">
      <w:pPr>
        <w:spacing w:line="480" w:lineRule="auto"/>
        <w:ind w:left="638" w:leftChars="304"/>
        <w:rPr>
          <w:rFonts w:hint="eastAsia" w:ascii="宋体" w:hAnsi="宋体" w:cs="宋体"/>
          <w:color w:val="000000"/>
          <w:szCs w:val="21"/>
        </w:rPr>
      </w:pPr>
      <w:r>
        <w:rPr>
          <w:rFonts w:hint="eastAsia" w:ascii="宋体" w:hAnsi="宋体" w:cs="宋体"/>
          <w:color w:val="000000"/>
          <w:szCs w:val="21"/>
        </w:rPr>
        <w:t>b.法定代表人签字或盖章</w:t>
      </w:r>
    </w:p>
    <w:p w14:paraId="3D946731">
      <w:pPr>
        <w:spacing w:line="480" w:lineRule="auto"/>
        <w:ind w:left="638" w:leftChars="304"/>
        <w:rPr>
          <w:rFonts w:hint="eastAsia" w:ascii="宋体" w:hAnsi="宋体" w:cs="宋体"/>
          <w:color w:val="000000"/>
          <w:szCs w:val="21"/>
        </w:rPr>
      </w:pPr>
      <w:r>
        <w:rPr>
          <w:rFonts w:hint="eastAsia" w:ascii="宋体" w:hAnsi="宋体" w:cs="宋体"/>
          <w:color w:val="000000"/>
          <w:szCs w:val="21"/>
        </w:rPr>
        <w:t>c.授权代表身份证件复印件</w:t>
      </w:r>
    </w:p>
    <w:p w14:paraId="4EDEA89B">
      <w:pPr>
        <w:spacing w:line="360" w:lineRule="auto"/>
        <w:jc w:val="center"/>
        <w:outlineLvl w:val="1"/>
        <w:rPr>
          <w:rFonts w:hint="eastAsia" w:ascii="Arial" w:hAnsi="宋体" w:cs="Arial"/>
          <w:b/>
          <w:bCs/>
          <w:color w:val="000000"/>
          <w:sz w:val="28"/>
        </w:rPr>
      </w:pPr>
      <w:bookmarkStart w:id="70" w:name="_Toc495977855"/>
      <w:bookmarkStart w:id="71" w:name="_Toc30608"/>
      <w:r>
        <w:rPr>
          <w:rFonts w:ascii="Arial" w:hAnsi="宋体" w:cs="Arial"/>
          <w:b/>
          <w:bCs/>
          <w:color w:val="000000"/>
          <w:sz w:val="28"/>
        </w:rPr>
        <w:t>（</w:t>
      </w:r>
      <w:r>
        <w:rPr>
          <w:rFonts w:hint="eastAsia" w:ascii="Arial" w:hAnsi="宋体" w:cs="Arial"/>
          <w:b/>
          <w:bCs/>
          <w:color w:val="000000"/>
          <w:sz w:val="28"/>
        </w:rPr>
        <w:t>三</w:t>
      </w:r>
      <w:r>
        <w:rPr>
          <w:rFonts w:ascii="Arial" w:hAnsi="宋体" w:cs="Arial"/>
          <w:b/>
          <w:bCs/>
          <w:color w:val="000000"/>
          <w:sz w:val="28"/>
        </w:rPr>
        <w:t>）招标文件</w:t>
      </w:r>
      <w:bookmarkEnd w:id="70"/>
      <w:r>
        <w:rPr>
          <w:rFonts w:ascii="Arial" w:hAnsi="宋体" w:cs="Arial"/>
          <w:b/>
          <w:bCs/>
          <w:color w:val="000000"/>
          <w:sz w:val="28"/>
        </w:rPr>
        <w:t>说明</w:t>
      </w:r>
      <w:bookmarkEnd w:id="71"/>
    </w:p>
    <w:p w14:paraId="335CFDBF">
      <w:pPr>
        <w:numPr>
          <w:ilvl w:val="0"/>
          <w:numId w:val="4"/>
        </w:numPr>
        <w:snapToGrid w:val="0"/>
        <w:spacing w:line="360" w:lineRule="auto"/>
        <w:ind w:left="841" w:hanging="841" w:hangingChars="399"/>
        <w:rPr>
          <w:rFonts w:ascii="Arial" w:hAnsi="Arial" w:cs="Arial"/>
          <w:b/>
          <w:color w:val="000000"/>
        </w:rPr>
      </w:pPr>
      <w:r>
        <w:rPr>
          <w:rFonts w:ascii="Arial" w:hAnsi="宋体" w:cs="Arial"/>
          <w:b/>
          <w:color w:val="000000"/>
        </w:rPr>
        <w:t>招标文件构成</w:t>
      </w:r>
      <w:bookmarkStart w:id="72" w:name="_Hlt509038174"/>
      <w:bookmarkEnd w:id="72"/>
    </w:p>
    <w:p w14:paraId="080B27A0">
      <w:pPr>
        <w:numPr>
          <w:ilvl w:val="1"/>
          <w:numId w:val="4"/>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招标文件是用以阐明所需货物、服务及工程，以及招标、投标程序和相应的合同条款。</w:t>
      </w:r>
      <w:r>
        <w:rPr>
          <w:rFonts w:ascii="Arial" w:hAnsi="Arial" w:cs="Arial"/>
          <w:color w:val="000000"/>
        </w:rPr>
        <w:t>“</w:t>
      </w:r>
      <w:r>
        <w:rPr>
          <w:rFonts w:ascii="Arial" w:hAnsi="宋体" w:cs="Arial"/>
          <w:color w:val="000000"/>
        </w:rPr>
        <w:t>招标文件</w:t>
      </w:r>
      <w:r>
        <w:rPr>
          <w:rFonts w:ascii="Arial" w:hAnsi="Arial" w:cs="Arial"/>
          <w:color w:val="000000"/>
        </w:rPr>
        <w:t>”</w:t>
      </w:r>
      <w:r>
        <w:rPr>
          <w:rFonts w:ascii="Arial" w:hAnsi="宋体" w:cs="Arial"/>
          <w:color w:val="000000"/>
        </w:rPr>
        <w:t>由下述部分组成：</w:t>
      </w:r>
      <w:r>
        <w:rPr>
          <w:rFonts w:ascii="Arial" w:hAnsi="Arial" w:cs="Arial"/>
          <w:color w:val="000000"/>
        </w:rPr>
        <w:t xml:space="preserve"> </w:t>
      </w:r>
    </w:p>
    <w:p w14:paraId="3027F053">
      <w:pPr>
        <w:snapToGrid w:val="0"/>
        <w:spacing w:line="360" w:lineRule="auto"/>
        <w:ind w:firstLine="632" w:firstLineChars="300"/>
        <w:rPr>
          <w:rFonts w:ascii="Arial" w:hAnsi="Arial" w:cs="Arial"/>
          <w:b/>
          <w:bCs/>
          <w:color w:val="000000"/>
        </w:rPr>
      </w:pPr>
      <w:r>
        <w:rPr>
          <w:rFonts w:ascii="Arial" w:hAnsi="宋体" w:cs="Arial"/>
          <w:b/>
          <w:bCs/>
          <w:color w:val="000000"/>
        </w:rPr>
        <w:t>第一部分</w:t>
      </w:r>
      <w:r>
        <w:rPr>
          <w:rFonts w:ascii="Arial" w:hAnsi="Arial" w:cs="Arial"/>
          <w:b/>
          <w:bCs/>
          <w:color w:val="000000"/>
        </w:rPr>
        <w:t xml:space="preserve">   </w:t>
      </w:r>
      <w:r>
        <w:rPr>
          <w:rFonts w:hint="eastAsia" w:ascii="Arial" w:hAnsi="宋体" w:cs="Arial"/>
          <w:b/>
          <w:bCs/>
          <w:color w:val="000000"/>
        </w:rPr>
        <w:t>招标公告</w:t>
      </w:r>
    </w:p>
    <w:p w14:paraId="10458C2F">
      <w:pPr>
        <w:snapToGrid w:val="0"/>
        <w:spacing w:line="360" w:lineRule="auto"/>
        <w:ind w:firstLine="632" w:firstLineChars="300"/>
        <w:rPr>
          <w:rFonts w:ascii="Arial" w:hAnsi="Arial" w:cs="Arial"/>
          <w:b/>
          <w:bCs/>
          <w:color w:val="000000"/>
        </w:rPr>
      </w:pPr>
      <w:r>
        <w:rPr>
          <w:rFonts w:ascii="Arial" w:hAnsi="宋体" w:cs="Arial"/>
          <w:b/>
          <w:bCs/>
          <w:color w:val="000000"/>
        </w:rPr>
        <w:t>第二部分</w:t>
      </w:r>
      <w:r>
        <w:rPr>
          <w:rFonts w:ascii="Arial" w:hAnsi="Arial" w:cs="Arial"/>
          <w:b/>
          <w:bCs/>
          <w:color w:val="000000"/>
        </w:rPr>
        <w:t xml:space="preserve">   </w:t>
      </w:r>
      <w:r>
        <w:rPr>
          <w:rFonts w:ascii="Arial" w:hAnsi="宋体" w:cs="Arial"/>
          <w:b/>
          <w:bCs/>
          <w:color w:val="000000"/>
        </w:rPr>
        <w:t>投标须知及前附表</w:t>
      </w:r>
    </w:p>
    <w:p w14:paraId="7C119106">
      <w:pPr>
        <w:snapToGrid w:val="0"/>
        <w:spacing w:line="360" w:lineRule="auto"/>
        <w:ind w:left="836" w:leftChars="304" w:hanging="198" w:hangingChars="94"/>
        <w:rPr>
          <w:rFonts w:ascii="Arial" w:hAnsi="Arial" w:cs="Arial"/>
          <w:b/>
          <w:bCs/>
          <w:color w:val="000000"/>
        </w:rPr>
      </w:pPr>
      <w:r>
        <w:rPr>
          <w:rFonts w:ascii="Arial" w:hAnsi="宋体" w:cs="Arial"/>
          <w:b/>
          <w:bCs/>
          <w:color w:val="000000"/>
        </w:rPr>
        <w:t>第三部分</w:t>
      </w:r>
      <w:r>
        <w:rPr>
          <w:rFonts w:ascii="Arial" w:hAnsi="Arial" w:cs="Arial"/>
          <w:b/>
          <w:bCs/>
          <w:color w:val="000000"/>
        </w:rPr>
        <w:t xml:space="preserve">   </w:t>
      </w:r>
      <w:r>
        <w:rPr>
          <w:rFonts w:hint="eastAsia" w:ascii="Arial" w:hAnsi="宋体" w:cs="Arial"/>
          <w:b/>
          <w:bCs/>
          <w:color w:val="000000"/>
        </w:rPr>
        <w:t>招标内容及要求</w:t>
      </w:r>
    </w:p>
    <w:p w14:paraId="1F2AA8AD">
      <w:pPr>
        <w:snapToGrid w:val="0"/>
        <w:spacing w:line="360" w:lineRule="auto"/>
        <w:ind w:left="836" w:leftChars="304" w:hanging="198" w:hangingChars="94"/>
        <w:rPr>
          <w:rFonts w:ascii="Arial" w:hAnsi="Arial" w:cs="Arial"/>
          <w:b/>
          <w:bCs/>
          <w:color w:val="000000"/>
        </w:rPr>
      </w:pPr>
      <w:r>
        <w:rPr>
          <w:rFonts w:ascii="Arial" w:hAnsi="宋体" w:cs="Arial"/>
          <w:b/>
          <w:bCs/>
          <w:color w:val="000000"/>
        </w:rPr>
        <w:t>第四部分</w:t>
      </w:r>
      <w:r>
        <w:rPr>
          <w:rFonts w:ascii="Arial" w:hAnsi="Arial" w:cs="Arial"/>
          <w:b/>
          <w:bCs/>
          <w:color w:val="000000"/>
        </w:rPr>
        <w:t xml:space="preserve">   </w:t>
      </w:r>
      <w:r>
        <w:rPr>
          <w:rFonts w:ascii="Arial" w:hAnsi="宋体" w:cs="Arial"/>
          <w:b/>
          <w:bCs/>
          <w:color w:val="000000"/>
        </w:rPr>
        <w:t>合同条款</w:t>
      </w:r>
    </w:p>
    <w:p w14:paraId="463BE1BF">
      <w:pPr>
        <w:snapToGrid w:val="0"/>
        <w:spacing w:line="360" w:lineRule="auto"/>
        <w:ind w:left="836" w:leftChars="304" w:hanging="198" w:hangingChars="94"/>
        <w:rPr>
          <w:rFonts w:ascii="Arial" w:hAnsi="Arial" w:cs="Arial"/>
          <w:b/>
          <w:bCs/>
          <w:color w:val="000000"/>
        </w:rPr>
      </w:pPr>
      <w:r>
        <w:rPr>
          <w:rFonts w:ascii="Arial" w:hAnsi="宋体" w:cs="Arial"/>
          <w:b/>
          <w:bCs/>
          <w:color w:val="000000"/>
        </w:rPr>
        <w:t>第五部分</w:t>
      </w:r>
      <w:r>
        <w:rPr>
          <w:rFonts w:ascii="Arial" w:hAnsi="Arial" w:cs="Arial"/>
          <w:b/>
          <w:bCs/>
          <w:color w:val="000000"/>
        </w:rPr>
        <w:t xml:space="preserve">   </w:t>
      </w:r>
      <w:r>
        <w:rPr>
          <w:rFonts w:ascii="Arial" w:hAnsi="宋体" w:cs="Arial"/>
          <w:b/>
          <w:bCs/>
          <w:color w:val="000000"/>
        </w:rPr>
        <w:t>投标文件格式</w:t>
      </w:r>
    </w:p>
    <w:p w14:paraId="44889510">
      <w:pPr>
        <w:snapToGrid w:val="0"/>
        <w:spacing w:line="360" w:lineRule="auto"/>
        <w:ind w:left="836" w:leftChars="304" w:hanging="198" w:hangingChars="94"/>
        <w:rPr>
          <w:rFonts w:ascii="Arial" w:hAnsi="Arial" w:cs="Arial"/>
          <w:b/>
          <w:bCs/>
          <w:color w:val="000000"/>
        </w:rPr>
      </w:pPr>
      <w:r>
        <w:rPr>
          <w:rFonts w:ascii="Arial" w:hAnsi="宋体" w:cs="Arial"/>
          <w:b/>
          <w:bCs/>
          <w:color w:val="000000"/>
        </w:rPr>
        <w:t>第六部分</w:t>
      </w:r>
      <w:r>
        <w:rPr>
          <w:rFonts w:ascii="Arial" w:hAnsi="Arial" w:cs="Arial"/>
          <w:b/>
          <w:bCs/>
          <w:color w:val="000000"/>
        </w:rPr>
        <w:t xml:space="preserve">   </w:t>
      </w:r>
      <w:r>
        <w:rPr>
          <w:rFonts w:ascii="Arial" w:hAnsi="宋体" w:cs="Arial"/>
          <w:b/>
          <w:bCs/>
          <w:color w:val="000000"/>
        </w:rPr>
        <w:t>评标办法</w:t>
      </w:r>
    </w:p>
    <w:p w14:paraId="60AF3879">
      <w:pPr>
        <w:snapToGrid w:val="0"/>
        <w:spacing w:line="360" w:lineRule="auto"/>
        <w:ind w:left="836" w:leftChars="304" w:hanging="198" w:hangingChars="94"/>
        <w:rPr>
          <w:rFonts w:ascii="Arial" w:hAnsi="Arial" w:cs="Arial"/>
          <w:color w:val="000000"/>
          <w:sz w:val="30"/>
        </w:rPr>
      </w:pPr>
      <w:r>
        <w:rPr>
          <w:rFonts w:ascii="Arial" w:hAnsi="宋体" w:cs="Arial"/>
          <w:b/>
          <w:bCs/>
          <w:color w:val="000000"/>
        </w:rPr>
        <w:t>第七部分</w:t>
      </w:r>
      <w:r>
        <w:rPr>
          <w:rFonts w:ascii="Arial" w:hAnsi="Arial" w:cs="Arial"/>
          <w:b/>
          <w:bCs/>
          <w:color w:val="000000"/>
        </w:rPr>
        <w:t xml:space="preserve">   </w:t>
      </w:r>
      <w:r>
        <w:rPr>
          <w:rFonts w:ascii="Arial" w:hAnsi="宋体" w:cs="Arial"/>
          <w:b/>
          <w:bCs/>
          <w:color w:val="000000"/>
        </w:rPr>
        <w:t>补充通知及答疑（如有）</w:t>
      </w:r>
    </w:p>
    <w:p w14:paraId="3FEF3FFF">
      <w:pPr>
        <w:numPr>
          <w:ilvl w:val="1"/>
          <w:numId w:val="4"/>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投标供应商应详细阅读招标文件的全部内容。如果投标供应商没有按照招标文件要求提交全部资料或者投标</w:t>
      </w:r>
      <w:r>
        <w:rPr>
          <w:rFonts w:hint="eastAsia" w:ascii="Arial" w:hAnsi="宋体" w:cs="Arial"/>
          <w:color w:val="000000"/>
        </w:rPr>
        <w:t>文件</w:t>
      </w:r>
      <w:r>
        <w:rPr>
          <w:rFonts w:ascii="Arial" w:hAnsi="宋体" w:cs="Arial"/>
          <w:color w:val="000000"/>
        </w:rPr>
        <w:t>没有对招标文件在各方面的要求都做出实质性响应，是投标供应商的风险。没有实质上响应招标文件要求的投标将被</w:t>
      </w:r>
      <w:r>
        <w:rPr>
          <w:rFonts w:hint="eastAsia" w:ascii="Arial" w:hAnsi="宋体" w:cs="Arial"/>
          <w:color w:val="000000"/>
        </w:rPr>
        <w:t>否决</w:t>
      </w:r>
      <w:r>
        <w:rPr>
          <w:rFonts w:ascii="Arial" w:hAnsi="宋体" w:cs="Arial"/>
          <w:color w:val="000000"/>
        </w:rPr>
        <w:t>。</w:t>
      </w:r>
    </w:p>
    <w:p w14:paraId="6CAD9D2A">
      <w:pPr>
        <w:numPr>
          <w:ilvl w:val="1"/>
          <w:numId w:val="4"/>
        </w:numPr>
        <w:tabs>
          <w:tab w:val="left" w:pos="592"/>
        </w:tabs>
        <w:snapToGrid w:val="0"/>
        <w:spacing w:line="360" w:lineRule="auto"/>
        <w:ind w:left="566" w:hanging="565" w:hangingChars="280"/>
        <w:rPr>
          <w:rFonts w:ascii="Arial" w:hAnsi="Arial" w:cs="Arial"/>
          <w:snapToGrid w:val="0"/>
          <w:color w:val="000000"/>
          <w:kern w:val="0"/>
          <w:szCs w:val="21"/>
        </w:rPr>
      </w:pPr>
      <w:r>
        <w:rPr>
          <w:rFonts w:ascii="Arial" w:hAnsi="宋体" w:cs="Arial"/>
          <w:snapToGrid w:val="0"/>
          <w:color w:val="000000"/>
          <w:spacing w:val="-4"/>
          <w:kern w:val="0"/>
          <w:szCs w:val="21"/>
        </w:rPr>
        <w:t>本招标文件要求投标供应商作出实质性响应的有关技术和商务条款，将在该条款前以</w:t>
      </w:r>
      <w:r>
        <w:rPr>
          <w:rFonts w:ascii="Arial" w:hAnsi="Arial" w:cs="Arial"/>
          <w:snapToGrid w:val="0"/>
          <w:color w:val="000000"/>
          <w:spacing w:val="-4"/>
          <w:kern w:val="0"/>
          <w:szCs w:val="21"/>
        </w:rPr>
        <w:t>“▲”</w:t>
      </w:r>
      <w:r>
        <w:rPr>
          <w:rFonts w:ascii="Arial" w:hAnsi="宋体" w:cs="Arial"/>
          <w:snapToGrid w:val="0"/>
          <w:color w:val="000000"/>
          <w:spacing w:val="-4"/>
          <w:kern w:val="0"/>
          <w:szCs w:val="21"/>
        </w:rPr>
        <w:t>醒目标识</w:t>
      </w:r>
      <w:r>
        <w:rPr>
          <w:rFonts w:ascii="Arial" w:hAnsi="宋体" w:cs="Arial"/>
          <w:snapToGrid w:val="0"/>
          <w:color w:val="000000"/>
          <w:kern w:val="0"/>
          <w:szCs w:val="21"/>
        </w:rPr>
        <w:t>。</w:t>
      </w:r>
    </w:p>
    <w:p w14:paraId="30855685">
      <w:pPr>
        <w:numPr>
          <w:ilvl w:val="0"/>
          <w:numId w:val="4"/>
        </w:numPr>
        <w:snapToGrid w:val="0"/>
        <w:spacing w:line="360" w:lineRule="auto"/>
        <w:ind w:left="841" w:hanging="841" w:hangingChars="399"/>
        <w:rPr>
          <w:rFonts w:ascii="Arial" w:hAnsi="Arial" w:cs="Arial"/>
          <w:b/>
          <w:color w:val="000000"/>
        </w:rPr>
      </w:pPr>
      <w:r>
        <w:rPr>
          <w:rFonts w:ascii="Arial" w:hAnsi="宋体" w:cs="Arial"/>
          <w:b/>
          <w:color w:val="000000"/>
        </w:rPr>
        <w:t>招标文件的</w:t>
      </w:r>
      <w:r>
        <w:rPr>
          <w:rFonts w:hint="eastAsia" w:ascii="Arial" w:hAnsi="宋体" w:cs="Arial"/>
          <w:b/>
          <w:color w:val="000000"/>
        </w:rPr>
        <w:t>澄清或修改</w:t>
      </w:r>
    </w:p>
    <w:p w14:paraId="575E5539">
      <w:pPr>
        <w:numPr>
          <w:ilvl w:val="1"/>
          <w:numId w:val="4"/>
        </w:numPr>
        <w:tabs>
          <w:tab w:val="left" w:pos="592"/>
        </w:tabs>
        <w:snapToGrid w:val="0"/>
        <w:spacing w:line="360" w:lineRule="auto"/>
        <w:ind w:left="588" w:hanging="588" w:hangingChars="280"/>
        <w:rPr>
          <w:rFonts w:hint="eastAsia" w:ascii="Arial" w:hAnsi="宋体" w:cs="Arial"/>
          <w:color w:val="000000"/>
        </w:rPr>
      </w:pPr>
      <w:r>
        <w:rPr>
          <w:rFonts w:hint="eastAsia" w:ascii="Arial" w:hAnsi="宋体" w:cs="Arial"/>
          <w:color w:val="000000"/>
        </w:rPr>
        <w:t>采购人或采购代理机构可以对已发出的招标文件进行必要的澄清或者修改；澄清或者修改在原公告发布媒体上发布澄清公告；澄清或者修改的内容为招标文件的组成部分。</w:t>
      </w:r>
    </w:p>
    <w:p w14:paraId="3008D1A9">
      <w:pPr>
        <w:numPr>
          <w:ilvl w:val="1"/>
          <w:numId w:val="4"/>
        </w:numPr>
        <w:tabs>
          <w:tab w:val="left" w:pos="592"/>
        </w:tabs>
        <w:snapToGrid w:val="0"/>
        <w:spacing w:line="360" w:lineRule="auto"/>
        <w:ind w:left="588" w:hanging="588" w:hangingChars="280"/>
        <w:rPr>
          <w:rFonts w:hint="eastAsia" w:ascii="Arial" w:hAnsi="宋体" w:cs="Arial"/>
          <w:color w:val="000000"/>
        </w:rPr>
      </w:pPr>
      <w:r>
        <w:rPr>
          <w:rFonts w:hint="eastAsia" w:ascii="Arial" w:hAnsi="宋体" w:cs="Arial"/>
          <w:color w:val="000000"/>
        </w:rPr>
        <w:t>澄清或者修改的内容可能影响投标文件编制的，采购人或者采购代理机构可酌情推迟投标的截止日期和开标日期，并在澄清公告中说明。</w:t>
      </w:r>
    </w:p>
    <w:p w14:paraId="0D49D360">
      <w:pPr>
        <w:numPr>
          <w:ilvl w:val="1"/>
          <w:numId w:val="4"/>
        </w:numPr>
        <w:tabs>
          <w:tab w:val="left" w:pos="592"/>
        </w:tabs>
        <w:snapToGrid w:val="0"/>
        <w:spacing w:line="360" w:lineRule="auto"/>
        <w:ind w:left="588" w:hanging="588" w:hangingChars="280"/>
        <w:rPr>
          <w:rFonts w:ascii="Arial" w:hAnsi="Arial" w:cs="Arial"/>
          <w:color w:val="000000"/>
        </w:rPr>
      </w:pPr>
      <w:r>
        <w:rPr>
          <w:rFonts w:hint="eastAsia" w:ascii="Arial" w:hAnsi="宋体" w:cs="Arial"/>
          <w:color w:val="000000"/>
        </w:rPr>
        <w:t>当招标文件与招标文件的答复、澄清、修改、补充通知就同一内容的表述不一致时，以最后发出的文件为准，对所有投标供应商有约束力。</w:t>
      </w:r>
    </w:p>
    <w:p w14:paraId="10C6B10C">
      <w:pPr>
        <w:spacing w:line="360" w:lineRule="auto"/>
        <w:jc w:val="center"/>
        <w:outlineLvl w:val="1"/>
        <w:rPr>
          <w:rFonts w:hint="eastAsia" w:ascii="Arial" w:hAnsi="宋体" w:cs="Arial"/>
          <w:b/>
          <w:bCs/>
          <w:color w:val="000000"/>
          <w:sz w:val="28"/>
        </w:rPr>
      </w:pPr>
      <w:bookmarkStart w:id="73" w:name="_Toc32627"/>
      <w:r>
        <w:rPr>
          <w:rFonts w:ascii="Arial" w:hAnsi="宋体" w:cs="Arial"/>
          <w:b/>
          <w:bCs/>
          <w:color w:val="000000"/>
          <w:sz w:val="28"/>
        </w:rPr>
        <w:t>（</w:t>
      </w:r>
      <w:r>
        <w:rPr>
          <w:rFonts w:hint="eastAsia" w:ascii="Arial" w:hAnsi="宋体" w:cs="Arial"/>
          <w:b/>
          <w:bCs/>
          <w:color w:val="000000"/>
          <w:sz w:val="28"/>
        </w:rPr>
        <w:t>四</w:t>
      </w:r>
      <w:r>
        <w:rPr>
          <w:rFonts w:ascii="Arial" w:hAnsi="宋体" w:cs="Arial"/>
          <w:b/>
          <w:bCs/>
          <w:color w:val="000000"/>
          <w:sz w:val="28"/>
        </w:rPr>
        <w:t>）投标文件的编制</w:t>
      </w:r>
      <w:bookmarkEnd w:id="73"/>
    </w:p>
    <w:p w14:paraId="26081FEF">
      <w:pPr>
        <w:numPr>
          <w:ilvl w:val="0"/>
          <w:numId w:val="4"/>
        </w:numPr>
        <w:snapToGrid w:val="0"/>
        <w:spacing w:line="360" w:lineRule="auto"/>
        <w:ind w:left="841" w:hanging="841" w:hangingChars="399"/>
        <w:rPr>
          <w:rFonts w:ascii="Arial" w:hAnsi="Arial" w:cs="Arial"/>
          <w:b/>
          <w:bCs/>
          <w:color w:val="000000"/>
        </w:rPr>
      </w:pPr>
      <w:r>
        <w:rPr>
          <w:rFonts w:ascii="Arial" w:hAnsi="宋体" w:cs="Arial"/>
          <w:b/>
          <w:bCs/>
          <w:color w:val="000000"/>
        </w:rPr>
        <w:t>投标文件的语言和计量单位</w:t>
      </w:r>
    </w:p>
    <w:p w14:paraId="7B4AC23E">
      <w:pPr>
        <w:numPr>
          <w:ilvl w:val="1"/>
          <w:numId w:val="4"/>
        </w:numPr>
        <w:tabs>
          <w:tab w:val="left" w:pos="592"/>
        </w:tabs>
        <w:snapToGrid w:val="0"/>
        <w:spacing w:line="360" w:lineRule="auto"/>
        <w:ind w:left="588" w:hanging="588" w:hangingChars="280"/>
        <w:rPr>
          <w:rFonts w:ascii="Arial" w:hAnsi="Arial" w:cs="Arial"/>
          <w:color w:val="000000"/>
          <w:szCs w:val="21"/>
        </w:rPr>
      </w:pPr>
      <w:r>
        <w:rPr>
          <w:rFonts w:ascii="Arial" w:hAnsi="宋体" w:cs="Arial"/>
          <w:color w:val="000000"/>
        </w:rPr>
        <w:t>投标供应商提交的投标</w:t>
      </w:r>
      <w:r>
        <w:rPr>
          <w:rFonts w:hint="eastAsia" w:ascii="Arial" w:hAnsi="宋体" w:cs="Arial"/>
          <w:color w:val="000000"/>
        </w:rPr>
        <w:t>文件</w:t>
      </w:r>
      <w:r>
        <w:rPr>
          <w:rFonts w:ascii="Arial" w:hAnsi="宋体" w:cs="Arial"/>
          <w:color w:val="000000"/>
        </w:rPr>
        <w:t>以及投标供应商与</w:t>
      </w:r>
      <w:r>
        <w:rPr>
          <w:rFonts w:hint="eastAsia" w:ascii="Arial" w:hAnsi="宋体" w:cs="Arial"/>
          <w:color w:val="000000"/>
        </w:rPr>
        <w:t>采购人</w:t>
      </w:r>
      <w:r>
        <w:rPr>
          <w:rFonts w:ascii="Arial" w:hAnsi="宋体" w:cs="Arial"/>
          <w:color w:val="000000"/>
        </w:rPr>
        <w:t>就有关投标的所有来往函电均应使用中文。</w:t>
      </w:r>
    </w:p>
    <w:p w14:paraId="59D2CCB2">
      <w:pPr>
        <w:numPr>
          <w:ilvl w:val="1"/>
          <w:numId w:val="4"/>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投标文件应字迹清楚、内容齐全、不得涂改。如有修改，修改处须有法定代表人或其</w:t>
      </w:r>
      <w:r>
        <w:rPr>
          <w:rFonts w:hint="eastAsia" w:ascii="Arial" w:hAnsi="宋体" w:cs="Arial"/>
          <w:color w:val="000000"/>
        </w:rPr>
        <w:t>授权代表</w:t>
      </w:r>
      <w:r>
        <w:rPr>
          <w:rFonts w:ascii="Arial" w:hAnsi="宋体" w:cs="Arial"/>
          <w:color w:val="000000"/>
        </w:rPr>
        <w:t>签章。</w:t>
      </w:r>
    </w:p>
    <w:p w14:paraId="03D63B36">
      <w:pPr>
        <w:numPr>
          <w:ilvl w:val="1"/>
          <w:numId w:val="4"/>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投标供应商所提供的技术文件和资料，包括图纸中的说明，应使用中文简化字。所使用的计量单位，应使用国家法定计量单位。</w:t>
      </w:r>
    </w:p>
    <w:p w14:paraId="7B8C9E65">
      <w:pPr>
        <w:numPr>
          <w:ilvl w:val="1"/>
          <w:numId w:val="4"/>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投标供应商必须按招标文件的要求提供相关技术参数、资料，包括采用的计量单位，并保证投标文件的正确性和真实性，否则评标委员会将作出不利于其投标的评定。不按招标文件的要求提供的投标文件</w:t>
      </w:r>
      <w:r>
        <w:rPr>
          <w:rFonts w:hint="eastAsia" w:ascii="Arial" w:hAnsi="宋体" w:cs="Arial"/>
          <w:color w:val="000000"/>
        </w:rPr>
        <w:t>可能导致</w:t>
      </w:r>
      <w:r>
        <w:rPr>
          <w:rFonts w:ascii="Arial" w:hAnsi="宋体" w:cs="Arial"/>
          <w:color w:val="000000"/>
        </w:rPr>
        <w:t>无效。</w:t>
      </w:r>
    </w:p>
    <w:p w14:paraId="79D012AF">
      <w:pPr>
        <w:numPr>
          <w:ilvl w:val="0"/>
          <w:numId w:val="4"/>
        </w:numPr>
        <w:snapToGrid w:val="0"/>
        <w:spacing w:line="360" w:lineRule="auto"/>
        <w:ind w:left="841" w:hanging="841" w:hangingChars="399"/>
        <w:rPr>
          <w:rFonts w:hint="eastAsia" w:ascii="Arial" w:hAnsi="宋体" w:cs="Arial"/>
          <w:b/>
          <w:bCs/>
          <w:color w:val="000000"/>
        </w:rPr>
      </w:pPr>
      <w:r>
        <w:rPr>
          <w:rFonts w:ascii="Arial" w:hAnsi="宋体" w:cs="Arial"/>
          <w:b/>
          <w:bCs/>
          <w:color w:val="000000"/>
        </w:rPr>
        <w:t>投标文件的组成（具体格式详见本文件第五部分，表格可以按同样格式扩展）</w:t>
      </w:r>
    </w:p>
    <w:p w14:paraId="4695F674">
      <w:pPr>
        <w:numPr>
          <w:ilvl w:val="1"/>
          <w:numId w:val="4"/>
        </w:numPr>
        <w:tabs>
          <w:tab w:val="left" w:pos="592"/>
        </w:tabs>
        <w:snapToGrid w:val="0"/>
        <w:spacing w:line="360" w:lineRule="auto"/>
        <w:ind w:left="588" w:hanging="588" w:hangingChars="280"/>
        <w:rPr>
          <w:rFonts w:hint="eastAsia" w:ascii="Arial" w:hAnsi="宋体" w:cs="Arial"/>
          <w:color w:val="000000"/>
        </w:rPr>
      </w:pPr>
      <w:r>
        <w:rPr>
          <w:rFonts w:ascii="Arial" w:hAnsi="宋体" w:cs="Arial"/>
          <w:color w:val="000000"/>
        </w:rPr>
        <w:t>投标文件由</w:t>
      </w:r>
      <w:r>
        <w:rPr>
          <w:rFonts w:hint="eastAsia" w:ascii="Arial" w:hAnsi="宋体" w:cs="Arial"/>
          <w:color w:val="000000"/>
        </w:rPr>
        <w:t>资格文件、技术商务文件、报价文件等三部分组成。</w:t>
      </w:r>
      <w:r>
        <w:rPr>
          <w:rFonts w:hint="eastAsia" w:ascii="Arial" w:hAnsi="宋体" w:cs="Arial"/>
          <w:color w:val="000000"/>
        </w:rPr>
        <w:tab/>
      </w:r>
    </w:p>
    <w:p w14:paraId="0604C346">
      <w:pPr>
        <w:tabs>
          <w:tab w:val="left" w:pos="6358"/>
        </w:tabs>
        <w:snapToGrid w:val="0"/>
        <w:spacing w:line="380" w:lineRule="exact"/>
        <w:ind w:left="567"/>
        <w:rPr>
          <w:rFonts w:hint="eastAsia" w:ascii="宋体" w:hAnsi="宋体"/>
          <w:b/>
          <w:color w:val="000000"/>
        </w:rPr>
      </w:pPr>
      <w:r>
        <w:rPr>
          <w:rFonts w:hint="eastAsia" w:ascii="宋体" w:hAnsi="宋体"/>
          <w:b/>
          <w:color w:val="000000"/>
        </w:rPr>
        <w:t>14.1.1资格文件：</w:t>
      </w:r>
    </w:p>
    <w:p w14:paraId="236CBCE8">
      <w:pPr>
        <w:tabs>
          <w:tab w:val="left" w:pos="5355"/>
        </w:tabs>
        <w:spacing w:line="360" w:lineRule="auto"/>
        <w:ind w:firstLine="550" w:firstLineChars="250"/>
        <w:rPr>
          <w:rFonts w:hint="eastAsia" w:ascii="宋体" w:hAnsi="宋体" w:cs="宋体"/>
          <w:sz w:val="22"/>
          <w:szCs w:val="22"/>
        </w:rPr>
      </w:pPr>
      <w:r>
        <w:rPr>
          <w:rFonts w:hint="eastAsia" w:ascii="宋体" w:hAnsi="宋体" w:cs="宋体"/>
          <w:sz w:val="22"/>
          <w:szCs w:val="22"/>
        </w:rPr>
        <w:t>（1）供应商须在投标文件中出具符合以下情况的证明材料扫描件（五选一）：</w:t>
      </w:r>
    </w:p>
    <w:p w14:paraId="06787F4D">
      <w:pPr>
        <w:tabs>
          <w:tab w:val="left" w:pos="5355"/>
        </w:tabs>
        <w:spacing w:line="360" w:lineRule="auto"/>
        <w:ind w:firstLine="550" w:firstLineChars="250"/>
        <w:rPr>
          <w:rFonts w:hint="eastAsia" w:ascii="宋体" w:hAnsi="宋体" w:cs="宋体"/>
          <w:sz w:val="22"/>
          <w:szCs w:val="22"/>
        </w:rPr>
      </w:pPr>
      <w:r>
        <w:rPr>
          <w:rFonts w:hint="eastAsia" w:ascii="宋体" w:hAnsi="宋体" w:cs="宋体"/>
          <w:sz w:val="22"/>
          <w:szCs w:val="22"/>
        </w:rPr>
        <w:t>①如投标供应商是企业（包括合伙企业），提供在工商部门注册的有效“企业法人营业执照”或“营业执照”；</w:t>
      </w:r>
    </w:p>
    <w:p w14:paraId="42827939">
      <w:pPr>
        <w:tabs>
          <w:tab w:val="left" w:pos="5355"/>
        </w:tabs>
        <w:spacing w:line="360" w:lineRule="auto"/>
        <w:ind w:firstLine="550" w:firstLineChars="250"/>
        <w:rPr>
          <w:rFonts w:hint="eastAsia" w:ascii="宋体" w:hAnsi="宋体" w:cs="宋体"/>
          <w:sz w:val="22"/>
          <w:szCs w:val="22"/>
        </w:rPr>
      </w:pPr>
      <w:r>
        <w:rPr>
          <w:rFonts w:hint="eastAsia" w:ascii="宋体" w:hAnsi="宋体" w:cs="宋体"/>
          <w:sz w:val="22"/>
          <w:szCs w:val="22"/>
        </w:rPr>
        <w:t>②如投标供应商是事业单位，提供有效的“事业单位法人证书”；</w:t>
      </w:r>
    </w:p>
    <w:p w14:paraId="1BC84082">
      <w:pPr>
        <w:tabs>
          <w:tab w:val="left" w:pos="5355"/>
        </w:tabs>
        <w:spacing w:line="360" w:lineRule="auto"/>
        <w:ind w:firstLine="550" w:firstLineChars="250"/>
        <w:rPr>
          <w:rFonts w:hint="eastAsia" w:ascii="宋体" w:hAnsi="宋体" w:cs="宋体"/>
          <w:sz w:val="22"/>
          <w:szCs w:val="22"/>
        </w:rPr>
      </w:pPr>
      <w:r>
        <w:rPr>
          <w:rFonts w:hint="eastAsia" w:ascii="宋体" w:hAnsi="宋体" w:cs="宋体"/>
          <w:sz w:val="22"/>
          <w:szCs w:val="22"/>
        </w:rPr>
        <w:t>③如投标供应商是非企业专业服务机构的，提供执业许可证等证明文件；</w:t>
      </w:r>
    </w:p>
    <w:p w14:paraId="4E89099A">
      <w:pPr>
        <w:tabs>
          <w:tab w:val="left" w:pos="5355"/>
        </w:tabs>
        <w:spacing w:line="360" w:lineRule="auto"/>
        <w:ind w:firstLine="550" w:firstLineChars="250"/>
        <w:rPr>
          <w:rFonts w:hint="eastAsia" w:ascii="宋体" w:hAnsi="宋体" w:cs="宋体"/>
          <w:sz w:val="22"/>
          <w:szCs w:val="22"/>
        </w:rPr>
      </w:pPr>
      <w:r>
        <w:rPr>
          <w:rFonts w:hint="eastAsia" w:ascii="宋体" w:hAnsi="宋体" w:cs="宋体"/>
          <w:sz w:val="22"/>
          <w:szCs w:val="22"/>
        </w:rPr>
        <w:t>④如投标供应商是个体工商户，提供有效的“个体工商户营业执照”；</w:t>
      </w:r>
    </w:p>
    <w:p w14:paraId="02E268D2">
      <w:pPr>
        <w:tabs>
          <w:tab w:val="left" w:pos="5355"/>
        </w:tabs>
        <w:spacing w:line="360" w:lineRule="auto"/>
        <w:ind w:firstLine="550" w:firstLineChars="250"/>
        <w:rPr>
          <w:rFonts w:hint="eastAsia" w:ascii="宋体" w:hAnsi="宋体" w:cs="宋体"/>
          <w:sz w:val="22"/>
          <w:szCs w:val="22"/>
        </w:rPr>
      </w:pPr>
      <w:r>
        <w:rPr>
          <w:rFonts w:hint="eastAsia" w:ascii="宋体" w:hAnsi="宋体" w:cs="宋体"/>
          <w:sz w:val="22"/>
          <w:szCs w:val="22"/>
        </w:rPr>
        <w:t>⑤如投标供应商是自然人，提供有效的自然人身份证明（居民身份证正反面或公安机关出具的临时居民身份证正反面或港澳台胞证或证照）。</w:t>
      </w:r>
    </w:p>
    <w:p w14:paraId="3954DD17">
      <w:pPr>
        <w:tabs>
          <w:tab w:val="left" w:pos="5355"/>
        </w:tabs>
        <w:spacing w:line="360" w:lineRule="auto"/>
        <w:ind w:firstLine="550" w:firstLineChars="250"/>
        <w:rPr>
          <w:rFonts w:hint="eastAsia" w:ascii="宋体" w:hAnsi="宋体" w:cs="宋体"/>
          <w:sz w:val="22"/>
          <w:szCs w:val="22"/>
        </w:rPr>
      </w:pPr>
      <w:r>
        <w:rPr>
          <w:rFonts w:hint="eastAsia" w:ascii="宋体" w:hAnsi="宋体" w:cs="宋体"/>
          <w:sz w:val="22"/>
          <w:szCs w:val="22"/>
        </w:rPr>
        <w:t>（2）承诺函。附件1</w:t>
      </w:r>
    </w:p>
    <w:p w14:paraId="18C54E37">
      <w:pPr>
        <w:tabs>
          <w:tab w:val="left" w:pos="5355"/>
        </w:tabs>
        <w:spacing w:line="360" w:lineRule="auto"/>
        <w:ind w:firstLine="550" w:firstLineChars="250"/>
        <w:rPr>
          <w:rFonts w:hint="eastAsia" w:ascii="宋体" w:hAnsi="宋体" w:cs="宋体"/>
          <w:sz w:val="22"/>
          <w:szCs w:val="22"/>
        </w:rPr>
      </w:pPr>
      <w:r>
        <w:rPr>
          <w:rFonts w:hint="eastAsia" w:ascii="宋体" w:hAnsi="宋体" w:cs="宋体"/>
          <w:sz w:val="22"/>
          <w:szCs w:val="22"/>
        </w:rPr>
        <w:t>（3）商业信誉：</w:t>
      </w:r>
    </w:p>
    <w:p w14:paraId="5C9BC8EC">
      <w:pPr>
        <w:tabs>
          <w:tab w:val="left" w:pos="5355"/>
        </w:tabs>
        <w:spacing w:line="360" w:lineRule="auto"/>
        <w:ind w:firstLine="550" w:firstLineChars="250"/>
        <w:rPr>
          <w:rFonts w:hint="eastAsia" w:ascii="宋体" w:hAnsi="宋体" w:cs="宋体"/>
          <w:sz w:val="22"/>
          <w:szCs w:val="22"/>
        </w:rPr>
      </w:pPr>
      <w:r>
        <w:rPr>
          <w:rFonts w:hint="eastAsia" w:ascii="宋体" w:hAnsi="宋体" w:cs="宋体"/>
          <w:sz w:val="22"/>
          <w:szCs w:val="22"/>
        </w:rPr>
        <w:t>至本项目投标截止时间止未列入失信被执行人、重大税收违法案件当事人名单、政府采购严重违法失信行为记录名单；提供</w:t>
      </w:r>
      <w:r>
        <w:rPr>
          <w:rFonts w:hint="eastAsia" w:ascii="宋体" w:hAnsi="宋体" w:cs="宋体"/>
          <w:color w:val="000000"/>
          <w:szCs w:val="21"/>
        </w:rPr>
        <w:t>网页截图并加盖公章</w:t>
      </w:r>
      <w:r>
        <w:rPr>
          <w:rFonts w:hint="eastAsia" w:ascii="宋体" w:hAnsi="宋体" w:cs="宋体"/>
          <w:sz w:val="22"/>
          <w:szCs w:val="22"/>
        </w:rPr>
        <w:t>。（代理机构以开标当日在“信用中国”网站（www.creditchina.gov.cn）、中国政府采购网（www.ccgp.gov.cn）网页查询记录为准）。</w:t>
      </w:r>
    </w:p>
    <w:p w14:paraId="7AA7A385">
      <w:pPr>
        <w:tabs>
          <w:tab w:val="left" w:pos="5355"/>
        </w:tabs>
        <w:spacing w:line="360" w:lineRule="auto"/>
        <w:ind w:firstLine="550" w:firstLineChars="250"/>
        <w:rPr>
          <w:rFonts w:hint="eastAsia" w:ascii="宋体" w:hAnsi="宋体" w:cs="宋体"/>
          <w:sz w:val="22"/>
          <w:szCs w:val="22"/>
        </w:rPr>
      </w:pPr>
      <w:r>
        <w:rPr>
          <w:rFonts w:hint="eastAsia" w:ascii="宋体" w:hAnsi="宋体" w:cs="宋体"/>
          <w:sz w:val="22"/>
          <w:szCs w:val="22"/>
        </w:rPr>
        <w:t>对列入失信被执行人、重大税收违法案件当事人名单、政府采购严重违法失信行为记录名单的供应商，其投标将作无效标处理。</w:t>
      </w:r>
    </w:p>
    <w:p w14:paraId="2BEE2F33">
      <w:pPr>
        <w:tabs>
          <w:tab w:val="left" w:pos="5355"/>
        </w:tabs>
        <w:spacing w:line="360" w:lineRule="auto"/>
        <w:ind w:firstLine="550" w:firstLineChars="250"/>
        <w:rPr>
          <w:rFonts w:hint="eastAsia" w:ascii="宋体" w:hAnsi="宋体" w:cs="宋体"/>
          <w:sz w:val="22"/>
          <w:szCs w:val="22"/>
        </w:rPr>
      </w:pPr>
      <w:r>
        <w:rPr>
          <w:rFonts w:hint="eastAsia" w:ascii="宋体" w:hAnsi="宋体" w:cs="宋体"/>
          <w:sz w:val="22"/>
          <w:szCs w:val="22"/>
        </w:rPr>
        <w:t>（4）本项目的特定资格要求：/。</w:t>
      </w:r>
    </w:p>
    <w:p w14:paraId="06C3CB66">
      <w:pPr>
        <w:tabs>
          <w:tab w:val="left" w:pos="6358"/>
        </w:tabs>
        <w:snapToGrid w:val="0"/>
        <w:spacing w:line="380" w:lineRule="exact"/>
        <w:ind w:left="567"/>
        <w:rPr>
          <w:rFonts w:hint="eastAsia" w:ascii="宋体" w:hAnsi="宋体"/>
          <w:b/>
          <w:color w:val="000000"/>
        </w:rPr>
      </w:pPr>
      <w:r>
        <w:rPr>
          <w:rFonts w:hint="eastAsia" w:ascii="宋体" w:hAnsi="宋体"/>
          <w:b/>
          <w:color w:val="000000"/>
        </w:rPr>
        <w:t>14.1.2技术商务文件：</w:t>
      </w:r>
    </w:p>
    <w:p w14:paraId="1FBDAD36">
      <w:pPr>
        <w:widowControl/>
        <w:numPr>
          <w:ilvl w:val="0"/>
          <w:numId w:val="5"/>
        </w:numPr>
        <w:tabs>
          <w:tab w:val="left" w:pos="640"/>
          <w:tab w:val="clear" w:pos="-420"/>
        </w:tabs>
        <w:snapToGrid w:val="0"/>
        <w:spacing w:line="400" w:lineRule="exact"/>
        <w:ind w:left="219" w:leftChars="0" w:hanging="5"/>
        <w:rPr>
          <w:rFonts w:eastAsia="仿宋_GB2312"/>
          <w:color w:val="000000"/>
        </w:rPr>
      </w:pPr>
      <w:r>
        <w:rPr>
          <w:rFonts w:ascii="宋体" w:hAnsi="宋体"/>
          <w:color w:val="000000"/>
        </w:rPr>
        <w:t>法定代表人身份证明；</w:t>
      </w:r>
      <w:r>
        <w:rPr>
          <w:rFonts w:hint="eastAsia" w:ascii="Arial" w:hAnsi="Arial" w:cs="Arial"/>
          <w:color w:val="000000"/>
        </w:rPr>
        <w:t xml:space="preserve">                                               附件2-1</w:t>
      </w:r>
    </w:p>
    <w:p w14:paraId="6363AB5C">
      <w:pPr>
        <w:numPr>
          <w:ilvl w:val="0"/>
          <w:numId w:val="5"/>
        </w:numPr>
        <w:tabs>
          <w:tab w:val="left" w:pos="640"/>
          <w:tab w:val="clear" w:pos="-420"/>
        </w:tabs>
        <w:snapToGrid w:val="0"/>
        <w:spacing w:line="360" w:lineRule="exact"/>
        <w:ind w:left="219" w:leftChars="0" w:hanging="5"/>
        <w:rPr>
          <w:rFonts w:hint="eastAsia" w:ascii="Arial" w:hAnsi="宋体" w:cs="Arial"/>
          <w:color w:val="000000"/>
          <w:szCs w:val="22"/>
        </w:rPr>
      </w:pPr>
      <w:r>
        <w:rPr>
          <w:rFonts w:hint="eastAsia" w:ascii="Arial" w:hAnsi="宋体" w:cs="Arial"/>
          <w:color w:val="000000"/>
          <w:szCs w:val="22"/>
        </w:rPr>
        <w:t xml:space="preserve">法定代表人授权委托书；              </w:t>
      </w:r>
      <w:r>
        <w:rPr>
          <w:rFonts w:hint="eastAsia" w:ascii="Arial" w:hAnsi="Arial" w:cs="Arial"/>
          <w:color w:val="000000"/>
        </w:rPr>
        <w:t xml:space="preserve">                </w:t>
      </w:r>
      <w:r>
        <w:rPr>
          <w:rFonts w:hint="eastAsia" w:ascii="Arial" w:hAnsi="宋体" w:cs="Arial"/>
          <w:color w:val="000000"/>
          <w:szCs w:val="22"/>
        </w:rPr>
        <w:t xml:space="preserve">               </w:t>
      </w:r>
      <w:r>
        <w:rPr>
          <w:rFonts w:hint="eastAsia" w:ascii="Arial" w:hAnsi="Arial" w:cs="Arial"/>
          <w:color w:val="000000"/>
        </w:rPr>
        <w:t>附件2-2</w:t>
      </w:r>
    </w:p>
    <w:p w14:paraId="2985D61B">
      <w:pPr>
        <w:widowControl/>
        <w:numPr>
          <w:ilvl w:val="0"/>
          <w:numId w:val="5"/>
        </w:numPr>
        <w:tabs>
          <w:tab w:val="left" w:pos="640"/>
          <w:tab w:val="clear" w:pos="-420"/>
        </w:tabs>
        <w:snapToGrid w:val="0"/>
        <w:spacing w:line="400" w:lineRule="exact"/>
        <w:ind w:left="219" w:leftChars="0" w:hanging="5"/>
        <w:rPr>
          <w:rFonts w:ascii="Arial" w:hAnsi="Arial" w:cs="Arial"/>
          <w:b/>
          <w:color w:val="000000"/>
          <w:szCs w:val="21"/>
        </w:rPr>
      </w:pPr>
      <w:r>
        <w:rPr>
          <w:rFonts w:ascii="宋体" w:hAnsi="宋体"/>
          <w:color w:val="000000"/>
        </w:rPr>
        <w:t>投标函；</w:t>
      </w:r>
      <w:r>
        <w:rPr>
          <w:rFonts w:hint="eastAsia" w:ascii="Arial" w:hAnsi="Arial" w:cs="Arial"/>
          <w:color w:val="000000"/>
        </w:rPr>
        <w:t xml:space="preserve">                                                           附件3</w:t>
      </w:r>
    </w:p>
    <w:p w14:paraId="45F87861">
      <w:pPr>
        <w:numPr>
          <w:ilvl w:val="0"/>
          <w:numId w:val="5"/>
        </w:numPr>
        <w:tabs>
          <w:tab w:val="left" w:pos="640"/>
          <w:tab w:val="clear" w:pos="-420"/>
        </w:tabs>
        <w:snapToGrid w:val="0"/>
        <w:spacing w:line="360" w:lineRule="exact"/>
        <w:ind w:left="219" w:leftChars="0" w:hanging="5"/>
        <w:rPr>
          <w:rFonts w:hint="eastAsia" w:ascii="Arial" w:hAnsi="宋体" w:cs="Arial"/>
          <w:color w:val="000000"/>
          <w:szCs w:val="22"/>
        </w:rPr>
      </w:pPr>
      <w:r>
        <w:rPr>
          <w:rFonts w:hint="eastAsia" w:ascii="Arial" w:hAnsi="宋体" w:cs="Arial"/>
          <w:color w:val="000000"/>
          <w:szCs w:val="22"/>
        </w:rPr>
        <w:t xml:space="preserve">投标供应商情况说明；                                               </w:t>
      </w:r>
      <w:r>
        <w:rPr>
          <w:rFonts w:hint="eastAsia" w:ascii="Arial" w:hAnsi="Arial" w:cs="Arial"/>
          <w:color w:val="000000"/>
        </w:rPr>
        <w:t>附件4</w:t>
      </w:r>
    </w:p>
    <w:p w14:paraId="57D1B0BF">
      <w:pPr>
        <w:numPr>
          <w:ilvl w:val="0"/>
          <w:numId w:val="5"/>
        </w:numPr>
        <w:tabs>
          <w:tab w:val="left" w:pos="640"/>
          <w:tab w:val="clear" w:pos="-420"/>
        </w:tabs>
        <w:snapToGrid w:val="0"/>
        <w:spacing w:line="360" w:lineRule="exact"/>
        <w:ind w:left="219" w:leftChars="0" w:hanging="5"/>
        <w:rPr>
          <w:rFonts w:hint="eastAsia" w:ascii="Arial" w:hAnsi="宋体" w:cs="Arial"/>
          <w:color w:val="000000"/>
          <w:szCs w:val="22"/>
        </w:rPr>
      </w:pPr>
      <w:r>
        <w:rPr>
          <w:rFonts w:hint="eastAsia" w:ascii="Arial" w:hAnsi="宋体" w:cs="Arial"/>
          <w:color w:val="000000"/>
          <w:szCs w:val="22"/>
        </w:rPr>
        <w:t xml:space="preserve">投标供应商综合实力； </w:t>
      </w:r>
      <w:r>
        <w:rPr>
          <w:rFonts w:ascii="Arial" w:hAnsi="宋体" w:cs="Arial"/>
          <w:color w:val="000000"/>
          <w:szCs w:val="22"/>
        </w:rPr>
        <w:t xml:space="preserve">                                    </w:t>
      </w:r>
      <w:r>
        <w:rPr>
          <w:rFonts w:hint="eastAsia" w:ascii="Arial" w:hAnsi="宋体" w:cs="Arial"/>
          <w:color w:val="000000"/>
          <w:szCs w:val="22"/>
        </w:rPr>
        <w:t xml:space="preserve">          </w:t>
      </w:r>
      <w:r>
        <w:rPr>
          <w:rFonts w:hint="eastAsia" w:ascii="Arial" w:hAnsi="Arial" w:cs="Arial"/>
          <w:color w:val="000000"/>
        </w:rPr>
        <w:t>附件5</w:t>
      </w:r>
    </w:p>
    <w:p w14:paraId="58E370FB">
      <w:pPr>
        <w:numPr>
          <w:ilvl w:val="0"/>
          <w:numId w:val="5"/>
        </w:numPr>
        <w:tabs>
          <w:tab w:val="left" w:pos="640"/>
          <w:tab w:val="clear" w:pos="-420"/>
        </w:tabs>
        <w:snapToGrid w:val="0"/>
        <w:spacing w:line="360" w:lineRule="exact"/>
        <w:ind w:left="219" w:leftChars="0" w:hanging="5"/>
        <w:rPr>
          <w:rFonts w:hint="eastAsia" w:ascii="Arial" w:hAnsi="宋体" w:cs="Arial"/>
          <w:color w:val="000000"/>
          <w:szCs w:val="22"/>
        </w:rPr>
      </w:pPr>
      <w:r>
        <w:rPr>
          <w:rFonts w:hint="eastAsia" w:ascii="宋体" w:hAnsi="宋体" w:cs="宋体"/>
          <w:szCs w:val="21"/>
        </w:rPr>
        <w:t>供应商类似项目业绩情况一览表</w:t>
      </w:r>
      <w:r>
        <w:rPr>
          <w:rFonts w:hint="eastAsia" w:ascii="宋体" w:hAnsi="宋体"/>
          <w:color w:val="000000"/>
          <w:szCs w:val="21"/>
        </w:rPr>
        <w:t xml:space="preserve">；                                    </w:t>
      </w:r>
      <w:r>
        <w:rPr>
          <w:rFonts w:hint="eastAsia" w:ascii="Arial" w:hAnsi="宋体" w:cs="Arial"/>
          <w:color w:val="000000"/>
          <w:szCs w:val="22"/>
        </w:rPr>
        <w:t xml:space="preserve"> </w:t>
      </w:r>
      <w:r>
        <w:rPr>
          <w:rFonts w:hint="eastAsia" w:ascii="Arial" w:hAnsi="Arial" w:cs="Arial"/>
          <w:color w:val="000000"/>
        </w:rPr>
        <w:t>附件6</w:t>
      </w:r>
    </w:p>
    <w:p w14:paraId="69538513">
      <w:pPr>
        <w:numPr>
          <w:ilvl w:val="0"/>
          <w:numId w:val="5"/>
        </w:numPr>
        <w:tabs>
          <w:tab w:val="left" w:pos="640"/>
          <w:tab w:val="clear" w:pos="-420"/>
        </w:tabs>
        <w:snapToGrid w:val="0"/>
        <w:spacing w:line="360" w:lineRule="exact"/>
        <w:ind w:left="219" w:leftChars="0" w:hanging="5"/>
        <w:rPr>
          <w:rFonts w:hint="eastAsia" w:ascii="Arial" w:hAnsi="宋体" w:cs="Arial"/>
          <w:color w:val="000000"/>
          <w:szCs w:val="22"/>
        </w:rPr>
      </w:pPr>
      <w:r>
        <w:rPr>
          <w:rFonts w:ascii="Arial" w:hAnsi="宋体" w:cs="Arial"/>
          <w:color w:val="000000"/>
          <w:szCs w:val="22"/>
        </w:rPr>
        <w:t>技术</w:t>
      </w:r>
      <w:r>
        <w:rPr>
          <w:rFonts w:hint="eastAsia" w:ascii="Arial" w:hAnsi="宋体" w:cs="Arial"/>
          <w:color w:val="000000"/>
          <w:szCs w:val="22"/>
        </w:rPr>
        <w:t>（或商务）</w:t>
      </w:r>
      <w:r>
        <w:rPr>
          <w:rFonts w:ascii="Arial" w:hAnsi="宋体" w:cs="Arial"/>
          <w:color w:val="000000"/>
          <w:szCs w:val="22"/>
        </w:rPr>
        <w:t>偏离表（如不填写将视为对招标文件要求无偏差）</w:t>
      </w:r>
      <w:r>
        <w:rPr>
          <w:rFonts w:hint="eastAsia" w:ascii="Arial" w:hAnsi="宋体" w:cs="Arial"/>
          <w:color w:val="000000"/>
          <w:szCs w:val="22"/>
        </w:rPr>
        <w:t xml:space="preserve">；       </w:t>
      </w:r>
      <w:r>
        <w:rPr>
          <w:rFonts w:hint="eastAsia" w:ascii="Arial" w:hAnsi="Arial" w:cs="Arial"/>
          <w:color w:val="000000"/>
        </w:rPr>
        <w:t>附件7</w:t>
      </w:r>
    </w:p>
    <w:p w14:paraId="3820D071">
      <w:pPr>
        <w:numPr>
          <w:ilvl w:val="0"/>
          <w:numId w:val="5"/>
        </w:numPr>
        <w:tabs>
          <w:tab w:val="left" w:pos="640"/>
          <w:tab w:val="clear" w:pos="-420"/>
        </w:tabs>
        <w:snapToGrid w:val="0"/>
        <w:spacing w:line="360" w:lineRule="exact"/>
        <w:ind w:left="219" w:leftChars="0" w:hanging="5"/>
        <w:rPr>
          <w:color w:val="000000"/>
        </w:rPr>
      </w:pPr>
      <w:r>
        <w:rPr>
          <w:rFonts w:hint="eastAsia" w:ascii="Arial" w:hAnsi="宋体" w:cs="Arial"/>
          <w:color w:val="000000"/>
          <w:szCs w:val="22"/>
        </w:rPr>
        <w:t>人员配置一览表（人员配置情况）</w:t>
      </w:r>
      <w:r>
        <w:rPr>
          <w:rFonts w:ascii="Arial" w:hAnsi="宋体" w:cs="Arial"/>
          <w:color w:val="000000"/>
          <w:szCs w:val="22"/>
        </w:rPr>
        <w:t>；</w:t>
      </w:r>
      <w:r>
        <w:rPr>
          <w:rFonts w:hint="eastAsia" w:ascii="Arial" w:hAnsi="宋体" w:cs="Arial"/>
          <w:color w:val="000000"/>
          <w:szCs w:val="22"/>
        </w:rPr>
        <w:t xml:space="preserve">                                   </w:t>
      </w:r>
      <w:r>
        <w:rPr>
          <w:rFonts w:hint="eastAsia" w:ascii="Arial" w:hAnsi="Arial" w:cs="Arial"/>
          <w:color w:val="000000"/>
        </w:rPr>
        <w:t>附件8</w:t>
      </w:r>
    </w:p>
    <w:p w14:paraId="2545EBAC">
      <w:pPr>
        <w:numPr>
          <w:ilvl w:val="0"/>
          <w:numId w:val="5"/>
        </w:numPr>
        <w:tabs>
          <w:tab w:val="left" w:pos="640"/>
          <w:tab w:val="clear" w:pos="-420"/>
        </w:tabs>
        <w:snapToGrid w:val="0"/>
        <w:spacing w:line="360" w:lineRule="exact"/>
        <w:ind w:left="219" w:leftChars="0" w:hanging="5"/>
        <w:rPr>
          <w:rFonts w:hint="eastAsia" w:ascii="Arial" w:hAnsi="宋体" w:eastAsia="宋体" w:cs="Arial"/>
          <w:color w:val="000000"/>
          <w:szCs w:val="22"/>
        </w:rPr>
      </w:pPr>
      <w:r>
        <w:rPr>
          <w:rFonts w:hint="eastAsia" w:ascii="Arial" w:hAnsi="宋体" w:eastAsia="宋体" w:cs="Arial"/>
          <w:color w:val="000000"/>
          <w:szCs w:val="22"/>
        </w:rPr>
        <w:t>结合采购文件评分细则投标供应商认为需要提供的其他技术资料</w:t>
      </w:r>
    </w:p>
    <w:p w14:paraId="0601F27F">
      <w:pPr>
        <w:tabs>
          <w:tab w:val="left" w:pos="6358"/>
        </w:tabs>
        <w:snapToGrid w:val="0"/>
        <w:spacing w:line="380" w:lineRule="exact"/>
        <w:ind w:left="567"/>
        <w:rPr>
          <w:rFonts w:hint="eastAsia" w:ascii="宋体" w:hAnsi="宋体"/>
          <w:b/>
          <w:color w:val="000000"/>
        </w:rPr>
      </w:pPr>
      <w:r>
        <w:rPr>
          <w:rFonts w:hint="eastAsia" w:ascii="宋体" w:hAnsi="宋体"/>
          <w:b/>
          <w:color w:val="000000"/>
        </w:rPr>
        <w:t>14.1.3报价文件</w:t>
      </w:r>
      <w:r>
        <w:rPr>
          <w:rFonts w:ascii="宋体" w:hAnsi="宋体"/>
          <w:b/>
          <w:color w:val="000000"/>
        </w:rPr>
        <w:t>：</w:t>
      </w:r>
    </w:p>
    <w:p w14:paraId="096A7030">
      <w:pPr>
        <w:widowControl/>
        <w:numPr>
          <w:ilvl w:val="0"/>
          <w:numId w:val="6"/>
        </w:numPr>
        <w:snapToGrid w:val="0"/>
        <w:spacing w:line="400" w:lineRule="exact"/>
        <w:ind w:left="220" w:leftChars="0"/>
        <w:rPr>
          <w:rFonts w:hint="eastAsia" w:ascii="宋体" w:hAnsi="宋体" w:cs="宋体"/>
          <w:b/>
          <w:color w:val="000000"/>
          <w:szCs w:val="21"/>
        </w:rPr>
      </w:pPr>
      <w:r>
        <w:rPr>
          <w:rFonts w:hint="eastAsia" w:ascii="宋体" w:hAnsi="宋体" w:cs="宋体"/>
          <w:color w:val="000000"/>
          <w:szCs w:val="22"/>
        </w:rPr>
        <w:t>开标一览表</w:t>
      </w:r>
      <w:r>
        <w:rPr>
          <w:rFonts w:hint="eastAsia" w:ascii="宋体" w:hAnsi="宋体" w:cs="宋体"/>
          <w:color w:val="000000"/>
        </w:rPr>
        <w:t>；                                                          附件9</w:t>
      </w:r>
    </w:p>
    <w:p w14:paraId="31A6CDB0">
      <w:pPr>
        <w:widowControl/>
        <w:numPr>
          <w:ilvl w:val="0"/>
          <w:numId w:val="6"/>
        </w:numPr>
        <w:snapToGrid w:val="0"/>
        <w:spacing w:line="400" w:lineRule="exact"/>
        <w:ind w:left="220" w:leftChars="0"/>
        <w:rPr>
          <w:rFonts w:hint="eastAsia"/>
        </w:rPr>
      </w:pPr>
      <w:r>
        <w:rPr>
          <w:rFonts w:hint="eastAsia"/>
        </w:rPr>
        <w:t>磋商分项报价表（首次）</w:t>
      </w:r>
      <w:r>
        <w:rPr>
          <w:rFonts w:hint="eastAsia"/>
          <w:lang w:eastAsia="zh-CN"/>
        </w:rPr>
        <w:t>；</w:t>
      </w:r>
    </w:p>
    <w:p w14:paraId="08CD52DE">
      <w:pPr>
        <w:tabs>
          <w:tab w:val="left" w:pos="592"/>
        </w:tabs>
        <w:snapToGrid w:val="0"/>
        <w:spacing w:before="120" w:beforeLines="50" w:line="360" w:lineRule="auto"/>
        <w:jc w:val="left"/>
        <w:rPr>
          <w:color w:val="000000"/>
        </w:rPr>
      </w:pPr>
      <w:r>
        <w:rPr>
          <w:rFonts w:ascii="Arial" w:hAnsi="Arial" w:cs="Arial"/>
          <w:b/>
          <w:color w:val="000000"/>
        </w:rPr>
        <w:t>▲注：</w:t>
      </w:r>
      <w:r>
        <w:rPr>
          <w:rFonts w:ascii="宋体" w:hAnsi="宋体"/>
          <w:b/>
          <w:sz w:val="22"/>
          <w:szCs w:val="22"/>
        </w:rPr>
        <w:t>以上所需的各种证书、证件、证明、执照若系复印件，须在复印件上加盖供应商有效的公章</w:t>
      </w:r>
      <w:r>
        <w:rPr>
          <w:rFonts w:hint="eastAsia" w:ascii="Arial" w:hAnsi="Arial" w:cs="Arial"/>
          <w:b/>
          <w:color w:val="000000"/>
        </w:rPr>
        <w:t xml:space="preserve"> 。</w:t>
      </w:r>
    </w:p>
    <w:p w14:paraId="74815FEC">
      <w:pPr>
        <w:numPr>
          <w:ilvl w:val="0"/>
          <w:numId w:val="4"/>
        </w:numPr>
        <w:tabs>
          <w:tab w:val="clear" w:pos="687"/>
        </w:tabs>
        <w:snapToGrid w:val="0"/>
        <w:spacing w:line="360" w:lineRule="auto"/>
        <w:ind w:left="841" w:hanging="841" w:hangingChars="399"/>
        <w:rPr>
          <w:rFonts w:ascii="Arial" w:hAnsi="Arial" w:cs="Arial"/>
          <w:b/>
          <w:color w:val="000000"/>
        </w:rPr>
      </w:pPr>
      <w:r>
        <w:rPr>
          <w:rFonts w:hint="eastAsia" w:ascii="Arial" w:hAnsi="宋体" w:cs="Arial"/>
          <w:b/>
          <w:color w:val="000000"/>
        </w:rPr>
        <w:t xml:space="preserve">  </w:t>
      </w:r>
      <w:r>
        <w:rPr>
          <w:rFonts w:ascii="Arial" w:hAnsi="宋体" w:cs="Arial"/>
          <w:b/>
          <w:color w:val="000000"/>
        </w:rPr>
        <w:t>投标文件格式填写说明</w:t>
      </w:r>
    </w:p>
    <w:p w14:paraId="44F960B3">
      <w:pPr>
        <w:numPr>
          <w:ilvl w:val="1"/>
          <w:numId w:val="4"/>
        </w:numPr>
        <w:tabs>
          <w:tab w:val="left" w:pos="592"/>
        </w:tabs>
        <w:snapToGrid w:val="0"/>
        <w:spacing w:line="360" w:lineRule="auto"/>
        <w:ind w:left="588" w:hanging="588" w:hangingChars="280"/>
        <w:rPr>
          <w:rFonts w:ascii="Arial" w:hAnsi="Arial" w:cs="Arial"/>
          <w:color w:val="000000"/>
        </w:rPr>
      </w:pPr>
      <w:r>
        <w:rPr>
          <w:rFonts w:hint="eastAsia" w:ascii="Arial" w:hAnsi="Arial" w:cs="Arial"/>
          <w:color w:val="000000"/>
        </w:rPr>
        <w:t>投标供应商应在认真阅读招标文件所有内容的基础上，按照招标文件及“乐采云电子投标客户端”要求编制完整的投标文件。投标文件应按照招标文件中规定的内容及顺序在“乐采云电子交易客户端”编制投标文件并进行逐一关联响应。其中“资格文件”和“技术、商务文件”中不得出现本项目投标报价，如因投标供应商原因提前泄露投标报价，由投标供应商自行负责。</w:t>
      </w:r>
    </w:p>
    <w:p w14:paraId="5FF6C9B9">
      <w:pPr>
        <w:numPr>
          <w:ilvl w:val="1"/>
          <w:numId w:val="4"/>
        </w:numPr>
        <w:tabs>
          <w:tab w:val="left" w:pos="592"/>
        </w:tabs>
        <w:snapToGrid w:val="0"/>
        <w:spacing w:line="360" w:lineRule="auto"/>
        <w:ind w:left="588" w:hanging="588" w:hangingChars="280"/>
        <w:rPr>
          <w:rFonts w:ascii="Arial" w:hAnsi="Arial" w:cs="Arial"/>
          <w:color w:val="000000"/>
        </w:rPr>
      </w:pPr>
      <w:r>
        <w:rPr>
          <w:rFonts w:hint="eastAsia" w:ascii="Arial" w:hAnsi="Arial" w:cs="Arial"/>
          <w:color w:val="000000"/>
        </w:rPr>
        <w:t>本招标文件“第五部分 投标文件格式”中有提供格式的，投标供应商须参照格式进行编制（格式中要求提供相关证明材料的还需后附相关证明材料），并按格式要求在指定位置根据要求进行签章，否则视为未提供；未提供格式的，请各投标供应商自行拟定格式。</w:t>
      </w:r>
    </w:p>
    <w:p w14:paraId="64E97D19">
      <w:pPr>
        <w:numPr>
          <w:ilvl w:val="1"/>
          <w:numId w:val="4"/>
        </w:numPr>
        <w:tabs>
          <w:tab w:val="left" w:pos="592"/>
        </w:tabs>
        <w:snapToGrid w:val="0"/>
        <w:spacing w:line="360" w:lineRule="auto"/>
        <w:ind w:left="588" w:hanging="588" w:hangingChars="280"/>
        <w:rPr>
          <w:rFonts w:ascii="Arial" w:hAnsi="Arial" w:cs="Arial"/>
          <w:color w:val="000000"/>
        </w:rPr>
      </w:pPr>
      <w:r>
        <w:rPr>
          <w:rFonts w:hint="eastAsia" w:ascii="Arial" w:hAnsi="Arial" w:cs="Arial"/>
          <w:color w:val="000000"/>
        </w:rPr>
        <w:t>投标文件内容不完整、编排混乱导致投标文件被误读、漏读或者查找不到相关内容的，由投标供应商自行负责。</w:t>
      </w:r>
    </w:p>
    <w:p w14:paraId="17A10103">
      <w:pPr>
        <w:numPr>
          <w:ilvl w:val="1"/>
          <w:numId w:val="4"/>
        </w:numPr>
        <w:tabs>
          <w:tab w:val="left" w:pos="592"/>
        </w:tabs>
        <w:snapToGrid w:val="0"/>
        <w:spacing w:line="360" w:lineRule="auto"/>
        <w:ind w:left="588" w:hanging="588" w:hangingChars="280"/>
        <w:rPr>
          <w:rFonts w:ascii="Arial" w:hAnsi="Arial" w:cs="Arial"/>
          <w:color w:val="000000"/>
        </w:rPr>
      </w:pPr>
      <w:r>
        <w:rPr>
          <w:rFonts w:hint="eastAsia" w:ascii="Arial" w:hAnsi="Arial" w:cs="Arial"/>
          <w:color w:val="000000"/>
        </w:rPr>
        <w:t>投标供应商必须保证投标文件所提供的全部资料真实可靠，并接受采购人对其中任何资料进一步审查的要求。提供虚假证明的投标供应商将被取消国企采购投标供应商资格，并在国企采购宣传媒体上予以公告。</w:t>
      </w:r>
    </w:p>
    <w:p w14:paraId="7116D590">
      <w:pPr>
        <w:numPr>
          <w:ilvl w:val="1"/>
          <w:numId w:val="4"/>
        </w:numPr>
        <w:tabs>
          <w:tab w:val="left" w:pos="592"/>
        </w:tabs>
        <w:snapToGrid w:val="0"/>
        <w:spacing w:line="360" w:lineRule="auto"/>
        <w:ind w:left="588" w:hanging="588" w:hangingChars="280"/>
        <w:rPr>
          <w:rFonts w:ascii="Arial" w:hAnsi="Arial" w:cs="Arial"/>
          <w:color w:val="000000"/>
        </w:rPr>
      </w:pPr>
      <w:r>
        <w:rPr>
          <w:rFonts w:hint="eastAsia" w:ascii="Arial" w:hAnsi="Arial" w:cs="Arial"/>
          <w:color w:val="000000"/>
        </w:rPr>
        <w:t>投标文件须对招标文件中的内容做出实质性和完整的响应（文中带“▲”标识），否则其投标将被否决。如果投标文件填报的内容资料不详，或没有提供招标文件中所要求的全部资料及数据，将可能会导致评标委员会作出对其不利的判断和分析。</w:t>
      </w:r>
    </w:p>
    <w:p w14:paraId="5918CE55">
      <w:pPr>
        <w:numPr>
          <w:ilvl w:val="0"/>
          <w:numId w:val="4"/>
        </w:numPr>
        <w:snapToGrid w:val="0"/>
        <w:spacing w:line="360" w:lineRule="auto"/>
        <w:ind w:left="841" w:hanging="841" w:hangingChars="399"/>
        <w:rPr>
          <w:rFonts w:ascii="Arial" w:hAnsi="Arial" w:cs="Arial"/>
          <w:b/>
          <w:color w:val="000000"/>
        </w:rPr>
      </w:pPr>
      <w:r>
        <w:rPr>
          <w:rFonts w:ascii="Arial" w:hAnsi="宋体" w:cs="Arial"/>
          <w:b/>
          <w:color w:val="000000"/>
        </w:rPr>
        <w:t>投标报价</w:t>
      </w:r>
    </w:p>
    <w:p w14:paraId="2DAA8A89">
      <w:pPr>
        <w:numPr>
          <w:ilvl w:val="1"/>
          <w:numId w:val="4"/>
        </w:numPr>
        <w:tabs>
          <w:tab w:val="left" w:pos="610"/>
        </w:tabs>
        <w:snapToGrid w:val="0"/>
        <w:spacing w:line="360" w:lineRule="auto"/>
        <w:ind w:left="588" w:hanging="588" w:hangingChars="280"/>
        <w:rPr>
          <w:rFonts w:hint="eastAsia" w:ascii="宋体" w:hAnsi="宋体"/>
          <w:color w:val="000000"/>
        </w:rPr>
      </w:pPr>
      <w:r>
        <w:rPr>
          <w:rFonts w:hint="eastAsia" w:ascii="宋体" w:hAnsi="宋体"/>
          <w:color w:val="000000"/>
        </w:rPr>
        <w:t>投标供应商提供的服务价格应该用人民币投标。投标报价为投标供应商在投标文件中提出的各项支付金额的总和。投标报价应包括购买服务所需缴纳的所有税费和一切费用，费用包括送达使用单位指定地点的一切费用。</w:t>
      </w:r>
    </w:p>
    <w:p w14:paraId="1D6ACD35">
      <w:pPr>
        <w:numPr>
          <w:ilvl w:val="1"/>
          <w:numId w:val="4"/>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投标供应商的投标在合同执行期间是固定不变的，不得以任何理由予以变更。投标不是固定的投标文件将予以</w:t>
      </w:r>
      <w:r>
        <w:rPr>
          <w:rFonts w:hint="eastAsia" w:ascii="Arial" w:hAnsi="宋体" w:cs="Arial"/>
          <w:color w:val="000000"/>
        </w:rPr>
        <w:t>否决</w:t>
      </w:r>
      <w:r>
        <w:rPr>
          <w:rFonts w:ascii="Arial" w:hAnsi="宋体" w:cs="Arial"/>
          <w:color w:val="000000"/>
        </w:rPr>
        <w:t>。</w:t>
      </w:r>
    </w:p>
    <w:p w14:paraId="09B9FDF4">
      <w:pPr>
        <w:numPr>
          <w:ilvl w:val="1"/>
          <w:numId w:val="4"/>
        </w:numPr>
        <w:tabs>
          <w:tab w:val="left" w:pos="610"/>
        </w:tabs>
        <w:snapToGrid w:val="0"/>
        <w:spacing w:line="360" w:lineRule="auto"/>
        <w:ind w:left="616" w:hanging="616" w:hangingChars="280"/>
        <w:rPr>
          <w:rFonts w:hint="eastAsia" w:ascii="宋体" w:hAnsi="宋体"/>
          <w:color w:val="000000"/>
        </w:rPr>
      </w:pPr>
      <w:r>
        <w:rPr>
          <w:rFonts w:hint="eastAsia" w:ascii="宋体"/>
          <w:sz w:val="22"/>
          <w:szCs w:val="22"/>
        </w:rPr>
        <w:t>本项目采用竞争性磋商采购方式进行采购，在磋商过程中，磋商小组可以根据磋商文件和磋商情况实质性变动采购需求中的技术、服务要求以及合同草案条款，但不得变动磋商文件中的其他内容。已提交磋商响应文件的供应商，在提交最后报价之前，可以根据磋商情况退出磋商。</w:t>
      </w:r>
      <w:r>
        <w:rPr>
          <w:rFonts w:hint="eastAsia" w:ascii="宋体" w:hAnsi="宋体"/>
          <w:color w:val="000000"/>
        </w:rPr>
        <w:t>如竞争性磋商文件所列采购内容明确不需要修改的或供应商磋商响应文件清楚明确不需要澄清的，可以不进行磋商，直接要求供应商进行最终报价。</w:t>
      </w:r>
    </w:p>
    <w:p w14:paraId="3277F09A">
      <w:pPr>
        <w:numPr>
          <w:ilvl w:val="1"/>
          <w:numId w:val="4"/>
        </w:numPr>
        <w:tabs>
          <w:tab w:val="left" w:pos="610"/>
        </w:tabs>
        <w:snapToGrid w:val="0"/>
        <w:spacing w:line="360" w:lineRule="auto"/>
        <w:ind w:left="588" w:hanging="588" w:hangingChars="280"/>
        <w:rPr>
          <w:rFonts w:hint="eastAsia" w:ascii="宋体" w:hAnsi="宋体"/>
          <w:color w:val="000000"/>
        </w:rPr>
      </w:pPr>
      <w:r>
        <w:rPr>
          <w:rFonts w:hint="eastAsia" w:ascii="宋体" w:hAnsi="宋体"/>
          <w:color w:val="000000"/>
        </w:rPr>
        <w:t>最低报价不能作为中标的保证。</w:t>
      </w:r>
    </w:p>
    <w:p w14:paraId="3D8479A2">
      <w:pPr>
        <w:numPr>
          <w:ilvl w:val="1"/>
          <w:numId w:val="4"/>
        </w:numPr>
        <w:tabs>
          <w:tab w:val="left" w:pos="610"/>
        </w:tabs>
        <w:snapToGrid w:val="0"/>
        <w:spacing w:line="360" w:lineRule="auto"/>
        <w:ind w:left="588" w:hanging="588" w:hangingChars="280"/>
        <w:rPr>
          <w:rFonts w:hint="eastAsia" w:ascii="宋体" w:hAnsi="宋体"/>
          <w:color w:val="000000"/>
        </w:rPr>
      </w:pPr>
      <w:r>
        <w:rPr>
          <w:rFonts w:hint="eastAsia" w:ascii="Arial" w:hAnsi="宋体" w:cs="Arial"/>
          <w:color w:val="000000"/>
        </w:rPr>
        <w:t>对于投标报价的具体要求详见本招标文件“第三部分”相应内容</w:t>
      </w:r>
      <w:r>
        <w:rPr>
          <w:rFonts w:hint="eastAsia" w:ascii="宋体" w:hAnsi="宋体"/>
          <w:color w:val="000000"/>
          <w:szCs w:val="21"/>
        </w:rPr>
        <w:t>。</w:t>
      </w:r>
    </w:p>
    <w:p w14:paraId="1F01450B">
      <w:pPr>
        <w:numPr>
          <w:ilvl w:val="0"/>
          <w:numId w:val="4"/>
        </w:numPr>
        <w:snapToGrid w:val="0"/>
        <w:spacing w:line="360" w:lineRule="auto"/>
        <w:ind w:left="841" w:hanging="841" w:hangingChars="399"/>
        <w:rPr>
          <w:rFonts w:ascii="Arial" w:hAnsi="Arial" w:cs="Arial"/>
          <w:b/>
          <w:color w:val="000000"/>
        </w:rPr>
      </w:pPr>
      <w:r>
        <w:rPr>
          <w:rFonts w:ascii="Arial" w:hAnsi="宋体" w:cs="Arial"/>
          <w:b/>
          <w:color w:val="000000"/>
        </w:rPr>
        <w:t>投标有效期</w:t>
      </w:r>
    </w:p>
    <w:p w14:paraId="484074A2">
      <w:pPr>
        <w:numPr>
          <w:ilvl w:val="1"/>
          <w:numId w:val="4"/>
        </w:numPr>
        <w:tabs>
          <w:tab w:val="left" w:pos="592"/>
        </w:tabs>
        <w:snapToGrid w:val="0"/>
        <w:spacing w:line="360" w:lineRule="auto"/>
        <w:ind w:left="588" w:hanging="588" w:hangingChars="280"/>
        <w:rPr>
          <w:rFonts w:ascii="Arial" w:hAnsi="Arial" w:cs="Arial"/>
          <w:color w:val="C00000"/>
        </w:rPr>
      </w:pPr>
      <w:r>
        <w:rPr>
          <w:rFonts w:ascii="Arial" w:hAnsi="Arial" w:cs="Arial"/>
          <w:color w:val="C00000"/>
        </w:rPr>
        <w:t>▲</w:t>
      </w:r>
      <w:r>
        <w:rPr>
          <w:rFonts w:ascii="Arial" w:hAnsi="宋体" w:cs="Arial"/>
          <w:color w:val="C00000"/>
          <w:u w:val="wave"/>
        </w:rPr>
        <w:t>投标文件应在</w:t>
      </w:r>
      <w:r>
        <w:rPr>
          <w:rFonts w:ascii="Arial" w:hAnsi="宋体" w:cs="Arial"/>
          <w:color w:val="C00000"/>
          <w:szCs w:val="21"/>
          <w:u w:val="wave"/>
        </w:rPr>
        <w:t>投标截止日</w:t>
      </w:r>
      <w:r>
        <w:rPr>
          <w:rFonts w:hint="eastAsia" w:ascii="Arial" w:hAnsi="宋体" w:cs="Arial"/>
          <w:color w:val="C00000"/>
          <w:szCs w:val="21"/>
          <w:u w:val="wave"/>
        </w:rPr>
        <w:t>起</w:t>
      </w:r>
      <w:r>
        <w:rPr>
          <w:rFonts w:ascii="Arial" w:hAnsi="Arial" w:cs="Arial"/>
          <w:color w:val="C00000"/>
          <w:szCs w:val="21"/>
          <w:u w:val="wave"/>
        </w:rPr>
        <w:t>90</w:t>
      </w:r>
      <w:r>
        <w:rPr>
          <w:rFonts w:hint="eastAsia" w:ascii="Arial" w:hAnsi="宋体" w:cs="Arial"/>
          <w:color w:val="C00000"/>
          <w:szCs w:val="21"/>
          <w:u w:val="wave"/>
        </w:rPr>
        <w:t>日历天内</w:t>
      </w:r>
      <w:r>
        <w:rPr>
          <w:rFonts w:ascii="Arial" w:hAnsi="宋体" w:cs="Arial"/>
          <w:color w:val="C00000"/>
          <w:szCs w:val="21"/>
          <w:u w:val="wave"/>
        </w:rPr>
        <w:t>保持有效</w:t>
      </w:r>
      <w:r>
        <w:rPr>
          <w:rFonts w:ascii="Arial" w:hAnsi="宋体" w:cs="Arial"/>
          <w:color w:val="C00000"/>
        </w:rPr>
        <w:t>。投标有效期比规定期限短的将被视为</w:t>
      </w:r>
      <w:r>
        <w:rPr>
          <w:rFonts w:hint="eastAsia" w:ascii="Arial" w:hAnsi="宋体" w:cs="Arial"/>
          <w:color w:val="C00000"/>
        </w:rPr>
        <w:t>未</w:t>
      </w:r>
      <w:r>
        <w:rPr>
          <w:rFonts w:ascii="Arial" w:hAnsi="宋体" w:cs="Arial"/>
          <w:color w:val="C00000"/>
        </w:rPr>
        <w:t>响应投标而</w:t>
      </w:r>
      <w:r>
        <w:rPr>
          <w:rFonts w:hint="eastAsia" w:ascii="Arial" w:hAnsi="宋体" w:cs="Arial"/>
          <w:color w:val="C00000"/>
        </w:rPr>
        <w:t>作</w:t>
      </w:r>
      <w:r>
        <w:rPr>
          <w:rFonts w:ascii="Arial" w:hAnsi="宋体" w:cs="Arial"/>
          <w:color w:val="C00000"/>
        </w:rPr>
        <w:t>无效</w:t>
      </w:r>
      <w:r>
        <w:rPr>
          <w:rFonts w:hint="eastAsia" w:ascii="Arial" w:hAnsi="宋体" w:cs="Arial"/>
          <w:color w:val="C00000"/>
        </w:rPr>
        <w:t>投</w:t>
      </w:r>
      <w:r>
        <w:rPr>
          <w:rFonts w:ascii="Arial" w:hAnsi="宋体" w:cs="Arial"/>
          <w:color w:val="C00000"/>
        </w:rPr>
        <w:t>标</w:t>
      </w:r>
      <w:r>
        <w:rPr>
          <w:rFonts w:hint="eastAsia" w:ascii="Arial" w:hAnsi="宋体" w:cs="Arial"/>
          <w:color w:val="C00000"/>
        </w:rPr>
        <w:t>处理</w:t>
      </w:r>
      <w:r>
        <w:rPr>
          <w:rFonts w:ascii="Arial" w:hAnsi="宋体" w:cs="Arial"/>
          <w:color w:val="C00000"/>
        </w:rPr>
        <w:t>。</w:t>
      </w:r>
    </w:p>
    <w:p w14:paraId="565C1F4D">
      <w:pPr>
        <w:numPr>
          <w:ilvl w:val="1"/>
          <w:numId w:val="4"/>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特殊情况下，</w:t>
      </w:r>
      <w:r>
        <w:rPr>
          <w:rFonts w:hint="eastAsia" w:ascii="Arial" w:hAnsi="宋体" w:cs="Arial"/>
          <w:color w:val="000000"/>
        </w:rPr>
        <w:t>采购人</w:t>
      </w:r>
      <w:r>
        <w:rPr>
          <w:rFonts w:ascii="Arial" w:hAnsi="宋体" w:cs="Arial"/>
          <w:color w:val="000000"/>
        </w:rPr>
        <w:t>可于投标有效期满之前要求投标供应商同意延长有效期，要求与答复均应为书面形式。</w:t>
      </w:r>
      <w:r>
        <w:rPr>
          <w:rFonts w:hint="eastAsia" w:ascii="Arial" w:hAnsi="宋体" w:cs="Arial"/>
          <w:color w:val="000000"/>
        </w:rPr>
        <w:t>对于同意该要求的投标供应商，既不要求也不允许其修改投标文件。</w:t>
      </w:r>
    </w:p>
    <w:p w14:paraId="36C9A238">
      <w:pPr>
        <w:numPr>
          <w:ilvl w:val="0"/>
          <w:numId w:val="4"/>
        </w:numPr>
        <w:snapToGrid w:val="0"/>
        <w:spacing w:line="360" w:lineRule="auto"/>
        <w:ind w:left="841" w:hanging="841" w:hangingChars="399"/>
        <w:rPr>
          <w:rFonts w:ascii="Arial" w:hAnsi="Arial" w:cs="Arial"/>
          <w:b/>
          <w:color w:val="000000"/>
        </w:rPr>
      </w:pPr>
      <w:r>
        <w:rPr>
          <w:rFonts w:ascii="Arial" w:hAnsi="宋体" w:cs="Arial"/>
          <w:b/>
          <w:color w:val="000000"/>
        </w:rPr>
        <w:t>投标文件的式样和签署</w:t>
      </w:r>
    </w:p>
    <w:p w14:paraId="66322EF2">
      <w:pPr>
        <w:numPr>
          <w:ilvl w:val="1"/>
          <w:numId w:val="4"/>
        </w:numPr>
        <w:tabs>
          <w:tab w:val="left" w:pos="592"/>
        </w:tabs>
        <w:snapToGrid w:val="0"/>
        <w:spacing w:line="360" w:lineRule="auto"/>
        <w:ind w:left="588" w:hanging="588" w:hangingChars="280"/>
        <w:rPr>
          <w:rFonts w:ascii="Arial" w:hAnsi="Arial" w:cs="Arial"/>
          <w:color w:val="000000"/>
        </w:rPr>
      </w:pPr>
      <w:r>
        <w:rPr>
          <w:rFonts w:hint="eastAsia" w:ascii="Arial" w:hAnsi="Arial" w:cs="Arial"/>
          <w:color w:val="000000"/>
        </w:rPr>
        <w:t>“电子加密投标文件”通过“乐采云电子投标客户端”完成投标文件编制后生成并加密在线上传递交。</w:t>
      </w:r>
    </w:p>
    <w:p w14:paraId="7FBBD0FB">
      <w:pPr>
        <w:numPr>
          <w:ilvl w:val="1"/>
          <w:numId w:val="4"/>
        </w:numPr>
        <w:tabs>
          <w:tab w:val="left" w:pos="592"/>
        </w:tabs>
        <w:snapToGrid w:val="0"/>
        <w:spacing w:line="360" w:lineRule="auto"/>
        <w:ind w:left="588" w:hanging="588" w:hangingChars="280"/>
        <w:rPr>
          <w:rFonts w:ascii="Arial" w:hAnsi="Arial" w:cs="Arial"/>
          <w:color w:val="000000"/>
        </w:rPr>
      </w:pPr>
      <w:r>
        <w:rPr>
          <w:rFonts w:hint="eastAsia" w:ascii="Arial" w:hAnsi="Arial" w:cs="Arial"/>
          <w:color w:val="000000"/>
        </w:rPr>
        <w:t>电子投标文件中所须加盖公章的地方可采用CA电子签章或供应商公章，所涉及法定代表人(或其授权代表)的签字（或盖章）的地方均由法定代表人(或其授权代表)本人签字（或盖章）。</w:t>
      </w:r>
    </w:p>
    <w:p w14:paraId="7F990358">
      <w:pPr>
        <w:numPr>
          <w:ilvl w:val="0"/>
          <w:numId w:val="4"/>
        </w:numPr>
        <w:snapToGrid w:val="0"/>
        <w:spacing w:line="360" w:lineRule="auto"/>
        <w:ind w:left="841" w:hanging="841" w:hangingChars="399"/>
        <w:rPr>
          <w:rFonts w:ascii="Arial" w:hAnsi="Arial" w:cs="Arial"/>
          <w:b/>
          <w:bCs/>
          <w:color w:val="000000"/>
        </w:rPr>
      </w:pPr>
      <w:r>
        <w:rPr>
          <w:rFonts w:hint="eastAsia" w:ascii="Arial" w:hAnsi="宋体" w:cs="Arial"/>
          <w:b/>
          <w:bCs/>
          <w:color w:val="000000"/>
        </w:rPr>
        <w:t>投标保证金</w:t>
      </w:r>
    </w:p>
    <w:p w14:paraId="102EDAB5">
      <w:pPr>
        <w:numPr>
          <w:ilvl w:val="1"/>
          <w:numId w:val="4"/>
        </w:numPr>
        <w:tabs>
          <w:tab w:val="left" w:pos="592"/>
        </w:tabs>
        <w:snapToGrid w:val="0"/>
        <w:spacing w:line="360" w:lineRule="auto"/>
        <w:ind w:left="588" w:hanging="588" w:hangingChars="280"/>
        <w:rPr>
          <w:rFonts w:ascii="Arial" w:hAnsi="Arial" w:cs="Arial"/>
          <w:color w:val="000000"/>
        </w:rPr>
      </w:pPr>
      <w:r>
        <w:rPr>
          <w:rFonts w:hint="eastAsia" w:ascii="Arial" w:hAnsi="Arial" w:cs="Arial"/>
          <w:color w:val="000000"/>
        </w:rPr>
        <w:t>本项目无需投标保证金</w:t>
      </w:r>
    </w:p>
    <w:p w14:paraId="489D348D">
      <w:pPr>
        <w:numPr>
          <w:ilvl w:val="0"/>
          <w:numId w:val="4"/>
        </w:numPr>
        <w:snapToGrid w:val="0"/>
        <w:spacing w:line="360" w:lineRule="auto"/>
        <w:ind w:left="841" w:hanging="841" w:hangingChars="399"/>
        <w:rPr>
          <w:rFonts w:ascii="Arial" w:hAnsi="Arial" w:cs="Arial"/>
          <w:b/>
          <w:bCs/>
          <w:color w:val="000000"/>
        </w:rPr>
      </w:pPr>
      <w:r>
        <w:rPr>
          <w:rFonts w:ascii="Arial" w:hAnsi="宋体" w:cs="Arial"/>
          <w:b/>
          <w:color w:val="000000"/>
          <w:szCs w:val="21"/>
        </w:rPr>
        <w:t>有下列情形之一的，属于串通投标行为：</w:t>
      </w:r>
    </w:p>
    <w:p w14:paraId="46642E7F">
      <w:pPr>
        <w:numPr>
          <w:ilvl w:val="0"/>
          <w:numId w:val="7"/>
        </w:numPr>
        <w:tabs>
          <w:tab w:val="left" w:pos="592"/>
          <w:tab w:val="left" w:pos="777"/>
        </w:tabs>
        <w:snapToGrid w:val="0"/>
        <w:spacing w:line="360" w:lineRule="auto"/>
        <w:ind w:left="1050" w:leftChars="200" w:hanging="630" w:hangingChars="300"/>
        <w:rPr>
          <w:rFonts w:hint="eastAsia" w:ascii="Arial" w:hAnsi="宋体" w:cs="Arial"/>
          <w:bCs/>
          <w:color w:val="000000"/>
          <w:szCs w:val="21"/>
        </w:rPr>
      </w:pPr>
      <w:r>
        <w:rPr>
          <w:rFonts w:hint="eastAsia" w:ascii="Arial" w:hAnsi="宋体" w:cs="Arial"/>
          <w:bCs/>
          <w:color w:val="000000"/>
          <w:szCs w:val="21"/>
        </w:rPr>
        <w:t>采购人（或采购代理机构）在规定的提交投标文件截止时间后，协助投标供应商撤换投标文件、更改报价的；</w:t>
      </w:r>
    </w:p>
    <w:p w14:paraId="383F94F4">
      <w:pPr>
        <w:tabs>
          <w:tab w:val="left" w:pos="592"/>
          <w:tab w:val="left" w:pos="777"/>
        </w:tabs>
        <w:snapToGrid w:val="0"/>
        <w:spacing w:line="360" w:lineRule="auto"/>
        <w:ind w:left="1050" w:leftChars="200" w:hanging="630" w:hangingChars="300"/>
        <w:rPr>
          <w:rFonts w:hint="eastAsia" w:ascii="Arial" w:hAnsi="宋体" w:cs="Arial"/>
          <w:bCs/>
          <w:color w:val="000000"/>
          <w:szCs w:val="21"/>
        </w:rPr>
      </w:pPr>
      <w:r>
        <w:rPr>
          <w:rFonts w:hint="eastAsia" w:ascii="Arial" w:hAnsi="宋体" w:cs="Arial"/>
          <w:bCs/>
          <w:color w:val="000000"/>
          <w:szCs w:val="21"/>
        </w:rPr>
        <w:t>（2） 采购人（或采购代理机构）向利害关系人泄露投标供应商名称、数量或联系方式等应当保密事项的；</w:t>
      </w:r>
    </w:p>
    <w:p w14:paraId="7CDDC1FC">
      <w:pPr>
        <w:tabs>
          <w:tab w:val="left" w:pos="592"/>
          <w:tab w:val="left" w:pos="777"/>
        </w:tabs>
        <w:snapToGrid w:val="0"/>
        <w:spacing w:line="360" w:lineRule="auto"/>
        <w:ind w:firstLine="420" w:firstLineChars="200"/>
        <w:rPr>
          <w:rFonts w:hint="eastAsia" w:ascii="Arial" w:hAnsi="宋体" w:cs="Arial"/>
          <w:bCs/>
          <w:color w:val="000000"/>
          <w:szCs w:val="21"/>
        </w:rPr>
      </w:pPr>
      <w:r>
        <w:rPr>
          <w:rFonts w:hint="eastAsia" w:ascii="Arial" w:hAnsi="宋体" w:cs="Arial"/>
          <w:bCs/>
          <w:color w:val="000000"/>
          <w:szCs w:val="21"/>
        </w:rPr>
        <w:t>（3） 投标供应商之间相互约定中标者或约定给予未中标的投标供应商费用补偿的；</w:t>
      </w:r>
    </w:p>
    <w:p w14:paraId="2A1FAD3D">
      <w:pPr>
        <w:tabs>
          <w:tab w:val="left" w:pos="592"/>
          <w:tab w:val="left" w:pos="777"/>
        </w:tabs>
        <w:snapToGrid w:val="0"/>
        <w:spacing w:line="360" w:lineRule="auto"/>
        <w:ind w:firstLine="420" w:firstLineChars="200"/>
        <w:rPr>
          <w:rFonts w:hint="eastAsia" w:ascii="Arial" w:hAnsi="宋体" w:cs="Arial"/>
          <w:bCs/>
          <w:color w:val="000000"/>
          <w:szCs w:val="21"/>
        </w:rPr>
      </w:pPr>
      <w:r>
        <w:rPr>
          <w:rFonts w:hint="eastAsia" w:ascii="Arial" w:hAnsi="宋体" w:cs="Arial"/>
          <w:bCs/>
          <w:color w:val="000000"/>
          <w:szCs w:val="21"/>
        </w:rPr>
        <w:t>（4） 投标供应商之间为谋取中标或者排斥特定投标供应商而联合采取行动的；</w:t>
      </w:r>
    </w:p>
    <w:p w14:paraId="3DDC5CCA">
      <w:pPr>
        <w:tabs>
          <w:tab w:val="left" w:pos="592"/>
          <w:tab w:val="left" w:pos="777"/>
        </w:tabs>
        <w:snapToGrid w:val="0"/>
        <w:spacing w:line="360" w:lineRule="auto"/>
        <w:ind w:firstLine="420" w:firstLineChars="200"/>
        <w:rPr>
          <w:rFonts w:hint="eastAsia" w:ascii="Arial" w:hAnsi="宋体" w:cs="Arial"/>
          <w:bCs/>
          <w:color w:val="000000"/>
          <w:szCs w:val="21"/>
        </w:rPr>
      </w:pPr>
      <w:r>
        <w:rPr>
          <w:rFonts w:hint="eastAsia" w:ascii="Arial" w:hAnsi="宋体" w:cs="Arial"/>
          <w:bCs/>
          <w:color w:val="000000"/>
          <w:szCs w:val="21"/>
        </w:rPr>
        <w:t>（5） 投标供应商之间相互约定抬高或者压低投标报价；</w:t>
      </w:r>
    </w:p>
    <w:p w14:paraId="26B8BD9D">
      <w:pPr>
        <w:tabs>
          <w:tab w:val="left" w:pos="592"/>
          <w:tab w:val="left" w:pos="777"/>
        </w:tabs>
        <w:snapToGrid w:val="0"/>
        <w:spacing w:line="360" w:lineRule="auto"/>
        <w:ind w:left="1050" w:leftChars="200" w:hanging="630" w:hangingChars="300"/>
        <w:rPr>
          <w:rFonts w:hint="eastAsia" w:ascii="Arial" w:hAnsi="宋体" w:cs="Arial"/>
          <w:bCs/>
          <w:color w:val="000000"/>
          <w:szCs w:val="21"/>
        </w:rPr>
      </w:pPr>
      <w:r>
        <w:rPr>
          <w:rFonts w:hint="eastAsia" w:ascii="Arial" w:hAnsi="宋体" w:cs="Arial"/>
          <w:bCs/>
          <w:color w:val="000000"/>
          <w:szCs w:val="21"/>
        </w:rPr>
        <w:t>（6） 不同投标供应商的投标报价相近和各分项报价、综合单价分析表内容存在异常一致或呈规律性变化，且不能合理解释的；</w:t>
      </w:r>
    </w:p>
    <w:p w14:paraId="03E3ECB7">
      <w:pPr>
        <w:tabs>
          <w:tab w:val="left" w:pos="592"/>
          <w:tab w:val="left" w:pos="777"/>
        </w:tabs>
        <w:snapToGrid w:val="0"/>
        <w:spacing w:line="360" w:lineRule="auto"/>
        <w:ind w:firstLine="420" w:firstLineChars="200"/>
        <w:rPr>
          <w:rFonts w:hint="eastAsia" w:ascii="Arial" w:hAnsi="宋体" w:cs="Arial"/>
          <w:bCs/>
          <w:color w:val="000000"/>
          <w:szCs w:val="21"/>
        </w:rPr>
      </w:pPr>
      <w:r>
        <w:rPr>
          <w:rFonts w:hint="eastAsia" w:ascii="Arial" w:hAnsi="宋体" w:cs="Arial"/>
          <w:bCs/>
          <w:color w:val="000000"/>
          <w:szCs w:val="21"/>
        </w:rPr>
        <w:t>（7） 不同投标供应商的投标文件载明的关键岗位管理人员出现同一人的；</w:t>
      </w:r>
    </w:p>
    <w:p w14:paraId="14D57D91">
      <w:pPr>
        <w:tabs>
          <w:tab w:val="left" w:pos="592"/>
          <w:tab w:val="left" w:pos="777"/>
        </w:tabs>
        <w:snapToGrid w:val="0"/>
        <w:spacing w:line="360" w:lineRule="auto"/>
        <w:ind w:firstLine="420" w:firstLineChars="200"/>
        <w:rPr>
          <w:rFonts w:hint="eastAsia" w:ascii="Arial" w:hAnsi="宋体" w:cs="Arial"/>
          <w:bCs/>
          <w:color w:val="000000"/>
          <w:szCs w:val="21"/>
        </w:rPr>
      </w:pPr>
      <w:r>
        <w:rPr>
          <w:rFonts w:hint="eastAsia" w:ascii="Arial" w:hAnsi="宋体" w:cs="Arial"/>
          <w:bCs/>
          <w:color w:val="000000"/>
          <w:szCs w:val="21"/>
        </w:rPr>
        <w:t>（8） 不同投标供应商的投标文件相互混装的；</w:t>
      </w:r>
    </w:p>
    <w:p w14:paraId="5521F8F0">
      <w:pPr>
        <w:tabs>
          <w:tab w:val="left" w:pos="592"/>
          <w:tab w:val="left" w:pos="777"/>
        </w:tabs>
        <w:snapToGrid w:val="0"/>
        <w:spacing w:line="360" w:lineRule="auto"/>
        <w:ind w:left="1050" w:leftChars="200" w:hanging="630" w:hangingChars="300"/>
        <w:rPr>
          <w:rFonts w:hint="eastAsia" w:ascii="Arial" w:hAnsi="宋体" w:cs="Arial"/>
          <w:bCs/>
          <w:color w:val="000000"/>
          <w:szCs w:val="21"/>
        </w:rPr>
      </w:pPr>
      <w:r>
        <w:rPr>
          <w:rFonts w:hint="eastAsia" w:ascii="Arial" w:hAnsi="宋体" w:cs="Arial"/>
          <w:bCs/>
          <w:color w:val="000000"/>
          <w:szCs w:val="21"/>
        </w:rPr>
        <w:t xml:space="preserve">（9） </w:t>
      </w:r>
      <w:r>
        <w:rPr>
          <w:rFonts w:hint="eastAsia" w:ascii="Arial" w:hAnsi="宋体" w:cs="Arial"/>
          <w:bCs/>
          <w:color w:val="000000"/>
          <w:spacing w:val="-6"/>
          <w:szCs w:val="21"/>
        </w:rPr>
        <w:t>不同投标供应商的法定代表人、授权代表、关键岗位管理人员在同一个单位缴纳社会保险的</w:t>
      </w:r>
      <w:r>
        <w:rPr>
          <w:rFonts w:hint="eastAsia" w:ascii="Arial" w:hAnsi="宋体" w:cs="Arial"/>
          <w:bCs/>
          <w:color w:val="000000"/>
          <w:szCs w:val="21"/>
        </w:rPr>
        <w:t>；</w:t>
      </w:r>
    </w:p>
    <w:p w14:paraId="73E7F1BD">
      <w:pPr>
        <w:tabs>
          <w:tab w:val="left" w:pos="592"/>
          <w:tab w:val="left" w:pos="777"/>
        </w:tabs>
        <w:snapToGrid w:val="0"/>
        <w:spacing w:line="360" w:lineRule="auto"/>
        <w:ind w:left="1050" w:leftChars="200" w:hanging="630" w:hangingChars="300"/>
        <w:rPr>
          <w:rFonts w:hint="eastAsia" w:ascii="Arial" w:hAnsi="宋体" w:cs="Arial"/>
          <w:bCs/>
          <w:color w:val="000000"/>
          <w:szCs w:val="21"/>
        </w:rPr>
      </w:pPr>
      <w:r>
        <w:rPr>
          <w:rFonts w:hint="eastAsia" w:ascii="Arial" w:hAnsi="宋体" w:cs="Arial"/>
          <w:bCs/>
          <w:color w:val="000000"/>
          <w:szCs w:val="21"/>
        </w:rPr>
        <w:t>（10）不同投标供应商委托同一人或者同一单位办理投标事宜、编制投标文件或提供投标咨询服务的（或担任不同单位的中心交易员）；</w:t>
      </w:r>
    </w:p>
    <w:p w14:paraId="2E7FEF49">
      <w:pPr>
        <w:tabs>
          <w:tab w:val="left" w:pos="592"/>
          <w:tab w:val="left" w:pos="777"/>
        </w:tabs>
        <w:snapToGrid w:val="0"/>
        <w:spacing w:line="360" w:lineRule="auto"/>
        <w:ind w:firstLine="420" w:firstLineChars="200"/>
        <w:rPr>
          <w:rFonts w:hint="eastAsia" w:ascii="Arial" w:hAnsi="宋体" w:cs="Arial"/>
          <w:bCs/>
          <w:color w:val="000000"/>
          <w:szCs w:val="21"/>
        </w:rPr>
      </w:pPr>
      <w:r>
        <w:rPr>
          <w:rFonts w:hint="eastAsia" w:ascii="Arial" w:hAnsi="宋体" w:cs="Arial"/>
          <w:bCs/>
          <w:color w:val="000000"/>
          <w:szCs w:val="21"/>
        </w:rPr>
        <w:t>（11）不同投标供应商与同一投标供应商联合投标的；</w:t>
      </w:r>
    </w:p>
    <w:p w14:paraId="16363DFA">
      <w:pPr>
        <w:tabs>
          <w:tab w:val="left" w:pos="592"/>
          <w:tab w:val="left" w:pos="777"/>
        </w:tabs>
        <w:snapToGrid w:val="0"/>
        <w:spacing w:line="360" w:lineRule="auto"/>
        <w:ind w:firstLine="420" w:firstLineChars="200"/>
        <w:rPr>
          <w:rFonts w:hint="eastAsia" w:ascii="Arial" w:hAnsi="宋体" w:cs="Arial"/>
          <w:bCs/>
          <w:color w:val="000000"/>
          <w:szCs w:val="21"/>
        </w:rPr>
      </w:pPr>
      <w:r>
        <w:rPr>
          <w:rFonts w:hint="eastAsia" w:ascii="Arial" w:hAnsi="宋体" w:cs="Arial"/>
          <w:bCs/>
          <w:color w:val="000000"/>
          <w:szCs w:val="21"/>
        </w:rPr>
        <w:t>（12）不同投标供应商的投标文件存在异常一致或呈规律性变化的；</w:t>
      </w:r>
    </w:p>
    <w:p w14:paraId="692647F8">
      <w:pPr>
        <w:tabs>
          <w:tab w:val="left" w:pos="592"/>
          <w:tab w:val="left" w:pos="777"/>
        </w:tabs>
        <w:snapToGrid w:val="0"/>
        <w:ind w:firstLine="420" w:firstLineChars="200"/>
        <w:rPr>
          <w:rFonts w:hint="eastAsia" w:ascii="Arial" w:hAnsi="宋体" w:cs="Arial"/>
          <w:bCs/>
          <w:color w:val="000000"/>
          <w:szCs w:val="21"/>
        </w:rPr>
      </w:pPr>
      <w:r>
        <w:rPr>
          <w:rFonts w:hint="eastAsia" w:ascii="Arial" w:hAnsi="宋体" w:cs="Arial"/>
          <w:bCs/>
          <w:color w:val="000000"/>
          <w:szCs w:val="21"/>
        </w:rPr>
        <w:t xml:space="preserve">（13）不同投标供应商的投标文件由同一电脑编制，或投标报价用同一预算编制软件密码锁制    </w:t>
      </w:r>
    </w:p>
    <w:p w14:paraId="036EB825">
      <w:pPr>
        <w:tabs>
          <w:tab w:val="left" w:pos="592"/>
          <w:tab w:val="left" w:pos="777"/>
        </w:tabs>
        <w:snapToGrid w:val="0"/>
        <w:ind w:firstLine="1050" w:firstLineChars="500"/>
        <w:rPr>
          <w:rFonts w:hint="eastAsia" w:ascii="Arial" w:hAnsi="宋体" w:cs="Arial"/>
          <w:bCs/>
          <w:color w:val="000000"/>
          <w:szCs w:val="21"/>
        </w:rPr>
      </w:pPr>
      <w:r>
        <w:rPr>
          <w:rFonts w:hint="eastAsia" w:ascii="Arial" w:hAnsi="宋体" w:cs="Arial"/>
          <w:bCs/>
          <w:color w:val="000000"/>
          <w:szCs w:val="21"/>
        </w:rPr>
        <w:t>作，或出自同一电子文档的；</w:t>
      </w:r>
    </w:p>
    <w:p w14:paraId="010AC28C">
      <w:pPr>
        <w:tabs>
          <w:tab w:val="left" w:pos="592"/>
          <w:tab w:val="left" w:pos="777"/>
        </w:tabs>
        <w:snapToGrid w:val="0"/>
        <w:spacing w:line="360" w:lineRule="auto"/>
        <w:ind w:firstLine="420" w:firstLineChars="200"/>
        <w:rPr>
          <w:rFonts w:ascii="Arial" w:hAnsi="Arial" w:cs="Arial"/>
          <w:b/>
          <w:bCs/>
          <w:color w:val="000000"/>
        </w:rPr>
      </w:pPr>
      <w:r>
        <w:rPr>
          <w:rFonts w:hint="eastAsia" w:ascii="Arial" w:hAnsi="宋体" w:cs="Arial"/>
          <w:bCs/>
          <w:color w:val="000000"/>
          <w:szCs w:val="21"/>
        </w:rPr>
        <w:t>（14）法律、法规或规章规定的其他串通投标行为。</w:t>
      </w:r>
    </w:p>
    <w:p w14:paraId="3DE2FE06">
      <w:pPr>
        <w:numPr>
          <w:ilvl w:val="0"/>
          <w:numId w:val="4"/>
        </w:numPr>
        <w:snapToGrid w:val="0"/>
        <w:ind w:left="0" w:firstLine="0"/>
        <w:rPr>
          <w:rFonts w:ascii="Arial" w:hAnsi="Arial" w:cs="Arial"/>
          <w:b/>
          <w:bCs/>
          <w:color w:val="000000"/>
        </w:rPr>
      </w:pPr>
      <w:r>
        <w:rPr>
          <w:rFonts w:hint="eastAsia" w:ascii="Arial" w:hAnsi="Arial" w:cs="Arial"/>
          <w:b/>
          <w:bCs/>
          <w:color w:val="000000"/>
        </w:rPr>
        <w:t>有下列情形之一的，属于以他人名义投标的行为，认定为“挂靠”行为</w:t>
      </w:r>
      <w:r>
        <w:rPr>
          <w:rFonts w:ascii="Arial" w:hAnsi="宋体" w:cs="Arial"/>
          <w:b/>
          <w:color w:val="000000"/>
          <w:szCs w:val="21"/>
        </w:rPr>
        <w:t>：</w:t>
      </w:r>
    </w:p>
    <w:p w14:paraId="06264B46">
      <w:pPr>
        <w:numPr>
          <w:ilvl w:val="0"/>
          <w:numId w:val="8"/>
        </w:numPr>
        <w:spacing w:line="360" w:lineRule="auto"/>
        <w:ind w:firstLine="420" w:firstLineChars="200"/>
        <w:rPr>
          <w:rFonts w:ascii="Arial" w:hAnsi="Arial" w:cs="Arial"/>
          <w:color w:val="000000"/>
          <w:szCs w:val="21"/>
        </w:rPr>
      </w:pPr>
      <w:r>
        <w:rPr>
          <w:rFonts w:ascii="Arial" w:hAnsi="宋体" w:cs="Arial"/>
          <w:color w:val="000000"/>
          <w:szCs w:val="21"/>
        </w:rPr>
        <w:t>通过转让或者租借等方式从其他单位获取资格或者资质证书投标的；</w:t>
      </w:r>
    </w:p>
    <w:p w14:paraId="4F48F011">
      <w:pPr>
        <w:numPr>
          <w:ilvl w:val="0"/>
          <w:numId w:val="8"/>
        </w:numPr>
        <w:spacing w:line="360" w:lineRule="auto"/>
        <w:ind w:firstLine="420" w:firstLineChars="200"/>
        <w:rPr>
          <w:rFonts w:ascii="Arial" w:hAnsi="Arial" w:cs="Arial"/>
          <w:color w:val="000000"/>
          <w:szCs w:val="21"/>
        </w:rPr>
      </w:pPr>
      <w:r>
        <w:rPr>
          <w:rFonts w:ascii="Arial" w:hAnsi="宋体" w:cs="Arial"/>
          <w:color w:val="000000"/>
          <w:szCs w:val="21"/>
        </w:rPr>
        <w:t>由其他单位或者其他单位负责人在自己编制的投标文件上加盖印章或者签字的；</w:t>
      </w:r>
    </w:p>
    <w:p w14:paraId="053B04EA">
      <w:pPr>
        <w:numPr>
          <w:ilvl w:val="0"/>
          <w:numId w:val="8"/>
        </w:numPr>
        <w:autoSpaceDE w:val="0"/>
        <w:autoSpaceDN w:val="0"/>
        <w:adjustRightInd w:val="0"/>
        <w:spacing w:line="360" w:lineRule="auto"/>
        <w:ind w:firstLine="420" w:firstLineChars="200"/>
        <w:jc w:val="left"/>
        <w:rPr>
          <w:rFonts w:ascii="Arial" w:hAnsi="Arial" w:cs="Arial"/>
          <w:b/>
          <w:bCs/>
          <w:color w:val="000000"/>
        </w:rPr>
      </w:pPr>
      <w:r>
        <w:rPr>
          <w:rFonts w:ascii="Arial" w:hAnsi="宋体" w:cs="Arial"/>
          <w:color w:val="000000"/>
          <w:szCs w:val="21"/>
        </w:rPr>
        <w:t>法律法规规章规定的以他人名义投标的其他行为。</w:t>
      </w:r>
    </w:p>
    <w:p w14:paraId="71E967B9">
      <w:pPr>
        <w:numPr>
          <w:ilvl w:val="0"/>
          <w:numId w:val="4"/>
        </w:numPr>
        <w:snapToGrid w:val="0"/>
        <w:spacing w:line="360" w:lineRule="auto"/>
        <w:ind w:left="841" w:hanging="841" w:hangingChars="399"/>
        <w:rPr>
          <w:rFonts w:ascii="Arial" w:hAnsi="Arial" w:cs="Arial"/>
          <w:b/>
          <w:bCs/>
          <w:color w:val="000000"/>
        </w:rPr>
      </w:pPr>
      <w:r>
        <w:rPr>
          <w:rFonts w:hint="eastAsia" w:ascii="Arial" w:hAnsi="Arial" w:cs="Arial"/>
          <w:b/>
          <w:bCs/>
          <w:color w:val="000000"/>
        </w:rPr>
        <w:t>知识产权</w:t>
      </w:r>
    </w:p>
    <w:p w14:paraId="32DEEC1F">
      <w:pPr>
        <w:numPr>
          <w:ilvl w:val="1"/>
          <w:numId w:val="4"/>
        </w:numPr>
        <w:tabs>
          <w:tab w:val="left" w:pos="592"/>
        </w:tabs>
        <w:snapToGrid w:val="0"/>
        <w:spacing w:line="360" w:lineRule="auto"/>
        <w:ind w:left="588" w:hanging="588" w:hangingChars="280"/>
        <w:rPr>
          <w:rFonts w:ascii="Arial" w:hAnsi="Arial" w:cs="Arial"/>
          <w:color w:val="000000"/>
        </w:rPr>
      </w:pPr>
      <w:r>
        <w:rPr>
          <w:rFonts w:hint="eastAsia" w:ascii="Arial" w:hAnsi="Arial" w:cs="Arial"/>
          <w:color w:val="000000"/>
        </w:rPr>
        <w:t>投标供应商应保证，采购人在中华人民共和国使用货物和服务的任何一部分时，免受第三方提出侵犯其专利权、商标权或其它知识产权的起诉；</w:t>
      </w:r>
    </w:p>
    <w:p w14:paraId="1BB4FEF9">
      <w:pPr>
        <w:numPr>
          <w:ilvl w:val="1"/>
          <w:numId w:val="4"/>
        </w:numPr>
        <w:tabs>
          <w:tab w:val="left" w:pos="592"/>
        </w:tabs>
        <w:snapToGrid w:val="0"/>
        <w:spacing w:line="360" w:lineRule="auto"/>
        <w:ind w:left="588" w:hanging="588" w:hangingChars="280"/>
        <w:rPr>
          <w:rFonts w:ascii="Arial" w:hAnsi="Arial" w:cs="Arial"/>
          <w:color w:val="000000"/>
        </w:rPr>
      </w:pPr>
      <w:r>
        <w:rPr>
          <w:rFonts w:hint="eastAsia" w:ascii="Arial" w:hAnsi="Arial" w:cs="Arial"/>
          <w:color w:val="000000"/>
        </w:rPr>
        <w:t>投标供应商应对采购人在使用该服务时所涉及到的专利权负责，不损害采购人的利益。</w:t>
      </w:r>
    </w:p>
    <w:p w14:paraId="466626F9">
      <w:pPr>
        <w:numPr>
          <w:ilvl w:val="1"/>
          <w:numId w:val="4"/>
        </w:numPr>
        <w:tabs>
          <w:tab w:val="left" w:pos="592"/>
        </w:tabs>
        <w:snapToGrid w:val="0"/>
        <w:spacing w:line="360" w:lineRule="auto"/>
        <w:ind w:left="588" w:hanging="588" w:hangingChars="280"/>
        <w:rPr>
          <w:rFonts w:ascii="Arial" w:hAnsi="Arial" w:cs="Arial"/>
          <w:color w:val="000000"/>
        </w:rPr>
      </w:pPr>
      <w:r>
        <w:rPr>
          <w:rFonts w:hint="eastAsia" w:ascii="Arial" w:hAnsi="Arial" w:cs="Arial"/>
          <w:color w:val="000000"/>
        </w:rPr>
        <w:t>投标报价应包括所有应支付的对专利权和版权、设计或其他知识产权而需要向其他方支付的版税。</w:t>
      </w:r>
    </w:p>
    <w:p w14:paraId="4B9ECAAC">
      <w:pPr>
        <w:numPr>
          <w:ilvl w:val="1"/>
          <w:numId w:val="4"/>
        </w:numPr>
        <w:tabs>
          <w:tab w:val="left" w:pos="592"/>
        </w:tabs>
        <w:snapToGrid w:val="0"/>
        <w:spacing w:line="360" w:lineRule="auto"/>
        <w:ind w:left="588" w:hanging="588" w:hangingChars="280"/>
        <w:rPr>
          <w:rFonts w:ascii="Arial" w:hAnsi="Arial" w:cs="Arial"/>
          <w:color w:val="000000"/>
        </w:rPr>
      </w:pPr>
      <w:r>
        <w:rPr>
          <w:rFonts w:hint="eastAsia" w:ascii="Arial" w:hAnsi="Arial" w:cs="Arial"/>
          <w:color w:val="000000"/>
        </w:rPr>
        <w:t>投标供应商提供得服务中如使用其他公司的相关专利，应在投标文件中出示相关授权，如未出示但使用了其他公司的专利，导致投标供应商中标而引起相关诉讼，由投标供应商承担。</w:t>
      </w:r>
    </w:p>
    <w:p w14:paraId="5DCFC369">
      <w:pPr>
        <w:spacing w:line="360" w:lineRule="auto"/>
        <w:jc w:val="center"/>
        <w:outlineLvl w:val="1"/>
        <w:rPr>
          <w:rFonts w:hint="eastAsia" w:ascii="Arial" w:hAnsi="宋体" w:cs="Arial"/>
          <w:b/>
          <w:bCs/>
          <w:color w:val="000000"/>
          <w:sz w:val="28"/>
        </w:rPr>
      </w:pPr>
      <w:bookmarkStart w:id="74" w:name="_Toc23511"/>
      <w:bookmarkStart w:id="75" w:name="_Toc495977857"/>
      <w:r>
        <w:rPr>
          <w:rFonts w:ascii="Arial" w:hAnsi="宋体" w:cs="Arial"/>
          <w:b/>
          <w:bCs/>
          <w:color w:val="000000"/>
          <w:sz w:val="28"/>
        </w:rPr>
        <w:t>（</w:t>
      </w:r>
      <w:r>
        <w:rPr>
          <w:rFonts w:hint="eastAsia" w:ascii="Arial" w:hAnsi="宋体" w:cs="Arial"/>
          <w:b/>
          <w:bCs/>
          <w:color w:val="000000"/>
          <w:sz w:val="28"/>
        </w:rPr>
        <w:t>五</w:t>
      </w:r>
      <w:r>
        <w:rPr>
          <w:rFonts w:ascii="Arial" w:hAnsi="宋体" w:cs="Arial"/>
          <w:b/>
          <w:bCs/>
          <w:color w:val="000000"/>
          <w:sz w:val="28"/>
        </w:rPr>
        <w:t>）投标文件的递交</w:t>
      </w:r>
      <w:bookmarkEnd w:id="74"/>
      <w:bookmarkEnd w:id="75"/>
    </w:p>
    <w:p w14:paraId="14FB343B">
      <w:pPr>
        <w:numPr>
          <w:ilvl w:val="0"/>
          <w:numId w:val="4"/>
        </w:numPr>
        <w:snapToGrid w:val="0"/>
        <w:spacing w:line="360" w:lineRule="auto"/>
        <w:ind w:left="841" w:hanging="841" w:hangingChars="399"/>
        <w:rPr>
          <w:rFonts w:ascii="Arial" w:hAnsi="Arial" w:cs="Arial"/>
          <w:b/>
          <w:bCs/>
          <w:color w:val="000000"/>
        </w:rPr>
      </w:pPr>
      <w:r>
        <w:rPr>
          <w:rFonts w:hint="eastAsia" w:ascii="Arial" w:hAnsi="Arial" w:cs="Arial"/>
          <w:b/>
          <w:bCs/>
          <w:color w:val="000000"/>
        </w:rPr>
        <w:t>投标文件的递交</w:t>
      </w:r>
    </w:p>
    <w:p w14:paraId="70C8BAB8">
      <w:pPr>
        <w:numPr>
          <w:ilvl w:val="1"/>
          <w:numId w:val="4"/>
        </w:numPr>
        <w:tabs>
          <w:tab w:val="left" w:pos="592"/>
        </w:tabs>
        <w:snapToGrid w:val="0"/>
        <w:spacing w:line="360" w:lineRule="auto"/>
        <w:ind w:left="588" w:hanging="588" w:hangingChars="280"/>
        <w:rPr>
          <w:rFonts w:ascii="Arial" w:hAnsi="Arial" w:cs="Arial"/>
          <w:color w:val="000000"/>
        </w:rPr>
      </w:pPr>
      <w:r>
        <w:rPr>
          <w:rFonts w:hint="eastAsia" w:ascii="Arial" w:hAnsi="Arial" w:cs="Arial"/>
          <w:color w:val="000000"/>
        </w:rPr>
        <w:t>供应商在投标文件递交截止时间之前将生成的电子加密投标文件上传至乐采云平台，供应商未按要求提交的电子加密投标文件，乐采云平台将予以拒收。</w:t>
      </w:r>
    </w:p>
    <w:p w14:paraId="48C935A6">
      <w:pPr>
        <w:numPr>
          <w:ilvl w:val="1"/>
          <w:numId w:val="4"/>
        </w:numPr>
        <w:tabs>
          <w:tab w:val="left" w:pos="592"/>
        </w:tabs>
        <w:snapToGrid w:val="0"/>
        <w:spacing w:line="360" w:lineRule="auto"/>
        <w:ind w:left="588" w:hanging="588" w:hangingChars="280"/>
        <w:rPr>
          <w:rFonts w:ascii="Arial" w:hAnsi="Arial" w:cs="Arial"/>
          <w:color w:val="000000"/>
        </w:rPr>
      </w:pPr>
      <w:r>
        <w:rPr>
          <w:rFonts w:hint="eastAsia" w:ascii="Arial" w:hAnsi="Arial" w:cs="Arial"/>
          <w:color w:val="000000"/>
        </w:rPr>
        <w:t>投标文件递交截止时间后，投标供应商不得撤回、修改投标文件。</w:t>
      </w:r>
    </w:p>
    <w:p w14:paraId="61047B02">
      <w:pPr>
        <w:numPr>
          <w:ilvl w:val="0"/>
          <w:numId w:val="4"/>
        </w:numPr>
        <w:snapToGrid w:val="0"/>
        <w:spacing w:line="360" w:lineRule="auto"/>
        <w:ind w:left="841" w:hanging="841" w:hangingChars="399"/>
        <w:rPr>
          <w:rFonts w:ascii="Arial" w:hAnsi="Arial" w:cs="Arial"/>
          <w:b/>
          <w:bCs/>
          <w:color w:val="000000"/>
        </w:rPr>
      </w:pPr>
      <w:r>
        <w:rPr>
          <w:rFonts w:hint="eastAsia" w:ascii="Arial" w:hAnsi="Arial" w:cs="Arial"/>
          <w:b/>
          <w:bCs/>
          <w:color w:val="000000"/>
        </w:rPr>
        <w:t>投标文件的补充、修改与撤回</w:t>
      </w:r>
    </w:p>
    <w:p w14:paraId="1FE2EB82">
      <w:pPr>
        <w:numPr>
          <w:ilvl w:val="1"/>
          <w:numId w:val="4"/>
        </w:numPr>
        <w:tabs>
          <w:tab w:val="left" w:pos="592"/>
        </w:tabs>
        <w:snapToGrid w:val="0"/>
        <w:spacing w:line="360" w:lineRule="auto"/>
        <w:ind w:left="588" w:hanging="588" w:hangingChars="280"/>
        <w:rPr>
          <w:rFonts w:ascii="Arial" w:hAnsi="Arial" w:cs="Arial"/>
          <w:color w:val="000000"/>
        </w:rPr>
      </w:pPr>
      <w:r>
        <w:rPr>
          <w:rFonts w:hint="eastAsia" w:ascii="Arial" w:hAnsi="Arial" w:cs="Arial"/>
          <w:color w:val="000000"/>
        </w:rPr>
        <w:t>供应商在投标截止时间前可以补充、修改或者撤回电子加密投标文件。补充或者修改电子加密投标文件的，应当先行撤回原文件，补充、修改后重新传输递交。投标截止时间前未完成传输的，视为撤回投标文件。投标截止时间后递交的投标文件，将被乐采云平台拒收。</w:t>
      </w:r>
    </w:p>
    <w:p w14:paraId="4B3DF2AA">
      <w:pPr>
        <w:numPr>
          <w:ilvl w:val="0"/>
          <w:numId w:val="4"/>
        </w:numPr>
        <w:snapToGrid w:val="0"/>
        <w:spacing w:line="360" w:lineRule="auto"/>
        <w:ind w:left="841" w:hanging="841" w:hangingChars="399"/>
        <w:rPr>
          <w:rFonts w:ascii="Arial" w:hAnsi="Arial" w:cs="Arial"/>
          <w:b/>
          <w:bCs/>
          <w:color w:val="000000"/>
        </w:rPr>
      </w:pPr>
      <w:r>
        <w:rPr>
          <w:rFonts w:hint="eastAsia" w:ascii="Arial" w:hAnsi="Arial" w:cs="Arial"/>
          <w:b/>
          <w:bCs/>
          <w:color w:val="000000"/>
        </w:rPr>
        <w:t>投标截止时间</w:t>
      </w:r>
    </w:p>
    <w:p w14:paraId="12F969D7">
      <w:pPr>
        <w:numPr>
          <w:ilvl w:val="1"/>
          <w:numId w:val="4"/>
        </w:numPr>
        <w:tabs>
          <w:tab w:val="left" w:pos="592"/>
        </w:tabs>
        <w:snapToGrid w:val="0"/>
        <w:spacing w:line="360" w:lineRule="auto"/>
        <w:ind w:left="588" w:hanging="588" w:hangingChars="280"/>
        <w:rPr>
          <w:rFonts w:ascii="Arial" w:hAnsi="Arial" w:cs="Arial"/>
          <w:color w:val="000000"/>
        </w:rPr>
      </w:pPr>
      <w:r>
        <w:rPr>
          <w:rFonts w:hint="eastAsia" w:ascii="Arial" w:hAnsi="Arial" w:cs="Arial"/>
          <w:color w:val="000000"/>
        </w:rPr>
        <w:t>本次招标的投标截止时间及投标文件递交截止时间：见本招标文件“招标公告”。采购代理机构收到投标文件的时间不得迟于规定的截止时间。</w:t>
      </w:r>
    </w:p>
    <w:p w14:paraId="1945CEB7">
      <w:pPr>
        <w:numPr>
          <w:ilvl w:val="1"/>
          <w:numId w:val="4"/>
        </w:numPr>
        <w:tabs>
          <w:tab w:val="left" w:pos="592"/>
        </w:tabs>
        <w:snapToGrid w:val="0"/>
        <w:spacing w:line="360" w:lineRule="auto"/>
        <w:ind w:left="588" w:hanging="588" w:hangingChars="280"/>
        <w:rPr>
          <w:rFonts w:ascii="Arial" w:hAnsi="Arial" w:cs="Arial"/>
          <w:color w:val="000000"/>
        </w:rPr>
      </w:pPr>
      <w:r>
        <w:rPr>
          <w:rFonts w:hint="eastAsia" w:ascii="Arial" w:hAnsi="Arial" w:cs="Arial"/>
          <w:color w:val="000000"/>
        </w:rPr>
        <w:t>在推迟了投标截止时间的情况下，招标机构和投标供应商受投标截止时间制约的所有权利和义务均应延长至新的截止时间。</w:t>
      </w:r>
    </w:p>
    <w:p w14:paraId="1D667743">
      <w:pPr>
        <w:spacing w:line="360" w:lineRule="auto"/>
        <w:jc w:val="center"/>
        <w:outlineLvl w:val="1"/>
        <w:rPr>
          <w:rFonts w:hint="eastAsia" w:ascii="Arial" w:hAnsi="宋体" w:cs="Arial"/>
          <w:b/>
          <w:bCs/>
          <w:color w:val="000000"/>
          <w:sz w:val="28"/>
        </w:rPr>
      </w:pPr>
      <w:bookmarkStart w:id="76" w:name="_Toc495977858"/>
      <w:bookmarkStart w:id="77" w:name="_Toc24182"/>
      <w:r>
        <w:rPr>
          <w:rFonts w:ascii="Arial" w:hAnsi="宋体" w:cs="Arial"/>
          <w:b/>
          <w:bCs/>
          <w:color w:val="000000"/>
          <w:sz w:val="28"/>
        </w:rPr>
        <w:t>（</w:t>
      </w:r>
      <w:r>
        <w:rPr>
          <w:rFonts w:hint="eastAsia" w:ascii="Arial" w:hAnsi="宋体" w:cs="Arial"/>
          <w:b/>
          <w:bCs/>
          <w:color w:val="000000"/>
          <w:sz w:val="28"/>
        </w:rPr>
        <w:t>六</w:t>
      </w:r>
      <w:r>
        <w:rPr>
          <w:rFonts w:ascii="Arial" w:hAnsi="宋体" w:cs="Arial"/>
          <w:b/>
          <w:bCs/>
          <w:color w:val="000000"/>
          <w:sz w:val="28"/>
        </w:rPr>
        <w:t>）开标与评审</w:t>
      </w:r>
      <w:bookmarkEnd w:id="76"/>
      <w:bookmarkEnd w:id="77"/>
    </w:p>
    <w:p w14:paraId="6D3ACBC6">
      <w:pPr>
        <w:numPr>
          <w:ilvl w:val="0"/>
          <w:numId w:val="4"/>
        </w:numPr>
        <w:spacing w:line="360" w:lineRule="auto"/>
        <w:ind w:left="841" w:hanging="841" w:hangingChars="399"/>
        <w:rPr>
          <w:rFonts w:ascii="Arial" w:hAnsi="Arial" w:cs="Arial"/>
          <w:color w:val="000000"/>
        </w:rPr>
      </w:pPr>
      <w:r>
        <w:rPr>
          <w:rFonts w:ascii="Arial" w:hAnsi="宋体" w:cs="Arial"/>
          <w:b/>
          <w:color w:val="000000"/>
        </w:rPr>
        <w:t>开标</w:t>
      </w:r>
    </w:p>
    <w:p w14:paraId="5F288323">
      <w:pPr>
        <w:numPr>
          <w:ilvl w:val="1"/>
          <w:numId w:val="4"/>
        </w:numPr>
        <w:tabs>
          <w:tab w:val="left" w:pos="592"/>
        </w:tabs>
        <w:snapToGrid w:val="0"/>
        <w:spacing w:line="360" w:lineRule="auto"/>
        <w:ind w:left="590" w:hanging="590" w:hangingChars="280"/>
        <w:rPr>
          <w:rFonts w:ascii="Arial" w:hAnsi="Arial" w:cs="Arial"/>
          <w:b/>
          <w:bCs/>
          <w:color w:val="000000"/>
        </w:rPr>
      </w:pPr>
      <w:r>
        <w:rPr>
          <w:rFonts w:hint="eastAsia" w:ascii="Arial" w:hAnsi="宋体" w:cs="Arial"/>
          <w:b/>
          <w:bCs/>
          <w:color w:val="000000"/>
        </w:rPr>
        <w:t>开标时间和地点：见本招标文件“招标公告”。</w:t>
      </w:r>
    </w:p>
    <w:p w14:paraId="26601F2D">
      <w:pPr>
        <w:numPr>
          <w:ilvl w:val="1"/>
          <w:numId w:val="4"/>
        </w:numPr>
        <w:tabs>
          <w:tab w:val="left" w:pos="592"/>
        </w:tabs>
        <w:snapToGrid w:val="0"/>
        <w:spacing w:line="360" w:lineRule="auto"/>
        <w:ind w:left="590" w:hanging="590" w:hangingChars="280"/>
        <w:rPr>
          <w:rFonts w:ascii="Arial" w:hAnsi="Arial" w:cs="Arial"/>
          <w:b/>
          <w:bCs/>
          <w:color w:val="000000"/>
        </w:rPr>
      </w:pPr>
      <w:r>
        <w:rPr>
          <w:rFonts w:hint="eastAsia" w:ascii="Arial" w:hAnsi="宋体" w:cs="Arial"/>
          <w:b/>
          <w:bCs/>
          <w:color w:val="000000"/>
        </w:rPr>
        <w:t>采购代理机构组织和主持开标会，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67481BDD">
      <w:pPr>
        <w:numPr>
          <w:ilvl w:val="1"/>
          <w:numId w:val="4"/>
        </w:numPr>
        <w:tabs>
          <w:tab w:val="left" w:pos="592"/>
        </w:tabs>
        <w:snapToGrid w:val="0"/>
        <w:spacing w:line="360" w:lineRule="auto"/>
        <w:ind w:left="588" w:hanging="588" w:hangingChars="280"/>
        <w:rPr>
          <w:rFonts w:ascii="Arial" w:hAnsi="Arial" w:cs="Arial"/>
          <w:color w:val="000000"/>
        </w:rPr>
      </w:pPr>
      <w:r>
        <w:rPr>
          <w:rFonts w:hint="eastAsia" w:ascii="Arial" w:hAnsi="宋体" w:cs="Arial"/>
          <w:color w:val="000000"/>
        </w:rPr>
        <w:t>开标后，采购代理机构将在“乐采云平台”向各投标供应商发出“电子加密投标文件”的解密通知，各投标供应商代表应当在接到解密通知后30分钟内自行完成“电子加密投标文件”的在线解密。</w:t>
      </w:r>
    </w:p>
    <w:p w14:paraId="79614FC2">
      <w:pPr>
        <w:numPr>
          <w:ilvl w:val="0"/>
          <w:numId w:val="4"/>
        </w:numPr>
        <w:spacing w:line="360" w:lineRule="auto"/>
        <w:ind w:left="841" w:hanging="841" w:hangingChars="399"/>
        <w:rPr>
          <w:rFonts w:ascii="Arial" w:hAnsi="Arial" w:cs="Arial"/>
          <w:b/>
          <w:color w:val="000000"/>
        </w:rPr>
      </w:pPr>
      <w:r>
        <w:rPr>
          <w:rFonts w:ascii="Arial" w:hAnsi="宋体" w:cs="Arial"/>
          <w:b/>
          <w:color w:val="000000"/>
        </w:rPr>
        <w:t>评标委员会</w:t>
      </w:r>
    </w:p>
    <w:p w14:paraId="4F1F930A">
      <w:pPr>
        <w:spacing w:line="360" w:lineRule="auto"/>
        <w:rPr>
          <w:rFonts w:hint="eastAsia" w:ascii="Arial" w:hAnsi="宋体" w:cs="Arial"/>
          <w:color w:val="000000"/>
        </w:rPr>
      </w:pPr>
      <w:r>
        <w:rPr>
          <w:rFonts w:hint="eastAsia" w:ascii="Arial" w:hAnsi="宋体" w:cs="Arial"/>
          <w:color w:val="000000"/>
        </w:rPr>
        <w:t>27.1  本次采购依法组建评标委员会。</w:t>
      </w:r>
    </w:p>
    <w:p w14:paraId="3BDAA6AA">
      <w:pPr>
        <w:spacing w:line="360" w:lineRule="auto"/>
        <w:ind w:left="636" w:hanging="636" w:hangingChars="303"/>
        <w:rPr>
          <w:rFonts w:hint="eastAsia" w:ascii="Arial" w:hAnsi="宋体" w:cs="Arial"/>
          <w:color w:val="000000"/>
        </w:rPr>
      </w:pPr>
      <w:r>
        <w:rPr>
          <w:rFonts w:hint="eastAsia" w:ascii="Arial" w:hAnsi="宋体" w:cs="Arial"/>
          <w:color w:val="000000"/>
        </w:rPr>
        <w:t>27.2  评标委员会构成：由采购人代表以及有关技术、经济等方面的专家组成，成员为3人及以上单数，其中技术、经济类专家不得少于总人数的2/3。</w:t>
      </w:r>
    </w:p>
    <w:p w14:paraId="684D3BC8">
      <w:pPr>
        <w:spacing w:line="360" w:lineRule="auto"/>
        <w:rPr>
          <w:rFonts w:hint="eastAsia" w:ascii="Arial" w:hAnsi="宋体" w:cs="Arial"/>
          <w:color w:val="000000"/>
        </w:rPr>
      </w:pPr>
      <w:r>
        <w:rPr>
          <w:rFonts w:hint="eastAsia" w:ascii="Arial" w:hAnsi="宋体" w:cs="Arial"/>
          <w:color w:val="000000"/>
        </w:rPr>
        <w:t>27.3  评标委员会确定方式：按规定统一从专家库内抽取。</w:t>
      </w:r>
    </w:p>
    <w:p w14:paraId="3BA1EE86">
      <w:pPr>
        <w:spacing w:line="360" w:lineRule="auto"/>
        <w:ind w:left="630" w:hanging="630" w:hangingChars="300"/>
        <w:rPr>
          <w:rFonts w:ascii="Arial" w:hAnsi="Arial" w:cs="Arial"/>
          <w:b/>
          <w:color w:val="000000"/>
        </w:rPr>
      </w:pPr>
      <w:r>
        <w:rPr>
          <w:rFonts w:hint="eastAsia" w:ascii="Arial" w:hAnsi="宋体" w:cs="Arial"/>
          <w:color w:val="000000"/>
        </w:rPr>
        <w:t>27.4  评标委员会依法根据招标文件的规定，对投标文件进行详细评审，提交评标报告并推荐有排名次序的预中标供应商。</w:t>
      </w:r>
    </w:p>
    <w:p w14:paraId="40342218">
      <w:pPr>
        <w:numPr>
          <w:ilvl w:val="0"/>
          <w:numId w:val="4"/>
        </w:numPr>
        <w:spacing w:line="360" w:lineRule="auto"/>
        <w:ind w:left="841" w:hanging="841" w:hangingChars="399"/>
        <w:rPr>
          <w:rFonts w:ascii="Arial" w:hAnsi="Arial" w:cs="Arial"/>
          <w:b/>
          <w:color w:val="000000"/>
        </w:rPr>
      </w:pPr>
      <w:r>
        <w:rPr>
          <w:rFonts w:ascii="Arial" w:hAnsi="宋体" w:cs="Arial"/>
          <w:b/>
          <w:color w:val="000000"/>
        </w:rPr>
        <w:t>评标原则和评标方法</w:t>
      </w:r>
    </w:p>
    <w:p w14:paraId="0986A4E6">
      <w:pPr>
        <w:numPr>
          <w:ilvl w:val="1"/>
          <w:numId w:val="4"/>
        </w:numPr>
        <w:tabs>
          <w:tab w:val="left" w:pos="592"/>
        </w:tabs>
        <w:snapToGrid w:val="0"/>
        <w:spacing w:line="360" w:lineRule="auto"/>
        <w:ind w:left="588" w:hanging="588" w:hangingChars="280"/>
        <w:rPr>
          <w:rFonts w:ascii="Arial" w:hAnsi="Arial" w:cs="Arial"/>
          <w:color w:val="000000"/>
        </w:rPr>
      </w:pPr>
      <w:r>
        <w:rPr>
          <w:rFonts w:hint="eastAsia" w:ascii="Arial" w:hAnsi="宋体" w:cs="Arial"/>
          <w:color w:val="000000"/>
        </w:rPr>
        <w:t>评标</w:t>
      </w:r>
      <w:r>
        <w:rPr>
          <w:rFonts w:ascii="Arial" w:hAnsi="宋体" w:cs="Arial"/>
          <w:color w:val="000000"/>
        </w:rPr>
        <w:t>基本原则：评标工作应依据《</w:t>
      </w:r>
      <w:r>
        <w:rPr>
          <w:rFonts w:hint="eastAsia" w:ascii="Arial" w:hAnsi="宋体" w:cs="Arial"/>
          <w:color w:val="000000"/>
        </w:rPr>
        <w:t>温州市市属国有企业采购管理办法（试行）</w:t>
      </w:r>
      <w:r>
        <w:rPr>
          <w:rFonts w:ascii="Arial" w:hAnsi="宋体" w:cs="Arial"/>
          <w:color w:val="000000"/>
        </w:rPr>
        <w:t>》、《评标委员会和评标方法暂行规定》以及国家和地方政府有关政府招标的有关规定，遵循</w:t>
      </w:r>
      <w:r>
        <w:rPr>
          <w:rFonts w:ascii="Arial" w:hAnsi="Arial" w:cs="Arial"/>
          <w:color w:val="000000"/>
        </w:rPr>
        <w:t>“</w:t>
      </w:r>
      <w:r>
        <w:rPr>
          <w:rFonts w:ascii="Arial" w:hAnsi="宋体" w:cs="Arial"/>
          <w:color w:val="000000"/>
        </w:rPr>
        <w:t>公开、公平、公正、择优、信用</w:t>
      </w:r>
      <w:r>
        <w:rPr>
          <w:rFonts w:ascii="Arial" w:hAnsi="Arial" w:cs="Arial"/>
          <w:color w:val="000000"/>
        </w:rPr>
        <w:t>”</w:t>
      </w:r>
      <w:r>
        <w:rPr>
          <w:rFonts w:ascii="Arial" w:hAnsi="宋体" w:cs="Arial"/>
          <w:color w:val="000000"/>
        </w:rPr>
        <w:t>的原则。</w:t>
      </w:r>
    </w:p>
    <w:p w14:paraId="1D52876C">
      <w:pPr>
        <w:numPr>
          <w:ilvl w:val="1"/>
          <w:numId w:val="4"/>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评标方法：本次招标的评标方法详见本招标文件</w:t>
      </w:r>
      <w:r>
        <w:rPr>
          <w:rFonts w:ascii="Arial" w:hAnsi="Arial" w:cs="Arial"/>
          <w:color w:val="000000"/>
        </w:rPr>
        <w:t>“</w:t>
      </w:r>
      <w:r>
        <w:rPr>
          <w:rFonts w:ascii="Arial" w:hAnsi="宋体" w:cs="Arial"/>
          <w:color w:val="000000"/>
        </w:rPr>
        <w:t>第</w:t>
      </w:r>
      <w:r>
        <w:rPr>
          <w:rFonts w:hint="eastAsia" w:ascii="Arial" w:hAnsi="宋体" w:cs="Arial"/>
          <w:color w:val="000000"/>
        </w:rPr>
        <w:t>六</w:t>
      </w:r>
      <w:r>
        <w:rPr>
          <w:rFonts w:ascii="Arial" w:hAnsi="宋体" w:cs="Arial"/>
          <w:color w:val="000000"/>
        </w:rPr>
        <w:t>部分</w:t>
      </w:r>
      <w:r>
        <w:rPr>
          <w:rFonts w:ascii="Arial" w:hAnsi="Arial" w:cs="Arial"/>
          <w:color w:val="000000"/>
        </w:rPr>
        <w:t>”</w:t>
      </w:r>
      <w:r>
        <w:rPr>
          <w:rFonts w:ascii="Arial" w:hAnsi="宋体" w:cs="Arial"/>
          <w:color w:val="000000"/>
        </w:rPr>
        <w:t>。</w:t>
      </w:r>
    </w:p>
    <w:p w14:paraId="0152FF80">
      <w:pPr>
        <w:numPr>
          <w:ilvl w:val="0"/>
          <w:numId w:val="4"/>
        </w:numPr>
        <w:spacing w:line="360" w:lineRule="auto"/>
        <w:ind w:left="841" w:hanging="841" w:hangingChars="399"/>
        <w:rPr>
          <w:rFonts w:ascii="Arial" w:hAnsi="Arial" w:cs="Arial"/>
          <w:color w:val="000000"/>
        </w:rPr>
      </w:pPr>
      <w:r>
        <w:rPr>
          <w:rFonts w:ascii="Arial" w:hAnsi="宋体" w:cs="Arial"/>
          <w:b/>
          <w:color w:val="000000"/>
        </w:rPr>
        <w:t>评标工作程序</w:t>
      </w:r>
    </w:p>
    <w:p w14:paraId="0570FB4F">
      <w:pPr>
        <w:numPr>
          <w:ilvl w:val="1"/>
          <w:numId w:val="4"/>
        </w:numPr>
        <w:tabs>
          <w:tab w:val="left" w:pos="592"/>
        </w:tabs>
        <w:snapToGrid w:val="0"/>
        <w:spacing w:line="360" w:lineRule="auto"/>
        <w:ind w:left="588" w:hanging="588" w:hangingChars="280"/>
        <w:rPr>
          <w:rFonts w:ascii="Arial" w:hAnsi="Arial" w:cs="Arial"/>
          <w:bCs/>
          <w:color w:val="000000"/>
        </w:rPr>
      </w:pPr>
      <w:r>
        <w:rPr>
          <w:rFonts w:hint="eastAsia" w:ascii="Arial" w:hAnsi="Arial" w:cs="Arial"/>
          <w:bCs/>
          <w:color w:val="000000"/>
        </w:rPr>
        <w:t>采购人或采购代理机构先进行资格性审查；</w:t>
      </w:r>
    </w:p>
    <w:p w14:paraId="2278E939">
      <w:pPr>
        <w:numPr>
          <w:ilvl w:val="1"/>
          <w:numId w:val="4"/>
        </w:numPr>
        <w:tabs>
          <w:tab w:val="left" w:pos="592"/>
        </w:tabs>
        <w:snapToGrid w:val="0"/>
        <w:spacing w:line="360" w:lineRule="auto"/>
        <w:ind w:left="588" w:hanging="588" w:hangingChars="280"/>
        <w:rPr>
          <w:rFonts w:ascii="Arial" w:hAnsi="Arial" w:cs="Arial"/>
          <w:bCs/>
          <w:color w:val="000000"/>
        </w:rPr>
      </w:pPr>
      <w:r>
        <w:rPr>
          <w:rFonts w:hint="eastAsia" w:ascii="Arial" w:hAnsi="Arial" w:cs="Arial"/>
          <w:color w:val="000000"/>
        </w:rPr>
        <w:t>评标委员会对资格性审查合格的投标供应商进行符合性审查</w:t>
      </w:r>
      <w:r>
        <w:rPr>
          <w:rFonts w:hint="eastAsia" w:ascii="Arial" w:hAnsi="Arial" w:cs="Arial"/>
          <w:bCs/>
          <w:color w:val="000000"/>
        </w:rPr>
        <w:t>；</w:t>
      </w:r>
    </w:p>
    <w:p w14:paraId="7A1DE623">
      <w:pPr>
        <w:numPr>
          <w:ilvl w:val="1"/>
          <w:numId w:val="4"/>
        </w:numPr>
        <w:tabs>
          <w:tab w:val="left" w:pos="592"/>
        </w:tabs>
        <w:snapToGrid w:val="0"/>
        <w:spacing w:line="360" w:lineRule="auto"/>
        <w:ind w:left="588" w:hanging="588" w:hangingChars="280"/>
        <w:rPr>
          <w:rFonts w:ascii="Arial" w:hAnsi="Arial" w:cs="Arial"/>
          <w:bCs/>
          <w:color w:val="000000"/>
        </w:rPr>
      </w:pPr>
      <w:r>
        <w:rPr>
          <w:rFonts w:hint="eastAsia" w:ascii="宋体" w:hAnsi="宋体" w:cs="宋体"/>
          <w:color w:val="000000"/>
          <w:szCs w:val="21"/>
        </w:rPr>
        <w:t>评标委员会对投标供应商进行技术商务评审</w:t>
      </w:r>
      <w:r>
        <w:rPr>
          <w:rFonts w:hint="eastAsia" w:ascii="Arial" w:hAnsi="Arial" w:cs="Arial"/>
          <w:bCs/>
          <w:color w:val="000000"/>
        </w:rPr>
        <w:t>；</w:t>
      </w:r>
    </w:p>
    <w:p w14:paraId="37AC46E1">
      <w:pPr>
        <w:numPr>
          <w:ilvl w:val="1"/>
          <w:numId w:val="4"/>
        </w:numPr>
        <w:tabs>
          <w:tab w:val="left" w:pos="592"/>
        </w:tabs>
        <w:snapToGrid w:val="0"/>
        <w:spacing w:line="360" w:lineRule="auto"/>
        <w:ind w:left="588" w:hanging="588" w:hangingChars="280"/>
        <w:rPr>
          <w:rFonts w:ascii="Arial" w:hAnsi="Arial" w:cs="Arial"/>
          <w:bCs/>
          <w:color w:val="000000"/>
        </w:rPr>
      </w:pPr>
      <w:r>
        <w:rPr>
          <w:rFonts w:hint="eastAsia" w:hAnsi="宋体"/>
          <w:bCs/>
        </w:rPr>
        <w:t>所有参加磋商的有效供应商在规定时间内提出二次最后报价(响应文件中第一次报价不公开）</w:t>
      </w:r>
      <w:r>
        <w:rPr>
          <w:rFonts w:hint="eastAsia" w:ascii="Arial" w:hAnsi="Arial" w:cs="Arial"/>
          <w:bCs/>
          <w:color w:val="000000"/>
        </w:rPr>
        <w:t>；</w:t>
      </w:r>
    </w:p>
    <w:p w14:paraId="0A1B4B79">
      <w:pPr>
        <w:numPr>
          <w:ilvl w:val="1"/>
          <w:numId w:val="4"/>
        </w:numPr>
        <w:tabs>
          <w:tab w:val="left" w:pos="592"/>
        </w:tabs>
        <w:snapToGrid w:val="0"/>
        <w:spacing w:line="360" w:lineRule="auto"/>
        <w:ind w:left="588" w:hanging="588" w:hangingChars="280"/>
        <w:rPr>
          <w:rFonts w:hint="eastAsia" w:ascii="宋体" w:hAnsi="宋体" w:cs="宋体"/>
          <w:color w:val="000000"/>
          <w:szCs w:val="21"/>
        </w:rPr>
      </w:pPr>
      <w:r>
        <w:rPr>
          <w:rFonts w:hint="eastAsia" w:ascii="宋体" w:hAnsi="宋体" w:cs="宋体"/>
          <w:color w:val="000000"/>
          <w:szCs w:val="21"/>
        </w:rPr>
        <w:t>磋商小组应当根据综合评分情况，按照评审得分由高到低顺序推荐3名成交候选供应商，并编写评审报告。合计得分相同的，按投标报价由低到高顺序排列；合计得分且投标报价相同的，则由采购人代表在所有得分均相同者中随机抽取名次排名，依法予以确认为中标供应商。</w:t>
      </w:r>
    </w:p>
    <w:p w14:paraId="7E1B5316">
      <w:pPr>
        <w:numPr>
          <w:ilvl w:val="1"/>
          <w:numId w:val="4"/>
        </w:numPr>
        <w:tabs>
          <w:tab w:val="left" w:pos="592"/>
        </w:tabs>
        <w:snapToGrid w:val="0"/>
        <w:spacing w:line="360" w:lineRule="auto"/>
        <w:ind w:left="588" w:hanging="588" w:hangingChars="280"/>
        <w:rPr>
          <w:rFonts w:ascii="Arial" w:hAnsi="Arial" w:cs="Arial"/>
          <w:bCs/>
          <w:color w:val="000000"/>
        </w:rPr>
      </w:pPr>
      <w:r>
        <w:rPr>
          <w:rFonts w:hint="eastAsia" w:ascii="Arial" w:hAnsi="Arial" w:cs="Arial"/>
          <w:bCs/>
          <w:color w:val="000000"/>
        </w:rPr>
        <w:t>如遇“乐采云平台”电子化开标或评审程序调整的，按调整后程序执行。</w:t>
      </w:r>
    </w:p>
    <w:p w14:paraId="770D58CA">
      <w:pPr>
        <w:numPr>
          <w:ilvl w:val="0"/>
          <w:numId w:val="4"/>
        </w:numPr>
        <w:spacing w:line="360" w:lineRule="auto"/>
        <w:ind w:left="841" w:hanging="841" w:hangingChars="399"/>
        <w:rPr>
          <w:rFonts w:hint="eastAsia" w:ascii="Arial" w:hAnsi="宋体" w:cs="Arial"/>
          <w:b/>
          <w:color w:val="000000"/>
        </w:rPr>
      </w:pPr>
      <w:r>
        <w:rPr>
          <w:rFonts w:hint="eastAsia" w:ascii="Arial" w:hAnsi="宋体" w:cs="Arial"/>
          <w:b/>
          <w:color w:val="000000"/>
        </w:rPr>
        <w:t>关于评审的说明</w:t>
      </w:r>
    </w:p>
    <w:p w14:paraId="6CB9978A">
      <w:pPr>
        <w:numPr>
          <w:ilvl w:val="1"/>
          <w:numId w:val="4"/>
        </w:numPr>
        <w:tabs>
          <w:tab w:val="left" w:pos="592"/>
        </w:tabs>
        <w:snapToGrid w:val="0"/>
        <w:spacing w:line="360" w:lineRule="auto"/>
        <w:ind w:left="588" w:hanging="588" w:hangingChars="280"/>
        <w:rPr>
          <w:rFonts w:hint="eastAsia" w:ascii="Arial" w:hAnsi="宋体" w:cs="Arial"/>
          <w:color w:val="000000"/>
        </w:rPr>
      </w:pPr>
      <w:r>
        <w:rPr>
          <w:rFonts w:hint="eastAsia" w:ascii="Arial" w:hAnsi="宋体" w:cs="Arial"/>
          <w:color w:val="000000"/>
        </w:rPr>
        <w:t xml:space="preserve">初步评审： </w:t>
      </w:r>
    </w:p>
    <w:p w14:paraId="3A4AC071">
      <w:pPr>
        <w:numPr>
          <w:ilvl w:val="0"/>
          <w:numId w:val="9"/>
        </w:numPr>
        <w:snapToGrid w:val="0"/>
        <w:spacing w:line="360" w:lineRule="auto"/>
        <w:rPr>
          <w:rFonts w:hint="eastAsia" w:ascii="Arial" w:hAnsi="宋体" w:cs="Arial"/>
          <w:color w:val="000000"/>
        </w:rPr>
      </w:pPr>
      <w:r>
        <w:rPr>
          <w:rFonts w:hint="eastAsia" w:ascii="Arial" w:hAnsi="宋体" w:cs="Arial"/>
          <w:color w:val="000000"/>
        </w:rPr>
        <w:t>资格性检查：采购人或采购代理机构根据法律法规和招标文件的规定，检查投标文件提供的资格证明文件是否齐全、是否满足招标文件的要求等。</w:t>
      </w:r>
    </w:p>
    <w:p w14:paraId="4EF046A3">
      <w:pPr>
        <w:numPr>
          <w:ilvl w:val="0"/>
          <w:numId w:val="9"/>
        </w:numPr>
        <w:snapToGrid w:val="0"/>
        <w:spacing w:line="360" w:lineRule="auto"/>
        <w:rPr>
          <w:rFonts w:hint="eastAsia" w:ascii="Arial" w:hAnsi="宋体" w:cs="Arial"/>
          <w:color w:val="000000"/>
        </w:rPr>
      </w:pPr>
      <w:r>
        <w:rPr>
          <w:rFonts w:hint="eastAsia" w:ascii="Arial" w:hAnsi="宋体" w:cs="Arial"/>
          <w:color w:val="000000"/>
        </w:rPr>
        <w:t>符合性检查：评标委员会根据招标文件的规定，从投标文件的有效性、完整性和对招标文件的响应程度进行检查，以确定是否对招标文件的实质性要求作出响应。</w:t>
      </w:r>
    </w:p>
    <w:p w14:paraId="5C34865C">
      <w:pPr>
        <w:numPr>
          <w:ilvl w:val="0"/>
          <w:numId w:val="9"/>
        </w:numPr>
        <w:snapToGrid w:val="0"/>
        <w:spacing w:line="360" w:lineRule="auto"/>
        <w:rPr>
          <w:rFonts w:hint="eastAsia" w:ascii="Arial" w:hAnsi="宋体" w:cs="Arial"/>
          <w:color w:val="000000"/>
        </w:rPr>
      </w:pPr>
      <w:r>
        <w:rPr>
          <w:rFonts w:hint="eastAsia" w:ascii="Arial" w:hAnsi="宋体" w:cs="Arial"/>
          <w:color w:val="000000"/>
        </w:rPr>
        <w:t>▲在评审过程中，投标文件存在下列情况按照无效投标处理：</w:t>
      </w:r>
    </w:p>
    <w:p w14:paraId="54A269AA">
      <w:pPr>
        <w:tabs>
          <w:tab w:val="left" w:pos="592"/>
        </w:tabs>
        <w:snapToGrid w:val="0"/>
        <w:spacing w:line="360" w:lineRule="auto"/>
        <w:rPr>
          <w:rFonts w:hint="eastAsia" w:ascii="Arial" w:hAnsi="宋体" w:cs="Arial"/>
          <w:color w:val="000000"/>
        </w:rPr>
      </w:pPr>
      <w:r>
        <w:rPr>
          <w:rFonts w:hint="eastAsia" w:ascii="Arial" w:hAnsi="宋体" w:cs="Arial"/>
          <w:color w:val="000000"/>
        </w:rPr>
        <w:t>（1） 电子加密投标文件解密失败的；</w:t>
      </w:r>
    </w:p>
    <w:p w14:paraId="397A6B20">
      <w:pPr>
        <w:tabs>
          <w:tab w:val="left" w:pos="592"/>
        </w:tabs>
        <w:snapToGrid w:val="0"/>
        <w:spacing w:line="360" w:lineRule="auto"/>
        <w:rPr>
          <w:rFonts w:hint="eastAsia" w:ascii="Arial" w:hAnsi="宋体" w:cs="Arial"/>
          <w:color w:val="000000"/>
        </w:rPr>
      </w:pPr>
      <w:r>
        <w:rPr>
          <w:rFonts w:hint="eastAsia" w:ascii="Arial" w:hAnsi="宋体" w:cs="Arial"/>
          <w:color w:val="000000"/>
        </w:rPr>
        <w:t>（2） 投标报价不是唯一的；</w:t>
      </w:r>
    </w:p>
    <w:p w14:paraId="71CAA7BE">
      <w:pPr>
        <w:tabs>
          <w:tab w:val="left" w:pos="592"/>
        </w:tabs>
        <w:snapToGrid w:val="0"/>
        <w:spacing w:line="360" w:lineRule="auto"/>
        <w:rPr>
          <w:rFonts w:hint="eastAsia" w:ascii="Arial" w:hAnsi="宋体" w:cs="Arial"/>
          <w:color w:val="000000"/>
        </w:rPr>
      </w:pPr>
      <w:r>
        <w:rPr>
          <w:rFonts w:hint="eastAsia" w:ascii="Arial" w:hAnsi="宋体" w:cs="Arial"/>
          <w:color w:val="000000"/>
        </w:rPr>
        <w:t>（3） 投标报价超过任一综合单价限价的；</w:t>
      </w:r>
    </w:p>
    <w:p w14:paraId="7D8A3383">
      <w:pPr>
        <w:tabs>
          <w:tab w:val="left" w:pos="592"/>
        </w:tabs>
        <w:snapToGrid w:val="0"/>
        <w:spacing w:line="360" w:lineRule="auto"/>
        <w:rPr>
          <w:rFonts w:hint="eastAsia" w:ascii="Arial" w:hAnsi="宋体" w:cs="Arial"/>
          <w:color w:val="000000"/>
        </w:rPr>
      </w:pPr>
      <w:r>
        <w:rPr>
          <w:rFonts w:hint="eastAsia" w:ascii="Arial" w:hAnsi="宋体" w:cs="Arial"/>
          <w:color w:val="000000"/>
        </w:rPr>
        <w:t>（4） 投标有效期不足的；</w:t>
      </w:r>
    </w:p>
    <w:p w14:paraId="2228066D">
      <w:pPr>
        <w:tabs>
          <w:tab w:val="left" w:pos="592"/>
        </w:tabs>
        <w:snapToGrid w:val="0"/>
        <w:spacing w:line="360" w:lineRule="auto"/>
        <w:ind w:left="630" w:hanging="630" w:hangingChars="300"/>
        <w:rPr>
          <w:rFonts w:hint="eastAsia" w:ascii="Arial" w:hAnsi="宋体" w:cs="Arial"/>
          <w:color w:val="000000"/>
        </w:rPr>
      </w:pPr>
      <w:r>
        <w:rPr>
          <w:rFonts w:hint="eastAsia" w:ascii="Arial" w:hAnsi="宋体" w:cs="Arial"/>
          <w:color w:val="000000"/>
        </w:rPr>
        <w:t>（5） 单价与总价不相符，又不接受评标委员会修正的投标总价或投标明显不合理而投标供应商不能合理说明的；</w:t>
      </w:r>
    </w:p>
    <w:p w14:paraId="4AF888B5">
      <w:pPr>
        <w:tabs>
          <w:tab w:val="left" w:pos="592"/>
        </w:tabs>
        <w:snapToGrid w:val="0"/>
        <w:spacing w:line="360" w:lineRule="auto"/>
        <w:rPr>
          <w:rFonts w:hint="eastAsia" w:ascii="Arial" w:hAnsi="宋体" w:cs="Arial"/>
          <w:color w:val="000000"/>
        </w:rPr>
      </w:pPr>
      <w:r>
        <w:rPr>
          <w:rFonts w:hint="eastAsia" w:ascii="Arial" w:hAnsi="宋体" w:cs="Arial"/>
          <w:color w:val="000000"/>
        </w:rPr>
        <w:t>（6） 存在串标、抬标或弄虚作假情况的；</w:t>
      </w:r>
    </w:p>
    <w:p w14:paraId="3A245CB2">
      <w:pPr>
        <w:tabs>
          <w:tab w:val="left" w:pos="592"/>
        </w:tabs>
        <w:snapToGrid w:val="0"/>
        <w:spacing w:line="360" w:lineRule="auto"/>
        <w:rPr>
          <w:rFonts w:hint="eastAsia" w:ascii="Arial" w:hAnsi="宋体" w:cs="Arial"/>
          <w:color w:val="000000"/>
        </w:rPr>
      </w:pPr>
      <w:r>
        <w:rPr>
          <w:rFonts w:hint="eastAsia" w:ascii="Arial" w:hAnsi="宋体" w:cs="Arial"/>
          <w:color w:val="000000"/>
        </w:rPr>
        <w:t>（7）不具备招标文件中规定资格要求的；</w:t>
      </w:r>
    </w:p>
    <w:p w14:paraId="63A321D5">
      <w:pPr>
        <w:tabs>
          <w:tab w:val="left" w:pos="592"/>
        </w:tabs>
        <w:snapToGrid w:val="0"/>
        <w:spacing w:line="360" w:lineRule="auto"/>
        <w:rPr>
          <w:rFonts w:hint="eastAsia" w:ascii="Arial" w:hAnsi="宋体" w:cs="Arial"/>
          <w:color w:val="000000"/>
        </w:rPr>
      </w:pPr>
      <w:r>
        <w:rPr>
          <w:rFonts w:hint="eastAsia" w:ascii="Arial" w:hAnsi="宋体" w:cs="Arial"/>
          <w:color w:val="000000"/>
        </w:rPr>
        <w:t>（8）投标文件含有采购人不能接受的附加条件的；</w:t>
      </w:r>
    </w:p>
    <w:p w14:paraId="38C2339B">
      <w:pPr>
        <w:tabs>
          <w:tab w:val="left" w:pos="592"/>
        </w:tabs>
        <w:snapToGrid w:val="0"/>
        <w:spacing w:line="360" w:lineRule="auto"/>
        <w:rPr>
          <w:rFonts w:hint="eastAsia" w:ascii="Arial" w:hAnsi="宋体" w:cs="Arial"/>
          <w:color w:val="000000"/>
        </w:rPr>
      </w:pPr>
      <w:r>
        <w:rPr>
          <w:rFonts w:hint="eastAsia" w:ascii="Arial" w:hAnsi="宋体" w:cs="Arial"/>
          <w:color w:val="000000"/>
        </w:rPr>
        <w:t>（9）评标委员会认为投标文件未实质性响应招标文件的要求的；</w:t>
      </w:r>
    </w:p>
    <w:p w14:paraId="7D676545">
      <w:pPr>
        <w:tabs>
          <w:tab w:val="left" w:pos="592"/>
        </w:tabs>
        <w:snapToGrid w:val="0"/>
        <w:spacing w:line="360" w:lineRule="auto"/>
        <w:rPr>
          <w:rFonts w:hint="eastAsia" w:ascii="Arial" w:hAnsi="宋体" w:cs="Arial"/>
          <w:color w:val="000000"/>
        </w:rPr>
      </w:pPr>
      <w:r>
        <w:rPr>
          <w:rFonts w:hint="eastAsia" w:ascii="Arial" w:hAnsi="宋体" w:cs="Arial"/>
          <w:color w:val="000000"/>
        </w:rPr>
        <w:t>（10）授权代表未在投标文件中提供有效法定代表人授权委托书的；</w:t>
      </w:r>
    </w:p>
    <w:p w14:paraId="324CF5B8">
      <w:pPr>
        <w:tabs>
          <w:tab w:val="left" w:pos="592"/>
        </w:tabs>
        <w:snapToGrid w:val="0"/>
        <w:spacing w:line="360" w:lineRule="auto"/>
        <w:ind w:left="630" w:hanging="630" w:hangingChars="300"/>
        <w:rPr>
          <w:rFonts w:hint="eastAsia" w:ascii="Arial" w:hAnsi="宋体" w:cs="Arial"/>
          <w:color w:val="000000"/>
        </w:rPr>
      </w:pPr>
      <w:r>
        <w:rPr>
          <w:rFonts w:hint="eastAsia" w:ascii="Arial" w:hAnsi="宋体" w:cs="Arial"/>
          <w:color w:val="000000"/>
        </w:rPr>
        <w:t>（11）投标文件中需签字或盖章的地方未加盖投标供应商单位全称的公章，或使用投标专用章、合同章等类似图章代替，或未经法定代表人或其授权代表签字或盖章；</w:t>
      </w:r>
    </w:p>
    <w:p w14:paraId="3D102FAE">
      <w:pPr>
        <w:tabs>
          <w:tab w:val="left" w:pos="592"/>
        </w:tabs>
        <w:snapToGrid w:val="0"/>
        <w:spacing w:line="360" w:lineRule="auto"/>
        <w:rPr>
          <w:rFonts w:hint="eastAsia" w:ascii="Arial" w:hAnsi="宋体" w:cs="Arial"/>
          <w:color w:val="000000"/>
        </w:rPr>
      </w:pPr>
      <w:r>
        <w:rPr>
          <w:rFonts w:hint="eastAsia" w:ascii="Arial" w:hAnsi="宋体" w:cs="Arial"/>
          <w:color w:val="000000"/>
        </w:rPr>
        <w:t>（12）主要技术要求不满足招标文件的要求或有重大偏离，或者商务条款有重大偏离或保留的；</w:t>
      </w:r>
    </w:p>
    <w:p w14:paraId="09B835B5">
      <w:pPr>
        <w:tabs>
          <w:tab w:val="left" w:pos="592"/>
        </w:tabs>
        <w:snapToGrid w:val="0"/>
        <w:spacing w:line="360" w:lineRule="auto"/>
        <w:ind w:left="630" w:hanging="630" w:hangingChars="300"/>
        <w:rPr>
          <w:rFonts w:hint="eastAsia" w:ascii="Arial" w:hAnsi="宋体" w:cs="Arial"/>
          <w:color w:val="000000"/>
        </w:rPr>
      </w:pPr>
      <w:r>
        <w:rPr>
          <w:rFonts w:hint="eastAsia" w:ascii="Arial" w:hAnsi="宋体" w:cs="Arial"/>
          <w:color w:val="000000"/>
        </w:rPr>
        <w:t>（13）不符合法律、法规和招标文件中规定的其他实质性要求的。</w:t>
      </w:r>
    </w:p>
    <w:p w14:paraId="53B7C9AA">
      <w:pPr>
        <w:numPr>
          <w:ilvl w:val="1"/>
          <w:numId w:val="4"/>
        </w:numPr>
        <w:tabs>
          <w:tab w:val="left" w:pos="592"/>
        </w:tabs>
        <w:snapToGrid w:val="0"/>
        <w:spacing w:line="360" w:lineRule="auto"/>
        <w:ind w:left="588" w:hanging="588" w:hangingChars="280"/>
        <w:rPr>
          <w:rFonts w:ascii="Arial" w:hAnsi="Arial" w:cs="Arial"/>
          <w:bCs/>
          <w:color w:val="000000"/>
        </w:rPr>
      </w:pPr>
      <w:r>
        <w:rPr>
          <w:rFonts w:hint="eastAsia" w:ascii="Arial" w:hAnsi="Arial" w:cs="Arial"/>
          <w:bCs/>
          <w:color w:val="000000"/>
        </w:rPr>
        <w:t>澄清有关问题：</w:t>
      </w:r>
    </w:p>
    <w:p w14:paraId="0D4D1591">
      <w:pPr>
        <w:tabs>
          <w:tab w:val="left" w:pos="592"/>
        </w:tabs>
        <w:snapToGrid w:val="0"/>
        <w:spacing w:line="360" w:lineRule="auto"/>
        <w:ind w:left="638" w:leftChars="304"/>
        <w:rPr>
          <w:rFonts w:ascii="Arial" w:hAnsi="Arial" w:cs="Arial"/>
          <w:bCs/>
          <w:color w:val="000000"/>
        </w:rPr>
      </w:pPr>
      <w:r>
        <w:rPr>
          <w:rFonts w:hint="eastAsia" w:ascii="Arial" w:hAnsi="Arial" w:cs="Arial"/>
          <w:bCs/>
          <w:color w:val="000000"/>
        </w:rPr>
        <w:t>评标委员会对投标文件的资格性和符合性进行检查时，可以要求供应商对投标文件中含义不明确、同类问题表述不一致或者有明显文字和计算错误的内容进行澄清、说明或补正。需要供应商对其投标文件作出澄清、说明、补正的，代理机构将统一由“乐采云平台”发出通知，各供应商在30分钟内通过“乐采云平台”作出澄清、说明、补正，并不得超出投标文件的范围或者改变投标文件的实质性内容。</w:t>
      </w:r>
    </w:p>
    <w:p w14:paraId="72726BC0">
      <w:pPr>
        <w:numPr>
          <w:ilvl w:val="1"/>
          <w:numId w:val="4"/>
        </w:numPr>
        <w:tabs>
          <w:tab w:val="left" w:pos="592"/>
        </w:tabs>
        <w:snapToGrid w:val="0"/>
        <w:spacing w:line="360" w:lineRule="auto"/>
        <w:ind w:left="588" w:hanging="588" w:hangingChars="280"/>
        <w:rPr>
          <w:rFonts w:hint="eastAsia" w:ascii="Arial" w:hAnsi="宋体" w:cs="Arial"/>
          <w:color w:val="000000"/>
        </w:rPr>
      </w:pPr>
      <w:r>
        <w:rPr>
          <w:rFonts w:hint="eastAsia" w:ascii="Arial" w:hAnsi="Arial" w:cs="Arial"/>
          <w:bCs/>
          <w:color w:val="000000"/>
        </w:rPr>
        <w:t>如评标委员会一致认为某个投标供应商的报价明显不合理，有降低服务质量、不能诚信履行及不正当竞争的可能时，评标委员会有权通知投标供应商限期进行解释。若该投标供应商未在规定期限内做出解释，或做出的解释不合理，经评标委员会取得一致意见后，可否决该投标。</w:t>
      </w:r>
    </w:p>
    <w:p w14:paraId="6DC80D2A">
      <w:pPr>
        <w:numPr>
          <w:ilvl w:val="0"/>
          <w:numId w:val="4"/>
        </w:numPr>
        <w:spacing w:line="360" w:lineRule="auto"/>
        <w:ind w:left="841" w:hanging="841" w:hangingChars="399"/>
        <w:rPr>
          <w:rFonts w:ascii="Arial" w:hAnsi="Arial" w:cs="Arial"/>
          <w:b/>
          <w:bCs/>
          <w:color w:val="000000"/>
        </w:rPr>
      </w:pPr>
      <w:r>
        <w:rPr>
          <w:rFonts w:ascii="Arial" w:hAnsi="宋体" w:cs="Arial"/>
          <w:b/>
          <w:bCs/>
          <w:color w:val="000000"/>
        </w:rPr>
        <w:t>评标过程保密</w:t>
      </w:r>
    </w:p>
    <w:p w14:paraId="46F79223">
      <w:pPr>
        <w:numPr>
          <w:ilvl w:val="1"/>
          <w:numId w:val="4"/>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开标之后，直到授予投标供应商合同止，凡是属于审查、澄清、评价和比较投标的有关资料以及授标意向等，均不得向投标供应商或其他无关的人员透露。</w:t>
      </w:r>
    </w:p>
    <w:p w14:paraId="6A955D14">
      <w:pPr>
        <w:numPr>
          <w:ilvl w:val="1"/>
          <w:numId w:val="4"/>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在评标期间，投标供应商企图影响</w:t>
      </w:r>
      <w:r>
        <w:rPr>
          <w:rFonts w:hint="eastAsia" w:ascii="Arial" w:hAnsi="宋体" w:cs="Arial"/>
          <w:color w:val="000000"/>
        </w:rPr>
        <w:t>采购人</w:t>
      </w:r>
      <w:r>
        <w:rPr>
          <w:rFonts w:ascii="Arial" w:hAnsi="宋体" w:cs="Arial"/>
          <w:color w:val="000000"/>
        </w:rPr>
        <w:t>或评标委员会的任何活动，都将导致投标被</w:t>
      </w:r>
      <w:r>
        <w:rPr>
          <w:rFonts w:hint="eastAsia" w:ascii="Arial" w:hAnsi="宋体" w:cs="Arial"/>
          <w:color w:val="000000"/>
        </w:rPr>
        <w:t>否决</w:t>
      </w:r>
      <w:r>
        <w:rPr>
          <w:rFonts w:ascii="Arial" w:hAnsi="宋体" w:cs="Arial"/>
          <w:color w:val="000000"/>
        </w:rPr>
        <w:t>，并由其承担相应的法律责任。</w:t>
      </w:r>
    </w:p>
    <w:p w14:paraId="66A8C19C">
      <w:pPr>
        <w:numPr>
          <w:ilvl w:val="0"/>
          <w:numId w:val="4"/>
        </w:numPr>
        <w:spacing w:line="360" w:lineRule="auto"/>
        <w:ind w:left="841" w:hanging="841" w:hangingChars="399"/>
        <w:rPr>
          <w:rFonts w:hint="eastAsia" w:ascii="Arial" w:hAnsi="宋体" w:cs="Arial"/>
          <w:b/>
          <w:bCs/>
          <w:color w:val="000000"/>
        </w:rPr>
      </w:pPr>
      <w:r>
        <w:rPr>
          <w:rFonts w:hint="eastAsia" w:ascii="Arial" w:hAnsi="宋体" w:cs="Arial"/>
          <w:b/>
          <w:bCs/>
          <w:color w:val="000000"/>
        </w:rPr>
        <w:t>废标</w:t>
      </w:r>
    </w:p>
    <w:p w14:paraId="13A0F469">
      <w:pPr>
        <w:tabs>
          <w:tab w:val="left" w:pos="592"/>
        </w:tabs>
        <w:snapToGrid w:val="0"/>
        <w:spacing w:line="360" w:lineRule="auto"/>
        <w:rPr>
          <w:rFonts w:ascii="Arial" w:hAnsi="Arial" w:cs="Arial"/>
          <w:bCs/>
          <w:color w:val="000000"/>
        </w:rPr>
      </w:pPr>
      <w:r>
        <w:rPr>
          <w:rFonts w:hint="eastAsia" w:ascii="Arial" w:hAnsi="Arial" w:cs="Arial"/>
          <w:bCs/>
          <w:color w:val="000000"/>
        </w:rPr>
        <w:t>32.1  在采购中，出现下列情形之一的，应予废标：</w:t>
      </w:r>
    </w:p>
    <w:p w14:paraId="53D500F1">
      <w:pPr>
        <w:snapToGrid w:val="0"/>
        <w:spacing w:line="360" w:lineRule="auto"/>
        <w:rPr>
          <w:rFonts w:ascii="Arial" w:hAnsi="Arial" w:cs="Arial"/>
          <w:bCs/>
          <w:color w:val="000000"/>
        </w:rPr>
      </w:pPr>
      <w:r>
        <w:rPr>
          <w:rFonts w:hint="eastAsia" w:ascii="Arial" w:hAnsi="Arial" w:cs="Arial"/>
          <w:bCs/>
          <w:color w:val="000000"/>
        </w:rPr>
        <w:t>（1） 出现影响采购公正的违法、违规行为的；</w:t>
      </w:r>
    </w:p>
    <w:p w14:paraId="161C6D64">
      <w:pPr>
        <w:snapToGrid w:val="0"/>
        <w:spacing w:line="360" w:lineRule="auto"/>
        <w:rPr>
          <w:rFonts w:ascii="Arial" w:hAnsi="Arial" w:cs="Arial"/>
          <w:bCs/>
          <w:color w:val="000000"/>
        </w:rPr>
      </w:pPr>
      <w:r>
        <w:rPr>
          <w:rFonts w:hint="eastAsia" w:ascii="Arial" w:hAnsi="Arial" w:cs="Arial"/>
          <w:bCs/>
          <w:color w:val="000000"/>
        </w:rPr>
        <w:t xml:space="preserve">（2） 供应商的报价均超过了采购预算，采购人不能支付的； </w:t>
      </w:r>
    </w:p>
    <w:p w14:paraId="12B4F471">
      <w:pPr>
        <w:snapToGrid w:val="0"/>
        <w:spacing w:line="360" w:lineRule="auto"/>
        <w:rPr>
          <w:rFonts w:ascii="Arial" w:hAnsi="Arial" w:cs="Arial"/>
          <w:bCs/>
          <w:color w:val="000000"/>
        </w:rPr>
      </w:pPr>
      <w:r>
        <w:rPr>
          <w:rFonts w:hint="eastAsia" w:ascii="Arial" w:hAnsi="Arial" w:cs="Arial"/>
          <w:bCs/>
          <w:color w:val="000000"/>
        </w:rPr>
        <w:t>（3） 因重大变故，采购任务取消的；</w:t>
      </w:r>
    </w:p>
    <w:p w14:paraId="72E6BD07">
      <w:pPr>
        <w:snapToGrid w:val="0"/>
        <w:spacing w:line="360" w:lineRule="auto"/>
        <w:rPr>
          <w:rFonts w:ascii="Arial" w:hAnsi="Arial" w:cs="Arial"/>
          <w:bCs/>
          <w:color w:val="000000"/>
        </w:rPr>
      </w:pPr>
      <w:r>
        <w:rPr>
          <w:rFonts w:hint="eastAsia" w:ascii="Arial" w:hAnsi="Arial" w:cs="Arial"/>
          <w:bCs/>
          <w:color w:val="000000"/>
        </w:rPr>
        <w:t>（4） 电子交易平台无法正常运行，无法保证电子交易的公平、公正和安全的情况；</w:t>
      </w:r>
    </w:p>
    <w:p w14:paraId="7655AEF1">
      <w:pPr>
        <w:pStyle w:val="31"/>
        <w:rPr>
          <w:rFonts w:ascii="Arial" w:hAnsi="Arial" w:eastAsia="宋体" w:cs="Arial"/>
          <w:bCs/>
          <w:kern w:val="2"/>
          <w:sz w:val="21"/>
        </w:rPr>
      </w:pPr>
      <w:r>
        <w:rPr>
          <w:rFonts w:hint="eastAsia" w:ascii="Arial" w:hAnsi="Arial" w:eastAsia="宋体" w:cs="Arial"/>
          <w:bCs/>
          <w:kern w:val="2"/>
          <w:sz w:val="21"/>
        </w:rPr>
        <w:t>（5）法律法规规定的其他情形。</w:t>
      </w:r>
    </w:p>
    <w:p w14:paraId="49A72EE5">
      <w:pPr>
        <w:numPr>
          <w:ilvl w:val="0"/>
          <w:numId w:val="4"/>
        </w:numPr>
        <w:spacing w:line="360" w:lineRule="auto"/>
        <w:ind w:left="841" w:hanging="841" w:hangingChars="399"/>
        <w:rPr>
          <w:rFonts w:ascii="Arial" w:hAnsi="Arial" w:cs="Arial"/>
          <w:b/>
          <w:color w:val="000000"/>
        </w:rPr>
      </w:pPr>
      <w:r>
        <w:rPr>
          <w:rFonts w:hint="eastAsia" w:ascii="Arial" w:hAnsi="Arial" w:cs="Arial"/>
          <w:b/>
          <w:color w:val="000000"/>
        </w:rPr>
        <w:t>可中止电子交易活动的情形</w:t>
      </w:r>
    </w:p>
    <w:p w14:paraId="49935F09">
      <w:pPr>
        <w:tabs>
          <w:tab w:val="left" w:pos="592"/>
        </w:tabs>
        <w:snapToGrid w:val="0"/>
        <w:spacing w:line="360" w:lineRule="auto"/>
        <w:ind w:left="630" w:hanging="630" w:hangingChars="300"/>
        <w:rPr>
          <w:rFonts w:ascii="Arial" w:hAnsi="Arial" w:cs="Arial"/>
          <w:bCs/>
          <w:color w:val="000000"/>
        </w:rPr>
      </w:pPr>
      <w:r>
        <w:rPr>
          <w:rFonts w:hint="eastAsia" w:ascii="Arial" w:hAnsi="Arial" w:cs="Arial"/>
          <w:bCs/>
          <w:color w:val="000000"/>
        </w:rPr>
        <w:t>33.1  采购过程中出现以下情形，导致电子交易平台无法正常运行，或者无法保证电子交易的公平、公正和安全时，采购组织机构可中止电子交易活动：</w:t>
      </w:r>
    </w:p>
    <w:p w14:paraId="06D4061B">
      <w:pPr>
        <w:tabs>
          <w:tab w:val="left" w:pos="592"/>
        </w:tabs>
        <w:snapToGrid w:val="0"/>
        <w:spacing w:line="360" w:lineRule="auto"/>
        <w:rPr>
          <w:rFonts w:ascii="Arial" w:hAnsi="Arial" w:cs="Arial"/>
          <w:bCs/>
          <w:color w:val="000000"/>
        </w:rPr>
      </w:pPr>
      <w:r>
        <w:rPr>
          <w:rFonts w:hint="eastAsia" w:ascii="Arial" w:hAnsi="Arial" w:cs="Arial"/>
          <w:bCs/>
          <w:color w:val="000000"/>
        </w:rPr>
        <w:t>（1） 电子交易平台发生故障而无法登录访问的；</w:t>
      </w:r>
    </w:p>
    <w:p w14:paraId="3AEC14F9">
      <w:pPr>
        <w:tabs>
          <w:tab w:val="left" w:pos="592"/>
        </w:tabs>
        <w:snapToGrid w:val="0"/>
        <w:spacing w:line="360" w:lineRule="auto"/>
        <w:rPr>
          <w:rFonts w:ascii="Arial" w:hAnsi="Arial" w:cs="Arial"/>
          <w:bCs/>
          <w:color w:val="000000"/>
        </w:rPr>
      </w:pPr>
      <w:r>
        <w:rPr>
          <w:rFonts w:hint="eastAsia" w:ascii="Arial" w:hAnsi="Arial" w:cs="Arial"/>
          <w:bCs/>
          <w:color w:val="000000"/>
        </w:rPr>
        <w:t>（2） 电子交易平台应用或数据库出现错误，不能进行正常操作的；</w:t>
      </w:r>
    </w:p>
    <w:p w14:paraId="3E52E2D6">
      <w:pPr>
        <w:tabs>
          <w:tab w:val="left" w:pos="592"/>
        </w:tabs>
        <w:snapToGrid w:val="0"/>
        <w:spacing w:line="360" w:lineRule="auto"/>
        <w:rPr>
          <w:rFonts w:ascii="Arial" w:hAnsi="Arial" w:cs="Arial"/>
          <w:bCs/>
          <w:color w:val="000000"/>
        </w:rPr>
      </w:pPr>
      <w:r>
        <w:rPr>
          <w:rFonts w:hint="eastAsia" w:ascii="Arial" w:hAnsi="Arial" w:cs="Arial"/>
          <w:bCs/>
          <w:color w:val="000000"/>
        </w:rPr>
        <w:t>（3） 电子交易平台发现严重安全漏洞，有潜在泄密危险的；</w:t>
      </w:r>
    </w:p>
    <w:p w14:paraId="1CCBB9BE">
      <w:pPr>
        <w:tabs>
          <w:tab w:val="left" w:pos="592"/>
        </w:tabs>
        <w:snapToGrid w:val="0"/>
        <w:spacing w:line="360" w:lineRule="auto"/>
        <w:rPr>
          <w:rFonts w:ascii="Arial" w:hAnsi="Arial" w:cs="Arial"/>
          <w:bCs/>
          <w:color w:val="000000"/>
        </w:rPr>
      </w:pPr>
      <w:r>
        <w:rPr>
          <w:rFonts w:hint="eastAsia" w:ascii="Arial" w:hAnsi="Arial" w:cs="Arial"/>
          <w:bCs/>
          <w:color w:val="000000"/>
        </w:rPr>
        <w:t>（4） 病毒发作导致不能进行正常操作的；</w:t>
      </w:r>
    </w:p>
    <w:p w14:paraId="048F6CD6">
      <w:pPr>
        <w:tabs>
          <w:tab w:val="left" w:pos="592"/>
        </w:tabs>
        <w:snapToGrid w:val="0"/>
        <w:spacing w:line="360" w:lineRule="auto"/>
        <w:rPr>
          <w:rFonts w:ascii="Arial" w:hAnsi="Arial" w:cs="Arial"/>
          <w:bCs/>
          <w:color w:val="000000"/>
        </w:rPr>
      </w:pPr>
      <w:r>
        <w:rPr>
          <w:rFonts w:hint="eastAsia" w:ascii="Arial" w:hAnsi="Arial" w:cs="Arial"/>
          <w:bCs/>
          <w:color w:val="000000"/>
        </w:rPr>
        <w:t>（5） 其他无法保证电子交易的公平、公正和安全的情况。</w:t>
      </w:r>
    </w:p>
    <w:p w14:paraId="00E0AA1B">
      <w:pPr>
        <w:tabs>
          <w:tab w:val="left" w:pos="592"/>
        </w:tabs>
        <w:snapToGrid w:val="0"/>
        <w:spacing w:line="360" w:lineRule="auto"/>
        <w:ind w:left="630" w:hanging="630" w:hangingChars="300"/>
        <w:rPr>
          <w:color w:val="000000"/>
        </w:rPr>
      </w:pPr>
      <w:r>
        <w:rPr>
          <w:rFonts w:hint="eastAsia" w:ascii="Arial" w:hAnsi="Arial" w:cs="Arial"/>
          <w:bCs/>
          <w:color w:val="000000"/>
        </w:rPr>
        <w:t>33.2   出现前款规定情形，不影响采购公平、公正性的，采购组织机构可以待上述情形消除后继续组织电子交易活动；影响或可能影响采购公平、公正性的，应当重新采购。</w:t>
      </w:r>
    </w:p>
    <w:p w14:paraId="58E4689A">
      <w:pPr>
        <w:numPr>
          <w:ilvl w:val="0"/>
          <w:numId w:val="4"/>
        </w:numPr>
        <w:spacing w:line="360" w:lineRule="auto"/>
        <w:ind w:left="841" w:hanging="841" w:hangingChars="399"/>
        <w:rPr>
          <w:rFonts w:ascii="Arial" w:hAnsi="Arial" w:cs="Arial"/>
          <w:b/>
          <w:color w:val="000000"/>
        </w:rPr>
      </w:pPr>
      <w:r>
        <w:rPr>
          <w:rFonts w:ascii="Arial" w:hAnsi="宋体" w:cs="Arial"/>
          <w:b/>
          <w:color w:val="000000"/>
        </w:rPr>
        <w:t>中标供应商的确定</w:t>
      </w:r>
    </w:p>
    <w:p w14:paraId="6D6912D8">
      <w:pPr>
        <w:numPr>
          <w:ilvl w:val="1"/>
          <w:numId w:val="4"/>
        </w:numPr>
        <w:tabs>
          <w:tab w:val="left" w:pos="592"/>
        </w:tabs>
        <w:snapToGrid w:val="0"/>
        <w:spacing w:line="360" w:lineRule="auto"/>
        <w:ind w:left="588" w:hanging="588" w:hangingChars="280"/>
        <w:rPr>
          <w:rFonts w:ascii="Arial" w:hAnsi="Arial" w:cs="Arial"/>
          <w:color w:val="000000"/>
          <w:spacing w:val="-6"/>
        </w:rPr>
      </w:pPr>
      <w:r>
        <w:rPr>
          <w:rFonts w:hint="eastAsia" w:ascii="Arial" w:hAnsi="Arial"/>
        </w:rPr>
        <w:t>采购人按评审委员会的评审结果，在评审委员会推荐的预选中标供应商中依法确定排名第一名为中标供应商，公示一个工作日</w:t>
      </w:r>
      <w:r>
        <w:rPr>
          <w:rFonts w:hint="eastAsia" w:ascii="Arial" w:hAnsi="Arial"/>
          <w:color w:val="000000"/>
          <w:spacing w:val="-6"/>
        </w:rPr>
        <w:t>。</w:t>
      </w:r>
    </w:p>
    <w:p w14:paraId="57AAFD36">
      <w:pPr>
        <w:numPr>
          <w:ilvl w:val="0"/>
          <w:numId w:val="4"/>
        </w:numPr>
        <w:spacing w:line="360" w:lineRule="auto"/>
        <w:ind w:left="841" w:hanging="841" w:hangingChars="399"/>
        <w:rPr>
          <w:rFonts w:ascii="Arial" w:hAnsi="Arial" w:cs="Arial"/>
          <w:b/>
          <w:color w:val="000000"/>
        </w:rPr>
      </w:pPr>
      <w:r>
        <w:rPr>
          <w:rFonts w:hint="eastAsia" w:ascii="Arial" w:hAnsi="宋体" w:cs="Arial"/>
          <w:b/>
          <w:color w:val="000000"/>
        </w:rPr>
        <w:t>否决</w:t>
      </w:r>
      <w:r>
        <w:rPr>
          <w:rFonts w:ascii="Arial" w:hAnsi="宋体" w:cs="Arial"/>
          <w:b/>
          <w:color w:val="000000"/>
        </w:rPr>
        <w:t>任何或所有投标的权利</w:t>
      </w:r>
    </w:p>
    <w:p w14:paraId="2A1620E6">
      <w:pPr>
        <w:numPr>
          <w:ilvl w:val="1"/>
          <w:numId w:val="4"/>
        </w:numPr>
        <w:tabs>
          <w:tab w:val="left" w:pos="592"/>
        </w:tabs>
        <w:snapToGrid w:val="0"/>
        <w:spacing w:line="360" w:lineRule="auto"/>
        <w:ind w:left="577" w:hanging="576" w:hangingChars="280"/>
        <w:rPr>
          <w:rFonts w:ascii="Arial" w:hAnsi="Arial" w:cs="Arial"/>
          <w:color w:val="000000"/>
        </w:rPr>
      </w:pPr>
      <w:r>
        <w:rPr>
          <w:rFonts w:ascii="Arial" w:hAnsi="宋体" w:cs="Arial"/>
          <w:color w:val="000000"/>
          <w:spacing w:val="-2"/>
        </w:rPr>
        <w:t>评标委员会经评审，认为任何或所有投标都不符合招标文件要求的，可以否决任何或所有投标</w:t>
      </w:r>
      <w:r>
        <w:rPr>
          <w:rFonts w:ascii="Arial" w:hAnsi="宋体" w:cs="Arial"/>
          <w:color w:val="000000"/>
        </w:rPr>
        <w:t>。</w:t>
      </w:r>
    </w:p>
    <w:p w14:paraId="672EA994">
      <w:pPr>
        <w:numPr>
          <w:ilvl w:val="1"/>
          <w:numId w:val="4"/>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若在开、评标期间出现符合条件的投标供应商或者对招标文件作出实质响应的投标供应商（有效投标）不足三家，按</w:t>
      </w:r>
      <w:r>
        <w:rPr>
          <w:rFonts w:hint="eastAsia" w:ascii="Arial" w:hAnsi="宋体" w:cs="Arial"/>
          <w:color w:val="000000"/>
        </w:rPr>
        <w:t>国企</w:t>
      </w:r>
      <w:r>
        <w:rPr>
          <w:rFonts w:ascii="Arial" w:hAnsi="宋体" w:cs="Arial"/>
          <w:color w:val="000000"/>
        </w:rPr>
        <w:t>采购有关规定执行。</w:t>
      </w:r>
    </w:p>
    <w:p w14:paraId="767E6B39">
      <w:pPr>
        <w:numPr>
          <w:ilvl w:val="1"/>
          <w:numId w:val="4"/>
        </w:numPr>
        <w:tabs>
          <w:tab w:val="left" w:pos="592"/>
        </w:tabs>
        <w:snapToGrid w:val="0"/>
        <w:spacing w:line="360" w:lineRule="auto"/>
        <w:ind w:left="577" w:hanging="576" w:hangingChars="280"/>
        <w:rPr>
          <w:rFonts w:ascii="Arial" w:hAnsi="Arial" w:cs="Arial"/>
          <w:color w:val="000000"/>
        </w:rPr>
      </w:pPr>
      <w:r>
        <w:rPr>
          <w:rFonts w:hint="eastAsia" w:ascii="Arial" w:hAnsi="宋体" w:cs="Arial"/>
          <w:spacing w:val="-2"/>
        </w:rPr>
        <w:t>排名第一名或第二名的预选中标供应商放弃中标；因不可抗力提出不能履行合同；或者招标文件规定应当提交履约保证金而在规定的期限内未能提交的；或未能在规定时间内与采购人签订合同的；或者经质疑，采购人审查后，确因排名第一名或第二名的预选中标供应商在本次招标活动中存在违法违规行为或其他原因使质疑成立的；采购人可视具体情况确定是否由排名第三的预选中标供应商为中标供应商，以此类推</w:t>
      </w:r>
      <w:r>
        <w:rPr>
          <w:rFonts w:ascii="Arial" w:hAnsi="宋体" w:cs="Arial"/>
          <w:color w:val="000000"/>
        </w:rPr>
        <w:t>。</w:t>
      </w:r>
    </w:p>
    <w:p w14:paraId="5BBFDBCE">
      <w:pPr>
        <w:numPr>
          <w:ilvl w:val="0"/>
          <w:numId w:val="4"/>
        </w:numPr>
        <w:spacing w:line="360" w:lineRule="auto"/>
        <w:ind w:left="841" w:hanging="841" w:hangingChars="399"/>
        <w:rPr>
          <w:rFonts w:ascii="Arial" w:hAnsi="Arial" w:cs="Arial"/>
          <w:b/>
          <w:color w:val="000000"/>
        </w:rPr>
      </w:pPr>
      <w:r>
        <w:rPr>
          <w:rFonts w:ascii="Arial" w:hAnsi="宋体" w:cs="Arial"/>
          <w:b/>
          <w:color w:val="000000"/>
        </w:rPr>
        <w:t>评标结果质疑与投诉</w:t>
      </w:r>
    </w:p>
    <w:p w14:paraId="230F2189">
      <w:pPr>
        <w:numPr>
          <w:ilvl w:val="1"/>
          <w:numId w:val="4"/>
        </w:numPr>
        <w:tabs>
          <w:tab w:val="left" w:pos="592"/>
        </w:tabs>
        <w:snapToGrid w:val="0"/>
        <w:spacing w:line="360" w:lineRule="auto"/>
        <w:ind w:left="588" w:hanging="588" w:hangingChars="280"/>
        <w:rPr>
          <w:rFonts w:hint="eastAsia" w:ascii="Arial" w:hAnsi="宋体" w:cs="Arial"/>
          <w:color w:val="000000"/>
        </w:rPr>
      </w:pPr>
      <w:bookmarkStart w:id="78" w:name="_Toc495977859"/>
      <w:r>
        <w:rPr>
          <w:rFonts w:hint="eastAsia" w:ascii="Arial" w:hAnsi="宋体" w:cs="Arial"/>
          <w:color w:val="000000"/>
        </w:rPr>
        <w:t>投标供应商认为采购文件使自己的权益受到损害的，可以自获取招标文件之日或者采购文件公告期限届满之日（公告期限届满后获取采购文件的，以公告期限届满之日为准）起5个工作日内，以书面形式向采购人和采购代理机构提出质疑。质疑投标供应商对采购人、采购代理机构的答复不满意或者采购人、采购代理机构未在规定的时间内作出答复的，可以在答复期满后十五个工作日内向同级采购监管部门投诉。质疑函范本、投诉书范本请到浙江政府采购网下载专区下载。</w:t>
      </w:r>
    </w:p>
    <w:p w14:paraId="4EAE55B3">
      <w:pPr>
        <w:numPr>
          <w:ilvl w:val="1"/>
          <w:numId w:val="4"/>
        </w:numPr>
        <w:tabs>
          <w:tab w:val="left" w:pos="592"/>
        </w:tabs>
        <w:snapToGrid w:val="0"/>
        <w:spacing w:line="360" w:lineRule="auto"/>
        <w:ind w:left="588" w:hanging="588" w:hangingChars="280"/>
        <w:rPr>
          <w:rFonts w:hint="eastAsia" w:ascii="Arial" w:hAnsi="宋体" w:cs="Arial"/>
          <w:color w:val="000000"/>
        </w:rPr>
      </w:pPr>
      <w:r>
        <w:rPr>
          <w:rFonts w:hint="eastAsia" w:ascii="Arial" w:hAnsi="宋体" w:cs="Arial"/>
          <w:color w:val="000000"/>
        </w:rPr>
        <w:t>质疑、投诉应当采用书面形式，质疑书、投诉书均应明确阐述招标文件、招标过程和中标结果中使自己合法权益受到损害的实质性内容，提供相关事实、依据和证据及其来源或线索，便于有关单位调查、答复和处理。</w:t>
      </w:r>
      <w:r>
        <w:rPr>
          <w:rFonts w:hint="eastAsia" w:ascii="宋体" w:hAnsi="宋体" w:cs="宋体"/>
          <w:color w:val="000000"/>
        </w:rPr>
        <w:t>投标供应商在法定质疑期内应一次性提出针对同一采购程序环节的质疑。</w:t>
      </w:r>
    </w:p>
    <w:p w14:paraId="344E7484">
      <w:pPr>
        <w:numPr>
          <w:ilvl w:val="0"/>
          <w:numId w:val="10"/>
        </w:numPr>
        <w:tabs>
          <w:tab w:val="left" w:pos="900"/>
        </w:tabs>
        <w:spacing w:line="360" w:lineRule="auto"/>
        <w:ind w:left="840" w:leftChars="400"/>
        <w:rPr>
          <w:rFonts w:hint="eastAsia" w:ascii="Arial" w:hAnsi="宋体" w:cs="Arial"/>
          <w:color w:val="000000"/>
        </w:rPr>
      </w:pPr>
      <w:r>
        <w:rPr>
          <w:rFonts w:hint="eastAsia" w:ascii="Arial" w:hAnsi="宋体" w:cs="Arial"/>
          <w:color w:val="000000"/>
        </w:rPr>
        <w:t>质疑受理机构：浙江信达咨询监理有限公司</w:t>
      </w:r>
    </w:p>
    <w:p w14:paraId="19D66AC5">
      <w:pPr>
        <w:tabs>
          <w:tab w:val="left" w:pos="900"/>
        </w:tabs>
        <w:spacing w:line="360" w:lineRule="auto"/>
        <w:ind w:left="840" w:leftChars="400" w:firstLine="420" w:firstLineChars="200"/>
        <w:rPr>
          <w:rFonts w:hint="eastAsia" w:ascii="Arial" w:hAnsi="宋体" w:cs="Arial"/>
          <w:color w:val="000000"/>
        </w:rPr>
      </w:pPr>
      <w:r>
        <w:rPr>
          <w:rFonts w:hint="eastAsia" w:ascii="Arial" w:hAnsi="宋体" w:cs="Arial"/>
          <w:color w:val="000000"/>
        </w:rPr>
        <w:t>联系地址：文成县大峃镇金龙公寓上首201室</w:t>
      </w:r>
    </w:p>
    <w:p w14:paraId="4761666C">
      <w:pPr>
        <w:tabs>
          <w:tab w:val="left" w:pos="900"/>
        </w:tabs>
        <w:spacing w:line="360" w:lineRule="auto"/>
        <w:ind w:firstLine="1260" w:firstLineChars="600"/>
        <w:rPr>
          <w:rFonts w:hint="eastAsia" w:ascii="Arial" w:hAnsi="宋体" w:cs="Arial"/>
          <w:color w:val="000000"/>
        </w:rPr>
      </w:pPr>
      <w:r>
        <w:rPr>
          <w:rFonts w:hint="eastAsia" w:ascii="Arial" w:hAnsi="宋体" w:cs="Arial"/>
          <w:color w:val="000000"/>
        </w:rPr>
        <w:t xml:space="preserve">联系电话：13868685553 </w:t>
      </w:r>
    </w:p>
    <w:p w14:paraId="25C59CD7">
      <w:pPr>
        <w:tabs>
          <w:tab w:val="left" w:pos="900"/>
        </w:tabs>
        <w:spacing w:line="360" w:lineRule="auto"/>
        <w:rPr>
          <w:rFonts w:hint="eastAsia" w:ascii="Arial" w:hAnsi="宋体" w:cs="Arial"/>
          <w:color w:val="000000"/>
          <w:highlight w:val="yellow"/>
        </w:rPr>
      </w:pPr>
    </w:p>
    <w:p w14:paraId="4E7473EA">
      <w:pPr>
        <w:spacing w:line="360" w:lineRule="auto"/>
        <w:jc w:val="center"/>
        <w:outlineLvl w:val="1"/>
        <w:rPr>
          <w:rFonts w:hint="eastAsia" w:ascii="Arial" w:hAnsi="宋体" w:cs="Arial"/>
          <w:b/>
          <w:bCs/>
          <w:color w:val="000000"/>
          <w:sz w:val="28"/>
        </w:rPr>
      </w:pPr>
      <w:bookmarkStart w:id="79" w:name="_Toc29542"/>
      <w:r>
        <w:rPr>
          <w:rFonts w:ascii="Arial" w:hAnsi="宋体" w:cs="Arial"/>
          <w:b/>
          <w:bCs/>
          <w:color w:val="000000"/>
          <w:sz w:val="28"/>
        </w:rPr>
        <w:t>（</w:t>
      </w:r>
      <w:r>
        <w:rPr>
          <w:rFonts w:hint="eastAsia" w:ascii="Arial" w:hAnsi="宋体" w:cs="Arial"/>
          <w:b/>
          <w:bCs/>
          <w:color w:val="000000"/>
          <w:sz w:val="28"/>
        </w:rPr>
        <w:t>七</w:t>
      </w:r>
      <w:r>
        <w:rPr>
          <w:rFonts w:ascii="Arial" w:hAnsi="宋体" w:cs="Arial"/>
          <w:b/>
          <w:bCs/>
          <w:color w:val="000000"/>
          <w:sz w:val="28"/>
        </w:rPr>
        <w:t>）授予合同</w:t>
      </w:r>
      <w:bookmarkEnd w:id="78"/>
      <w:bookmarkEnd w:id="79"/>
    </w:p>
    <w:p w14:paraId="146655D5">
      <w:pPr>
        <w:numPr>
          <w:ilvl w:val="0"/>
          <w:numId w:val="4"/>
        </w:numPr>
        <w:snapToGrid w:val="0"/>
        <w:spacing w:line="360" w:lineRule="auto"/>
        <w:ind w:left="961" w:hanging="961" w:hangingChars="399"/>
        <w:rPr>
          <w:rFonts w:ascii="Arial" w:hAnsi="Arial" w:cs="Arial"/>
          <w:b/>
          <w:color w:val="000000"/>
          <w:sz w:val="24"/>
        </w:rPr>
      </w:pPr>
      <w:r>
        <w:rPr>
          <w:rFonts w:ascii="Arial" w:hAnsi="宋体" w:cs="Arial"/>
          <w:b/>
          <w:color w:val="000000"/>
          <w:sz w:val="24"/>
        </w:rPr>
        <w:t>中标通知</w:t>
      </w:r>
    </w:p>
    <w:p w14:paraId="7AA4F0C2">
      <w:pPr>
        <w:numPr>
          <w:ilvl w:val="1"/>
          <w:numId w:val="4"/>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在投标有效期期满之前，</w:t>
      </w:r>
      <w:r>
        <w:rPr>
          <w:rFonts w:hint="eastAsia" w:ascii="Arial" w:hAnsi="宋体" w:cs="Arial"/>
          <w:color w:val="000000"/>
        </w:rPr>
        <w:t>采购人</w:t>
      </w:r>
      <w:r>
        <w:rPr>
          <w:rFonts w:ascii="Arial" w:hAnsi="宋体" w:cs="Arial"/>
          <w:color w:val="000000"/>
        </w:rPr>
        <w:t>将用书面形式向获接受的投标供应商发出书面的《中标通知书》。</w:t>
      </w:r>
    </w:p>
    <w:p w14:paraId="39C5FD55">
      <w:pPr>
        <w:numPr>
          <w:ilvl w:val="1"/>
          <w:numId w:val="4"/>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《中标通知书》将是合同的一个组成部分。</w:t>
      </w:r>
    </w:p>
    <w:p w14:paraId="60D731EA">
      <w:pPr>
        <w:numPr>
          <w:ilvl w:val="0"/>
          <w:numId w:val="4"/>
        </w:numPr>
        <w:snapToGrid w:val="0"/>
        <w:spacing w:line="360" w:lineRule="auto"/>
        <w:ind w:left="961" w:hanging="961" w:hangingChars="399"/>
        <w:rPr>
          <w:rFonts w:ascii="Arial" w:hAnsi="Arial" w:cs="Arial"/>
          <w:b/>
          <w:color w:val="000000"/>
          <w:sz w:val="24"/>
        </w:rPr>
      </w:pPr>
      <w:r>
        <w:rPr>
          <w:rFonts w:ascii="Arial" w:hAnsi="宋体" w:cs="Arial"/>
          <w:b/>
          <w:color w:val="000000"/>
          <w:sz w:val="24"/>
        </w:rPr>
        <w:t>签订合同</w:t>
      </w:r>
    </w:p>
    <w:p w14:paraId="082DFF46">
      <w:pPr>
        <w:numPr>
          <w:ilvl w:val="1"/>
          <w:numId w:val="4"/>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在收到《中标通知书》后</w:t>
      </w:r>
      <w:r>
        <w:rPr>
          <w:rFonts w:hint="eastAsia" w:ascii="Arial" w:hAnsi="宋体" w:cs="Arial"/>
          <w:color w:val="000000"/>
        </w:rPr>
        <w:t>30天内</w:t>
      </w:r>
      <w:r>
        <w:rPr>
          <w:rFonts w:ascii="Arial" w:hAnsi="宋体" w:cs="Arial"/>
          <w:color w:val="000000"/>
        </w:rPr>
        <w:t>中标供应商应按照</w:t>
      </w:r>
      <w:r>
        <w:rPr>
          <w:rFonts w:ascii="Arial" w:hAnsi="Arial" w:cs="Arial"/>
          <w:color w:val="000000"/>
        </w:rPr>
        <w:t>“</w:t>
      </w:r>
      <w:r>
        <w:rPr>
          <w:rFonts w:ascii="Arial" w:hAnsi="宋体" w:cs="Arial"/>
          <w:color w:val="000000"/>
        </w:rPr>
        <w:t>通知书</w:t>
      </w:r>
      <w:r>
        <w:rPr>
          <w:rFonts w:ascii="Arial" w:hAnsi="Arial" w:cs="Arial"/>
          <w:color w:val="000000"/>
        </w:rPr>
        <w:t>”</w:t>
      </w:r>
      <w:r>
        <w:rPr>
          <w:rFonts w:ascii="Arial" w:hAnsi="宋体" w:cs="Arial"/>
          <w:color w:val="000000"/>
        </w:rPr>
        <w:t>的规定，派遣其代表前往与</w:t>
      </w:r>
      <w:r>
        <w:rPr>
          <w:rFonts w:hint="eastAsia" w:ascii="宋体" w:hAnsi="宋体" w:cs="宋体"/>
          <w:color w:val="000000"/>
          <w:szCs w:val="21"/>
        </w:rPr>
        <w:t>文成县绿色能源发展有限公司</w:t>
      </w:r>
      <w:r>
        <w:rPr>
          <w:rFonts w:ascii="Arial" w:hAnsi="宋体" w:cs="Arial"/>
          <w:color w:val="000000"/>
        </w:rPr>
        <w:t>签署书面合同。投标供应商不得再要求订立背离合同实质性内容的其它合同或要求</w:t>
      </w:r>
      <w:r>
        <w:rPr>
          <w:rFonts w:hint="eastAsia" w:ascii="Arial" w:hAnsi="宋体" w:cs="Arial"/>
          <w:color w:val="000000"/>
        </w:rPr>
        <w:t>采购人</w:t>
      </w:r>
      <w:r>
        <w:rPr>
          <w:rFonts w:ascii="Arial" w:hAnsi="宋体" w:cs="Arial"/>
          <w:color w:val="000000"/>
        </w:rPr>
        <w:t>签署其它任何声明或合同，否则将被取消其中标资格。</w:t>
      </w:r>
    </w:p>
    <w:p w14:paraId="1C301EF3">
      <w:pPr>
        <w:numPr>
          <w:ilvl w:val="1"/>
          <w:numId w:val="4"/>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招标文件、中标供应商的投标文件及投标修改文件、评标过程中有关澄清文件、经双方签字的询标纪要和中标通知书，均应作为签订合同的依据。</w:t>
      </w:r>
    </w:p>
    <w:p w14:paraId="38ABA7B4">
      <w:pPr>
        <w:numPr>
          <w:ilvl w:val="1"/>
          <w:numId w:val="4"/>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拒签合同的责任：中标</w:t>
      </w:r>
      <w:r>
        <w:rPr>
          <w:rFonts w:hint="eastAsia" w:ascii="Arial" w:hAnsi="宋体" w:cs="Arial"/>
          <w:color w:val="000000"/>
        </w:rPr>
        <w:t>供应商</w:t>
      </w:r>
      <w:r>
        <w:rPr>
          <w:rFonts w:ascii="Arial" w:hAnsi="宋体" w:cs="Arial"/>
          <w:color w:val="000000"/>
        </w:rPr>
        <w:t>接到中标通知书后，在规定时间内借故否认已经承诺的条件而拒签合同或拒交履约保证金者，以投标违约处理，并赔偿</w:t>
      </w:r>
      <w:r>
        <w:rPr>
          <w:rFonts w:hint="eastAsia" w:ascii="Arial" w:hAnsi="宋体" w:cs="Arial"/>
          <w:color w:val="000000"/>
        </w:rPr>
        <w:t>采购人</w:t>
      </w:r>
      <w:r>
        <w:rPr>
          <w:rFonts w:ascii="Arial" w:hAnsi="宋体" w:cs="Arial"/>
          <w:color w:val="000000"/>
        </w:rPr>
        <w:t>由此造成的直接经济损失</w:t>
      </w:r>
      <w:r>
        <w:rPr>
          <w:rFonts w:hint="eastAsia" w:ascii="Arial" w:hAnsi="宋体" w:cs="Arial"/>
          <w:color w:val="000000"/>
        </w:rPr>
        <w:t>（</w:t>
      </w:r>
      <w:r>
        <w:rPr>
          <w:rFonts w:ascii="Arial" w:hAnsi="宋体" w:cs="Arial"/>
          <w:color w:val="000000"/>
        </w:rPr>
        <w:t>按中标金额的</w:t>
      </w:r>
      <w:r>
        <w:rPr>
          <w:rFonts w:ascii="Arial" w:hAnsi="Arial" w:cs="Arial"/>
          <w:color w:val="000000"/>
        </w:rPr>
        <w:t>1%</w:t>
      </w:r>
      <w:r>
        <w:rPr>
          <w:rFonts w:hint="eastAsia" w:ascii="Arial" w:hAnsi="Arial" w:cs="Arial"/>
          <w:color w:val="000000"/>
        </w:rPr>
        <w:t>计算赔偿金）</w:t>
      </w:r>
      <w:r>
        <w:rPr>
          <w:rFonts w:ascii="Arial" w:hAnsi="宋体" w:cs="Arial"/>
          <w:color w:val="000000"/>
        </w:rPr>
        <w:t>。</w:t>
      </w:r>
    </w:p>
    <w:p w14:paraId="5AB31C41">
      <w:pPr>
        <w:widowControl/>
        <w:numPr>
          <w:ilvl w:val="0"/>
          <w:numId w:val="4"/>
        </w:numPr>
        <w:tabs>
          <w:tab w:val="left" w:pos="425"/>
          <w:tab w:val="clear" w:pos="687"/>
        </w:tabs>
        <w:spacing w:line="360" w:lineRule="auto"/>
        <w:ind w:left="425" w:hanging="425"/>
        <w:rPr>
          <w:rFonts w:ascii="Arial" w:hAnsi="Arial" w:cs="Arial"/>
          <w:b/>
          <w:color w:val="000000"/>
          <w:sz w:val="24"/>
        </w:rPr>
      </w:pPr>
      <w:r>
        <w:rPr>
          <w:rFonts w:hint="eastAsia" w:ascii="Arial" w:hAnsi="宋体" w:cs="Arial"/>
          <w:b/>
          <w:color w:val="000000"/>
          <w:sz w:val="24"/>
        </w:rPr>
        <w:t xml:space="preserve"> </w:t>
      </w:r>
      <w:r>
        <w:rPr>
          <w:rFonts w:ascii="Arial" w:hAnsi="宋体" w:cs="Arial"/>
          <w:b/>
          <w:color w:val="000000"/>
          <w:sz w:val="24"/>
        </w:rPr>
        <w:t>招标结果通知</w:t>
      </w:r>
    </w:p>
    <w:p w14:paraId="224A5376">
      <w:pPr>
        <w:numPr>
          <w:ilvl w:val="1"/>
          <w:numId w:val="4"/>
        </w:numPr>
        <w:tabs>
          <w:tab w:val="left" w:pos="592"/>
        </w:tabs>
        <w:snapToGrid w:val="0"/>
        <w:spacing w:line="360" w:lineRule="auto"/>
        <w:ind w:left="588" w:hanging="588" w:hangingChars="280"/>
        <w:rPr>
          <w:rFonts w:hint="eastAsia" w:ascii="Arial" w:hAnsi="宋体" w:cs="Arial"/>
          <w:color w:val="000000"/>
        </w:rPr>
      </w:pPr>
      <w:r>
        <w:rPr>
          <w:rFonts w:hint="eastAsia" w:ascii="Arial" w:hAnsi="宋体" w:cs="Arial"/>
          <w:color w:val="000000"/>
        </w:rPr>
        <w:t>采购人在发出《中标通知书》的同时在</w:t>
      </w:r>
      <w:r>
        <w:rPr>
          <w:rFonts w:ascii="Arial" w:hAnsi="宋体" w:cs="Arial"/>
          <w:color w:val="000000"/>
        </w:rPr>
        <w:t>在</w:t>
      </w:r>
      <w:r>
        <w:rPr>
          <w:rFonts w:ascii="Arial" w:hAnsi="Arial" w:cs="Arial"/>
          <w:color w:val="000000"/>
        </w:rPr>
        <w:t>“</w:t>
      </w:r>
      <w:r>
        <w:rPr>
          <w:rFonts w:hint="eastAsia" w:ascii="Arial" w:hAnsi="Arial" w:cs="Arial"/>
          <w:color w:val="000000"/>
        </w:rPr>
        <w:t>乐采云平台</w:t>
      </w:r>
      <w:r>
        <w:rPr>
          <w:rFonts w:ascii="Arial" w:hAnsi="Arial" w:cs="Arial"/>
          <w:color w:val="000000"/>
        </w:rPr>
        <w:t>”</w:t>
      </w:r>
      <w:r>
        <w:rPr>
          <w:rFonts w:ascii="Arial" w:hAnsi="宋体" w:cs="Arial"/>
          <w:color w:val="000000"/>
        </w:rPr>
        <w:t>（网址：</w:t>
      </w:r>
      <w:r>
        <w:rPr>
          <w:rFonts w:hint="eastAsia" w:ascii="Arial" w:hAnsi="宋体" w:cs="Arial"/>
          <w:color w:val="000000"/>
        </w:rPr>
        <w:t>www.lecaiyun.com</w:t>
      </w:r>
      <w:r>
        <w:rPr>
          <w:rFonts w:ascii="Arial" w:hAnsi="宋体" w:cs="Arial"/>
          <w:color w:val="000000"/>
        </w:rPr>
        <w:t>）发布中标结果</w:t>
      </w:r>
      <w:r>
        <w:rPr>
          <w:rFonts w:hint="eastAsia" w:ascii="Arial" w:hAnsi="宋体" w:cs="Arial"/>
          <w:color w:val="000000"/>
        </w:rPr>
        <w:t>公告。</w:t>
      </w:r>
    </w:p>
    <w:p w14:paraId="71BF0EFB">
      <w:pPr>
        <w:widowControl/>
        <w:numPr>
          <w:ilvl w:val="0"/>
          <w:numId w:val="4"/>
        </w:numPr>
        <w:tabs>
          <w:tab w:val="left" w:pos="425"/>
          <w:tab w:val="clear" w:pos="687"/>
        </w:tabs>
        <w:spacing w:line="360" w:lineRule="auto"/>
        <w:ind w:left="425" w:hanging="425"/>
        <w:rPr>
          <w:rFonts w:ascii="Arial" w:hAnsi="Arial" w:cs="Arial"/>
          <w:b/>
          <w:color w:val="000000"/>
          <w:sz w:val="24"/>
        </w:rPr>
      </w:pPr>
      <w:r>
        <w:rPr>
          <w:rFonts w:hint="eastAsia" w:ascii="Arial" w:hAnsi="宋体" w:cs="Arial"/>
          <w:b/>
          <w:color w:val="000000"/>
          <w:sz w:val="24"/>
        </w:rPr>
        <w:t xml:space="preserve"> 履约担保金</w:t>
      </w:r>
    </w:p>
    <w:p w14:paraId="1076FD2A">
      <w:pPr>
        <w:numPr>
          <w:ilvl w:val="1"/>
          <w:numId w:val="4"/>
        </w:numPr>
        <w:tabs>
          <w:tab w:val="left" w:pos="592"/>
        </w:tabs>
        <w:snapToGrid w:val="0"/>
        <w:spacing w:line="360" w:lineRule="auto"/>
        <w:ind w:left="588" w:hanging="588" w:hangingChars="280"/>
        <w:rPr>
          <w:rFonts w:hint="eastAsia" w:ascii="Arial" w:hAnsi="宋体" w:cs="Arial"/>
          <w:color w:val="000000"/>
        </w:rPr>
      </w:pPr>
      <w:r>
        <w:rPr>
          <w:rFonts w:hint="eastAsia" w:ascii="Arial" w:hAnsi="宋体" w:cs="Arial"/>
          <w:color w:val="000000"/>
        </w:rPr>
        <w:t>中标通知书发出之日起7个工作日内</w:t>
      </w:r>
      <w:r>
        <w:rPr>
          <w:rFonts w:ascii="Arial" w:hAnsi="宋体" w:cs="Arial"/>
          <w:color w:val="000000"/>
        </w:rPr>
        <w:t>，中标</w:t>
      </w:r>
      <w:r>
        <w:rPr>
          <w:rFonts w:hint="eastAsia" w:ascii="Arial" w:hAnsi="宋体" w:cs="Arial"/>
          <w:color w:val="000000"/>
        </w:rPr>
        <w:t>供应商</w:t>
      </w:r>
      <w:r>
        <w:rPr>
          <w:rFonts w:ascii="Arial" w:hAnsi="宋体" w:cs="Arial"/>
          <w:color w:val="000000"/>
        </w:rPr>
        <w:t>应按本须知前附表第</w:t>
      </w:r>
      <w:r>
        <w:rPr>
          <w:rFonts w:hint="eastAsia" w:ascii="Arial" w:hAnsi="宋体" w:cs="Arial"/>
          <w:color w:val="000000"/>
        </w:rPr>
        <w:t>20</w:t>
      </w:r>
      <w:r>
        <w:rPr>
          <w:rFonts w:ascii="Arial" w:hAnsi="宋体" w:cs="Arial"/>
          <w:color w:val="000000"/>
        </w:rPr>
        <w:t>项规定的金额和形式向</w:t>
      </w:r>
      <w:r>
        <w:rPr>
          <w:rFonts w:hint="eastAsia" w:ascii="Arial" w:hAnsi="宋体" w:cs="Arial"/>
          <w:color w:val="000000"/>
        </w:rPr>
        <w:t>采购人</w:t>
      </w:r>
      <w:r>
        <w:rPr>
          <w:rFonts w:ascii="Arial" w:hAnsi="宋体" w:cs="Arial"/>
          <w:color w:val="000000"/>
        </w:rPr>
        <w:t>提交履约保证金</w:t>
      </w:r>
      <w:r>
        <w:rPr>
          <w:rFonts w:hint="eastAsia" w:ascii="Arial" w:hAnsi="宋体" w:cs="Arial"/>
          <w:color w:val="000000"/>
        </w:rPr>
        <w:t>，</w:t>
      </w:r>
      <w:r>
        <w:rPr>
          <w:rFonts w:ascii="Arial" w:hAnsi="宋体" w:cs="Arial"/>
          <w:color w:val="000000"/>
        </w:rPr>
        <w:t>中标</w:t>
      </w:r>
      <w:r>
        <w:rPr>
          <w:rFonts w:hint="eastAsia" w:ascii="Arial" w:hAnsi="宋体" w:cs="Arial"/>
          <w:color w:val="000000"/>
        </w:rPr>
        <w:t>供应商未按规定提交履约保证金则采购人有权拒签合同</w:t>
      </w:r>
      <w:r>
        <w:rPr>
          <w:rFonts w:ascii="Arial" w:hAnsi="宋体" w:cs="Arial"/>
          <w:color w:val="000000"/>
        </w:rPr>
        <w:t>。</w:t>
      </w:r>
    </w:p>
    <w:p w14:paraId="18220937">
      <w:pPr>
        <w:numPr>
          <w:ilvl w:val="1"/>
          <w:numId w:val="4"/>
        </w:numPr>
        <w:tabs>
          <w:tab w:val="left" w:pos="592"/>
        </w:tabs>
        <w:snapToGrid w:val="0"/>
        <w:spacing w:line="360" w:lineRule="auto"/>
        <w:ind w:left="588" w:hanging="588" w:hangingChars="280"/>
        <w:rPr>
          <w:rFonts w:hint="eastAsia" w:ascii="Arial" w:hAnsi="宋体" w:cs="Arial"/>
          <w:color w:val="000000"/>
        </w:rPr>
      </w:pPr>
      <w:r>
        <w:rPr>
          <w:rFonts w:hint="eastAsia" w:ascii="Arial" w:hAnsi="宋体" w:cs="Arial"/>
          <w:color w:val="000000"/>
        </w:rPr>
        <w:t>履约保证金在服务期满后或提前终止服务后一个月内全额无息退还。</w:t>
      </w:r>
    </w:p>
    <w:p w14:paraId="0DE8BCC5">
      <w:pPr>
        <w:widowControl/>
        <w:numPr>
          <w:ilvl w:val="0"/>
          <w:numId w:val="4"/>
        </w:numPr>
        <w:tabs>
          <w:tab w:val="left" w:pos="425"/>
          <w:tab w:val="clear" w:pos="687"/>
        </w:tabs>
        <w:spacing w:line="360" w:lineRule="auto"/>
        <w:ind w:left="425" w:hanging="425"/>
        <w:rPr>
          <w:rFonts w:hint="eastAsia" w:ascii="Arial" w:hAnsi="宋体" w:cs="Arial"/>
          <w:b/>
          <w:color w:val="000000"/>
          <w:sz w:val="24"/>
        </w:rPr>
      </w:pPr>
      <w:r>
        <w:rPr>
          <w:rFonts w:hint="eastAsia" w:ascii="Arial" w:hAnsi="宋体" w:cs="Arial"/>
          <w:b/>
          <w:color w:val="000000"/>
          <w:sz w:val="24"/>
        </w:rPr>
        <w:t xml:space="preserve"> 招标结束</w:t>
      </w:r>
    </w:p>
    <w:p w14:paraId="5FA8304A">
      <w:pPr>
        <w:numPr>
          <w:ilvl w:val="1"/>
          <w:numId w:val="4"/>
        </w:numPr>
        <w:tabs>
          <w:tab w:val="left" w:pos="592"/>
        </w:tabs>
        <w:snapToGrid w:val="0"/>
        <w:spacing w:line="360" w:lineRule="auto"/>
        <w:ind w:left="588" w:hanging="588" w:hangingChars="280"/>
        <w:rPr>
          <w:rFonts w:hint="eastAsia" w:ascii="Arial" w:hAnsi="宋体" w:cs="Arial"/>
          <w:color w:val="000000"/>
        </w:rPr>
      </w:pPr>
      <w:r>
        <w:rPr>
          <w:rFonts w:hint="eastAsia" w:ascii="Arial" w:hAnsi="宋体" w:cs="Arial"/>
          <w:color w:val="000000"/>
        </w:rPr>
        <w:t>中标供应商与采购人签订合同协议书后即为招标结束。</w:t>
      </w:r>
    </w:p>
    <w:p w14:paraId="1F0DAB98">
      <w:pPr>
        <w:widowControl/>
        <w:numPr>
          <w:ilvl w:val="0"/>
          <w:numId w:val="4"/>
        </w:numPr>
        <w:tabs>
          <w:tab w:val="left" w:pos="425"/>
          <w:tab w:val="clear" w:pos="687"/>
        </w:tabs>
        <w:spacing w:line="360" w:lineRule="auto"/>
        <w:ind w:left="425" w:hanging="425"/>
        <w:rPr>
          <w:rFonts w:hint="eastAsia" w:ascii="Arial" w:hAnsi="宋体" w:cs="Arial"/>
          <w:b/>
          <w:color w:val="000000"/>
          <w:sz w:val="24"/>
        </w:rPr>
      </w:pPr>
      <w:r>
        <w:rPr>
          <w:rFonts w:hint="eastAsia" w:ascii="Arial" w:hAnsi="宋体" w:cs="Arial"/>
          <w:b/>
          <w:color w:val="000000"/>
          <w:sz w:val="24"/>
        </w:rPr>
        <w:t xml:space="preserve"> </w:t>
      </w:r>
      <w:r>
        <w:rPr>
          <w:rFonts w:hint="eastAsia" w:ascii="Arial" w:hAnsi="宋体" w:cs="Arial"/>
          <w:b/>
          <w:sz w:val="24"/>
        </w:rPr>
        <w:t>代理服务费</w:t>
      </w:r>
    </w:p>
    <w:p w14:paraId="434853B1">
      <w:pPr>
        <w:numPr>
          <w:ilvl w:val="1"/>
          <w:numId w:val="4"/>
        </w:numPr>
        <w:tabs>
          <w:tab w:val="left" w:pos="567"/>
          <w:tab w:val="clear" w:pos="1003"/>
        </w:tabs>
        <w:snapToGrid w:val="0"/>
        <w:spacing w:line="360" w:lineRule="exact"/>
        <w:ind w:left="567"/>
        <w:rPr>
          <w:rFonts w:hint="eastAsia" w:ascii="Arial" w:hAnsi="宋体" w:cs="Arial"/>
          <w:color w:val="000000"/>
        </w:rPr>
      </w:pPr>
      <w:r>
        <w:rPr>
          <w:rFonts w:hint="eastAsia" w:ascii="宋体" w:hAnsi="宋体" w:cs="宋体"/>
          <w:b/>
          <w:bCs/>
          <w:color w:val="000000"/>
          <w:szCs w:val="21"/>
        </w:rPr>
        <w:t>本次采购代理服务费由中标供应商支付。本项目招标代理费</w:t>
      </w:r>
      <w:r>
        <w:rPr>
          <w:rFonts w:hint="eastAsia" w:ascii="宋体" w:hAnsi="宋体" w:cs="宋体"/>
          <w:b/>
          <w:bCs/>
          <w:color w:val="000000"/>
          <w:szCs w:val="21"/>
          <w:lang w:eastAsia="zh-CN"/>
        </w:rPr>
        <w:t>（</w:t>
      </w:r>
      <w:r>
        <w:rPr>
          <w:rFonts w:hint="eastAsia" w:ascii="宋体" w:hAnsi="宋体" w:cs="宋体"/>
          <w:b/>
          <w:bCs/>
          <w:color w:val="000000"/>
          <w:szCs w:val="21"/>
          <w:lang w:val="en-US" w:eastAsia="zh-CN"/>
        </w:rPr>
        <w:t>含专家论证费等）</w:t>
      </w:r>
      <w:r>
        <w:rPr>
          <w:rFonts w:hint="eastAsia" w:ascii="宋体" w:hAnsi="宋体" w:cs="宋体"/>
          <w:b/>
          <w:bCs/>
          <w:color w:val="000000"/>
          <w:szCs w:val="21"/>
        </w:rPr>
        <w:t>为1</w:t>
      </w:r>
      <w:r>
        <w:rPr>
          <w:rFonts w:hint="eastAsia" w:ascii="宋体" w:hAnsi="宋体" w:cs="宋体"/>
          <w:b/>
          <w:bCs/>
          <w:color w:val="000000"/>
          <w:szCs w:val="21"/>
          <w:lang w:val="en-US" w:eastAsia="zh-CN"/>
        </w:rPr>
        <w:t>2</w:t>
      </w:r>
      <w:r>
        <w:rPr>
          <w:rFonts w:hint="eastAsia" w:ascii="宋体" w:hAnsi="宋体" w:cs="宋体"/>
          <w:b/>
          <w:bCs/>
          <w:color w:val="000000"/>
          <w:szCs w:val="21"/>
        </w:rPr>
        <w:t>000元（大写：</w:t>
      </w:r>
      <w:r>
        <w:rPr>
          <w:rFonts w:hint="eastAsia" w:ascii="宋体" w:hAnsi="宋体" w:cs="宋体"/>
          <w:b/>
          <w:bCs/>
          <w:color w:val="000000"/>
          <w:szCs w:val="21"/>
          <w:lang w:val="en-US" w:eastAsia="zh-CN"/>
        </w:rPr>
        <w:t>壹万贰仟</w:t>
      </w:r>
      <w:r>
        <w:rPr>
          <w:rFonts w:hint="eastAsia" w:ascii="宋体" w:hAnsi="宋体" w:cs="宋体"/>
          <w:b/>
          <w:bCs/>
          <w:color w:val="000000"/>
          <w:szCs w:val="21"/>
        </w:rPr>
        <w:t>元）。</w:t>
      </w:r>
    </w:p>
    <w:p w14:paraId="2293152B">
      <w:pPr>
        <w:pStyle w:val="3"/>
        <w:spacing w:after="50" w:line="360" w:lineRule="auto"/>
        <w:ind w:firstLine="0"/>
        <w:jc w:val="center"/>
        <w:outlineLvl w:val="0"/>
        <w:rPr>
          <w:rFonts w:hint="eastAsia" w:ascii="Arial" w:hAnsi="宋体" w:cs="Arial"/>
          <w:b/>
          <w:bCs/>
          <w:color w:val="000000"/>
          <w:sz w:val="32"/>
          <w:szCs w:val="32"/>
        </w:rPr>
      </w:pPr>
      <w:r>
        <w:rPr>
          <w:rFonts w:ascii="Arial" w:hAnsi="宋体" w:cs="Arial"/>
          <w:b/>
          <w:bCs/>
          <w:color w:val="000000"/>
          <w:szCs w:val="28"/>
        </w:rPr>
        <w:br w:type="page"/>
      </w:r>
      <w:bookmarkStart w:id="80" w:name="_Toc5616"/>
      <w:bookmarkStart w:id="81" w:name="_Toc17274"/>
      <w:bookmarkStart w:id="82" w:name="_Toc29083"/>
      <w:r>
        <w:rPr>
          <w:rFonts w:ascii="Arial" w:hAnsi="宋体" w:cs="Arial"/>
          <w:b/>
          <w:bCs/>
          <w:color w:val="000000"/>
          <w:sz w:val="32"/>
          <w:szCs w:val="32"/>
        </w:rPr>
        <w:t>第三部分</w:t>
      </w:r>
      <w:r>
        <w:rPr>
          <w:rFonts w:hint="eastAsia" w:ascii="Arial" w:hAnsi="宋体" w:cs="Arial"/>
          <w:b/>
          <w:bCs/>
          <w:color w:val="000000"/>
          <w:sz w:val="32"/>
          <w:szCs w:val="32"/>
        </w:rPr>
        <w:t xml:space="preserve"> </w:t>
      </w:r>
      <w:r>
        <w:rPr>
          <w:rFonts w:ascii="Arial" w:hAnsi="宋体" w:cs="Arial"/>
          <w:b/>
          <w:bCs/>
          <w:color w:val="000000"/>
          <w:sz w:val="32"/>
          <w:szCs w:val="32"/>
        </w:rPr>
        <w:t xml:space="preserve"> </w:t>
      </w:r>
      <w:r>
        <w:rPr>
          <w:rFonts w:hint="eastAsia" w:ascii="Arial" w:hAnsi="宋体" w:cs="Arial"/>
          <w:b/>
          <w:bCs/>
          <w:color w:val="000000"/>
          <w:sz w:val="32"/>
          <w:szCs w:val="32"/>
        </w:rPr>
        <w:t>招标内容及要求</w:t>
      </w:r>
      <w:bookmarkEnd w:id="80"/>
      <w:bookmarkEnd w:id="81"/>
      <w:bookmarkEnd w:id="82"/>
      <w:bookmarkStart w:id="83" w:name="_Toc361996155"/>
    </w:p>
    <w:bookmarkEnd w:id="83"/>
    <w:p w14:paraId="2AA93238">
      <w:pPr>
        <w:spacing w:line="400" w:lineRule="exact"/>
        <w:jc w:val="center"/>
        <w:outlineLvl w:val="1"/>
        <w:rPr>
          <w:rFonts w:hint="eastAsia" w:ascii="宋体" w:hAnsi="宋体"/>
          <w:b/>
          <w:kern w:val="44"/>
          <w:sz w:val="32"/>
          <w:szCs w:val="40"/>
        </w:rPr>
      </w:pPr>
      <w:bookmarkStart w:id="84" w:name="_Toc14247"/>
      <w:bookmarkStart w:id="85" w:name="_Toc80783090"/>
      <w:bookmarkStart w:id="86" w:name="_Toc9505"/>
      <w:bookmarkStart w:id="87" w:name="_Toc17820"/>
      <w:bookmarkStart w:id="88" w:name="_Toc13741"/>
      <w:bookmarkStart w:id="89" w:name="_Toc71797455"/>
      <w:r>
        <w:rPr>
          <w:rFonts w:hint="eastAsia" w:ascii="宋体" w:hAnsi="宋体"/>
          <w:b/>
          <w:kern w:val="44"/>
          <w:sz w:val="32"/>
          <w:szCs w:val="40"/>
        </w:rPr>
        <w:t>一、概述</w:t>
      </w:r>
      <w:bookmarkEnd w:id="84"/>
      <w:bookmarkEnd w:id="85"/>
      <w:bookmarkEnd w:id="86"/>
      <w:bookmarkEnd w:id="87"/>
      <w:bookmarkEnd w:id="88"/>
    </w:p>
    <w:p w14:paraId="3A8AB387">
      <w:pPr>
        <w:spacing w:line="400" w:lineRule="exact"/>
        <w:ind w:firstLine="480" w:firstLineChars="200"/>
        <w:rPr>
          <w:rFonts w:hint="eastAsia" w:ascii="Arial" w:hAnsi="宋体" w:cs="Arial"/>
          <w:sz w:val="24"/>
          <w:szCs w:val="32"/>
        </w:rPr>
      </w:pPr>
      <w:r>
        <w:rPr>
          <w:rFonts w:hint="eastAsia" w:ascii="Arial" w:hAnsi="宋体" w:cs="Arial"/>
          <w:sz w:val="24"/>
          <w:szCs w:val="32"/>
        </w:rPr>
        <w:t>1.1投标供应商应根据采购人的要求，以合理的服务流程和服务人数、优良的服务质量、科学的组织、稳定服务的队伍、优惠的价格制定详细的服务方案前来投标，充分显示自身的竞争实力。</w:t>
      </w:r>
    </w:p>
    <w:p w14:paraId="3B99AFC1">
      <w:pPr>
        <w:spacing w:line="400" w:lineRule="exact"/>
        <w:ind w:firstLine="480" w:firstLineChars="200"/>
        <w:rPr>
          <w:rFonts w:hint="eastAsia" w:ascii="Arial" w:hAnsi="宋体" w:cs="Arial"/>
          <w:sz w:val="24"/>
          <w:szCs w:val="32"/>
        </w:rPr>
      </w:pPr>
      <w:r>
        <w:rPr>
          <w:rFonts w:hint="eastAsia" w:ascii="Arial" w:hAnsi="宋体" w:cs="Arial"/>
          <w:sz w:val="24"/>
          <w:szCs w:val="32"/>
        </w:rPr>
        <w:t>1.2本技术规范只是对招标技术要求的一些原则性规定，并不是详尽的要求，投标供应商有责任对招标的服务符合技术规范的要求负责。</w:t>
      </w:r>
    </w:p>
    <w:p w14:paraId="0B9CBA08">
      <w:pPr>
        <w:spacing w:line="400" w:lineRule="exact"/>
        <w:ind w:firstLine="480" w:firstLineChars="200"/>
        <w:rPr>
          <w:rFonts w:hint="eastAsia" w:ascii="Arial" w:hAnsi="宋体" w:cs="Arial"/>
          <w:sz w:val="24"/>
          <w:szCs w:val="32"/>
        </w:rPr>
      </w:pPr>
      <w:r>
        <w:rPr>
          <w:rFonts w:hint="eastAsia" w:ascii="Arial" w:hAnsi="宋体" w:cs="Arial"/>
          <w:sz w:val="24"/>
          <w:szCs w:val="32"/>
        </w:rPr>
        <w:t>1.3在投标之前，投标供应商须仔细阅读招标文件，如发现有任何疑问、冲突或技术问题，投标供应商须向采购人或采购代理机构咨询。</w:t>
      </w:r>
    </w:p>
    <w:p w14:paraId="6B9D90AC">
      <w:pPr>
        <w:spacing w:line="400" w:lineRule="exact"/>
        <w:ind w:firstLine="480" w:firstLineChars="200"/>
        <w:rPr>
          <w:rFonts w:hint="eastAsia" w:ascii="Arial" w:hAnsi="宋体" w:cs="Arial"/>
          <w:sz w:val="24"/>
          <w:szCs w:val="32"/>
        </w:rPr>
      </w:pPr>
      <w:r>
        <w:rPr>
          <w:rFonts w:hint="eastAsia" w:ascii="Arial" w:hAnsi="宋体" w:cs="Arial"/>
          <w:sz w:val="24"/>
          <w:szCs w:val="32"/>
        </w:rPr>
        <w:t>1.4投标供应商须对招标文件中涉及到的知识产权负责，并保证不伤害采购人的利益。在法律范围内，所有文字、商标和技术侵权造成的相关费用，采购人概不负责。</w:t>
      </w:r>
    </w:p>
    <w:p w14:paraId="7CB088DF">
      <w:pPr>
        <w:spacing w:line="400" w:lineRule="exact"/>
        <w:ind w:firstLine="480" w:firstLineChars="200"/>
        <w:rPr>
          <w:rFonts w:hint="eastAsia" w:ascii="Arial" w:hAnsi="宋体" w:cs="Arial"/>
          <w:sz w:val="24"/>
          <w:szCs w:val="32"/>
        </w:rPr>
      </w:pPr>
      <w:r>
        <w:rPr>
          <w:rFonts w:hint="eastAsia" w:ascii="Arial" w:hAnsi="宋体" w:cs="Arial"/>
          <w:sz w:val="24"/>
          <w:szCs w:val="32"/>
        </w:rPr>
        <w:t>1.5本次招标设一个标段。投标供应商须对招标范围内的全部内容进行报价，而不允许只对范围内其中部分内容进行报价，否则有可能失去投标资格。</w:t>
      </w:r>
    </w:p>
    <w:p w14:paraId="19C75156">
      <w:pPr>
        <w:spacing w:line="400" w:lineRule="exact"/>
        <w:ind w:firstLine="480" w:firstLineChars="200"/>
        <w:rPr>
          <w:rFonts w:hint="eastAsia" w:ascii="Arial" w:hAnsi="宋体" w:cs="Arial"/>
          <w:sz w:val="24"/>
          <w:szCs w:val="32"/>
        </w:rPr>
      </w:pPr>
      <w:r>
        <w:rPr>
          <w:rFonts w:hint="eastAsia" w:ascii="Arial" w:hAnsi="宋体" w:cs="Arial"/>
          <w:sz w:val="24"/>
          <w:szCs w:val="32"/>
        </w:rPr>
        <w:t>1.6 .本次招标材料所列的每一项技术指标和配置均为基本要求，投标供应商必须保证完全满足招标需要,否则将可能作出对投标供应商不利的评定。</w:t>
      </w:r>
    </w:p>
    <w:bookmarkEnd w:id="89"/>
    <w:p w14:paraId="3B18C1FB">
      <w:pPr>
        <w:spacing w:before="120" w:beforeLines="50" w:after="120" w:afterLines="50" w:line="360" w:lineRule="exact"/>
        <w:jc w:val="center"/>
        <w:outlineLvl w:val="1"/>
        <w:rPr>
          <w:rFonts w:hint="eastAsia" w:ascii="宋体" w:hAnsi="宋体" w:cs="宋体"/>
          <w:b/>
          <w:bCs/>
          <w:sz w:val="32"/>
          <w:szCs w:val="28"/>
        </w:rPr>
      </w:pPr>
      <w:bookmarkStart w:id="90" w:name="_Toc80783091"/>
      <w:bookmarkStart w:id="91" w:name="_Toc9846"/>
      <w:bookmarkStart w:id="92" w:name="_Toc3245"/>
      <w:bookmarkStart w:id="93" w:name="_Toc20501"/>
      <w:bookmarkStart w:id="94" w:name="_Toc27878"/>
      <w:r>
        <w:rPr>
          <w:rFonts w:hint="eastAsia" w:ascii="宋体" w:hAnsi="宋体" w:cs="宋体"/>
          <w:b/>
          <w:bCs/>
          <w:sz w:val="32"/>
          <w:szCs w:val="28"/>
        </w:rPr>
        <w:t>二、采购内容及要求</w:t>
      </w:r>
      <w:bookmarkEnd w:id="90"/>
      <w:bookmarkEnd w:id="91"/>
      <w:bookmarkEnd w:id="92"/>
      <w:bookmarkEnd w:id="93"/>
      <w:bookmarkEnd w:id="94"/>
    </w:p>
    <w:p w14:paraId="462BC474">
      <w:pPr>
        <w:snapToGrid w:val="0"/>
        <w:spacing w:line="440" w:lineRule="exact"/>
        <w:ind w:firstLine="480" w:firstLineChars="200"/>
        <w:rPr>
          <w:rFonts w:hint="eastAsia" w:ascii="宋体" w:hAnsi="宋体"/>
          <w:sz w:val="24"/>
          <w:szCs w:val="28"/>
          <w:lang w:val="zh-CN"/>
        </w:rPr>
      </w:pPr>
      <w:bookmarkStart w:id="95" w:name="_Toc157410883"/>
      <w:r>
        <w:rPr>
          <w:rFonts w:hint="eastAsia" w:ascii="宋体" w:hAnsi="宋体"/>
          <w:sz w:val="24"/>
          <w:szCs w:val="28"/>
          <w:lang w:val="zh-CN"/>
        </w:rPr>
        <w:t>浙江信达咨询监理有限公司受文成县绿色能源发展有限公司委托，就</w:t>
      </w:r>
      <w:r>
        <w:rPr>
          <w:rFonts w:hint="eastAsia" w:ascii="宋体" w:hAnsi="宋体"/>
          <w:sz w:val="24"/>
          <w:szCs w:val="28"/>
        </w:rPr>
        <w:t>文成县新型能源体系构建白皮书（2024-2035年）</w:t>
      </w:r>
      <w:r>
        <w:rPr>
          <w:rFonts w:ascii="宋体" w:hAnsi="宋体"/>
          <w:sz w:val="24"/>
          <w:szCs w:val="28"/>
        </w:rPr>
        <w:t>项目</w:t>
      </w:r>
      <w:r>
        <w:rPr>
          <w:rFonts w:hint="eastAsia" w:ascii="宋体" w:hAnsi="宋体"/>
          <w:sz w:val="24"/>
          <w:szCs w:val="28"/>
          <w:lang w:val="zh-CN"/>
        </w:rPr>
        <w:t>进行竞争性磋商采购。本次采购的资金已经落实。</w:t>
      </w:r>
    </w:p>
    <w:p w14:paraId="73417649">
      <w:pPr>
        <w:snapToGrid w:val="0"/>
        <w:spacing w:line="440" w:lineRule="exact"/>
        <w:ind w:firstLine="480" w:firstLineChars="200"/>
        <w:rPr>
          <w:rFonts w:hint="eastAsia" w:ascii="宋体" w:hAnsi="宋体"/>
          <w:sz w:val="44"/>
          <w:szCs w:val="44"/>
          <w:lang w:val="zh-CN"/>
        </w:rPr>
      </w:pPr>
      <w:r>
        <w:rPr>
          <w:rFonts w:hint="eastAsia" w:ascii="宋体" w:hAnsi="宋体"/>
          <w:sz w:val="24"/>
          <w:szCs w:val="28"/>
        </w:rPr>
        <w:t>我们热情欢迎有关公司（企业）前来投标。</w:t>
      </w:r>
    </w:p>
    <w:bookmarkEnd w:id="95"/>
    <w:p w14:paraId="4C1836D0">
      <w:pPr>
        <w:spacing w:line="440" w:lineRule="exact"/>
        <w:rPr>
          <w:rFonts w:hint="eastAsia" w:ascii="宋体" w:hAnsi="宋体" w:cs="宋体"/>
          <w:b/>
          <w:bCs/>
          <w:sz w:val="28"/>
          <w:szCs w:val="28"/>
        </w:rPr>
      </w:pPr>
      <w:r>
        <w:rPr>
          <w:rFonts w:hint="eastAsia" w:ascii="宋体" w:hAnsi="宋体" w:cs="宋体"/>
          <w:b/>
          <w:bCs/>
          <w:sz w:val="28"/>
          <w:szCs w:val="28"/>
        </w:rPr>
        <w:t>一、项目概况</w:t>
      </w:r>
    </w:p>
    <w:p w14:paraId="4655DF43">
      <w:pPr>
        <w:spacing w:line="400" w:lineRule="exact"/>
        <w:ind w:firstLine="482" w:firstLineChars="200"/>
        <w:rPr>
          <w:rFonts w:hint="eastAsia" w:ascii="Arial" w:hAnsi="宋体" w:cs="Arial"/>
          <w:b/>
          <w:bCs/>
          <w:sz w:val="24"/>
          <w:szCs w:val="32"/>
        </w:rPr>
      </w:pPr>
      <w:bookmarkStart w:id="96" w:name="_Toc28909"/>
      <w:bookmarkStart w:id="97" w:name="_Toc3955"/>
      <w:r>
        <w:rPr>
          <w:rFonts w:hint="eastAsia" w:ascii="Arial" w:hAnsi="宋体" w:cs="Arial"/>
          <w:b/>
          <w:bCs/>
          <w:sz w:val="24"/>
          <w:szCs w:val="32"/>
        </w:rPr>
        <w:t>（一）项目背景：</w:t>
      </w:r>
    </w:p>
    <w:p w14:paraId="378FEF14">
      <w:pPr>
        <w:spacing w:line="400" w:lineRule="exact"/>
        <w:ind w:firstLine="480" w:firstLineChars="200"/>
        <w:rPr>
          <w:rFonts w:hint="eastAsia" w:ascii="Arial" w:hAnsi="宋体" w:cs="Arial"/>
          <w:sz w:val="24"/>
          <w:szCs w:val="32"/>
        </w:rPr>
      </w:pPr>
      <w:r>
        <w:rPr>
          <w:rFonts w:hint="eastAsia" w:ascii="Arial" w:hAnsi="宋体" w:cs="Arial"/>
          <w:sz w:val="24"/>
          <w:szCs w:val="32"/>
        </w:rPr>
        <w:t>碳达峰碳中和目标为能源绿色低碳转型指明了方向，以光伏、风电等为代表的新能源发展按下“加速键”，需求不断增加，但新能源建设的速度和规模与电网的接入和输送能力不匹配等问题日益突出，而传统电源、电网、电力设施布局规划主要由发改（能源）主管部门、供电公司等分别委托不同单位开展编制，相互间缺乏统筹衔接，导致规划落地性差、实施率低、实用性不高。</w:t>
      </w:r>
    </w:p>
    <w:p w14:paraId="1F396E6C">
      <w:pPr>
        <w:spacing w:line="400" w:lineRule="exact"/>
        <w:ind w:firstLine="480" w:firstLineChars="200"/>
        <w:rPr>
          <w:rFonts w:hint="eastAsia" w:ascii="Arial" w:hAnsi="宋体" w:cs="Arial"/>
          <w:sz w:val="24"/>
          <w:szCs w:val="32"/>
        </w:rPr>
      </w:pPr>
      <w:r>
        <w:rPr>
          <w:rFonts w:hint="eastAsia" w:ascii="Arial" w:hAnsi="宋体" w:cs="Arial"/>
          <w:sz w:val="24"/>
          <w:szCs w:val="32"/>
        </w:rPr>
        <w:t>为贯彻落实碳达峰碳中和目标要求，推动文成新能源高质量发展，满足经济社会发展对能源电力需求，亟需开展《文成县新型能源体系构建白皮书（2024-2035年）》编制工作，着眼文成县</w:t>
      </w:r>
      <w:r>
        <w:rPr>
          <w:rFonts w:hint="eastAsia" w:ascii="Arial" w:hAnsi="宋体" w:cs="Arial"/>
          <w:sz w:val="24"/>
          <w:szCs w:val="32"/>
          <w:lang w:val="en-US" w:eastAsia="zh-CN"/>
        </w:rPr>
        <w:t>全域</w:t>
      </w:r>
      <w:r>
        <w:rPr>
          <w:rFonts w:hint="eastAsia" w:ascii="Arial" w:hAnsi="宋体" w:cs="Arial"/>
          <w:sz w:val="24"/>
          <w:szCs w:val="32"/>
        </w:rPr>
        <w:t>资源禀赋，合理规划全县新能源布局，从而推进电网结构优化和储能配套，推动全县新能源电源规划、电网规划及电力设施空间布局规划“三规合一”，加快破解阻碍能源电力发展的瓶颈问题，提高全县新能源消纳水平，打造新型电力系统山城样板。</w:t>
      </w:r>
    </w:p>
    <w:p w14:paraId="57A46005">
      <w:pPr>
        <w:spacing w:line="400" w:lineRule="exact"/>
        <w:ind w:firstLine="482" w:firstLineChars="200"/>
        <w:rPr>
          <w:rFonts w:hint="eastAsia" w:ascii="Arial" w:hAnsi="宋体" w:cs="Arial"/>
          <w:b/>
          <w:bCs/>
          <w:sz w:val="24"/>
          <w:szCs w:val="32"/>
        </w:rPr>
      </w:pPr>
      <w:r>
        <w:rPr>
          <w:rFonts w:hint="eastAsia" w:ascii="Arial" w:hAnsi="宋体" w:cs="Arial"/>
          <w:b/>
          <w:bCs/>
          <w:sz w:val="24"/>
          <w:szCs w:val="32"/>
        </w:rPr>
        <w:t>（二）</w:t>
      </w:r>
      <w:r>
        <w:rPr>
          <w:rFonts w:hint="eastAsia" w:ascii="Arial" w:hAnsi="宋体" w:cs="Arial"/>
          <w:b/>
          <w:bCs/>
          <w:sz w:val="24"/>
          <w:szCs w:val="32"/>
          <w:lang w:val="en-US" w:eastAsia="zh-CN"/>
        </w:rPr>
        <w:t>采购</w:t>
      </w:r>
      <w:r>
        <w:rPr>
          <w:rFonts w:hint="eastAsia" w:ascii="Arial" w:hAnsi="宋体" w:cs="Arial"/>
          <w:b/>
          <w:bCs/>
          <w:sz w:val="24"/>
          <w:szCs w:val="32"/>
        </w:rPr>
        <w:t>内容</w:t>
      </w:r>
    </w:p>
    <w:p w14:paraId="7C9A1CEF">
      <w:pPr>
        <w:spacing w:line="400" w:lineRule="exact"/>
        <w:ind w:firstLine="480" w:firstLineChars="200"/>
        <w:rPr>
          <w:rFonts w:hint="eastAsia" w:ascii="Arial" w:hAnsi="宋体" w:cs="Arial"/>
          <w:sz w:val="24"/>
          <w:szCs w:val="32"/>
        </w:rPr>
      </w:pPr>
      <w:r>
        <w:rPr>
          <w:rFonts w:hint="eastAsia" w:ascii="Arial" w:hAnsi="宋体" w:cs="Arial"/>
          <w:sz w:val="24"/>
          <w:szCs w:val="32"/>
        </w:rPr>
        <w:t>在全面摸排全县风、光、水等资源基础上，准确把握全县可再生能源发展容量和节奏，系统谋划全县新能源电源规划，结合电力供需平衡及可再生能源消纳情况，科学有序推进电网布局，细化电力设施空间落位，促进电源、电网及电力设施空间布局统筹发展，推动文成县电源规划、电网规划及电力设施空间布局规划“三规合一”，有效提升规划落地指导性和可实施性。</w:t>
      </w:r>
    </w:p>
    <w:p w14:paraId="5AA3403C">
      <w:pPr>
        <w:spacing w:line="400" w:lineRule="exact"/>
        <w:ind w:firstLine="480" w:firstLineChars="200"/>
        <w:rPr>
          <w:rFonts w:hint="eastAsia" w:ascii="Arial" w:hAnsi="宋体" w:cs="Arial"/>
          <w:sz w:val="24"/>
          <w:szCs w:val="32"/>
        </w:rPr>
      </w:pPr>
      <w:r>
        <w:rPr>
          <w:rFonts w:hint="eastAsia" w:ascii="Arial" w:hAnsi="宋体" w:cs="Arial"/>
          <w:sz w:val="24"/>
          <w:szCs w:val="32"/>
        </w:rPr>
        <w:t>1. 电源规划主要内容包括：系统分析文成县</w:t>
      </w:r>
      <w:r>
        <w:rPr>
          <w:rFonts w:hint="eastAsia" w:ascii="Arial" w:hAnsi="宋体" w:cs="Arial"/>
          <w:sz w:val="24"/>
          <w:szCs w:val="32"/>
          <w:lang w:val="en-US" w:eastAsia="zh-CN"/>
        </w:rPr>
        <w:t>全域</w:t>
      </w:r>
      <w:r>
        <w:rPr>
          <w:rFonts w:hint="eastAsia" w:ascii="Arial" w:hAnsi="宋体" w:cs="Arial"/>
          <w:sz w:val="24"/>
          <w:szCs w:val="32"/>
        </w:rPr>
        <w:t>电源发展基础，对全县光伏、风电等资源进行系统摸排，提出文成县电源规划思路，结合项目建设条件，提出光伏等电源发展建设时序。</w:t>
      </w:r>
    </w:p>
    <w:p w14:paraId="2D708EFE">
      <w:pPr>
        <w:spacing w:line="400" w:lineRule="exact"/>
        <w:ind w:firstLine="480" w:firstLineChars="200"/>
        <w:rPr>
          <w:rFonts w:hint="eastAsia" w:ascii="Arial" w:hAnsi="宋体" w:cs="Arial"/>
          <w:sz w:val="24"/>
          <w:szCs w:val="32"/>
        </w:rPr>
      </w:pPr>
      <w:r>
        <w:rPr>
          <w:rFonts w:hint="eastAsia" w:ascii="Arial" w:hAnsi="宋体" w:cs="Arial"/>
          <w:sz w:val="24"/>
          <w:szCs w:val="32"/>
        </w:rPr>
        <w:t>2. 电网规划主要内容包括：系统分析文成县</w:t>
      </w:r>
      <w:r>
        <w:rPr>
          <w:rFonts w:hint="eastAsia" w:ascii="Arial" w:hAnsi="宋体" w:cs="Arial"/>
          <w:sz w:val="24"/>
          <w:szCs w:val="32"/>
          <w:lang w:val="en-US" w:eastAsia="zh-CN"/>
        </w:rPr>
        <w:t>全域</w:t>
      </w:r>
      <w:r>
        <w:rPr>
          <w:rFonts w:hint="eastAsia" w:ascii="Arial" w:hAnsi="宋体" w:cs="Arial"/>
          <w:sz w:val="24"/>
          <w:szCs w:val="32"/>
        </w:rPr>
        <w:t>电网发展基础，对全县电力电量供需平衡进行分析，结合负荷及光伏等接入消纳需求，规划提出文成110千伏及以上电网规划方案等。</w:t>
      </w:r>
    </w:p>
    <w:p w14:paraId="13419E8A">
      <w:pPr>
        <w:spacing w:line="400" w:lineRule="exact"/>
        <w:ind w:firstLine="480" w:firstLineChars="200"/>
        <w:rPr>
          <w:rFonts w:hint="eastAsia" w:ascii="Arial" w:hAnsi="宋体" w:cs="Arial"/>
          <w:sz w:val="24"/>
          <w:szCs w:val="32"/>
        </w:rPr>
      </w:pPr>
      <w:r>
        <w:rPr>
          <w:rFonts w:hint="eastAsia" w:ascii="Arial" w:hAnsi="宋体" w:cs="Arial"/>
          <w:sz w:val="24"/>
          <w:szCs w:val="32"/>
        </w:rPr>
        <w:t>3. 电力设施空间布局规划主要内容包括：结合电源分布及电网规划情况，系统提出变电站站址黄线及电力线路廊道规划等电力设施布局方案。</w:t>
      </w:r>
    </w:p>
    <w:p w14:paraId="356772B4">
      <w:pPr>
        <w:spacing w:line="400" w:lineRule="exact"/>
        <w:ind w:firstLine="482" w:firstLineChars="200"/>
        <w:rPr>
          <w:rFonts w:hint="eastAsia" w:ascii="Arial" w:hAnsi="宋体" w:cs="Arial"/>
          <w:b/>
          <w:bCs/>
          <w:sz w:val="24"/>
          <w:szCs w:val="32"/>
          <w:lang w:val="en-US" w:eastAsia="zh-CN"/>
        </w:rPr>
      </w:pPr>
      <w:r>
        <w:rPr>
          <w:rFonts w:hint="eastAsia" w:ascii="Arial" w:hAnsi="宋体" w:cs="Arial"/>
          <w:b/>
          <w:bCs/>
          <w:sz w:val="24"/>
          <w:szCs w:val="32"/>
        </w:rPr>
        <w:t>（三）</w:t>
      </w:r>
      <w:r>
        <w:rPr>
          <w:rFonts w:hint="eastAsia" w:ascii="Arial" w:hAnsi="宋体" w:cs="Arial"/>
          <w:b/>
          <w:bCs/>
          <w:sz w:val="24"/>
          <w:szCs w:val="32"/>
          <w:lang w:val="en-US" w:eastAsia="zh-CN"/>
        </w:rPr>
        <w:t>工期要求</w:t>
      </w:r>
    </w:p>
    <w:p w14:paraId="3A4583D3">
      <w:pPr>
        <w:pStyle w:val="11"/>
        <w:rPr>
          <w:rFonts w:hint="default"/>
          <w:b w:val="0"/>
          <w:bCs w:val="0"/>
          <w:highlight w:val="none"/>
          <w:lang w:val="en-US" w:eastAsia="zh-CN"/>
        </w:rPr>
      </w:pPr>
      <w:r>
        <w:rPr>
          <w:rFonts w:hint="eastAsia" w:ascii="Arial" w:hAnsi="宋体" w:cs="Arial"/>
          <w:b w:val="0"/>
          <w:bCs w:val="0"/>
          <w:sz w:val="24"/>
          <w:szCs w:val="32"/>
          <w:highlight w:val="none"/>
          <w:lang w:val="en-US" w:eastAsia="zh-CN"/>
        </w:rPr>
        <w:t>编制工期：150日历天；中标人应积极配合采购人进度要求，按采购人的要求工期内可自行合理安排。</w:t>
      </w:r>
    </w:p>
    <w:tbl>
      <w:tblPr>
        <w:tblStyle w:val="48"/>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5533"/>
      </w:tblGrid>
      <w:tr w14:paraId="4FCB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80" w:type="dxa"/>
            <w:vAlign w:val="center"/>
          </w:tcPr>
          <w:p w14:paraId="1081CDF4">
            <w:pPr>
              <w:jc w:val="center"/>
              <w:rPr>
                <w:b/>
                <w:bCs/>
                <w:sz w:val="24"/>
              </w:rPr>
            </w:pPr>
            <w:bookmarkStart w:id="98" w:name="_Hlk116999612"/>
            <w:r>
              <w:rPr>
                <w:rFonts w:hint="eastAsia"/>
                <w:b/>
                <w:bCs/>
                <w:sz w:val="24"/>
              </w:rPr>
              <w:t>实施阶段</w:t>
            </w:r>
          </w:p>
        </w:tc>
        <w:tc>
          <w:tcPr>
            <w:tcW w:w="1701" w:type="dxa"/>
            <w:vAlign w:val="center"/>
          </w:tcPr>
          <w:p w14:paraId="56C38A88">
            <w:pPr>
              <w:jc w:val="center"/>
              <w:rPr>
                <w:b/>
                <w:bCs/>
                <w:sz w:val="24"/>
              </w:rPr>
            </w:pPr>
            <w:r>
              <w:rPr>
                <w:rFonts w:hint="eastAsia"/>
                <w:b/>
                <w:bCs/>
                <w:sz w:val="24"/>
              </w:rPr>
              <w:t>时间安排</w:t>
            </w:r>
          </w:p>
        </w:tc>
        <w:tc>
          <w:tcPr>
            <w:tcW w:w="5533" w:type="dxa"/>
            <w:vAlign w:val="center"/>
          </w:tcPr>
          <w:p w14:paraId="78A3F5AB">
            <w:pPr>
              <w:jc w:val="center"/>
              <w:rPr>
                <w:b/>
                <w:bCs/>
                <w:sz w:val="24"/>
              </w:rPr>
            </w:pPr>
            <w:r>
              <w:rPr>
                <w:rFonts w:hint="eastAsia"/>
                <w:b/>
                <w:bCs/>
                <w:sz w:val="24"/>
              </w:rPr>
              <w:t>工作内容</w:t>
            </w:r>
          </w:p>
        </w:tc>
      </w:tr>
      <w:tr w14:paraId="75A8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80" w:type="dxa"/>
            <w:vAlign w:val="center"/>
          </w:tcPr>
          <w:p w14:paraId="2A3375C6">
            <w:pPr>
              <w:spacing w:line="360" w:lineRule="exact"/>
              <w:jc w:val="center"/>
              <w:rPr>
                <w:sz w:val="24"/>
              </w:rPr>
            </w:pPr>
            <w:r>
              <w:rPr>
                <w:rFonts w:hint="eastAsia"/>
                <w:sz w:val="24"/>
              </w:rPr>
              <w:t>规划启动阶段</w:t>
            </w:r>
          </w:p>
        </w:tc>
        <w:tc>
          <w:tcPr>
            <w:tcW w:w="1701" w:type="dxa"/>
            <w:vAlign w:val="center"/>
          </w:tcPr>
          <w:p w14:paraId="376A71A9">
            <w:pPr>
              <w:spacing w:line="360" w:lineRule="exact"/>
              <w:jc w:val="center"/>
              <w:rPr>
                <w:rFonts w:hint="default" w:eastAsia="宋体"/>
                <w:sz w:val="24"/>
                <w:highlight w:val="none"/>
                <w:lang w:val="en-US" w:eastAsia="zh-CN"/>
              </w:rPr>
            </w:pPr>
            <w:r>
              <w:rPr>
                <w:rFonts w:hint="eastAsia"/>
                <w:sz w:val="24"/>
                <w:highlight w:val="none"/>
                <w:lang w:val="en-US" w:eastAsia="zh-CN"/>
              </w:rPr>
              <w:t>60</w:t>
            </w:r>
            <w:r>
              <w:rPr>
                <w:rFonts w:hint="eastAsia" w:ascii="Arial" w:hAnsi="宋体" w:cs="Arial"/>
                <w:b w:val="0"/>
                <w:bCs w:val="0"/>
                <w:sz w:val="24"/>
                <w:szCs w:val="32"/>
                <w:highlight w:val="none"/>
                <w:lang w:val="en-US" w:eastAsia="zh-CN"/>
              </w:rPr>
              <w:t>日历天</w:t>
            </w:r>
          </w:p>
        </w:tc>
        <w:tc>
          <w:tcPr>
            <w:tcW w:w="5533" w:type="dxa"/>
            <w:vAlign w:val="center"/>
          </w:tcPr>
          <w:p w14:paraId="26B746A0">
            <w:pPr>
              <w:spacing w:line="360" w:lineRule="exact"/>
              <w:rPr>
                <w:sz w:val="24"/>
              </w:rPr>
            </w:pPr>
            <w:r>
              <w:rPr>
                <w:rFonts w:hint="eastAsia"/>
                <w:sz w:val="24"/>
              </w:rPr>
              <w:t>编制工作方案，完成规划详细大纲，形成总体思路和框架体系，提交业主审核并完善。</w:t>
            </w:r>
          </w:p>
        </w:tc>
      </w:tr>
      <w:tr w14:paraId="6536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980" w:type="dxa"/>
            <w:vAlign w:val="center"/>
          </w:tcPr>
          <w:p w14:paraId="6F4AD376">
            <w:pPr>
              <w:spacing w:line="360" w:lineRule="exact"/>
              <w:jc w:val="center"/>
              <w:rPr>
                <w:sz w:val="24"/>
              </w:rPr>
            </w:pPr>
            <w:r>
              <w:rPr>
                <w:rFonts w:hint="eastAsia"/>
                <w:sz w:val="24"/>
              </w:rPr>
              <w:t>收资调研阶段</w:t>
            </w:r>
          </w:p>
        </w:tc>
        <w:tc>
          <w:tcPr>
            <w:tcW w:w="1701" w:type="dxa"/>
            <w:vAlign w:val="center"/>
          </w:tcPr>
          <w:p w14:paraId="3694F870">
            <w:pPr>
              <w:spacing w:line="360" w:lineRule="exact"/>
              <w:jc w:val="center"/>
              <w:rPr>
                <w:rFonts w:hint="default" w:eastAsia="宋体"/>
                <w:sz w:val="24"/>
                <w:highlight w:val="none"/>
                <w:lang w:val="en-US" w:eastAsia="zh-CN"/>
              </w:rPr>
            </w:pPr>
            <w:r>
              <w:rPr>
                <w:rFonts w:hint="eastAsia"/>
                <w:sz w:val="24"/>
                <w:highlight w:val="none"/>
                <w:lang w:val="en-US" w:eastAsia="zh-CN"/>
              </w:rPr>
              <w:t>10</w:t>
            </w:r>
            <w:r>
              <w:rPr>
                <w:rFonts w:hint="eastAsia" w:ascii="Arial" w:hAnsi="宋体" w:cs="Arial"/>
                <w:b w:val="0"/>
                <w:bCs w:val="0"/>
                <w:sz w:val="24"/>
                <w:szCs w:val="32"/>
                <w:highlight w:val="none"/>
                <w:lang w:val="en-US" w:eastAsia="zh-CN"/>
              </w:rPr>
              <w:t>日历天</w:t>
            </w:r>
          </w:p>
        </w:tc>
        <w:tc>
          <w:tcPr>
            <w:tcW w:w="5533" w:type="dxa"/>
            <w:vAlign w:val="center"/>
          </w:tcPr>
          <w:p w14:paraId="6B9851D0">
            <w:pPr>
              <w:spacing w:line="360" w:lineRule="exact"/>
              <w:rPr>
                <w:sz w:val="24"/>
              </w:rPr>
            </w:pPr>
            <w:r>
              <w:rPr>
                <w:rFonts w:hint="eastAsia"/>
                <w:sz w:val="24"/>
              </w:rPr>
              <w:t>拟制收资清单，开展书面收资工作，结合书面调研成果，按需开展实地调研和座谈工作。</w:t>
            </w:r>
          </w:p>
        </w:tc>
      </w:tr>
      <w:tr w14:paraId="1671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vAlign w:val="center"/>
          </w:tcPr>
          <w:p w14:paraId="2DC6BE07">
            <w:pPr>
              <w:spacing w:line="360" w:lineRule="exact"/>
              <w:jc w:val="center"/>
              <w:rPr>
                <w:sz w:val="24"/>
              </w:rPr>
            </w:pPr>
            <w:r>
              <w:rPr>
                <w:rFonts w:hint="eastAsia"/>
                <w:sz w:val="24"/>
              </w:rPr>
              <w:t>规划编制阶段</w:t>
            </w:r>
          </w:p>
        </w:tc>
        <w:tc>
          <w:tcPr>
            <w:tcW w:w="1701" w:type="dxa"/>
            <w:vAlign w:val="center"/>
          </w:tcPr>
          <w:p w14:paraId="44851C8C">
            <w:pPr>
              <w:spacing w:line="360" w:lineRule="exact"/>
              <w:jc w:val="center"/>
              <w:rPr>
                <w:rFonts w:hint="default" w:eastAsia="宋体"/>
                <w:sz w:val="24"/>
                <w:highlight w:val="none"/>
                <w:lang w:val="en-US" w:eastAsia="zh-CN"/>
              </w:rPr>
            </w:pPr>
            <w:r>
              <w:rPr>
                <w:rFonts w:hint="eastAsia"/>
                <w:sz w:val="24"/>
                <w:highlight w:val="none"/>
                <w:lang w:val="en-US" w:eastAsia="zh-CN"/>
              </w:rPr>
              <w:t>40</w:t>
            </w:r>
            <w:r>
              <w:rPr>
                <w:rFonts w:hint="eastAsia" w:ascii="Arial" w:hAnsi="宋体" w:cs="Arial"/>
                <w:b w:val="0"/>
                <w:bCs w:val="0"/>
                <w:sz w:val="24"/>
                <w:szCs w:val="32"/>
                <w:highlight w:val="none"/>
                <w:lang w:val="en-US" w:eastAsia="zh-CN"/>
              </w:rPr>
              <w:t>日历天</w:t>
            </w:r>
          </w:p>
        </w:tc>
        <w:tc>
          <w:tcPr>
            <w:tcW w:w="5533" w:type="dxa"/>
            <w:vAlign w:val="center"/>
          </w:tcPr>
          <w:p w14:paraId="56A2B6EF">
            <w:pPr>
              <w:spacing w:line="360" w:lineRule="exact"/>
              <w:rPr>
                <w:sz w:val="24"/>
              </w:rPr>
            </w:pPr>
            <w:r>
              <w:rPr>
                <w:rFonts w:hint="eastAsia"/>
                <w:sz w:val="24"/>
              </w:rPr>
              <w:t>完成规划初稿，内容包含规划总则、区域概况、电源发展规划、电网发展规划、电力设施空间布局规划等主要章节。</w:t>
            </w:r>
          </w:p>
        </w:tc>
      </w:tr>
      <w:tr w14:paraId="7340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980" w:type="dxa"/>
            <w:tcBorders>
              <w:bottom w:val="single" w:color="auto" w:sz="4" w:space="0"/>
            </w:tcBorders>
            <w:vAlign w:val="center"/>
          </w:tcPr>
          <w:p w14:paraId="1FA3FA62">
            <w:pPr>
              <w:spacing w:line="360" w:lineRule="exact"/>
              <w:jc w:val="center"/>
              <w:rPr>
                <w:sz w:val="24"/>
              </w:rPr>
            </w:pPr>
            <w:r>
              <w:rPr>
                <w:rFonts w:hint="eastAsia"/>
                <w:sz w:val="24"/>
              </w:rPr>
              <w:t>修改完善阶段</w:t>
            </w:r>
          </w:p>
        </w:tc>
        <w:tc>
          <w:tcPr>
            <w:tcW w:w="1701" w:type="dxa"/>
            <w:tcBorders>
              <w:bottom w:val="single" w:color="auto" w:sz="4" w:space="0"/>
            </w:tcBorders>
            <w:vAlign w:val="center"/>
          </w:tcPr>
          <w:p w14:paraId="5A5D990B">
            <w:pPr>
              <w:spacing w:line="360" w:lineRule="exact"/>
              <w:jc w:val="center"/>
              <w:rPr>
                <w:rFonts w:hint="default" w:eastAsia="宋体"/>
                <w:sz w:val="24"/>
                <w:highlight w:val="none"/>
                <w:lang w:val="en-US" w:eastAsia="zh-CN"/>
              </w:rPr>
            </w:pPr>
            <w:r>
              <w:rPr>
                <w:rFonts w:hint="eastAsia"/>
                <w:sz w:val="24"/>
                <w:highlight w:val="none"/>
                <w:lang w:val="en-US" w:eastAsia="zh-CN"/>
              </w:rPr>
              <w:t>10</w:t>
            </w:r>
            <w:r>
              <w:rPr>
                <w:rFonts w:hint="eastAsia" w:ascii="Arial" w:hAnsi="宋体" w:cs="Arial"/>
                <w:b w:val="0"/>
                <w:bCs w:val="0"/>
                <w:sz w:val="24"/>
                <w:szCs w:val="32"/>
                <w:highlight w:val="none"/>
                <w:lang w:val="en-US" w:eastAsia="zh-CN"/>
              </w:rPr>
              <w:t>日历天</w:t>
            </w:r>
          </w:p>
        </w:tc>
        <w:tc>
          <w:tcPr>
            <w:tcW w:w="5533" w:type="dxa"/>
            <w:tcBorders>
              <w:bottom w:val="single" w:color="auto" w:sz="4" w:space="0"/>
            </w:tcBorders>
            <w:vAlign w:val="center"/>
          </w:tcPr>
          <w:p w14:paraId="6A3A8BE7">
            <w:pPr>
              <w:spacing w:line="360" w:lineRule="exact"/>
              <w:rPr>
                <w:sz w:val="24"/>
              </w:rPr>
            </w:pPr>
            <w:r>
              <w:rPr>
                <w:rFonts w:hint="eastAsia"/>
                <w:sz w:val="24"/>
              </w:rPr>
              <w:t>开展意见征求工作，对反馈意见进行消化吸纳，修改初稿并深化完善，形成中间成果。</w:t>
            </w:r>
          </w:p>
        </w:tc>
      </w:tr>
      <w:tr w14:paraId="67E6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0" w:type="dxa"/>
            <w:tcBorders>
              <w:bottom w:val="single" w:color="auto" w:sz="4" w:space="0"/>
            </w:tcBorders>
            <w:vAlign w:val="center"/>
          </w:tcPr>
          <w:p w14:paraId="02A58605">
            <w:pPr>
              <w:spacing w:line="360" w:lineRule="exact"/>
              <w:jc w:val="center"/>
              <w:rPr>
                <w:sz w:val="24"/>
              </w:rPr>
            </w:pPr>
            <w:r>
              <w:rPr>
                <w:rFonts w:hint="eastAsia"/>
                <w:sz w:val="24"/>
              </w:rPr>
              <w:t>送审阶段</w:t>
            </w:r>
          </w:p>
        </w:tc>
        <w:tc>
          <w:tcPr>
            <w:tcW w:w="1701" w:type="dxa"/>
            <w:tcBorders>
              <w:bottom w:val="single" w:color="auto" w:sz="4" w:space="0"/>
            </w:tcBorders>
            <w:vAlign w:val="center"/>
          </w:tcPr>
          <w:p w14:paraId="67CAD9D4">
            <w:pPr>
              <w:spacing w:line="360" w:lineRule="exact"/>
              <w:jc w:val="center"/>
              <w:rPr>
                <w:rFonts w:hint="default" w:eastAsia="宋体"/>
                <w:sz w:val="24"/>
                <w:highlight w:val="none"/>
                <w:lang w:val="en-US" w:eastAsia="zh-CN"/>
              </w:rPr>
            </w:pPr>
            <w:r>
              <w:rPr>
                <w:rFonts w:hint="eastAsia"/>
                <w:sz w:val="24"/>
                <w:highlight w:val="none"/>
                <w:lang w:val="en-US" w:eastAsia="zh-CN"/>
              </w:rPr>
              <w:t>30</w:t>
            </w:r>
            <w:r>
              <w:rPr>
                <w:rFonts w:hint="eastAsia" w:ascii="Arial" w:hAnsi="宋体" w:cs="Arial"/>
                <w:b w:val="0"/>
                <w:bCs w:val="0"/>
                <w:sz w:val="24"/>
                <w:szCs w:val="32"/>
                <w:highlight w:val="none"/>
                <w:lang w:val="en-US" w:eastAsia="zh-CN"/>
              </w:rPr>
              <w:t>日历天</w:t>
            </w:r>
          </w:p>
        </w:tc>
        <w:tc>
          <w:tcPr>
            <w:tcW w:w="5533" w:type="dxa"/>
            <w:tcBorders>
              <w:bottom w:val="single" w:color="auto" w:sz="4" w:space="0"/>
            </w:tcBorders>
            <w:vAlign w:val="center"/>
          </w:tcPr>
          <w:p w14:paraId="58053241">
            <w:pPr>
              <w:spacing w:line="360" w:lineRule="exact"/>
              <w:rPr>
                <w:sz w:val="24"/>
              </w:rPr>
            </w:pPr>
            <w:r>
              <w:rPr>
                <w:rFonts w:hint="eastAsia"/>
                <w:sz w:val="24"/>
              </w:rPr>
              <w:t>组织专家评审并完成最终稿。</w:t>
            </w:r>
          </w:p>
        </w:tc>
      </w:tr>
      <w:bookmarkEnd w:id="98"/>
    </w:tbl>
    <w:p w14:paraId="384C0002">
      <w:pPr>
        <w:spacing w:line="400" w:lineRule="exact"/>
        <w:ind w:firstLine="482" w:firstLineChars="200"/>
        <w:rPr>
          <w:rFonts w:hint="default" w:ascii="Arial" w:hAnsi="宋体" w:cs="Arial"/>
          <w:b/>
          <w:bCs/>
          <w:sz w:val="24"/>
          <w:szCs w:val="32"/>
          <w:lang w:val="en-US" w:eastAsia="zh-CN"/>
        </w:rPr>
      </w:pPr>
      <w:r>
        <w:rPr>
          <w:rFonts w:hint="eastAsia" w:ascii="Arial" w:hAnsi="宋体" w:cs="Arial"/>
          <w:b/>
          <w:bCs/>
          <w:sz w:val="24"/>
          <w:szCs w:val="32"/>
        </w:rPr>
        <w:t>（</w:t>
      </w:r>
      <w:r>
        <w:rPr>
          <w:rFonts w:hint="eastAsia" w:ascii="Arial" w:hAnsi="宋体" w:cs="Arial"/>
          <w:b/>
          <w:bCs/>
          <w:sz w:val="24"/>
          <w:szCs w:val="32"/>
          <w:lang w:val="en-US" w:eastAsia="zh-CN"/>
        </w:rPr>
        <w:t>四</w:t>
      </w:r>
      <w:r>
        <w:rPr>
          <w:rFonts w:hint="eastAsia" w:ascii="Arial" w:hAnsi="宋体" w:cs="Arial"/>
          <w:b/>
          <w:bCs/>
          <w:sz w:val="24"/>
          <w:szCs w:val="32"/>
        </w:rPr>
        <w:t>）</w:t>
      </w:r>
      <w:r>
        <w:rPr>
          <w:rFonts w:hint="eastAsia" w:ascii="Arial" w:hAnsi="宋体" w:cs="Arial"/>
          <w:b/>
          <w:bCs/>
          <w:sz w:val="24"/>
          <w:szCs w:val="32"/>
          <w:lang w:val="en-US" w:eastAsia="zh-CN"/>
        </w:rPr>
        <w:t>质量要求</w:t>
      </w:r>
    </w:p>
    <w:p w14:paraId="12302DC8">
      <w:pPr>
        <w:keepNext w:val="0"/>
        <w:keepLines w:val="0"/>
        <w:pageBreakBefore w:val="0"/>
        <w:widowControl w:val="0"/>
        <w:kinsoku/>
        <w:wordWrap/>
        <w:overflowPunct/>
        <w:topLinePunct w:val="0"/>
        <w:autoSpaceDE w:val="0"/>
        <w:autoSpaceDN w:val="0"/>
        <w:bidi w:val="0"/>
        <w:adjustRightInd w:val="0"/>
        <w:snapToGrid w:val="0"/>
        <w:spacing w:line="240" w:lineRule="auto"/>
        <w:ind w:firstLine="600" w:firstLineChars="250"/>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rPr>
        <w:t>本</w:t>
      </w:r>
      <w:r>
        <w:rPr>
          <w:rFonts w:hint="eastAsia" w:ascii="宋体" w:hAnsi="宋体" w:eastAsia="宋体" w:cs="宋体"/>
          <w:b w:val="0"/>
          <w:color w:val="auto"/>
          <w:sz w:val="24"/>
          <w:szCs w:val="24"/>
          <w:lang w:val="en-US" w:eastAsia="zh-CN"/>
        </w:rPr>
        <w:t>项目编制成果</w:t>
      </w:r>
      <w:r>
        <w:rPr>
          <w:rFonts w:hint="eastAsia" w:ascii="宋体" w:hAnsi="宋体" w:eastAsia="宋体" w:cs="宋体"/>
          <w:b w:val="0"/>
          <w:color w:val="auto"/>
          <w:sz w:val="24"/>
          <w:szCs w:val="24"/>
        </w:rPr>
        <w:t>应符合国家有关规范规定及编制深度的要求。</w:t>
      </w:r>
    </w:p>
    <w:p w14:paraId="77AF3C1B">
      <w:pPr>
        <w:spacing w:line="400" w:lineRule="exact"/>
        <w:ind w:firstLine="482" w:firstLineChars="200"/>
        <w:rPr>
          <w:rFonts w:hint="default" w:ascii="Arial" w:hAnsi="宋体" w:cs="Arial"/>
          <w:b/>
          <w:bCs/>
          <w:sz w:val="24"/>
          <w:szCs w:val="32"/>
          <w:lang w:val="en-US" w:eastAsia="zh-CN"/>
        </w:rPr>
      </w:pPr>
      <w:r>
        <w:rPr>
          <w:rFonts w:hint="eastAsia" w:ascii="Arial" w:hAnsi="宋体" w:cs="Arial"/>
          <w:b/>
          <w:bCs/>
          <w:sz w:val="24"/>
          <w:szCs w:val="32"/>
        </w:rPr>
        <w:t>（</w:t>
      </w:r>
      <w:r>
        <w:rPr>
          <w:rFonts w:hint="eastAsia" w:ascii="Arial" w:hAnsi="宋体" w:cs="Arial"/>
          <w:b/>
          <w:bCs/>
          <w:sz w:val="24"/>
          <w:szCs w:val="32"/>
          <w:lang w:val="en-US" w:eastAsia="zh-CN"/>
        </w:rPr>
        <w:t>五</w:t>
      </w:r>
      <w:r>
        <w:rPr>
          <w:rFonts w:hint="eastAsia" w:ascii="Arial" w:hAnsi="宋体" w:cs="Arial"/>
          <w:b/>
          <w:bCs/>
          <w:sz w:val="24"/>
          <w:szCs w:val="32"/>
        </w:rPr>
        <w:t>）</w:t>
      </w:r>
      <w:r>
        <w:rPr>
          <w:rFonts w:hint="eastAsia" w:ascii="Arial" w:hAnsi="宋体" w:cs="Arial"/>
          <w:b/>
          <w:bCs/>
          <w:sz w:val="24"/>
          <w:szCs w:val="32"/>
          <w:lang w:val="en-US" w:eastAsia="zh-CN"/>
        </w:rPr>
        <w:t>付款方式</w:t>
      </w:r>
    </w:p>
    <w:p w14:paraId="6A5B2A43">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50"/>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rPr>
        <w:t>合同签订后</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lang w:val="en-US" w:eastAsia="zh-CN"/>
        </w:rPr>
        <w:t>中标供应商提供的</w:t>
      </w:r>
      <w:r>
        <w:rPr>
          <w:rFonts w:hint="eastAsia" w:ascii="宋体" w:hAnsi="宋体" w:eastAsia="宋体" w:cs="宋体"/>
          <w:b w:val="0"/>
          <w:color w:val="auto"/>
          <w:sz w:val="24"/>
          <w:szCs w:val="24"/>
        </w:rPr>
        <w:t>初步</w:t>
      </w:r>
      <w:r>
        <w:rPr>
          <w:rFonts w:hint="eastAsia" w:ascii="宋体" w:hAnsi="宋体" w:eastAsia="宋体" w:cs="宋体"/>
          <w:b w:val="0"/>
          <w:color w:val="auto"/>
          <w:sz w:val="24"/>
          <w:szCs w:val="24"/>
          <w:lang w:val="en-US" w:eastAsia="zh-CN"/>
        </w:rPr>
        <w:t>编制</w:t>
      </w:r>
      <w:r>
        <w:rPr>
          <w:rFonts w:hint="eastAsia" w:ascii="宋体" w:hAnsi="宋体" w:eastAsia="宋体" w:cs="宋体"/>
          <w:b w:val="0"/>
          <w:color w:val="auto"/>
          <w:sz w:val="24"/>
          <w:szCs w:val="24"/>
        </w:rPr>
        <w:t>方案成果经采购人审核通过后支付至合同价的50%；</w:t>
      </w:r>
      <w:r>
        <w:rPr>
          <w:rFonts w:hint="eastAsia" w:ascii="宋体" w:hAnsi="宋体" w:eastAsia="宋体" w:cs="宋体"/>
          <w:b w:val="0"/>
          <w:color w:val="auto"/>
          <w:sz w:val="24"/>
          <w:szCs w:val="24"/>
          <w:lang w:eastAsia="zh-CN"/>
        </w:rPr>
        <w:t>完成</w:t>
      </w:r>
      <w:r>
        <w:rPr>
          <w:rFonts w:hint="eastAsia"/>
          <w:sz w:val="24"/>
        </w:rPr>
        <w:t>最终稿</w:t>
      </w:r>
      <w:r>
        <w:rPr>
          <w:rFonts w:hint="eastAsia"/>
          <w:sz w:val="24"/>
          <w:lang w:val="en-US" w:eastAsia="zh-CN"/>
        </w:rPr>
        <w:t>成果</w:t>
      </w:r>
      <w:r>
        <w:rPr>
          <w:rFonts w:hint="eastAsia" w:ascii="宋体" w:hAnsi="宋体" w:eastAsia="宋体" w:cs="宋体"/>
          <w:b w:val="0"/>
          <w:color w:val="auto"/>
          <w:sz w:val="24"/>
          <w:szCs w:val="24"/>
          <w:lang w:eastAsia="zh-CN"/>
        </w:rPr>
        <w:t>后</w:t>
      </w:r>
      <w:r>
        <w:rPr>
          <w:rFonts w:hint="eastAsia" w:ascii="宋体" w:hAnsi="宋体" w:eastAsia="宋体" w:cs="宋体"/>
          <w:b w:val="0"/>
          <w:color w:val="auto"/>
          <w:sz w:val="24"/>
          <w:szCs w:val="24"/>
        </w:rPr>
        <w:t>经采购人审核并结合部门、专家意见修改完善后</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lang w:val="en-US" w:eastAsia="zh-CN"/>
        </w:rPr>
        <w:t>并</w:t>
      </w:r>
      <w:r>
        <w:rPr>
          <w:rFonts w:hint="eastAsia" w:ascii="宋体" w:hAnsi="宋体" w:eastAsia="宋体" w:cs="宋体"/>
          <w:b w:val="0"/>
          <w:color w:val="auto"/>
          <w:sz w:val="24"/>
          <w:szCs w:val="24"/>
        </w:rPr>
        <w:t>提交最终成果</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lang w:val="en-US" w:eastAsia="zh-CN"/>
        </w:rPr>
        <w:t>份数及形式根据采购人要求提供）</w:t>
      </w:r>
      <w:r>
        <w:rPr>
          <w:rFonts w:hint="eastAsia" w:ascii="宋体" w:hAnsi="宋体" w:eastAsia="宋体" w:cs="宋体"/>
          <w:b w:val="0"/>
          <w:color w:val="auto"/>
          <w:sz w:val="24"/>
          <w:szCs w:val="24"/>
        </w:rPr>
        <w:t>后付清剩余部分</w:t>
      </w:r>
      <w:r>
        <w:rPr>
          <w:rFonts w:hint="eastAsia" w:ascii="宋体" w:hAnsi="宋体" w:eastAsia="宋体" w:cs="宋体"/>
          <w:b w:val="0"/>
          <w:color w:val="auto"/>
          <w:sz w:val="24"/>
          <w:szCs w:val="24"/>
          <w:lang w:val="en-US" w:eastAsia="zh-CN"/>
        </w:rPr>
        <w:t>编制</w:t>
      </w:r>
      <w:r>
        <w:rPr>
          <w:rFonts w:hint="eastAsia" w:ascii="宋体" w:hAnsi="宋体" w:eastAsia="宋体" w:cs="宋体"/>
          <w:b w:val="0"/>
          <w:color w:val="auto"/>
          <w:sz w:val="24"/>
          <w:szCs w:val="24"/>
        </w:rPr>
        <w:t>费用。</w:t>
      </w:r>
    </w:p>
    <w:p w14:paraId="613F2CFC">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50"/>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rPr>
        <w:br w:type="page"/>
      </w:r>
    </w:p>
    <w:p w14:paraId="5BE431C4">
      <w:pPr>
        <w:pStyle w:val="3"/>
        <w:spacing w:after="50" w:line="360" w:lineRule="auto"/>
        <w:ind w:firstLine="0"/>
        <w:jc w:val="center"/>
        <w:outlineLvl w:val="0"/>
        <w:rPr>
          <w:rFonts w:hint="eastAsia" w:ascii="Arial" w:hAnsi="宋体" w:cs="Arial"/>
          <w:b/>
          <w:bCs/>
          <w:color w:val="000000"/>
          <w:szCs w:val="28"/>
          <w:highlight w:val="none"/>
        </w:rPr>
      </w:pPr>
      <w:r>
        <w:rPr>
          <w:rFonts w:hint="eastAsia" w:ascii="Arial" w:hAnsi="宋体" w:cs="Arial"/>
          <w:b/>
          <w:bCs/>
          <w:color w:val="000000"/>
          <w:szCs w:val="28"/>
          <w:highlight w:val="none"/>
        </w:rPr>
        <w:t>第四部分 合同条款</w:t>
      </w:r>
      <w:bookmarkEnd w:id="96"/>
      <w:bookmarkEnd w:id="97"/>
      <w:r>
        <w:rPr>
          <w:rFonts w:hint="eastAsia" w:ascii="Arial" w:hAnsi="宋体" w:cs="Arial"/>
          <w:b/>
          <w:bCs/>
          <w:color w:val="000000"/>
          <w:szCs w:val="28"/>
          <w:highlight w:val="none"/>
          <w:lang w:val="zh-CN"/>
        </w:rPr>
        <w:t>（仅供参考）</w:t>
      </w:r>
    </w:p>
    <w:p w14:paraId="1C2EB15D">
      <w:pPr>
        <w:pStyle w:val="21"/>
        <w:keepNext w:val="0"/>
        <w:keepLines w:val="0"/>
        <w:pageBreakBefore w:val="0"/>
        <w:kinsoku/>
        <w:wordWrap/>
        <w:overflowPunct/>
        <w:topLinePunct w:val="0"/>
        <w:bidi w:val="0"/>
        <w:spacing w:line="520" w:lineRule="exact"/>
        <w:ind w:left="0" w:leftChars="0"/>
        <w:rPr>
          <w:rFonts w:hint="eastAsia"/>
          <w:sz w:val="24"/>
          <w:szCs w:val="28"/>
        </w:rPr>
      </w:pPr>
      <w:bookmarkStart w:id="99" w:name="_Toc17369"/>
      <w:r>
        <w:rPr>
          <w:rFonts w:hint="eastAsia"/>
          <w:sz w:val="24"/>
          <w:szCs w:val="28"/>
        </w:rPr>
        <w:t>甲方：</w:t>
      </w:r>
      <w:r>
        <w:rPr>
          <w:rFonts w:hint="eastAsia"/>
          <w:sz w:val="24"/>
          <w:szCs w:val="28"/>
          <w:u w:val="single"/>
        </w:rPr>
        <w:t xml:space="preserve">                    </w:t>
      </w:r>
      <w:r>
        <w:rPr>
          <w:rFonts w:hint="eastAsia"/>
          <w:sz w:val="24"/>
          <w:szCs w:val="28"/>
          <w:u w:val="single"/>
          <w:lang w:val="en-US" w:eastAsia="zh-CN"/>
        </w:rPr>
        <w:t xml:space="preserve">  </w:t>
      </w:r>
      <w:r>
        <w:rPr>
          <w:rFonts w:hint="eastAsia"/>
          <w:sz w:val="24"/>
          <w:szCs w:val="28"/>
          <w:u w:val="single"/>
        </w:rPr>
        <w:t xml:space="preserve">     </w:t>
      </w:r>
      <w:r>
        <w:rPr>
          <w:rFonts w:hint="eastAsia"/>
          <w:sz w:val="24"/>
          <w:szCs w:val="28"/>
          <w:u w:val="none"/>
        </w:rPr>
        <w:t>（</w:t>
      </w:r>
      <w:r>
        <w:rPr>
          <w:rFonts w:hint="eastAsia"/>
          <w:sz w:val="24"/>
          <w:szCs w:val="28"/>
        </w:rPr>
        <w:t xml:space="preserve">以下简称甲方） </w:t>
      </w:r>
    </w:p>
    <w:p w14:paraId="7FAD362F">
      <w:pPr>
        <w:pStyle w:val="21"/>
        <w:keepNext w:val="0"/>
        <w:keepLines w:val="0"/>
        <w:pageBreakBefore w:val="0"/>
        <w:kinsoku/>
        <w:wordWrap/>
        <w:overflowPunct/>
        <w:topLinePunct w:val="0"/>
        <w:bidi w:val="0"/>
        <w:spacing w:line="520" w:lineRule="exact"/>
        <w:ind w:left="0" w:leftChars="0"/>
        <w:rPr>
          <w:rFonts w:hint="eastAsia"/>
          <w:sz w:val="24"/>
          <w:szCs w:val="28"/>
        </w:rPr>
      </w:pPr>
      <w:r>
        <w:rPr>
          <w:rFonts w:hint="eastAsia"/>
          <w:sz w:val="24"/>
          <w:szCs w:val="28"/>
        </w:rPr>
        <w:t>乙方：</w:t>
      </w:r>
      <w:r>
        <w:rPr>
          <w:rFonts w:hint="eastAsia"/>
          <w:sz w:val="24"/>
          <w:szCs w:val="28"/>
          <w:u w:val="single"/>
        </w:rPr>
        <w:t xml:space="preserve">                           </w:t>
      </w:r>
      <w:r>
        <w:rPr>
          <w:rFonts w:hint="eastAsia"/>
          <w:sz w:val="24"/>
          <w:szCs w:val="28"/>
        </w:rPr>
        <w:t>（以下简称乙方）</w:t>
      </w:r>
    </w:p>
    <w:p w14:paraId="0DF4F64A">
      <w:pPr>
        <w:pStyle w:val="21"/>
        <w:keepNext w:val="0"/>
        <w:keepLines w:val="0"/>
        <w:pageBreakBefore w:val="0"/>
        <w:kinsoku/>
        <w:wordWrap/>
        <w:overflowPunct/>
        <w:topLinePunct w:val="0"/>
        <w:bidi w:val="0"/>
        <w:spacing w:line="520" w:lineRule="exact"/>
        <w:ind w:left="0" w:leftChars="0"/>
        <w:rPr>
          <w:sz w:val="24"/>
          <w:szCs w:val="28"/>
        </w:rPr>
      </w:pPr>
      <w:r>
        <w:rPr>
          <w:rFonts w:hint="eastAsia"/>
          <w:sz w:val="24"/>
          <w:szCs w:val="28"/>
        </w:rPr>
        <w:t>项目名称：</w:t>
      </w:r>
      <w:r>
        <w:rPr>
          <w:rFonts w:hint="eastAsia"/>
          <w:sz w:val="24"/>
          <w:szCs w:val="28"/>
          <w:u w:val="single"/>
        </w:rPr>
        <w:t xml:space="preserve">                    </w:t>
      </w:r>
    </w:p>
    <w:p w14:paraId="794F5D69">
      <w:pPr>
        <w:keepNext w:val="0"/>
        <w:keepLines w:val="0"/>
        <w:pageBreakBefore w:val="0"/>
        <w:kinsoku/>
        <w:wordWrap/>
        <w:overflowPunct/>
        <w:topLinePunct w:val="0"/>
        <w:bidi w:val="0"/>
        <w:spacing w:line="520" w:lineRule="exact"/>
        <w:ind w:left="0" w:leftChars="0" w:firstLine="480" w:firstLineChars="200"/>
        <w:rPr>
          <w:sz w:val="24"/>
          <w:szCs w:val="32"/>
        </w:rPr>
      </w:pPr>
      <w:r>
        <w:rPr>
          <w:rFonts w:hint="eastAsia"/>
          <w:sz w:val="24"/>
          <w:szCs w:val="32"/>
        </w:rPr>
        <w:t>采购人委托中标单位承担</w:t>
      </w:r>
      <w:r>
        <w:rPr>
          <w:rFonts w:hint="eastAsia"/>
          <w:sz w:val="24"/>
          <w:szCs w:val="32"/>
          <w:u w:val="single"/>
          <w:lang w:val="en-US" w:eastAsia="zh-CN"/>
        </w:rPr>
        <w:t xml:space="preserve">         （项目名称）          </w:t>
      </w:r>
      <w:r>
        <w:rPr>
          <w:rFonts w:hint="eastAsia"/>
          <w:sz w:val="24"/>
          <w:szCs w:val="32"/>
          <w:u w:val="single"/>
        </w:rPr>
        <w:t>。</w:t>
      </w:r>
      <w:r>
        <w:rPr>
          <w:rFonts w:hint="eastAsia"/>
          <w:sz w:val="24"/>
          <w:szCs w:val="32"/>
        </w:rPr>
        <w:t>经双方协商一致，签订本合同，共同执行。</w:t>
      </w:r>
    </w:p>
    <w:p w14:paraId="328D83D9">
      <w:pPr>
        <w:keepNext w:val="0"/>
        <w:keepLines w:val="0"/>
        <w:pageBreakBefore w:val="0"/>
        <w:kinsoku/>
        <w:wordWrap/>
        <w:overflowPunct/>
        <w:topLinePunct w:val="0"/>
        <w:bidi w:val="0"/>
        <w:spacing w:line="520" w:lineRule="exact"/>
        <w:ind w:left="0" w:leftChars="0" w:firstLine="480" w:firstLineChars="200"/>
        <w:outlineLvl w:val="1"/>
        <w:rPr>
          <w:sz w:val="24"/>
          <w:szCs w:val="32"/>
        </w:rPr>
      </w:pPr>
      <w:r>
        <w:rPr>
          <w:rFonts w:hint="eastAsia"/>
          <w:sz w:val="24"/>
          <w:szCs w:val="32"/>
        </w:rPr>
        <w:t>第一条  本合同签订依据</w:t>
      </w:r>
    </w:p>
    <w:p w14:paraId="13FF277C">
      <w:pPr>
        <w:keepNext w:val="0"/>
        <w:keepLines w:val="0"/>
        <w:pageBreakBefore w:val="0"/>
        <w:kinsoku/>
        <w:wordWrap/>
        <w:overflowPunct/>
        <w:topLinePunct w:val="0"/>
        <w:bidi w:val="0"/>
        <w:spacing w:line="520" w:lineRule="exact"/>
        <w:ind w:left="0" w:leftChars="0" w:firstLine="480" w:firstLineChars="200"/>
        <w:rPr>
          <w:sz w:val="24"/>
          <w:szCs w:val="32"/>
        </w:rPr>
      </w:pPr>
      <w:r>
        <w:rPr>
          <w:rFonts w:hint="eastAsia"/>
          <w:sz w:val="24"/>
          <w:szCs w:val="32"/>
        </w:rPr>
        <w:t>1、《中华人民共和国民法典》及相关法律法规。</w:t>
      </w:r>
    </w:p>
    <w:p w14:paraId="52251988">
      <w:pPr>
        <w:keepNext w:val="0"/>
        <w:keepLines w:val="0"/>
        <w:pageBreakBefore w:val="0"/>
        <w:kinsoku/>
        <w:wordWrap/>
        <w:overflowPunct/>
        <w:topLinePunct w:val="0"/>
        <w:bidi w:val="0"/>
        <w:spacing w:line="520" w:lineRule="exact"/>
        <w:ind w:left="0" w:leftChars="0" w:firstLine="480" w:firstLineChars="200"/>
        <w:outlineLvl w:val="1"/>
        <w:rPr>
          <w:sz w:val="24"/>
          <w:szCs w:val="32"/>
        </w:rPr>
      </w:pPr>
      <w:r>
        <w:rPr>
          <w:rFonts w:hint="eastAsia"/>
          <w:sz w:val="24"/>
          <w:szCs w:val="32"/>
        </w:rPr>
        <w:t>第二条  项目依据</w:t>
      </w:r>
    </w:p>
    <w:p w14:paraId="222D9FB6">
      <w:pPr>
        <w:keepNext w:val="0"/>
        <w:keepLines w:val="0"/>
        <w:pageBreakBefore w:val="0"/>
        <w:kinsoku/>
        <w:wordWrap/>
        <w:overflowPunct/>
        <w:topLinePunct w:val="0"/>
        <w:bidi w:val="0"/>
        <w:spacing w:line="520" w:lineRule="exact"/>
        <w:ind w:left="0" w:leftChars="0" w:firstLine="480" w:firstLineChars="200"/>
        <w:rPr>
          <w:sz w:val="24"/>
          <w:szCs w:val="32"/>
        </w:rPr>
      </w:pPr>
      <w:r>
        <w:rPr>
          <w:rFonts w:hint="eastAsia"/>
          <w:sz w:val="24"/>
          <w:szCs w:val="32"/>
        </w:rPr>
        <w:t>1、采购人给中标单位的委托书或招标文件；</w:t>
      </w:r>
    </w:p>
    <w:p w14:paraId="283B031E">
      <w:pPr>
        <w:keepNext w:val="0"/>
        <w:keepLines w:val="0"/>
        <w:pageBreakBefore w:val="0"/>
        <w:kinsoku/>
        <w:wordWrap/>
        <w:overflowPunct/>
        <w:topLinePunct w:val="0"/>
        <w:bidi w:val="0"/>
        <w:spacing w:line="520" w:lineRule="exact"/>
        <w:ind w:left="0" w:leftChars="0" w:firstLine="480" w:firstLineChars="200"/>
        <w:rPr>
          <w:sz w:val="24"/>
          <w:szCs w:val="32"/>
        </w:rPr>
      </w:pPr>
      <w:r>
        <w:rPr>
          <w:rFonts w:hint="eastAsia"/>
          <w:sz w:val="24"/>
          <w:szCs w:val="32"/>
        </w:rPr>
        <w:t>2、采购人提交的基础资料。</w:t>
      </w:r>
    </w:p>
    <w:p w14:paraId="725EA91F">
      <w:pPr>
        <w:keepNext w:val="0"/>
        <w:keepLines w:val="0"/>
        <w:pageBreakBefore w:val="0"/>
        <w:kinsoku/>
        <w:wordWrap/>
        <w:overflowPunct/>
        <w:topLinePunct w:val="0"/>
        <w:bidi w:val="0"/>
        <w:spacing w:line="520" w:lineRule="exact"/>
        <w:ind w:left="0" w:leftChars="0" w:firstLine="480" w:firstLineChars="200"/>
        <w:outlineLvl w:val="1"/>
        <w:rPr>
          <w:sz w:val="24"/>
          <w:szCs w:val="32"/>
        </w:rPr>
      </w:pPr>
      <w:r>
        <w:rPr>
          <w:rFonts w:hint="eastAsia"/>
          <w:sz w:val="24"/>
          <w:szCs w:val="32"/>
        </w:rPr>
        <w:t>第三条  合同文件的优先次序</w:t>
      </w:r>
    </w:p>
    <w:p w14:paraId="6A84697F">
      <w:pPr>
        <w:keepNext w:val="0"/>
        <w:keepLines w:val="0"/>
        <w:pageBreakBefore w:val="0"/>
        <w:kinsoku/>
        <w:wordWrap/>
        <w:overflowPunct/>
        <w:topLinePunct w:val="0"/>
        <w:bidi w:val="0"/>
        <w:spacing w:line="520" w:lineRule="exact"/>
        <w:ind w:left="0" w:leftChars="0" w:firstLine="480" w:firstLineChars="200"/>
        <w:rPr>
          <w:sz w:val="24"/>
          <w:szCs w:val="32"/>
        </w:rPr>
      </w:pPr>
      <w:r>
        <w:rPr>
          <w:rFonts w:hint="eastAsia"/>
          <w:sz w:val="24"/>
          <w:szCs w:val="32"/>
        </w:rPr>
        <w:t>构成本合同的文件可视为是能互相说明的，如果合同文件存在歧义或不一致则根据如下优先次序来判断；</w:t>
      </w:r>
    </w:p>
    <w:p w14:paraId="299C2265">
      <w:pPr>
        <w:keepNext w:val="0"/>
        <w:keepLines w:val="0"/>
        <w:pageBreakBefore w:val="0"/>
        <w:kinsoku/>
        <w:wordWrap/>
        <w:overflowPunct/>
        <w:topLinePunct w:val="0"/>
        <w:bidi w:val="0"/>
        <w:spacing w:line="520" w:lineRule="exact"/>
        <w:ind w:left="0" w:leftChars="0" w:firstLine="480" w:firstLineChars="200"/>
        <w:rPr>
          <w:sz w:val="24"/>
          <w:szCs w:val="32"/>
        </w:rPr>
      </w:pPr>
      <w:r>
        <w:rPr>
          <w:rFonts w:hint="eastAsia"/>
          <w:sz w:val="24"/>
          <w:szCs w:val="32"/>
        </w:rPr>
        <w:t>1、合同书及合同谈判纪要</w:t>
      </w:r>
    </w:p>
    <w:p w14:paraId="0439211C">
      <w:pPr>
        <w:keepNext w:val="0"/>
        <w:keepLines w:val="0"/>
        <w:pageBreakBefore w:val="0"/>
        <w:kinsoku/>
        <w:wordWrap/>
        <w:overflowPunct/>
        <w:topLinePunct w:val="0"/>
        <w:bidi w:val="0"/>
        <w:spacing w:line="520" w:lineRule="exact"/>
        <w:ind w:left="0" w:leftChars="0" w:firstLine="480" w:firstLineChars="200"/>
        <w:rPr>
          <w:sz w:val="24"/>
          <w:szCs w:val="32"/>
        </w:rPr>
      </w:pPr>
      <w:r>
        <w:rPr>
          <w:rFonts w:hint="eastAsia"/>
          <w:sz w:val="24"/>
          <w:szCs w:val="32"/>
        </w:rPr>
        <w:t>2、中标通知书（文件）</w:t>
      </w:r>
    </w:p>
    <w:p w14:paraId="67499C82">
      <w:pPr>
        <w:keepNext w:val="0"/>
        <w:keepLines w:val="0"/>
        <w:pageBreakBefore w:val="0"/>
        <w:kinsoku/>
        <w:wordWrap/>
        <w:overflowPunct/>
        <w:topLinePunct w:val="0"/>
        <w:bidi w:val="0"/>
        <w:spacing w:line="520" w:lineRule="exact"/>
        <w:ind w:left="0" w:leftChars="0" w:firstLine="480" w:firstLineChars="200"/>
        <w:rPr>
          <w:sz w:val="24"/>
          <w:szCs w:val="32"/>
        </w:rPr>
      </w:pPr>
      <w:r>
        <w:rPr>
          <w:rFonts w:hint="eastAsia"/>
          <w:sz w:val="24"/>
          <w:szCs w:val="32"/>
        </w:rPr>
        <w:t>3、采购人要求及委托书</w:t>
      </w:r>
    </w:p>
    <w:p w14:paraId="351DD59F">
      <w:pPr>
        <w:keepNext w:val="0"/>
        <w:keepLines w:val="0"/>
        <w:pageBreakBefore w:val="0"/>
        <w:kinsoku/>
        <w:wordWrap/>
        <w:overflowPunct/>
        <w:topLinePunct w:val="0"/>
        <w:bidi w:val="0"/>
        <w:spacing w:line="520" w:lineRule="exact"/>
        <w:ind w:left="0" w:leftChars="0" w:firstLine="480" w:firstLineChars="200"/>
        <w:rPr>
          <w:sz w:val="24"/>
          <w:szCs w:val="32"/>
        </w:rPr>
      </w:pPr>
      <w:r>
        <w:rPr>
          <w:rFonts w:hint="eastAsia"/>
          <w:sz w:val="24"/>
          <w:szCs w:val="32"/>
        </w:rPr>
        <w:t>4、招标文件</w:t>
      </w:r>
    </w:p>
    <w:p w14:paraId="17AD3CA5">
      <w:pPr>
        <w:keepNext w:val="0"/>
        <w:keepLines w:val="0"/>
        <w:pageBreakBefore w:val="0"/>
        <w:kinsoku/>
        <w:wordWrap/>
        <w:overflowPunct/>
        <w:topLinePunct w:val="0"/>
        <w:bidi w:val="0"/>
        <w:spacing w:line="520" w:lineRule="exact"/>
        <w:ind w:left="0" w:leftChars="0" w:firstLine="480" w:firstLineChars="200"/>
        <w:rPr>
          <w:sz w:val="24"/>
          <w:szCs w:val="32"/>
        </w:rPr>
      </w:pPr>
      <w:r>
        <w:rPr>
          <w:rFonts w:hint="eastAsia"/>
          <w:sz w:val="24"/>
          <w:szCs w:val="32"/>
        </w:rPr>
        <w:t>5、投标文件</w:t>
      </w:r>
    </w:p>
    <w:p w14:paraId="7E73F8A5">
      <w:pPr>
        <w:keepNext w:val="0"/>
        <w:keepLines w:val="0"/>
        <w:pageBreakBefore w:val="0"/>
        <w:kinsoku/>
        <w:wordWrap/>
        <w:overflowPunct/>
        <w:topLinePunct w:val="0"/>
        <w:bidi w:val="0"/>
        <w:spacing w:line="520" w:lineRule="exact"/>
        <w:ind w:left="0" w:leftChars="0" w:firstLine="480" w:firstLineChars="200"/>
        <w:outlineLvl w:val="1"/>
        <w:rPr>
          <w:sz w:val="24"/>
          <w:szCs w:val="32"/>
        </w:rPr>
      </w:pPr>
      <w:r>
        <w:rPr>
          <w:rFonts w:hint="eastAsia"/>
          <w:sz w:val="24"/>
          <w:szCs w:val="32"/>
        </w:rPr>
        <w:t>第四条  采购项目内容及合同价格</w:t>
      </w:r>
    </w:p>
    <w:p w14:paraId="0F6A3F13">
      <w:pPr>
        <w:keepNext w:val="0"/>
        <w:keepLines w:val="0"/>
        <w:pageBreakBefore w:val="0"/>
        <w:tabs>
          <w:tab w:val="left" w:pos="425"/>
        </w:tabs>
        <w:kinsoku/>
        <w:wordWrap/>
        <w:overflowPunct/>
        <w:topLinePunct w:val="0"/>
        <w:bidi w:val="0"/>
        <w:snapToGrid w:val="0"/>
        <w:spacing w:line="520" w:lineRule="exact"/>
        <w:ind w:left="0" w:leftChars="0" w:firstLine="600" w:firstLineChars="250"/>
        <w:rPr>
          <w:sz w:val="24"/>
          <w:szCs w:val="32"/>
        </w:rPr>
      </w:pPr>
      <w:r>
        <w:rPr>
          <w:rFonts w:hint="eastAsia"/>
          <w:sz w:val="24"/>
          <w:szCs w:val="32"/>
        </w:rPr>
        <w:t>中标供应商保证提供如下内容的合格服务：               金额单位： 元</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3784"/>
        <w:gridCol w:w="913"/>
        <w:gridCol w:w="2056"/>
      </w:tblGrid>
      <w:tr w14:paraId="5D5D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24" w:type="dxa"/>
            <w:vAlign w:val="center"/>
          </w:tcPr>
          <w:p w14:paraId="50249A9D">
            <w:pPr>
              <w:keepNext w:val="0"/>
              <w:keepLines w:val="0"/>
              <w:pageBreakBefore w:val="0"/>
              <w:kinsoku/>
              <w:wordWrap/>
              <w:overflowPunct/>
              <w:topLinePunct w:val="0"/>
              <w:bidi w:val="0"/>
              <w:spacing w:line="520" w:lineRule="exact"/>
              <w:ind w:left="0" w:leftChars="0"/>
              <w:jc w:val="center"/>
              <w:rPr>
                <w:sz w:val="24"/>
                <w:szCs w:val="32"/>
              </w:rPr>
            </w:pPr>
            <w:r>
              <w:rPr>
                <w:rFonts w:hint="eastAsia"/>
                <w:sz w:val="24"/>
                <w:szCs w:val="32"/>
              </w:rPr>
              <w:t>项目名称</w:t>
            </w:r>
          </w:p>
        </w:tc>
        <w:tc>
          <w:tcPr>
            <w:tcW w:w="3784" w:type="dxa"/>
            <w:vAlign w:val="center"/>
          </w:tcPr>
          <w:p w14:paraId="11DD2D04">
            <w:pPr>
              <w:keepNext w:val="0"/>
              <w:keepLines w:val="0"/>
              <w:pageBreakBefore w:val="0"/>
              <w:kinsoku/>
              <w:wordWrap/>
              <w:overflowPunct/>
              <w:topLinePunct w:val="0"/>
              <w:bidi w:val="0"/>
              <w:spacing w:line="520" w:lineRule="exact"/>
              <w:ind w:left="0" w:leftChars="0"/>
              <w:jc w:val="center"/>
              <w:rPr>
                <w:sz w:val="24"/>
                <w:szCs w:val="32"/>
              </w:rPr>
            </w:pPr>
            <w:r>
              <w:rPr>
                <w:rFonts w:hint="eastAsia"/>
                <w:sz w:val="24"/>
                <w:szCs w:val="32"/>
              </w:rPr>
              <w:t>内容</w:t>
            </w:r>
          </w:p>
        </w:tc>
        <w:tc>
          <w:tcPr>
            <w:tcW w:w="913" w:type="dxa"/>
            <w:vAlign w:val="center"/>
          </w:tcPr>
          <w:p w14:paraId="6B25C90F">
            <w:pPr>
              <w:keepNext w:val="0"/>
              <w:keepLines w:val="0"/>
              <w:pageBreakBefore w:val="0"/>
              <w:kinsoku/>
              <w:wordWrap/>
              <w:overflowPunct/>
              <w:topLinePunct w:val="0"/>
              <w:bidi w:val="0"/>
              <w:spacing w:line="520" w:lineRule="exact"/>
              <w:ind w:left="0" w:leftChars="0"/>
              <w:jc w:val="center"/>
              <w:rPr>
                <w:sz w:val="24"/>
                <w:szCs w:val="32"/>
              </w:rPr>
            </w:pPr>
            <w:r>
              <w:rPr>
                <w:rFonts w:hint="eastAsia"/>
                <w:sz w:val="24"/>
                <w:szCs w:val="32"/>
              </w:rPr>
              <w:t>报价</w:t>
            </w:r>
          </w:p>
        </w:tc>
        <w:tc>
          <w:tcPr>
            <w:tcW w:w="2056" w:type="dxa"/>
            <w:vAlign w:val="center"/>
          </w:tcPr>
          <w:p w14:paraId="4398A242">
            <w:pPr>
              <w:keepNext w:val="0"/>
              <w:keepLines w:val="0"/>
              <w:pageBreakBefore w:val="0"/>
              <w:kinsoku/>
              <w:wordWrap/>
              <w:overflowPunct/>
              <w:topLinePunct w:val="0"/>
              <w:bidi w:val="0"/>
              <w:spacing w:line="520" w:lineRule="exact"/>
              <w:ind w:left="0" w:leftChars="0"/>
              <w:jc w:val="center"/>
              <w:rPr>
                <w:sz w:val="24"/>
                <w:szCs w:val="32"/>
              </w:rPr>
            </w:pPr>
            <w:r>
              <w:rPr>
                <w:rFonts w:hint="eastAsia"/>
                <w:sz w:val="24"/>
                <w:szCs w:val="32"/>
              </w:rPr>
              <w:t>备注</w:t>
            </w:r>
          </w:p>
        </w:tc>
      </w:tr>
      <w:tr w14:paraId="7A31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924" w:type="dxa"/>
            <w:vMerge w:val="restart"/>
            <w:vAlign w:val="center"/>
          </w:tcPr>
          <w:p w14:paraId="136C205A">
            <w:pPr>
              <w:keepNext w:val="0"/>
              <w:keepLines w:val="0"/>
              <w:pageBreakBefore w:val="0"/>
              <w:kinsoku/>
              <w:wordWrap/>
              <w:overflowPunct/>
              <w:topLinePunct w:val="0"/>
              <w:bidi w:val="0"/>
              <w:spacing w:line="520" w:lineRule="exact"/>
              <w:ind w:left="0" w:leftChars="0"/>
              <w:rPr>
                <w:sz w:val="24"/>
                <w:szCs w:val="32"/>
              </w:rPr>
            </w:pPr>
          </w:p>
        </w:tc>
        <w:tc>
          <w:tcPr>
            <w:tcW w:w="3784" w:type="dxa"/>
            <w:vAlign w:val="center"/>
          </w:tcPr>
          <w:p w14:paraId="532299B5">
            <w:pPr>
              <w:keepNext w:val="0"/>
              <w:keepLines w:val="0"/>
              <w:pageBreakBefore w:val="0"/>
              <w:kinsoku/>
              <w:wordWrap/>
              <w:overflowPunct/>
              <w:topLinePunct w:val="0"/>
              <w:bidi w:val="0"/>
              <w:snapToGrid w:val="0"/>
              <w:spacing w:line="520" w:lineRule="exact"/>
              <w:ind w:left="0" w:leftChars="0"/>
              <w:jc w:val="center"/>
              <w:rPr>
                <w:sz w:val="24"/>
                <w:szCs w:val="32"/>
              </w:rPr>
            </w:pPr>
          </w:p>
        </w:tc>
        <w:tc>
          <w:tcPr>
            <w:tcW w:w="913" w:type="dxa"/>
            <w:vAlign w:val="center"/>
          </w:tcPr>
          <w:p w14:paraId="10E8AC38">
            <w:pPr>
              <w:keepNext w:val="0"/>
              <w:keepLines w:val="0"/>
              <w:pageBreakBefore w:val="0"/>
              <w:kinsoku/>
              <w:wordWrap/>
              <w:overflowPunct/>
              <w:topLinePunct w:val="0"/>
              <w:bidi w:val="0"/>
              <w:spacing w:line="520" w:lineRule="exact"/>
              <w:ind w:left="0" w:leftChars="0"/>
              <w:jc w:val="center"/>
              <w:rPr>
                <w:sz w:val="24"/>
                <w:szCs w:val="32"/>
              </w:rPr>
            </w:pPr>
          </w:p>
        </w:tc>
        <w:tc>
          <w:tcPr>
            <w:tcW w:w="2056" w:type="dxa"/>
            <w:vMerge w:val="restart"/>
            <w:vAlign w:val="center"/>
          </w:tcPr>
          <w:p w14:paraId="44690ECA">
            <w:pPr>
              <w:keepNext w:val="0"/>
              <w:keepLines w:val="0"/>
              <w:pageBreakBefore w:val="0"/>
              <w:kinsoku/>
              <w:wordWrap/>
              <w:overflowPunct/>
              <w:topLinePunct w:val="0"/>
              <w:bidi w:val="0"/>
              <w:spacing w:line="520" w:lineRule="exact"/>
              <w:ind w:left="0" w:leftChars="0"/>
              <w:jc w:val="center"/>
              <w:rPr>
                <w:sz w:val="24"/>
                <w:szCs w:val="32"/>
              </w:rPr>
            </w:pPr>
            <w:r>
              <w:rPr>
                <w:rFonts w:hint="eastAsia"/>
                <w:sz w:val="24"/>
                <w:szCs w:val="32"/>
              </w:rPr>
              <w:t>中标总价</w:t>
            </w:r>
          </w:p>
        </w:tc>
      </w:tr>
      <w:tr w14:paraId="2F91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924" w:type="dxa"/>
            <w:vMerge w:val="continue"/>
            <w:vAlign w:val="center"/>
          </w:tcPr>
          <w:p w14:paraId="7350E265">
            <w:pPr>
              <w:keepNext w:val="0"/>
              <w:keepLines w:val="0"/>
              <w:pageBreakBefore w:val="0"/>
              <w:kinsoku/>
              <w:wordWrap/>
              <w:overflowPunct/>
              <w:topLinePunct w:val="0"/>
              <w:bidi w:val="0"/>
              <w:spacing w:line="520" w:lineRule="exact"/>
              <w:ind w:left="0" w:leftChars="0" w:firstLine="480"/>
              <w:rPr>
                <w:sz w:val="24"/>
                <w:szCs w:val="32"/>
              </w:rPr>
            </w:pPr>
          </w:p>
        </w:tc>
        <w:tc>
          <w:tcPr>
            <w:tcW w:w="3784" w:type="dxa"/>
            <w:vAlign w:val="center"/>
          </w:tcPr>
          <w:p w14:paraId="5A817ED8">
            <w:pPr>
              <w:keepNext w:val="0"/>
              <w:keepLines w:val="0"/>
              <w:pageBreakBefore w:val="0"/>
              <w:kinsoku/>
              <w:wordWrap/>
              <w:overflowPunct/>
              <w:topLinePunct w:val="0"/>
              <w:bidi w:val="0"/>
              <w:snapToGrid w:val="0"/>
              <w:spacing w:line="520" w:lineRule="exact"/>
              <w:ind w:left="0" w:leftChars="0"/>
              <w:jc w:val="center"/>
              <w:rPr>
                <w:sz w:val="24"/>
                <w:szCs w:val="32"/>
              </w:rPr>
            </w:pPr>
          </w:p>
        </w:tc>
        <w:tc>
          <w:tcPr>
            <w:tcW w:w="913" w:type="dxa"/>
            <w:vAlign w:val="center"/>
          </w:tcPr>
          <w:p w14:paraId="4E4DB5C2">
            <w:pPr>
              <w:keepNext w:val="0"/>
              <w:keepLines w:val="0"/>
              <w:pageBreakBefore w:val="0"/>
              <w:kinsoku/>
              <w:wordWrap/>
              <w:overflowPunct/>
              <w:topLinePunct w:val="0"/>
              <w:bidi w:val="0"/>
              <w:spacing w:line="520" w:lineRule="exact"/>
              <w:ind w:left="0" w:leftChars="0"/>
              <w:jc w:val="center"/>
              <w:rPr>
                <w:sz w:val="24"/>
                <w:szCs w:val="32"/>
              </w:rPr>
            </w:pPr>
          </w:p>
        </w:tc>
        <w:tc>
          <w:tcPr>
            <w:tcW w:w="2056" w:type="dxa"/>
            <w:vMerge w:val="continue"/>
            <w:vAlign w:val="center"/>
          </w:tcPr>
          <w:p w14:paraId="0DE3F127">
            <w:pPr>
              <w:keepNext w:val="0"/>
              <w:keepLines w:val="0"/>
              <w:pageBreakBefore w:val="0"/>
              <w:kinsoku/>
              <w:wordWrap/>
              <w:overflowPunct/>
              <w:topLinePunct w:val="0"/>
              <w:bidi w:val="0"/>
              <w:spacing w:line="520" w:lineRule="exact"/>
              <w:ind w:left="0" w:leftChars="0" w:firstLine="480"/>
              <w:rPr>
                <w:sz w:val="24"/>
                <w:szCs w:val="32"/>
              </w:rPr>
            </w:pPr>
          </w:p>
        </w:tc>
      </w:tr>
      <w:tr w14:paraId="0C18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924" w:type="dxa"/>
            <w:vMerge w:val="continue"/>
            <w:vAlign w:val="center"/>
          </w:tcPr>
          <w:p w14:paraId="22C0E7A1">
            <w:pPr>
              <w:keepNext w:val="0"/>
              <w:keepLines w:val="0"/>
              <w:pageBreakBefore w:val="0"/>
              <w:kinsoku/>
              <w:wordWrap/>
              <w:overflowPunct/>
              <w:topLinePunct w:val="0"/>
              <w:bidi w:val="0"/>
              <w:spacing w:line="520" w:lineRule="exact"/>
              <w:ind w:left="0" w:leftChars="0" w:firstLine="480"/>
              <w:rPr>
                <w:sz w:val="24"/>
                <w:szCs w:val="32"/>
              </w:rPr>
            </w:pPr>
          </w:p>
        </w:tc>
        <w:tc>
          <w:tcPr>
            <w:tcW w:w="3784" w:type="dxa"/>
            <w:vAlign w:val="center"/>
          </w:tcPr>
          <w:p w14:paraId="4B3EB2E2">
            <w:pPr>
              <w:pStyle w:val="16"/>
              <w:keepNext w:val="0"/>
              <w:keepLines w:val="0"/>
              <w:pageBreakBefore w:val="0"/>
              <w:kinsoku/>
              <w:wordWrap/>
              <w:overflowPunct/>
              <w:topLinePunct w:val="0"/>
              <w:bidi w:val="0"/>
              <w:spacing w:line="520" w:lineRule="exact"/>
              <w:ind w:left="0" w:leftChars="0"/>
              <w:rPr>
                <w:sz w:val="28"/>
                <w:szCs w:val="28"/>
              </w:rPr>
            </w:pPr>
          </w:p>
        </w:tc>
        <w:tc>
          <w:tcPr>
            <w:tcW w:w="913" w:type="dxa"/>
            <w:vAlign w:val="center"/>
          </w:tcPr>
          <w:p w14:paraId="465FE608">
            <w:pPr>
              <w:keepNext w:val="0"/>
              <w:keepLines w:val="0"/>
              <w:pageBreakBefore w:val="0"/>
              <w:kinsoku/>
              <w:wordWrap/>
              <w:overflowPunct/>
              <w:topLinePunct w:val="0"/>
              <w:bidi w:val="0"/>
              <w:spacing w:line="520" w:lineRule="exact"/>
              <w:ind w:left="0" w:leftChars="0"/>
              <w:jc w:val="center"/>
              <w:rPr>
                <w:sz w:val="24"/>
                <w:szCs w:val="32"/>
              </w:rPr>
            </w:pPr>
          </w:p>
        </w:tc>
        <w:tc>
          <w:tcPr>
            <w:tcW w:w="2056" w:type="dxa"/>
            <w:vMerge w:val="continue"/>
            <w:vAlign w:val="center"/>
          </w:tcPr>
          <w:p w14:paraId="20AE47E6">
            <w:pPr>
              <w:keepNext w:val="0"/>
              <w:keepLines w:val="0"/>
              <w:pageBreakBefore w:val="0"/>
              <w:kinsoku/>
              <w:wordWrap/>
              <w:overflowPunct/>
              <w:topLinePunct w:val="0"/>
              <w:bidi w:val="0"/>
              <w:spacing w:line="520" w:lineRule="exact"/>
              <w:ind w:left="0" w:leftChars="0" w:firstLine="480"/>
              <w:rPr>
                <w:sz w:val="24"/>
                <w:szCs w:val="32"/>
              </w:rPr>
            </w:pPr>
          </w:p>
        </w:tc>
      </w:tr>
      <w:tr w14:paraId="7C28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6621" w:type="dxa"/>
            <w:gridSpan w:val="3"/>
            <w:vAlign w:val="center"/>
          </w:tcPr>
          <w:p w14:paraId="77EDD37E">
            <w:pPr>
              <w:keepNext w:val="0"/>
              <w:keepLines w:val="0"/>
              <w:pageBreakBefore w:val="0"/>
              <w:kinsoku/>
              <w:wordWrap/>
              <w:overflowPunct/>
              <w:topLinePunct w:val="0"/>
              <w:bidi w:val="0"/>
              <w:spacing w:line="520" w:lineRule="exact"/>
              <w:ind w:left="0" w:leftChars="0"/>
              <w:rPr>
                <w:sz w:val="24"/>
                <w:szCs w:val="32"/>
              </w:rPr>
            </w:pPr>
            <w:r>
              <w:rPr>
                <w:rFonts w:hint="eastAsia"/>
                <w:sz w:val="24"/>
                <w:szCs w:val="32"/>
              </w:rPr>
              <w:t>合同人民币总金额：</w:t>
            </w:r>
            <w:r>
              <w:rPr>
                <w:rFonts w:hint="eastAsia"/>
                <w:sz w:val="24"/>
                <w:szCs w:val="32"/>
                <w:lang w:val="en-US" w:eastAsia="zh-CN"/>
              </w:rPr>
              <w:t xml:space="preserve">         </w:t>
            </w:r>
            <w:r>
              <w:rPr>
                <w:rFonts w:hint="eastAsia"/>
                <w:sz w:val="24"/>
                <w:szCs w:val="32"/>
              </w:rPr>
              <w:t>元整</w:t>
            </w:r>
          </w:p>
        </w:tc>
        <w:tc>
          <w:tcPr>
            <w:tcW w:w="2056" w:type="dxa"/>
            <w:vMerge w:val="continue"/>
            <w:vAlign w:val="center"/>
          </w:tcPr>
          <w:p w14:paraId="0DC0A438">
            <w:pPr>
              <w:keepNext w:val="0"/>
              <w:keepLines w:val="0"/>
              <w:pageBreakBefore w:val="0"/>
              <w:kinsoku/>
              <w:wordWrap/>
              <w:overflowPunct/>
              <w:topLinePunct w:val="0"/>
              <w:bidi w:val="0"/>
              <w:spacing w:line="520" w:lineRule="exact"/>
              <w:ind w:left="0" w:leftChars="0" w:firstLine="480"/>
              <w:rPr>
                <w:sz w:val="24"/>
                <w:szCs w:val="32"/>
              </w:rPr>
            </w:pPr>
          </w:p>
        </w:tc>
      </w:tr>
    </w:tbl>
    <w:p w14:paraId="5D90ED30">
      <w:pPr>
        <w:keepNext w:val="0"/>
        <w:keepLines w:val="0"/>
        <w:pageBreakBefore w:val="0"/>
        <w:kinsoku/>
        <w:wordWrap/>
        <w:overflowPunct/>
        <w:topLinePunct w:val="0"/>
        <w:autoSpaceDE w:val="0"/>
        <w:autoSpaceDN w:val="0"/>
        <w:bidi w:val="0"/>
        <w:adjustRightInd w:val="0"/>
        <w:snapToGrid w:val="0"/>
        <w:spacing w:line="520" w:lineRule="exact"/>
        <w:ind w:left="0" w:leftChars="0" w:firstLine="458" w:firstLineChars="191"/>
        <w:textAlignment w:val="bottom"/>
        <w:outlineLvl w:val="1"/>
        <w:rPr>
          <w:sz w:val="24"/>
          <w:szCs w:val="32"/>
        </w:rPr>
      </w:pPr>
      <w:r>
        <w:rPr>
          <w:rFonts w:hint="eastAsia"/>
          <w:sz w:val="24"/>
          <w:szCs w:val="32"/>
        </w:rPr>
        <w:t>第五条  甲方权利及义务：</w:t>
      </w:r>
    </w:p>
    <w:p w14:paraId="1B8D5D09">
      <w:pPr>
        <w:keepNext w:val="0"/>
        <w:keepLines w:val="0"/>
        <w:pageBreakBefore w:val="0"/>
        <w:kinsoku/>
        <w:wordWrap/>
        <w:overflowPunct/>
        <w:topLinePunct w:val="0"/>
        <w:bidi w:val="0"/>
        <w:adjustRightInd w:val="0"/>
        <w:snapToGrid w:val="0"/>
        <w:spacing w:line="520" w:lineRule="exact"/>
        <w:ind w:left="0" w:leftChars="0" w:firstLine="24" w:firstLineChars="10"/>
        <w:rPr>
          <w:bCs/>
          <w:sz w:val="24"/>
          <w:szCs w:val="32"/>
        </w:rPr>
      </w:pPr>
      <w:r>
        <w:rPr>
          <w:rFonts w:hint="eastAsia"/>
          <w:bCs/>
          <w:sz w:val="24"/>
          <w:szCs w:val="32"/>
        </w:rPr>
        <w:t>1、甲方有权对乙方的服务质量进行考核；</w:t>
      </w:r>
    </w:p>
    <w:p w14:paraId="1D126546">
      <w:pPr>
        <w:keepNext w:val="0"/>
        <w:keepLines w:val="0"/>
        <w:pageBreakBefore w:val="0"/>
        <w:kinsoku/>
        <w:wordWrap/>
        <w:overflowPunct/>
        <w:topLinePunct w:val="0"/>
        <w:bidi w:val="0"/>
        <w:adjustRightInd w:val="0"/>
        <w:snapToGrid w:val="0"/>
        <w:spacing w:line="520" w:lineRule="exact"/>
        <w:ind w:left="0" w:leftChars="0" w:firstLine="480" w:firstLineChars="200"/>
        <w:rPr>
          <w:bCs/>
          <w:sz w:val="24"/>
          <w:szCs w:val="32"/>
        </w:rPr>
      </w:pPr>
      <w:r>
        <w:rPr>
          <w:rFonts w:hint="eastAsia"/>
          <w:bCs/>
          <w:sz w:val="24"/>
          <w:szCs w:val="32"/>
        </w:rPr>
        <w:t>2、乙方须承担本项目实施、管理及相关的一切责任，不得将本项目转包或分包。否则，一经发现，甲方有权对其作出处罚，直至终止合同。</w:t>
      </w:r>
    </w:p>
    <w:p w14:paraId="062F0FAB">
      <w:pPr>
        <w:keepNext w:val="0"/>
        <w:keepLines w:val="0"/>
        <w:pageBreakBefore w:val="0"/>
        <w:kinsoku/>
        <w:wordWrap/>
        <w:overflowPunct/>
        <w:topLinePunct w:val="0"/>
        <w:bidi w:val="0"/>
        <w:adjustRightInd w:val="0"/>
        <w:snapToGrid w:val="0"/>
        <w:spacing w:line="520" w:lineRule="exact"/>
        <w:ind w:left="0" w:leftChars="0" w:firstLine="480" w:firstLineChars="200"/>
        <w:rPr>
          <w:bCs/>
          <w:sz w:val="24"/>
          <w:szCs w:val="32"/>
        </w:rPr>
      </w:pPr>
      <w:r>
        <w:rPr>
          <w:rFonts w:hint="eastAsia"/>
          <w:bCs/>
          <w:sz w:val="24"/>
          <w:szCs w:val="32"/>
        </w:rPr>
        <w:t>3、如乙方不履行服务承诺或违背服务承诺中的任何一项，甲方有权要求乙方改正，如乙方不予理会的，甲方除了可以停止支付服务费外，终止合同。</w:t>
      </w:r>
    </w:p>
    <w:p w14:paraId="74D859C0">
      <w:pPr>
        <w:keepNext w:val="0"/>
        <w:keepLines w:val="0"/>
        <w:pageBreakBefore w:val="0"/>
        <w:kinsoku/>
        <w:wordWrap/>
        <w:overflowPunct/>
        <w:topLinePunct w:val="0"/>
        <w:bidi w:val="0"/>
        <w:adjustRightInd w:val="0"/>
        <w:snapToGrid w:val="0"/>
        <w:spacing w:line="520" w:lineRule="exact"/>
        <w:ind w:left="0" w:leftChars="0" w:firstLine="480" w:firstLineChars="200"/>
        <w:rPr>
          <w:bCs/>
          <w:sz w:val="24"/>
          <w:szCs w:val="32"/>
        </w:rPr>
      </w:pPr>
      <w:r>
        <w:rPr>
          <w:rFonts w:hint="eastAsia"/>
          <w:bCs/>
          <w:sz w:val="24"/>
          <w:szCs w:val="32"/>
        </w:rPr>
        <w:t>4、乙方工作人员必须遵守甲方有关规章制度和管理规定，如有违反或损害甲方利益的，甲方有拒绝违规工作人员在本项目中的工作权利。</w:t>
      </w:r>
    </w:p>
    <w:p w14:paraId="51B35103">
      <w:pPr>
        <w:keepNext w:val="0"/>
        <w:keepLines w:val="0"/>
        <w:pageBreakBefore w:val="0"/>
        <w:kinsoku/>
        <w:wordWrap/>
        <w:overflowPunct/>
        <w:topLinePunct w:val="0"/>
        <w:bidi w:val="0"/>
        <w:adjustRightInd w:val="0"/>
        <w:snapToGrid w:val="0"/>
        <w:spacing w:line="520" w:lineRule="exact"/>
        <w:ind w:left="0" w:leftChars="0" w:firstLine="480" w:firstLineChars="200"/>
        <w:rPr>
          <w:bCs/>
          <w:sz w:val="24"/>
          <w:szCs w:val="32"/>
        </w:rPr>
      </w:pPr>
      <w:r>
        <w:rPr>
          <w:rFonts w:hint="eastAsia"/>
          <w:bCs/>
          <w:sz w:val="24"/>
          <w:szCs w:val="32"/>
        </w:rPr>
        <w:t>5、如因乙方引起的劳资纠纷问题，影响正常工作的，甲方有权另行聘请员工确保正常工作，所产生的费用在承包经费中相应扣减。</w:t>
      </w:r>
    </w:p>
    <w:p w14:paraId="64287A8B">
      <w:pPr>
        <w:keepNext w:val="0"/>
        <w:keepLines w:val="0"/>
        <w:pageBreakBefore w:val="0"/>
        <w:kinsoku/>
        <w:wordWrap/>
        <w:overflowPunct/>
        <w:topLinePunct w:val="0"/>
        <w:autoSpaceDE w:val="0"/>
        <w:autoSpaceDN w:val="0"/>
        <w:bidi w:val="0"/>
        <w:adjustRightInd w:val="0"/>
        <w:snapToGrid w:val="0"/>
        <w:spacing w:line="520" w:lineRule="exact"/>
        <w:ind w:left="0" w:leftChars="0" w:firstLine="458" w:firstLineChars="191"/>
        <w:textAlignment w:val="bottom"/>
        <w:outlineLvl w:val="1"/>
        <w:rPr>
          <w:bCs/>
          <w:sz w:val="24"/>
          <w:szCs w:val="32"/>
        </w:rPr>
      </w:pPr>
      <w:r>
        <w:rPr>
          <w:rFonts w:hint="eastAsia"/>
          <w:sz w:val="24"/>
          <w:szCs w:val="32"/>
        </w:rPr>
        <w:t>第六条  乙方权利及义务：</w:t>
      </w:r>
    </w:p>
    <w:p w14:paraId="2486E5B8">
      <w:pPr>
        <w:keepNext w:val="0"/>
        <w:keepLines w:val="0"/>
        <w:pageBreakBefore w:val="0"/>
        <w:kinsoku/>
        <w:wordWrap/>
        <w:overflowPunct/>
        <w:topLinePunct w:val="0"/>
        <w:bidi w:val="0"/>
        <w:spacing w:line="520" w:lineRule="exact"/>
        <w:ind w:left="0" w:leftChars="0" w:firstLine="480" w:firstLineChars="200"/>
        <w:rPr>
          <w:sz w:val="24"/>
          <w:szCs w:val="32"/>
        </w:rPr>
      </w:pPr>
      <w:r>
        <w:rPr>
          <w:rFonts w:hint="eastAsia"/>
          <w:sz w:val="24"/>
          <w:szCs w:val="32"/>
        </w:rPr>
        <w:t>1、乙方有权根据承包合同领取承包结算经费。</w:t>
      </w:r>
    </w:p>
    <w:p w14:paraId="2D9C49E0">
      <w:pPr>
        <w:keepNext w:val="0"/>
        <w:keepLines w:val="0"/>
        <w:pageBreakBefore w:val="0"/>
        <w:kinsoku/>
        <w:wordWrap/>
        <w:overflowPunct/>
        <w:topLinePunct w:val="0"/>
        <w:bidi w:val="0"/>
        <w:spacing w:line="520" w:lineRule="exact"/>
        <w:ind w:left="0" w:leftChars="0" w:firstLine="480" w:firstLineChars="200"/>
        <w:rPr>
          <w:sz w:val="24"/>
          <w:szCs w:val="32"/>
        </w:rPr>
      </w:pPr>
      <w:r>
        <w:rPr>
          <w:rFonts w:hint="eastAsia"/>
          <w:sz w:val="24"/>
          <w:szCs w:val="32"/>
        </w:rPr>
        <w:t>2、乙方有权对管理工作提出建议。</w:t>
      </w:r>
    </w:p>
    <w:p w14:paraId="0BAD014A">
      <w:pPr>
        <w:keepNext w:val="0"/>
        <w:keepLines w:val="0"/>
        <w:pageBreakBefore w:val="0"/>
        <w:kinsoku/>
        <w:wordWrap/>
        <w:overflowPunct/>
        <w:topLinePunct w:val="0"/>
        <w:bidi w:val="0"/>
        <w:spacing w:line="520" w:lineRule="exact"/>
        <w:ind w:left="0" w:leftChars="0" w:firstLine="480" w:firstLineChars="200"/>
        <w:rPr>
          <w:sz w:val="24"/>
          <w:szCs w:val="32"/>
        </w:rPr>
      </w:pPr>
      <w:r>
        <w:rPr>
          <w:rFonts w:hint="eastAsia"/>
          <w:sz w:val="24"/>
          <w:szCs w:val="32"/>
        </w:rPr>
        <w:t>3、乙方履行承诺的义务，并参加由甲方组织的检查和综合考评。</w:t>
      </w:r>
    </w:p>
    <w:p w14:paraId="1100DF4D">
      <w:pPr>
        <w:keepNext w:val="0"/>
        <w:keepLines w:val="0"/>
        <w:pageBreakBefore w:val="0"/>
        <w:kinsoku/>
        <w:wordWrap/>
        <w:overflowPunct/>
        <w:topLinePunct w:val="0"/>
        <w:bidi w:val="0"/>
        <w:spacing w:line="520" w:lineRule="exact"/>
        <w:ind w:left="0" w:leftChars="0" w:firstLine="480" w:firstLineChars="200"/>
        <w:rPr>
          <w:sz w:val="24"/>
          <w:szCs w:val="32"/>
        </w:rPr>
      </w:pPr>
      <w:r>
        <w:rPr>
          <w:rFonts w:hint="eastAsia"/>
          <w:sz w:val="24"/>
          <w:szCs w:val="32"/>
        </w:rPr>
        <w:t>4、乙方应接受甲方的检查监督及指导。</w:t>
      </w:r>
    </w:p>
    <w:p w14:paraId="4CC48567">
      <w:pPr>
        <w:keepNext w:val="0"/>
        <w:keepLines w:val="0"/>
        <w:pageBreakBefore w:val="0"/>
        <w:kinsoku/>
        <w:wordWrap/>
        <w:overflowPunct/>
        <w:topLinePunct w:val="0"/>
        <w:bidi w:val="0"/>
        <w:spacing w:line="520" w:lineRule="exact"/>
        <w:ind w:left="0" w:leftChars="0" w:firstLine="480" w:firstLineChars="200"/>
        <w:rPr>
          <w:sz w:val="24"/>
          <w:szCs w:val="32"/>
        </w:rPr>
      </w:pPr>
      <w:r>
        <w:rPr>
          <w:rFonts w:hint="eastAsia"/>
          <w:sz w:val="24"/>
          <w:szCs w:val="32"/>
        </w:rPr>
        <w:t>5、按甲方的要求开展工作，如有改变，乙方应提出书面申请，并征得甲方的书面同意。</w:t>
      </w:r>
    </w:p>
    <w:p w14:paraId="405A9940">
      <w:pPr>
        <w:keepNext w:val="0"/>
        <w:keepLines w:val="0"/>
        <w:pageBreakBefore w:val="0"/>
        <w:kinsoku/>
        <w:wordWrap/>
        <w:overflowPunct/>
        <w:topLinePunct w:val="0"/>
        <w:bidi w:val="0"/>
        <w:spacing w:line="520" w:lineRule="exact"/>
        <w:ind w:left="0" w:leftChars="0" w:firstLine="480" w:firstLineChars="200"/>
        <w:rPr>
          <w:sz w:val="24"/>
          <w:szCs w:val="32"/>
        </w:rPr>
      </w:pPr>
      <w:r>
        <w:rPr>
          <w:rFonts w:hint="eastAsia"/>
          <w:sz w:val="24"/>
          <w:szCs w:val="32"/>
        </w:rPr>
        <w:t>6、乙方根据本合同所承担的服务内容，按实际上岗人数自行到有关部门申办相关手续。员工最低工资不得低于温州市市区本年度最低工资标准，并按相关规定办理社保。安排好属下人员的住宿和教育管理工作，如发生违纪事件，由乙方承担一切经济责任和法律责任。</w:t>
      </w:r>
    </w:p>
    <w:p w14:paraId="700350A8">
      <w:pPr>
        <w:keepNext w:val="0"/>
        <w:keepLines w:val="0"/>
        <w:pageBreakBefore w:val="0"/>
        <w:kinsoku/>
        <w:wordWrap/>
        <w:overflowPunct/>
        <w:topLinePunct w:val="0"/>
        <w:bidi w:val="0"/>
        <w:spacing w:line="520" w:lineRule="exact"/>
        <w:ind w:left="0" w:leftChars="0" w:firstLine="480" w:firstLineChars="200"/>
        <w:rPr>
          <w:sz w:val="24"/>
          <w:szCs w:val="32"/>
        </w:rPr>
      </w:pPr>
      <w:r>
        <w:rPr>
          <w:rFonts w:hint="eastAsia"/>
          <w:sz w:val="24"/>
          <w:szCs w:val="32"/>
        </w:rPr>
        <w:t>7、负责提供本项目所需的全部工具、设备和材料。</w:t>
      </w:r>
    </w:p>
    <w:p w14:paraId="2CACC346">
      <w:pPr>
        <w:keepNext w:val="0"/>
        <w:keepLines w:val="0"/>
        <w:pageBreakBefore w:val="0"/>
        <w:kinsoku/>
        <w:wordWrap/>
        <w:overflowPunct/>
        <w:topLinePunct w:val="0"/>
        <w:bidi w:val="0"/>
        <w:spacing w:line="520" w:lineRule="exact"/>
        <w:ind w:left="0" w:leftChars="0" w:firstLine="480" w:firstLineChars="200"/>
        <w:rPr>
          <w:sz w:val="24"/>
          <w:szCs w:val="32"/>
        </w:rPr>
      </w:pPr>
      <w:r>
        <w:rPr>
          <w:rFonts w:hint="eastAsia"/>
          <w:sz w:val="24"/>
          <w:szCs w:val="32"/>
        </w:rPr>
        <w:t>8、乙方负责作业过程中的事故处理和一切费用，并承担事故的所有责任。</w:t>
      </w:r>
    </w:p>
    <w:p w14:paraId="51CF70C9">
      <w:pPr>
        <w:keepNext w:val="0"/>
        <w:keepLines w:val="0"/>
        <w:pageBreakBefore w:val="0"/>
        <w:kinsoku/>
        <w:wordWrap/>
        <w:overflowPunct/>
        <w:topLinePunct w:val="0"/>
        <w:bidi w:val="0"/>
        <w:spacing w:line="520" w:lineRule="exact"/>
        <w:ind w:left="0" w:leftChars="0" w:firstLine="480" w:firstLineChars="200"/>
        <w:rPr>
          <w:sz w:val="24"/>
          <w:szCs w:val="32"/>
        </w:rPr>
      </w:pPr>
      <w:r>
        <w:rPr>
          <w:rFonts w:hint="eastAsia"/>
          <w:sz w:val="24"/>
          <w:szCs w:val="32"/>
        </w:rPr>
        <w:t>9、乙方应严格遵守国家法律、法规的规定，做好社会治安综合治理等工作，不得违反国家法律、法规和温州市的有关规定。</w:t>
      </w:r>
    </w:p>
    <w:p w14:paraId="21B80F3F">
      <w:pPr>
        <w:keepNext w:val="0"/>
        <w:keepLines w:val="0"/>
        <w:pageBreakBefore w:val="0"/>
        <w:kinsoku/>
        <w:wordWrap/>
        <w:overflowPunct/>
        <w:topLinePunct w:val="0"/>
        <w:bidi w:val="0"/>
        <w:spacing w:line="520" w:lineRule="exact"/>
        <w:ind w:left="0" w:leftChars="0" w:firstLine="480" w:firstLineChars="200"/>
        <w:rPr>
          <w:sz w:val="24"/>
          <w:szCs w:val="32"/>
        </w:rPr>
      </w:pPr>
      <w:r>
        <w:rPr>
          <w:rFonts w:hint="eastAsia"/>
          <w:sz w:val="24"/>
          <w:szCs w:val="32"/>
        </w:rPr>
        <w:t>10、乙方应遵守法律、法规和政策的规定，因以上原因使合同性质发生改变，甲方不负赔偿责任。</w:t>
      </w:r>
    </w:p>
    <w:p w14:paraId="0886FE72">
      <w:pPr>
        <w:keepNext w:val="0"/>
        <w:keepLines w:val="0"/>
        <w:pageBreakBefore w:val="0"/>
        <w:kinsoku/>
        <w:wordWrap/>
        <w:overflowPunct/>
        <w:topLinePunct w:val="0"/>
        <w:bidi w:val="0"/>
        <w:spacing w:line="520" w:lineRule="exact"/>
        <w:ind w:left="0" w:leftChars="0" w:firstLine="480" w:firstLineChars="200"/>
        <w:outlineLvl w:val="1"/>
        <w:rPr>
          <w:sz w:val="24"/>
          <w:szCs w:val="32"/>
        </w:rPr>
      </w:pPr>
      <w:r>
        <w:rPr>
          <w:rFonts w:hint="eastAsia"/>
          <w:sz w:val="24"/>
          <w:szCs w:val="32"/>
        </w:rPr>
        <w:t>第七条  结算方式</w:t>
      </w:r>
    </w:p>
    <w:p w14:paraId="4134A873">
      <w:pPr>
        <w:keepNext w:val="0"/>
        <w:keepLines w:val="0"/>
        <w:pageBreakBefore w:val="0"/>
        <w:kinsoku/>
        <w:wordWrap/>
        <w:overflowPunct/>
        <w:topLinePunct w:val="0"/>
        <w:autoSpaceDE w:val="0"/>
        <w:autoSpaceDN w:val="0"/>
        <w:bidi w:val="0"/>
        <w:adjustRightInd w:val="0"/>
        <w:snapToGrid w:val="0"/>
        <w:spacing w:line="520" w:lineRule="exact"/>
        <w:ind w:left="0" w:leftChars="0" w:firstLine="458" w:firstLineChars="191"/>
        <w:textAlignment w:val="bottom"/>
        <w:outlineLvl w:val="1"/>
        <w:rPr>
          <w:rFonts w:hint="eastAsia"/>
          <w:sz w:val="24"/>
          <w:szCs w:val="32"/>
        </w:rPr>
      </w:pPr>
      <w:r>
        <w:rPr>
          <w:rFonts w:hint="eastAsia"/>
          <w:sz w:val="24"/>
          <w:szCs w:val="32"/>
        </w:rPr>
        <w:t>合同签订后</w:t>
      </w:r>
      <w:r>
        <w:rPr>
          <w:rFonts w:hint="eastAsia"/>
          <w:sz w:val="24"/>
          <w:szCs w:val="32"/>
          <w:lang w:eastAsia="zh-CN"/>
        </w:rPr>
        <w:t>，</w:t>
      </w:r>
      <w:r>
        <w:rPr>
          <w:rFonts w:hint="eastAsia"/>
          <w:sz w:val="24"/>
          <w:szCs w:val="32"/>
          <w:lang w:val="en-US" w:eastAsia="zh-CN"/>
        </w:rPr>
        <w:t>中标供应商提供的</w:t>
      </w:r>
      <w:r>
        <w:rPr>
          <w:rFonts w:hint="eastAsia"/>
          <w:sz w:val="24"/>
          <w:szCs w:val="32"/>
        </w:rPr>
        <w:t>初步</w:t>
      </w:r>
      <w:r>
        <w:rPr>
          <w:rFonts w:hint="eastAsia"/>
          <w:sz w:val="24"/>
          <w:szCs w:val="32"/>
          <w:lang w:val="en-US" w:eastAsia="zh-CN"/>
        </w:rPr>
        <w:t>编制</w:t>
      </w:r>
      <w:r>
        <w:rPr>
          <w:rFonts w:hint="eastAsia"/>
          <w:sz w:val="24"/>
          <w:szCs w:val="32"/>
        </w:rPr>
        <w:t>方案成果经采购人审核通过后支付至合同价的50%；</w:t>
      </w:r>
      <w:r>
        <w:rPr>
          <w:rFonts w:hint="eastAsia"/>
          <w:sz w:val="24"/>
          <w:szCs w:val="32"/>
          <w:lang w:eastAsia="zh-CN"/>
        </w:rPr>
        <w:t>完成</w:t>
      </w:r>
      <w:r>
        <w:rPr>
          <w:rFonts w:hint="eastAsia"/>
          <w:sz w:val="24"/>
          <w:szCs w:val="32"/>
        </w:rPr>
        <w:t>最终稿</w:t>
      </w:r>
      <w:r>
        <w:rPr>
          <w:rFonts w:hint="eastAsia"/>
          <w:sz w:val="24"/>
          <w:szCs w:val="32"/>
          <w:lang w:val="en-US" w:eastAsia="zh-CN"/>
        </w:rPr>
        <w:t>成果</w:t>
      </w:r>
      <w:r>
        <w:rPr>
          <w:rFonts w:hint="eastAsia"/>
          <w:sz w:val="24"/>
          <w:szCs w:val="32"/>
          <w:lang w:eastAsia="zh-CN"/>
        </w:rPr>
        <w:t>后</w:t>
      </w:r>
      <w:r>
        <w:rPr>
          <w:rFonts w:hint="eastAsia"/>
          <w:sz w:val="24"/>
          <w:szCs w:val="32"/>
        </w:rPr>
        <w:t>经采购人审核并结合部门、专家意见修改完善后</w:t>
      </w:r>
      <w:r>
        <w:rPr>
          <w:rFonts w:hint="eastAsia"/>
          <w:sz w:val="24"/>
          <w:szCs w:val="32"/>
          <w:lang w:eastAsia="zh-CN"/>
        </w:rPr>
        <w:t>，</w:t>
      </w:r>
      <w:r>
        <w:rPr>
          <w:rFonts w:hint="eastAsia"/>
          <w:sz w:val="24"/>
          <w:szCs w:val="32"/>
          <w:lang w:val="en-US" w:eastAsia="zh-CN"/>
        </w:rPr>
        <w:t>并</w:t>
      </w:r>
      <w:r>
        <w:rPr>
          <w:rFonts w:hint="eastAsia"/>
          <w:sz w:val="24"/>
          <w:szCs w:val="32"/>
        </w:rPr>
        <w:t>提交最终成果</w:t>
      </w:r>
      <w:r>
        <w:rPr>
          <w:rFonts w:hint="eastAsia"/>
          <w:sz w:val="24"/>
          <w:szCs w:val="32"/>
          <w:lang w:eastAsia="zh-CN"/>
        </w:rPr>
        <w:t>（</w:t>
      </w:r>
      <w:r>
        <w:rPr>
          <w:rFonts w:hint="eastAsia"/>
          <w:sz w:val="24"/>
          <w:szCs w:val="32"/>
          <w:lang w:val="en-US" w:eastAsia="zh-CN"/>
        </w:rPr>
        <w:t>份数及形式根据采购人要求提供）</w:t>
      </w:r>
      <w:r>
        <w:rPr>
          <w:rFonts w:hint="eastAsia"/>
          <w:sz w:val="24"/>
          <w:szCs w:val="32"/>
        </w:rPr>
        <w:t>后付清剩余部分</w:t>
      </w:r>
      <w:r>
        <w:rPr>
          <w:rFonts w:hint="eastAsia"/>
          <w:sz w:val="24"/>
          <w:szCs w:val="32"/>
          <w:lang w:val="en-US" w:eastAsia="zh-CN"/>
        </w:rPr>
        <w:t>编制</w:t>
      </w:r>
      <w:r>
        <w:rPr>
          <w:rFonts w:hint="eastAsia"/>
          <w:sz w:val="24"/>
          <w:szCs w:val="32"/>
        </w:rPr>
        <w:t>费用。</w:t>
      </w:r>
    </w:p>
    <w:p w14:paraId="77DBE400">
      <w:pPr>
        <w:keepNext w:val="0"/>
        <w:keepLines w:val="0"/>
        <w:pageBreakBefore w:val="0"/>
        <w:kinsoku/>
        <w:wordWrap/>
        <w:overflowPunct/>
        <w:topLinePunct w:val="0"/>
        <w:autoSpaceDE w:val="0"/>
        <w:autoSpaceDN w:val="0"/>
        <w:bidi w:val="0"/>
        <w:adjustRightInd w:val="0"/>
        <w:snapToGrid w:val="0"/>
        <w:spacing w:line="520" w:lineRule="exact"/>
        <w:ind w:left="0" w:leftChars="0" w:firstLine="458" w:firstLineChars="191"/>
        <w:textAlignment w:val="bottom"/>
        <w:outlineLvl w:val="1"/>
        <w:rPr>
          <w:sz w:val="24"/>
          <w:szCs w:val="32"/>
        </w:rPr>
      </w:pPr>
      <w:r>
        <w:rPr>
          <w:rFonts w:hint="eastAsia"/>
          <w:sz w:val="24"/>
          <w:szCs w:val="32"/>
        </w:rPr>
        <w:t>第八条  不可抗力</w:t>
      </w:r>
    </w:p>
    <w:p w14:paraId="731482C2">
      <w:pPr>
        <w:keepNext w:val="0"/>
        <w:keepLines w:val="0"/>
        <w:pageBreakBefore w:val="0"/>
        <w:kinsoku/>
        <w:wordWrap/>
        <w:overflowPunct/>
        <w:topLinePunct w:val="0"/>
        <w:autoSpaceDE w:val="0"/>
        <w:autoSpaceDN w:val="0"/>
        <w:bidi w:val="0"/>
        <w:adjustRightInd w:val="0"/>
        <w:snapToGrid w:val="0"/>
        <w:spacing w:line="520" w:lineRule="exact"/>
        <w:ind w:left="0" w:leftChars="0" w:firstLine="458" w:firstLineChars="191"/>
        <w:textAlignment w:val="bottom"/>
        <w:rPr>
          <w:sz w:val="24"/>
          <w:szCs w:val="32"/>
        </w:rPr>
      </w:pPr>
      <w:r>
        <w:rPr>
          <w:rFonts w:hint="eastAsia"/>
          <w:sz w:val="24"/>
          <w:szCs w:val="32"/>
        </w:rPr>
        <w:t>1.不可抗力系指双方不能预见、不能避免并不能克服的情况，如地震、洪水、暴雨、台风、雷电等自然灾害。</w:t>
      </w:r>
    </w:p>
    <w:p w14:paraId="5D549A05">
      <w:pPr>
        <w:keepNext w:val="0"/>
        <w:keepLines w:val="0"/>
        <w:pageBreakBefore w:val="0"/>
        <w:kinsoku/>
        <w:wordWrap/>
        <w:overflowPunct/>
        <w:topLinePunct w:val="0"/>
        <w:autoSpaceDE w:val="0"/>
        <w:autoSpaceDN w:val="0"/>
        <w:bidi w:val="0"/>
        <w:adjustRightInd w:val="0"/>
        <w:snapToGrid w:val="0"/>
        <w:spacing w:line="520" w:lineRule="exact"/>
        <w:ind w:left="0" w:leftChars="0" w:firstLine="458" w:firstLineChars="191"/>
        <w:textAlignment w:val="bottom"/>
        <w:rPr>
          <w:sz w:val="24"/>
          <w:szCs w:val="32"/>
        </w:rPr>
      </w:pPr>
      <w:r>
        <w:rPr>
          <w:rFonts w:hint="eastAsia"/>
          <w:sz w:val="24"/>
          <w:szCs w:val="32"/>
        </w:rPr>
        <w:t>2.因不可抗力造成系统硬件损坏的，由项目拥有者承担相应的损失。因不可抗力影响合同履行的，受影响的一方应在不可抗力发生之日起15日内书面通知对方，否则作为违约行为处理。</w:t>
      </w:r>
    </w:p>
    <w:p w14:paraId="472FB845">
      <w:pPr>
        <w:keepNext w:val="0"/>
        <w:keepLines w:val="0"/>
        <w:pageBreakBefore w:val="0"/>
        <w:kinsoku/>
        <w:wordWrap/>
        <w:overflowPunct/>
        <w:topLinePunct w:val="0"/>
        <w:autoSpaceDE w:val="0"/>
        <w:autoSpaceDN w:val="0"/>
        <w:bidi w:val="0"/>
        <w:adjustRightInd w:val="0"/>
        <w:snapToGrid w:val="0"/>
        <w:spacing w:line="520" w:lineRule="exact"/>
        <w:ind w:left="0" w:leftChars="0" w:firstLine="458" w:firstLineChars="191"/>
        <w:textAlignment w:val="bottom"/>
        <w:outlineLvl w:val="1"/>
        <w:rPr>
          <w:sz w:val="24"/>
          <w:szCs w:val="32"/>
        </w:rPr>
      </w:pPr>
      <w:r>
        <w:rPr>
          <w:rFonts w:hint="eastAsia"/>
          <w:sz w:val="24"/>
          <w:szCs w:val="32"/>
        </w:rPr>
        <w:t>第九条  违约责任：</w:t>
      </w:r>
    </w:p>
    <w:p w14:paraId="27D61ECA">
      <w:pPr>
        <w:keepNext w:val="0"/>
        <w:keepLines w:val="0"/>
        <w:pageBreakBefore w:val="0"/>
        <w:kinsoku/>
        <w:wordWrap/>
        <w:overflowPunct/>
        <w:topLinePunct w:val="0"/>
        <w:autoSpaceDE w:val="0"/>
        <w:autoSpaceDN w:val="0"/>
        <w:bidi w:val="0"/>
        <w:adjustRightInd w:val="0"/>
        <w:snapToGrid w:val="0"/>
        <w:spacing w:line="520" w:lineRule="exact"/>
        <w:ind w:left="0" w:leftChars="0" w:firstLine="458" w:firstLineChars="191"/>
        <w:textAlignment w:val="bottom"/>
        <w:rPr>
          <w:sz w:val="24"/>
          <w:szCs w:val="32"/>
        </w:rPr>
      </w:pPr>
      <w:r>
        <w:rPr>
          <w:rFonts w:hint="eastAsia"/>
          <w:sz w:val="24"/>
          <w:szCs w:val="32"/>
        </w:rPr>
        <w:t>1、甲方无正当理由拒收接受服务的，甲方向乙方支付合同款项百分之五作为违约金。</w:t>
      </w:r>
    </w:p>
    <w:p w14:paraId="30BFE287">
      <w:pPr>
        <w:keepNext w:val="0"/>
        <w:keepLines w:val="0"/>
        <w:pageBreakBefore w:val="0"/>
        <w:kinsoku/>
        <w:wordWrap/>
        <w:overflowPunct/>
        <w:topLinePunct w:val="0"/>
        <w:autoSpaceDE w:val="0"/>
        <w:autoSpaceDN w:val="0"/>
        <w:bidi w:val="0"/>
        <w:adjustRightInd w:val="0"/>
        <w:snapToGrid w:val="0"/>
        <w:spacing w:line="520" w:lineRule="exact"/>
        <w:ind w:left="0" w:leftChars="0" w:firstLine="458" w:firstLineChars="191"/>
        <w:textAlignment w:val="bottom"/>
        <w:rPr>
          <w:sz w:val="24"/>
          <w:szCs w:val="32"/>
        </w:rPr>
      </w:pPr>
      <w:r>
        <w:rPr>
          <w:rFonts w:hint="eastAsia"/>
          <w:sz w:val="24"/>
          <w:szCs w:val="32"/>
        </w:rPr>
        <w:t>2、甲方无故逾期办理款项支付手续的，甲方应按逾期付款总额每日万分之五向乙方支付违约金。</w:t>
      </w:r>
    </w:p>
    <w:p w14:paraId="7D2805F8">
      <w:pPr>
        <w:keepNext w:val="0"/>
        <w:keepLines w:val="0"/>
        <w:pageBreakBefore w:val="0"/>
        <w:kinsoku/>
        <w:wordWrap/>
        <w:overflowPunct/>
        <w:topLinePunct w:val="0"/>
        <w:autoSpaceDE w:val="0"/>
        <w:autoSpaceDN w:val="0"/>
        <w:bidi w:val="0"/>
        <w:adjustRightInd w:val="0"/>
        <w:snapToGrid w:val="0"/>
        <w:spacing w:line="520" w:lineRule="exact"/>
        <w:ind w:left="0" w:leftChars="0" w:firstLine="458" w:firstLineChars="191"/>
        <w:textAlignment w:val="bottom"/>
        <w:rPr>
          <w:sz w:val="24"/>
          <w:szCs w:val="32"/>
        </w:rPr>
      </w:pPr>
      <w:r>
        <w:rPr>
          <w:rFonts w:hint="eastAsia"/>
          <w:sz w:val="24"/>
          <w:szCs w:val="32"/>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款项百分之五的违约金，如造成甲方损失超过违约金的，超出部分由乙方继续承担赔偿责任。</w:t>
      </w:r>
    </w:p>
    <w:p w14:paraId="528034C1">
      <w:pPr>
        <w:keepNext w:val="0"/>
        <w:keepLines w:val="0"/>
        <w:pageBreakBefore w:val="0"/>
        <w:kinsoku/>
        <w:wordWrap/>
        <w:overflowPunct/>
        <w:topLinePunct w:val="0"/>
        <w:autoSpaceDE w:val="0"/>
        <w:autoSpaceDN w:val="0"/>
        <w:bidi w:val="0"/>
        <w:adjustRightInd w:val="0"/>
        <w:snapToGrid w:val="0"/>
        <w:spacing w:line="520" w:lineRule="exact"/>
        <w:ind w:left="0" w:leftChars="0" w:firstLine="458" w:firstLineChars="191"/>
        <w:textAlignment w:val="bottom"/>
        <w:outlineLvl w:val="1"/>
        <w:rPr>
          <w:sz w:val="24"/>
          <w:szCs w:val="32"/>
        </w:rPr>
      </w:pPr>
      <w:r>
        <w:rPr>
          <w:rFonts w:hint="eastAsia"/>
          <w:sz w:val="24"/>
          <w:szCs w:val="32"/>
        </w:rPr>
        <w:t>第十条  争议解决办法</w:t>
      </w:r>
    </w:p>
    <w:p w14:paraId="1D48CB90">
      <w:pPr>
        <w:keepNext w:val="0"/>
        <w:keepLines w:val="0"/>
        <w:pageBreakBefore w:val="0"/>
        <w:kinsoku/>
        <w:wordWrap/>
        <w:overflowPunct/>
        <w:topLinePunct w:val="0"/>
        <w:autoSpaceDE w:val="0"/>
        <w:autoSpaceDN w:val="0"/>
        <w:bidi w:val="0"/>
        <w:adjustRightInd w:val="0"/>
        <w:snapToGrid w:val="0"/>
        <w:spacing w:line="520" w:lineRule="exact"/>
        <w:ind w:left="0" w:leftChars="0" w:firstLine="458" w:firstLineChars="191"/>
        <w:textAlignment w:val="bottom"/>
        <w:rPr>
          <w:sz w:val="24"/>
          <w:szCs w:val="32"/>
        </w:rPr>
      </w:pPr>
      <w:r>
        <w:rPr>
          <w:rFonts w:hint="eastAsia"/>
          <w:sz w:val="24"/>
          <w:szCs w:val="32"/>
        </w:rPr>
        <w:t>本项目合同发生争议，采购人与中标单位应及时协商解决。也可由当地建设行政主管部门调解，调解不成时，可提交有关仲裁委员会仲裁，或依法向人民法院起诉解决，司法管辖权属文成县司法部门。</w:t>
      </w:r>
    </w:p>
    <w:p w14:paraId="3C599A11">
      <w:pPr>
        <w:keepNext w:val="0"/>
        <w:keepLines w:val="0"/>
        <w:pageBreakBefore w:val="0"/>
        <w:kinsoku/>
        <w:wordWrap/>
        <w:overflowPunct/>
        <w:topLinePunct w:val="0"/>
        <w:autoSpaceDE w:val="0"/>
        <w:autoSpaceDN w:val="0"/>
        <w:bidi w:val="0"/>
        <w:adjustRightInd w:val="0"/>
        <w:snapToGrid w:val="0"/>
        <w:spacing w:line="520" w:lineRule="exact"/>
        <w:ind w:left="0" w:leftChars="0" w:firstLine="458" w:firstLineChars="191"/>
        <w:textAlignment w:val="bottom"/>
        <w:outlineLvl w:val="1"/>
        <w:rPr>
          <w:sz w:val="24"/>
          <w:szCs w:val="32"/>
        </w:rPr>
      </w:pPr>
      <w:r>
        <w:rPr>
          <w:rFonts w:hint="eastAsia"/>
          <w:sz w:val="24"/>
          <w:szCs w:val="32"/>
        </w:rPr>
        <w:t>第十一条  合同生效及其它</w:t>
      </w:r>
    </w:p>
    <w:p w14:paraId="73FD8AF2">
      <w:pPr>
        <w:keepNext w:val="0"/>
        <w:keepLines w:val="0"/>
        <w:pageBreakBefore w:val="0"/>
        <w:kinsoku/>
        <w:wordWrap/>
        <w:overflowPunct/>
        <w:topLinePunct w:val="0"/>
        <w:autoSpaceDE w:val="0"/>
        <w:autoSpaceDN w:val="0"/>
        <w:bidi w:val="0"/>
        <w:adjustRightInd w:val="0"/>
        <w:snapToGrid w:val="0"/>
        <w:spacing w:line="520" w:lineRule="exact"/>
        <w:ind w:left="0" w:leftChars="0" w:firstLine="458" w:firstLineChars="191"/>
        <w:textAlignment w:val="bottom"/>
        <w:rPr>
          <w:sz w:val="24"/>
          <w:szCs w:val="32"/>
        </w:rPr>
      </w:pPr>
      <w:r>
        <w:rPr>
          <w:rFonts w:hint="eastAsia"/>
          <w:sz w:val="24"/>
          <w:szCs w:val="32"/>
        </w:rPr>
        <w:t>1、甲方委托乙方承担本合同内容以外的工作服务，另行签订协议并支付费用。</w:t>
      </w:r>
    </w:p>
    <w:p w14:paraId="4465203A">
      <w:pPr>
        <w:keepNext w:val="0"/>
        <w:keepLines w:val="0"/>
        <w:pageBreakBefore w:val="0"/>
        <w:kinsoku/>
        <w:wordWrap/>
        <w:overflowPunct/>
        <w:topLinePunct w:val="0"/>
        <w:autoSpaceDE w:val="0"/>
        <w:autoSpaceDN w:val="0"/>
        <w:bidi w:val="0"/>
        <w:adjustRightInd w:val="0"/>
        <w:snapToGrid w:val="0"/>
        <w:spacing w:line="520" w:lineRule="exact"/>
        <w:ind w:left="0" w:leftChars="0" w:firstLine="458" w:firstLineChars="191"/>
        <w:textAlignment w:val="bottom"/>
        <w:rPr>
          <w:sz w:val="24"/>
          <w:szCs w:val="32"/>
        </w:rPr>
      </w:pPr>
      <w:r>
        <w:rPr>
          <w:rFonts w:hint="eastAsia"/>
          <w:sz w:val="24"/>
          <w:szCs w:val="32"/>
        </w:rPr>
        <w:t>2、由于不可抗拒因素致使合同无法履行时，双方应及时协商解决。</w:t>
      </w:r>
    </w:p>
    <w:p w14:paraId="5FC2CD90">
      <w:pPr>
        <w:keepNext w:val="0"/>
        <w:keepLines w:val="0"/>
        <w:pageBreakBefore w:val="0"/>
        <w:kinsoku/>
        <w:wordWrap/>
        <w:overflowPunct/>
        <w:topLinePunct w:val="0"/>
        <w:autoSpaceDE w:val="0"/>
        <w:autoSpaceDN w:val="0"/>
        <w:bidi w:val="0"/>
        <w:adjustRightInd w:val="0"/>
        <w:snapToGrid w:val="0"/>
        <w:spacing w:line="520" w:lineRule="exact"/>
        <w:ind w:left="0" w:leftChars="0" w:firstLine="458" w:firstLineChars="191"/>
        <w:textAlignment w:val="bottom"/>
        <w:rPr>
          <w:sz w:val="24"/>
          <w:szCs w:val="32"/>
          <w:u w:val="single"/>
        </w:rPr>
      </w:pPr>
      <w:r>
        <w:rPr>
          <w:rFonts w:hint="eastAsia"/>
          <w:sz w:val="24"/>
          <w:szCs w:val="32"/>
        </w:rPr>
        <w:t>3、本合同双方签字盖章即生效，</w:t>
      </w:r>
      <w:r>
        <w:rPr>
          <w:rFonts w:hint="eastAsia"/>
          <w:sz w:val="24"/>
          <w:szCs w:val="32"/>
          <w:u w:val="none"/>
        </w:rPr>
        <w:t>本合同一式</w:t>
      </w:r>
      <w:r>
        <w:rPr>
          <w:rFonts w:hint="eastAsia"/>
          <w:sz w:val="24"/>
          <w:szCs w:val="32"/>
          <w:u w:val="none"/>
          <w:lang w:val="en-US" w:eastAsia="zh-CN"/>
        </w:rPr>
        <w:t>陆</w:t>
      </w:r>
      <w:r>
        <w:rPr>
          <w:rFonts w:hint="eastAsia"/>
          <w:sz w:val="24"/>
          <w:szCs w:val="32"/>
          <w:u w:val="none"/>
        </w:rPr>
        <w:t>份。</w:t>
      </w:r>
    </w:p>
    <w:p w14:paraId="69B2A76D">
      <w:pPr>
        <w:keepNext w:val="0"/>
        <w:keepLines w:val="0"/>
        <w:pageBreakBefore w:val="0"/>
        <w:kinsoku/>
        <w:wordWrap/>
        <w:overflowPunct/>
        <w:topLinePunct w:val="0"/>
        <w:autoSpaceDE w:val="0"/>
        <w:autoSpaceDN w:val="0"/>
        <w:bidi w:val="0"/>
        <w:adjustRightInd w:val="0"/>
        <w:snapToGrid w:val="0"/>
        <w:spacing w:line="520" w:lineRule="exact"/>
        <w:ind w:left="0" w:leftChars="0" w:firstLine="458" w:firstLineChars="191"/>
        <w:textAlignment w:val="bottom"/>
        <w:rPr>
          <w:sz w:val="24"/>
          <w:szCs w:val="32"/>
        </w:rPr>
      </w:pPr>
      <w:r>
        <w:rPr>
          <w:rFonts w:hint="eastAsia"/>
          <w:sz w:val="24"/>
          <w:szCs w:val="32"/>
        </w:rPr>
        <w:t>4、 本合同生效后，在双方履行完合同规定的义务后，本合同即行终止。</w:t>
      </w:r>
    </w:p>
    <w:p w14:paraId="52C9F050">
      <w:pPr>
        <w:keepNext w:val="0"/>
        <w:keepLines w:val="0"/>
        <w:pageBreakBefore w:val="0"/>
        <w:kinsoku/>
        <w:wordWrap/>
        <w:overflowPunct/>
        <w:topLinePunct w:val="0"/>
        <w:autoSpaceDE w:val="0"/>
        <w:autoSpaceDN w:val="0"/>
        <w:bidi w:val="0"/>
        <w:adjustRightInd w:val="0"/>
        <w:snapToGrid w:val="0"/>
        <w:spacing w:line="520" w:lineRule="exact"/>
        <w:ind w:left="0" w:leftChars="0" w:firstLine="458" w:firstLineChars="191"/>
        <w:textAlignment w:val="bottom"/>
        <w:rPr>
          <w:sz w:val="24"/>
          <w:szCs w:val="32"/>
        </w:rPr>
      </w:pPr>
      <w:r>
        <w:rPr>
          <w:rFonts w:hint="eastAsia"/>
          <w:sz w:val="24"/>
          <w:szCs w:val="32"/>
        </w:rPr>
        <w:t>5、 双方来往传真、电报、会议纪要等，经双方认可后均为合同的组成部分，与本合同具有同等法律效力。</w:t>
      </w:r>
    </w:p>
    <w:p w14:paraId="3C39AE0D">
      <w:pPr>
        <w:keepNext w:val="0"/>
        <w:keepLines w:val="0"/>
        <w:pageBreakBefore w:val="0"/>
        <w:kinsoku/>
        <w:wordWrap/>
        <w:overflowPunct/>
        <w:topLinePunct w:val="0"/>
        <w:autoSpaceDE w:val="0"/>
        <w:autoSpaceDN w:val="0"/>
        <w:bidi w:val="0"/>
        <w:adjustRightInd w:val="0"/>
        <w:snapToGrid w:val="0"/>
        <w:spacing w:line="520" w:lineRule="exact"/>
        <w:ind w:left="0" w:leftChars="0" w:firstLine="458" w:firstLineChars="191"/>
        <w:textAlignment w:val="bottom"/>
        <w:rPr>
          <w:sz w:val="24"/>
          <w:szCs w:val="32"/>
        </w:rPr>
      </w:pPr>
      <w:r>
        <w:rPr>
          <w:rFonts w:hint="eastAsia"/>
          <w:sz w:val="24"/>
          <w:szCs w:val="32"/>
        </w:rPr>
        <w:t>6、未尽事宜，经双方协商一致，签订补充协议，补充协议与本合同具有同等效力。</w:t>
      </w:r>
    </w:p>
    <w:p w14:paraId="7EEEC319">
      <w:pPr>
        <w:keepNext w:val="0"/>
        <w:keepLines w:val="0"/>
        <w:pageBreakBefore w:val="0"/>
        <w:kinsoku/>
        <w:wordWrap/>
        <w:overflowPunct/>
        <w:topLinePunct w:val="0"/>
        <w:autoSpaceDE w:val="0"/>
        <w:autoSpaceDN w:val="0"/>
        <w:bidi w:val="0"/>
        <w:adjustRightInd w:val="0"/>
        <w:snapToGrid w:val="0"/>
        <w:spacing w:line="520" w:lineRule="exact"/>
        <w:ind w:left="0" w:leftChars="0" w:firstLine="458" w:firstLineChars="191"/>
        <w:textAlignment w:val="bottom"/>
        <w:rPr>
          <w:sz w:val="24"/>
          <w:szCs w:val="32"/>
        </w:rPr>
      </w:pPr>
      <w:r>
        <w:rPr>
          <w:rFonts w:hint="eastAsia"/>
          <w:sz w:val="24"/>
          <w:szCs w:val="32"/>
        </w:rPr>
        <w:t>7、 项目负责人：                 联系电话：</w:t>
      </w:r>
    </w:p>
    <w:p w14:paraId="6A8C8B44">
      <w:pPr>
        <w:keepNext w:val="0"/>
        <w:keepLines w:val="0"/>
        <w:pageBreakBefore w:val="0"/>
        <w:kinsoku/>
        <w:wordWrap/>
        <w:overflowPunct/>
        <w:topLinePunct w:val="0"/>
        <w:autoSpaceDE w:val="0"/>
        <w:autoSpaceDN w:val="0"/>
        <w:bidi w:val="0"/>
        <w:adjustRightInd w:val="0"/>
        <w:snapToGrid w:val="0"/>
        <w:spacing w:line="520" w:lineRule="exact"/>
        <w:ind w:left="0" w:leftChars="0" w:firstLine="458" w:firstLineChars="191"/>
        <w:textAlignment w:val="bottom"/>
        <w:rPr>
          <w:sz w:val="24"/>
          <w:szCs w:val="32"/>
        </w:rPr>
      </w:pPr>
      <w:r>
        <w:rPr>
          <w:rFonts w:hint="eastAsia"/>
          <w:sz w:val="24"/>
          <w:szCs w:val="32"/>
        </w:rPr>
        <w:t xml:space="preserve">    项目组成员名单：</w:t>
      </w:r>
    </w:p>
    <w:p w14:paraId="415F7D8E">
      <w:pPr>
        <w:keepNext w:val="0"/>
        <w:keepLines w:val="0"/>
        <w:pageBreakBefore w:val="0"/>
        <w:kinsoku/>
        <w:wordWrap/>
        <w:overflowPunct/>
        <w:topLinePunct w:val="0"/>
        <w:bidi w:val="0"/>
        <w:spacing w:line="520" w:lineRule="exact"/>
        <w:ind w:left="0" w:leftChars="0" w:firstLine="630"/>
        <w:rPr>
          <w:sz w:val="24"/>
          <w:szCs w:val="32"/>
        </w:rPr>
      </w:pPr>
    </w:p>
    <w:p w14:paraId="023B6BDA">
      <w:pPr>
        <w:pStyle w:val="14"/>
        <w:keepNext w:val="0"/>
        <w:keepLines w:val="0"/>
        <w:pageBreakBefore w:val="0"/>
        <w:kinsoku/>
        <w:wordWrap/>
        <w:overflowPunct/>
        <w:topLinePunct w:val="0"/>
        <w:bidi w:val="0"/>
        <w:snapToGrid w:val="0"/>
        <w:spacing w:line="520" w:lineRule="exact"/>
        <w:ind w:left="0" w:leftChars="0" w:firstLine="1308" w:firstLineChars="545"/>
        <w:rPr>
          <w:rFonts w:hAnsi="宋体"/>
          <w:sz w:val="24"/>
          <w:szCs w:val="22"/>
        </w:rPr>
      </w:pPr>
      <w:r>
        <w:rPr>
          <w:rFonts w:hint="eastAsia" w:hAnsi="宋体"/>
          <w:sz w:val="24"/>
          <w:szCs w:val="22"/>
        </w:rPr>
        <w:t>甲方(盖章)：                     乙方（盖章）：</w:t>
      </w:r>
    </w:p>
    <w:p w14:paraId="20AB7986">
      <w:pPr>
        <w:pStyle w:val="14"/>
        <w:keepNext w:val="0"/>
        <w:keepLines w:val="0"/>
        <w:pageBreakBefore w:val="0"/>
        <w:kinsoku/>
        <w:wordWrap/>
        <w:overflowPunct/>
        <w:topLinePunct w:val="0"/>
        <w:bidi w:val="0"/>
        <w:snapToGrid w:val="0"/>
        <w:spacing w:line="520" w:lineRule="exact"/>
        <w:ind w:left="0" w:leftChars="0" w:firstLine="1308" w:firstLineChars="545"/>
        <w:rPr>
          <w:rFonts w:hAnsi="宋体"/>
          <w:sz w:val="24"/>
          <w:szCs w:val="22"/>
        </w:rPr>
      </w:pPr>
      <w:r>
        <w:rPr>
          <w:rFonts w:hint="eastAsia" w:hAnsi="宋体"/>
          <w:sz w:val="24"/>
          <w:szCs w:val="22"/>
        </w:rPr>
        <w:t>法定代表人：                     法定代表人（负责人）：</w:t>
      </w:r>
    </w:p>
    <w:p w14:paraId="59BEB74C">
      <w:pPr>
        <w:pStyle w:val="14"/>
        <w:keepNext w:val="0"/>
        <w:keepLines w:val="0"/>
        <w:pageBreakBefore w:val="0"/>
        <w:kinsoku/>
        <w:wordWrap/>
        <w:overflowPunct/>
        <w:topLinePunct w:val="0"/>
        <w:bidi w:val="0"/>
        <w:snapToGrid w:val="0"/>
        <w:spacing w:line="520" w:lineRule="exact"/>
        <w:ind w:left="0" w:leftChars="0" w:firstLine="1308" w:firstLineChars="545"/>
        <w:rPr>
          <w:rFonts w:hAnsi="宋体"/>
          <w:sz w:val="24"/>
          <w:szCs w:val="22"/>
        </w:rPr>
      </w:pPr>
      <w:r>
        <w:rPr>
          <w:rFonts w:hint="eastAsia" w:hAnsi="宋体"/>
          <w:sz w:val="24"/>
          <w:szCs w:val="22"/>
        </w:rPr>
        <w:t>授权代表：                        授权代表：</w:t>
      </w:r>
    </w:p>
    <w:p w14:paraId="2FF02272">
      <w:pPr>
        <w:pStyle w:val="14"/>
        <w:keepNext w:val="0"/>
        <w:keepLines w:val="0"/>
        <w:pageBreakBefore w:val="0"/>
        <w:kinsoku/>
        <w:wordWrap/>
        <w:overflowPunct/>
        <w:topLinePunct w:val="0"/>
        <w:bidi w:val="0"/>
        <w:snapToGrid w:val="0"/>
        <w:spacing w:line="520" w:lineRule="exact"/>
        <w:ind w:left="0" w:leftChars="0" w:firstLine="1308" w:firstLineChars="545"/>
        <w:rPr>
          <w:rFonts w:hAnsi="宋体"/>
          <w:sz w:val="24"/>
          <w:szCs w:val="22"/>
        </w:rPr>
      </w:pPr>
      <w:r>
        <w:rPr>
          <w:rFonts w:hint="eastAsia" w:hAnsi="宋体"/>
          <w:sz w:val="24"/>
          <w:szCs w:val="22"/>
        </w:rPr>
        <w:t xml:space="preserve">开户银行：                    </w:t>
      </w:r>
      <w:r>
        <w:rPr>
          <w:rFonts w:hint="eastAsia" w:hAnsi="宋体"/>
          <w:sz w:val="24"/>
          <w:szCs w:val="22"/>
          <w:lang w:val="en-US" w:eastAsia="zh-CN"/>
        </w:rPr>
        <w:t xml:space="preserve">   </w:t>
      </w:r>
      <w:r>
        <w:rPr>
          <w:rFonts w:hint="eastAsia" w:hAnsi="宋体"/>
          <w:sz w:val="24"/>
          <w:szCs w:val="22"/>
        </w:rPr>
        <w:t xml:space="preserve"> 开户银行：</w:t>
      </w:r>
    </w:p>
    <w:p w14:paraId="06CFBF45">
      <w:pPr>
        <w:pStyle w:val="14"/>
        <w:keepNext w:val="0"/>
        <w:keepLines w:val="0"/>
        <w:pageBreakBefore w:val="0"/>
        <w:kinsoku/>
        <w:wordWrap/>
        <w:overflowPunct/>
        <w:topLinePunct w:val="0"/>
        <w:bidi w:val="0"/>
        <w:snapToGrid w:val="0"/>
        <w:spacing w:line="520" w:lineRule="exact"/>
        <w:ind w:left="0" w:leftChars="0" w:firstLine="1308" w:firstLineChars="545"/>
        <w:rPr>
          <w:rFonts w:hAnsi="宋体"/>
          <w:sz w:val="24"/>
          <w:szCs w:val="22"/>
        </w:rPr>
      </w:pPr>
      <w:r>
        <w:rPr>
          <w:rFonts w:hint="eastAsia" w:hAnsi="宋体"/>
          <w:sz w:val="24"/>
          <w:szCs w:val="22"/>
        </w:rPr>
        <w:t xml:space="preserve">开户名称：                 </w:t>
      </w:r>
      <w:r>
        <w:rPr>
          <w:rFonts w:hint="eastAsia" w:hAnsi="宋体"/>
          <w:sz w:val="24"/>
          <w:szCs w:val="22"/>
          <w:lang w:val="en-US" w:eastAsia="zh-CN"/>
        </w:rPr>
        <w:t xml:space="preserve">    </w:t>
      </w:r>
      <w:r>
        <w:rPr>
          <w:rFonts w:hint="eastAsia" w:hAnsi="宋体"/>
          <w:sz w:val="24"/>
          <w:szCs w:val="22"/>
        </w:rPr>
        <w:t xml:space="preserve">   开户名称：</w:t>
      </w:r>
    </w:p>
    <w:p w14:paraId="5307F0D0">
      <w:pPr>
        <w:pStyle w:val="14"/>
        <w:keepNext w:val="0"/>
        <w:keepLines w:val="0"/>
        <w:pageBreakBefore w:val="0"/>
        <w:kinsoku/>
        <w:wordWrap/>
        <w:overflowPunct/>
        <w:topLinePunct w:val="0"/>
        <w:bidi w:val="0"/>
        <w:snapToGrid w:val="0"/>
        <w:spacing w:line="520" w:lineRule="exact"/>
        <w:ind w:left="0" w:leftChars="0" w:firstLine="1308" w:firstLineChars="545"/>
        <w:rPr>
          <w:rFonts w:hAnsi="宋体"/>
          <w:sz w:val="24"/>
          <w:szCs w:val="22"/>
        </w:rPr>
      </w:pPr>
      <w:r>
        <w:rPr>
          <w:rFonts w:hint="eastAsia" w:hAnsi="宋体"/>
          <w:sz w:val="24"/>
          <w:szCs w:val="22"/>
        </w:rPr>
        <w:t>账号：                            账号：</w:t>
      </w:r>
    </w:p>
    <w:p w14:paraId="407C8600">
      <w:pPr>
        <w:pStyle w:val="14"/>
        <w:keepNext w:val="0"/>
        <w:keepLines w:val="0"/>
        <w:pageBreakBefore w:val="0"/>
        <w:kinsoku/>
        <w:wordWrap/>
        <w:overflowPunct/>
        <w:topLinePunct w:val="0"/>
        <w:bidi w:val="0"/>
        <w:snapToGrid w:val="0"/>
        <w:spacing w:line="520" w:lineRule="exact"/>
        <w:ind w:left="0" w:leftChars="0" w:firstLine="1308" w:firstLineChars="545"/>
        <w:rPr>
          <w:rFonts w:hAnsi="宋体"/>
          <w:sz w:val="44"/>
          <w:szCs w:val="22"/>
        </w:rPr>
      </w:pPr>
      <w:r>
        <w:rPr>
          <w:rFonts w:hint="eastAsia" w:hAnsi="宋体"/>
          <w:sz w:val="24"/>
          <w:szCs w:val="22"/>
        </w:rPr>
        <w:t>签约日期：                        签约地点：</w:t>
      </w:r>
    </w:p>
    <w:p w14:paraId="5355859E">
      <w:pPr>
        <w:keepNext w:val="0"/>
        <w:keepLines w:val="0"/>
        <w:pageBreakBefore w:val="0"/>
        <w:kinsoku/>
        <w:wordWrap/>
        <w:overflowPunct/>
        <w:topLinePunct w:val="0"/>
        <w:bidi w:val="0"/>
        <w:spacing w:line="520" w:lineRule="exact"/>
        <w:ind w:left="0" w:leftChars="0"/>
        <w:rPr>
          <w:rFonts w:hint="eastAsia" w:ascii="仿宋_GB2312" w:hAnsi="仿宋_GB2312" w:eastAsia="仿宋_GB2312" w:cs="仿宋_GB2312"/>
          <w:sz w:val="32"/>
          <w:szCs w:val="32"/>
        </w:rPr>
      </w:pPr>
    </w:p>
    <w:p w14:paraId="58E5E21D">
      <w:pPr>
        <w:keepNext w:val="0"/>
        <w:keepLines w:val="0"/>
        <w:pageBreakBefore w:val="0"/>
        <w:kinsoku/>
        <w:wordWrap/>
        <w:overflowPunct/>
        <w:topLinePunct w:val="0"/>
        <w:bidi w:val="0"/>
        <w:spacing w:line="520" w:lineRule="exact"/>
        <w:ind w:left="0" w:leftChars="0"/>
        <w:rPr>
          <w:b/>
          <w:bCs/>
          <w:sz w:val="40"/>
          <w:szCs w:val="40"/>
          <w:lang w:val="zh-CN"/>
        </w:rPr>
      </w:pPr>
      <w:r>
        <w:rPr>
          <w:rFonts w:hint="eastAsia" w:ascii="仿宋_GB2312" w:hAnsi="仿宋_GB2312" w:eastAsia="仿宋_GB2312" w:cs="仿宋_GB2312"/>
          <w:sz w:val="28"/>
          <w:szCs w:val="28"/>
        </w:rPr>
        <w:t>★</w:t>
      </w:r>
      <w:r>
        <w:rPr>
          <w:rFonts w:hint="eastAsia"/>
          <w:b/>
          <w:bCs/>
          <w:sz w:val="24"/>
          <w:szCs w:val="32"/>
          <w:u w:val="single"/>
        </w:rPr>
        <w:t>注：以上合同条款供采购人及成交供应商作为商务参考，具体签订时，采购人可根据自身项目情况与中标供应商协商另行修改拟定相关合同具体条款。</w:t>
      </w:r>
    </w:p>
    <w:p w14:paraId="27A859EB">
      <w:pPr>
        <w:pStyle w:val="33"/>
        <w:keepNext w:val="0"/>
        <w:keepLines w:val="0"/>
        <w:pageBreakBefore w:val="0"/>
        <w:kinsoku/>
        <w:wordWrap/>
        <w:overflowPunct/>
        <w:topLinePunct w:val="0"/>
        <w:bidi w:val="0"/>
        <w:spacing w:line="520" w:lineRule="exact"/>
        <w:ind w:left="0" w:leftChars="0"/>
        <w:rPr>
          <w:rFonts w:hint="eastAsia" w:ascii="仿宋_GB2312" w:hAnsi="仿宋_GB2312" w:eastAsia="仿宋_GB2312" w:cs="仿宋_GB2312"/>
        </w:rPr>
      </w:pPr>
    </w:p>
    <w:p w14:paraId="22B17620">
      <w:pPr>
        <w:pStyle w:val="33"/>
        <w:spacing w:line="360" w:lineRule="auto"/>
        <w:rPr>
          <w:rFonts w:hint="eastAsia" w:ascii="仿宋_GB2312" w:hAnsi="仿宋_GB2312" w:eastAsia="仿宋_GB2312" w:cs="仿宋_GB2312"/>
          <w:highlight w:val="yellow"/>
          <w:lang w:val="en-US"/>
        </w:rPr>
        <w:sectPr>
          <w:pgSz w:w="11911" w:h="16838"/>
          <w:pgMar w:top="1417" w:right="1247" w:bottom="1474" w:left="1134" w:header="890" w:footer="1009" w:gutter="567"/>
          <w:cols w:space="720" w:num="1"/>
          <w:docGrid w:linePitch="1" w:charSpace="0"/>
        </w:sectPr>
      </w:pPr>
    </w:p>
    <w:p w14:paraId="65D3CECF">
      <w:pPr>
        <w:pStyle w:val="3"/>
        <w:spacing w:after="50" w:line="360" w:lineRule="auto"/>
        <w:ind w:firstLine="0"/>
        <w:jc w:val="center"/>
        <w:outlineLvl w:val="0"/>
        <w:rPr>
          <w:rFonts w:hint="eastAsia" w:ascii="Arial" w:hAnsi="宋体" w:cs="Arial"/>
          <w:b/>
          <w:bCs/>
          <w:color w:val="000000"/>
          <w:szCs w:val="28"/>
        </w:rPr>
      </w:pPr>
      <w:bookmarkStart w:id="100" w:name="_Toc8947"/>
      <w:bookmarkStart w:id="101" w:name="_Toc430"/>
      <w:r>
        <w:rPr>
          <w:rFonts w:ascii="Arial" w:hAnsi="宋体" w:cs="Arial"/>
          <w:b/>
          <w:bCs/>
          <w:color w:val="000000"/>
          <w:szCs w:val="28"/>
        </w:rPr>
        <w:t>第五部分  投标文件格式</w:t>
      </w:r>
      <w:bookmarkEnd w:id="99"/>
      <w:bookmarkEnd w:id="100"/>
      <w:bookmarkEnd w:id="101"/>
    </w:p>
    <w:p w14:paraId="4D2D7F81">
      <w:pPr>
        <w:rPr>
          <w:color w:val="000000"/>
          <w:szCs w:val="21"/>
        </w:rPr>
      </w:pPr>
    </w:p>
    <w:p w14:paraId="4DBC56EC">
      <w:pPr>
        <w:snapToGrid w:val="0"/>
        <w:spacing w:line="480" w:lineRule="auto"/>
        <w:jc w:val="center"/>
        <w:rPr>
          <w:rFonts w:hint="eastAsia" w:ascii="宋体" w:hAnsi="宋体" w:cs="宋体"/>
          <w:b/>
          <w:bCs/>
          <w:color w:val="000000"/>
          <w:szCs w:val="21"/>
        </w:rPr>
      </w:pPr>
      <w:bookmarkStart w:id="102" w:name="_Toc132221307"/>
      <w:bookmarkStart w:id="103" w:name="_Toc191204214"/>
      <w:bookmarkStart w:id="104" w:name="_Toc186617637"/>
      <w:r>
        <w:rPr>
          <w:rFonts w:hint="eastAsia" w:ascii="宋体" w:hAnsi="宋体" w:cs="宋体"/>
          <w:b/>
          <w:bCs/>
          <w:color w:val="000000"/>
          <w:szCs w:val="21"/>
        </w:rPr>
        <w:t>投标供应商提交投标文件须知</w:t>
      </w:r>
    </w:p>
    <w:p w14:paraId="1C56D1C2">
      <w:pPr>
        <w:snapToGrid w:val="0"/>
        <w:spacing w:line="480" w:lineRule="auto"/>
        <w:jc w:val="center"/>
        <w:rPr>
          <w:rFonts w:hint="eastAsia" w:ascii="宋体" w:hAnsi="宋体" w:cs="宋体"/>
          <w:color w:val="000000"/>
          <w:szCs w:val="21"/>
        </w:rPr>
      </w:pPr>
    </w:p>
    <w:p w14:paraId="363019C6">
      <w:pPr>
        <w:numPr>
          <w:ilvl w:val="4"/>
          <w:numId w:val="11"/>
        </w:numPr>
        <w:snapToGrid w:val="0"/>
        <w:spacing w:line="480" w:lineRule="auto"/>
        <w:ind w:left="426" w:firstLine="0"/>
        <w:rPr>
          <w:rFonts w:hint="eastAsia" w:ascii="宋体" w:hAnsi="宋体" w:cs="宋体"/>
          <w:color w:val="000000"/>
          <w:szCs w:val="21"/>
        </w:rPr>
      </w:pPr>
      <w:r>
        <w:rPr>
          <w:rFonts w:hint="eastAsia" w:ascii="宋体" w:hAnsi="宋体" w:cs="宋体"/>
          <w:color w:val="000000"/>
          <w:szCs w:val="21"/>
        </w:rPr>
        <w:t>投标供应商应严格按照投标文件的组成提交下述规定的全部格式文件以及其他有关资料，混乱的编排导致投标文件被误读或采购人查找不到有效文件是投标供应商的风险。</w:t>
      </w:r>
    </w:p>
    <w:p w14:paraId="46FB389F">
      <w:pPr>
        <w:numPr>
          <w:ilvl w:val="4"/>
          <w:numId w:val="11"/>
        </w:numPr>
        <w:snapToGrid w:val="0"/>
        <w:spacing w:line="480" w:lineRule="auto"/>
        <w:ind w:left="426" w:firstLine="0"/>
        <w:rPr>
          <w:rFonts w:hint="eastAsia" w:ascii="宋体" w:hAnsi="宋体" w:cs="宋体"/>
          <w:color w:val="000000"/>
          <w:szCs w:val="21"/>
        </w:rPr>
      </w:pPr>
      <w:r>
        <w:rPr>
          <w:rFonts w:hint="eastAsia" w:ascii="宋体" w:hAnsi="宋体" w:cs="宋体"/>
          <w:color w:val="000000"/>
          <w:szCs w:val="21"/>
        </w:rPr>
        <w:t>所附表格中要求回答的全部问题和/或信息都必须正面回答。</w:t>
      </w:r>
    </w:p>
    <w:p w14:paraId="349C1836">
      <w:pPr>
        <w:numPr>
          <w:ilvl w:val="4"/>
          <w:numId w:val="11"/>
        </w:numPr>
        <w:snapToGrid w:val="0"/>
        <w:spacing w:line="480" w:lineRule="auto"/>
        <w:ind w:left="426" w:firstLine="0"/>
        <w:rPr>
          <w:rFonts w:hint="eastAsia" w:ascii="宋体" w:hAnsi="宋体" w:cs="宋体"/>
          <w:color w:val="000000"/>
          <w:szCs w:val="21"/>
        </w:rPr>
      </w:pPr>
      <w:r>
        <w:rPr>
          <w:rFonts w:hint="eastAsia" w:ascii="宋体" w:hAnsi="宋体" w:cs="宋体"/>
          <w:color w:val="000000"/>
          <w:szCs w:val="21"/>
        </w:rPr>
        <w:t>本资格声明的签字人应保证全部声明和问题的回答是真实的和准确的。</w:t>
      </w:r>
    </w:p>
    <w:p w14:paraId="184506C0">
      <w:pPr>
        <w:numPr>
          <w:ilvl w:val="4"/>
          <w:numId w:val="11"/>
        </w:numPr>
        <w:snapToGrid w:val="0"/>
        <w:spacing w:line="480" w:lineRule="auto"/>
        <w:ind w:left="426" w:firstLine="0"/>
        <w:rPr>
          <w:rFonts w:hint="eastAsia" w:ascii="宋体" w:hAnsi="宋体" w:cs="宋体"/>
          <w:color w:val="000000"/>
          <w:szCs w:val="21"/>
        </w:rPr>
      </w:pPr>
      <w:r>
        <w:rPr>
          <w:rFonts w:hint="eastAsia" w:ascii="宋体" w:hAnsi="宋体" w:cs="宋体"/>
          <w:color w:val="000000"/>
          <w:szCs w:val="21"/>
        </w:rPr>
        <w:t>采购人将应用投标供应商提交的资料根据自己的判断和考虑决定投标供应商履行合同的合格性及能力。</w:t>
      </w:r>
    </w:p>
    <w:p w14:paraId="58C349EF">
      <w:pPr>
        <w:numPr>
          <w:ilvl w:val="4"/>
          <w:numId w:val="11"/>
        </w:numPr>
        <w:snapToGrid w:val="0"/>
        <w:spacing w:line="480" w:lineRule="auto"/>
        <w:ind w:left="426" w:firstLine="0"/>
        <w:rPr>
          <w:rFonts w:hint="eastAsia" w:ascii="宋体" w:hAnsi="宋体" w:cs="宋体"/>
          <w:color w:val="000000"/>
          <w:szCs w:val="21"/>
        </w:rPr>
      </w:pPr>
      <w:r>
        <w:rPr>
          <w:rFonts w:hint="eastAsia" w:ascii="宋体" w:hAnsi="宋体" w:cs="宋体"/>
          <w:color w:val="000000"/>
          <w:szCs w:val="21"/>
        </w:rPr>
        <w:t>全部文件应按投标供应商须知中规定的语言和份数提交。</w:t>
      </w:r>
    </w:p>
    <w:p w14:paraId="53554FA5">
      <w:pPr>
        <w:snapToGrid w:val="0"/>
        <w:spacing w:line="400" w:lineRule="exact"/>
        <w:jc w:val="left"/>
        <w:outlineLvl w:val="1"/>
        <w:rPr>
          <w:rFonts w:hint="eastAsia" w:ascii="宋体" w:hAnsi="宋体"/>
          <w:b/>
          <w:bCs/>
          <w:color w:val="000000"/>
          <w:sz w:val="24"/>
        </w:rPr>
      </w:pPr>
      <w:r>
        <w:rPr>
          <w:rFonts w:hint="eastAsia" w:ascii="宋体" w:hAnsi="宋体"/>
          <w:b/>
          <w:bCs/>
          <w:color w:val="000000"/>
          <w:sz w:val="24"/>
        </w:rPr>
        <w:br w:type="page"/>
      </w:r>
      <w:bookmarkStart w:id="105" w:name="_Toc26664"/>
      <w:r>
        <w:rPr>
          <w:rFonts w:hint="eastAsia" w:ascii="宋体" w:hAnsi="宋体"/>
          <w:b/>
          <w:bCs/>
          <w:color w:val="000000"/>
          <w:sz w:val="24"/>
        </w:rPr>
        <w:t>附件1   承诺函</w:t>
      </w:r>
      <w:bookmarkEnd w:id="102"/>
      <w:bookmarkEnd w:id="105"/>
    </w:p>
    <w:p w14:paraId="50F16A90">
      <w:pPr>
        <w:rPr>
          <w:color w:val="000000"/>
        </w:rPr>
      </w:pPr>
    </w:p>
    <w:p w14:paraId="3DF3499D">
      <w:pPr>
        <w:spacing w:line="276" w:lineRule="auto"/>
        <w:rPr>
          <w:rFonts w:ascii="宋体"/>
          <w:bCs/>
          <w:color w:val="000000"/>
        </w:rPr>
      </w:pPr>
      <w:r>
        <w:rPr>
          <w:rFonts w:hint="eastAsia" w:ascii="宋体" w:hAnsi="宋体" w:cs="宋体"/>
          <w:sz w:val="22"/>
          <w:szCs w:val="22"/>
        </w:rPr>
        <w:t>文成县绿色能源发展有限公司</w:t>
      </w:r>
      <w:r>
        <w:rPr>
          <w:rFonts w:hint="eastAsia" w:ascii="宋体" w:hAnsi="宋体"/>
          <w:bCs/>
          <w:color w:val="000000"/>
        </w:rPr>
        <w:t>：</w:t>
      </w:r>
    </w:p>
    <w:p w14:paraId="23EA6668">
      <w:pPr>
        <w:rPr>
          <w:color w:val="000000"/>
        </w:rPr>
      </w:pPr>
    </w:p>
    <w:p w14:paraId="613B84EB">
      <w:pPr>
        <w:spacing w:line="500" w:lineRule="exact"/>
        <w:rPr>
          <w:rStyle w:val="34"/>
          <w:rFonts w:ascii="Arial" w:hAnsi="Arial" w:cs="Arial"/>
          <w:color w:val="000000"/>
        </w:rPr>
      </w:pPr>
      <w:r>
        <w:rPr>
          <w:rStyle w:val="34"/>
          <w:rFonts w:ascii="Arial" w:hAnsi="Arial" w:cs="Arial"/>
          <w:color w:val="000000"/>
        </w:rPr>
        <w:t>我公司参与</w:t>
      </w:r>
      <w:r>
        <w:rPr>
          <w:rStyle w:val="34"/>
          <w:rFonts w:hint="eastAsia" w:ascii="Arial" w:hAnsi="Arial" w:cs="Arial"/>
          <w:color w:val="000000"/>
          <w:u w:val="single"/>
        </w:rPr>
        <w:t>文成县新型能源体系构建白皮书（2024-2035年）</w:t>
      </w:r>
      <w:r>
        <w:rPr>
          <w:rStyle w:val="34"/>
          <w:rFonts w:ascii="Arial" w:hAnsi="Arial" w:cs="Arial"/>
          <w:color w:val="000000"/>
        </w:rPr>
        <w:t>（项目编号：</w:t>
      </w:r>
      <w:r>
        <w:rPr>
          <w:rStyle w:val="34"/>
          <w:rFonts w:hint="eastAsia" w:ascii="Arial" w:hAnsi="Arial" w:cs="Arial"/>
          <w:color w:val="000000"/>
        </w:rPr>
        <w:t>WGWC-LNGS-2024001</w:t>
      </w:r>
      <w:r>
        <w:rPr>
          <w:rStyle w:val="34"/>
          <w:rFonts w:ascii="Arial" w:hAnsi="Arial" w:cs="Arial"/>
          <w:color w:val="000000"/>
        </w:rPr>
        <w:t>）</w:t>
      </w:r>
      <w:r>
        <w:rPr>
          <w:rStyle w:val="34"/>
          <w:rFonts w:hint="eastAsia" w:ascii="Arial" w:hAnsi="Arial" w:cs="Arial"/>
          <w:color w:val="000000"/>
        </w:rPr>
        <w:t>投标。</w:t>
      </w:r>
    </w:p>
    <w:p w14:paraId="4495ED13">
      <w:pPr>
        <w:spacing w:line="500" w:lineRule="exact"/>
        <w:ind w:firstLine="420" w:firstLineChars="200"/>
        <w:rPr>
          <w:color w:val="000000"/>
          <w:szCs w:val="21"/>
        </w:rPr>
      </w:pPr>
      <w:r>
        <w:rPr>
          <w:rStyle w:val="34"/>
          <w:rFonts w:hint="eastAsia" w:ascii="Arial" w:hAnsi="Arial" w:cs="Arial"/>
          <w:color w:val="000000"/>
        </w:rPr>
        <w:t>郑重承诺具备以下条件</w:t>
      </w:r>
      <w:r>
        <w:rPr>
          <w:rFonts w:hint="eastAsia" w:ascii="宋体" w:hAnsi="宋体"/>
          <w:color w:val="000000"/>
          <w:szCs w:val="21"/>
        </w:rPr>
        <w:t>：</w:t>
      </w:r>
    </w:p>
    <w:p w14:paraId="26597F7E">
      <w:pPr>
        <w:snapToGrid w:val="0"/>
        <w:spacing w:line="460" w:lineRule="exact"/>
        <w:ind w:firstLine="420" w:firstLineChars="200"/>
        <w:rPr>
          <w:rFonts w:ascii="Arial" w:hAnsi="Arial" w:cs="Arial"/>
          <w:color w:val="000000"/>
          <w:szCs w:val="21"/>
        </w:rPr>
      </w:pPr>
      <w:r>
        <w:rPr>
          <w:rFonts w:hint="eastAsia" w:ascii="Arial" w:hAnsi="Arial" w:cs="Arial"/>
          <w:color w:val="000000"/>
          <w:szCs w:val="21"/>
        </w:rPr>
        <w:t>（一）具有独立承担民事责任的能力；</w:t>
      </w:r>
    </w:p>
    <w:p w14:paraId="0CB203E3">
      <w:pPr>
        <w:snapToGrid w:val="0"/>
        <w:spacing w:line="460" w:lineRule="exact"/>
        <w:ind w:firstLine="420" w:firstLineChars="200"/>
        <w:rPr>
          <w:rFonts w:ascii="Arial" w:hAnsi="Arial" w:cs="Arial"/>
          <w:color w:val="000000"/>
          <w:szCs w:val="21"/>
        </w:rPr>
      </w:pPr>
      <w:r>
        <w:rPr>
          <w:rFonts w:hint="eastAsia" w:ascii="Arial" w:hAnsi="Arial" w:cs="Arial"/>
          <w:color w:val="000000"/>
          <w:szCs w:val="21"/>
        </w:rPr>
        <w:t>（二）具有良好的商业信誉和健全的财务会计制度；</w:t>
      </w:r>
    </w:p>
    <w:p w14:paraId="122DD6B7">
      <w:pPr>
        <w:snapToGrid w:val="0"/>
        <w:spacing w:line="460" w:lineRule="exact"/>
        <w:ind w:firstLine="420" w:firstLineChars="200"/>
        <w:rPr>
          <w:rFonts w:ascii="Arial" w:hAnsi="Arial" w:cs="Arial"/>
          <w:color w:val="000000"/>
          <w:szCs w:val="21"/>
        </w:rPr>
      </w:pPr>
      <w:r>
        <w:rPr>
          <w:rFonts w:hint="eastAsia" w:ascii="Arial" w:hAnsi="Arial" w:cs="Arial"/>
          <w:color w:val="000000"/>
          <w:szCs w:val="21"/>
        </w:rPr>
        <w:t>（三）具有履行合同所必需的设备和专业技术、售后保障等能力；</w:t>
      </w:r>
    </w:p>
    <w:p w14:paraId="184B027E">
      <w:pPr>
        <w:snapToGrid w:val="0"/>
        <w:spacing w:line="460" w:lineRule="exact"/>
        <w:ind w:firstLine="420" w:firstLineChars="200"/>
        <w:rPr>
          <w:rFonts w:ascii="Arial" w:hAnsi="Arial" w:cs="Arial"/>
          <w:color w:val="000000"/>
          <w:szCs w:val="21"/>
        </w:rPr>
      </w:pPr>
      <w:r>
        <w:rPr>
          <w:rFonts w:hint="eastAsia" w:ascii="Arial" w:hAnsi="Arial" w:cs="Arial"/>
          <w:color w:val="000000"/>
          <w:szCs w:val="21"/>
        </w:rPr>
        <w:t>（四）有依法缴纳税收和社会保障资金的良好记录；</w:t>
      </w:r>
    </w:p>
    <w:p w14:paraId="19D305F6">
      <w:pPr>
        <w:snapToGrid w:val="0"/>
        <w:spacing w:line="460" w:lineRule="exact"/>
        <w:ind w:firstLine="420" w:firstLineChars="200"/>
        <w:rPr>
          <w:rFonts w:ascii="Arial" w:hAnsi="Arial" w:cs="Arial"/>
          <w:color w:val="000000"/>
          <w:szCs w:val="21"/>
        </w:rPr>
      </w:pPr>
      <w:r>
        <w:rPr>
          <w:rFonts w:hint="eastAsia" w:ascii="Arial" w:hAnsi="Arial" w:cs="Arial"/>
          <w:color w:val="000000"/>
          <w:szCs w:val="21"/>
        </w:rPr>
        <w:t>（五）参加采购、招投标等活动前三年内，在经营活动中没有重大违法记录、严重失信行为和行贿记录；</w:t>
      </w:r>
    </w:p>
    <w:p w14:paraId="0DAD31D7">
      <w:pPr>
        <w:snapToGrid w:val="0"/>
        <w:spacing w:line="460" w:lineRule="exact"/>
        <w:ind w:firstLine="420" w:firstLineChars="200"/>
        <w:rPr>
          <w:rFonts w:ascii="宋体" w:cs="宋体"/>
          <w:b/>
          <w:color w:val="000000"/>
          <w:szCs w:val="21"/>
        </w:rPr>
      </w:pPr>
      <w:r>
        <w:rPr>
          <w:rFonts w:hint="eastAsia" w:ascii="Arial" w:hAnsi="Arial" w:cs="Arial"/>
          <w:color w:val="000000"/>
          <w:szCs w:val="21"/>
        </w:rPr>
        <w:t>（六）法律、行政法规规定的其他条件。</w:t>
      </w:r>
    </w:p>
    <w:p w14:paraId="31D6EE36">
      <w:pPr>
        <w:spacing w:line="360" w:lineRule="auto"/>
        <w:ind w:firstLine="422" w:firstLineChars="200"/>
        <w:rPr>
          <w:rStyle w:val="34"/>
          <w:rFonts w:ascii="Arial" w:hAnsi="Arial" w:cs="Arial"/>
          <w:color w:val="000000"/>
        </w:rPr>
      </w:pPr>
      <w:r>
        <w:rPr>
          <w:rStyle w:val="34"/>
          <w:rFonts w:ascii="Arial" w:hAnsi="Arial" w:cs="Arial"/>
          <w:b/>
          <w:bCs/>
          <w:color w:val="000000"/>
        </w:rPr>
        <w:t>本公司对上述承诺的真实性负责。</w:t>
      </w:r>
      <w:r>
        <w:rPr>
          <w:rStyle w:val="34"/>
          <w:rFonts w:hint="eastAsia" w:ascii="Arial" w:hAnsi="Arial" w:cs="Arial"/>
          <w:b/>
          <w:bCs/>
          <w:color w:val="000000"/>
        </w:rPr>
        <w:t>上述承诺如有虚假，将按“提供虚假材料谋取中标、成交”情形，由采购人取消我公司任何资格（投标/中标/签订合同），且由采购单位/采购代理机构报告至监管部门。</w:t>
      </w:r>
    </w:p>
    <w:p w14:paraId="73B79A16">
      <w:pPr>
        <w:spacing w:line="360" w:lineRule="auto"/>
        <w:ind w:firstLine="420" w:firstLineChars="200"/>
        <w:rPr>
          <w:rFonts w:hint="eastAsia" w:ascii="Arial" w:hAnsi="宋体" w:cs="Arial"/>
          <w:snapToGrid w:val="0"/>
          <w:color w:val="000000"/>
          <w:szCs w:val="21"/>
        </w:rPr>
      </w:pPr>
      <w:r>
        <w:rPr>
          <w:rStyle w:val="34"/>
          <w:rFonts w:hint="eastAsia" w:ascii="Arial" w:hAnsi="Arial" w:cs="Arial"/>
          <w:color w:val="000000"/>
        </w:rPr>
        <w:t>我单位已知晓前述法律规定，对此无任何异议。</w:t>
      </w:r>
    </w:p>
    <w:p w14:paraId="2AF4BEE5">
      <w:pPr>
        <w:snapToGrid w:val="0"/>
        <w:spacing w:line="460" w:lineRule="exact"/>
        <w:ind w:firstLine="442" w:firstLineChars="200"/>
        <w:rPr>
          <w:rFonts w:ascii="宋体" w:cs="宋体"/>
          <w:b/>
          <w:color w:val="000000"/>
          <w:sz w:val="22"/>
          <w:szCs w:val="22"/>
        </w:rPr>
      </w:pPr>
    </w:p>
    <w:p w14:paraId="7CC1F58A">
      <w:pPr>
        <w:spacing w:line="380" w:lineRule="exact"/>
        <w:ind w:left="4620" w:leftChars="2200"/>
        <w:rPr>
          <w:rFonts w:hint="eastAsia" w:ascii="宋体" w:hAnsi="宋体"/>
          <w:color w:val="000000"/>
          <w:szCs w:val="21"/>
        </w:rPr>
      </w:pPr>
    </w:p>
    <w:p w14:paraId="761318E9">
      <w:pPr>
        <w:spacing w:line="380" w:lineRule="exact"/>
        <w:ind w:left="4620" w:leftChars="2200"/>
        <w:rPr>
          <w:rFonts w:hint="eastAsia" w:ascii="宋体" w:hAnsi="宋体"/>
          <w:color w:val="000000"/>
          <w:szCs w:val="21"/>
        </w:rPr>
      </w:pPr>
    </w:p>
    <w:p w14:paraId="1BC5A83D">
      <w:pPr>
        <w:spacing w:line="480" w:lineRule="auto"/>
        <w:ind w:right="-2" w:firstLine="5250" w:firstLineChars="2500"/>
        <w:rPr>
          <w:rFonts w:ascii="Arial" w:hAnsi="Arial"/>
          <w:color w:val="000000"/>
        </w:rPr>
      </w:pPr>
      <w:r>
        <w:rPr>
          <w:rFonts w:hint="eastAsia" w:ascii="Arial" w:hAnsi="Arial"/>
          <w:color w:val="000000"/>
        </w:rPr>
        <w:t>投标供应商（公章）：</w:t>
      </w:r>
    </w:p>
    <w:p w14:paraId="760B9E6D">
      <w:pPr>
        <w:spacing w:line="340" w:lineRule="exact"/>
        <w:ind w:firstLine="5243" w:firstLineChars="2497"/>
        <w:rPr>
          <w:rFonts w:hint="eastAsia" w:ascii="宋体" w:hAnsi="宋体"/>
          <w:color w:val="000000"/>
        </w:rPr>
      </w:pPr>
      <w:r>
        <w:rPr>
          <w:rFonts w:hint="eastAsia" w:ascii="宋体" w:hAnsi="宋体"/>
          <w:color w:val="000000"/>
        </w:rPr>
        <w:t>日期：</w:t>
      </w:r>
    </w:p>
    <w:p w14:paraId="32AFF523">
      <w:pPr>
        <w:textAlignment w:val="baseline"/>
        <w:rPr>
          <w:rStyle w:val="34"/>
          <w:rFonts w:ascii="Arial" w:hAnsi="Arial" w:cs="Arial"/>
          <w:b/>
          <w:bCs/>
          <w:color w:val="000000"/>
          <w:kern w:val="0"/>
          <w:szCs w:val="21"/>
        </w:rPr>
      </w:pPr>
    </w:p>
    <w:p w14:paraId="640B44A5">
      <w:pPr>
        <w:textAlignment w:val="baseline"/>
        <w:rPr>
          <w:rStyle w:val="34"/>
          <w:rFonts w:ascii="Arial" w:hAnsi="Arial" w:cs="Arial"/>
          <w:b/>
          <w:bCs/>
          <w:color w:val="000000"/>
          <w:kern w:val="0"/>
          <w:szCs w:val="21"/>
        </w:rPr>
      </w:pPr>
    </w:p>
    <w:p w14:paraId="4F784B91">
      <w:pPr>
        <w:textAlignment w:val="baseline"/>
        <w:rPr>
          <w:rStyle w:val="34"/>
          <w:rFonts w:ascii="Arial" w:hAnsi="Arial" w:cs="Arial"/>
          <w:b/>
          <w:bCs/>
          <w:color w:val="000000"/>
          <w:kern w:val="0"/>
          <w:szCs w:val="21"/>
        </w:rPr>
      </w:pPr>
      <w:r>
        <w:rPr>
          <w:rStyle w:val="34"/>
          <w:rFonts w:ascii="Arial" w:hAnsi="Arial" w:cs="Arial"/>
          <w:b/>
          <w:bCs/>
          <w:color w:val="000000"/>
          <w:kern w:val="0"/>
          <w:szCs w:val="21"/>
        </w:rPr>
        <w:t>注：1、▲本承诺函必须提供。</w:t>
      </w:r>
    </w:p>
    <w:p w14:paraId="42342713">
      <w:pPr>
        <w:tabs>
          <w:tab w:val="left" w:pos="0"/>
          <w:tab w:val="left" w:pos="600"/>
        </w:tabs>
        <w:spacing w:line="400" w:lineRule="exact"/>
        <w:jc w:val="center"/>
        <w:rPr>
          <w:rFonts w:hint="eastAsia" w:ascii="新宋体" w:hAnsi="新宋体" w:eastAsia="新宋体"/>
          <w:b/>
          <w:sz w:val="28"/>
          <w:szCs w:val="28"/>
        </w:rPr>
      </w:pPr>
      <w:r>
        <w:rPr>
          <w:rFonts w:hint="eastAsia" w:ascii="宋体" w:hAnsi="宋体"/>
          <w:color w:val="000000"/>
          <w:sz w:val="24"/>
        </w:rPr>
        <w:br w:type="page"/>
      </w:r>
      <w:r>
        <w:rPr>
          <w:rFonts w:hint="eastAsia" w:ascii="新宋体" w:hAnsi="新宋体" w:eastAsia="新宋体"/>
          <w:b/>
          <w:sz w:val="28"/>
          <w:szCs w:val="28"/>
        </w:rPr>
        <w:t>信用记录查询结果</w:t>
      </w:r>
    </w:p>
    <w:p w14:paraId="5962646D">
      <w:pPr>
        <w:tabs>
          <w:tab w:val="left" w:pos="0"/>
          <w:tab w:val="left" w:pos="600"/>
        </w:tabs>
        <w:spacing w:line="400" w:lineRule="exact"/>
        <w:rPr>
          <w:rFonts w:hint="eastAsia" w:ascii="新宋体" w:hAnsi="新宋体" w:eastAsia="新宋体"/>
          <w:b/>
          <w:sz w:val="22"/>
        </w:rPr>
      </w:pPr>
      <w:r>
        <w:rPr>
          <w:rFonts w:ascii="新宋体" w:hAnsi="新宋体" w:eastAsia="新宋体"/>
          <w:b/>
          <w:sz w:val="22"/>
        </w:rPr>
        <w:t xml:space="preserve"> </w:t>
      </w:r>
    </w:p>
    <w:p w14:paraId="4ACD7C50">
      <w:pPr>
        <w:pStyle w:val="14"/>
        <w:spacing w:line="360" w:lineRule="auto"/>
        <w:rPr>
          <w:rFonts w:hint="eastAsia" w:ascii="新宋体" w:hAnsi="新宋体" w:eastAsia="新宋体" w:cs="Courier New"/>
          <w:sz w:val="22"/>
          <w:szCs w:val="22"/>
        </w:rPr>
      </w:pPr>
      <w:r>
        <w:rPr>
          <w:rFonts w:hint="eastAsia" w:ascii="新宋体" w:hAnsi="新宋体" w:eastAsia="新宋体" w:cs="Courier New"/>
          <w:sz w:val="22"/>
          <w:szCs w:val="22"/>
        </w:rPr>
        <w:t>文成县绿色能源发展有限公司：</w:t>
      </w:r>
    </w:p>
    <w:p w14:paraId="2BB68D78">
      <w:pPr>
        <w:pStyle w:val="14"/>
        <w:spacing w:line="360" w:lineRule="auto"/>
        <w:rPr>
          <w:rFonts w:hint="eastAsia" w:ascii="新宋体" w:hAnsi="新宋体" w:eastAsia="新宋体" w:cs="Courier New"/>
          <w:sz w:val="22"/>
          <w:szCs w:val="22"/>
        </w:rPr>
      </w:pPr>
      <w:r>
        <w:rPr>
          <w:rFonts w:hint="eastAsia" w:ascii="新宋体" w:hAnsi="新宋体" w:eastAsia="新宋体" w:cs="Courier New"/>
          <w:sz w:val="22"/>
          <w:szCs w:val="22"/>
        </w:rPr>
        <w:t>浙江信达咨询监理有限公司：</w:t>
      </w:r>
    </w:p>
    <w:p w14:paraId="71CC2F39">
      <w:pPr>
        <w:spacing w:line="460" w:lineRule="exact"/>
        <w:ind w:firstLine="440" w:firstLineChars="200"/>
        <w:rPr>
          <w:rFonts w:hint="eastAsia" w:ascii="新宋体" w:hAnsi="新宋体" w:eastAsia="新宋体" w:cs="Courier New"/>
          <w:sz w:val="22"/>
          <w:szCs w:val="22"/>
        </w:rPr>
      </w:pPr>
      <w:r>
        <w:rPr>
          <w:rFonts w:hint="eastAsia" w:ascii="新宋体" w:hAnsi="新宋体" w:eastAsia="新宋体" w:cs="Courier New"/>
          <w:sz w:val="22"/>
          <w:szCs w:val="22"/>
        </w:rPr>
        <w:t>现附上截至</w:t>
      </w:r>
      <w:r>
        <w:rPr>
          <w:rFonts w:hint="eastAsia" w:ascii="新宋体" w:hAnsi="新宋体" w:eastAsia="新宋体" w:cs="Courier New"/>
          <w:sz w:val="22"/>
          <w:szCs w:val="22"/>
          <w:u w:val="single"/>
        </w:rPr>
        <w:t xml:space="preserve">    </w:t>
      </w:r>
      <w:r>
        <w:rPr>
          <w:rFonts w:hint="eastAsia" w:ascii="新宋体" w:hAnsi="新宋体" w:eastAsia="新宋体" w:cs="Courier New"/>
          <w:sz w:val="22"/>
          <w:szCs w:val="22"/>
        </w:rPr>
        <w:t>年</w:t>
      </w:r>
      <w:r>
        <w:rPr>
          <w:rFonts w:hint="eastAsia" w:ascii="新宋体" w:hAnsi="新宋体" w:eastAsia="新宋体" w:cs="Courier New"/>
          <w:sz w:val="22"/>
          <w:szCs w:val="22"/>
          <w:u w:val="single"/>
        </w:rPr>
        <w:t xml:space="preserve">   </w:t>
      </w:r>
      <w:r>
        <w:rPr>
          <w:rFonts w:hint="eastAsia" w:ascii="新宋体" w:hAnsi="新宋体" w:eastAsia="新宋体" w:cs="Courier New"/>
          <w:sz w:val="22"/>
          <w:szCs w:val="22"/>
        </w:rPr>
        <w:t>月</w:t>
      </w:r>
      <w:r>
        <w:rPr>
          <w:rFonts w:hint="eastAsia" w:ascii="新宋体" w:hAnsi="新宋体" w:eastAsia="新宋体" w:cs="Courier New"/>
          <w:sz w:val="22"/>
          <w:szCs w:val="22"/>
          <w:u w:val="single"/>
        </w:rPr>
        <w:t xml:space="preserve">   </w:t>
      </w:r>
      <w:r>
        <w:rPr>
          <w:rFonts w:hint="eastAsia" w:ascii="新宋体" w:hAnsi="新宋体" w:eastAsia="新宋体" w:cs="Courier New"/>
          <w:sz w:val="22"/>
          <w:szCs w:val="22"/>
        </w:rPr>
        <w:t>日</w:t>
      </w:r>
      <w:r>
        <w:rPr>
          <w:rFonts w:hint="eastAsia" w:ascii="新宋体" w:hAnsi="新宋体" w:eastAsia="新宋体" w:cs="Courier New"/>
          <w:sz w:val="22"/>
          <w:szCs w:val="22"/>
          <w:u w:val="single"/>
        </w:rPr>
        <w:t xml:space="preserve">   </w:t>
      </w:r>
      <w:r>
        <w:rPr>
          <w:rFonts w:hint="eastAsia" w:ascii="新宋体" w:hAnsi="新宋体" w:eastAsia="新宋体" w:cs="Courier New"/>
          <w:sz w:val="22"/>
          <w:szCs w:val="22"/>
        </w:rPr>
        <w:t xml:space="preserve">时我方通过“信用中国”网站（www.creditchina.gov.cn）获取的我方信用信息查询结果 </w:t>
      </w:r>
      <w:r>
        <w:rPr>
          <w:rFonts w:hint="eastAsia" w:ascii="新宋体" w:hAnsi="新宋体" w:eastAsia="新宋体" w:cs="Courier New"/>
          <w:sz w:val="22"/>
          <w:szCs w:val="22"/>
          <w:u w:val="single"/>
        </w:rPr>
        <w:t xml:space="preserve">（填写具体份数） </w:t>
      </w:r>
      <w:r>
        <w:rPr>
          <w:rFonts w:hint="eastAsia" w:ascii="新宋体" w:hAnsi="新宋体" w:eastAsia="新宋体" w:cs="Courier New"/>
          <w:sz w:val="22"/>
          <w:szCs w:val="22"/>
        </w:rPr>
        <w:t xml:space="preserve">份、通过中国政府采购网（www.ccgp.gov.cn）获取的我方信用信息查询结果 </w:t>
      </w:r>
      <w:r>
        <w:rPr>
          <w:rFonts w:hint="eastAsia" w:ascii="新宋体" w:hAnsi="新宋体" w:eastAsia="新宋体" w:cs="Courier New"/>
          <w:sz w:val="22"/>
          <w:szCs w:val="22"/>
          <w:u w:val="single"/>
        </w:rPr>
        <w:t>（填写具体份数）</w:t>
      </w:r>
      <w:r>
        <w:rPr>
          <w:rFonts w:hint="eastAsia" w:ascii="新宋体" w:hAnsi="新宋体" w:eastAsia="新宋体" w:cs="Courier New"/>
          <w:sz w:val="22"/>
          <w:szCs w:val="22"/>
        </w:rPr>
        <w:t xml:space="preserve"> 份，上述信用信息查询结果真实有效，否则我方负全部责任。</w:t>
      </w:r>
    </w:p>
    <w:p w14:paraId="7F8A9E70">
      <w:pPr>
        <w:spacing w:line="460" w:lineRule="exact"/>
        <w:ind w:firstLine="440" w:firstLineChars="200"/>
        <w:rPr>
          <w:rFonts w:hint="eastAsia" w:ascii="新宋体" w:hAnsi="新宋体" w:eastAsia="新宋体" w:cs="Courier New"/>
          <w:sz w:val="22"/>
          <w:szCs w:val="22"/>
        </w:rPr>
      </w:pPr>
    </w:p>
    <w:p w14:paraId="2BE54D60">
      <w:pPr>
        <w:spacing w:line="400" w:lineRule="exact"/>
        <w:ind w:left="221" w:hanging="221" w:hangingChars="100"/>
        <w:rPr>
          <w:rFonts w:hint="eastAsia" w:ascii="新宋体" w:hAnsi="新宋体" w:eastAsia="新宋体"/>
          <w:b/>
          <w:sz w:val="22"/>
          <w:szCs w:val="22"/>
        </w:rPr>
      </w:pPr>
      <w:r>
        <w:rPr>
          <w:rFonts w:hint="eastAsia" w:ascii="新宋体" w:hAnsi="新宋体" w:eastAsia="新宋体"/>
          <w:b/>
          <w:sz w:val="22"/>
          <w:szCs w:val="22"/>
        </w:rPr>
        <w:t>说明：</w:t>
      </w:r>
    </w:p>
    <w:p w14:paraId="73EC6283">
      <w:pPr>
        <w:spacing w:line="400" w:lineRule="exact"/>
        <w:ind w:left="221" w:hanging="221" w:hangingChars="100"/>
        <w:rPr>
          <w:rFonts w:hint="eastAsia" w:ascii="新宋体" w:hAnsi="新宋体" w:eastAsia="新宋体"/>
          <w:b/>
          <w:sz w:val="22"/>
          <w:szCs w:val="22"/>
        </w:rPr>
      </w:pPr>
      <w:r>
        <w:rPr>
          <w:rFonts w:ascii="新宋体" w:hAnsi="新宋体" w:eastAsia="新宋体"/>
          <w:b/>
          <w:sz w:val="22"/>
          <w:szCs w:val="22"/>
        </w:rPr>
        <w:t>1</w:t>
      </w:r>
      <w:r>
        <w:rPr>
          <w:rFonts w:hint="eastAsia" w:ascii="新宋体" w:hAnsi="新宋体" w:eastAsia="新宋体"/>
          <w:b/>
          <w:sz w:val="22"/>
          <w:szCs w:val="22"/>
        </w:rPr>
        <w:t>、供应商信用信息查询截止时点：采购公告发布之日至投标截止时间前。</w:t>
      </w:r>
    </w:p>
    <w:p w14:paraId="27831CEF">
      <w:pPr>
        <w:spacing w:line="400" w:lineRule="exact"/>
        <w:ind w:left="221" w:hanging="221" w:hangingChars="100"/>
        <w:rPr>
          <w:rFonts w:hint="eastAsia" w:ascii="新宋体" w:hAnsi="新宋体" w:eastAsia="新宋体"/>
          <w:b/>
          <w:sz w:val="22"/>
          <w:szCs w:val="22"/>
        </w:rPr>
      </w:pPr>
      <w:r>
        <w:rPr>
          <w:rFonts w:ascii="新宋体" w:hAnsi="新宋体" w:eastAsia="新宋体"/>
          <w:b/>
          <w:sz w:val="22"/>
          <w:szCs w:val="22"/>
        </w:rPr>
        <w:t>2</w:t>
      </w:r>
      <w:r>
        <w:rPr>
          <w:rFonts w:hint="eastAsia" w:ascii="新宋体" w:hAnsi="新宋体" w:eastAsia="新宋体"/>
          <w:b/>
          <w:sz w:val="22"/>
          <w:szCs w:val="22"/>
        </w:rPr>
        <w:t>、供应商信用信息查询记录和证据留存的具体方式：网页截图打印；</w:t>
      </w:r>
    </w:p>
    <w:p w14:paraId="4774F566">
      <w:pPr>
        <w:spacing w:line="400" w:lineRule="exact"/>
        <w:ind w:left="221" w:hanging="221" w:hangingChars="100"/>
        <w:rPr>
          <w:rFonts w:hint="eastAsia" w:ascii="新宋体" w:hAnsi="新宋体" w:eastAsia="新宋体"/>
          <w:b/>
          <w:sz w:val="22"/>
          <w:szCs w:val="22"/>
        </w:rPr>
      </w:pPr>
      <w:r>
        <w:rPr>
          <w:rFonts w:ascii="新宋体" w:hAnsi="新宋体" w:eastAsia="新宋体"/>
          <w:b/>
          <w:sz w:val="22"/>
          <w:szCs w:val="22"/>
        </w:rPr>
        <w:t>3</w:t>
      </w:r>
      <w:r>
        <w:rPr>
          <w:rFonts w:hint="eastAsia" w:ascii="新宋体" w:hAnsi="新宋体" w:eastAsia="新宋体"/>
          <w:b/>
          <w:sz w:val="22"/>
          <w:szCs w:val="22"/>
        </w:rPr>
        <w:t>、</w:t>
      </w:r>
      <w:r>
        <w:rPr>
          <w:rFonts w:ascii="新宋体" w:hAnsi="新宋体" w:eastAsia="新宋体"/>
          <w:b/>
          <w:bCs/>
          <w:sz w:val="22"/>
          <w:szCs w:val="22"/>
          <w:u w:val="single"/>
        </w:rPr>
        <w:t>▲</w:t>
      </w:r>
      <w:r>
        <w:rPr>
          <w:rFonts w:hint="eastAsia" w:ascii="新宋体" w:hAnsi="新宋体" w:eastAsia="新宋体"/>
          <w:b/>
          <w:sz w:val="22"/>
          <w:szCs w:val="22"/>
          <w:u w:val="single"/>
        </w:rPr>
        <w:t>信用信息的使用规则： 被“信用中国”网站列入失信被执行人、重大税收违法案件当事人名单，或被“中国政府采购网”列入政府采购严重违法失信行为记录名单，其投标无效。</w:t>
      </w:r>
    </w:p>
    <w:p w14:paraId="31B6B889">
      <w:pPr>
        <w:spacing w:line="400" w:lineRule="exact"/>
        <w:ind w:left="221" w:hanging="221" w:hangingChars="100"/>
        <w:rPr>
          <w:rFonts w:hint="eastAsia" w:ascii="新宋体" w:hAnsi="新宋体" w:eastAsia="新宋体"/>
          <w:b/>
          <w:sz w:val="22"/>
          <w:szCs w:val="22"/>
        </w:rPr>
      </w:pPr>
      <w:r>
        <w:rPr>
          <w:rFonts w:hint="eastAsia" w:ascii="新宋体" w:hAnsi="新宋体" w:eastAsia="新宋体"/>
          <w:b/>
          <w:sz w:val="22"/>
          <w:szCs w:val="22"/>
        </w:rPr>
        <w:t>4、查询内容为“信用中国”(</w:t>
      </w:r>
      <w:r>
        <w:fldChar w:fldCharType="begin"/>
      </w:r>
      <w:r>
        <w:instrText xml:space="preserve"> HYPERLINK "http://www.creditchina.gov.cn" </w:instrText>
      </w:r>
      <w:r>
        <w:fldChar w:fldCharType="separate"/>
      </w:r>
      <w:r>
        <w:rPr>
          <w:rFonts w:hint="eastAsia" w:ascii="新宋体" w:hAnsi="新宋体" w:eastAsia="新宋体"/>
          <w:b/>
          <w:sz w:val="22"/>
          <w:szCs w:val="22"/>
        </w:rPr>
        <w:t>www.creditchina.gov.cn</w:t>
      </w:r>
      <w:r>
        <w:rPr>
          <w:rFonts w:hint="eastAsia" w:ascii="新宋体" w:hAnsi="新宋体" w:eastAsia="新宋体"/>
          <w:b/>
          <w:sz w:val="22"/>
          <w:szCs w:val="22"/>
        </w:rPr>
        <w:fldChar w:fldCharType="end"/>
      </w:r>
      <w:r>
        <w:rPr>
          <w:rFonts w:hint="eastAsia" w:ascii="新宋体" w:hAnsi="新宋体" w:eastAsia="新宋体"/>
          <w:b/>
          <w:sz w:val="22"/>
          <w:szCs w:val="22"/>
        </w:rPr>
        <w:t>)中“</w:t>
      </w:r>
      <w:r>
        <w:rPr>
          <w:rFonts w:ascii="新宋体" w:hAnsi="新宋体" w:eastAsia="新宋体"/>
          <w:b/>
          <w:sz w:val="22"/>
          <w:szCs w:val="22"/>
        </w:rPr>
        <w:fldChar w:fldCharType="begin"/>
      </w:r>
      <w:r>
        <w:rPr>
          <w:rFonts w:ascii="新宋体" w:hAnsi="新宋体" w:eastAsia="新宋体"/>
          <w:b/>
          <w:sz w:val="22"/>
          <w:szCs w:val="22"/>
        </w:rPr>
        <w:instrText xml:space="preserve"> </w:instrText>
      </w:r>
      <w:r>
        <w:rPr>
          <w:rFonts w:hint="eastAsia" w:ascii="新宋体" w:hAnsi="新宋体" w:eastAsia="新宋体"/>
          <w:b/>
          <w:sz w:val="22"/>
          <w:szCs w:val="22"/>
        </w:rPr>
        <w:instrText xml:space="preserve">= 1 \* GB3</w:instrText>
      </w:r>
      <w:r>
        <w:rPr>
          <w:rFonts w:ascii="新宋体" w:hAnsi="新宋体" w:eastAsia="新宋体"/>
          <w:b/>
          <w:sz w:val="22"/>
          <w:szCs w:val="22"/>
        </w:rPr>
        <w:instrText xml:space="preserve"> </w:instrText>
      </w:r>
      <w:r>
        <w:rPr>
          <w:rFonts w:ascii="新宋体" w:hAnsi="新宋体" w:eastAsia="新宋体"/>
          <w:b/>
          <w:sz w:val="22"/>
          <w:szCs w:val="22"/>
        </w:rPr>
        <w:fldChar w:fldCharType="separate"/>
      </w:r>
      <w:r>
        <w:rPr>
          <w:rFonts w:hint="eastAsia" w:ascii="新宋体" w:hAnsi="新宋体" w:eastAsia="新宋体"/>
          <w:b/>
          <w:sz w:val="22"/>
          <w:szCs w:val="22"/>
        </w:rPr>
        <w:t>①</w:t>
      </w:r>
      <w:r>
        <w:rPr>
          <w:rFonts w:ascii="新宋体" w:hAnsi="新宋体" w:eastAsia="新宋体"/>
          <w:b/>
          <w:sz w:val="22"/>
          <w:szCs w:val="22"/>
        </w:rPr>
        <w:fldChar w:fldCharType="end"/>
      </w:r>
      <w:r>
        <w:rPr>
          <w:rFonts w:hint="eastAsia" w:ascii="新宋体" w:hAnsi="新宋体" w:eastAsia="新宋体"/>
          <w:b/>
          <w:sz w:val="22"/>
          <w:szCs w:val="22"/>
        </w:rPr>
        <w:t>失信被执行人查询</w:t>
      </w:r>
      <w:r>
        <w:rPr>
          <w:rFonts w:ascii="新宋体" w:hAnsi="新宋体" w:eastAsia="新宋体"/>
          <w:b/>
          <w:sz w:val="22"/>
          <w:szCs w:val="22"/>
        </w:rPr>
        <w:fldChar w:fldCharType="begin"/>
      </w:r>
      <w:r>
        <w:rPr>
          <w:rFonts w:ascii="新宋体" w:hAnsi="新宋体" w:eastAsia="新宋体"/>
          <w:b/>
          <w:sz w:val="22"/>
          <w:szCs w:val="22"/>
        </w:rPr>
        <w:instrText xml:space="preserve"> </w:instrText>
      </w:r>
      <w:r>
        <w:rPr>
          <w:rFonts w:hint="eastAsia" w:ascii="新宋体" w:hAnsi="新宋体" w:eastAsia="新宋体"/>
          <w:b/>
          <w:sz w:val="22"/>
          <w:szCs w:val="22"/>
        </w:rPr>
        <w:instrText xml:space="preserve">= 2 \* GB3</w:instrText>
      </w:r>
      <w:r>
        <w:rPr>
          <w:rFonts w:ascii="新宋体" w:hAnsi="新宋体" w:eastAsia="新宋体"/>
          <w:b/>
          <w:sz w:val="22"/>
          <w:szCs w:val="22"/>
        </w:rPr>
        <w:instrText xml:space="preserve"> </w:instrText>
      </w:r>
      <w:r>
        <w:rPr>
          <w:rFonts w:ascii="新宋体" w:hAnsi="新宋体" w:eastAsia="新宋体"/>
          <w:b/>
          <w:sz w:val="22"/>
          <w:szCs w:val="22"/>
        </w:rPr>
        <w:fldChar w:fldCharType="separate"/>
      </w:r>
      <w:r>
        <w:rPr>
          <w:rFonts w:hint="eastAsia" w:ascii="新宋体" w:hAnsi="新宋体" w:eastAsia="新宋体"/>
          <w:b/>
          <w:sz w:val="22"/>
          <w:szCs w:val="22"/>
        </w:rPr>
        <w:t>②</w:t>
      </w:r>
      <w:r>
        <w:rPr>
          <w:rFonts w:ascii="新宋体" w:hAnsi="新宋体" w:eastAsia="新宋体"/>
          <w:b/>
          <w:sz w:val="22"/>
          <w:szCs w:val="22"/>
        </w:rPr>
        <w:fldChar w:fldCharType="end"/>
      </w:r>
      <w:r>
        <w:rPr>
          <w:rFonts w:hint="eastAsia" w:ascii="新宋体" w:hAnsi="新宋体" w:eastAsia="新宋体"/>
          <w:b/>
          <w:sz w:val="22"/>
          <w:szCs w:val="22"/>
        </w:rPr>
        <w:t>重大税收违法案件当事人名单”，“中国政府采购网”（www.ccgp.gov.cn）中“政府采购严重违法失信行为记录名单”。</w:t>
      </w:r>
    </w:p>
    <w:p w14:paraId="32ABBE8A">
      <w:pPr>
        <w:spacing w:line="460" w:lineRule="exact"/>
        <w:rPr>
          <w:rFonts w:hint="eastAsia" w:ascii="新宋体" w:hAnsi="新宋体" w:eastAsia="新宋体" w:cs="Courier New"/>
          <w:sz w:val="22"/>
          <w:szCs w:val="22"/>
        </w:rPr>
      </w:pPr>
    </w:p>
    <w:p w14:paraId="61BBF12E">
      <w:pPr>
        <w:spacing w:line="460" w:lineRule="exact"/>
        <w:rPr>
          <w:rFonts w:hint="eastAsia" w:ascii="新宋体" w:hAnsi="新宋体" w:eastAsia="新宋体"/>
          <w:b/>
          <w:sz w:val="22"/>
          <w:szCs w:val="22"/>
        </w:rPr>
      </w:pPr>
      <w:r>
        <w:rPr>
          <w:rFonts w:ascii="新宋体" w:hAnsi="新宋体" w:eastAsia="新宋体"/>
          <w:b/>
          <w:bCs/>
          <w:sz w:val="22"/>
          <w:szCs w:val="22"/>
          <w:u w:val="single"/>
        </w:rPr>
        <w:t>▲</w:t>
      </w:r>
      <w:r>
        <w:rPr>
          <w:rFonts w:hint="eastAsia" w:ascii="新宋体" w:hAnsi="新宋体" w:eastAsia="新宋体"/>
          <w:b/>
          <w:bCs/>
          <w:sz w:val="22"/>
          <w:szCs w:val="22"/>
          <w:u w:val="single"/>
        </w:rPr>
        <w:t>供应商应同时提供在采购文件要求的时间内通过上述2个网站获取的信用信息查询结果，信用信息查询结果应为从上述2个网站获取的查询结果原始页面的打印件或完整截图，否则投标无效。</w:t>
      </w:r>
    </w:p>
    <w:p w14:paraId="3DC5EE89">
      <w:pPr>
        <w:tabs>
          <w:tab w:val="left" w:pos="0"/>
          <w:tab w:val="left" w:pos="600"/>
        </w:tabs>
        <w:spacing w:line="400" w:lineRule="exact"/>
        <w:rPr>
          <w:rFonts w:hint="eastAsia" w:ascii="新宋体" w:hAnsi="新宋体" w:eastAsia="新宋体"/>
          <w:b/>
          <w:sz w:val="22"/>
          <w:szCs w:val="22"/>
        </w:rPr>
      </w:pPr>
    </w:p>
    <w:p w14:paraId="4D09983D">
      <w:pPr>
        <w:tabs>
          <w:tab w:val="left" w:pos="0"/>
          <w:tab w:val="left" w:pos="600"/>
        </w:tabs>
        <w:spacing w:line="400" w:lineRule="exact"/>
        <w:rPr>
          <w:rFonts w:hint="eastAsia" w:ascii="新宋体" w:hAnsi="新宋体" w:eastAsia="新宋体"/>
          <w:b/>
          <w:sz w:val="22"/>
          <w:szCs w:val="22"/>
        </w:rPr>
      </w:pPr>
      <w:r>
        <w:rPr>
          <w:rFonts w:ascii="新宋体" w:hAnsi="新宋体" w:eastAsia="新宋体"/>
          <w:b/>
          <w:sz w:val="22"/>
          <w:szCs w:val="22"/>
        </w:rPr>
        <w:t xml:space="preserve"> </w:t>
      </w:r>
    </w:p>
    <w:p w14:paraId="5FCD154C">
      <w:pPr>
        <w:tabs>
          <w:tab w:val="left" w:pos="840"/>
        </w:tabs>
        <w:adjustRightInd w:val="0"/>
        <w:snapToGrid w:val="0"/>
        <w:spacing w:line="360" w:lineRule="auto"/>
        <w:ind w:left="420" w:leftChars="200" w:firstLine="330" w:firstLineChars="150"/>
        <w:rPr>
          <w:rFonts w:hint="eastAsia" w:ascii="新宋体" w:hAnsi="新宋体" w:eastAsia="新宋体"/>
          <w:sz w:val="22"/>
          <w:szCs w:val="22"/>
        </w:rPr>
      </w:pPr>
      <w:r>
        <w:rPr>
          <w:rFonts w:hint="eastAsia" w:ascii="新宋体" w:hAnsi="新宋体" w:eastAsia="新宋体" w:cs="Courier New"/>
          <w:bCs/>
          <w:sz w:val="22"/>
          <w:szCs w:val="22"/>
        </w:rPr>
        <w:t>供应商</w:t>
      </w:r>
      <w:r>
        <w:rPr>
          <w:rFonts w:hint="eastAsia" w:ascii="新宋体" w:hAnsi="新宋体" w:eastAsia="新宋体"/>
          <w:sz w:val="22"/>
          <w:szCs w:val="22"/>
        </w:rPr>
        <w:t>全称（盖章）：</w:t>
      </w:r>
    </w:p>
    <w:p w14:paraId="634AB0C0">
      <w:pPr>
        <w:tabs>
          <w:tab w:val="left" w:pos="840"/>
        </w:tabs>
        <w:adjustRightInd w:val="0"/>
        <w:snapToGrid w:val="0"/>
        <w:spacing w:line="360" w:lineRule="auto"/>
        <w:ind w:left="420" w:leftChars="200" w:firstLine="330" w:firstLineChars="150"/>
        <w:rPr>
          <w:rFonts w:hint="eastAsia" w:ascii="新宋体" w:hAnsi="新宋体" w:eastAsia="新宋体"/>
          <w:sz w:val="22"/>
          <w:szCs w:val="22"/>
        </w:rPr>
      </w:pPr>
      <w:r>
        <w:rPr>
          <w:rFonts w:hint="eastAsia" w:ascii="新宋体" w:hAnsi="新宋体" w:eastAsia="新宋体"/>
          <w:sz w:val="22"/>
          <w:szCs w:val="22"/>
        </w:rPr>
        <w:t>法定代表人（或单位负责人）或授权代表（签字）：</w:t>
      </w:r>
    </w:p>
    <w:p w14:paraId="14DC7C4F">
      <w:pPr>
        <w:tabs>
          <w:tab w:val="left" w:pos="840"/>
        </w:tabs>
        <w:adjustRightInd w:val="0"/>
        <w:snapToGrid w:val="0"/>
        <w:spacing w:line="360" w:lineRule="auto"/>
        <w:ind w:left="420" w:leftChars="200" w:firstLine="330" w:firstLineChars="150"/>
        <w:rPr>
          <w:rFonts w:hint="eastAsia" w:ascii="新宋体" w:hAnsi="新宋体" w:eastAsia="新宋体"/>
          <w:sz w:val="22"/>
          <w:szCs w:val="22"/>
        </w:rPr>
      </w:pPr>
      <w:r>
        <w:rPr>
          <w:rFonts w:hint="eastAsia" w:ascii="新宋体" w:hAnsi="新宋体" w:eastAsia="新宋体"/>
          <w:sz w:val="22"/>
          <w:szCs w:val="22"/>
        </w:rPr>
        <w:t>日   期：  年  月  日</w:t>
      </w:r>
    </w:p>
    <w:p w14:paraId="4608F391">
      <w:pPr>
        <w:pStyle w:val="6"/>
        <w:jc w:val="center"/>
        <w:rPr>
          <w:rFonts w:hint="eastAsia" w:ascii="宋体" w:hAnsi="宋体" w:eastAsia="宋体"/>
          <w:color w:val="000000"/>
          <w:sz w:val="24"/>
          <w:szCs w:val="24"/>
        </w:rPr>
      </w:pPr>
      <w:r>
        <w:rPr>
          <w:rFonts w:hint="eastAsia" w:ascii="宋体" w:hAnsi="宋体" w:eastAsia="宋体"/>
          <w:color w:val="000000"/>
          <w:sz w:val="24"/>
          <w:szCs w:val="24"/>
        </w:rPr>
        <w:br w:type="page"/>
      </w:r>
      <w:bookmarkStart w:id="106" w:name="_Toc13593"/>
      <w:r>
        <w:rPr>
          <w:rFonts w:hint="eastAsia" w:ascii="宋体" w:hAnsi="宋体" w:eastAsia="宋体"/>
          <w:color w:val="000000"/>
          <w:sz w:val="24"/>
          <w:szCs w:val="24"/>
        </w:rPr>
        <w:t>附件2-1 法定代表人身份证明</w:t>
      </w:r>
      <w:bookmarkEnd w:id="106"/>
    </w:p>
    <w:p w14:paraId="36823410">
      <w:pPr>
        <w:spacing w:line="440" w:lineRule="exact"/>
        <w:rPr>
          <w:rFonts w:ascii="Arial" w:hAnsi="Arial" w:cs="Arial"/>
          <w:color w:val="000000"/>
          <w:szCs w:val="21"/>
        </w:rPr>
      </w:pPr>
    </w:p>
    <w:p w14:paraId="17D4266C">
      <w:pPr>
        <w:spacing w:line="440" w:lineRule="exact"/>
        <w:rPr>
          <w:rFonts w:ascii="Arial" w:hAnsi="Arial" w:cs="Arial"/>
          <w:color w:val="000000"/>
          <w:szCs w:val="21"/>
        </w:rPr>
      </w:pPr>
      <w:r>
        <w:rPr>
          <w:rFonts w:ascii="Arial" w:hAnsi="宋体" w:cs="Arial"/>
          <w:color w:val="000000"/>
          <w:szCs w:val="21"/>
        </w:rPr>
        <w:t>投标供应商名称：</w:t>
      </w:r>
      <w:r>
        <w:rPr>
          <w:rFonts w:ascii="Arial" w:hAnsi="Arial" w:cs="Arial"/>
          <w:color w:val="000000"/>
          <w:szCs w:val="21"/>
          <w:u w:val="single"/>
        </w:rPr>
        <w:t xml:space="preserve">                            </w:t>
      </w:r>
      <w:r>
        <w:rPr>
          <w:rFonts w:ascii="Arial" w:hAnsi="Arial" w:cs="Arial"/>
          <w:color w:val="000000"/>
          <w:szCs w:val="21"/>
        </w:rPr>
        <w:t xml:space="preserve"> </w:t>
      </w:r>
    </w:p>
    <w:p w14:paraId="240FFFE0">
      <w:pPr>
        <w:spacing w:line="440" w:lineRule="exact"/>
        <w:rPr>
          <w:rFonts w:ascii="Arial" w:hAnsi="Arial" w:cs="Arial"/>
          <w:color w:val="000000"/>
          <w:szCs w:val="21"/>
        </w:rPr>
      </w:pPr>
      <w:r>
        <w:rPr>
          <w:rFonts w:ascii="Arial" w:hAnsi="宋体" w:cs="Arial"/>
          <w:color w:val="000000"/>
          <w:szCs w:val="21"/>
        </w:rPr>
        <w:t>单位性质：</w:t>
      </w:r>
      <w:r>
        <w:rPr>
          <w:rFonts w:ascii="Arial" w:hAnsi="Arial" w:cs="Arial"/>
          <w:color w:val="000000"/>
          <w:szCs w:val="21"/>
          <w:u w:val="single"/>
        </w:rPr>
        <w:t xml:space="preserve">                               </w:t>
      </w:r>
      <w:r>
        <w:rPr>
          <w:rFonts w:ascii="Arial" w:hAnsi="Arial" w:cs="Arial"/>
          <w:color w:val="000000"/>
          <w:szCs w:val="21"/>
        </w:rPr>
        <w:t xml:space="preserve"> </w:t>
      </w:r>
    </w:p>
    <w:p w14:paraId="46BA6E52">
      <w:pPr>
        <w:spacing w:line="440" w:lineRule="exact"/>
        <w:rPr>
          <w:rFonts w:ascii="Arial" w:hAnsi="Arial" w:cs="Arial"/>
          <w:color w:val="000000"/>
          <w:szCs w:val="21"/>
        </w:rPr>
      </w:pPr>
      <w:r>
        <w:rPr>
          <w:rFonts w:ascii="Arial" w:hAnsi="宋体" w:cs="Arial"/>
          <w:color w:val="000000"/>
          <w:szCs w:val="21"/>
        </w:rPr>
        <w:t>地址：</w:t>
      </w:r>
      <w:r>
        <w:rPr>
          <w:rFonts w:ascii="Arial" w:hAnsi="Arial" w:cs="Arial"/>
          <w:color w:val="000000"/>
          <w:szCs w:val="21"/>
          <w:u w:val="single"/>
        </w:rPr>
        <w:t xml:space="preserve">                                   </w:t>
      </w:r>
    </w:p>
    <w:p w14:paraId="6A65E052">
      <w:pPr>
        <w:spacing w:line="440" w:lineRule="exact"/>
        <w:rPr>
          <w:rFonts w:ascii="Arial" w:hAnsi="Arial" w:cs="Arial"/>
          <w:color w:val="000000"/>
          <w:szCs w:val="21"/>
        </w:rPr>
      </w:pPr>
      <w:r>
        <w:rPr>
          <w:rFonts w:ascii="Arial" w:hAnsi="宋体" w:cs="Arial"/>
          <w:color w:val="000000"/>
          <w:szCs w:val="21"/>
        </w:rPr>
        <w:t>成立时间：</w:t>
      </w:r>
      <w:r>
        <w:rPr>
          <w:rFonts w:ascii="Arial" w:hAnsi="Arial" w:cs="Arial"/>
          <w:color w:val="000000"/>
          <w:szCs w:val="21"/>
          <w:u w:val="single"/>
        </w:rPr>
        <w:t xml:space="preserve">         </w:t>
      </w:r>
      <w:r>
        <w:rPr>
          <w:rFonts w:ascii="Arial" w:hAnsi="Arial" w:cs="Arial"/>
          <w:color w:val="000000"/>
          <w:szCs w:val="21"/>
        </w:rPr>
        <w:t xml:space="preserve"> </w:t>
      </w:r>
      <w:r>
        <w:rPr>
          <w:rFonts w:ascii="Arial" w:hAnsi="宋体" w:cs="Arial"/>
          <w:color w:val="000000"/>
          <w:szCs w:val="21"/>
        </w:rPr>
        <w:t>年</w:t>
      </w:r>
      <w:r>
        <w:rPr>
          <w:rFonts w:ascii="Arial" w:hAnsi="Arial" w:cs="Arial"/>
          <w:color w:val="000000"/>
          <w:szCs w:val="21"/>
          <w:u w:val="single"/>
        </w:rPr>
        <w:t xml:space="preserve">       </w:t>
      </w:r>
      <w:r>
        <w:rPr>
          <w:rFonts w:ascii="Arial" w:hAnsi="Arial" w:cs="Arial"/>
          <w:color w:val="000000"/>
          <w:szCs w:val="21"/>
        </w:rPr>
        <w:t xml:space="preserve"> </w:t>
      </w:r>
      <w:r>
        <w:rPr>
          <w:rFonts w:ascii="Arial" w:hAnsi="宋体" w:cs="Arial"/>
          <w:color w:val="000000"/>
          <w:szCs w:val="21"/>
        </w:rPr>
        <w:t>月</w:t>
      </w:r>
      <w:r>
        <w:rPr>
          <w:rFonts w:ascii="Arial" w:hAnsi="Arial" w:cs="Arial"/>
          <w:color w:val="000000"/>
          <w:szCs w:val="21"/>
          <w:u w:val="single"/>
        </w:rPr>
        <w:t xml:space="preserve">       </w:t>
      </w:r>
      <w:r>
        <w:rPr>
          <w:rFonts w:ascii="Arial" w:hAnsi="Arial" w:cs="Arial"/>
          <w:color w:val="000000"/>
          <w:szCs w:val="21"/>
        </w:rPr>
        <w:t xml:space="preserve"> </w:t>
      </w:r>
      <w:r>
        <w:rPr>
          <w:rFonts w:ascii="Arial" w:hAnsi="宋体" w:cs="Arial"/>
          <w:color w:val="000000"/>
          <w:szCs w:val="21"/>
        </w:rPr>
        <w:t>日</w:t>
      </w:r>
    </w:p>
    <w:p w14:paraId="01C9CB8F">
      <w:pPr>
        <w:spacing w:line="440" w:lineRule="exact"/>
        <w:rPr>
          <w:rFonts w:ascii="Arial" w:hAnsi="Arial" w:cs="Arial"/>
          <w:color w:val="000000"/>
          <w:szCs w:val="21"/>
        </w:rPr>
      </w:pPr>
      <w:r>
        <w:rPr>
          <w:rFonts w:ascii="Arial" w:hAnsi="宋体" w:cs="Arial"/>
          <w:color w:val="000000"/>
          <w:szCs w:val="21"/>
        </w:rPr>
        <w:t>经营期限：</w:t>
      </w:r>
      <w:r>
        <w:rPr>
          <w:rFonts w:ascii="Arial" w:hAnsi="Arial" w:cs="Arial"/>
          <w:color w:val="000000"/>
          <w:szCs w:val="21"/>
          <w:u w:val="single"/>
        </w:rPr>
        <w:t xml:space="preserve">                               </w:t>
      </w:r>
    </w:p>
    <w:p w14:paraId="6B62015D">
      <w:pPr>
        <w:spacing w:line="440" w:lineRule="exact"/>
        <w:rPr>
          <w:rFonts w:ascii="Arial" w:hAnsi="Arial" w:cs="Arial"/>
          <w:color w:val="000000"/>
          <w:szCs w:val="21"/>
        </w:rPr>
      </w:pPr>
      <w:r>
        <w:rPr>
          <w:rFonts w:ascii="Arial" w:hAnsi="宋体" w:cs="Arial"/>
          <w:color w:val="000000"/>
          <w:szCs w:val="21"/>
        </w:rPr>
        <w:t>姓名：</w:t>
      </w:r>
      <w:r>
        <w:rPr>
          <w:rFonts w:ascii="Arial" w:hAnsi="Arial" w:cs="Arial"/>
          <w:color w:val="000000"/>
          <w:szCs w:val="21"/>
          <w:u w:val="single"/>
        </w:rPr>
        <w:t xml:space="preserve">        </w:t>
      </w:r>
      <w:r>
        <w:rPr>
          <w:rFonts w:ascii="Arial" w:hAnsi="Arial" w:cs="Arial"/>
          <w:color w:val="000000"/>
          <w:szCs w:val="21"/>
        </w:rPr>
        <w:t xml:space="preserve"> </w:t>
      </w:r>
      <w:r>
        <w:rPr>
          <w:rFonts w:ascii="Arial" w:hAnsi="宋体" w:cs="Arial"/>
          <w:color w:val="000000"/>
          <w:szCs w:val="21"/>
        </w:rPr>
        <w:t>性别：</w:t>
      </w:r>
      <w:r>
        <w:rPr>
          <w:rFonts w:ascii="Arial" w:hAnsi="Arial" w:cs="Arial"/>
          <w:color w:val="000000"/>
          <w:szCs w:val="21"/>
          <w:u w:val="single"/>
        </w:rPr>
        <w:t xml:space="preserve">         </w:t>
      </w:r>
      <w:r>
        <w:rPr>
          <w:rFonts w:ascii="Arial" w:hAnsi="Arial" w:cs="Arial"/>
          <w:color w:val="000000"/>
          <w:szCs w:val="21"/>
        </w:rPr>
        <w:t xml:space="preserve"> </w:t>
      </w:r>
      <w:r>
        <w:rPr>
          <w:rFonts w:ascii="Arial" w:hAnsi="宋体" w:cs="Arial"/>
          <w:color w:val="000000"/>
          <w:szCs w:val="21"/>
        </w:rPr>
        <w:t>年龄：</w:t>
      </w:r>
      <w:r>
        <w:rPr>
          <w:rFonts w:ascii="Arial" w:hAnsi="Arial" w:cs="Arial"/>
          <w:color w:val="000000"/>
          <w:szCs w:val="21"/>
          <w:u w:val="single"/>
        </w:rPr>
        <w:t xml:space="preserve">        </w:t>
      </w:r>
      <w:r>
        <w:rPr>
          <w:rFonts w:ascii="Arial" w:hAnsi="宋体" w:cs="Arial"/>
          <w:color w:val="000000"/>
          <w:szCs w:val="21"/>
        </w:rPr>
        <w:t>职务：</w:t>
      </w:r>
      <w:r>
        <w:rPr>
          <w:rFonts w:ascii="Arial" w:hAnsi="Arial" w:cs="Arial"/>
          <w:color w:val="000000"/>
          <w:szCs w:val="21"/>
          <w:u w:val="single"/>
        </w:rPr>
        <w:t xml:space="preserve">        </w:t>
      </w:r>
    </w:p>
    <w:p w14:paraId="18E438AC">
      <w:pPr>
        <w:spacing w:line="440" w:lineRule="exact"/>
        <w:rPr>
          <w:rFonts w:ascii="Arial" w:hAnsi="Arial" w:cs="Arial"/>
          <w:color w:val="000000"/>
          <w:szCs w:val="21"/>
        </w:rPr>
      </w:pPr>
      <w:r>
        <w:rPr>
          <w:rFonts w:ascii="Arial" w:hAnsi="宋体" w:cs="Arial"/>
          <w:color w:val="000000"/>
          <w:szCs w:val="21"/>
        </w:rPr>
        <w:t>系</w:t>
      </w:r>
      <w:r>
        <w:rPr>
          <w:rFonts w:ascii="Arial" w:hAnsi="Arial" w:cs="Arial"/>
          <w:color w:val="000000"/>
          <w:szCs w:val="21"/>
          <w:u w:val="single"/>
        </w:rPr>
        <w:t xml:space="preserve">                             </w:t>
      </w:r>
      <w:r>
        <w:rPr>
          <w:rFonts w:ascii="Arial" w:hAnsi="Arial" w:cs="Arial"/>
          <w:color w:val="000000"/>
          <w:szCs w:val="21"/>
        </w:rPr>
        <w:t xml:space="preserve"> </w:t>
      </w:r>
      <w:r>
        <w:rPr>
          <w:rFonts w:ascii="Arial" w:hAnsi="宋体" w:cs="Arial"/>
          <w:color w:val="000000"/>
          <w:szCs w:val="21"/>
        </w:rPr>
        <w:t>（投标供应商名称）的法定代表人。</w:t>
      </w:r>
    </w:p>
    <w:p w14:paraId="7A126927">
      <w:pPr>
        <w:spacing w:line="440" w:lineRule="exact"/>
        <w:ind w:firstLine="420" w:firstLineChars="200"/>
        <w:rPr>
          <w:rFonts w:ascii="Arial" w:hAnsi="Arial" w:cs="Arial"/>
          <w:color w:val="000000"/>
          <w:szCs w:val="21"/>
        </w:rPr>
      </w:pPr>
      <w:r>
        <w:rPr>
          <w:rFonts w:ascii="Arial" w:hAnsi="宋体" w:cs="Arial"/>
          <w:color w:val="000000"/>
          <w:szCs w:val="21"/>
        </w:rPr>
        <w:t>特此证明。</w:t>
      </w:r>
    </w:p>
    <w:p w14:paraId="65CF1357">
      <w:pPr>
        <w:tabs>
          <w:tab w:val="left" w:pos="684"/>
        </w:tabs>
        <w:spacing w:line="440" w:lineRule="exact"/>
        <w:rPr>
          <w:rFonts w:ascii="Arial" w:hAnsi="Arial" w:cs="Arial"/>
          <w:color w:val="000000"/>
          <w:szCs w:val="21"/>
        </w:rPr>
      </w:pPr>
      <w:r>
        <w:rPr>
          <w:rFonts w:hint="eastAsia" w:ascii="Arial" w:hAnsi="Arial" w:cs="Arial"/>
          <w:color w:val="000000"/>
          <w:szCs w:val="21"/>
        </w:rPr>
        <w:tab/>
      </w:r>
    </w:p>
    <w:p w14:paraId="4912A3AE">
      <w:pPr>
        <w:tabs>
          <w:tab w:val="left" w:pos="684"/>
        </w:tabs>
        <w:spacing w:line="440" w:lineRule="exact"/>
        <w:rPr>
          <w:rFonts w:ascii="Arial" w:hAnsi="Arial" w:cs="Arial"/>
          <w:color w:val="000000"/>
          <w:szCs w:val="21"/>
        </w:rPr>
      </w:pPr>
    </w:p>
    <w:p w14:paraId="3BDE099B">
      <w:pPr>
        <w:spacing w:line="440" w:lineRule="exact"/>
        <w:rPr>
          <w:rFonts w:ascii="Arial" w:hAnsi="Arial" w:cs="Arial"/>
          <w:color w:val="000000"/>
          <w:szCs w:val="21"/>
        </w:rPr>
      </w:pPr>
      <w:r>
        <w:rPr>
          <w:rFonts w:cs="Arial"/>
          <w:color w:val="000000"/>
        </w:rPr>
        <mc:AlternateContent>
          <mc:Choice Requires="wps">
            <w:drawing>
              <wp:anchor distT="45720" distB="45720" distL="114300" distR="114300" simplePos="0" relativeHeight="251659264" behindDoc="0" locked="0" layoutInCell="1" allowOverlap="1">
                <wp:simplePos x="0" y="0"/>
                <wp:positionH relativeFrom="column">
                  <wp:posOffset>-136525</wp:posOffset>
                </wp:positionH>
                <wp:positionV relativeFrom="paragraph">
                  <wp:posOffset>137160</wp:posOffset>
                </wp:positionV>
                <wp:extent cx="5227955" cy="2012950"/>
                <wp:effectExtent l="4445" t="4445" r="6350" b="20955"/>
                <wp:wrapSquare wrapText="bothSides"/>
                <wp:docPr id="1" name="文本框 1"/>
                <wp:cNvGraphicFramePr/>
                <a:graphic xmlns:a="http://schemas.openxmlformats.org/drawingml/2006/main">
                  <a:graphicData uri="http://schemas.microsoft.com/office/word/2010/wordprocessingShape">
                    <wps:wsp>
                      <wps:cNvSpPr txBox="1"/>
                      <wps:spPr>
                        <a:xfrm>
                          <a:off x="0" y="0"/>
                          <a:ext cx="5227955" cy="2012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ED2382">
                            <w:pPr>
                              <w:spacing w:line="360" w:lineRule="auto"/>
                              <w:rPr>
                                <w:rFonts w:hint="eastAsia" w:ascii="Arial" w:hAnsi="宋体" w:cs="Arial"/>
                                <w:szCs w:val="21"/>
                              </w:rPr>
                            </w:pPr>
                          </w:p>
                          <w:p w14:paraId="689D8239">
                            <w:pPr>
                              <w:spacing w:line="360" w:lineRule="auto"/>
                              <w:rPr>
                                <w:rFonts w:hint="eastAsia" w:ascii="Arial" w:hAnsi="宋体" w:cs="Arial"/>
                                <w:szCs w:val="21"/>
                              </w:rPr>
                            </w:pPr>
                          </w:p>
                          <w:p w14:paraId="71F152B9">
                            <w:pPr>
                              <w:spacing w:line="360" w:lineRule="auto"/>
                              <w:jc w:val="center"/>
                              <w:rPr>
                                <w:rFonts w:ascii="Arial" w:hAnsi="Arial" w:cs="Arial"/>
                                <w:szCs w:val="21"/>
                              </w:rPr>
                            </w:pPr>
                            <w:r>
                              <w:rPr>
                                <w:rFonts w:ascii="Arial" w:hAnsi="宋体" w:cs="Arial"/>
                                <w:szCs w:val="21"/>
                              </w:rPr>
                              <w:t>身份证复印件粘贴处</w:t>
                            </w:r>
                          </w:p>
                          <w:p w14:paraId="307CDCC6">
                            <w:pPr>
                              <w:jc w:val="center"/>
                            </w:pPr>
                            <w:r>
                              <w:rPr>
                                <w:rFonts w:ascii="Arial" w:hAnsi="宋体" w:cs="Arial"/>
                                <w:szCs w:val="21"/>
                              </w:rPr>
                              <w:t>（身份证需双面复印）</w:t>
                            </w:r>
                          </w:p>
                        </w:txbxContent>
                      </wps:txbx>
                      <wps:bodyPr upright="1"/>
                    </wps:wsp>
                  </a:graphicData>
                </a:graphic>
              </wp:anchor>
            </w:drawing>
          </mc:Choice>
          <mc:Fallback>
            <w:pict>
              <v:shape id="_x0000_s1026" o:spid="_x0000_s1026" o:spt="202" type="#_x0000_t202" style="position:absolute;left:0pt;margin-left:-10.75pt;margin-top:10.8pt;height:158.5pt;width:411.65pt;mso-wrap-distance-bottom:3.6pt;mso-wrap-distance-left:9pt;mso-wrap-distance-right:9pt;mso-wrap-distance-top:3.6pt;z-index:251659264;mso-width-relative:page;mso-height-relative:page;" fillcolor="#FFFFFF" filled="t" stroked="t" coordsize="21600,21600" o:gfxdata="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XqUXZAAAACgEAAA8AAAAAAAAAAQAgAAAA&#10;IgAAAGRycy9kb3ducmV2LnhtbFBLAQIUABQAAAAIAIdO4kC/jdKWCgIAADcEAAAOAAAAAAAAAAEA&#10;IAAAACgBAABkcnMvZTJvRG9jLnhtbFBLBQYAAAAABgAGAFkBAACkBQAAAAA=&#10;">
                <v:fill on="t" focussize="0,0"/>
                <v:stroke color="#000000" joinstyle="miter"/>
                <v:imagedata o:title=""/>
                <o:lock v:ext="edit" aspectratio="f"/>
                <v:textbox>
                  <w:txbxContent>
                    <w:p w14:paraId="01ED2382">
                      <w:pPr>
                        <w:spacing w:line="360" w:lineRule="auto"/>
                        <w:rPr>
                          <w:rFonts w:hint="eastAsia" w:ascii="Arial" w:hAnsi="宋体" w:cs="Arial"/>
                          <w:szCs w:val="21"/>
                        </w:rPr>
                      </w:pPr>
                    </w:p>
                    <w:p w14:paraId="689D8239">
                      <w:pPr>
                        <w:spacing w:line="360" w:lineRule="auto"/>
                        <w:rPr>
                          <w:rFonts w:hint="eastAsia" w:ascii="Arial" w:hAnsi="宋体" w:cs="Arial"/>
                          <w:szCs w:val="21"/>
                        </w:rPr>
                      </w:pPr>
                    </w:p>
                    <w:p w14:paraId="71F152B9">
                      <w:pPr>
                        <w:spacing w:line="360" w:lineRule="auto"/>
                        <w:jc w:val="center"/>
                        <w:rPr>
                          <w:rFonts w:ascii="Arial" w:hAnsi="Arial" w:cs="Arial"/>
                          <w:szCs w:val="21"/>
                        </w:rPr>
                      </w:pPr>
                      <w:r>
                        <w:rPr>
                          <w:rFonts w:ascii="Arial" w:hAnsi="宋体" w:cs="Arial"/>
                          <w:szCs w:val="21"/>
                        </w:rPr>
                        <w:t>身份证复印件粘贴处</w:t>
                      </w:r>
                    </w:p>
                    <w:p w14:paraId="307CDCC6">
                      <w:pPr>
                        <w:jc w:val="center"/>
                      </w:pPr>
                      <w:r>
                        <w:rPr>
                          <w:rFonts w:ascii="Arial" w:hAnsi="宋体" w:cs="Arial"/>
                          <w:szCs w:val="21"/>
                        </w:rPr>
                        <w:t>（身份证需双面复印）</w:t>
                      </w:r>
                    </w:p>
                  </w:txbxContent>
                </v:textbox>
                <w10:wrap type="square"/>
              </v:shape>
            </w:pict>
          </mc:Fallback>
        </mc:AlternateContent>
      </w:r>
    </w:p>
    <w:p w14:paraId="5281A0ED">
      <w:pPr>
        <w:spacing w:line="440" w:lineRule="exact"/>
        <w:jc w:val="right"/>
        <w:rPr>
          <w:rFonts w:ascii="Arial" w:hAnsi="Arial" w:cs="Arial"/>
          <w:color w:val="000000"/>
          <w:szCs w:val="21"/>
        </w:rPr>
      </w:pPr>
      <w:r>
        <w:rPr>
          <w:rFonts w:ascii="Arial" w:hAnsi="Arial" w:cs="Arial"/>
          <w:color w:val="000000"/>
          <w:szCs w:val="21"/>
        </w:rPr>
        <w:t xml:space="preserve">   </w:t>
      </w:r>
      <w:r>
        <w:rPr>
          <w:rFonts w:ascii="Arial" w:hAnsi="宋体" w:cs="Arial"/>
          <w:color w:val="000000"/>
          <w:szCs w:val="21"/>
        </w:rPr>
        <w:t>投标供应商：</w:t>
      </w:r>
      <w:r>
        <w:rPr>
          <w:rFonts w:ascii="Arial" w:hAnsi="Arial" w:cs="Arial"/>
          <w:color w:val="000000"/>
          <w:szCs w:val="21"/>
          <w:u w:val="single"/>
        </w:rPr>
        <w:t xml:space="preserve">                 </w:t>
      </w:r>
      <w:r>
        <w:rPr>
          <w:rFonts w:ascii="Arial" w:hAnsi="宋体" w:cs="Arial"/>
          <w:color w:val="000000"/>
          <w:szCs w:val="21"/>
        </w:rPr>
        <w:t>（盖单位章）</w:t>
      </w:r>
    </w:p>
    <w:p w14:paraId="1F495B68">
      <w:pPr>
        <w:spacing w:line="440" w:lineRule="exact"/>
        <w:rPr>
          <w:rFonts w:ascii="Arial" w:hAnsi="Arial" w:cs="Arial"/>
          <w:b/>
          <w:color w:val="000000"/>
          <w:sz w:val="28"/>
        </w:rPr>
      </w:pPr>
      <w:r>
        <w:rPr>
          <w:color w:val="000000"/>
        </w:rPr>
        <w:t xml:space="preserve">                                 </w:t>
      </w:r>
      <w:r>
        <w:rPr>
          <w:rFonts w:hint="eastAsia"/>
          <w:color w:val="000000"/>
        </w:rPr>
        <w:t xml:space="preserve">                </w:t>
      </w:r>
      <w:r>
        <w:rPr>
          <w:color w:val="000000"/>
          <w:u w:val="single"/>
        </w:rPr>
        <w:t xml:space="preserve">       </w:t>
      </w:r>
      <w:r>
        <w:rPr>
          <w:rFonts w:hAnsi="宋体"/>
          <w:color w:val="000000"/>
        </w:rPr>
        <w:t>年</w:t>
      </w:r>
      <w:r>
        <w:rPr>
          <w:color w:val="000000"/>
          <w:u w:val="single"/>
        </w:rPr>
        <w:t xml:space="preserve">       </w:t>
      </w:r>
      <w:r>
        <w:rPr>
          <w:rFonts w:hAnsi="宋体"/>
          <w:color w:val="000000"/>
        </w:rPr>
        <w:t>月</w:t>
      </w:r>
      <w:r>
        <w:rPr>
          <w:color w:val="000000"/>
          <w:u w:val="single"/>
        </w:rPr>
        <w:t xml:space="preserve">       </w:t>
      </w:r>
      <w:r>
        <w:rPr>
          <w:rFonts w:hAnsi="宋体"/>
          <w:color w:val="000000"/>
        </w:rPr>
        <w:t>日</w:t>
      </w:r>
      <w:r>
        <w:rPr>
          <w:color w:val="000000"/>
        </w:rPr>
        <w:t xml:space="preserve">  </w:t>
      </w:r>
    </w:p>
    <w:p w14:paraId="25C56F9E">
      <w:pPr>
        <w:ind w:firstLine="516"/>
        <w:rPr>
          <w:color w:val="000000"/>
        </w:rPr>
      </w:pPr>
      <w:r>
        <w:rPr>
          <w:color w:val="000000"/>
        </w:rPr>
        <w:br w:type="page"/>
      </w:r>
    </w:p>
    <w:p w14:paraId="1E70A398">
      <w:pPr>
        <w:pStyle w:val="6"/>
        <w:jc w:val="center"/>
        <w:rPr>
          <w:rFonts w:cs="Arial"/>
          <w:color w:val="000000"/>
        </w:rPr>
      </w:pPr>
      <w:bookmarkStart w:id="107" w:name="_Toc412788172"/>
      <w:bookmarkStart w:id="108" w:name="_Toc25693"/>
      <w:bookmarkStart w:id="109" w:name="_Toc388974303"/>
      <w:r>
        <w:rPr>
          <w:rFonts w:hint="eastAsia" w:ascii="宋体" w:hAnsi="宋体" w:eastAsia="宋体"/>
          <w:color w:val="000000"/>
          <w:sz w:val="24"/>
          <w:szCs w:val="24"/>
        </w:rPr>
        <w:t>附件2</w:t>
      </w:r>
      <w:r>
        <w:rPr>
          <w:rFonts w:ascii="宋体" w:hAnsi="宋体" w:eastAsia="宋体"/>
          <w:color w:val="000000"/>
          <w:sz w:val="24"/>
          <w:szCs w:val="24"/>
        </w:rPr>
        <w:t>-2 法定代表人授权委托书</w:t>
      </w:r>
      <w:bookmarkEnd w:id="107"/>
      <w:bookmarkEnd w:id="108"/>
      <w:bookmarkEnd w:id="109"/>
    </w:p>
    <w:p w14:paraId="5C16948E">
      <w:pPr>
        <w:spacing w:line="360" w:lineRule="auto"/>
        <w:rPr>
          <w:rFonts w:hint="eastAsia" w:ascii="宋体" w:hAnsi="宋体" w:cs="Arial Unicode MS"/>
          <w:color w:val="000000"/>
        </w:rPr>
      </w:pPr>
      <w:bookmarkStart w:id="110" w:name="_Toc412788174"/>
      <w:r>
        <w:rPr>
          <w:rFonts w:hint="eastAsia" w:ascii="宋体" w:hAnsi="宋体" w:cs="Arial Unicode MS"/>
          <w:b/>
          <w:color w:val="000000"/>
          <w:sz w:val="24"/>
          <w:u w:val="single"/>
        </w:rPr>
        <w:t>文成县绿色能源发展有限公司</w:t>
      </w:r>
      <w:r>
        <w:rPr>
          <w:rFonts w:hint="eastAsia" w:ascii="宋体" w:hAnsi="宋体" w:cs="Arial Unicode MS"/>
          <w:color w:val="000000"/>
        </w:rPr>
        <w:t>：</w:t>
      </w:r>
    </w:p>
    <w:p w14:paraId="31572688">
      <w:pPr>
        <w:snapToGrid w:val="0"/>
        <w:spacing w:before="156" w:beforeLines="50" w:after="50" w:line="360" w:lineRule="auto"/>
        <w:ind w:firstLine="630" w:firstLineChars="300"/>
        <w:rPr>
          <w:rFonts w:hint="eastAsia" w:ascii="宋体" w:hAnsi="宋体" w:cs="Arial Unicode MS"/>
          <w:color w:val="000000"/>
        </w:rPr>
      </w:pPr>
      <w:r>
        <w:rPr>
          <w:rFonts w:hint="eastAsia" w:ascii="宋体" w:hAnsi="宋体" w:cs="Arial Unicode MS"/>
          <w:color w:val="000000"/>
        </w:rPr>
        <w:t>本授权委托书声明：我</w:t>
      </w:r>
      <w:r>
        <w:rPr>
          <w:rFonts w:hint="eastAsia" w:ascii="宋体" w:hAnsi="宋体" w:cs="Arial Unicode MS"/>
          <w:color w:val="000000"/>
          <w:u w:val="single"/>
        </w:rPr>
        <w:t>（法人代表姓名）</w:t>
      </w:r>
      <w:r>
        <w:rPr>
          <w:rFonts w:hint="eastAsia" w:ascii="宋体" w:hAnsi="宋体" w:cs="Arial Unicode MS"/>
          <w:color w:val="000000"/>
        </w:rPr>
        <w:t>系</w:t>
      </w:r>
      <w:r>
        <w:rPr>
          <w:rFonts w:hint="eastAsia" w:ascii="宋体" w:hAnsi="宋体" w:cs="Arial Unicode MS"/>
          <w:color w:val="000000"/>
          <w:u w:val="single"/>
        </w:rPr>
        <w:t xml:space="preserve">（投 标 人 名 称） </w:t>
      </w:r>
      <w:r>
        <w:rPr>
          <w:rFonts w:hint="eastAsia" w:ascii="宋体" w:hAnsi="宋体" w:cs="Arial Unicode MS"/>
          <w:color w:val="000000"/>
        </w:rPr>
        <w:t>的法定代表人，现授权委托本单位正式职工：</w:t>
      </w:r>
      <w:r>
        <w:rPr>
          <w:rFonts w:hint="eastAsia" w:ascii="宋体" w:hAnsi="宋体" w:cs="Arial Unicode MS"/>
          <w:color w:val="000000"/>
          <w:u w:val="single"/>
        </w:rPr>
        <w:t>（授权代表姓名）</w:t>
      </w:r>
      <w:r>
        <w:rPr>
          <w:rFonts w:hint="eastAsia" w:ascii="宋体" w:hAnsi="宋体" w:cs="Arial Unicode MS"/>
          <w:color w:val="000000"/>
        </w:rPr>
        <w:t>为我公司授权代表，参加贵处组织的</w:t>
      </w:r>
      <w:r>
        <w:rPr>
          <w:rFonts w:hint="eastAsia" w:ascii="宋体" w:hAnsi="宋体" w:cs="Arial Unicode MS"/>
          <w:color w:val="000000"/>
          <w:u w:val="single"/>
        </w:rPr>
        <w:t>（项目名称）</w:t>
      </w:r>
      <w:r>
        <w:rPr>
          <w:rFonts w:hint="eastAsia" w:ascii="宋体" w:hAnsi="宋体" w:cs="Arial Unicode MS"/>
          <w:color w:val="000000"/>
        </w:rPr>
        <w:t>（项目编号：</w:t>
      </w:r>
      <w:r>
        <w:rPr>
          <w:rFonts w:hint="eastAsia" w:ascii="宋体" w:hAnsi="宋体" w:cs="Arial Unicode MS"/>
          <w:color w:val="000000"/>
          <w:u w:val="single"/>
        </w:rPr>
        <w:t xml:space="preserve">       </w:t>
      </w:r>
      <w:r>
        <w:rPr>
          <w:rFonts w:hint="eastAsia" w:ascii="宋体" w:hAnsi="宋体" w:cs="Arial Unicode MS"/>
          <w:color w:val="000000"/>
        </w:rPr>
        <w:t>）项目投标，全权处理本次招投标活动中的一切事宜，并代表我方全权办理针对上述项目的投标、开标、评标、签约等具体事务和签署相关文件。</w:t>
      </w:r>
    </w:p>
    <w:p w14:paraId="77BCEBED">
      <w:pPr>
        <w:snapToGrid w:val="0"/>
        <w:spacing w:before="156" w:beforeLines="50" w:after="50" w:line="360" w:lineRule="auto"/>
        <w:rPr>
          <w:rFonts w:hint="eastAsia" w:ascii="宋体" w:hAnsi="宋体" w:cs="Arial Unicode MS"/>
          <w:color w:val="000000"/>
        </w:rPr>
      </w:pPr>
      <w:r>
        <w:rPr>
          <w:rFonts w:hint="eastAsia" w:ascii="宋体" w:hAnsi="宋体" w:cs="Arial Unicode MS"/>
          <w:color w:val="000000"/>
        </w:rPr>
        <w:t xml:space="preserve">    我方对被授权人的签名负全部责任。</w:t>
      </w:r>
    </w:p>
    <w:p w14:paraId="2064F7F5">
      <w:pPr>
        <w:snapToGrid w:val="0"/>
        <w:spacing w:before="156" w:beforeLines="50" w:after="50" w:line="360" w:lineRule="auto"/>
        <w:ind w:firstLine="480"/>
        <w:rPr>
          <w:rFonts w:hint="eastAsia" w:ascii="宋体" w:hAnsi="宋体" w:cs="Arial Unicode MS"/>
          <w:color w:val="000000"/>
        </w:rPr>
      </w:pPr>
      <w:r>
        <w:rPr>
          <w:rFonts w:hint="eastAsia" w:ascii="宋体" w:hAnsi="宋体" w:cs="Arial Unicode MS"/>
          <w:color w:val="000000"/>
        </w:rPr>
        <w:t>在撤销授权的书面通知以前，本授权书一直有效。被授权人在授权书有效期内签署的所有文件不因授权的撤销而失效。</w:t>
      </w:r>
    </w:p>
    <w:p w14:paraId="4D279F9F">
      <w:pPr>
        <w:spacing w:line="360" w:lineRule="auto"/>
        <w:ind w:firstLine="612"/>
        <w:rPr>
          <w:rFonts w:hint="eastAsia" w:ascii="宋体" w:hAnsi="宋体" w:cs="Arial Unicode MS"/>
          <w:color w:val="000000"/>
        </w:rPr>
      </w:pPr>
      <w:r>
        <w:rPr>
          <w:rFonts w:hint="eastAsia" w:ascii="宋体" w:hAnsi="宋体" w:cs="Arial Unicode MS"/>
          <w:color w:val="000000"/>
        </w:rPr>
        <w:t>被授权人无转委托权，特此委托。</w:t>
      </w:r>
    </w:p>
    <w:tbl>
      <w:tblPr>
        <w:tblStyle w:val="23"/>
        <w:tblW w:w="0" w:type="auto"/>
        <w:tblInd w:w="9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00"/>
      </w:tblGrid>
      <w:tr w14:paraId="6EF7F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8" w:hRule="atLeast"/>
        </w:trPr>
        <w:tc>
          <w:tcPr>
            <w:tcW w:w="7700" w:type="dxa"/>
          </w:tcPr>
          <w:p w14:paraId="156EE8C6">
            <w:pPr>
              <w:rPr>
                <w:rFonts w:hint="eastAsia" w:ascii="宋体" w:hAnsi="宋体"/>
                <w:color w:val="000000"/>
              </w:rPr>
            </w:pPr>
          </w:p>
          <w:p w14:paraId="31990C15">
            <w:pPr>
              <w:rPr>
                <w:rFonts w:hint="eastAsia" w:ascii="宋体" w:hAnsi="宋体"/>
                <w:color w:val="000000"/>
              </w:rPr>
            </w:pPr>
          </w:p>
          <w:p w14:paraId="1C060672">
            <w:pPr>
              <w:spacing w:line="360" w:lineRule="auto"/>
              <w:rPr>
                <w:rFonts w:hint="eastAsia" w:ascii="宋体" w:hAnsi="宋体" w:cs="Arial Unicode MS"/>
                <w:color w:val="000000"/>
              </w:rPr>
            </w:pPr>
          </w:p>
          <w:p w14:paraId="75B85145">
            <w:pPr>
              <w:pStyle w:val="11"/>
              <w:spacing w:line="480" w:lineRule="auto"/>
              <w:jc w:val="center"/>
              <w:rPr>
                <w:rFonts w:hint="eastAsia" w:ascii="宋体" w:hAnsi="宋体" w:cs="Arial Unicode MS"/>
                <w:color w:val="000000"/>
                <w:kern w:val="0"/>
              </w:rPr>
            </w:pPr>
            <w:r>
              <w:rPr>
                <w:rFonts w:hint="eastAsia" w:ascii="宋体" w:hAnsi="宋体" w:cs="宋体"/>
                <w:color w:val="000000"/>
                <w:kern w:val="0"/>
              </w:rPr>
              <w:t>附授权代表身份证扫描件（正反两面）</w:t>
            </w:r>
          </w:p>
        </w:tc>
      </w:tr>
    </w:tbl>
    <w:p w14:paraId="2625CB08">
      <w:pPr>
        <w:pStyle w:val="11"/>
        <w:spacing w:line="480" w:lineRule="auto"/>
        <w:ind w:firstLine="4830" w:firstLineChars="2300"/>
        <w:rPr>
          <w:rFonts w:hint="eastAsia" w:ascii="宋体" w:hAnsi="宋体" w:cs="Arial Unicode MS"/>
          <w:color w:val="000000"/>
          <w:kern w:val="0"/>
        </w:rPr>
      </w:pPr>
    </w:p>
    <w:p w14:paraId="2158BD71">
      <w:pPr>
        <w:spacing w:before="312" w:beforeLines="100" w:after="312" w:afterLines="100" w:line="280" w:lineRule="atLeast"/>
        <w:ind w:left="2100" w:leftChars="1000" w:firstLine="1365" w:firstLineChars="650"/>
        <w:rPr>
          <w:rFonts w:hint="eastAsia" w:ascii="宋体" w:hAnsi="宋体"/>
          <w:color w:val="000000"/>
          <w:szCs w:val="21"/>
          <w:u w:val="single"/>
        </w:rPr>
      </w:pPr>
      <w:r>
        <w:rPr>
          <w:rFonts w:hint="eastAsia" w:ascii="宋体" w:hAnsi="宋体"/>
          <w:color w:val="000000"/>
          <w:szCs w:val="21"/>
        </w:rPr>
        <w:t>授权代表：</w:t>
      </w:r>
      <w:r>
        <w:rPr>
          <w:rFonts w:hint="eastAsia" w:ascii="宋体" w:hAnsi="宋体"/>
          <w:color w:val="000000"/>
          <w:szCs w:val="21"/>
          <w:u w:val="single"/>
        </w:rPr>
        <w:t xml:space="preserve">            </w:t>
      </w:r>
      <w:r>
        <w:rPr>
          <w:rFonts w:hint="eastAsia" w:ascii="宋体" w:hAnsi="宋体"/>
          <w:color w:val="000000"/>
          <w:szCs w:val="21"/>
        </w:rPr>
        <w:t>性别 ：</w:t>
      </w:r>
      <w:r>
        <w:rPr>
          <w:rFonts w:hint="eastAsia" w:ascii="宋体" w:hAnsi="宋体"/>
          <w:color w:val="000000"/>
          <w:szCs w:val="21"/>
          <w:u w:val="single"/>
        </w:rPr>
        <w:t xml:space="preserve">        </w:t>
      </w:r>
      <w:r>
        <w:rPr>
          <w:rFonts w:hint="eastAsia" w:ascii="宋体" w:hAnsi="宋体"/>
          <w:color w:val="000000"/>
          <w:szCs w:val="21"/>
        </w:rPr>
        <w:t>年龄：</w:t>
      </w:r>
      <w:r>
        <w:rPr>
          <w:rFonts w:hint="eastAsia" w:ascii="宋体" w:hAnsi="宋体"/>
          <w:color w:val="000000"/>
          <w:szCs w:val="21"/>
          <w:u w:val="single"/>
        </w:rPr>
        <w:t xml:space="preserve">        </w:t>
      </w:r>
      <w:r>
        <w:rPr>
          <w:rFonts w:hint="eastAsia" w:ascii="宋体" w:hAnsi="宋体"/>
          <w:color w:val="000000"/>
          <w:szCs w:val="21"/>
        </w:rPr>
        <w:t xml:space="preserve"> </w:t>
      </w:r>
    </w:p>
    <w:p w14:paraId="30438768">
      <w:pPr>
        <w:spacing w:before="312" w:beforeLines="100" w:after="312" w:afterLines="100" w:line="280" w:lineRule="atLeast"/>
        <w:ind w:left="2100" w:leftChars="1000" w:firstLine="1365" w:firstLineChars="650"/>
        <w:rPr>
          <w:rFonts w:hint="eastAsia" w:ascii="宋体" w:hAnsi="宋体"/>
          <w:color w:val="000000"/>
          <w:szCs w:val="21"/>
        </w:rPr>
      </w:pPr>
      <w:r>
        <w:rPr>
          <w:rFonts w:hint="eastAsia" w:ascii="宋体" w:hAnsi="宋体"/>
          <w:color w:val="000000"/>
          <w:szCs w:val="21"/>
        </w:rPr>
        <w:t>身份证号码：</w:t>
      </w:r>
      <w:r>
        <w:rPr>
          <w:rFonts w:hint="eastAsia" w:ascii="宋体" w:hAnsi="宋体"/>
          <w:color w:val="000000"/>
          <w:szCs w:val="21"/>
          <w:u w:val="single"/>
        </w:rPr>
        <w:t xml:space="preserve">          </w:t>
      </w:r>
      <w:r>
        <w:rPr>
          <w:rFonts w:hint="eastAsia" w:ascii="宋体" w:hAnsi="宋体"/>
          <w:color w:val="000000"/>
          <w:szCs w:val="21"/>
        </w:rPr>
        <w:t>职务：</w:t>
      </w:r>
    </w:p>
    <w:p w14:paraId="7F973D78">
      <w:pPr>
        <w:spacing w:before="312" w:beforeLines="100" w:after="312" w:afterLines="100" w:line="280" w:lineRule="atLeast"/>
        <w:ind w:left="2100" w:leftChars="1000" w:firstLine="1365" w:firstLineChars="650"/>
        <w:rPr>
          <w:rFonts w:hint="eastAsia" w:ascii="宋体" w:hAnsi="宋体"/>
          <w:color w:val="000000"/>
          <w:szCs w:val="21"/>
          <w:u w:val="single"/>
        </w:rPr>
      </w:pPr>
      <w:r>
        <w:rPr>
          <w:rFonts w:hint="eastAsia" w:ascii="宋体" w:hAnsi="宋体"/>
          <w:color w:val="000000"/>
          <w:szCs w:val="21"/>
        </w:rPr>
        <w:t>详细通讯地址：</w:t>
      </w:r>
      <w:r>
        <w:rPr>
          <w:rFonts w:hint="eastAsia" w:ascii="宋体" w:hAnsi="宋体"/>
          <w:color w:val="000000"/>
          <w:szCs w:val="21"/>
          <w:u w:val="single"/>
        </w:rPr>
        <w:t xml:space="preserve">              </w:t>
      </w:r>
      <w:r>
        <w:rPr>
          <w:rFonts w:hint="eastAsia" w:ascii="宋体" w:hAnsi="宋体"/>
          <w:color w:val="000000"/>
          <w:szCs w:val="21"/>
        </w:rPr>
        <w:t>邮政编码：</w:t>
      </w:r>
      <w:r>
        <w:rPr>
          <w:rFonts w:hint="eastAsia" w:ascii="宋体" w:hAnsi="宋体"/>
          <w:color w:val="000000"/>
          <w:szCs w:val="21"/>
          <w:u w:val="single"/>
        </w:rPr>
        <w:t xml:space="preserve">         </w:t>
      </w:r>
    </w:p>
    <w:p w14:paraId="4F5CE0C6">
      <w:pPr>
        <w:spacing w:before="312" w:beforeLines="100" w:after="312" w:afterLines="100" w:line="280" w:lineRule="atLeast"/>
        <w:ind w:left="2100" w:leftChars="1000" w:firstLine="1365" w:firstLineChars="650"/>
        <w:rPr>
          <w:rFonts w:hint="eastAsia" w:ascii="宋体" w:hAnsi="宋体"/>
          <w:color w:val="000000"/>
          <w:szCs w:val="21"/>
          <w:u w:val="single"/>
        </w:rPr>
      </w:pPr>
      <w:r>
        <w:rPr>
          <w:rFonts w:hint="eastAsia" w:ascii="宋体" w:hAnsi="宋体"/>
          <w:color w:val="000000"/>
          <w:szCs w:val="21"/>
        </w:rPr>
        <w:t>电话：</w:t>
      </w:r>
      <w:r>
        <w:rPr>
          <w:rFonts w:hint="eastAsia" w:ascii="宋体" w:hAnsi="宋体"/>
          <w:color w:val="000000"/>
          <w:szCs w:val="21"/>
          <w:u w:val="single"/>
        </w:rPr>
        <w:t xml:space="preserve">             </w:t>
      </w:r>
      <w:r>
        <w:rPr>
          <w:rFonts w:hint="eastAsia" w:ascii="宋体" w:hAnsi="宋体"/>
          <w:color w:val="000000"/>
          <w:szCs w:val="21"/>
        </w:rPr>
        <w:t>邮箱：</w:t>
      </w:r>
      <w:r>
        <w:rPr>
          <w:rFonts w:hint="eastAsia" w:ascii="宋体" w:hAnsi="宋体"/>
          <w:color w:val="000000"/>
          <w:szCs w:val="21"/>
          <w:u w:val="single"/>
        </w:rPr>
        <w:t xml:space="preserve">           </w:t>
      </w:r>
      <w:r>
        <w:rPr>
          <w:rFonts w:hint="eastAsia" w:ascii="宋体" w:hAnsi="宋体"/>
          <w:color w:val="000000"/>
          <w:szCs w:val="21"/>
        </w:rPr>
        <w:t>传真：</w:t>
      </w:r>
      <w:r>
        <w:rPr>
          <w:rFonts w:hint="eastAsia" w:ascii="宋体" w:hAnsi="宋体"/>
          <w:color w:val="000000"/>
          <w:szCs w:val="21"/>
          <w:u w:val="single"/>
        </w:rPr>
        <w:t xml:space="preserve">             </w:t>
      </w:r>
    </w:p>
    <w:p w14:paraId="5A9850F2">
      <w:pPr>
        <w:spacing w:before="312" w:beforeLines="100" w:after="312" w:afterLines="100" w:line="280" w:lineRule="atLeast"/>
        <w:ind w:left="1" w:firstLine="3129" w:firstLineChars="1490"/>
        <w:rPr>
          <w:rFonts w:hint="eastAsia" w:ascii="宋体" w:hAnsi="宋体"/>
          <w:color w:val="000000"/>
          <w:szCs w:val="21"/>
        </w:rPr>
      </w:pPr>
      <w:r>
        <w:rPr>
          <w:rFonts w:hint="eastAsia" w:ascii="宋体" w:hAnsi="宋体"/>
          <w:color w:val="000000"/>
          <w:szCs w:val="21"/>
        </w:rPr>
        <w:t xml:space="preserve">   投标供应商：</w:t>
      </w:r>
      <w:r>
        <w:rPr>
          <w:rFonts w:hint="eastAsia" w:ascii="宋体" w:hAnsi="宋体"/>
          <w:color w:val="000000"/>
          <w:szCs w:val="21"/>
          <w:u w:val="single"/>
        </w:rPr>
        <w:t xml:space="preserve">                            （盖章）</w:t>
      </w:r>
    </w:p>
    <w:p w14:paraId="6002FAE2">
      <w:pPr>
        <w:spacing w:before="312" w:beforeLines="100" w:after="312" w:afterLines="100" w:line="280" w:lineRule="atLeast"/>
        <w:ind w:left="2100" w:leftChars="1000" w:right="420" w:firstLine="1365" w:firstLineChars="650"/>
        <w:rPr>
          <w:rFonts w:hint="eastAsia" w:ascii="宋体" w:hAnsi="宋体"/>
          <w:color w:val="000000"/>
          <w:szCs w:val="21"/>
        </w:rPr>
      </w:pPr>
      <w:r>
        <w:rPr>
          <w:rFonts w:hint="eastAsia" w:ascii="宋体" w:hAnsi="宋体"/>
          <w:color w:val="000000"/>
          <w:szCs w:val="21"/>
        </w:rPr>
        <w:t>法定代表人：</w:t>
      </w:r>
      <w:r>
        <w:rPr>
          <w:rFonts w:hint="eastAsia" w:ascii="宋体" w:hAnsi="宋体"/>
          <w:color w:val="000000"/>
          <w:szCs w:val="21"/>
          <w:u w:val="single"/>
        </w:rPr>
        <w:t xml:space="preserve">                 （签字或盖章）</w:t>
      </w:r>
    </w:p>
    <w:p w14:paraId="7D806D6D">
      <w:pPr>
        <w:spacing w:before="312" w:beforeLines="100" w:after="312" w:afterLines="100" w:line="280" w:lineRule="atLeast"/>
        <w:ind w:left="2100" w:leftChars="1000" w:right="420" w:firstLine="1365" w:firstLineChars="650"/>
        <w:rPr>
          <w:rFonts w:hint="eastAsia" w:ascii="宋体" w:hAnsi="宋体"/>
          <w:color w:val="000000"/>
          <w:szCs w:val="21"/>
        </w:rPr>
      </w:pPr>
      <w:r>
        <w:rPr>
          <w:rFonts w:hint="eastAsia" w:ascii="宋体" w:hAnsi="宋体"/>
          <w:color w:val="000000"/>
          <w:szCs w:val="21"/>
        </w:rPr>
        <w:t>授权委托日期：</w:t>
      </w:r>
      <w:r>
        <w:rPr>
          <w:rFonts w:hint="eastAsia" w:ascii="宋体" w:hAnsi="宋体"/>
          <w:color w:val="000000"/>
          <w:szCs w:val="21"/>
          <w:u w:val="single"/>
        </w:rPr>
        <w:t xml:space="preserve">     </w:t>
      </w:r>
      <w:r>
        <w:rPr>
          <w:rFonts w:hint="eastAsia" w:ascii="宋体" w:hAnsi="宋体"/>
          <w:color w:val="000000"/>
          <w:szCs w:val="21"/>
        </w:rPr>
        <w:t xml:space="preserve">年 </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6E53A4EE">
      <w:pPr>
        <w:pStyle w:val="6"/>
        <w:numPr>
          <w:ilvl w:val="1"/>
          <w:numId w:val="0"/>
        </w:numPr>
        <w:tabs>
          <w:tab w:val="left" w:pos="840"/>
        </w:tabs>
        <w:spacing w:before="0" w:after="0" w:line="240" w:lineRule="auto"/>
        <w:jc w:val="center"/>
        <w:rPr>
          <w:rFonts w:hint="eastAsia" w:ascii="宋体" w:hAnsi="宋体" w:cs="宋体"/>
          <w:color w:val="000000"/>
          <w:sz w:val="21"/>
          <w:szCs w:val="21"/>
        </w:rPr>
      </w:pPr>
      <w:r>
        <w:rPr>
          <w:rFonts w:hint="eastAsia" w:ascii="宋体" w:hAnsi="宋体" w:eastAsia="宋体"/>
          <w:color w:val="000000"/>
          <w:sz w:val="24"/>
          <w:szCs w:val="24"/>
        </w:rPr>
        <w:br w:type="page"/>
      </w:r>
      <w:bookmarkStart w:id="111" w:name="_Toc1302"/>
      <w:bookmarkStart w:id="112" w:name="_Toc2358"/>
      <w:bookmarkStart w:id="113" w:name="_Toc10598"/>
      <w:bookmarkStart w:id="114" w:name="_Toc36139331"/>
      <w:bookmarkStart w:id="115" w:name="_Toc284"/>
      <w:bookmarkStart w:id="116" w:name="_Toc18524"/>
      <w:bookmarkStart w:id="117" w:name="_Toc16163"/>
      <w:bookmarkStart w:id="118" w:name="_Toc7378"/>
      <w:bookmarkStart w:id="119" w:name="_Toc10658"/>
      <w:bookmarkStart w:id="120" w:name="_Toc18680"/>
      <w:r>
        <w:rPr>
          <w:rFonts w:ascii="宋体" w:hAnsi="宋体" w:cs="宋体"/>
          <w:color w:val="000000"/>
          <w:sz w:val="30"/>
          <w:szCs w:val="30"/>
        </w:rPr>
        <w:t>附件</w:t>
      </w:r>
      <w:r>
        <w:rPr>
          <w:rFonts w:hint="eastAsia" w:ascii="宋体" w:hAnsi="宋体" w:cs="宋体"/>
          <w:color w:val="000000"/>
          <w:sz w:val="30"/>
          <w:szCs w:val="30"/>
        </w:rPr>
        <w:t>3</w:t>
      </w:r>
      <w:r>
        <w:rPr>
          <w:rFonts w:ascii="宋体" w:hAnsi="宋体" w:cs="宋体"/>
          <w:color w:val="000000"/>
          <w:sz w:val="30"/>
          <w:szCs w:val="30"/>
        </w:rPr>
        <w:t xml:space="preserve">   投 标 函</w:t>
      </w:r>
      <w:bookmarkEnd w:id="111"/>
      <w:bookmarkEnd w:id="112"/>
      <w:bookmarkEnd w:id="113"/>
      <w:bookmarkEnd w:id="114"/>
      <w:bookmarkEnd w:id="115"/>
      <w:bookmarkEnd w:id="116"/>
      <w:bookmarkEnd w:id="117"/>
      <w:bookmarkEnd w:id="118"/>
      <w:bookmarkEnd w:id="119"/>
      <w:bookmarkEnd w:id="120"/>
    </w:p>
    <w:p w14:paraId="253FC34C">
      <w:pPr>
        <w:spacing w:line="432" w:lineRule="auto"/>
        <w:rPr>
          <w:rFonts w:hint="eastAsia" w:ascii="宋体" w:hAnsi="宋体" w:cs="宋体"/>
          <w:color w:val="000000"/>
          <w:szCs w:val="21"/>
        </w:rPr>
      </w:pPr>
      <w:r>
        <w:rPr>
          <w:rFonts w:hint="eastAsia" w:ascii="宋体" w:hAnsi="宋体" w:cs="宋体"/>
          <w:color w:val="000000"/>
          <w:szCs w:val="21"/>
        </w:rPr>
        <w:t>文成县绿色能源发展有限公司</w:t>
      </w:r>
    </w:p>
    <w:p w14:paraId="7DCDF8B0">
      <w:pPr>
        <w:spacing w:line="432" w:lineRule="auto"/>
        <w:rPr>
          <w:rFonts w:hint="eastAsia" w:ascii="宋体" w:hAnsi="宋体" w:cs="宋体"/>
          <w:color w:val="000000"/>
          <w:szCs w:val="21"/>
        </w:rPr>
      </w:pPr>
      <w:r>
        <w:rPr>
          <w:rFonts w:hint="eastAsia" w:ascii="宋体" w:hAnsi="宋体" w:cs="宋体"/>
          <w:color w:val="000000"/>
          <w:szCs w:val="21"/>
        </w:rPr>
        <w:t>浙江信达咨询监理有限公司</w:t>
      </w:r>
      <w:r>
        <w:rPr>
          <w:rFonts w:ascii="宋体" w:hAnsi="宋体" w:cs="宋体"/>
          <w:color w:val="000000"/>
          <w:szCs w:val="21"/>
        </w:rPr>
        <w:t>：</w:t>
      </w:r>
    </w:p>
    <w:p w14:paraId="7FA39FB0">
      <w:pPr>
        <w:spacing w:line="360" w:lineRule="auto"/>
        <w:ind w:right="6"/>
        <w:rPr>
          <w:rFonts w:hint="eastAsia" w:ascii="宋体" w:hAnsi="宋体" w:cs="宋体"/>
          <w:color w:val="000000"/>
          <w:szCs w:val="21"/>
        </w:rPr>
      </w:pPr>
      <w:r>
        <w:rPr>
          <w:rFonts w:ascii="宋体" w:hAnsi="宋体" w:cs="宋体"/>
          <w:color w:val="000000"/>
          <w:szCs w:val="21"/>
        </w:rPr>
        <w:t xml:space="preserve">    遵照国家及地方政府相关</w:t>
      </w:r>
      <w:r>
        <w:rPr>
          <w:rFonts w:hint="eastAsia" w:ascii="宋体" w:hAnsi="宋体" w:cs="宋体"/>
          <w:color w:val="000000"/>
          <w:szCs w:val="21"/>
        </w:rPr>
        <w:t>国企采购相关</w:t>
      </w:r>
      <w:r>
        <w:rPr>
          <w:rFonts w:ascii="宋体" w:hAnsi="宋体" w:cs="宋体"/>
          <w:color w:val="000000"/>
          <w:szCs w:val="21"/>
        </w:rPr>
        <w:t>规定，我单位：</w:t>
      </w:r>
      <w:r>
        <w:rPr>
          <w:rFonts w:ascii="宋体" w:hAnsi="宋体" w:cs="宋体"/>
          <w:color w:val="000000"/>
          <w:szCs w:val="21"/>
          <w:u w:val="single"/>
        </w:rPr>
        <w:t xml:space="preserve">            （投标供应商名称）</w:t>
      </w:r>
      <w:r>
        <w:rPr>
          <w:rFonts w:ascii="宋体" w:hAnsi="宋体" w:cs="宋体"/>
          <w:color w:val="000000"/>
          <w:szCs w:val="21"/>
        </w:rPr>
        <w:t xml:space="preserve">研究上述招标文件的投标须知、合同条款、技术要求和其他有关文件后，决定作为投标者正式授权 </w:t>
      </w:r>
      <w:r>
        <w:rPr>
          <w:rFonts w:ascii="宋体" w:hAnsi="宋体" w:cs="宋体"/>
          <w:color w:val="000000"/>
          <w:szCs w:val="21"/>
          <w:u w:val="single"/>
        </w:rPr>
        <w:t xml:space="preserve">     （授权代表全名，职务）</w:t>
      </w:r>
      <w:r>
        <w:rPr>
          <w:rFonts w:ascii="宋体" w:hAnsi="宋体" w:cs="宋体"/>
          <w:color w:val="000000"/>
          <w:szCs w:val="21"/>
        </w:rPr>
        <w:t>代表我方进行有关本投标的一切事宜。</w:t>
      </w:r>
    </w:p>
    <w:p w14:paraId="15DF6DB3">
      <w:pPr>
        <w:numPr>
          <w:ilvl w:val="0"/>
          <w:numId w:val="12"/>
        </w:numPr>
        <w:spacing w:line="360" w:lineRule="auto"/>
        <w:ind w:right="6"/>
        <w:rPr>
          <w:rFonts w:hint="eastAsia" w:ascii="宋体" w:hAnsi="宋体" w:cs="宋体"/>
          <w:szCs w:val="21"/>
        </w:rPr>
      </w:pPr>
      <w:r>
        <w:rPr>
          <w:rFonts w:ascii="宋体" w:hAnsi="宋体" w:cs="宋体"/>
          <w:szCs w:val="21"/>
          <w:lang w:bidi="ar"/>
        </w:rPr>
        <w:t>我方决定参加：作为本次供应商参与</w:t>
      </w:r>
      <w:r>
        <w:rPr>
          <w:rFonts w:ascii="宋体" w:hAnsi="宋体" w:cs="宋体"/>
          <w:szCs w:val="21"/>
          <w:u w:val="single"/>
          <w:lang w:bidi="ar"/>
        </w:rPr>
        <w:t>项目名称：</w:t>
      </w:r>
      <w:r>
        <w:rPr>
          <w:rFonts w:hint="eastAsia" w:ascii="宋体" w:hAnsi="宋体" w:cs="宋体"/>
          <w:szCs w:val="21"/>
          <w:u w:val="single"/>
          <w:lang w:bidi="ar"/>
        </w:rPr>
        <w:t>文成县新型能源体系构建白皮书（2024-2035年）</w:t>
      </w:r>
      <w:r>
        <w:rPr>
          <w:rFonts w:ascii="宋体" w:hAnsi="宋体" w:cs="宋体"/>
          <w:szCs w:val="21"/>
          <w:u w:val="single"/>
          <w:lang w:bidi="ar"/>
        </w:rPr>
        <w:t>（项目编号：</w:t>
      </w:r>
      <w:r>
        <w:rPr>
          <w:rFonts w:hint="eastAsia" w:ascii="宋体" w:hAnsi="宋体" w:cs="宋体"/>
          <w:szCs w:val="21"/>
          <w:u w:val="single"/>
          <w:lang w:eastAsia="zh-CN" w:bidi="ar"/>
        </w:rPr>
        <w:t>WGWC-LNGS-2024001</w:t>
      </w:r>
      <w:r>
        <w:rPr>
          <w:rFonts w:ascii="宋体" w:hAnsi="宋体" w:cs="宋体"/>
          <w:szCs w:val="21"/>
          <w:u w:val="single"/>
          <w:lang w:bidi="ar"/>
        </w:rPr>
        <w:t>）</w:t>
      </w:r>
      <w:r>
        <w:rPr>
          <w:rFonts w:ascii="宋体" w:hAnsi="宋体" w:cs="宋体"/>
          <w:szCs w:val="21"/>
          <w:lang w:bidi="ar"/>
        </w:rPr>
        <w:t>项目的投标</w:t>
      </w:r>
      <w:r>
        <w:rPr>
          <w:rFonts w:hint="eastAsia" w:ascii="宋体" w:hAnsi="宋体" w:cs="宋体"/>
          <w:szCs w:val="21"/>
          <w:lang w:bidi="ar"/>
        </w:rPr>
        <w:t>。</w:t>
      </w:r>
    </w:p>
    <w:p w14:paraId="22CAA17B">
      <w:pPr>
        <w:numPr>
          <w:ilvl w:val="0"/>
          <w:numId w:val="12"/>
        </w:numPr>
        <w:spacing w:line="360" w:lineRule="auto"/>
        <w:ind w:right="6"/>
        <w:rPr>
          <w:rFonts w:hint="eastAsia" w:ascii="宋体" w:hAnsi="宋体" w:cs="宋体"/>
          <w:color w:val="000000"/>
          <w:szCs w:val="21"/>
        </w:rPr>
      </w:pPr>
      <w:r>
        <w:rPr>
          <w:rFonts w:ascii="宋体" w:hAnsi="宋体" w:cs="宋体"/>
          <w:color w:val="000000"/>
          <w:szCs w:val="21"/>
        </w:rPr>
        <w:t>我方承诺：</w:t>
      </w:r>
    </w:p>
    <w:p w14:paraId="5AF12B9E">
      <w:pPr>
        <w:numPr>
          <w:ilvl w:val="0"/>
          <w:numId w:val="13"/>
        </w:numPr>
        <w:tabs>
          <w:tab w:val="left" w:pos="530"/>
        </w:tabs>
        <w:spacing w:line="360" w:lineRule="auto"/>
        <w:rPr>
          <w:rFonts w:hint="eastAsia" w:ascii="宋体" w:hAnsi="宋体" w:cs="宋体"/>
          <w:color w:val="000000"/>
          <w:szCs w:val="21"/>
        </w:rPr>
      </w:pPr>
      <w:r>
        <w:rPr>
          <w:rFonts w:ascii="宋体" w:hAnsi="宋体" w:cs="宋体"/>
          <w:color w:val="000000"/>
          <w:szCs w:val="21"/>
        </w:rPr>
        <w:t>我方承诺的采购价格按开标一览表及本次有关的招投标文件执行。</w:t>
      </w:r>
    </w:p>
    <w:p w14:paraId="4860BEEF">
      <w:pPr>
        <w:numPr>
          <w:ilvl w:val="0"/>
          <w:numId w:val="13"/>
        </w:numPr>
        <w:tabs>
          <w:tab w:val="left" w:pos="530"/>
          <w:tab w:val="left" w:pos="814"/>
        </w:tabs>
        <w:spacing w:line="360" w:lineRule="auto"/>
        <w:ind w:left="0" w:firstLine="454"/>
        <w:rPr>
          <w:rFonts w:hint="eastAsia" w:ascii="宋体" w:hAnsi="宋体" w:cs="宋体"/>
          <w:color w:val="000000"/>
          <w:szCs w:val="21"/>
        </w:rPr>
      </w:pPr>
      <w:r>
        <w:rPr>
          <w:rFonts w:ascii="宋体" w:hAnsi="宋体" w:cs="宋体"/>
          <w:color w:val="000000"/>
          <w:szCs w:val="21"/>
        </w:rPr>
        <w:t>我方报价包含履行合同所有相关服务所需的服务费用。</w:t>
      </w:r>
    </w:p>
    <w:p w14:paraId="0D40FD38">
      <w:pPr>
        <w:numPr>
          <w:ilvl w:val="0"/>
          <w:numId w:val="13"/>
        </w:numPr>
        <w:tabs>
          <w:tab w:val="left" w:pos="530"/>
          <w:tab w:val="left" w:pos="814"/>
        </w:tabs>
        <w:spacing w:line="360" w:lineRule="auto"/>
        <w:ind w:left="0" w:firstLine="454"/>
        <w:rPr>
          <w:rFonts w:hint="eastAsia" w:ascii="宋体" w:hAnsi="宋体" w:cs="宋体"/>
          <w:color w:val="000000"/>
          <w:szCs w:val="21"/>
        </w:rPr>
      </w:pPr>
      <w:r>
        <w:rPr>
          <w:rFonts w:ascii="宋体" w:hAnsi="宋体" w:cs="宋体"/>
          <w:color w:val="000000"/>
          <w:szCs w:val="21"/>
        </w:rPr>
        <w:t>我方报价均包含所有的税费。</w:t>
      </w:r>
    </w:p>
    <w:p w14:paraId="338DB30C">
      <w:pPr>
        <w:numPr>
          <w:ilvl w:val="0"/>
          <w:numId w:val="13"/>
        </w:numPr>
        <w:tabs>
          <w:tab w:val="left" w:pos="530"/>
          <w:tab w:val="left" w:pos="814"/>
        </w:tabs>
        <w:spacing w:line="360" w:lineRule="auto"/>
        <w:ind w:left="1258" w:leftChars="200" w:hanging="838"/>
        <w:rPr>
          <w:rFonts w:hint="eastAsia" w:ascii="宋体" w:hAnsi="宋体" w:cs="宋体"/>
          <w:color w:val="000000"/>
          <w:szCs w:val="21"/>
        </w:rPr>
      </w:pPr>
      <w:r>
        <w:rPr>
          <w:rFonts w:hint="eastAsia" w:ascii="宋体" w:hAnsi="宋体" w:cs="宋体"/>
          <w:color w:val="000000"/>
          <w:szCs w:val="21"/>
        </w:rPr>
        <w:t>我方承诺，如我方不满足招标文件第三部分 招标内容及要求 第6.2项内容的，采购人有权取消我方中标资格。</w:t>
      </w:r>
    </w:p>
    <w:p w14:paraId="4D9C07D7">
      <w:pPr>
        <w:numPr>
          <w:ilvl w:val="0"/>
          <w:numId w:val="12"/>
        </w:numPr>
        <w:spacing w:line="360" w:lineRule="auto"/>
        <w:ind w:right="6"/>
        <w:rPr>
          <w:rFonts w:hint="eastAsia" w:ascii="宋体" w:hAnsi="宋体" w:cs="宋体"/>
          <w:color w:val="000000"/>
          <w:szCs w:val="21"/>
        </w:rPr>
      </w:pPr>
      <w:r>
        <w:rPr>
          <w:rFonts w:ascii="宋体" w:hAnsi="宋体" w:cs="宋体"/>
          <w:color w:val="000000"/>
          <w:szCs w:val="21"/>
        </w:rPr>
        <w:t>投标文件的有效期：提交投标文件截止日起 90日历天内；如中标，有效期将延至合同终止日为止。</w:t>
      </w:r>
    </w:p>
    <w:p w14:paraId="747805CA">
      <w:pPr>
        <w:numPr>
          <w:ilvl w:val="0"/>
          <w:numId w:val="12"/>
        </w:numPr>
        <w:spacing w:line="360" w:lineRule="auto"/>
        <w:ind w:right="6"/>
        <w:rPr>
          <w:rFonts w:hint="eastAsia" w:ascii="宋体" w:hAnsi="宋体" w:cs="宋体"/>
          <w:color w:val="000000"/>
          <w:szCs w:val="21"/>
        </w:rPr>
      </w:pPr>
      <w:r>
        <w:rPr>
          <w:rFonts w:ascii="宋体" w:hAnsi="宋体" w:cs="宋体"/>
          <w:color w:val="000000"/>
          <w:szCs w:val="21"/>
        </w:rPr>
        <w:t>我方已详细研究了招标文件的所有内容包括修正文件（如果有）和所有已提供的参考资料以及有关附件并完全明白， 我方放弃在此方面提出含糊意见或误解的一切权力。</w:t>
      </w:r>
    </w:p>
    <w:p w14:paraId="7DBFFF73">
      <w:pPr>
        <w:numPr>
          <w:ilvl w:val="0"/>
          <w:numId w:val="12"/>
        </w:numPr>
        <w:spacing w:line="360" w:lineRule="auto"/>
        <w:ind w:right="6"/>
        <w:rPr>
          <w:rFonts w:hint="eastAsia" w:ascii="宋体" w:hAnsi="宋体" w:cs="宋体"/>
          <w:color w:val="000000"/>
          <w:szCs w:val="21"/>
        </w:rPr>
      </w:pPr>
      <w:r>
        <w:rPr>
          <w:rFonts w:ascii="宋体" w:hAnsi="宋体" w:cs="宋体"/>
          <w:color w:val="000000"/>
          <w:szCs w:val="21"/>
        </w:rPr>
        <w:t>我方同意按照贵方提出的要求而提供与投标</w:t>
      </w:r>
      <w:r>
        <w:rPr>
          <w:rFonts w:hint="eastAsia" w:ascii="宋体" w:hAnsi="宋体" w:cs="宋体"/>
          <w:color w:val="000000"/>
          <w:szCs w:val="21"/>
        </w:rPr>
        <w:t>服务</w:t>
      </w:r>
      <w:r>
        <w:rPr>
          <w:rFonts w:ascii="宋体" w:hAnsi="宋体" w:cs="宋体"/>
          <w:color w:val="000000"/>
          <w:szCs w:val="21"/>
        </w:rPr>
        <w:t>有关的数据或信息。</w:t>
      </w:r>
    </w:p>
    <w:p w14:paraId="195963AB">
      <w:pPr>
        <w:numPr>
          <w:ilvl w:val="0"/>
          <w:numId w:val="12"/>
        </w:numPr>
        <w:spacing w:line="360" w:lineRule="auto"/>
        <w:ind w:right="6"/>
        <w:rPr>
          <w:rFonts w:hint="eastAsia" w:ascii="宋体" w:hAnsi="宋体" w:cs="宋体"/>
          <w:color w:val="000000"/>
          <w:szCs w:val="21"/>
        </w:rPr>
      </w:pPr>
      <w:r>
        <w:rPr>
          <w:rFonts w:ascii="宋体" w:hAnsi="宋体" w:cs="宋体"/>
          <w:color w:val="000000"/>
          <w:szCs w:val="21"/>
        </w:rPr>
        <w:t>我方如果中标，将保证履行招标文件以及招标文件修改书（如果有的话）中的全部责任和义务，按质、按量、按期完成合同中的全部任务。</w:t>
      </w:r>
    </w:p>
    <w:p w14:paraId="43F5FCFA">
      <w:pPr>
        <w:spacing w:before="156" w:beforeLines="50" w:after="156" w:afterLines="50" w:line="360" w:lineRule="auto"/>
        <w:jc w:val="center"/>
        <w:rPr>
          <w:rFonts w:hint="eastAsia" w:ascii="宋体" w:hAnsi="宋体" w:cs="宋体"/>
          <w:color w:val="000000"/>
          <w:szCs w:val="21"/>
        </w:rPr>
      </w:pPr>
      <w:r>
        <w:rPr>
          <w:rFonts w:ascii="宋体" w:hAnsi="宋体" w:cs="宋体"/>
          <w:color w:val="000000"/>
          <w:szCs w:val="21"/>
        </w:rPr>
        <w:t xml:space="preserve">                                        </w:t>
      </w:r>
    </w:p>
    <w:p w14:paraId="398C8337">
      <w:pPr>
        <w:spacing w:before="156" w:beforeLines="50" w:after="156" w:afterLines="50" w:line="360" w:lineRule="auto"/>
        <w:jc w:val="right"/>
        <w:rPr>
          <w:rFonts w:hint="eastAsia" w:ascii="宋体" w:hAnsi="宋体" w:cs="宋体"/>
          <w:color w:val="000000"/>
          <w:szCs w:val="21"/>
        </w:rPr>
      </w:pPr>
      <w:r>
        <w:rPr>
          <w:rFonts w:ascii="宋体" w:hAnsi="宋体" w:cs="宋体"/>
          <w:color w:val="000000"/>
          <w:szCs w:val="21"/>
        </w:rPr>
        <w:t>投标供应商全称（盖章）：</w:t>
      </w:r>
    </w:p>
    <w:p w14:paraId="4FC9A35C">
      <w:pPr>
        <w:spacing w:line="432" w:lineRule="auto"/>
        <w:ind w:firstLine="4200" w:firstLineChars="2000"/>
        <w:rPr>
          <w:rFonts w:hint="eastAsia" w:ascii="宋体" w:hAnsi="宋体" w:cs="宋体"/>
          <w:color w:val="000000"/>
          <w:szCs w:val="21"/>
        </w:rPr>
      </w:pPr>
      <w:r>
        <w:rPr>
          <w:rFonts w:ascii="宋体" w:hAnsi="宋体" w:cs="宋体"/>
          <w:color w:val="000000"/>
          <w:szCs w:val="21"/>
        </w:rPr>
        <w:t>法定代表人或授权代表（签字或盖章）：</w:t>
      </w:r>
    </w:p>
    <w:p w14:paraId="50716167">
      <w:pPr>
        <w:pStyle w:val="3"/>
        <w:rPr>
          <w:color w:val="000000"/>
        </w:rPr>
      </w:pPr>
      <w:r>
        <w:rPr>
          <w:rFonts w:hint="eastAsia" w:ascii="Arial" w:hAnsi="宋体" w:cs="Arial"/>
          <w:color w:val="000000"/>
          <w:szCs w:val="21"/>
        </w:rPr>
        <w:t xml:space="preserve">                                  </w:t>
      </w:r>
      <w:r>
        <w:rPr>
          <w:rFonts w:hint="eastAsia" w:hAnsi="宋体" w:cs="宋体"/>
          <w:color w:val="000000"/>
          <w:kern w:val="2"/>
          <w:sz w:val="21"/>
          <w:szCs w:val="21"/>
        </w:rPr>
        <w:t xml:space="preserve">日   期：   年    月    日 </w:t>
      </w:r>
    </w:p>
    <w:p w14:paraId="3ABF3583">
      <w:pPr>
        <w:pStyle w:val="6"/>
        <w:jc w:val="center"/>
        <w:rPr>
          <w:color w:val="000000"/>
          <w:sz w:val="24"/>
          <w:szCs w:val="24"/>
        </w:rPr>
      </w:pPr>
      <w:r>
        <w:rPr>
          <w:rFonts w:hint="eastAsia" w:ascii="宋体" w:hAnsi="宋体" w:eastAsia="宋体"/>
          <w:color w:val="000000"/>
          <w:sz w:val="24"/>
          <w:szCs w:val="24"/>
        </w:rPr>
        <w:br w:type="page"/>
      </w:r>
      <w:bookmarkStart w:id="121" w:name="_Toc25576"/>
      <w:r>
        <w:rPr>
          <w:rFonts w:hint="eastAsia" w:ascii="宋体" w:hAnsi="宋体" w:eastAsia="宋体"/>
          <w:color w:val="000000"/>
          <w:sz w:val="24"/>
          <w:szCs w:val="24"/>
        </w:rPr>
        <w:t xml:space="preserve">附件4 </w:t>
      </w:r>
      <w:r>
        <w:rPr>
          <w:rFonts w:ascii="宋体" w:hAnsi="宋体" w:eastAsia="宋体"/>
          <w:color w:val="000000"/>
          <w:sz w:val="24"/>
          <w:szCs w:val="24"/>
        </w:rPr>
        <w:t xml:space="preserve"> </w:t>
      </w:r>
      <w:r>
        <w:rPr>
          <w:rFonts w:hint="eastAsia" w:ascii="宋体" w:hAnsi="宋体" w:eastAsia="宋体"/>
          <w:color w:val="000000"/>
          <w:sz w:val="24"/>
          <w:szCs w:val="24"/>
        </w:rPr>
        <w:t xml:space="preserve"> </w:t>
      </w:r>
      <w:bookmarkEnd w:id="110"/>
      <w:r>
        <w:rPr>
          <w:rFonts w:hint="eastAsia" w:ascii="宋体" w:hAnsi="宋体" w:eastAsia="宋体"/>
          <w:color w:val="000000"/>
          <w:sz w:val="24"/>
          <w:szCs w:val="24"/>
        </w:rPr>
        <w:t>投标供应商</w:t>
      </w:r>
      <w:r>
        <w:rPr>
          <w:rFonts w:ascii="宋体" w:hAnsi="宋体" w:eastAsia="宋体"/>
          <w:color w:val="000000"/>
          <w:sz w:val="24"/>
          <w:szCs w:val="24"/>
        </w:rPr>
        <w:t>情况</w:t>
      </w:r>
      <w:r>
        <w:rPr>
          <w:rFonts w:hint="eastAsia" w:ascii="宋体" w:hAnsi="宋体" w:eastAsia="宋体"/>
          <w:color w:val="000000"/>
          <w:sz w:val="24"/>
          <w:szCs w:val="24"/>
        </w:rPr>
        <w:t>说</w:t>
      </w:r>
      <w:r>
        <w:rPr>
          <w:rFonts w:ascii="宋体" w:hAnsi="宋体" w:eastAsia="宋体"/>
          <w:color w:val="000000"/>
          <w:sz w:val="24"/>
          <w:szCs w:val="24"/>
        </w:rPr>
        <w:t>明</w:t>
      </w:r>
      <w:bookmarkEnd w:id="121"/>
    </w:p>
    <w:p w14:paraId="4C753660">
      <w:pPr>
        <w:spacing w:line="380" w:lineRule="exact"/>
        <w:ind w:left="418" w:leftChars="199"/>
        <w:rPr>
          <w:rFonts w:ascii="宋体" w:cs="Arial"/>
          <w:b/>
          <w:color w:val="000000"/>
          <w:sz w:val="22"/>
          <w:szCs w:val="22"/>
        </w:rPr>
      </w:pPr>
      <w:r>
        <w:rPr>
          <w:rFonts w:ascii="宋体" w:cs="Arial"/>
          <w:b/>
          <w:color w:val="000000"/>
          <w:sz w:val="22"/>
          <w:szCs w:val="22"/>
        </w:rPr>
        <w:t>1、名称及概况：</w:t>
      </w:r>
    </w:p>
    <w:p w14:paraId="1B0E3B9C">
      <w:pPr>
        <w:spacing w:line="380" w:lineRule="exact"/>
        <w:ind w:firstLine="422" w:firstLineChars="191"/>
        <w:rPr>
          <w:rFonts w:ascii="宋体" w:cs="Arial"/>
          <w:b/>
          <w:color w:val="000000"/>
          <w:sz w:val="22"/>
          <w:szCs w:val="22"/>
        </w:rPr>
      </w:pPr>
      <w:r>
        <w:rPr>
          <w:rFonts w:ascii="宋体" w:cs="Arial"/>
          <w:b/>
          <w:color w:val="000000"/>
          <w:sz w:val="22"/>
          <w:szCs w:val="22"/>
        </w:rPr>
        <w:t>（1）投标供应商名称：</w:t>
      </w:r>
      <w:r>
        <w:rPr>
          <w:rFonts w:ascii="宋体" w:cs="Arial"/>
          <w:b/>
          <w:color w:val="000000"/>
          <w:sz w:val="22"/>
          <w:szCs w:val="22"/>
          <w:u w:val="single"/>
        </w:rPr>
        <w:t xml:space="preserve">                         </w:t>
      </w:r>
      <w:r>
        <w:rPr>
          <w:rFonts w:hint="eastAsia" w:ascii="宋体" w:cs="Arial"/>
          <w:b/>
          <w:color w:val="000000"/>
          <w:sz w:val="22"/>
          <w:szCs w:val="22"/>
          <w:u w:val="single"/>
        </w:rPr>
        <w:t xml:space="preserve"> </w:t>
      </w:r>
      <w:r>
        <w:rPr>
          <w:rFonts w:ascii="宋体" w:cs="Arial"/>
          <w:b/>
          <w:color w:val="000000"/>
          <w:sz w:val="22"/>
          <w:szCs w:val="22"/>
          <w:u w:val="single"/>
        </w:rPr>
        <w:t xml:space="preserve"> </w:t>
      </w:r>
      <w:r>
        <w:rPr>
          <w:rFonts w:hint="eastAsia" w:ascii="宋体" w:cs="Arial"/>
          <w:b/>
          <w:color w:val="000000"/>
          <w:sz w:val="22"/>
          <w:szCs w:val="22"/>
          <w:u w:val="single"/>
        </w:rPr>
        <w:t xml:space="preserve"> </w:t>
      </w:r>
      <w:r>
        <w:rPr>
          <w:rFonts w:ascii="宋体" w:cs="Arial"/>
          <w:b/>
          <w:color w:val="000000"/>
          <w:sz w:val="22"/>
          <w:szCs w:val="22"/>
          <w:u w:val="single"/>
        </w:rPr>
        <w:t xml:space="preserve"> </w:t>
      </w:r>
    </w:p>
    <w:p w14:paraId="1B489839">
      <w:pPr>
        <w:spacing w:line="380" w:lineRule="exact"/>
        <w:ind w:firstLine="422" w:firstLineChars="191"/>
        <w:rPr>
          <w:rFonts w:ascii="宋体" w:cs="Arial"/>
          <w:b/>
          <w:color w:val="000000"/>
          <w:sz w:val="22"/>
          <w:szCs w:val="22"/>
        </w:rPr>
      </w:pPr>
      <w:r>
        <w:rPr>
          <w:rFonts w:ascii="宋体" w:cs="Arial"/>
          <w:b/>
          <w:color w:val="000000"/>
          <w:sz w:val="22"/>
          <w:szCs w:val="22"/>
        </w:rPr>
        <w:t>（2）总部地址：</w:t>
      </w:r>
      <w:r>
        <w:rPr>
          <w:rFonts w:ascii="宋体" w:cs="Arial"/>
          <w:b/>
          <w:color w:val="000000"/>
          <w:sz w:val="22"/>
          <w:szCs w:val="22"/>
          <w:u w:val="single"/>
        </w:rPr>
        <w:t xml:space="preserve">                           </w:t>
      </w:r>
      <w:r>
        <w:rPr>
          <w:rFonts w:hint="eastAsia" w:ascii="宋体" w:cs="Arial"/>
          <w:b/>
          <w:color w:val="000000"/>
          <w:sz w:val="22"/>
          <w:szCs w:val="22"/>
          <w:u w:val="single"/>
        </w:rPr>
        <w:t xml:space="preserve">   </w:t>
      </w:r>
      <w:r>
        <w:rPr>
          <w:rFonts w:ascii="宋体" w:cs="Arial"/>
          <w:b/>
          <w:color w:val="000000"/>
          <w:sz w:val="22"/>
          <w:szCs w:val="22"/>
          <w:u w:val="single"/>
        </w:rPr>
        <w:t xml:space="preserve"> </w:t>
      </w:r>
    </w:p>
    <w:p w14:paraId="0BB879C3">
      <w:pPr>
        <w:spacing w:line="380" w:lineRule="exact"/>
        <w:ind w:firstLine="989" w:firstLineChars="448"/>
        <w:rPr>
          <w:rFonts w:ascii="宋体" w:cs="Arial"/>
          <w:b/>
          <w:color w:val="000000"/>
          <w:sz w:val="22"/>
          <w:szCs w:val="22"/>
        </w:rPr>
      </w:pPr>
      <w:r>
        <w:rPr>
          <w:rFonts w:ascii="宋体" w:cs="Arial"/>
          <w:b/>
          <w:color w:val="000000"/>
          <w:sz w:val="22"/>
          <w:szCs w:val="22"/>
        </w:rPr>
        <w:t>传真/电话号码：</w:t>
      </w:r>
      <w:r>
        <w:rPr>
          <w:rFonts w:ascii="宋体" w:cs="Arial"/>
          <w:b/>
          <w:color w:val="000000"/>
          <w:sz w:val="22"/>
          <w:szCs w:val="22"/>
          <w:u w:val="single"/>
        </w:rPr>
        <w:t xml:space="preserve">                       </w:t>
      </w:r>
      <w:r>
        <w:rPr>
          <w:rFonts w:hint="eastAsia" w:ascii="宋体" w:cs="Arial"/>
          <w:b/>
          <w:color w:val="000000"/>
          <w:sz w:val="22"/>
          <w:szCs w:val="22"/>
          <w:u w:val="single"/>
        </w:rPr>
        <w:t xml:space="preserve">  </w:t>
      </w:r>
      <w:r>
        <w:rPr>
          <w:rFonts w:ascii="宋体" w:cs="Arial"/>
          <w:b/>
          <w:color w:val="000000"/>
          <w:sz w:val="22"/>
          <w:szCs w:val="22"/>
          <w:u w:val="single"/>
        </w:rPr>
        <w:t xml:space="preserve"> </w:t>
      </w:r>
    </w:p>
    <w:p w14:paraId="3D52D180">
      <w:pPr>
        <w:spacing w:line="380" w:lineRule="exact"/>
        <w:ind w:firstLine="422" w:firstLineChars="191"/>
        <w:rPr>
          <w:rFonts w:ascii="宋体" w:cs="Arial"/>
          <w:b/>
          <w:color w:val="000000"/>
          <w:sz w:val="22"/>
          <w:szCs w:val="22"/>
        </w:rPr>
      </w:pPr>
      <w:r>
        <w:rPr>
          <w:rFonts w:ascii="宋体" w:cs="Arial"/>
          <w:b/>
          <w:color w:val="000000"/>
          <w:sz w:val="22"/>
          <w:szCs w:val="22"/>
        </w:rPr>
        <w:t>（3）成立或注册日期：</w:t>
      </w:r>
      <w:r>
        <w:rPr>
          <w:rFonts w:ascii="宋体" w:cs="Arial"/>
          <w:b/>
          <w:color w:val="000000"/>
          <w:sz w:val="22"/>
          <w:szCs w:val="22"/>
          <w:u w:val="single"/>
        </w:rPr>
        <w:t xml:space="preserve">                      </w:t>
      </w:r>
      <w:r>
        <w:rPr>
          <w:rFonts w:hint="eastAsia" w:ascii="宋体" w:cs="Arial"/>
          <w:b/>
          <w:color w:val="000000"/>
          <w:sz w:val="22"/>
          <w:szCs w:val="22"/>
          <w:u w:val="single"/>
        </w:rPr>
        <w:t xml:space="preserve"> </w:t>
      </w:r>
      <w:r>
        <w:rPr>
          <w:rFonts w:ascii="宋体" w:cs="Arial"/>
          <w:b/>
          <w:color w:val="000000"/>
          <w:sz w:val="22"/>
          <w:szCs w:val="22"/>
          <w:u w:val="single"/>
        </w:rPr>
        <w:t xml:space="preserve">  </w:t>
      </w:r>
    </w:p>
    <w:p w14:paraId="18C6FC40">
      <w:pPr>
        <w:spacing w:line="380" w:lineRule="exact"/>
        <w:ind w:firstLine="422" w:firstLineChars="191"/>
        <w:rPr>
          <w:rFonts w:ascii="宋体" w:cs="Arial"/>
          <w:b/>
          <w:color w:val="000000"/>
          <w:sz w:val="22"/>
          <w:szCs w:val="22"/>
        </w:rPr>
      </w:pPr>
      <w:r>
        <w:rPr>
          <w:rFonts w:ascii="宋体" w:cs="Arial"/>
          <w:b/>
          <w:color w:val="000000"/>
          <w:sz w:val="22"/>
          <w:szCs w:val="22"/>
        </w:rPr>
        <w:t>（</w:t>
      </w:r>
      <w:r>
        <w:rPr>
          <w:rFonts w:hint="eastAsia" w:ascii="宋体" w:cs="Arial"/>
          <w:b/>
          <w:color w:val="000000"/>
          <w:sz w:val="22"/>
          <w:szCs w:val="22"/>
        </w:rPr>
        <w:t>4</w:t>
      </w:r>
      <w:r>
        <w:rPr>
          <w:rFonts w:ascii="宋体" w:cs="Arial"/>
          <w:b/>
          <w:color w:val="000000"/>
          <w:sz w:val="22"/>
          <w:szCs w:val="22"/>
        </w:rPr>
        <w:t>）近期资产负债表（到</w:t>
      </w:r>
      <w:r>
        <w:rPr>
          <w:rFonts w:ascii="宋体" w:cs="Arial"/>
          <w:b/>
          <w:color w:val="000000"/>
          <w:sz w:val="22"/>
          <w:szCs w:val="22"/>
          <w:u w:val="single"/>
        </w:rPr>
        <w:t xml:space="preserve">        </w:t>
      </w:r>
      <w:r>
        <w:rPr>
          <w:rFonts w:ascii="宋体" w:cs="Arial"/>
          <w:b/>
          <w:color w:val="000000"/>
          <w:sz w:val="22"/>
          <w:szCs w:val="22"/>
        </w:rPr>
        <w:t>年</w:t>
      </w:r>
      <w:r>
        <w:rPr>
          <w:rFonts w:ascii="宋体" w:cs="Arial"/>
          <w:b/>
          <w:color w:val="000000"/>
          <w:sz w:val="22"/>
          <w:szCs w:val="22"/>
          <w:u w:val="single"/>
        </w:rPr>
        <w:t xml:space="preserve">    </w:t>
      </w:r>
      <w:r>
        <w:rPr>
          <w:rFonts w:ascii="宋体" w:cs="Arial"/>
          <w:b/>
          <w:color w:val="000000"/>
          <w:sz w:val="22"/>
          <w:szCs w:val="22"/>
        </w:rPr>
        <w:t>月</w:t>
      </w:r>
      <w:r>
        <w:rPr>
          <w:rFonts w:ascii="宋体" w:cs="Arial"/>
          <w:b/>
          <w:color w:val="000000"/>
          <w:sz w:val="22"/>
          <w:szCs w:val="22"/>
          <w:u w:val="single"/>
        </w:rPr>
        <w:t xml:space="preserve">    </w:t>
      </w:r>
      <w:r>
        <w:rPr>
          <w:rFonts w:ascii="宋体" w:cs="Arial"/>
          <w:b/>
          <w:color w:val="000000"/>
          <w:sz w:val="22"/>
          <w:szCs w:val="22"/>
        </w:rPr>
        <w:t>日止）</w:t>
      </w:r>
    </w:p>
    <w:p w14:paraId="2BC641F6">
      <w:pPr>
        <w:spacing w:line="380" w:lineRule="exact"/>
        <w:ind w:firstLine="422" w:firstLineChars="191"/>
        <w:rPr>
          <w:rFonts w:ascii="宋体" w:cs="Arial"/>
          <w:b/>
          <w:color w:val="000000"/>
          <w:sz w:val="22"/>
          <w:szCs w:val="22"/>
        </w:rPr>
      </w:pPr>
      <w:r>
        <w:rPr>
          <w:rFonts w:ascii="宋体" w:cs="Arial"/>
          <w:b/>
          <w:color w:val="000000"/>
          <w:sz w:val="22"/>
          <w:szCs w:val="22"/>
        </w:rPr>
        <w:t xml:space="preserve">  1）固定资产：</w:t>
      </w:r>
      <w:r>
        <w:rPr>
          <w:rFonts w:ascii="宋体" w:cs="Arial"/>
          <w:b/>
          <w:color w:val="000000"/>
          <w:sz w:val="22"/>
          <w:szCs w:val="22"/>
          <w:u w:val="single"/>
        </w:rPr>
        <w:t xml:space="preserve">           </w:t>
      </w:r>
      <w:r>
        <w:rPr>
          <w:rFonts w:hint="eastAsia" w:ascii="宋体" w:cs="Arial"/>
          <w:b/>
          <w:color w:val="000000"/>
          <w:sz w:val="22"/>
          <w:szCs w:val="22"/>
          <w:u w:val="single"/>
        </w:rPr>
        <w:t xml:space="preserve">                </w:t>
      </w:r>
      <w:r>
        <w:rPr>
          <w:rFonts w:ascii="宋体" w:cs="Arial"/>
          <w:b/>
          <w:color w:val="000000"/>
          <w:sz w:val="22"/>
          <w:szCs w:val="22"/>
          <w:u w:val="single"/>
        </w:rPr>
        <w:t xml:space="preserve">    </w:t>
      </w:r>
    </w:p>
    <w:p w14:paraId="3D0E8E7D">
      <w:pPr>
        <w:spacing w:line="380" w:lineRule="exact"/>
        <w:ind w:firstLine="422" w:firstLineChars="191"/>
        <w:rPr>
          <w:rFonts w:ascii="宋体" w:cs="Arial"/>
          <w:b/>
          <w:color w:val="000000"/>
          <w:sz w:val="22"/>
          <w:szCs w:val="22"/>
        </w:rPr>
      </w:pPr>
      <w:r>
        <w:rPr>
          <w:rFonts w:ascii="宋体" w:cs="Arial"/>
          <w:b/>
          <w:color w:val="000000"/>
          <w:sz w:val="22"/>
          <w:szCs w:val="22"/>
        </w:rPr>
        <w:t xml:space="preserve">  2）流动资产：</w:t>
      </w:r>
      <w:r>
        <w:rPr>
          <w:rFonts w:ascii="宋体" w:cs="Arial"/>
          <w:b/>
          <w:color w:val="000000"/>
          <w:sz w:val="22"/>
          <w:szCs w:val="22"/>
          <w:u w:val="single"/>
        </w:rPr>
        <w:t xml:space="preserve">       </w:t>
      </w:r>
      <w:r>
        <w:rPr>
          <w:rFonts w:hint="eastAsia" w:ascii="宋体" w:cs="Arial"/>
          <w:b/>
          <w:color w:val="000000"/>
          <w:sz w:val="22"/>
          <w:szCs w:val="22"/>
          <w:u w:val="single"/>
        </w:rPr>
        <w:t xml:space="preserve">                </w:t>
      </w:r>
      <w:r>
        <w:rPr>
          <w:rFonts w:ascii="宋体" w:cs="Arial"/>
          <w:b/>
          <w:color w:val="000000"/>
          <w:sz w:val="22"/>
          <w:szCs w:val="22"/>
          <w:u w:val="single"/>
        </w:rPr>
        <w:t xml:space="preserve">        </w:t>
      </w:r>
    </w:p>
    <w:p w14:paraId="459ED12C">
      <w:pPr>
        <w:spacing w:line="380" w:lineRule="exact"/>
        <w:ind w:firstLine="422" w:firstLineChars="191"/>
        <w:rPr>
          <w:rFonts w:ascii="宋体" w:cs="Arial"/>
          <w:b/>
          <w:color w:val="000000"/>
          <w:sz w:val="22"/>
          <w:szCs w:val="22"/>
        </w:rPr>
      </w:pPr>
      <w:r>
        <w:rPr>
          <w:rFonts w:ascii="宋体" w:cs="Arial"/>
          <w:b/>
          <w:color w:val="000000"/>
          <w:sz w:val="22"/>
          <w:szCs w:val="22"/>
        </w:rPr>
        <w:t xml:space="preserve">  3）长期负债：</w:t>
      </w:r>
      <w:r>
        <w:rPr>
          <w:rFonts w:ascii="宋体" w:cs="Arial"/>
          <w:b/>
          <w:color w:val="000000"/>
          <w:sz w:val="22"/>
          <w:szCs w:val="22"/>
          <w:u w:val="single"/>
        </w:rPr>
        <w:t xml:space="preserve">        </w:t>
      </w:r>
      <w:r>
        <w:rPr>
          <w:rFonts w:hint="eastAsia" w:ascii="宋体" w:cs="Arial"/>
          <w:b/>
          <w:color w:val="000000"/>
          <w:sz w:val="22"/>
          <w:szCs w:val="22"/>
          <w:u w:val="single"/>
        </w:rPr>
        <w:t xml:space="preserve">                  </w:t>
      </w:r>
      <w:r>
        <w:rPr>
          <w:rFonts w:ascii="宋体" w:cs="Arial"/>
          <w:b/>
          <w:color w:val="000000"/>
          <w:sz w:val="22"/>
          <w:szCs w:val="22"/>
          <w:u w:val="single"/>
        </w:rPr>
        <w:t xml:space="preserve">     </w:t>
      </w:r>
    </w:p>
    <w:p w14:paraId="06F7C41A">
      <w:pPr>
        <w:spacing w:line="380" w:lineRule="exact"/>
        <w:ind w:firstLine="422" w:firstLineChars="191"/>
        <w:rPr>
          <w:rFonts w:ascii="宋体" w:cs="Arial"/>
          <w:b/>
          <w:color w:val="000000"/>
          <w:sz w:val="22"/>
          <w:szCs w:val="22"/>
        </w:rPr>
      </w:pPr>
      <w:r>
        <w:rPr>
          <w:rFonts w:ascii="宋体" w:cs="Arial"/>
          <w:b/>
          <w:color w:val="000000"/>
          <w:sz w:val="22"/>
          <w:szCs w:val="22"/>
        </w:rPr>
        <w:t xml:space="preserve">  4）流动负债：</w:t>
      </w:r>
      <w:r>
        <w:rPr>
          <w:rFonts w:ascii="宋体" w:cs="Arial"/>
          <w:b/>
          <w:color w:val="000000"/>
          <w:sz w:val="22"/>
          <w:szCs w:val="22"/>
          <w:u w:val="single"/>
        </w:rPr>
        <w:t xml:space="preserve">       </w:t>
      </w:r>
      <w:r>
        <w:rPr>
          <w:rFonts w:hint="eastAsia" w:ascii="宋体" w:cs="Arial"/>
          <w:b/>
          <w:color w:val="000000"/>
          <w:sz w:val="22"/>
          <w:szCs w:val="22"/>
          <w:u w:val="single"/>
        </w:rPr>
        <w:t xml:space="preserve">                 </w:t>
      </w:r>
      <w:r>
        <w:rPr>
          <w:rFonts w:ascii="宋体" w:cs="Arial"/>
          <w:b/>
          <w:color w:val="000000"/>
          <w:sz w:val="22"/>
          <w:szCs w:val="22"/>
          <w:u w:val="single"/>
        </w:rPr>
        <w:t xml:space="preserve">       </w:t>
      </w:r>
    </w:p>
    <w:p w14:paraId="67A94D79">
      <w:pPr>
        <w:spacing w:line="380" w:lineRule="exact"/>
        <w:ind w:firstLine="422" w:firstLineChars="191"/>
        <w:rPr>
          <w:rFonts w:ascii="宋体" w:cs="Arial"/>
          <w:b/>
          <w:color w:val="000000"/>
          <w:sz w:val="22"/>
          <w:szCs w:val="22"/>
        </w:rPr>
      </w:pPr>
      <w:r>
        <w:rPr>
          <w:rFonts w:ascii="宋体" w:cs="Arial"/>
          <w:b/>
          <w:color w:val="000000"/>
          <w:sz w:val="22"/>
          <w:szCs w:val="22"/>
        </w:rPr>
        <w:t xml:space="preserve">  5）净值：</w:t>
      </w:r>
      <w:r>
        <w:rPr>
          <w:rFonts w:ascii="宋体" w:cs="Arial"/>
          <w:b/>
          <w:color w:val="000000"/>
          <w:sz w:val="22"/>
          <w:szCs w:val="22"/>
          <w:u w:val="single"/>
        </w:rPr>
        <w:t xml:space="preserve">               </w:t>
      </w:r>
      <w:r>
        <w:rPr>
          <w:rFonts w:hint="eastAsia" w:ascii="宋体" w:cs="Arial"/>
          <w:b/>
          <w:color w:val="000000"/>
          <w:sz w:val="22"/>
          <w:szCs w:val="22"/>
          <w:u w:val="single"/>
        </w:rPr>
        <w:t xml:space="preserve">                 </w:t>
      </w:r>
      <w:r>
        <w:rPr>
          <w:rFonts w:ascii="宋体" w:cs="Arial"/>
          <w:b/>
          <w:color w:val="000000"/>
          <w:sz w:val="22"/>
          <w:szCs w:val="22"/>
          <w:u w:val="single"/>
        </w:rPr>
        <w:t xml:space="preserve">   </w:t>
      </w:r>
    </w:p>
    <w:p w14:paraId="6CE221DE">
      <w:pPr>
        <w:tabs>
          <w:tab w:val="left" w:pos="5486"/>
        </w:tabs>
        <w:spacing w:line="380" w:lineRule="exact"/>
        <w:ind w:firstLine="422" w:firstLineChars="191"/>
        <w:rPr>
          <w:rFonts w:ascii="宋体" w:cs="Arial"/>
          <w:b/>
          <w:color w:val="000000"/>
          <w:sz w:val="22"/>
          <w:szCs w:val="22"/>
          <w:u w:val="single"/>
        </w:rPr>
      </w:pPr>
      <w:r>
        <w:rPr>
          <w:rFonts w:ascii="宋体" w:cs="Arial"/>
          <w:b/>
          <w:color w:val="000000"/>
          <w:sz w:val="22"/>
          <w:szCs w:val="22"/>
        </w:rPr>
        <w:t>（</w:t>
      </w:r>
      <w:r>
        <w:rPr>
          <w:rFonts w:hint="eastAsia" w:ascii="宋体" w:cs="Arial"/>
          <w:b/>
          <w:color w:val="000000"/>
          <w:sz w:val="22"/>
          <w:szCs w:val="22"/>
        </w:rPr>
        <w:t>5</w:t>
      </w:r>
      <w:r>
        <w:rPr>
          <w:rFonts w:ascii="宋体" w:cs="Arial"/>
          <w:b/>
          <w:color w:val="000000"/>
          <w:sz w:val="22"/>
          <w:szCs w:val="22"/>
        </w:rPr>
        <w:t>）主要负责人姓名：</w:t>
      </w:r>
      <w:r>
        <w:rPr>
          <w:rFonts w:ascii="宋体" w:cs="Arial"/>
          <w:b/>
          <w:color w:val="000000"/>
          <w:sz w:val="22"/>
          <w:szCs w:val="22"/>
          <w:u w:val="single"/>
        </w:rPr>
        <w:t xml:space="preserve">              </w:t>
      </w:r>
      <w:r>
        <w:rPr>
          <w:rFonts w:hint="eastAsia" w:ascii="宋体" w:cs="Arial"/>
          <w:b/>
          <w:color w:val="000000"/>
          <w:sz w:val="22"/>
          <w:szCs w:val="22"/>
          <w:u w:val="single"/>
        </w:rPr>
        <w:t xml:space="preserve">    </w:t>
      </w:r>
      <w:r>
        <w:rPr>
          <w:rFonts w:ascii="宋体" w:cs="Arial"/>
          <w:b/>
          <w:color w:val="000000"/>
          <w:sz w:val="22"/>
          <w:szCs w:val="22"/>
          <w:u w:val="single"/>
        </w:rPr>
        <w:t xml:space="preserve">       </w:t>
      </w:r>
    </w:p>
    <w:p w14:paraId="7747211A">
      <w:pPr>
        <w:spacing w:line="380" w:lineRule="exact"/>
        <w:rPr>
          <w:rFonts w:ascii="宋体" w:cs="Arial"/>
          <w:b/>
          <w:color w:val="000000"/>
          <w:sz w:val="22"/>
          <w:szCs w:val="22"/>
        </w:rPr>
      </w:pPr>
    </w:p>
    <w:p w14:paraId="7A3D26B1">
      <w:pPr>
        <w:spacing w:line="380" w:lineRule="exact"/>
        <w:ind w:left="418" w:leftChars="199"/>
        <w:rPr>
          <w:rFonts w:ascii="宋体" w:cs="Arial"/>
          <w:b/>
          <w:color w:val="000000"/>
          <w:sz w:val="22"/>
          <w:szCs w:val="22"/>
        </w:rPr>
      </w:pPr>
      <w:r>
        <w:rPr>
          <w:rFonts w:ascii="宋体" w:cs="Arial"/>
          <w:b/>
          <w:color w:val="000000"/>
          <w:sz w:val="22"/>
          <w:szCs w:val="22"/>
        </w:rPr>
        <w:t>2、企业生产设备及规模</w:t>
      </w:r>
      <w:r>
        <w:rPr>
          <w:rFonts w:hint="eastAsia" w:ascii="宋体" w:cs="Arial"/>
          <w:b/>
          <w:color w:val="000000"/>
          <w:sz w:val="22"/>
          <w:szCs w:val="22"/>
        </w:rPr>
        <w:t>简介</w:t>
      </w:r>
      <w:r>
        <w:rPr>
          <w:rFonts w:ascii="宋体" w:cs="Arial"/>
          <w:b/>
          <w:color w:val="000000"/>
          <w:sz w:val="22"/>
          <w:szCs w:val="22"/>
        </w:rPr>
        <w:t>：</w:t>
      </w:r>
    </w:p>
    <w:p w14:paraId="5D13AD3F">
      <w:pPr>
        <w:spacing w:line="380" w:lineRule="exact"/>
        <w:ind w:left="663" w:hanging="663" w:hangingChars="300"/>
        <w:rPr>
          <w:rFonts w:ascii="宋体" w:cs="Arial"/>
          <w:b/>
          <w:color w:val="000000"/>
          <w:sz w:val="22"/>
          <w:szCs w:val="22"/>
        </w:rPr>
      </w:pPr>
    </w:p>
    <w:p w14:paraId="0023F039">
      <w:pPr>
        <w:spacing w:line="380" w:lineRule="exact"/>
        <w:ind w:left="658" w:leftChars="201" w:hanging="236" w:hangingChars="107"/>
        <w:rPr>
          <w:rFonts w:ascii="宋体" w:cs="Arial"/>
          <w:b/>
          <w:color w:val="000000"/>
          <w:sz w:val="22"/>
          <w:szCs w:val="22"/>
        </w:rPr>
      </w:pPr>
      <w:r>
        <w:rPr>
          <w:rFonts w:ascii="宋体" w:cs="Arial"/>
          <w:b/>
          <w:color w:val="000000"/>
          <w:sz w:val="22"/>
          <w:szCs w:val="22"/>
        </w:rPr>
        <w:t>3、企业人员情况：</w:t>
      </w:r>
    </w:p>
    <w:p w14:paraId="3514EDEE">
      <w:pPr>
        <w:spacing w:line="380" w:lineRule="exact"/>
        <w:ind w:firstLine="883" w:firstLineChars="400"/>
        <w:rPr>
          <w:rFonts w:ascii="宋体" w:cs="Arial"/>
          <w:b/>
          <w:color w:val="000000"/>
          <w:sz w:val="22"/>
          <w:szCs w:val="22"/>
          <w:u w:val="single"/>
        </w:rPr>
      </w:pPr>
      <w:r>
        <w:rPr>
          <w:rFonts w:ascii="宋体" w:cs="Arial"/>
          <w:b/>
          <w:color w:val="000000"/>
          <w:sz w:val="22"/>
          <w:szCs w:val="22"/>
        </w:rPr>
        <w:t>职工（在职）人数</w:t>
      </w:r>
      <w:r>
        <w:rPr>
          <w:rFonts w:ascii="宋体" w:cs="Arial"/>
          <w:b/>
          <w:color w:val="000000"/>
          <w:sz w:val="22"/>
          <w:szCs w:val="22"/>
          <w:u w:val="single"/>
        </w:rPr>
        <w:t xml:space="preserve">       </w:t>
      </w:r>
      <w:r>
        <w:rPr>
          <w:rFonts w:ascii="宋体" w:cs="Arial"/>
          <w:b/>
          <w:color w:val="000000"/>
          <w:sz w:val="22"/>
          <w:szCs w:val="22"/>
        </w:rPr>
        <w:t>人，其中技术人员</w:t>
      </w:r>
      <w:r>
        <w:rPr>
          <w:rFonts w:ascii="宋体" w:cs="Arial"/>
          <w:b/>
          <w:color w:val="000000"/>
          <w:sz w:val="22"/>
          <w:szCs w:val="22"/>
          <w:u w:val="single"/>
        </w:rPr>
        <w:t xml:space="preserve">       </w:t>
      </w:r>
      <w:r>
        <w:rPr>
          <w:rFonts w:ascii="宋体" w:cs="Arial"/>
          <w:b/>
          <w:color w:val="000000"/>
          <w:sz w:val="22"/>
          <w:szCs w:val="22"/>
        </w:rPr>
        <w:t>人</w:t>
      </w:r>
    </w:p>
    <w:p w14:paraId="112CB45B">
      <w:pPr>
        <w:spacing w:line="380" w:lineRule="exact"/>
        <w:ind w:left="658" w:leftChars="201" w:hanging="236" w:hangingChars="107"/>
        <w:rPr>
          <w:rFonts w:ascii="宋体" w:cs="Arial"/>
          <w:b/>
          <w:color w:val="000000"/>
          <w:sz w:val="22"/>
          <w:szCs w:val="22"/>
        </w:rPr>
      </w:pPr>
      <w:r>
        <w:rPr>
          <w:rFonts w:ascii="宋体" w:cs="Arial"/>
          <w:b/>
          <w:color w:val="000000"/>
          <w:sz w:val="22"/>
          <w:szCs w:val="22"/>
        </w:rPr>
        <w:t>4、近三年的年营业总额</w:t>
      </w:r>
      <w:r>
        <w:rPr>
          <w:rFonts w:ascii="宋体" w:cs="Arial"/>
          <w:b/>
          <w:color w:val="000000"/>
          <w:sz w:val="22"/>
          <w:szCs w:val="22"/>
          <w:u w:val="single"/>
        </w:rPr>
        <w:t xml:space="preserve">                   </w:t>
      </w:r>
      <w:r>
        <w:rPr>
          <w:rFonts w:hint="eastAsia" w:ascii="宋体" w:cs="Arial"/>
          <w:b/>
          <w:color w:val="000000"/>
          <w:sz w:val="22"/>
          <w:szCs w:val="22"/>
          <w:u w:val="single"/>
        </w:rPr>
        <w:t xml:space="preserve">      </w:t>
      </w:r>
      <w:r>
        <w:rPr>
          <w:rFonts w:ascii="宋体" w:cs="Arial"/>
          <w:b/>
          <w:color w:val="000000"/>
          <w:sz w:val="22"/>
          <w:szCs w:val="22"/>
          <w:u w:val="single"/>
        </w:rPr>
        <w:t xml:space="preserve">    </w:t>
      </w:r>
    </w:p>
    <w:p w14:paraId="58D4C25D">
      <w:pPr>
        <w:spacing w:line="380" w:lineRule="exact"/>
        <w:rPr>
          <w:rFonts w:ascii="宋体" w:cs="Arial"/>
          <w:color w:val="000000"/>
          <w:sz w:val="22"/>
          <w:szCs w:val="22"/>
        </w:rPr>
      </w:pPr>
    </w:p>
    <w:p w14:paraId="12ABDD1F">
      <w:pPr>
        <w:spacing w:line="380" w:lineRule="exact"/>
        <w:ind w:firstLine="418" w:firstLineChars="190"/>
        <w:rPr>
          <w:rFonts w:ascii="宋体" w:cs="Arial"/>
          <w:color w:val="000000"/>
          <w:sz w:val="22"/>
          <w:szCs w:val="22"/>
        </w:rPr>
      </w:pPr>
      <w:r>
        <w:rPr>
          <w:rFonts w:ascii="宋体" w:cs="Arial"/>
          <w:color w:val="000000"/>
          <w:sz w:val="22"/>
          <w:szCs w:val="22"/>
        </w:rPr>
        <w:t>兹证明上述声明是真实、正确的、并提供了全部能提供的资料和数据，我们同意遵照</w:t>
      </w:r>
      <w:r>
        <w:rPr>
          <w:rFonts w:hint="eastAsia" w:ascii="宋体" w:cs="Arial"/>
          <w:color w:val="000000"/>
          <w:sz w:val="22"/>
          <w:szCs w:val="22"/>
        </w:rPr>
        <w:t>采购人</w:t>
      </w:r>
      <w:r>
        <w:rPr>
          <w:rFonts w:ascii="宋体" w:cs="Arial"/>
          <w:color w:val="000000"/>
          <w:sz w:val="22"/>
          <w:szCs w:val="22"/>
        </w:rPr>
        <w:t>要求出示有关证明文件。</w:t>
      </w:r>
    </w:p>
    <w:p w14:paraId="29B86C73">
      <w:pPr>
        <w:spacing w:after="156" w:afterLines="50" w:line="400" w:lineRule="exact"/>
        <w:ind w:firstLine="4412" w:firstLineChars="2101"/>
        <w:rPr>
          <w:rFonts w:ascii="Arial" w:hAnsi="Arial" w:cs="Arial"/>
          <w:color w:val="000000"/>
          <w:szCs w:val="21"/>
        </w:rPr>
      </w:pPr>
      <w:r>
        <w:rPr>
          <w:rFonts w:ascii="Arial" w:hAnsi="宋体" w:cs="Arial"/>
          <w:color w:val="000000"/>
          <w:szCs w:val="21"/>
        </w:rPr>
        <w:t>投标供应商（盖章）：</w:t>
      </w:r>
    </w:p>
    <w:p w14:paraId="5BC00756">
      <w:pPr>
        <w:spacing w:after="156" w:afterLines="50" w:line="400" w:lineRule="exact"/>
        <w:ind w:firstLine="3889" w:firstLineChars="1852"/>
        <w:rPr>
          <w:rFonts w:hint="eastAsia" w:ascii="Arial" w:hAnsi="宋体" w:cs="Arial"/>
          <w:color w:val="000000"/>
          <w:szCs w:val="21"/>
        </w:rPr>
      </w:pPr>
      <w:r>
        <w:rPr>
          <w:rFonts w:ascii="Arial" w:hAnsi="Arial" w:cs="Arial"/>
          <w:color w:val="000000"/>
          <w:szCs w:val="21"/>
        </w:rPr>
        <w:t xml:space="preserve">     </w:t>
      </w:r>
      <w:r>
        <w:rPr>
          <w:rFonts w:ascii="Arial" w:hAnsi="宋体" w:cs="Arial"/>
          <w:color w:val="000000"/>
          <w:szCs w:val="21"/>
        </w:rPr>
        <w:t>法定代表人或授权代表（签字或盖章）：</w:t>
      </w:r>
    </w:p>
    <w:p w14:paraId="1E93D333">
      <w:pPr>
        <w:spacing w:after="156" w:afterLines="50" w:line="400" w:lineRule="exact"/>
        <w:ind w:firstLine="3992" w:firstLineChars="1901"/>
        <w:rPr>
          <w:rFonts w:hint="eastAsia" w:ascii="Arial" w:hAnsi="宋体" w:cs="Arial"/>
          <w:color w:val="000000"/>
          <w:szCs w:val="21"/>
        </w:rPr>
      </w:pPr>
      <w:r>
        <w:rPr>
          <w:rFonts w:hint="eastAsia" w:ascii="Arial" w:hAnsi="宋体" w:cs="Arial"/>
          <w:color w:val="000000"/>
          <w:szCs w:val="21"/>
        </w:rPr>
        <w:t xml:space="preserve">    日期：</w:t>
      </w:r>
    </w:p>
    <w:p w14:paraId="41612EB5">
      <w:pPr>
        <w:pStyle w:val="6"/>
        <w:jc w:val="center"/>
        <w:rPr>
          <w:rFonts w:cs="Arial"/>
          <w:b w:val="0"/>
          <w:bCs w:val="0"/>
          <w:color w:val="000000"/>
          <w:sz w:val="30"/>
        </w:rPr>
      </w:pPr>
      <w:bookmarkStart w:id="122" w:name="_Toc388974305"/>
      <w:bookmarkStart w:id="123" w:name="_Toc388974307"/>
      <w:r>
        <w:rPr>
          <w:rFonts w:hint="eastAsia" w:ascii="宋体" w:hAnsi="宋体" w:eastAsia="宋体"/>
          <w:color w:val="000000"/>
          <w:sz w:val="24"/>
          <w:szCs w:val="24"/>
        </w:rPr>
        <w:br w:type="page"/>
      </w:r>
      <w:bookmarkStart w:id="124" w:name="_Toc5263"/>
      <w:r>
        <w:rPr>
          <w:rFonts w:hint="eastAsia" w:ascii="宋体" w:hAnsi="宋体" w:eastAsia="宋体"/>
          <w:color w:val="000000"/>
          <w:sz w:val="24"/>
          <w:szCs w:val="24"/>
        </w:rPr>
        <w:t>附件5</w:t>
      </w:r>
      <w:r>
        <w:rPr>
          <w:rFonts w:ascii="宋体" w:hAnsi="宋体" w:eastAsia="宋体"/>
          <w:color w:val="000000"/>
          <w:sz w:val="24"/>
          <w:szCs w:val="24"/>
        </w:rPr>
        <w:t xml:space="preserve"> </w:t>
      </w:r>
      <w:r>
        <w:rPr>
          <w:rFonts w:hint="eastAsia" w:ascii="宋体" w:hAnsi="宋体" w:eastAsia="宋体"/>
          <w:color w:val="000000"/>
          <w:sz w:val="24"/>
          <w:szCs w:val="24"/>
        </w:rPr>
        <w:t xml:space="preserve">  投标供应商综合实力</w:t>
      </w:r>
      <w:bookmarkEnd w:id="124"/>
    </w:p>
    <w:p w14:paraId="32D72AA9">
      <w:pPr>
        <w:rPr>
          <w:color w:val="000000"/>
        </w:rPr>
      </w:pPr>
    </w:p>
    <w:p w14:paraId="56DB8277">
      <w:pPr>
        <w:snapToGrid w:val="0"/>
        <w:spacing w:line="360" w:lineRule="exact"/>
        <w:rPr>
          <w:rFonts w:hint="eastAsia" w:ascii="Arial" w:hAnsi="宋体" w:cs="Arial"/>
          <w:b/>
          <w:color w:val="000000"/>
          <w:szCs w:val="22"/>
        </w:rPr>
      </w:pPr>
      <w:r>
        <w:rPr>
          <w:rFonts w:ascii="Arial" w:hAnsi="宋体" w:cs="Arial"/>
          <w:b/>
          <w:color w:val="000000"/>
          <w:szCs w:val="22"/>
        </w:rPr>
        <w:t>包括但不限于（</w:t>
      </w:r>
      <w:r>
        <w:rPr>
          <w:rFonts w:hint="eastAsia" w:ascii="Arial" w:hAnsi="宋体" w:cs="Arial"/>
          <w:b/>
          <w:color w:val="000000"/>
          <w:szCs w:val="22"/>
        </w:rPr>
        <w:t>扫描件</w:t>
      </w:r>
      <w:r>
        <w:rPr>
          <w:rFonts w:ascii="Arial" w:hAnsi="宋体" w:cs="Arial"/>
          <w:b/>
          <w:color w:val="000000"/>
          <w:szCs w:val="22"/>
        </w:rPr>
        <w:t>均须加盖公章）：</w:t>
      </w:r>
    </w:p>
    <w:p w14:paraId="22CDEE34">
      <w:pPr>
        <w:numPr>
          <w:ilvl w:val="0"/>
          <w:numId w:val="14"/>
        </w:numPr>
        <w:snapToGrid w:val="0"/>
        <w:spacing w:line="400" w:lineRule="atLeast"/>
        <w:ind w:firstLine="420" w:firstLineChars="200"/>
        <w:rPr>
          <w:rFonts w:hint="eastAsia" w:ascii="宋体" w:hAnsi="宋体" w:cs="宋体"/>
          <w:szCs w:val="22"/>
        </w:rPr>
      </w:pPr>
      <w:bookmarkStart w:id="125" w:name="_Toc420077691"/>
      <w:r>
        <w:rPr>
          <w:rFonts w:hint="eastAsia" w:ascii="宋体" w:hAnsi="宋体" w:cs="宋体"/>
          <w:szCs w:val="22"/>
        </w:rPr>
        <w:t>投标供应商有效的营业执照；</w:t>
      </w:r>
    </w:p>
    <w:p w14:paraId="726CC542">
      <w:pPr>
        <w:numPr>
          <w:ilvl w:val="0"/>
          <w:numId w:val="14"/>
        </w:numPr>
        <w:snapToGrid w:val="0"/>
        <w:spacing w:line="400" w:lineRule="atLeast"/>
        <w:ind w:firstLine="420" w:firstLineChars="200"/>
        <w:rPr>
          <w:rFonts w:hint="eastAsia" w:ascii="宋体" w:hAnsi="宋体" w:cs="宋体"/>
          <w:szCs w:val="22"/>
        </w:rPr>
      </w:pPr>
      <w:r>
        <w:rPr>
          <w:rFonts w:hint="eastAsia" w:ascii="宋体" w:hAnsi="宋体" w:cs="宋体"/>
          <w:szCs w:val="22"/>
        </w:rPr>
        <w:t>投标供应商资质证书、技术力量证明、获得的荣誉证书（如有）；</w:t>
      </w:r>
    </w:p>
    <w:p w14:paraId="3256C15A">
      <w:pPr>
        <w:numPr>
          <w:ilvl w:val="0"/>
          <w:numId w:val="14"/>
        </w:numPr>
        <w:snapToGrid w:val="0"/>
        <w:spacing w:line="400" w:lineRule="atLeast"/>
        <w:ind w:firstLine="420" w:firstLineChars="200"/>
        <w:rPr>
          <w:rFonts w:hint="eastAsia" w:ascii="宋体" w:hAnsi="宋体" w:cs="宋体"/>
          <w:szCs w:val="22"/>
        </w:rPr>
      </w:pPr>
      <w:r>
        <w:rPr>
          <w:rFonts w:hint="eastAsia" w:ascii="宋体" w:hAnsi="宋体" w:cs="宋体"/>
          <w:szCs w:val="22"/>
        </w:rPr>
        <w:t>投标供应商的认证证书（如有）；</w:t>
      </w:r>
    </w:p>
    <w:p w14:paraId="0330A1AF">
      <w:pPr>
        <w:numPr>
          <w:ilvl w:val="0"/>
          <w:numId w:val="14"/>
        </w:numPr>
        <w:snapToGrid w:val="0"/>
        <w:spacing w:line="400" w:lineRule="atLeast"/>
        <w:ind w:firstLine="420" w:firstLineChars="200"/>
        <w:rPr>
          <w:rFonts w:hint="eastAsia" w:ascii="宋体" w:hAnsi="宋体" w:cs="宋体"/>
          <w:szCs w:val="22"/>
        </w:rPr>
      </w:pPr>
      <w:r>
        <w:rPr>
          <w:rFonts w:hint="eastAsia" w:ascii="宋体" w:hAnsi="宋体" w:cs="宋体"/>
          <w:szCs w:val="22"/>
        </w:rPr>
        <w:t>其他相关证明材料（如有）。</w:t>
      </w:r>
    </w:p>
    <w:p w14:paraId="1C3ADE93">
      <w:pPr>
        <w:snapToGrid w:val="0"/>
        <w:spacing w:line="360" w:lineRule="exact"/>
        <w:ind w:left="1415" w:leftChars="674"/>
        <w:rPr>
          <w:rFonts w:hint="eastAsia" w:ascii="Arial" w:hAnsi="宋体" w:cs="Arial"/>
          <w:bCs/>
          <w:color w:val="000000"/>
          <w:szCs w:val="22"/>
        </w:rPr>
      </w:pPr>
    </w:p>
    <w:p w14:paraId="483EE441">
      <w:pPr>
        <w:spacing w:line="380" w:lineRule="exact"/>
        <w:jc w:val="center"/>
        <w:outlineLvl w:val="0"/>
        <w:rPr>
          <w:rFonts w:hint="eastAsia" w:ascii="宋体" w:hAnsi="宋体" w:cs="宋体"/>
          <w:b/>
          <w:bCs/>
          <w:sz w:val="22"/>
          <w:szCs w:val="22"/>
        </w:rPr>
      </w:pPr>
      <w:r>
        <w:rPr>
          <w:rFonts w:hint="eastAsia" w:ascii="宋体" w:hAnsi="宋体"/>
          <w:color w:val="000000"/>
          <w:sz w:val="24"/>
        </w:rPr>
        <w:br w:type="page"/>
      </w:r>
      <w:bookmarkEnd w:id="122"/>
      <w:bookmarkEnd w:id="123"/>
      <w:bookmarkEnd w:id="125"/>
      <w:bookmarkStart w:id="126" w:name="_Toc11032"/>
      <w:bookmarkStart w:id="127" w:name="_Toc23536"/>
      <w:bookmarkStart w:id="128" w:name="_Toc14035"/>
      <w:bookmarkStart w:id="129" w:name="_Toc388974312"/>
      <w:r>
        <w:rPr>
          <w:rFonts w:hint="eastAsia" w:ascii="宋体" w:hAnsi="宋体"/>
          <w:b/>
          <w:color w:val="000000"/>
          <w:sz w:val="32"/>
          <w:szCs w:val="32"/>
        </w:rPr>
        <w:t>附件6</w:t>
      </w:r>
      <w:r>
        <w:rPr>
          <w:rFonts w:ascii="宋体" w:hAnsi="宋体"/>
          <w:b/>
          <w:color w:val="000000"/>
          <w:sz w:val="32"/>
          <w:szCs w:val="32"/>
        </w:rPr>
        <w:t xml:space="preserve"> </w:t>
      </w:r>
      <w:r>
        <w:rPr>
          <w:rFonts w:hint="eastAsia" w:ascii="宋体" w:hAnsi="宋体"/>
          <w:b/>
          <w:color w:val="000000"/>
          <w:sz w:val="32"/>
          <w:szCs w:val="32"/>
        </w:rPr>
        <w:t xml:space="preserve">  </w:t>
      </w:r>
      <w:bookmarkEnd w:id="126"/>
      <w:r>
        <w:rPr>
          <w:rFonts w:hint="eastAsia" w:ascii="宋体" w:hAnsi="宋体" w:cs="宋体"/>
          <w:b/>
          <w:bCs/>
          <w:sz w:val="28"/>
          <w:szCs w:val="28"/>
          <w:lang w:eastAsia="zh-CN"/>
        </w:rPr>
        <w:t>类似</w:t>
      </w:r>
      <w:r>
        <w:rPr>
          <w:rFonts w:hint="eastAsia" w:ascii="宋体" w:hAnsi="宋体" w:cs="宋体"/>
          <w:b/>
          <w:bCs/>
          <w:sz w:val="28"/>
          <w:szCs w:val="28"/>
        </w:rPr>
        <w:t>项目业绩</w:t>
      </w:r>
      <w:bookmarkEnd w:id="127"/>
      <w:bookmarkEnd w:id="128"/>
    </w:p>
    <w:p w14:paraId="7761814E">
      <w:pPr>
        <w:pStyle w:val="11"/>
      </w:pPr>
    </w:p>
    <w:p w14:paraId="7697D834">
      <w:pPr>
        <w:rPr>
          <w:rFonts w:ascii="宋体"/>
          <w:b/>
          <w:bCs/>
          <w:kern w:val="0"/>
          <w:sz w:val="22"/>
          <w:szCs w:val="22"/>
        </w:rPr>
      </w:pPr>
      <w:r>
        <w:rPr>
          <w:rFonts w:hint="eastAsia" w:ascii="宋体" w:hAnsi="宋体" w:cs="宋体"/>
          <w:b/>
          <w:bCs/>
          <w:sz w:val="22"/>
          <w:szCs w:val="22"/>
        </w:rPr>
        <w:t>项目名称：</w:t>
      </w:r>
      <w:r>
        <w:rPr>
          <w:rFonts w:ascii="宋体" w:hAnsi="宋体" w:cs="宋体"/>
          <w:b/>
          <w:bCs/>
          <w:sz w:val="22"/>
          <w:szCs w:val="22"/>
        </w:rPr>
        <w:t xml:space="preserve">                                         </w:t>
      </w:r>
      <w:r>
        <w:rPr>
          <w:rFonts w:hint="eastAsia" w:ascii="宋体" w:hAnsi="宋体" w:cs="宋体"/>
          <w:b/>
          <w:bCs/>
          <w:sz w:val="22"/>
          <w:szCs w:val="22"/>
        </w:rPr>
        <w:t>项目编号：</w:t>
      </w:r>
    </w:p>
    <w:tbl>
      <w:tblPr>
        <w:tblStyle w:val="23"/>
        <w:tblpPr w:leftFromText="180" w:rightFromText="180" w:vertAnchor="text" w:tblpY="1"/>
        <w:tblOverlap w:val="never"/>
        <w:tblW w:w="9159"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518"/>
        <w:gridCol w:w="2337"/>
        <w:gridCol w:w="1434"/>
        <w:gridCol w:w="1434"/>
        <w:gridCol w:w="1436"/>
      </w:tblGrid>
      <w:tr w14:paraId="454F2A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60" w:hRule="atLeast"/>
        </w:trPr>
        <w:tc>
          <w:tcPr>
            <w:tcW w:w="2518" w:type="dxa"/>
            <w:tcBorders>
              <w:top w:val="single" w:color="auto" w:sz="12" w:space="0"/>
            </w:tcBorders>
            <w:vAlign w:val="center"/>
          </w:tcPr>
          <w:p w14:paraId="59DAEF9B">
            <w:pPr>
              <w:spacing w:line="400" w:lineRule="atLeast"/>
              <w:jc w:val="center"/>
              <w:rPr>
                <w:rFonts w:ascii="宋体"/>
                <w:sz w:val="22"/>
                <w:szCs w:val="22"/>
              </w:rPr>
            </w:pPr>
            <w:r>
              <w:rPr>
                <w:rFonts w:hint="eastAsia" w:ascii="宋体" w:hAnsi="宋体" w:cs="宋体"/>
                <w:sz w:val="22"/>
                <w:szCs w:val="22"/>
              </w:rPr>
              <w:t>项目名称</w:t>
            </w:r>
          </w:p>
        </w:tc>
        <w:tc>
          <w:tcPr>
            <w:tcW w:w="2337" w:type="dxa"/>
            <w:tcBorders>
              <w:top w:val="single" w:color="auto" w:sz="12" w:space="0"/>
            </w:tcBorders>
            <w:vAlign w:val="center"/>
          </w:tcPr>
          <w:p w14:paraId="3AB4C994">
            <w:pPr>
              <w:spacing w:line="400" w:lineRule="atLeast"/>
              <w:jc w:val="center"/>
              <w:rPr>
                <w:rFonts w:ascii="宋体"/>
                <w:sz w:val="22"/>
                <w:szCs w:val="22"/>
              </w:rPr>
            </w:pPr>
            <w:r>
              <w:rPr>
                <w:rFonts w:hint="eastAsia" w:ascii="宋体" w:hAnsi="宋体" w:cs="宋体"/>
                <w:sz w:val="22"/>
                <w:szCs w:val="22"/>
              </w:rPr>
              <w:t>金额</w:t>
            </w:r>
          </w:p>
        </w:tc>
        <w:tc>
          <w:tcPr>
            <w:tcW w:w="1434" w:type="dxa"/>
            <w:tcBorders>
              <w:top w:val="single" w:color="auto" w:sz="12" w:space="0"/>
            </w:tcBorders>
            <w:vAlign w:val="center"/>
          </w:tcPr>
          <w:p w14:paraId="4D9730C2">
            <w:pPr>
              <w:spacing w:line="400" w:lineRule="atLeast"/>
              <w:jc w:val="center"/>
              <w:rPr>
                <w:rFonts w:hint="eastAsia" w:ascii="宋体" w:hAnsi="宋体" w:cs="宋体"/>
                <w:sz w:val="22"/>
                <w:szCs w:val="22"/>
              </w:rPr>
            </w:pPr>
            <w:r>
              <w:rPr>
                <w:rFonts w:hint="eastAsia" w:ascii="宋体" w:hAnsi="宋体" w:cs="宋体"/>
                <w:sz w:val="22"/>
                <w:szCs w:val="22"/>
              </w:rPr>
              <w:t>采购单位</w:t>
            </w:r>
          </w:p>
          <w:p w14:paraId="7EAC5A00">
            <w:pPr>
              <w:spacing w:line="400" w:lineRule="atLeast"/>
              <w:jc w:val="center"/>
              <w:rPr>
                <w:rFonts w:ascii="宋体"/>
                <w:sz w:val="22"/>
                <w:szCs w:val="22"/>
              </w:rPr>
            </w:pPr>
            <w:r>
              <w:rPr>
                <w:rFonts w:hint="eastAsia" w:ascii="宋体" w:hAnsi="宋体" w:cs="宋体"/>
                <w:sz w:val="22"/>
                <w:szCs w:val="22"/>
              </w:rPr>
              <w:t>全称</w:t>
            </w:r>
          </w:p>
        </w:tc>
        <w:tc>
          <w:tcPr>
            <w:tcW w:w="1434" w:type="dxa"/>
            <w:tcBorders>
              <w:top w:val="single" w:color="auto" w:sz="12" w:space="0"/>
            </w:tcBorders>
            <w:vAlign w:val="center"/>
          </w:tcPr>
          <w:p w14:paraId="361AF2B9">
            <w:pPr>
              <w:spacing w:line="400" w:lineRule="atLeast"/>
              <w:jc w:val="center"/>
              <w:rPr>
                <w:rFonts w:ascii="宋体"/>
                <w:sz w:val="22"/>
                <w:szCs w:val="22"/>
              </w:rPr>
            </w:pPr>
            <w:r>
              <w:rPr>
                <w:rFonts w:hint="eastAsia" w:ascii="宋体" w:hAnsi="宋体" w:cs="宋体"/>
                <w:sz w:val="22"/>
                <w:szCs w:val="22"/>
              </w:rPr>
              <w:t>采购单位联系人电话</w:t>
            </w:r>
          </w:p>
        </w:tc>
        <w:tc>
          <w:tcPr>
            <w:tcW w:w="1436" w:type="dxa"/>
            <w:tcBorders>
              <w:top w:val="single" w:color="auto" w:sz="12" w:space="0"/>
            </w:tcBorders>
            <w:vAlign w:val="center"/>
          </w:tcPr>
          <w:p w14:paraId="542C5DFF">
            <w:pPr>
              <w:tabs>
                <w:tab w:val="left" w:pos="692"/>
              </w:tabs>
              <w:spacing w:line="400" w:lineRule="atLeast"/>
              <w:jc w:val="center"/>
              <w:rPr>
                <w:rFonts w:hint="eastAsia" w:ascii="宋体" w:hAnsi="宋体" w:cs="宋体"/>
                <w:sz w:val="22"/>
                <w:szCs w:val="22"/>
              </w:rPr>
            </w:pPr>
            <w:r>
              <w:rPr>
                <w:rFonts w:hint="eastAsia" w:ascii="宋体" w:hAnsi="宋体" w:cs="宋体"/>
                <w:sz w:val="22"/>
                <w:szCs w:val="22"/>
              </w:rPr>
              <w:t>合同签订</w:t>
            </w:r>
          </w:p>
          <w:p w14:paraId="7BB0436F">
            <w:pPr>
              <w:tabs>
                <w:tab w:val="left" w:pos="692"/>
              </w:tabs>
              <w:spacing w:line="400" w:lineRule="atLeast"/>
              <w:jc w:val="center"/>
              <w:rPr>
                <w:rFonts w:ascii="宋体"/>
                <w:b/>
                <w:bCs/>
                <w:sz w:val="22"/>
                <w:szCs w:val="22"/>
                <w:u w:val="thick"/>
              </w:rPr>
            </w:pPr>
            <w:r>
              <w:rPr>
                <w:rFonts w:hint="eastAsia" w:ascii="宋体" w:hAnsi="宋体" w:cs="宋体"/>
                <w:sz w:val="22"/>
                <w:szCs w:val="22"/>
              </w:rPr>
              <w:t>时间</w:t>
            </w:r>
          </w:p>
        </w:tc>
      </w:tr>
      <w:tr w14:paraId="29E9EC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60" w:hRule="atLeast"/>
        </w:trPr>
        <w:tc>
          <w:tcPr>
            <w:tcW w:w="2518" w:type="dxa"/>
          </w:tcPr>
          <w:p w14:paraId="5C4B134B">
            <w:pPr>
              <w:spacing w:line="400" w:lineRule="atLeast"/>
              <w:jc w:val="center"/>
              <w:rPr>
                <w:rFonts w:ascii="宋体"/>
                <w:sz w:val="22"/>
                <w:szCs w:val="22"/>
              </w:rPr>
            </w:pPr>
          </w:p>
        </w:tc>
        <w:tc>
          <w:tcPr>
            <w:tcW w:w="2337" w:type="dxa"/>
          </w:tcPr>
          <w:p w14:paraId="07B57F0A">
            <w:pPr>
              <w:spacing w:line="400" w:lineRule="atLeast"/>
              <w:jc w:val="center"/>
              <w:rPr>
                <w:rFonts w:ascii="宋体"/>
                <w:sz w:val="22"/>
                <w:szCs w:val="22"/>
              </w:rPr>
            </w:pPr>
          </w:p>
        </w:tc>
        <w:tc>
          <w:tcPr>
            <w:tcW w:w="1434" w:type="dxa"/>
          </w:tcPr>
          <w:p w14:paraId="39EC0961">
            <w:pPr>
              <w:spacing w:line="400" w:lineRule="atLeast"/>
              <w:jc w:val="center"/>
              <w:rPr>
                <w:rFonts w:ascii="宋体"/>
                <w:sz w:val="22"/>
                <w:szCs w:val="22"/>
              </w:rPr>
            </w:pPr>
          </w:p>
        </w:tc>
        <w:tc>
          <w:tcPr>
            <w:tcW w:w="1434" w:type="dxa"/>
          </w:tcPr>
          <w:p w14:paraId="42F36236">
            <w:pPr>
              <w:spacing w:line="400" w:lineRule="atLeast"/>
              <w:jc w:val="center"/>
              <w:rPr>
                <w:rFonts w:ascii="宋体"/>
                <w:sz w:val="22"/>
                <w:szCs w:val="22"/>
              </w:rPr>
            </w:pPr>
          </w:p>
        </w:tc>
        <w:tc>
          <w:tcPr>
            <w:tcW w:w="1436" w:type="dxa"/>
          </w:tcPr>
          <w:p w14:paraId="01C07A93">
            <w:pPr>
              <w:spacing w:line="400" w:lineRule="atLeast"/>
              <w:jc w:val="center"/>
              <w:rPr>
                <w:rFonts w:ascii="宋体"/>
                <w:sz w:val="22"/>
                <w:szCs w:val="22"/>
              </w:rPr>
            </w:pPr>
          </w:p>
        </w:tc>
      </w:tr>
      <w:tr w14:paraId="30616A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60" w:hRule="atLeast"/>
        </w:trPr>
        <w:tc>
          <w:tcPr>
            <w:tcW w:w="2518" w:type="dxa"/>
          </w:tcPr>
          <w:p w14:paraId="11B13B94">
            <w:pPr>
              <w:spacing w:line="400" w:lineRule="atLeast"/>
              <w:jc w:val="center"/>
              <w:rPr>
                <w:rFonts w:ascii="宋体"/>
                <w:sz w:val="22"/>
                <w:szCs w:val="22"/>
              </w:rPr>
            </w:pPr>
          </w:p>
        </w:tc>
        <w:tc>
          <w:tcPr>
            <w:tcW w:w="2337" w:type="dxa"/>
          </w:tcPr>
          <w:p w14:paraId="61AA3BE7">
            <w:pPr>
              <w:spacing w:line="400" w:lineRule="atLeast"/>
              <w:jc w:val="center"/>
              <w:rPr>
                <w:rFonts w:ascii="宋体"/>
                <w:sz w:val="22"/>
                <w:szCs w:val="22"/>
              </w:rPr>
            </w:pPr>
          </w:p>
        </w:tc>
        <w:tc>
          <w:tcPr>
            <w:tcW w:w="1434" w:type="dxa"/>
          </w:tcPr>
          <w:p w14:paraId="32EAB6C2">
            <w:pPr>
              <w:spacing w:line="400" w:lineRule="atLeast"/>
              <w:jc w:val="center"/>
              <w:rPr>
                <w:rFonts w:ascii="宋体"/>
                <w:sz w:val="22"/>
                <w:szCs w:val="22"/>
              </w:rPr>
            </w:pPr>
          </w:p>
        </w:tc>
        <w:tc>
          <w:tcPr>
            <w:tcW w:w="1434" w:type="dxa"/>
          </w:tcPr>
          <w:p w14:paraId="36EF0A40">
            <w:pPr>
              <w:spacing w:line="400" w:lineRule="atLeast"/>
              <w:jc w:val="center"/>
              <w:rPr>
                <w:rFonts w:ascii="宋体"/>
                <w:sz w:val="22"/>
                <w:szCs w:val="22"/>
              </w:rPr>
            </w:pPr>
          </w:p>
        </w:tc>
        <w:tc>
          <w:tcPr>
            <w:tcW w:w="1436" w:type="dxa"/>
          </w:tcPr>
          <w:p w14:paraId="20B2FAF8">
            <w:pPr>
              <w:spacing w:line="400" w:lineRule="atLeast"/>
              <w:jc w:val="center"/>
              <w:rPr>
                <w:rFonts w:ascii="宋体"/>
                <w:sz w:val="22"/>
                <w:szCs w:val="22"/>
              </w:rPr>
            </w:pPr>
          </w:p>
        </w:tc>
      </w:tr>
      <w:tr w14:paraId="11EFBB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60" w:hRule="atLeast"/>
        </w:trPr>
        <w:tc>
          <w:tcPr>
            <w:tcW w:w="2518" w:type="dxa"/>
          </w:tcPr>
          <w:p w14:paraId="7D81B422">
            <w:pPr>
              <w:spacing w:line="400" w:lineRule="atLeast"/>
              <w:jc w:val="center"/>
              <w:rPr>
                <w:rFonts w:ascii="宋体"/>
                <w:sz w:val="22"/>
                <w:szCs w:val="22"/>
              </w:rPr>
            </w:pPr>
          </w:p>
        </w:tc>
        <w:tc>
          <w:tcPr>
            <w:tcW w:w="2337" w:type="dxa"/>
          </w:tcPr>
          <w:p w14:paraId="18827B89">
            <w:pPr>
              <w:spacing w:line="400" w:lineRule="atLeast"/>
              <w:jc w:val="center"/>
              <w:rPr>
                <w:rFonts w:ascii="宋体"/>
                <w:sz w:val="22"/>
                <w:szCs w:val="22"/>
              </w:rPr>
            </w:pPr>
          </w:p>
        </w:tc>
        <w:tc>
          <w:tcPr>
            <w:tcW w:w="1434" w:type="dxa"/>
          </w:tcPr>
          <w:p w14:paraId="040722C3">
            <w:pPr>
              <w:spacing w:line="400" w:lineRule="atLeast"/>
              <w:jc w:val="center"/>
              <w:rPr>
                <w:rFonts w:ascii="宋体"/>
                <w:sz w:val="22"/>
                <w:szCs w:val="22"/>
              </w:rPr>
            </w:pPr>
          </w:p>
        </w:tc>
        <w:tc>
          <w:tcPr>
            <w:tcW w:w="1434" w:type="dxa"/>
          </w:tcPr>
          <w:p w14:paraId="2AAEA64A">
            <w:pPr>
              <w:spacing w:line="400" w:lineRule="atLeast"/>
              <w:jc w:val="center"/>
              <w:rPr>
                <w:rFonts w:ascii="宋体"/>
                <w:sz w:val="22"/>
                <w:szCs w:val="22"/>
              </w:rPr>
            </w:pPr>
          </w:p>
        </w:tc>
        <w:tc>
          <w:tcPr>
            <w:tcW w:w="1436" w:type="dxa"/>
          </w:tcPr>
          <w:p w14:paraId="43C89CF4">
            <w:pPr>
              <w:spacing w:line="400" w:lineRule="atLeast"/>
              <w:jc w:val="center"/>
              <w:rPr>
                <w:rFonts w:ascii="宋体"/>
                <w:sz w:val="22"/>
                <w:szCs w:val="22"/>
              </w:rPr>
            </w:pPr>
          </w:p>
        </w:tc>
      </w:tr>
      <w:tr w14:paraId="369E74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60" w:hRule="atLeast"/>
        </w:trPr>
        <w:tc>
          <w:tcPr>
            <w:tcW w:w="2518" w:type="dxa"/>
          </w:tcPr>
          <w:p w14:paraId="64FB48EF">
            <w:pPr>
              <w:spacing w:line="400" w:lineRule="atLeast"/>
              <w:jc w:val="center"/>
              <w:rPr>
                <w:rFonts w:ascii="宋体"/>
                <w:sz w:val="22"/>
                <w:szCs w:val="22"/>
              </w:rPr>
            </w:pPr>
          </w:p>
        </w:tc>
        <w:tc>
          <w:tcPr>
            <w:tcW w:w="2337" w:type="dxa"/>
          </w:tcPr>
          <w:p w14:paraId="515C3F66">
            <w:pPr>
              <w:spacing w:line="400" w:lineRule="atLeast"/>
              <w:jc w:val="center"/>
              <w:rPr>
                <w:rFonts w:ascii="宋体"/>
                <w:sz w:val="22"/>
                <w:szCs w:val="22"/>
              </w:rPr>
            </w:pPr>
          </w:p>
        </w:tc>
        <w:tc>
          <w:tcPr>
            <w:tcW w:w="1434" w:type="dxa"/>
          </w:tcPr>
          <w:p w14:paraId="66708382">
            <w:pPr>
              <w:spacing w:line="400" w:lineRule="atLeast"/>
              <w:jc w:val="center"/>
              <w:rPr>
                <w:rFonts w:ascii="宋体"/>
                <w:sz w:val="22"/>
                <w:szCs w:val="22"/>
              </w:rPr>
            </w:pPr>
          </w:p>
        </w:tc>
        <w:tc>
          <w:tcPr>
            <w:tcW w:w="1434" w:type="dxa"/>
          </w:tcPr>
          <w:p w14:paraId="59163396">
            <w:pPr>
              <w:spacing w:line="400" w:lineRule="atLeast"/>
              <w:jc w:val="center"/>
              <w:rPr>
                <w:rFonts w:ascii="宋体"/>
                <w:sz w:val="22"/>
                <w:szCs w:val="22"/>
              </w:rPr>
            </w:pPr>
          </w:p>
        </w:tc>
        <w:tc>
          <w:tcPr>
            <w:tcW w:w="1436" w:type="dxa"/>
          </w:tcPr>
          <w:p w14:paraId="0A85AAF8">
            <w:pPr>
              <w:spacing w:line="400" w:lineRule="atLeast"/>
              <w:jc w:val="center"/>
              <w:rPr>
                <w:rFonts w:ascii="宋体"/>
                <w:sz w:val="22"/>
                <w:szCs w:val="22"/>
              </w:rPr>
            </w:pPr>
          </w:p>
        </w:tc>
      </w:tr>
      <w:tr w14:paraId="194FE5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60" w:hRule="atLeast"/>
        </w:trPr>
        <w:tc>
          <w:tcPr>
            <w:tcW w:w="2518" w:type="dxa"/>
          </w:tcPr>
          <w:p w14:paraId="2C236E06">
            <w:pPr>
              <w:spacing w:line="400" w:lineRule="atLeast"/>
              <w:jc w:val="center"/>
              <w:rPr>
                <w:rFonts w:ascii="宋体"/>
                <w:sz w:val="22"/>
                <w:szCs w:val="22"/>
              </w:rPr>
            </w:pPr>
          </w:p>
        </w:tc>
        <w:tc>
          <w:tcPr>
            <w:tcW w:w="2337" w:type="dxa"/>
          </w:tcPr>
          <w:p w14:paraId="07C9EAC3">
            <w:pPr>
              <w:spacing w:line="400" w:lineRule="atLeast"/>
              <w:jc w:val="center"/>
              <w:rPr>
                <w:rFonts w:ascii="宋体"/>
                <w:sz w:val="22"/>
                <w:szCs w:val="22"/>
              </w:rPr>
            </w:pPr>
          </w:p>
        </w:tc>
        <w:tc>
          <w:tcPr>
            <w:tcW w:w="1434" w:type="dxa"/>
          </w:tcPr>
          <w:p w14:paraId="5BF6064B">
            <w:pPr>
              <w:spacing w:line="400" w:lineRule="atLeast"/>
              <w:jc w:val="center"/>
              <w:rPr>
                <w:rFonts w:ascii="宋体"/>
                <w:sz w:val="22"/>
                <w:szCs w:val="22"/>
              </w:rPr>
            </w:pPr>
          </w:p>
        </w:tc>
        <w:tc>
          <w:tcPr>
            <w:tcW w:w="1434" w:type="dxa"/>
          </w:tcPr>
          <w:p w14:paraId="46382C73">
            <w:pPr>
              <w:spacing w:line="400" w:lineRule="atLeast"/>
              <w:jc w:val="center"/>
              <w:rPr>
                <w:rFonts w:ascii="宋体"/>
                <w:sz w:val="22"/>
                <w:szCs w:val="22"/>
              </w:rPr>
            </w:pPr>
          </w:p>
        </w:tc>
        <w:tc>
          <w:tcPr>
            <w:tcW w:w="1436" w:type="dxa"/>
          </w:tcPr>
          <w:p w14:paraId="63EFF6CA">
            <w:pPr>
              <w:spacing w:line="400" w:lineRule="atLeast"/>
              <w:jc w:val="center"/>
              <w:rPr>
                <w:rFonts w:ascii="宋体"/>
                <w:sz w:val="22"/>
                <w:szCs w:val="22"/>
              </w:rPr>
            </w:pPr>
          </w:p>
        </w:tc>
      </w:tr>
      <w:tr w14:paraId="72ADFB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60" w:hRule="atLeast"/>
        </w:trPr>
        <w:tc>
          <w:tcPr>
            <w:tcW w:w="2518" w:type="dxa"/>
          </w:tcPr>
          <w:p w14:paraId="77C214E4">
            <w:pPr>
              <w:spacing w:line="400" w:lineRule="atLeast"/>
              <w:jc w:val="center"/>
              <w:rPr>
                <w:rFonts w:ascii="宋体"/>
                <w:sz w:val="22"/>
                <w:szCs w:val="22"/>
              </w:rPr>
            </w:pPr>
          </w:p>
        </w:tc>
        <w:tc>
          <w:tcPr>
            <w:tcW w:w="2337" w:type="dxa"/>
          </w:tcPr>
          <w:p w14:paraId="5EE4378C">
            <w:pPr>
              <w:spacing w:line="400" w:lineRule="atLeast"/>
              <w:jc w:val="center"/>
              <w:rPr>
                <w:rFonts w:ascii="宋体"/>
                <w:sz w:val="22"/>
                <w:szCs w:val="22"/>
              </w:rPr>
            </w:pPr>
          </w:p>
        </w:tc>
        <w:tc>
          <w:tcPr>
            <w:tcW w:w="1434" w:type="dxa"/>
          </w:tcPr>
          <w:p w14:paraId="6D9028B8">
            <w:pPr>
              <w:spacing w:line="400" w:lineRule="atLeast"/>
              <w:jc w:val="center"/>
              <w:rPr>
                <w:rFonts w:ascii="宋体"/>
                <w:sz w:val="22"/>
                <w:szCs w:val="22"/>
              </w:rPr>
            </w:pPr>
          </w:p>
        </w:tc>
        <w:tc>
          <w:tcPr>
            <w:tcW w:w="1434" w:type="dxa"/>
          </w:tcPr>
          <w:p w14:paraId="2CFD6B57">
            <w:pPr>
              <w:spacing w:line="400" w:lineRule="atLeast"/>
              <w:jc w:val="center"/>
              <w:rPr>
                <w:rFonts w:ascii="宋体"/>
                <w:sz w:val="22"/>
                <w:szCs w:val="22"/>
              </w:rPr>
            </w:pPr>
          </w:p>
        </w:tc>
        <w:tc>
          <w:tcPr>
            <w:tcW w:w="1436" w:type="dxa"/>
          </w:tcPr>
          <w:p w14:paraId="27DD5DCE">
            <w:pPr>
              <w:spacing w:line="400" w:lineRule="atLeast"/>
              <w:jc w:val="center"/>
              <w:rPr>
                <w:rFonts w:ascii="宋体"/>
                <w:sz w:val="22"/>
                <w:szCs w:val="22"/>
              </w:rPr>
            </w:pPr>
          </w:p>
        </w:tc>
      </w:tr>
      <w:tr w14:paraId="107895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60" w:hRule="atLeast"/>
        </w:trPr>
        <w:tc>
          <w:tcPr>
            <w:tcW w:w="2518" w:type="dxa"/>
            <w:tcBorders>
              <w:bottom w:val="single" w:color="auto" w:sz="12" w:space="0"/>
            </w:tcBorders>
          </w:tcPr>
          <w:p w14:paraId="4CCE86A6">
            <w:pPr>
              <w:spacing w:line="400" w:lineRule="atLeast"/>
              <w:jc w:val="center"/>
              <w:rPr>
                <w:rFonts w:ascii="宋体"/>
                <w:sz w:val="22"/>
                <w:szCs w:val="22"/>
              </w:rPr>
            </w:pPr>
          </w:p>
        </w:tc>
        <w:tc>
          <w:tcPr>
            <w:tcW w:w="2337" w:type="dxa"/>
            <w:tcBorders>
              <w:bottom w:val="single" w:color="auto" w:sz="12" w:space="0"/>
            </w:tcBorders>
          </w:tcPr>
          <w:p w14:paraId="6085A4BB">
            <w:pPr>
              <w:spacing w:line="400" w:lineRule="atLeast"/>
              <w:jc w:val="center"/>
              <w:rPr>
                <w:rFonts w:ascii="宋体"/>
                <w:sz w:val="22"/>
                <w:szCs w:val="22"/>
              </w:rPr>
            </w:pPr>
          </w:p>
        </w:tc>
        <w:tc>
          <w:tcPr>
            <w:tcW w:w="1434" w:type="dxa"/>
            <w:tcBorders>
              <w:bottom w:val="single" w:color="auto" w:sz="12" w:space="0"/>
            </w:tcBorders>
          </w:tcPr>
          <w:p w14:paraId="763DE69C">
            <w:pPr>
              <w:spacing w:line="400" w:lineRule="atLeast"/>
              <w:jc w:val="center"/>
              <w:rPr>
                <w:rFonts w:ascii="宋体"/>
                <w:sz w:val="22"/>
                <w:szCs w:val="22"/>
              </w:rPr>
            </w:pPr>
          </w:p>
        </w:tc>
        <w:tc>
          <w:tcPr>
            <w:tcW w:w="1434" w:type="dxa"/>
            <w:tcBorders>
              <w:bottom w:val="single" w:color="auto" w:sz="12" w:space="0"/>
            </w:tcBorders>
          </w:tcPr>
          <w:p w14:paraId="422099C4">
            <w:pPr>
              <w:spacing w:line="400" w:lineRule="atLeast"/>
              <w:jc w:val="center"/>
              <w:rPr>
                <w:rFonts w:ascii="宋体"/>
                <w:sz w:val="22"/>
                <w:szCs w:val="22"/>
              </w:rPr>
            </w:pPr>
          </w:p>
        </w:tc>
        <w:tc>
          <w:tcPr>
            <w:tcW w:w="1436" w:type="dxa"/>
            <w:tcBorders>
              <w:bottom w:val="single" w:color="auto" w:sz="12" w:space="0"/>
            </w:tcBorders>
          </w:tcPr>
          <w:p w14:paraId="1D8BACDD">
            <w:pPr>
              <w:spacing w:line="400" w:lineRule="atLeast"/>
              <w:jc w:val="center"/>
              <w:rPr>
                <w:rFonts w:ascii="宋体"/>
                <w:sz w:val="22"/>
                <w:szCs w:val="22"/>
              </w:rPr>
            </w:pPr>
          </w:p>
        </w:tc>
      </w:tr>
    </w:tbl>
    <w:p w14:paraId="29FFDA37">
      <w:pPr>
        <w:spacing w:line="500" w:lineRule="exact"/>
        <w:rPr>
          <w:rFonts w:ascii="宋体"/>
          <w:sz w:val="22"/>
          <w:szCs w:val="22"/>
        </w:rPr>
      </w:pPr>
      <w:r>
        <w:rPr>
          <w:rFonts w:hint="eastAsia" w:ascii="宋体" w:hAnsi="宋体" w:cs="宋体"/>
          <w:sz w:val="22"/>
          <w:szCs w:val="22"/>
        </w:rPr>
        <w:t>注：</w:t>
      </w:r>
      <w:r>
        <w:rPr>
          <w:rFonts w:ascii="宋体" w:hAnsi="宋体" w:cs="宋体"/>
          <w:sz w:val="22"/>
          <w:szCs w:val="22"/>
        </w:rPr>
        <w:t xml:space="preserve">1. </w:t>
      </w:r>
      <w:r>
        <w:rPr>
          <w:rFonts w:hint="eastAsia" w:ascii="宋体" w:hAnsi="宋体" w:cs="宋体"/>
          <w:sz w:val="22"/>
          <w:szCs w:val="22"/>
        </w:rPr>
        <w:t>此表仅提供了表格形式，投标供应商应根据需要准备足够数量的表格来填写。</w:t>
      </w:r>
    </w:p>
    <w:p w14:paraId="1693BFA3">
      <w:pPr>
        <w:spacing w:line="500" w:lineRule="exact"/>
        <w:rPr>
          <w:rFonts w:ascii="宋体"/>
          <w:b/>
          <w:bCs/>
          <w:sz w:val="22"/>
          <w:szCs w:val="22"/>
        </w:rPr>
      </w:pPr>
      <w:r>
        <w:rPr>
          <w:rFonts w:ascii="宋体" w:hAnsi="宋体" w:cs="宋体"/>
          <w:b/>
          <w:bCs/>
          <w:sz w:val="22"/>
          <w:szCs w:val="22"/>
        </w:rPr>
        <w:t xml:space="preserve">2. </w:t>
      </w:r>
      <w:r>
        <w:rPr>
          <w:rFonts w:hint="eastAsia" w:ascii="宋体" w:hAnsi="宋体" w:cs="宋体"/>
          <w:b/>
          <w:bCs/>
          <w:sz w:val="22"/>
          <w:szCs w:val="22"/>
        </w:rPr>
        <w:t>有效业绩认定必须同时满足以下要求，否则视为无效业绩，不计入评分计算：</w:t>
      </w:r>
    </w:p>
    <w:p w14:paraId="179A7EDC">
      <w:pPr>
        <w:numPr>
          <w:ilvl w:val="0"/>
          <w:numId w:val="15"/>
        </w:numPr>
        <w:spacing w:line="500" w:lineRule="exact"/>
        <w:rPr>
          <w:rFonts w:ascii="宋体"/>
          <w:sz w:val="22"/>
          <w:szCs w:val="22"/>
        </w:rPr>
      </w:pPr>
      <w:r>
        <w:rPr>
          <w:rFonts w:hint="eastAsia" w:ascii="宋体" w:hAnsi="宋体" w:cs="宋体"/>
          <w:sz w:val="22"/>
          <w:szCs w:val="22"/>
        </w:rPr>
        <w:t>业绩均需另提供证明材料，以合同扫描件或复印件加盖公章为准，</w:t>
      </w:r>
      <w:r>
        <w:rPr>
          <w:rFonts w:hint="eastAsia" w:ascii="宋体" w:hAnsi="宋体" w:cs="宋体"/>
          <w:bCs/>
          <w:spacing w:val="-4"/>
          <w:sz w:val="22"/>
          <w:szCs w:val="22"/>
        </w:rPr>
        <w:t>如合同无法体现项目内容、时间等的需另附业主证明材料</w:t>
      </w:r>
      <w:r>
        <w:rPr>
          <w:rFonts w:hint="eastAsia" w:ascii="宋体" w:hAnsi="宋体" w:cs="宋体"/>
          <w:b/>
          <w:bCs/>
          <w:sz w:val="22"/>
          <w:szCs w:val="22"/>
        </w:rPr>
        <w:t>；</w:t>
      </w:r>
    </w:p>
    <w:p w14:paraId="40DBB4CF">
      <w:pPr>
        <w:spacing w:line="380" w:lineRule="exact"/>
        <w:ind w:left="663" w:hanging="663" w:hangingChars="300"/>
        <w:rPr>
          <w:rFonts w:ascii="宋体"/>
          <w:b/>
          <w:bCs/>
          <w:sz w:val="22"/>
          <w:szCs w:val="22"/>
        </w:rPr>
      </w:pPr>
      <w:r>
        <w:rPr>
          <w:rFonts w:ascii="宋体" w:hAnsi="宋体" w:cs="宋体"/>
          <w:b/>
          <w:bCs/>
          <w:sz w:val="22"/>
          <w:szCs w:val="22"/>
          <w:u w:val="thick"/>
        </w:rPr>
        <w:t xml:space="preserve">3. </w:t>
      </w:r>
      <w:r>
        <w:rPr>
          <w:rFonts w:hint="eastAsia" w:ascii="宋体" w:hAnsi="宋体" w:cs="宋体"/>
          <w:b/>
          <w:bCs/>
          <w:sz w:val="22"/>
          <w:szCs w:val="22"/>
          <w:u w:val="thick"/>
        </w:rPr>
        <w:t>投标供应商不按此要求填写此项内容或未提供业绩证明材料将视为无业绩。</w:t>
      </w:r>
    </w:p>
    <w:p w14:paraId="0F032C05">
      <w:pPr>
        <w:tabs>
          <w:tab w:val="left" w:pos="5355"/>
        </w:tabs>
        <w:spacing w:line="430" w:lineRule="exact"/>
        <w:rPr>
          <w:rFonts w:ascii="宋体"/>
          <w:sz w:val="22"/>
          <w:szCs w:val="22"/>
        </w:rPr>
      </w:pPr>
    </w:p>
    <w:p w14:paraId="21DACC59">
      <w:pPr>
        <w:spacing w:line="360" w:lineRule="auto"/>
        <w:rPr>
          <w:rFonts w:hint="eastAsia" w:ascii="宋体" w:hAnsi="宋体" w:cs="宋体"/>
          <w:sz w:val="22"/>
          <w:szCs w:val="22"/>
        </w:rPr>
      </w:pPr>
    </w:p>
    <w:p w14:paraId="4DCD5AB5">
      <w:pPr>
        <w:spacing w:line="360" w:lineRule="auto"/>
        <w:ind w:firstLine="3080" w:firstLineChars="1400"/>
        <w:rPr>
          <w:rFonts w:ascii="宋体"/>
          <w:sz w:val="22"/>
          <w:szCs w:val="22"/>
        </w:rPr>
      </w:pPr>
      <w:r>
        <w:rPr>
          <w:rFonts w:hint="eastAsia" w:ascii="宋体" w:hAnsi="宋体" w:cs="宋体"/>
          <w:sz w:val="22"/>
          <w:szCs w:val="22"/>
        </w:rPr>
        <w:t>投标供应商全称（盖章）：</w:t>
      </w:r>
    </w:p>
    <w:p w14:paraId="33E6F04B">
      <w:pPr>
        <w:spacing w:line="360" w:lineRule="auto"/>
        <w:ind w:firstLine="3080" w:firstLineChars="1400"/>
        <w:rPr>
          <w:rFonts w:ascii="宋体"/>
          <w:sz w:val="22"/>
          <w:szCs w:val="22"/>
        </w:rPr>
      </w:pPr>
      <w:r>
        <w:rPr>
          <w:rFonts w:hint="eastAsia" w:ascii="宋体" w:hAnsi="宋体" w:cs="宋体"/>
          <w:sz w:val="22"/>
          <w:szCs w:val="22"/>
        </w:rPr>
        <w:t>法定代表人（或单位负责人）或授权代表（签字或盖章）：</w:t>
      </w:r>
    </w:p>
    <w:p w14:paraId="3A4D5033">
      <w:pPr>
        <w:spacing w:line="360" w:lineRule="auto"/>
        <w:ind w:firstLine="3080" w:firstLineChars="1400"/>
        <w:rPr>
          <w:rFonts w:ascii="宋体"/>
          <w:b/>
          <w:bCs/>
          <w:sz w:val="22"/>
          <w:szCs w:val="22"/>
        </w:rPr>
      </w:pPr>
      <w:r>
        <w:rPr>
          <w:rFonts w:hint="eastAsia" w:ascii="宋体" w:hAnsi="宋体" w:cs="宋体"/>
          <w:sz w:val="22"/>
          <w:szCs w:val="22"/>
        </w:rPr>
        <w:t>日期：</w:t>
      </w:r>
      <w:r>
        <w:rPr>
          <w:rFonts w:ascii="宋体" w:hAnsi="宋体" w:cs="宋体"/>
          <w:sz w:val="22"/>
          <w:szCs w:val="22"/>
        </w:rPr>
        <w:t xml:space="preserve">  </w:t>
      </w:r>
      <w:r>
        <w:rPr>
          <w:rFonts w:hint="eastAsia" w:ascii="宋体" w:hAnsi="宋体" w:cs="宋体"/>
          <w:sz w:val="22"/>
          <w:szCs w:val="22"/>
        </w:rPr>
        <w:t>年</w:t>
      </w:r>
      <w:r>
        <w:rPr>
          <w:rFonts w:ascii="宋体" w:hAnsi="宋体" w:cs="宋体"/>
          <w:sz w:val="22"/>
          <w:szCs w:val="22"/>
        </w:rPr>
        <w:t xml:space="preserve">   </w:t>
      </w:r>
      <w:r>
        <w:rPr>
          <w:rFonts w:hint="eastAsia" w:ascii="宋体" w:hAnsi="宋体" w:cs="宋体"/>
          <w:sz w:val="22"/>
          <w:szCs w:val="22"/>
        </w:rPr>
        <w:t>月</w:t>
      </w:r>
      <w:r>
        <w:rPr>
          <w:rFonts w:ascii="宋体" w:hAnsi="宋体" w:cs="宋体"/>
          <w:sz w:val="22"/>
          <w:szCs w:val="22"/>
        </w:rPr>
        <w:t xml:space="preserve">  </w:t>
      </w:r>
      <w:r>
        <w:rPr>
          <w:rFonts w:hint="eastAsia" w:ascii="宋体" w:hAnsi="宋体" w:cs="宋体"/>
          <w:sz w:val="22"/>
          <w:szCs w:val="22"/>
        </w:rPr>
        <w:t>日</w:t>
      </w:r>
      <w:r>
        <w:rPr>
          <w:rFonts w:ascii="宋体" w:hAnsi="宋体" w:cs="宋体"/>
          <w:sz w:val="22"/>
          <w:szCs w:val="22"/>
        </w:rPr>
        <w:t xml:space="preserve">  </w:t>
      </w:r>
    </w:p>
    <w:p w14:paraId="1A5627C1">
      <w:pPr>
        <w:spacing w:line="400" w:lineRule="exact"/>
        <w:ind w:firstLine="4353" w:firstLineChars="2073"/>
        <w:rPr>
          <w:rFonts w:hint="eastAsia" w:ascii="Arial" w:hAnsi="宋体" w:cs="Arial"/>
          <w:color w:val="000000"/>
          <w:kern w:val="0"/>
          <w:szCs w:val="21"/>
        </w:rPr>
      </w:pPr>
    </w:p>
    <w:p w14:paraId="58FE1A3B">
      <w:pPr>
        <w:pStyle w:val="6"/>
        <w:jc w:val="center"/>
        <w:rPr>
          <w:rFonts w:hint="eastAsia" w:ascii="宋体" w:hAnsi="宋体" w:eastAsia="宋体"/>
          <w:color w:val="000000"/>
          <w:sz w:val="24"/>
          <w:szCs w:val="24"/>
        </w:rPr>
      </w:pPr>
      <w:bookmarkStart w:id="130" w:name="_Toc1716"/>
      <w:r>
        <w:rPr>
          <w:rFonts w:hint="eastAsia" w:ascii="宋体" w:hAnsi="宋体" w:eastAsia="宋体"/>
          <w:color w:val="000000"/>
          <w:sz w:val="24"/>
          <w:szCs w:val="24"/>
        </w:rPr>
        <w:br w:type="page"/>
      </w:r>
      <w:bookmarkEnd w:id="130"/>
      <w:bookmarkStart w:id="131" w:name="_Toc388974306"/>
      <w:bookmarkStart w:id="132" w:name="_Toc15511"/>
      <w:bookmarkStart w:id="133" w:name="_Toc28142"/>
      <w:bookmarkStart w:id="134" w:name="_Toc412788178"/>
      <w:r>
        <w:rPr>
          <w:rFonts w:hint="eastAsia" w:ascii="宋体" w:hAnsi="宋体" w:eastAsia="宋体"/>
          <w:bCs w:val="0"/>
          <w:color w:val="000000"/>
          <w:sz w:val="24"/>
          <w:szCs w:val="24"/>
        </w:rPr>
        <w:t>附件7</w:t>
      </w:r>
      <w:r>
        <w:rPr>
          <w:rFonts w:ascii="宋体" w:hAnsi="宋体" w:eastAsia="宋体"/>
          <w:bCs w:val="0"/>
          <w:color w:val="000000"/>
          <w:sz w:val="24"/>
          <w:szCs w:val="24"/>
        </w:rPr>
        <w:t xml:space="preserve"> </w:t>
      </w:r>
      <w:r>
        <w:rPr>
          <w:rFonts w:hint="eastAsia" w:ascii="宋体" w:hAnsi="宋体" w:eastAsia="宋体"/>
          <w:bCs w:val="0"/>
          <w:color w:val="000000"/>
          <w:sz w:val="24"/>
          <w:szCs w:val="24"/>
        </w:rPr>
        <w:t xml:space="preserve"> </w:t>
      </w:r>
      <w:r>
        <w:rPr>
          <w:rFonts w:ascii="宋体" w:hAnsi="宋体" w:eastAsia="宋体"/>
          <w:bCs w:val="0"/>
          <w:color w:val="000000"/>
          <w:sz w:val="24"/>
          <w:szCs w:val="24"/>
        </w:rPr>
        <w:t xml:space="preserve"> 技术（或商务）偏离表</w:t>
      </w:r>
      <w:bookmarkEnd w:id="131"/>
      <w:bookmarkEnd w:id="132"/>
      <w:bookmarkEnd w:id="133"/>
      <w:bookmarkEnd w:id="134"/>
    </w:p>
    <w:p w14:paraId="1897EDF7">
      <w:pPr>
        <w:jc w:val="center"/>
        <w:rPr>
          <w:color w:val="000000"/>
        </w:rPr>
      </w:pPr>
      <w:r>
        <w:rPr>
          <w:color w:val="000000"/>
        </w:rPr>
        <w:t>（商务和技术须分别填写）</w:t>
      </w:r>
    </w:p>
    <w:p w14:paraId="56482FB7">
      <w:pPr>
        <w:rPr>
          <w:color w:val="000000"/>
        </w:rPr>
      </w:pPr>
      <w:r>
        <w:rPr>
          <w:rFonts w:hint="eastAsia"/>
          <w:color w:val="000000"/>
        </w:rPr>
        <w:t xml:space="preserve">项目名称：   </w:t>
      </w:r>
    </w:p>
    <w:tbl>
      <w:tblPr>
        <w:tblStyle w:val="23"/>
        <w:tblW w:w="9052"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81"/>
        <w:gridCol w:w="3878"/>
      </w:tblGrid>
      <w:tr w14:paraId="3EE295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93" w:type="dxa"/>
            <w:vAlign w:val="center"/>
          </w:tcPr>
          <w:p w14:paraId="1AD5F379">
            <w:pPr>
              <w:jc w:val="center"/>
              <w:rPr>
                <w:rFonts w:ascii="Arial" w:hAnsi="Arial" w:cs="Arial"/>
                <w:b/>
                <w:bCs/>
                <w:color w:val="000000"/>
              </w:rPr>
            </w:pPr>
            <w:r>
              <w:rPr>
                <w:rFonts w:ascii="Arial" w:hAnsi="宋体" w:cs="Arial"/>
                <w:b/>
                <w:bCs/>
                <w:color w:val="000000"/>
              </w:rPr>
              <w:t>序号</w:t>
            </w:r>
          </w:p>
        </w:tc>
        <w:tc>
          <w:tcPr>
            <w:tcW w:w="4181" w:type="dxa"/>
            <w:vAlign w:val="center"/>
          </w:tcPr>
          <w:p w14:paraId="758E7E80">
            <w:pPr>
              <w:jc w:val="center"/>
              <w:rPr>
                <w:rFonts w:ascii="Arial" w:hAnsi="Arial" w:cs="Arial"/>
                <w:b/>
                <w:bCs/>
                <w:color w:val="000000"/>
              </w:rPr>
            </w:pPr>
            <w:r>
              <w:rPr>
                <w:rFonts w:ascii="Arial" w:hAnsi="宋体" w:cs="Arial"/>
                <w:b/>
                <w:bCs/>
                <w:color w:val="000000"/>
              </w:rPr>
              <w:t>招标文件重述</w:t>
            </w:r>
          </w:p>
        </w:tc>
        <w:tc>
          <w:tcPr>
            <w:tcW w:w="3878" w:type="dxa"/>
            <w:vAlign w:val="center"/>
          </w:tcPr>
          <w:p w14:paraId="1116A6F9">
            <w:pPr>
              <w:jc w:val="center"/>
              <w:rPr>
                <w:rFonts w:ascii="Arial" w:hAnsi="Arial" w:cs="Arial"/>
                <w:b/>
                <w:bCs/>
                <w:color w:val="000000"/>
              </w:rPr>
            </w:pPr>
            <w:r>
              <w:rPr>
                <w:rFonts w:ascii="Arial" w:hAnsi="宋体" w:cs="Arial"/>
                <w:b/>
                <w:bCs/>
                <w:color w:val="000000"/>
              </w:rPr>
              <w:t>投标供应商偏离</w:t>
            </w:r>
          </w:p>
        </w:tc>
      </w:tr>
      <w:tr w14:paraId="549A3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5" w:hRule="atLeast"/>
        </w:trPr>
        <w:tc>
          <w:tcPr>
            <w:tcW w:w="993" w:type="dxa"/>
          </w:tcPr>
          <w:p w14:paraId="032AEFCF">
            <w:pPr>
              <w:ind w:firstLine="592"/>
              <w:jc w:val="left"/>
              <w:rPr>
                <w:rFonts w:ascii="Arial" w:hAnsi="Arial" w:cs="Arial"/>
                <w:color w:val="000000"/>
              </w:rPr>
            </w:pPr>
          </w:p>
        </w:tc>
        <w:tc>
          <w:tcPr>
            <w:tcW w:w="4181" w:type="dxa"/>
          </w:tcPr>
          <w:p w14:paraId="34BF290F">
            <w:pPr>
              <w:ind w:firstLine="592"/>
              <w:jc w:val="left"/>
              <w:rPr>
                <w:rFonts w:ascii="Arial" w:hAnsi="Arial" w:cs="Arial"/>
                <w:color w:val="000000"/>
              </w:rPr>
            </w:pPr>
          </w:p>
        </w:tc>
        <w:tc>
          <w:tcPr>
            <w:tcW w:w="3878" w:type="dxa"/>
          </w:tcPr>
          <w:p w14:paraId="0630B0D8">
            <w:pPr>
              <w:ind w:firstLine="592"/>
              <w:jc w:val="left"/>
              <w:rPr>
                <w:rFonts w:ascii="Arial" w:hAnsi="Arial" w:cs="Arial"/>
                <w:color w:val="000000"/>
              </w:rPr>
            </w:pPr>
          </w:p>
        </w:tc>
      </w:tr>
    </w:tbl>
    <w:p w14:paraId="3516470B">
      <w:pPr>
        <w:spacing w:before="468" w:beforeLines="150" w:after="156" w:afterLines="50" w:line="360" w:lineRule="auto"/>
        <w:rPr>
          <w:rFonts w:ascii="Arial" w:hAnsi="Arial" w:cs="Arial"/>
          <w:color w:val="000000"/>
        </w:rPr>
      </w:pPr>
      <w:r>
        <w:rPr>
          <w:rFonts w:ascii="Arial" w:hAnsi="宋体" w:cs="Arial"/>
          <w:snapToGrid w:val="0"/>
          <w:color w:val="000000"/>
          <w:kern w:val="0"/>
        </w:rPr>
        <w:t>注：如不填写，则视为完全响应招标文件的技术及商务要求</w:t>
      </w:r>
      <w:r>
        <w:rPr>
          <w:rFonts w:ascii="Arial" w:hAnsi="宋体" w:cs="Arial"/>
          <w:color w:val="000000"/>
        </w:rPr>
        <w:t>。</w:t>
      </w:r>
    </w:p>
    <w:p w14:paraId="180552BB">
      <w:pPr>
        <w:spacing w:line="400" w:lineRule="exact"/>
        <w:ind w:firstLine="4353" w:firstLineChars="2073"/>
        <w:rPr>
          <w:rFonts w:ascii="Arial" w:hAnsi="Arial" w:cs="Arial"/>
          <w:color w:val="000000"/>
          <w:kern w:val="0"/>
          <w:szCs w:val="21"/>
        </w:rPr>
      </w:pPr>
      <w:r>
        <w:rPr>
          <w:rFonts w:ascii="Arial" w:hAnsi="宋体" w:cs="Arial"/>
          <w:color w:val="000000"/>
          <w:kern w:val="0"/>
          <w:szCs w:val="21"/>
        </w:rPr>
        <w:t>投标供应商（公章）：</w:t>
      </w:r>
    </w:p>
    <w:p w14:paraId="16119E1C">
      <w:pPr>
        <w:spacing w:line="400" w:lineRule="exact"/>
        <w:ind w:firstLine="4353" w:firstLineChars="2073"/>
        <w:rPr>
          <w:rFonts w:ascii="Arial" w:hAnsi="Arial" w:cs="Arial"/>
          <w:color w:val="000000"/>
          <w:kern w:val="0"/>
          <w:szCs w:val="21"/>
        </w:rPr>
      </w:pPr>
      <w:r>
        <w:rPr>
          <w:rFonts w:ascii="Arial" w:hAnsi="宋体" w:cs="Arial"/>
          <w:color w:val="000000"/>
          <w:kern w:val="0"/>
          <w:szCs w:val="21"/>
        </w:rPr>
        <w:t>法定代表人或授权代表（签字或盖章）：</w:t>
      </w:r>
    </w:p>
    <w:p w14:paraId="3247A569">
      <w:pPr>
        <w:spacing w:line="400" w:lineRule="exact"/>
        <w:ind w:firstLine="4353" w:firstLineChars="2073"/>
        <w:rPr>
          <w:rFonts w:hint="eastAsia" w:ascii="Arial" w:hAnsi="宋体" w:cs="Arial"/>
          <w:color w:val="000000"/>
          <w:kern w:val="0"/>
          <w:szCs w:val="21"/>
        </w:rPr>
      </w:pPr>
      <w:r>
        <w:rPr>
          <w:rFonts w:ascii="Arial" w:hAnsi="宋体" w:cs="Arial"/>
          <w:color w:val="000000"/>
          <w:kern w:val="0"/>
          <w:szCs w:val="21"/>
        </w:rPr>
        <w:t>日期：</w:t>
      </w:r>
    </w:p>
    <w:p w14:paraId="21E25942">
      <w:pPr>
        <w:pStyle w:val="6"/>
        <w:jc w:val="center"/>
        <w:rPr>
          <w:rFonts w:hint="eastAsia" w:ascii="宋体" w:hAnsi="宋体" w:eastAsia="宋体"/>
          <w:color w:val="000000"/>
          <w:sz w:val="24"/>
          <w:szCs w:val="24"/>
        </w:rPr>
      </w:pPr>
      <w:bookmarkStart w:id="135" w:name="_Toc15687"/>
      <w:bookmarkStart w:id="136" w:name="_Toc420077694"/>
      <w:r>
        <w:rPr>
          <w:rFonts w:hint="eastAsia" w:ascii="宋体" w:hAnsi="宋体" w:eastAsia="宋体"/>
          <w:color w:val="000000"/>
          <w:sz w:val="24"/>
          <w:szCs w:val="24"/>
        </w:rPr>
        <w:br w:type="page"/>
      </w:r>
      <w:bookmarkStart w:id="137" w:name="_Toc21062"/>
      <w:bookmarkStart w:id="138" w:name="_Toc94001207"/>
      <w:r>
        <w:rPr>
          <w:rFonts w:hint="eastAsia" w:ascii="宋体" w:hAnsi="宋体" w:eastAsia="宋体"/>
          <w:bCs w:val="0"/>
          <w:color w:val="000000"/>
        </w:rPr>
        <w:t>附件8   人员配置一览表</w:t>
      </w:r>
      <w:bookmarkEnd w:id="137"/>
    </w:p>
    <w:p w14:paraId="7EF86571">
      <w:pPr>
        <w:spacing w:before="156" w:beforeLines="50" w:line="400" w:lineRule="exact"/>
        <w:rPr>
          <w:b/>
          <w:bCs/>
          <w:color w:val="000000"/>
          <w:sz w:val="30"/>
        </w:rPr>
      </w:pPr>
      <w:r>
        <w:rPr>
          <w:rFonts w:hint="eastAsia"/>
          <w:color w:val="000000"/>
        </w:rPr>
        <w:t xml:space="preserve">项目名称：                                        </w:t>
      </w:r>
      <w:r>
        <w:rPr>
          <w:rFonts w:hint="eastAsia" w:ascii="宋体" w:hAnsi="宋体" w:cs="宋体"/>
          <w:b/>
          <w:color w:val="000000"/>
          <w:szCs w:val="21"/>
        </w:rPr>
        <w:t>项目编号：</w:t>
      </w:r>
    </w:p>
    <w:tbl>
      <w:tblPr>
        <w:tblStyle w:val="23"/>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970"/>
        <w:gridCol w:w="1130"/>
        <w:gridCol w:w="1390"/>
        <w:gridCol w:w="1026"/>
        <w:gridCol w:w="1354"/>
        <w:gridCol w:w="1920"/>
        <w:gridCol w:w="1099"/>
      </w:tblGrid>
      <w:tr w14:paraId="55DD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991" w:type="dxa"/>
            <w:vAlign w:val="center"/>
          </w:tcPr>
          <w:p w14:paraId="0E712E22">
            <w:pPr>
              <w:spacing w:line="360" w:lineRule="exact"/>
              <w:jc w:val="center"/>
              <w:rPr>
                <w:rFonts w:ascii="宋体" w:cs="Arial"/>
                <w:b/>
                <w:sz w:val="22"/>
                <w:szCs w:val="22"/>
              </w:rPr>
            </w:pPr>
            <w:r>
              <w:rPr>
                <w:rFonts w:hint="eastAsia" w:ascii="宋体" w:cs="Arial"/>
                <w:b/>
                <w:sz w:val="22"/>
                <w:szCs w:val="22"/>
              </w:rPr>
              <w:t>序号</w:t>
            </w:r>
          </w:p>
        </w:tc>
        <w:tc>
          <w:tcPr>
            <w:tcW w:w="970" w:type="dxa"/>
            <w:vAlign w:val="center"/>
          </w:tcPr>
          <w:p w14:paraId="05687BB6">
            <w:pPr>
              <w:spacing w:line="360" w:lineRule="exact"/>
              <w:jc w:val="center"/>
              <w:rPr>
                <w:rFonts w:ascii="宋体" w:cs="Arial"/>
                <w:b/>
                <w:sz w:val="22"/>
                <w:szCs w:val="22"/>
              </w:rPr>
            </w:pPr>
            <w:r>
              <w:rPr>
                <w:rFonts w:ascii="宋体" w:cs="Arial"/>
                <w:b/>
                <w:sz w:val="22"/>
                <w:szCs w:val="22"/>
              </w:rPr>
              <w:t>姓名</w:t>
            </w:r>
          </w:p>
        </w:tc>
        <w:tc>
          <w:tcPr>
            <w:tcW w:w="1130" w:type="dxa"/>
            <w:vAlign w:val="center"/>
          </w:tcPr>
          <w:p w14:paraId="66D8BB21">
            <w:pPr>
              <w:spacing w:line="360" w:lineRule="exact"/>
              <w:jc w:val="center"/>
              <w:rPr>
                <w:rFonts w:ascii="宋体" w:cs="Arial"/>
                <w:b/>
                <w:sz w:val="22"/>
                <w:szCs w:val="22"/>
              </w:rPr>
            </w:pPr>
            <w:r>
              <w:rPr>
                <w:rFonts w:ascii="宋体" w:cs="Arial"/>
                <w:b/>
                <w:sz w:val="22"/>
                <w:szCs w:val="22"/>
              </w:rPr>
              <w:t>性别</w:t>
            </w:r>
          </w:p>
        </w:tc>
        <w:tc>
          <w:tcPr>
            <w:tcW w:w="1390" w:type="dxa"/>
            <w:vAlign w:val="center"/>
          </w:tcPr>
          <w:p w14:paraId="41A21155">
            <w:pPr>
              <w:spacing w:line="360" w:lineRule="exact"/>
              <w:jc w:val="center"/>
              <w:rPr>
                <w:rFonts w:ascii="宋体" w:cs="Arial"/>
                <w:b/>
                <w:sz w:val="22"/>
                <w:szCs w:val="22"/>
              </w:rPr>
            </w:pPr>
            <w:r>
              <w:rPr>
                <w:rFonts w:hint="eastAsia" w:ascii="宋体" w:cs="Arial"/>
                <w:b/>
                <w:sz w:val="22"/>
                <w:szCs w:val="22"/>
              </w:rPr>
              <w:t>专业、学历</w:t>
            </w:r>
          </w:p>
        </w:tc>
        <w:tc>
          <w:tcPr>
            <w:tcW w:w="1026" w:type="dxa"/>
            <w:vAlign w:val="center"/>
          </w:tcPr>
          <w:p w14:paraId="2F1BC13C">
            <w:pPr>
              <w:spacing w:line="360" w:lineRule="exact"/>
              <w:jc w:val="center"/>
              <w:rPr>
                <w:rFonts w:ascii="宋体" w:cs="Arial"/>
                <w:b/>
                <w:sz w:val="22"/>
                <w:szCs w:val="22"/>
              </w:rPr>
            </w:pPr>
            <w:r>
              <w:rPr>
                <w:rFonts w:ascii="宋体" w:cs="Arial"/>
                <w:b/>
                <w:sz w:val="22"/>
                <w:szCs w:val="22"/>
              </w:rPr>
              <w:t>职称</w:t>
            </w:r>
          </w:p>
        </w:tc>
        <w:tc>
          <w:tcPr>
            <w:tcW w:w="1354" w:type="dxa"/>
            <w:vAlign w:val="center"/>
          </w:tcPr>
          <w:p w14:paraId="479A6BDB">
            <w:pPr>
              <w:adjustRightInd w:val="0"/>
              <w:snapToGrid w:val="0"/>
              <w:jc w:val="center"/>
              <w:rPr>
                <w:rFonts w:ascii="宋体" w:cs="Arial"/>
                <w:b/>
                <w:sz w:val="22"/>
                <w:szCs w:val="22"/>
              </w:rPr>
            </w:pPr>
            <w:r>
              <w:rPr>
                <w:rFonts w:hint="eastAsia" w:ascii="宋体"/>
                <w:b/>
                <w:sz w:val="22"/>
                <w:szCs w:val="22"/>
              </w:rPr>
              <w:t>执业资格</w:t>
            </w:r>
          </w:p>
        </w:tc>
        <w:tc>
          <w:tcPr>
            <w:tcW w:w="1920" w:type="dxa"/>
            <w:vAlign w:val="center"/>
          </w:tcPr>
          <w:p w14:paraId="7BFE804B">
            <w:pPr>
              <w:spacing w:line="360" w:lineRule="exact"/>
              <w:jc w:val="center"/>
              <w:rPr>
                <w:rFonts w:ascii="宋体" w:cs="Arial"/>
                <w:b/>
                <w:sz w:val="22"/>
                <w:szCs w:val="22"/>
              </w:rPr>
            </w:pPr>
            <w:r>
              <w:rPr>
                <w:rFonts w:hint="eastAsia" w:ascii="宋体" w:cs="Arial"/>
                <w:b/>
                <w:sz w:val="22"/>
                <w:szCs w:val="22"/>
              </w:rPr>
              <w:t>工作年限</w:t>
            </w:r>
          </w:p>
        </w:tc>
        <w:tc>
          <w:tcPr>
            <w:tcW w:w="1099" w:type="dxa"/>
            <w:vAlign w:val="center"/>
          </w:tcPr>
          <w:p w14:paraId="5122CEF1">
            <w:pPr>
              <w:spacing w:line="360" w:lineRule="exact"/>
              <w:jc w:val="center"/>
              <w:rPr>
                <w:rFonts w:ascii="宋体" w:cs="Arial"/>
                <w:b/>
                <w:sz w:val="22"/>
                <w:szCs w:val="22"/>
              </w:rPr>
            </w:pPr>
            <w:r>
              <w:rPr>
                <w:rFonts w:hint="eastAsia" w:ascii="宋体" w:cs="Arial"/>
                <w:b/>
                <w:sz w:val="22"/>
                <w:szCs w:val="22"/>
              </w:rPr>
              <w:t>备注</w:t>
            </w:r>
          </w:p>
        </w:tc>
      </w:tr>
      <w:tr w14:paraId="6326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1" w:type="dxa"/>
            <w:vAlign w:val="center"/>
          </w:tcPr>
          <w:p w14:paraId="0F9F9C26">
            <w:pPr>
              <w:spacing w:line="360" w:lineRule="exact"/>
              <w:jc w:val="center"/>
              <w:rPr>
                <w:rFonts w:ascii="宋体" w:cs="Arial"/>
                <w:b/>
                <w:sz w:val="22"/>
                <w:szCs w:val="22"/>
              </w:rPr>
            </w:pPr>
          </w:p>
        </w:tc>
        <w:tc>
          <w:tcPr>
            <w:tcW w:w="970" w:type="dxa"/>
            <w:vAlign w:val="center"/>
          </w:tcPr>
          <w:p w14:paraId="36D5F55D">
            <w:pPr>
              <w:spacing w:line="360" w:lineRule="exact"/>
              <w:jc w:val="center"/>
              <w:rPr>
                <w:rFonts w:ascii="宋体" w:cs="Arial"/>
                <w:b/>
                <w:sz w:val="22"/>
                <w:szCs w:val="22"/>
              </w:rPr>
            </w:pPr>
          </w:p>
        </w:tc>
        <w:tc>
          <w:tcPr>
            <w:tcW w:w="1130" w:type="dxa"/>
            <w:vAlign w:val="center"/>
          </w:tcPr>
          <w:p w14:paraId="2F67EF88">
            <w:pPr>
              <w:spacing w:line="360" w:lineRule="exact"/>
              <w:jc w:val="center"/>
              <w:rPr>
                <w:rFonts w:ascii="宋体" w:cs="Arial"/>
                <w:b/>
                <w:sz w:val="22"/>
                <w:szCs w:val="22"/>
              </w:rPr>
            </w:pPr>
          </w:p>
        </w:tc>
        <w:tc>
          <w:tcPr>
            <w:tcW w:w="1390" w:type="dxa"/>
            <w:vAlign w:val="center"/>
          </w:tcPr>
          <w:p w14:paraId="05A9F21B">
            <w:pPr>
              <w:spacing w:line="360" w:lineRule="exact"/>
              <w:jc w:val="center"/>
              <w:rPr>
                <w:rFonts w:ascii="宋体" w:cs="Arial"/>
                <w:b/>
                <w:sz w:val="22"/>
                <w:szCs w:val="22"/>
              </w:rPr>
            </w:pPr>
          </w:p>
        </w:tc>
        <w:tc>
          <w:tcPr>
            <w:tcW w:w="1026" w:type="dxa"/>
            <w:vAlign w:val="center"/>
          </w:tcPr>
          <w:p w14:paraId="54527EE7">
            <w:pPr>
              <w:spacing w:line="360" w:lineRule="exact"/>
              <w:jc w:val="center"/>
              <w:rPr>
                <w:rFonts w:ascii="宋体" w:cs="Arial"/>
                <w:b/>
                <w:sz w:val="22"/>
                <w:szCs w:val="22"/>
              </w:rPr>
            </w:pPr>
          </w:p>
        </w:tc>
        <w:tc>
          <w:tcPr>
            <w:tcW w:w="1354" w:type="dxa"/>
            <w:vAlign w:val="center"/>
          </w:tcPr>
          <w:p w14:paraId="49A6158A">
            <w:pPr>
              <w:spacing w:line="360" w:lineRule="exact"/>
              <w:jc w:val="center"/>
              <w:rPr>
                <w:rFonts w:ascii="宋体" w:cs="Arial"/>
                <w:b/>
                <w:sz w:val="22"/>
                <w:szCs w:val="22"/>
              </w:rPr>
            </w:pPr>
          </w:p>
        </w:tc>
        <w:tc>
          <w:tcPr>
            <w:tcW w:w="1920" w:type="dxa"/>
          </w:tcPr>
          <w:p w14:paraId="22A8A4A5">
            <w:pPr>
              <w:spacing w:line="360" w:lineRule="exact"/>
              <w:jc w:val="center"/>
              <w:rPr>
                <w:rFonts w:ascii="宋体" w:cs="Arial"/>
                <w:b/>
                <w:sz w:val="22"/>
                <w:szCs w:val="22"/>
              </w:rPr>
            </w:pPr>
          </w:p>
        </w:tc>
        <w:tc>
          <w:tcPr>
            <w:tcW w:w="1099" w:type="dxa"/>
            <w:vAlign w:val="center"/>
          </w:tcPr>
          <w:p w14:paraId="748231B9">
            <w:pPr>
              <w:spacing w:line="360" w:lineRule="exact"/>
              <w:jc w:val="center"/>
              <w:rPr>
                <w:rFonts w:ascii="宋体" w:cs="Arial"/>
                <w:b/>
                <w:sz w:val="22"/>
                <w:szCs w:val="22"/>
              </w:rPr>
            </w:pPr>
          </w:p>
        </w:tc>
      </w:tr>
      <w:tr w14:paraId="7D19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1" w:type="dxa"/>
            <w:vAlign w:val="center"/>
          </w:tcPr>
          <w:p w14:paraId="40B5A7BC">
            <w:pPr>
              <w:spacing w:line="360" w:lineRule="exact"/>
              <w:jc w:val="center"/>
              <w:rPr>
                <w:rFonts w:ascii="宋体" w:cs="Arial"/>
                <w:b/>
                <w:sz w:val="22"/>
                <w:szCs w:val="22"/>
              </w:rPr>
            </w:pPr>
          </w:p>
        </w:tc>
        <w:tc>
          <w:tcPr>
            <w:tcW w:w="970" w:type="dxa"/>
            <w:vAlign w:val="center"/>
          </w:tcPr>
          <w:p w14:paraId="59495EDA">
            <w:pPr>
              <w:spacing w:line="360" w:lineRule="exact"/>
              <w:jc w:val="center"/>
              <w:rPr>
                <w:rFonts w:ascii="宋体" w:cs="Arial"/>
                <w:b/>
                <w:sz w:val="22"/>
                <w:szCs w:val="22"/>
              </w:rPr>
            </w:pPr>
          </w:p>
        </w:tc>
        <w:tc>
          <w:tcPr>
            <w:tcW w:w="1130" w:type="dxa"/>
            <w:vAlign w:val="center"/>
          </w:tcPr>
          <w:p w14:paraId="158B71E0">
            <w:pPr>
              <w:spacing w:line="360" w:lineRule="exact"/>
              <w:jc w:val="center"/>
              <w:rPr>
                <w:rFonts w:ascii="宋体" w:cs="Arial"/>
                <w:b/>
                <w:sz w:val="22"/>
                <w:szCs w:val="22"/>
              </w:rPr>
            </w:pPr>
          </w:p>
        </w:tc>
        <w:tc>
          <w:tcPr>
            <w:tcW w:w="1390" w:type="dxa"/>
            <w:vAlign w:val="center"/>
          </w:tcPr>
          <w:p w14:paraId="3A59D16E">
            <w:pPr>
              <w:spacing w:line="360" w:lineRule="exact"/>
              <w:jc w:val="center"/>
              <w:rPr>
                <w:rFonts w:ascii="宋体" w:cs="Arial"/>
                <w:b/>
                <w:sz w:val="22"/>
                <w:szCs w:val="22"/>
              </w:rPr>
            </w:pPr>
          </w:p>
        </w:tc>
        <w:tc>
          <w:tcPr>
            <w:tcW w:w="1026" w:type="dxa"/>
            <w:vAlign w:val="center"/>
          </w:tcPr>
          <w:p w14:paraId="49775C09">
            <w:pPr>
              <w:spacing w:line="360" w:lineRule="exact"/>
              <w:jc w:val="center"/>
              <w:rPr>
                <w:rFonts w:ascii="宋体" w:cs="Arial"/>
                <w:b/>
                <w:sz w:val="22"/>
                <w:szCs w:val="22"/>
              </w:rPr>
            </w:pPr>
          </w:p>
        </w:tc>
        <w:tc>
          <w:tcPr>
            <w:tcW w:w="1354" w:type="dxa"/>
            <w:vAlign w:val="center"/>
          </w:tcPr>
          <w:p w14:paraId="65BCA191">
            <w:pPr>
              <w:spacing w:line="360" w:lineRule="exact"/>
              <w:jc w:val="center"/>
              <w:rPr>
                <w:rFonts w:ascii="宋体" w:cs="Arial"/>
                <w:b/>
                <w:sz w:val="22"/>
                <w:szCs w:val="22"/>
              </w:rPr>
            </w:pPr>
          </w:p>
        </w:tc>
        <w:tc>
          <w:tcPr>
            <w:tcW w:w="1920" w:type="dxa"/>
          </w:tcPr>
          <w:p w14:paraId="1954A1A0">
            <w:pPr>
              <w:spacing w:line="360" w:lineRule="exact"/>
              <w:jc w:val="center"/>
              <w:rPr>
                <w:rFonts w:ascii="宋体" w:cs="Arial"/>
                <w:b/>
                <w:sz w:val="22"/>
                <w:szCs w:val="22"/>
              </w:rPr>
            </w:pPr>
          </w:p>
        </w:tc>
        <w:tc>
          <w:tcPr>
            <w:tcW w:w="1099" w:type="dxa"/>
            <w:vAlign w:val="center"/>
          </w:tcPr>
          <w:p w14:paraId="57A720AC">
            <w:pPr>
              <w:spacing w:line="360" w:lineRule="exact"/>
              <w:jc w:val="center"/>
              <w:rPr>
                <w:rFonts w:ascii="宋体" w:cs="Arial"/>
                <w:b/>
                <w:sz w:val="22"/>
                <w:szCs w:val="22"/>
              </w:rPr>
            </w:pPr>
          </w:p>
        </w:tc>
      </w:tr>
      <w:tr w14:paraId="5B23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1" w:type="dxa"/>
            <w:vAlign w:val="center"/>
          </w:tcPr>
          <w:p w14:paraId="20ED221D">
            <w:pPr>
              <w:spacing w:line="360" w:lineRule="exact"/>
              <w:jc w:val="center"/>
              <w:rPr>
                <w:rFonts w:ascii="宋体" w:cs="Arial"/>
                <w:b/>
                <w:sz w:val="22"/>
                <w:szCs w:val="22"/>
              </w:rPr>
            </w:pPr>
          </w:p>
        </w:tc>
        <w:tc>
          <w:tcPr>
            <w:tcW w:w="970" w:type="dxa"/>
            <w:vAlign w:val="center"/>
          </w:tcPr>
          <w:p w14:paraId="5C1E18C3">
            <w:pPr>
              <w:spacing w:line="360" w:lineRule="exact"/>
              <w:jc w:val="center"/>
              <w:rPr>
                <w:rFonts w:ascii="宋体" w:cs="Arial"/>
                <w:b/>
                <w:sz w:val="22"/>
                <w:szCs w:val="22"/>
              </w:rPr>
            </w:pPr>
          </w:p>
        </w:tc>
        <w:tc>
          <w:tcPr>
            <w:tcW w:w="1130" w:type="dxa"/>
            <w:vAlign w:val="center"/>
          </w:tcPr>
          <w:p w14:paraId="43D7E6A0">
            <w:pPr>
              <w:spacing w:line="360" w:lineRule="exact"/>
              <w:jc w:val="center"/>
              <w:rPr>
                <w:rFonts w:ascii="宋体" w:cs="Arial"/>
                <w:b/>
                <w:sz w:val="22"/>
                <w:szCs w:val="22"/>
              </w:rPr>
            </w:pPr>
          </w:p>
        </w:tc>
        <w:tc>
          <w:tcPr>
            <w:tcW w:w="1390" w:type="dxa"/>
            <w:vAlign w:val="center"/>
          </w:tcPr>
          <w:p w14:paraId="2A36098A">
            <w:pPr>
              <w:spacing w:line="360" w:lineRule="exact"/>
              <w:jc w:val="center"/>
              <w:rPr>
                <w:rFonts w:ascii="宋体" w:cs="Arial"/>
                <w:b/>
                <w:sz w:val="22"/>
                <w:szCs w:val="22"/>
              </w:rPr>
            </w:pPr>
          </w:p>
        </w:tc>
        <w:tc>
          <w:tcPr>
            <w:tcW w:w="1026" w:type="dxa"/>
            <w:vAlign w:val="center"/>
          </w:tcPr>
          <w:p w14:paraId="47946230">
            <w:pPr>
              <w:spacing w:line="360" w:lineRule="exact"/>
              <w:jc w:val="center"/>
              <w:rPr>
                <w:rFonts w:ascii="宋体" w:cs="Arial"/>
                <w:b/>
                <w:sz w:val="22"/>
                <w:szCs w:val="22"/>
              </w:rPr>
            </w:pPr>
          </w:p>
        </w:tc>
        <w:tc>
          <w:tcPr>
            <w:tcW w:w="1354" w:type="dxa"/>
            <w:vAlign w:val="center"/>
          </w:tcPr>
          <w:p w14:paraId="0BC7ED95">
            <w:pPr>
              <w:spacing w:line="360" w:lineRule="exact"/>
              <w:jc w:val="center"/>
              <w:rPr>
                <w:rFonts w:ascii="宋体" w:cs="Arial"/>
                <w:b/>
                <w:sz w:val="22"/>
                <w:szCs w:val="22"/>
              </w:rPr>
            </w:pPr>
          </w:p>
        </w:tc>
        <w:tc>
          <w:tcPr>
            <w:tcW w:w="1920" w:type="dxa"/>
          </w:tcPr>
          <w:p w14:paraId="5E11110F">
            <w:pPr>
              <w:spacing w:line="360" w:lineRule="exact"/>
              <w:jc w:val="center"/>
              <w:rPr>
                <w:rFonts w:ascii="宋体" w:cs="Arial"/>
                <w:b/>
                <w:sz w:val="22"/>
                <w:szCs w:val="22"/>
              </w:rPr>
            </w:pPr>
          </w:p>
        </w:tc>
        <w:tc>
          <w:tcPr>
            <w:tcW w:w="1099" w:type="dxa"/>
            <w:vAlign w:val="center"/>
          </w:tcPr>
          <w:p w14:paraId="366453DA">
            <w:pPr>
              <w:spacing w:line="360" w:lineRule="exact"/>
              <w:jc w:val="center"/>
              <w:rPr>
                <w:rFonts w:ascii="宋体" w:cs="Arial"/>
                <w:b/>
                <w:sz w:val="22"/>
                <w:szCs w:val="22"/>
              </w:rPr>
            </w:pPr>
          </w:p>
        </w:tc>
      </w:tr>
      <w:tr w14:paraId="6A9B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1" w:type="dxa"/>
            <w:vAlign w:val="center"/>
          </w:tcPr>
          <w:p w14:paraId="7C31AA21">
            <w:pPr>
              <w:spacing w:line="360" w:lineRule="exact"/>
              <w:jc w:val="center"/>
              <w:rPr>
                <w:rFonts w:ascii="宋体" w:cs="Arial"/>
                <w:b/>
                <w:sz w:val="22"/>
                <w:szCs w:val="22"/>
              </w:rPr>
            </w:pPr>
          </w:p>
        </w:tc>
        <w:tc>
          <w:tcPr>
            <w:tcW w:w="970" w:type="dxa"/>
            <w:vAlign w:val="center"/>
          </w:tcPr>
          <w:p w14:paraId="237C693F">
            <w:pPr>
              <w:spacing w:line="360" w:lineRule="exact"/>
              <w:jc w:val="center"/>
              <w:rPr>
                <w:rFonts w:ascii="宋体" w:cs="Arial"/>
                <w:b/>
                <w:sz w:val="22"/>
                <w:szCs w:val="22"/>
              </w:rPr>
            </w:pPr>
          </w:p>
        </w:tc>
        <w:tc>
          <w:tcPr>
            <w:tcW w:w="1130" w:type="dxa"/>
            <w:vAlign w:val="center"/>
          </w:tcPr>
          <w:p w14:paraId="00E1D3BD">
            <w:pPr>
              <w:spacing w:line="360" w:lineRule="exact"/>
              <w:jc w:val="center"/>
              <w:rPr>
                <w:rFonts w:ascii="宋体" w:cs="Arial"/>
                <w:b/>
                <w:sz w:val="22"/>
                <w:szCs w:val="22"/>
              </w:rPr>
            </w:pPr>
          </w:p>
        </w:tc>
        <w:tc>
          <w:tcPr>
            <w:tcW w:w="1390" w:type="dxa"/>
            <w:vAlign w:val="center"/>
          </w:tcPr>
          <w:p w14:paraId="1158BDEA">
            <w:pPr>
              <w:spacing w:line="360" w:lineRule="exact"/>
              <w:jc w:val="center"/>
              <w:rPr>
                <w:rFonts w:ascii="宋体" w:cs="Arial"/>
                <w:b/>
                <w:sz w:val="22"/>
                <w:szCs w:val="22"/>
              </w:rPr>
            </w:pPr>
          </w:p>
        </w:tc>
        <w:tc>
          <w:tcPr>
            <w:tcW w:w="1026" w:type="dxa"/>
            <w:vAlign w:val="center"/>
          </w:tcPr>
          <w:p w14:paraId="01E2FAF6">
            <w:pPr>
              <w:spacing w:line="360" w:lineRule="exact"/>
              <w:jc w:val="center"/>
              <w:rPr>
                <w:rFonts w:ascii="宋体" w:cs="Arial"/>
                <w:b/>
                <w:sz w:val="22"/>
                <w:szCs w:val="22"/>
              </w:rPr>
            </w:pPr>
          </w:p>
        </w:tc>
        <w:tc>
          <w:tcPr>
            <w:tcW w:w="1354" w:type="dxa"/>
            <w:vAlign w:val="center"/>
          </w:tcPr>
          <w:p w14:paraId="0BD16371">
            <w:pPr>
              <w:spacing w:line="360" w:lineRule="exact"/>
              <w:jc w:val="center"/>
              <w:rPr>
                <w:rFonts w:ascii="宋体" w:cs="Arial"/>
                <w:b/>
                <w:sz w:val="22"/>
                <w:szCs w:val="22"/>
              </w:rPr>
            </w:pPr>
          </w:p>
        </w:tc>
        <w:tc>
          <w:tcPr>
            <w:tcW w:w="1920" w:type="dxa"/>
          </w:tcPr>
          <w:p w14:paraId="7057A2FE">
            <w:pPr>
              <w:spacing w:line="360" w:lineRule="exact"/>
              <w:jc w:val="center"/>
              <w:rPr>
                <w:rFonts w:ascii="宋体" w:cs="Arial"/>
                <w:b/>
                <w:sz w:val="22"/>
                <w:szCs w:val="22"/>
              </w:rPr>
            </w:pPr>
          </w:p>
        </w:tc>
        <w:tc>
          <w:tcPr>
            <w:tcW w:w="1099" w:type="dxa"/>
            <w:vAlign w:val="center"/>
          </w:tcPr>
          <w:p w14:paraId="63328DB4">
            <w:pPr>
              <w:spacing w:line="360" w:lineRule="exact"/>
              <w:jc w:val="center"/>
              <w:rPr>
                <w:rFonts w:ascii="宋体" w:cs="Arial"/>
                <w:b/>
                <w:sz w:val="22"/>
                <w:szCs w:val="22"/>
              </w:rPr>
            </w:pPr>
          </w:p>
        </w:tc>
      </w:tr>
      <w:tr w14:paraId="1A29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1" w:type="dxa"/>
            <w:vAlign w:val="center"/>
          </w:tcPr>
          <w:p w14:paraId="54A7639B">
            <w:pPr>
              <w:spacing w:line="360" w:lineRule="exact"/>
              <w:jc w:val="center"/>
              <w:rPr>
                <w:rFonts w:ascii="宋体" w:cs="Arial"/>
                <w:b/>
                <w:sz w:val="22"/>
                <w:szCs w:val="22"/>
              </w:rPr>
            </w:pPr>
          </w:p>
        </w:tc>
        <w:tc>
          <w:tcPr>
            <w:tcW w:w="970" w:type="dxa"/>
            <w:vAlign w:val="center"/>
          </w:tcPr>
          <w:p w14:paraId="589AAEBE">
            <w:pPr>
              <w:spacing w:line="360" w:lineRule="exact"/>
              <w:jc w:val="center"/>
              <w:rPr>
                <w:rFonts w:ascii="宋体" w:cs="Arial"/>
                <w:b/>
                <w:sz w:val="22"/>
                <w:szCs w:val="22"/>
              </w:rPr>
            </w:pPr>
          </w:p>
        </w:tc>
        <w:tc>
          <w:tcPr>
            <w:tcW w:w="1130" w:type="dxa"/>
            <w:vAlign w:val="center"/>
          </w:tcPr>
          <w:p w14:paraId="7FDB4120">
            <w:pPr>
              <w:spacing w:line="360" w:lineRule="exact"/>
              <w:jc w:val="center"/>
              <w:rPr>
                <w:rFonts w:ascii="宋体" w:cs="Arial"/>
                <w:b/>
                <w:sz w:val="22"/>
                <w:szCs w:val="22"/>
              </w:rPr>
            </w:pPr>
          </w:p>
        </w:tc>
        <w:tc>
          <w:tcPr>
            <w:tcW w:w="1390" w:type="dxa"/>
            <w:vAlign w:val="center"/>
          </w:tcPr>
          <w:p w14:paraId="3879009B">
            <w:pPr>
              <w:spacing w:line="360" w:lineRule="exact"/>
              <w:jc w:val="center"/>
              <w:rPr>
                <w:rFonts w:ascii="宋体" w:cs="Arial"/>
                <w:b/>
                <w:sz w:val="22"/>
                <w:szCs w:val="22"/>
              </w:rPr>
            </w:pPr>
          </w:p>
        </w:tc>
        <w:tc>
          <w:tcPr>
            <w:tcW w:w="1026" w:type="dxa"/>
            <w:vAlign w:val="center"/>
          </w:tcPr>
          <w:p w14:paraId="20EA7DDF">
            <w:pPr>
              <w:spacing w:line="360" w:lineRule="exact"/>
              <w:jc w:val="center"/>
              <w:rPr>
                <w:rFonts w:ascii="宋体" w:cs="Arial"/>
                <w:b/>
                <w:sz w:val="22"/>
                <w:szCs w:val="22"/>
              </w:rPr>
            </w:pPr>
          </w:p>
        </w:tc>
        <w:tc>
          <w:tcPr>
            <w:tcW w:w="1354" w:type="dxa"/>
            <w:vAlign w:val="center"/>
          </w:tcPr>
          <w:p w14:paraId="07C3FEB1">
            <w:pPr>
              <w:spacing w:line="360" w:lineRule="exact"/>
              <w:jc w:val="center"/>
              <w:rPr>
                <w:rFonts w:ascii="宋体" w:cs="Arial"/>
                <w:b/>
                <w:sz w:val="22"/>
                <w:szCs w:val="22"/>
              </w:rPr>
            </w:pPr>
          </w:p>
        </w:tc>
        <w:tc>
          <w:tcPr>
            <w:tcW w:w="1920" w:type="dxa"/>
          </w:tcPr>
          <w:p w14:paraId="18AFC847">
            <w:pPr>
              <w:spacing w:line="360" w:lineRule="exact"/>
              <w:jc w:val="center"/>
              <w:rPr>
                <w:rFonts w:ascii="宋体" w:cs="Arial"/>
                <w:b/>
                <w:sz w:val="22"/>
                <w:szCs w:val="22"/>
              </w:rPr>
            </w:pPr>
          </w:p>
        </w:tc>
        <w:tc>
          <w:tcPr>
            <w:tcW w:w="1099" w:type="dxa"/>
            <w:vAlign w:val="center"/>
          </w:tcPr>
          <w:p w14:paraId="66ED6894">
            <w:pPr>
              <w:spacing w:line="360" w:lineRule="exact"/>
              <w:jc w:val="center"/>
              <w:rPr>
                <w:rFonts w:ascii="宋体" w:cs="Arial"/>
                <w:b/>
                <w:sz w:val="22"/>
                <w:szCs w:val="22"/>
              </w:rPr>
            </w:pPr>
          </w:p>
        </w:tc>
      </w:tr>
      <w:tr w14:paraId="4E7A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1" w:type="dxa"/>
            <w:vAlign w:val="center"/>
          </w:tcPr>
          <w:p w14:paraId="1D9857E4">
            <w:pPr>
              <w:spacing w:line="360" w:lineRule="exact"/>
              <w:jc w:val="center"/>
              <w:rPr>
                <w:rFonts w:ascii="宋体" w:cs="Arial"/>
                <w:b/>
                <w:sz w:val="22"/>
                <w:szCs w:val="22"/>
              </w:rPr>
            </w:pPr>
          </w:p>
        </w:tc>
        <w:tc>
          <w:tcPr>
            <w:tcW w:w="970" w:type="dxa"/>
            <w:vAlign w:val="center"/>
          </w:tcPr>
          <w:p w14:paraId="78451D25">
            <w:pPr>
              <w:spacing w:line="360" w:lineRule="exact"/>
              <w:jc w:val="center"/>
              <w:rPr>
                <w:rFonts w:ascii="宋体" w:cs="Arial"/>
                <w:b/>
                <w:sz w:val="22"/>
                <w:szCs w:val="22"/>
              </w:rPr>
            </w:pPr>
          </w:p>
        </w:tc>
        <w:tc>
          <w:tcPr>
            <w:tcW w:w="1130" w:type="dxa"/>
            <w:vAlign w:val="center"/>
          </w:tcPr>
          <w:p w14:paraId="173103E5">
            <w:pPr>
              <w:spacing w:line="360" w:lineRule="exact"/>
              <w:jc w:val="center"/>
              <w:rPr>
                <w:rFonts w:ascii="宋体" w:cs="Arial"/>
                <w:b/>
                <w:sz w:val="22"/>
                <w:szCs w:val="22"/>
              </w:rPr>
            </w:pPr>
          </w:p>
        </w:tc>
        <w:tc>
          <w:tcPr>
            <w:tcW w:w="1390" w:type="dxa"/>
            <w:vAlign w:val="center"/>
          </w:tcPr>
          <w:p w14:paraId="617794C2">
            <w:pPr>
              <w:spacing w:line="360" w:lineRule="exact"/>
              <w:jc w:val="center"/>
              <w:rPr>
                <w:rFonts w:ascii="宋体" w:cs="Arial"/>
                <w:b/>
                <w:sz w:val="22"/>
                <w:szCs w:val="22"/>
              </w:rPr>
            </w:pPr>
          </w:p>
        </w:tc>
        <w:tc>
          <w:tcPr>
            <w:tcW w:w="1026" w:type="dxa"/>
            <w:vAlign w:val="center"/>
          </w:tcPr>
          <w:p w14:paraId="79FC8F8B">
            <w:pPr>
              <w:spacing w:line="360" w:lineRule="exact"/>
              <w:jc w:val="center"/>
              <w:rPr>
                <w:rFonts w:ascii="宋体" w:cs="Arial"/>
                <w:b/>
                <w:sz w:val="22"/>
                <w:szCs w:val="22"/>
              </w:rPr>
            </w:pPr>
          </w:p>
        </w:tc>
        <w:tc>
          <w:tcPr>
            <w:tcW w:w="1354" w:type="dxa"/>
            <w:vAlign w:val="center"/>
          </w:tcPr>
          <w:p w14:paraId="1BD808DF">
            <w:pPr>
              <w:spacing w:line="360" w:lineRule="exact"/>
              <w:jc w:val="center"/>
              <w:rPr>
                <w:rFonts w:ascii="宋体" w:cs="Arial"/>
                <w:b/>
                <w:sz w:val="22"/>
                <w:szCs w:val="22"/>
              </w:rPr>
            </w:pPr>
          </w:p>
        </w:tc>
        <w:tc>
          <w:tcPr>
            <w:tcW w:w="1920" w:type="dxa"/>
          </w:tcPr>
          <w:p w14:paraId="2E67011C">
            <w:pPr>
              <w:spacing w:line="360" w:lineRule="exact"/>
              <w:jc w:val="center"/>
              <w:rPr>
                <w:rFonts w:ascii="宋体" w:cs="Arial"/>
                <w:b/>
                <w:sz w:val="22"/>
                <w:szCs w:val="22"/>
              </w:rPr>
            </w:pPr>
          </w:p>
        </w:tc>
        <w:tc>
          <w:tcPr>
            <w:tcW w:w="1099" w:type="dxa"/>
            <w:vAlign w:val="center"/>
          </w:tcPr>
          <w:p w14:paraId="0484DAF5">
            <w:pPr>
              <w:spacing w:line="360" w:lineRule="exact"/>
              <w:jc w:val="center"/>
              <w:rPr>
                <w:rFonts w:ascii="宋体" w:cs="Arial"/>
                <w:b/>
                <w:sz w:val="22"/>
                <w:szCs w:val="22"/>
              </w:rPr>
            </w:pPr>
          </w:p>
        </w:tc>
      </w:tr>
      <w:tr w14:paraId="7F57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1" w:type="dxa"/>
            <w:vAlign w:val="center"/>
          </w:tcPr>
          <w:p w14:paraId="4164FB11">
            <w:pPr>
              <w:spacing w:line="360" w:lineRule="exact"/>
              <w:jc w:val="center"/>
              <w:rPr>
                <w:rFonts w:ascii="宋体" w:cs="Arial"/>
                <w:b/>
                <w:sz w:val="22"/>
                <w:szCs w:val="22"/>
              </w:rPr>
            </w:pPr>
          </w:p>
        </w:tc>
        <w:tc>
          <w:tcPr>
            <w:tcW w:w="970" w:type="dxa"/>
            <w:vAlign w:val="center"/>
          </w:tcPr>
          <w:p w14:paraId="51D6802C">
            <w:pPr>
              <w:spacing w:line="360" w:lineRule="exact"/>
              <w:jc w:val="center"/>
              <w:rPr>
                <w:rFonts w:ascii="宋体" w:cs="Arial"/>
                <w:b/>
                <w:sz w:val="22"/>
                <w:szCs w:val="22"/>
              </w:rPr>
            </w:pPr>
          </w:p>
        </w:tc>
        <w:tc>
          <w:tcPr>
            <w:tcW w:w="1130" w:type="dxa"/>
            <w:vAlign w:val="center"/>
          </w:tcPr>
          <w:p w14:paraId="13230DDB">
            <w:pPr>
              <w:spacing w:line="360" w:lineRule="exact"/>
              <w:jc w:val="center"/>
              <w:rPr>
                <w:rFonts w:ascii="宋体" w:cs="Arial"/>
                <w:b/>
                <w:sz w:val="22"/>
                <w:szCs w:val="22"/>
              </w:rPr>
            </w:pPr>
          </w:p>
        </w:tc>
        <w:tc>
          <w:tcPr>
            <w:tcW w:w="1390" w:type="dxa"/>
            <w:vAlign w:val="center"/>
          </w:tcPr>
          <w:p w14:paraId="544C03A6">
            <w:pPr>
              <w:spacing w:line="360" w:lineRule="exact"/>
              <w:jc w:val="center"/>
              <w:rPr>
                <w:rFonts w:ascii="宋体" w:cs="Arial"/>
                <w:b/>
                <w:sz w:val="22"/>
                <w:szCs w:val="22"/>
              </w:rPr>
            </w:pPr>
          </w:p>
        </w:tc>
        <w:tc>
          <w:tcPr>
            <w:tcW w:w="1026" w:type="dxa"/>
            <w:vAlign w:val="center"/>
          </w:tcPr>
          <w:p w14:paraId="2CE395E3">
            <w:pPr>
              <w:spacing w:line="360" w:lineRule="exact"/>
              <w:jc w:val="center"/>
              <w:rPr>
                <w:rFonts w:ascii="宋体" w:cs="Arial"/>
                <w:b/>
                <w:sz w:val="22"/>
                <w:szCs w:val="22"/>
              </w:rPr>
            </w:pPr>
          </w:p>
        </w:tc>
        <w:tc>
          <w:tcPr>
            <w:tcW w:w="1354" w:type="dxa"/>
            <w:vAlign w:val="center"/>
          </w:tcPr>
          <w:p w14:paraId="014EB5F9">
            <w:pPr>
              <w:spacing w:line="360" w:lineRule="exact"/>
              <w:jc w:val="center"/>
              <w:rPr>
                <w:rFonts w:ascii="宋体" w:cs="Arial"/>
                <w:b/>
                <w:sz w:val="22"/>
                <w:szCs w:val="22"/>
              </w:rPr>
            </w:pPr>
          </w:p>
        </w:tc>
        <w:tc>
          <w:tcPr>
            <w:tcW w:w="1920" w:type="dxa"/>
          </w:tcPr>
          <w:p w14:paraId="30E4EB4D">
            <w:pPr>
              <w:spacing w:line="360" w:lineRule="exact"/>
              <w:jc w:val="center"/>
              <w:rPr>
                <w:rFonts w:ascii="宋体" w:cs="Arial"/>
                <w:b/>
                <w:sz w:val="22"/>
                <w:szCs w:val="22"/>
              </w:rPr>
            </w:pPr>
          </w:p>
        </w:tc>
        <w:tc>
          <w:tcPr>
            <w:tcW w:w="1099" w:type="dxa"/>
            <w:vAlign w:val="center"/>
          </w:tcPr>
          <w:p w14:paraId="7D20D482">
            <w:pPr>
              <w:spacing w:line="360" w:lineRule="exact"/>
              <w:jc w:val="center"/>
              <w:rPr>
                <w:rFonts w:ascii="宋体" w:cs="Arial"/>
                <w:b/>
                <w:sz w:val="22"/>
                <w:szCs w:val="22"/>
              </w:rPr>
            </w:pPr>
          </w:p>
        </w:tc>
      </w:tr>
      <w:tr w14:paraId="1921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1" w:type="dxa"/>
            <w:vAlign w:val="center"/>
          </w:tcPr>
          <w:p w14:paraId="392B57E7">
            <w:pPr>
              <w:spacing w:line="360" w:lineRule="exact"/>
              <w:jc w:val="center"/>
              <w:rPr>
                <w:rFonts w:ascii="宋体" w:cs="Arial"/>
                <w:b/>
                <w:sz w:val="22"/>
                <w:szCs w:val="22"/>
              </w:rPr>
            </w:pPr>
          </w:p>
        </w:tc>
        <w:tc>
          <w:tcPr>
            <w:tcW w:w="970" w:type="dxa"/>
            <w:vAlign w:val="center"/>
          </w:tcPr>
          <w:p w14:paraId="521B585E">
            <w:pPr>
              <w:spacing w:line="360" w:lineRule="exact"/>
              <w:jc w:val="center"/>
              <w:rPr>
                <w:rFonts w:ascii="宋体" w:cs="Arial"/>
                <w:b/>
                <w:sz w:val="22"/>
                <w:szCs w:val="22"/>
              </w:rPr>
            </w:pPr>
          </w:p>
        </w:tc>
        <w:tc>
          <w:tcPr>
            <w:tcW w:w="1130" w:type="dxa"/>
            <w:vAlign w:val="center"/>
          </w:tcPr>
          <w:p w14:paraId="02A028C7">
            <w:pPr>
              <w:spacing w:line="360" w:lineRule="exact"/>
              <w:jc w:val="center"/>
              <w:rPr>
                <w:rFonts w:ascii="宋体" w:cs="Arial"/>
                <w:b/>
                <w:sz w:val="22"/>
                <w:szCs w:val="22"/>
              </w:rPr>
            </w:pPr>
          </w:p>
        </w:tc>
        <w:tc>
          <w:tcPr>
            <w:tcW w:w="1390" w:type="dxa"/>
            <w:vAlign w:val="center"/>
          </w:tcPr>
          <w:p w14:paraId="7DEED139">
            <w:pPr>
              <w:spacing w:line="360" w:lineRule="exact"/>
              <w:jc w:val="center"/>
              <w:rPr>
                <w:rFonts w:ascii="宋体" w:cs="Arial"/>
                <w:b/>
                <w:sz w:val="22"/>
                <w:szCs w:val="22"/>
              </w:rPr>
            </w:pPr>
          </w:p>
        </w:tc>
        <w:tc>
          <w:tcPr>
            <w:tcW w:w="1026" w:type="dxa"/>
            <w:vAlign w:val="center"/>
          </w:tcPr>
          <w:p w14:paraId="71A7BBB4">
            <w:pPr>
              <w:spacing w:line="360" w:lineRule="exact"/>
              <w:jc w:val="center"/>
              <w:rPr>
                <w:rFonts w:ascii="宋体" w:cs="Arial"/>
                <w:b/>
                <w:sz w:val="22"/>
                <w:szCs w:val="22"/>
              </w:rPr>
            </w:pPr>
          </w:p>
        </w:tc>
        <w:tc>
          <w:tcPr>
            <w:tcW w:w="1354" w:type="dxa"/>
            <w:vAlign w:val="center"/>
          </w:tcPr>
          <w:p w14:paraId="5E80E5A1">
            <w:pPr>
              <w:spacing w:line="360" w:lineRule="exact"/>
              <w:jc w:val="center"/>
              <w:rPr>
                <w:rFonts w:ascii="宋体" w:cs="Arial"/>
                <w:b/>
                <w:sz w:val="22"/>
                <w:szCs w:val="22"/>
              </w:rPr>
            </w:pPr>
          </w:p>
        </w:tc>
        <w:tc>
          <w:tcPr>
            <w:tcW w:w="1920" w:type="dxa"/>
          </w:tcPr>
          <w:p w14:paraId="262E0A97">
            <w:pPr>
              <w:spacing w:line="360" w:lineRule="exact"/>
              <w:jc w:val="center"/>
              <w:rPr>
                <w:rFonts w:ascii="宋体" w:cs="Arial"/>
                <w:b/>
                <w:sz w:val="22"/>
                <w:szCs w:val="22"/>
              </w:rPr>
            </w:pPr>
          </w:p>
        </w:tc>
        <w:tc>
          <w:tcPr>
            <w:tcW w:w="1099" w:type="dxa"/>
            <w:vAlign w:val="center"/>
          </w:tcPr>
          <w:p w14:paraId="76A216F5">
            <w:pPr>
              <w:spacing w:line="360" w:lineRule="exact"/>
              <w:jc w:val="center"/>
              <w:rPr>
                <w:rFonts w:ascii="宋体" w:cs="Arial"/>
                <w:b/>
                <w:sz w:val="22"/>
                <w:szCs w:val="22"/>
              </w:rPr>
            </w:pPr>
          </w:p>
        </w:tc>
      </w:tr>
      <w:tr w14:paraId="5BCF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1" w:type="dxa"/>
            <w:vAlign w:val="center"/>
          </w:tcPr>
          <w:p w14:paraId="30126E62">
            <w:pPr>
              <w:spacing w:line="360" w:lineRule="exact"/>
              <w:jc w:val="center"/>
              <w:rPr>
                <w:rFonts w:ascii="宋体" w:cs="Arial"/>
                <w:b/>
                <w:sz w:val="22"/>
                <w:szCs w:val="22"/>
              </w:rPr>
            </w:pPr>
          </w:p>
        </w:tc>
        <w:tc>
          <w:tcPr>
            <w:tcW w:w="970" w:type="dxa"/>
            <w:vAlign w:val="center"/>
          </w:tcPr>
          <w:p w14:paraId="3872EA6A">
            <w:pPr>
              <w:spacing w:line="360" w:lineRule="exact"/>
              <w:jc w:val="center"/>
              <w:rPr>
                <w:rFonts w:ascii="宋体" w:cs="Arial"/>
                <w:b/>
                <w:sz w:val="22"/>
                <w:szCs w:val="22"/>
              </w:rPr>
            </w:pPr>
          </w:p>
        </w:tc>
        <w:tc>
          <w:tcPr>
            <w:tcW w:w="1130" w:type="dxa"/>
            <w:vAlign w:val="center"/>
          </w:tcPr>
          <w:p w14:paraId="7BE4F218">
            <w:pPr>
              <w:spacing w:line="360" w:lineRule="exact"/>
              <w:jc w:val="center"/>
              <w:rPr>
                <w:rFonts w:ascii="宋体" w:cs="Arial"/>
                <w:b/>
                <w:sz w:val="22"/>
                <w:szCs w:val="22"/>
              </w:rPr>
            </w:pPr>
          </w:p>
        </w:tc>
        <w:tc>
          <w:tcPr>
            <w:tcW w:w="1390" w:type="dxa"/>
            <w:vAlign w:val="center"/>
          </w:tcPr>
          <w:p w14:paraId="7E194887">
            <w:pPr>
              <w:spacing w:line="360" w:lineRule="exact"/>
              <w:jc w:val="center"/>
              <w:rPr>
                <w:rFonts w:ascii="宋体" w:cs="Arial"/>
                <w:b/>
                <w:sz w:val="22"/>
                <w:szCs w:val="22"/>
              </w:rPr>
            </w:pPr>
          </w:p>
        </w:tc>
        <w:tc>
          <w:tcPr>
            <w:tcW w:w="1026" w:type="dxa"/>
            <w:vAlign w:val="center"/>
          </w:tcPr>
          <w:p w14:paraId="0C29C188">
            <w:pPr>
              <w:spacing w:line="360" w:lineRule="exact"/>
              <w:jc w:val="center"/>
              <w:rPr>
                <w:rFonts w:ascii="宋体" w:cs="Arial"/>
                <w:b/>
                <w:sz w:val="22"/>
                <w:szCs w:val="22"/>
              </w:rPr>
            </w:pPr>
          </w:p>
        </w:tc>
        <w:tc>
          <w:tcPr>
            <w:tcW w:w="1354" w:type="dxa"/>
            <w:vAlign w:val="center"/>
          </w:tcPr>
          <w:p w14:paraId="42ED61FF">
            <w:pPr>
              <w:spacing w:line="360" w:lineRule="exact"/>
              <w:jc w:val="center"/>
              <w:rPr>
                <w:rFonts w:ascii="宋体" w:cs="Arial"/>
                <w:b/>
                <w:sz w:val="22"/>
                <w:szCs w:val="22"/>
              </w:rPr>
            </w:pPr>
          </w:p>
        </w:tc>
        <w:tc>
          <w:tcPr>
            <w:tcW w:w="1920" w:type="dxa"/>
          </w:tcPr>
          <w:p w14:paraId="609F6461">
            <w:pPr>
              <w:spacing w:line="360" w:lineRule="exact"/>
              <w:jc w:val="center"/>
              <w:rPr>
                <w:rFonts w:ascii="宋体" w:cs="Arial"/>
                <w:b/>
                <w:sz w:val="22"/>
                <w:szCs w:val="22"/>
              </w:rPr>
            </w:pPr>
          </w:p>
        </w:tc>
        <w:tc>
          <w:tcPr>
            <w:tcW w:w="1099" w:type="dxa"/>
            <w:vAlign w:val="center"/>
          </w:tcPr>
          <w:p w14:paraId="622C303E">
            <w:pPr>
              <w:spacing w:line="360" w:lineRule="exact"/>
              <w:jc w:val="center"/>
              <w:rPr>
                <w:rFonts w:ascii="宋体" w:cs="Arial"/>
                <w:b/>
                <w:sz w:val="22"/>
                <w:szCs w:val="22"/>
              </w:rPr>
            </w:pPr>
          </w:p>
        </w:tc>
      </w:tr>
      <w:tr w14:paraId="42C2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1" w:type="dxa"/>
            <w:vAlign w:val="center"/>
          </w:tcPr>
          <w:p w14:paraId="28E57F01">
            <w:pPr>
              <w:spacing w:line="360" w:lineRule="exact"/>
              <w:jc w:val="center"/>
              <w:rPr>
                <w:rFonts w:ascii="宋体" w:cs="Arial"/>
                <w:b/>
                <w:sz w:val="22"/>
                <w:szCs w:val="22"/>
              </w:rPr>
            </w:pPr>
          </w:p>
        </w:tc>
        <w:tc>
          <w:tcPr>
            <w:tcW w:w="970" w:type="dxa"/>
            <w:vAlign w:val="center"/>
          </w:tcPr>
          <w:p w14:paraId="15AA9129">
            <w:pPr>
              <w:spacing w:line="360" w:lineRule="exact"/>
              <w:jc w:val="center"/>
              <w:rPr>
                <w:rFonts w:ascii="宋体" w:cs="Arial"/>
                <w:b/>
                <w:sz w:val="22"/>
                <w:szCs w:val="22"/>
              </w:rPr>
            </w:pPr>
          </w:p>
        </w:tc>
        <w:tc>
          <w:tcPr>
            <w:tcW w:w="1130" w:type="dxa"/>
            <w:vAlign w:val="center"/>
          </w:tcPr>
          <w:p w14:paraId="03C1F442">
            <w:pPr>
              <w:spacing w:line="360" w:lineRule="exact"/>
              <w:jc w:val="center"/>
              <w:rPr>
                <w:rFonts w:ascii="宋体" w:cs="Arial"/>
                <w:b/>
                <w:sz w:val="22"/>
                <w:szCs w:val="22"/>
              </w:rPr>
            </w:pPr>
          </w:p>
        </w:tc>
        <w:tc>
          <w:tcPr>
            <w:tcW w:w="1390" w:type="dxa"/>
            <w:vAlign w:val="center"/>
          </w:tcPr>
          <w:p w14:paraId="66E40327">
            <w:pPr>
              <w:spacing w:line="360" w:lineRule="exact"/>
              <w:jc w:val="center"/>
              <w:rPr>
                <w:rFonts w:ascii="宋体" w:cs="Arial"/>
                <w:b/>
                <w:sz w:val="22"/>
                <w:szCs w:val="22"/>
              </w:rPr>
            </w:pPr>
          </w:p>
        </w:tc>
        <w:tc>
          <w:tcPr>
            <w:tcW w:w="1026" w:type="dxa"/>
            <w:vAlign w:val="center"/>
          </w:tcPr>
          <w:p w14:paraId="343CBA4F">
            <w:pPr>
              <w:spacing w:line="360" w:lineRule="exact"/>
              <w:jc w:val="center"/>
              <w:rPr>
                <w:rFonts w:ascii="宋体" w:cs="Arial"/>
                <w:b/>
                <w:sz w:val="22"/>
                <w:szCs w:val="22"/>
              </w:rPr>
            </w:pPr>
          </w:p>
        </w:tc>
        <w:tc>
          <w:tcPr>
            <w:tcW w:w="1354" w:type="dxa"/>
            <w:vAlign w:val="center"/>
          </w:tcPr>
          <w:p w14:paraId="7B7BF290">
            <w:pPr>
              <w:spacing w:line="360" w:lineRule="exact"/>
              <w:jc w:val="center"/>
              <w:rPr>
                <w:rFonts w:ascii="宋体" w:cs="Arial"/>
                <w:b/>
                <w:sz w:val="22"/>
                <w:szCs w:val="22"/>
              </w:rPr>
            </w:pPr>
          </w:p>
        </w:tc>
        <w:tc>
          <w:tcPr>
            <w:tcW w:w="1920" w:type="dxa"/>
          </w:tcPr>
          <w:p w14:paraId="6134F313">
            <w:pPr>
              <w:spacing w:line="360" w:lineRule="exact"/>
              <w:jc w:val="center"/>
              <w:rPr>
                <w:rFonts w:ascii="宋体" w:cs="Arial"/>
                <w:b/>
                <w:sz w:val="22"/>
                <w:szCs w:val="22"/>
              </w:rPr>
            </w:pPr>
          </w:p>
        </w:tc>
        <w:tc>
          <w:tcPr>
            <w:tcW w:w="1099" w:type="dxa"/>
            <w:vAlign w:val="center"/>
          </w:tcPr>
          <w:p w14:paraId="00A099C0">
            <w:pPr>
              <w:spacing w:line="360" w:lineRule="exact"/>
              <w:jc w:val="center"/>
              <w:rPr>
                <w:rFonts w:ascii="宋体" w:cs="Arial"/>
                <w:b/>
                <w:sz w:val="22"/>
                <w:szCs w:val="22"/>
              </w:rPr>
            </w:pPr>
          </w:p>
        </w:tc>
      </w:tr>
      <w:tr w14:paraId="2C69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1" w:type="dxa"/>
            <w:vAlign w:val="center"/>
          </w:tcPr>
          <w:p w14:paraId="60310FC0">
            <w:pPr>
              <w:spacing w:line="360" w:lineRule="exact"/>
              <w:jc w:val="center"/>
              <w:rPr>
                <w:rFonts w:ascii="宋体" w:cs="Arial"/>
                <w:b/>
                <w:sz w:val="22"/>
                <w:szCs w:val="22"/>
              </w:rPr>
            </w:pPr>
          </w:p>
        </w:tc>
        <w:tc>
          <w:tcPr>
            <w:tcW w:w="970" w:type="dxa"/>
            <w:vAlign w:val="center"/>
          </w:tcPr>
          <w:p w14:paraId="4B0B6E4D">
            <w:pPr>
              <w:spacing w:line="360" w:lineRule="exact"/>
              <w:jc w:val="center"/>
              <w:rPr>
                <w:rFonts w:ascii="宋体" w:cs="Arial"/>
                <w:b/>
                <w:sz w:val="22"/>
                <w:szCs w:val="22"/>
              </w:rPr>
            </w:pPr>
          </w:p>
        </w:tc>
        <w:tc>
          <w:tcPr>
            <w:tcW w:w="1130" w:type="dxa"/>
            <w:vAlign w:val="center"/>
          </w:tcPr>
          <w:p w14:paraId="19D93D3D">
            <w:pPr>
              <w:spacing w:line="360" w:lineRule="exact"/>
              <w:jc w:val="center"/>
              <w:rPr>
                <w:rFonts w:ascii="宋体" w:cs="Arial"/>
                <w:b/>
                <w:sz w:val="22"/>
                <w:szCs w:val="22"/>
              </w:rPr>
            </w:pPr>
          </w:p>
        </w:tc>
        <w:tc>
          <w:tcPr>
            <w:tcW w:w="1390" w:type="dxa"/>
            <w:vAlign w:val="center"/>
          </w:tcPr>
          <w:p w14:paraId="7016FA4F">
            <w:pPr>
              <w:spacing w:line="360" w:lineRule="exact"/>
              <w:jc w:val="center"/>
              <w:rPr>
                <w:rFonts w:ascii="宋体" w:cs="Arial"/>
                <w:b/>
                <w:sz w:val="22"/>
                <w:szCs w:val="22"/>
              </w:rPr>
            </w:pPr>
          </w:p>
        </w:tc>
        <w:tc>
          <w:tcPr>
            <w:tcW w:w="1026" w:type="dxa"/>
            <w:vAlign w:val="center"/>
          </w:tcPr>
          <w:p w14:paraId="4FE84760">
            <w:pPr>
              <w:spacing w:line="360" w:lineRule="exact"/>
              <w:jc w:val="center"/>
              <w:rPr>
                <w:rFonts w:ascii="宋体" w:cs="Arial"/>
                <w:b/>
                <w:sz w:val="22"/>
                <w:szCs w:val="22"/>
              </w:rPr>
            </w:pPr>
          </w:p>
        </w:tc>
        <w:tc>
          <w:tcPr>
            <w:tcW w:w="1354" w:type="dxa"/>
            <w:vAlign w:val="center"/>
          </w:tcPr>
          <w:p w14:paraId="4B300184">
            <w:pPr>
              <w:spacing w:line="360" w:lineRule="exact"/>
              <w:jc w:val="center"/>
              <w:rPr>
                <w:rFonts w:ascii="宋体" w:cs="Arial"/>
                <w:b/>
                <w:sz w:val="22"/>
                <w:szCs w:val="22"/>
              </w:rPr>
            </w:pPr>
          </w:p>
        </w:tc>
        <w:tc>
          <w:tcPr>
            <w:tcW w:w="1920" w:type="dxa"/>
          </w:tcPr>
          <w:p w14:paraId="296515ED">
            <w:pPr>
              <w:spacing w:line="360" w:lineRule="exact"/>
              <w:jc w:val="center"/>
              <w:rPr>
                <w:rFonts w:ascii="宋体" w:cs="Arial"/>
                <w:b/>
                <w:sz w:val="22"/>
                <w:szCs w:val="22"/>
              </w:rPr>
            </w:pPr>
          </w:p>
        </w:tc>
        <w:tc>
          <w:tcPr>
            <w:tcW w:w="1099" w:type="dxa"/>
            <w:vAlign w:val="center"/>
          </w:tcPr>
          <w:p w14:paraId="72EED50B">
            <w:pPr>
              <w:spacing w:line="360" w:lineRule="exact"/>
              <w:jc w:val="center"/>
              <w:rPr>
                <w:rFonts w:ascii="宋体" w:cs="Arial"/>
                <w:b/>
                <w:sz w:val="22"/>
                <w:szCs w:val="22"/>
              </w:rPr>
            </w:pPr>
          </w:p>
        </w:tc>
      </w:tr>
      <w:tr w14:paraId="3EA6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1" w:type="dxa"/>
            <w:tcBorders>
              <w:bottom w:val="single" w:color="auto" w:sz="4" w:space="0"/>
            </w:tcBorders>
            <w:vAlign w:val="center"/>
          </w:tcPr>
          <w:p w14:paraId="00166576">
            <w:pPr>
              <w:spacing w:line="360" w:lineRule="exact"/>
              <w:jc w:val="center"/>
              <w:rPr>
                <w:rFonts w:ascii="宋体" w:cs="Arial"/>
                <w:b/>
                <w:sz w:val="22"/>
                <w:szCs w:val="22"/>
              </w:rPr>
            </w:pPr>
          </w:p>
        </w:tc>
        <w:tc>
          <w:tcPr>
            <w:tcW w:w="970" w:type="dxa"/>
            <w:tcBorders>
              <w:bottom w:val="single" w:color="auto" w:sz="4" w:space="0"/>
            </w:tcBorders>
            <w:vAlign w:val="center"/>
          </w:tcPr>
          <w:p w14:paraId="5706CFFD">
            <w:pPr>
              <w:spacing w:line="360" w:lineRule="exact"/>
              <w:jc w:val="center"/>
              <w:rPr>
                <w:rFonts w:ascii="宋体" w:cs="Arial"/>
                <w:b/>
                <w:sz w:val="22"/>
                <w:szCs w:val="22"/>
              </w:rPr>
            </w:pPr>
          </w:p>
        </w:tc>
        <w:tc>
          <w:tcPr>
            <w:tcW w:w="1130" w:type="dxa"/>
            <w:tcBorders>
              <w:bottom w:val="single" w:color="auto" w:sz="4" w:space="0"/>
            </w:tcBorders>
            <w:vAlign w:val="center"/>
          </w:tcPr>
          <w:p w14:paraId="34455C1D">
            <w:pPr>
              <w:spacing w:line="360" w:lineRule="exact"/>
              <w:jc w:val="center"/>
              <w:rPr>
                <w:rFonts w:ascii="宋体" w:cs="Arial"/>
                <w:b/>
                <w:sz w:val="22"/>
                <w:szCs w:val="22"/>
              </w:rPr>
            </w:pPr>
          </w:p>
        </w:tc>
        <w:tc>
          <w:tcPr>
            <w:tcW w:w="1390" w:type="dxa"/>
            <w:tcBorders>
              <w:bottom w:val="single" w:color="auto" w:sz="4" w:space="0"/>
            </w:tcBorders>
            <w:vAlign w:val="center"/>
          </w:tcPr>
          <w:p w14:paraId="221DCE54">
            <w:pPr>
              <w:spacing w:line="360" w:lineRule="exact"/>
              <w:jc w:val="center"/>
              <w:rPr>
                <w:rFonts w:ascii="宋体" w:cs="Arial"/>
                <w:b/>
                <w:sz w:val="22"/>
                <w:szCs w:val="22"/>
              </w:rPr>
            </w:pPr>
          </w:p>
        </w:tc>
        <w:tc>
          <w:tcPr>
            <w:tcW w:w="1026" w:type="dxa"/>
            <w:tcBorders>
              <w:bottom w:val="single" w:color="auto" w:sz="4" w:space="0"/>
            </w:tcBorders>
            <w:vAlign w:val="center"/>
          </w:tcPr>
          <w:p w14:paraId="2FC64930">
            <w:pPr>
              <w:spacing w:line="360" w:lineRule="exact"/>
              <w:jc w:val="center"/>
              <w:rPr>
                <w:rFonts w:ascii="宋体" w:cs="Arial"/>
                <w:b/>
                <w:sz w:val="22"/>
                <w:szCs w:val="22"/>
              </w:rPr>
            </w:pPr>
          </w:p>
        </w:tc>
        <w:tc>
          <w:tcPr>
            <w:tcW w:w="1354" w:type="dxa"/>
            <w:tcBorders>
              <w:bottom w:val="single" w:color="auto" w:sz="4" w:space="0"/>
            </w:tcBorders>
            <w:vAlign w:val="center"/>
          </w:tcPr>
          <w:p w14:paraId="6665C1B3">
            <w:pPr>
              <w:spacing w:line="360" w:lineRule="exact"/>
              <w:jc w:val="center"/>
              <w:rPr>
                <w:rFonts w:ascii="宋体" w:cs="Arial"/>
                <w:b/>
                <w:sz w:val="22"/>
                <w:szCs w:val="22"/>
              </w:rPr>
            </w:pPr>
          </w:p>
        </w:tc>
        <w:tc>
          <w:tcPr>
            <w:tcW w:w="1920" w:type="dxa"/>
            <w:tcBorders>
              <w:bottom w:val="single" w:color="auto" w:sz="4" w:space="0"/>
            </w:tcBorders>
          </w:tcPr>
          <w:p w14:paraId="28D48D6E">
            <w:pPr>
              <w:spacing w:line="360" w:lineRule="exact"/>
              <w:jc w:val="center"/>
              <w:rPr>
                <w:rFonts w:ascii="宋体" w:cs="Arial"/>
                <w:b/>
                <w:sz w:val="22"/>
                <w:szCs w:val="22"/>
              </w:rPr>
            </w:pPr>
          </w:p>
        </w:tc>
        <w:tc>
          <w:tcPr>
            <w:tcW w:w="1099" w:type="dxa"/>
            <w:tcBorders>
              <w:bottom w:val="single" w:color="auto" w:sz="4" w:space="0"/>
            </w:tcBorders>
            <w:vAlign w:val="center"/>
          </w:tcPr>
          <w:p w14:paraId="5C391292">
            <w:pPr>
              <w:spacing w:line="360" w:lineRule="exact"/>
              <w:jc w:val="center"/>
              <w:rPr>
                <w:rFonts w:ascii="宋体" w:cs="Arial"/>
                <w:b/>
                <w:sz w:val="22"/>
                <w:szCs w:val="22"/>
              </w:rPr>
            </w:pPr>
          </w:p>
        </w:tc>
      </w:tr>
    </w:tbl>
    <w:p w14:paraId="4404156F">
      <w:pPr>
        <w:pStyle w:val="19"/>
        <w:tabs>
          <w:tab w:val="right" w:leader="middleDot" w:pos="8948"/>
        </w:tabs>
        <w:spacing w:line="360" w:lineRule="exact"/>
        <w:rPr>
          <w:rFonts w:hint="eastAsia" w:ascii="宋体" w:hAnsi="宋体" w:cs="宋体"/>
          <w:bCs w:val="0"/>
          <w:szCs w:val="21"/>
        </w:rPr>
      </w:pPr>
      <w:r>
        <w:rPr>
          <w:rFonts w:hint="eastAsia" w:ascii="宋体" w:hAnsi="宋体" w:cs="宋体"/>
          <w:szCs w:val="21"/>
        </w:rPr>
        <w:t>注：</w:t>
      </w:r>
      <w:r>
        <w:rPr>
          <w:rFonts w:hint="eastAsia" w:ascii="宋体" w:hAnsi="宋体" w:cs="宋体"/>
          <w:bCs w:val="0"/>
          <w:szCs w:val="21"/>
        </w:rPr>
        <w:t>1、本表人员有资格证书的应随表提交职称、资格证书扫描件或（复印件）并加盖电子签章或（公章）。</w:t>
      </w:r>
    </w:p>
    <w:p w14:paraId="5D5C9230">
      <w:pPr>
        <w:spacing w:before="156" w:beforeLines="50" w:after="156" w:afterLines="50" w:line="360" w:lineRule="exact"/>
        <w:ind w:right="-21" w:rightChars="-10" w:firstLine="4410" w:firstLineChars="2100"/>
        <w:rPr>
          <w:rFonts w:hint="eastAsia" w:ascii="宋体" w:hAnsi="宋体" w:cs="宋体"/>
          <w:szCs w:val="21"/>
        </w:rPr>
      </w:pPr>
      <w:r>
        <w:rPr>
          <w:rFonts w:hint="eastAsia" w:ascii="宋体" w:hAnsi="宋体" w:cs="宋体"/>
          <w:szCs w:val="21"/>
        </w:rPr>
        <w:t>投标供应商全称（公章）：</w:t>
      </w:r>
    </w:p>
    <w:p w14:paraId="371954C9">
      <w:pPr>
        <w:spacing w:before="156" w:beforeLines="50" w:after="156" w:afterLines="50" w:line="360" w:lineRule="exact"/>
        <w:ind w:right="-10" w:firstLine="4410" w:firstLineChars="2100"/>
        <w:rPr>
          <w:rFonts w:hint="eastAsia" w:ascii="宋体" w:hAnsi="宋体" w:cs="宋体"/>
          <w:szCs w:val="21"/>
        </w:rPr>
      </w:pPr>
      <w:r>
        <w:rPr>
          <w:rFonts w:hint="eastAsia" w:ascii="宋体" w:hAnsi="宋体" w:cs="宋体"/>
          <w:szCs w:val="21"/>
        </w:rPr>
        <w:t>法定代表人或授权代表（签字或盖章）：</w:t>
      </w:r>
    </w:p>
    <w:p w14:paraId="1071F427">
      <w:pPr>
        <w:ind w:firstLine="4410" w:firstLineChars="2100"/>
      </w:pPr>
      <w:r>
        <w:rPr>
          <w:rFonts w:hint="eastAsia"/>
        </w:rPr>
        <w:t>日期：</w:t>
      </w:r>
    </w:p>
    <w:bookmarkEnd w:id="129"/>
    <w:bookmarkEnd w:id="135"/>
    <w:bookmarkEnd w:id="136"/>
    <w:bookmarkEnd w:id="138"/>
    <w:p w14:paraId="5A909C95">
      <w:pPr>
        <w:spacing w:line="400" w:lineRule="exact"/>
        <w:jc w:val="center"/>
        <w:rPr>
          <w:rFonts w:hint="eastAsia" w:ascii="宋体" w:hAnsi="宋体" w:cs="宋体"/>
          <w:b/>
          <w:bCs/>
          <w:sz w:val="36"/>
          <w:szCs w:val="36"/>
        </w:rPr>
      </w:pPr>
      <w:bookmarkStart w:id="139" w:name="_Toc7715"/>
      <w:bookmarkStart w:id="140" w:name="_Toc388974304"/>
      <w:bookmarkStart w:id="141" w:name="_Toc412788168"/>
      <w:r>
        <w:rPr>
          <w:rFonts w:hint="eastAsia" w:ascii="Arial" w:hAnsi="Arial"/>
          <w:bCs/>
          <w:color w:val="000000"/>
        </w:rPr>
        <w:br w:type="page"/>
      </w:r>
      <w:r>
        <w:rPr>
          <w:rFonts w:hint="eastAsia" w:ascii="宋体" w:hAnsi="宋体"/>
          <w:b/>
          <w:color w:val="000000"/>
          <w:sz w:val="32"/>
          <w:szCs w:val="32"/>
        </w:rPr>
        <w:t xml:space="preserve">附件9 </w:t>
      </w:r>
      <w:r>
        <w:rPr>
          <w:rFonts w:ascii="宋体" w:hAnsi="宋体"/>
          <w:color w:val="000000"/>
          <w:sz w:val="24"/>
        </w:rPr>
        <w:t xml:space="preserve">  </w:t>
      </w:r>
      <w:bookmarkEnd w:id="139"/>
      <w:bookmarkEnd w:id="140"/>
      <w:bookmarkEnd w:id="141"/>
      <w:r>
        <w:rPr>
          <w:rFonts w:hint="eastAsia" w:ascii="宋体" w:hAnsi="宋体" w:cs="宋体"/>
          <w:b/>
          <w:bCs/>
          <w:sz w:val="36"/>
          <w:szCs w:val="36"/>
        </w:rPr>
        <w:t>开标一览表</w:t>
      </w:r>
    </w:p>
    <w:p w14:paraId="522EBF07">
      <w:pPr>
        <w:spacing w:line="380" w:lineRule="exact"/>
        <w:jc w:val="center"/>
        <w:rPr>
          <w:rFonts w:hint="eastAsia" w:ascii="宋体" w:hAnsi="宋体" w:cs="宋体"/>
          <w:b/>
          <w:bCs/>
          <w:sz w:val="22"/>
          <w:szCs w:val="22"/>
        </w:rPr>
      </w:pPr>
    </w:p>
    <w:p w14:paraId="64589C25">
      <w:pPr>
        <w:spacing w:line="380" w:lineRule="exact"/>
        <w:rPr>
          <w:rFonts w:ascii="宋体"/>
          <w:sz w:val="22"/>
          <w:szCs w:val="22"/>
        </w:rPr>
      </w:pPr>
      <w:r>
        <w:rPr>
          <w:rFonts w:hint="eastAsia" w:ascii="宋体" w:hAnsi="宋体" w:cs="宋体"/>
          <w:sz w:val="22"/>
          <w:szCs w:val="22"/>
        </w:rPr>
        <w:t>项目名称：</w:t>
      </w:r>
      <w:r>
        <w:rPr>
          <w:rFonts w:ascii="宋体" w:hAnsi="宋体" w:cs="宋体"/>
          <w:sz w:val="22"/>
          <w:szCs w:val="22"/>
        </w:rPr>
        <w:t xml:space="preserve">                        </w:t>
      </w:r>
      <w:r>
        <w:rPr>
          <w:rFonts w:hint="eastAsia" w:ascii="宋体" w:hAnsi="宋体" w:cs="宋体"/>
          <w:sz w:val="22"/>
          <w:szCs w:val="22"/>
        </w:rPr>
        <w:t xml:space="preserve">           </w:t>
      </w:r>
      <w:r>
        <w:rPr>
          <w:rFonts w:ascii="宋体" w:hAnsi="宋体" w:cs="宋体"/>
          <w:sz w:val="22"/>
          <w:szCs w:val="22"/>
        </w:rPr>
        <w:t xml:space="preserve">    </w:t>
      </w:r>
      <w:r>
        <w:rPr>
          <w:rFonts w:hint="eastAsia" w:ascii="宋体" w:hAnsi="宋体" w:cs="宋体"/>
          <w:sz w:val="22"/>
          <w:szCs w:val="22"/>
        </w:rPr>
        <w:t>项目编号：</w:t>
      </w:r>
      <w:r>
        <w:rPr>
          <w:rFonts w:ascii="宋体" w:hAnsi="宋体" w:cs="宋体"/>
          <w:sz w:val="22"/>
          <w:szCs w:val="22"/>
        </w:rPr>
        <w:t xml:space="preserve">                    </w:t>
      </w:r>
    </w:p>
    <w:tbl>
      <w:tblPr>
        <w:tblStyle w:val="23"/>
        <w:tblW w:w="493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0"/>
        <w:gridCol w:w="4072"/>
        <w:gridCol w:w="2051"/>
      </w:tblGrid>
      <w:tr w14:paraId="690780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356" w:type="pct"/>
            <w:tcBorders>
              <w:top w:val="double" w:color="auto" w:sz="4" w:space="0"/>
            </w:tcBorders>
            <w:vAlign w:val="center"/>
          </w:tcPr>
          <w:p w14:paraId="52FD3B55">
            <w:pPr>
              <w:pStyle w:val="14"/>
              <w:spacing w:line="400" w:lineRule="exact"/>
              <w:jc w:val="center"/>
              <w:rPr>
                <w:rFonts w:hint="eastAsia" w:hAnsi="宋体"/>
                <w:sz w:val="22"/>
                <w:szCs w:val="22"/>
              </w:rPr>
            </w:pPr>
            <w:r>
              <w:rPr>
                <w:rFonts w:hint="eastAsia" w:hAnsi="宋体" w:cs="宋体"/>
                <w:sz w:val="22"/>
                <w:szCs w:val="22"/>
              </w:rPr>
              <w:t>报价内容</w:t>
            </w:r>
          </w:p>
        </w:tc>
        <w:tc>
          <w:tcPr>
            <w:tcW w:w="2422" w:type="pct"/>
            <w:tcBorders>
              <w:top w:val="double" w:color="auto" w:sz="4" w:space="0"/>
            </w:tcBorders>
            <w:vAlign w:val="center"/>
          </w:tcPr>
          <w:p w14:paraId="17CA3849">
            <w:pPr>
              <w:pStyle w:val="14"/>
              <w:spacing w:line="400" w:lineRule="exact"/>
              <w:jc w:val="center"/>
              <w:rPr>
                <w:rFonts w:hint="eastAsia" w:hAnsi="宋体"/>
                <w:sz w:val="22"/>
                <w:szCs w:val="22"/>
              </w:rPr>
            </w:pPr>
            <w:r>
              <w:rPr>
                <w:rFonts w:hint="eastAsia" w:hAnsi="宋体" w:cs="宋体"/>
                <w:sz w:val="22"/>
                <w:szCs w:val="22"/>
              </w:rPr>
              <w:t>投标报价（元）</w:t>
            </w:r>
          </w:p>
        </w:tc>
        <w:tc>
          <w:tcPr>
            <w:tcW w:w="1220" w:type="pct"/>
            <w:tcBorders>
              <w:top w:val="double" w:color="auto" w:sz="4" w:space="0"/>
            </w:tcBorders>
            <w:vAlign w:val="center"/>
          </w:tcPr>
          <w:p w14:paraId="25934DB8">
            <w:pPr>
              <w:pStyle w:val="14"/>
              <w:spacing w:line="400" w:lineRule="exact"/>
              <w:jc w:val="center"/>
              <w:rPr>
                <w:rFonts w:hint="eastAsia" w:hAnsi="宋体" w:cs="宋体"/>
                <w:sz w:val="22"/>
                <w:szCs w:val="22"/>
              </w:rPr>
            </w:pPr>
            <w:r>
              <w:rPr>
                <w:rFonts w:hint="eastAsia" w:hAnsi="宋体" w:cs="宋体"/>
                <w:sz w:val="22"/>
                <w:szCs w:val="22"/>
              </w:rPr>
              <w:t>备注</w:t>
            </w:r>
          </w:p>
        </w:tc>
      </w:tr>
      <w:tr w14:paraId="7727F7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trPr>
        <w:tc>
          <w:tcPr>
            <w:tcW w:w="1356" w:type="pct"/>
            <w:vAlign w:val="center"/>
          </w:tcPr>
          <w:p w14:paraId="643B0E23">
            <w:pPr>
              <w:pStyle w:val="14"/>
              <w:spacing w:line="400" w:lineRule="exact"/>
              <w:jc w:val="center"/>
              <w:rPr>
                <w:rFonts w:hint="eastAsia" w:hAnsi="宋体"/>
                <w:sz w:val="22"/>
                <w:szCs w:val="22"/>
              </w:rPr>
            </w:pPr>
          </w:p>
        </w:tc>
        <w:tc>
          <w:tcPr>
            <w:tcW w:w="2422" w:type="pct"/>
            <w:vAlign w:val="center"/>
          </w:tcPr>
          <w:p w14:paraId="3FB40546">
            <w:pPr>
              <w:pStyle w:val="14"/>
              <w:spacing w:line="400" w:lineRule="exact"/>
              <w:jc w:val="left"/>
              <w:rPr>
                <w:rFonts w:hint="eastAsia" w:hAnsi="宋体"/>
                <w:sz w:val="22"/>
                <w:szCs w:val="22"/>
              </w:rPr>
            </w:pPr>
            <w:r>
              <w:rPr>
                <w:rFonts w:hint="eastAsia" w:hAnsi="宋体"/>
                <w:sz w:val="22"/>
                <w:szCs w:val="22"/>
              </w:rPr>
              <w:t xml:space="preserve">        </w:t>
            </w:r>
            <w:r>
              <w:rPr>
                <w:rFonts w:hint="eastAsia" w:hAnsi="宋体" w:cs="宋体"/>
                <w:sz w:val="22"/>
                <w:szCs w:val="22"/>
              </w:rPr>
              <w:t>大写：</w:t>
            </w:r>
          </w:p>
          <w:p w14:paraId="26C82FF6">
            <w:pPr>
              <w:pStyle w:val="14"/>
              <w:spacing w:line="400" w:lineRule="exact"/>
              <w:ind w:firstLine="880" w:firstLineChars="400"/>
              <w:rPr>
                <w:rFonts w:hint="eastAsia" w:hAnsi="宋体"/>
                <w:sz w:val="22"/>
                <w:szCs w:val="22"/>
              </w:rPr>
            </w:pPr>
            <w:r>
              <w:rPr>
                <w:rFonts w:hint="eastAsia" w:hAnsi="宋体" w:cs="宋体"/>
                <w:sz w:val="22"/>
                <w:szCs w:val="22"/>
              </w:rPr>
              <w:t>小写：</w:t>
            </w:r>
          </w:p>
        </w:tc>
        <w:tc>
          <w:tcPr>
            <w:tcW w:w="1220" w:type="pct"/>
            <w:vAlign w:val="center"/>
          </w:tcPr>
          <w:p w14:paraId="739D894E">
            <w:pPr>
              <w:pStyle w:val="14"/>
              <w:spacing w:line="400" w:lineRule="exact"/>
              <w:jc w:val="center"/>
              <w:rPr>
                <w:rFonts w:hint="eastAsia" w:hAnsi="宋体"/>
                <w:sz w:val="22"/>
                <w:szCs w:val="22"/>
              </w:rPr>
            </w:pPr>
          </w:p>
        </w:tc>
      </w:tr>
    </w:tbl>
    <w:p w14:paraId="1F506CF9">
      <w:pPr>
        <w:spacing w:line="380" w:lineRule="exact"/>
        <w:rPr>
          <w:rFonts w:ascii="宋体"/>
          <w:sz w:val="22"/>
          <w:szCs w:val="22"/>
        </w:rPr>
      </w:pPr>
    </w:p>
    <w:p w14:paraId="33A71264">
      <w:pPr>
        <w:spacing w:line="460" w:lineRule="exact"/>
        <w:ind w:firstLine="442" w:firstLineChars="200"/>
        <w:rPr>
          <w:rFonts w:hint="eastAsia" w:ascii="宋体" w:hAnsi="宋体"/>
          <w:b/>
          <w:bCs/>
          <w:sz w:val="22"/>
          <w:szCs w:val="22"/>
        </w:rPr>
      </w:pPr>
      <w:r>
        <w:rPr>
          <w:rFonts w:hint="eastAsia" w:ascii="宋体" w:hAnsi="宋体" w:cs="宋体"/>
          <w:b/>
          <w:sz w:val="22"/>
          <w:szCs w:val="22"/>
        </w:rPr>
        <w:t>注：</w:t>
      </w:r>
      <w:r>
        <w:rPr>
          <w:rFonts w:hint="eastAsia" w:ascii="宋体" w:hAnsi="宋体" w:cs="宋体"/>
          <w:b/>
          <w:bCs/>
          <w:sz w:val="22"/>
          <w:szCs w:val="22"/>
          <w:u w:val="single"/>
        </w:rPr>
        <w:t>本项目磋商报价是指完成咨询服务可能发生的全部费用及磋商供应商的利润和应交纳的税金、编制费、企业成本（包括人员工资、食宿费、差旅费、办公费、保险费、综合管理费等）、代理服务费、</w:t>
      </w:r>
      <w:r>
        <w:rPr>
          <w:rFonts w:hint="eastAsia" w:ascii="宋体" w:hAnsi="宋体" w:cs="宋体"/>
          <w:b/>
          <w:bCs/>
          <w:sz w:val="22"/>
          <w:szCs w:val="22"/>
          <w:u w:val="single"/>
          <w:lang w:val="en-US" w:eastAsia="zh-CN"/>
        </w:rPr>
        <w:t>售后服务、</w:t>
      </w:r>
      <w:r>
        <w:rPr>
          <w:rFonts w:hint="eastAsia" w:ascii="宋体" w:hAnsi="宋体" w:cs="宋体"/>
          <w:b/>
          <w:bCs/>
          <w:sz w:val="22"/>
          <w:szCs w:val="22"/>
          <w:u w:val="single"/>
        </w:rPr>
        <w:t>乐采云技术服务费及利润、税金等完成项目的一切费用。投标供应商自行考虑可能存在的各种风险、责任、义务等支出。后期不得以估计不足等理由提出任何增加服务价款的要求</w:t>
      </w:r>
      <w:r>
        <w:rPr>
          <w:rFonts w:hint="eastAsia" w:ascii="宋体" w:hAnsi="宋体" w:cs="宋体"/>
          <w:b/>
          <w:sz w:val="22"/>
          <w:u w:val="single"/>
        </w:rPr>
        <w:t>。</w:t>
      </w:r>
    </w:p>
    <w:p w14:paraId="57F375DD">
      <w:pPr>
        <w:spacing w:line="460" w:lineRule="exact"/>
        <w:ind w:firstLine="442" w:firstLineChars="200"/>
        <w:jc w:val="left"/>
        <w:rPr>
          <w:rFonts w:hint="eastAsia" w:ascii="宋体" w:hAnsi="宋体" w:cs="宋体"/>
          <w:b/>
          <w:sz w:val="22"/>
        </w:rPr>
      </w:pPr>
      <w:r>
        <w:rPr>
          <w:rFonts w:hint="eastAsia" w:ascii="宋体" w:hAnsi="宋体" w:cs="宋体"/>
          <w:b/>
          <w:sz w:val="22"/>
          <w:szCs w:val="22"/>
          <w:u w:val="single"/>
        </w:rPr>
        <w:t>▲此表不得自行增减内容，不提供此表格将被视为没有实质性响应采购文件,其投标文件</w:t>
      </w:r>
      <w:r>
        <w:rPr>
          <w:rFonts w:hint="eastAsia" w:ascii="宋体" w:hAnsi="宋体" w:cs="宋体"/>
          <w:b/>
          <w:sz w:val="22"/>
          <w:u w:val="single"/>
        </w:rPr>
        <w:t>将被拒绝</w:t>
      </w:r>
      <w:r>
        <w:rPr>
          <w:rFonts w:hint="eastAsia" w:ascii="宋体" w:hAnsi="宋体" w:cs="宋体"/>
          <w:b/>
          <w:sz w:val="22"/>
        </w:rPr>
        <w:t>。</w:t>
      </w:r>
    </w:p>
    <w:p w14:paraId="43060982">
      <w:pPr>
        <w:spacing w:line="380" w:lineRule="exact"/>
        <w:rPr>
          <w:rFonts w:ascii="宋体"/>
          <w:sz w:val="22"/>
          <w:szCs w:val="22"/>
        </w:rPr>
      </w:pPr>
    </w:p>
    <w:p w14:paraId="47C698E3">
      <w:pPr>
        <w:spacing w:line="360" w:lineRule="exact"/>
        <w:ind w:firstLine="433" w:firstLineChars="196"/>
        <w:rPr>
          <w:rFonts w:ascii="宋体"/>
          <w:b/>
          <w:bCs/>
          <w:sz w:val="22"/>
          <w:szCs w:val="22"/>
          <w:u w:val="single"/>
        </w:rPr>
      </w:pPr>
    </w:p>
    <w:p w14:paraId="676A69D7">
      <w:pPr>
        <w:spacing w:line="380" w:lineRule="exact"/>
        <w:ind w:firstLine="4400" w:firstLineChars="2000"/>
        <w:rPr>
          <w:rFonts w:ascii="宋体"/>
          <w:sz w:val="22"/>
          <w:szCs w:val="22"/>
        </w:rPr>
      </w:pPr>
    </w:p>
    <w:p w14:paraId="27729BBD">
      <w:pPr>
        <w:tabs>
          <w:tab w:val="left" w:pos="3780"/>
          <w:tab w:val="left" w:pos="6480"/>
        </w:tabs>
        <w:spacing w:line="360" w:lineRule="auto"/>
        <w:ind w:right="69" w:rightChars="33" w:firstLine="4125" w:firstLineChars="1875"/>
        <w:rPr>
          <w:rFonts w:ascii="宋体"/>
          <w:sz w:val="22"/>
          <w:szCs w:val="22"/>
        </w:rPr>
      </w:pPr>
      <w:r>
        <w:rPr>
          <w:rFonts w:hint="eastAsia" w:ascii="宋体" w:hAnsi="宋体" w:cs="宋体"/>
          <w:sz w:val="22"/>
          <w:szCs w:val="22"/>
        </w:rPr>
        <w:t>投标供应商全称（盖章）：</w:t>
      </w:r>
    </w:p>
    <w:p w14:paraId="6C7D22D3">
      <w:pPr>
        <w:tabs>
          <w:tab w:val="left" w:pos="6480"/>
        </w:tabs>
        <w:spacing w:line="360" w:lineRule="auto"/>
        <w:ind w:right="69" w:rightChars="33" w:firstLine="1100" w:firstLineChars="500"/>
        <w:rPr>
          <w:rFonts w:ascii="宋体"/>
          <w:sz w:val="22"/>
          <w:szCs w:val="22"/>
        </w:rPr>
      </w:pPr>
      <w:r>
        <w:rPr>
          <w:rFonts w:hint="eastAsia" w:ascii="宋体" w:hAnsi="宋体" w:cs="宋体"/>
          <w:sz w:val="22"/>
          <w:szCs w:val="22"/>
        </w:rPr>
        <w:t>法定代表人（或单位负责人）或授权代表（签字或盖章）：</w:t>
      </w:r>
    </w:p>
    <w:p w14:paraId="1B58DACD">
      <w:pPr>
        <w:tabs>
          <w:tab w:val="left" w:pos="6480"/>
        </w:tabs>
        <w:spacing w:line="360" w:lineRule="auto"/>
        <w:ind w:right="69" w:rightChars="33" w:firstLine="4125" w:firstLineChars="1875"/>
        <w:rPr>
          <w:rFonts w:hint="eastAsia" w:ascii="宋体" w:hAnsi="宋体" w:cs="宋体"/>
          <w:sz w:val="22"/>
          <w:szCs w:val="22"/>
        </w:rPr>
      </w:pPr>
      <w:r>
        <w:rPr>
          <w:rFonts w:hint="eastAsia" w:ascii="宋体" w:hAnsi="宋体" w:cs="宋体"/>
          <w:sz w:val="22"/>
          <w:szCs w:val="22"/>
        </w:rPr>
        <w:t>日</w:t>
      </w:r>
      <w:r>
        <w:rPr>
          <w:rFonts w:ascii="宋体" w:hAnsi="宋体" w:cs="宋体"/>
          <w:sz w:val="22"/>
          <w:szCs w:val="22"/>
        </w:rPr>
        <w:t xml:space="preserve"> </w:t>
      </w:r>
      <w:r>
        <w:rPr>
          <w:rFonts w:hint="eastAsia" w:ascii="宋体" w:hAnsi="宋体" w:cs="宋体"/>
          <w:sz w:val="22"/>
          <w:szCs w:val="22"/>
        </w:rPr>
        <w:t>期：</w:t>
      </w:r>
      <w:r>
        <w:rPr>
          <w:rFonts w:ascii="宋体" w:hAnsi="宋体" w:cs="宋体"/>
          <w:sz w:val="22"/>
          <w:szCs w:val="22"/>
        </w:rPr>
        <w:t xml:space="preserve">  </w:t>
      </w:r>
      <w:r>
        <w:rPr>
          <w:rFonts w:hint="eastAsia" w:ascii="宋体" w:hAnsi="宋体" w:cs="宋体"/>
          <w:sz w:val="22"/>
          <w:szCs w:val="22"/>
        </w:rPr>
        <w:t>年</w:t>
      </w:r>
      <w:r>
        <w:rPr>
          <w:rFonts w:ascii="宋体" w:hAnsi="宋体" w:cs="宋体"/>
          <w:sz w:val="22"/>
          <w:szCs w:val="22"/>
        </w:rPr>
        <w:t xml:space="preserve">  </w:t>
      </w:r>
      <w:r>
        <w:rPr>
          <w:rFonts w:hint="eastAsia" w:ascii="宋体" w:hAnsi="宋体" w:cs="宋体"/>
          <w:sz w:val="22"/>
          <w:szCs w:val="22"/>
        </w:rPr>
        <w:t>月   日</w:t>
      </w:r>
    </w:p>
    <w:p w14:paraId="0DDDB378">
      <w:pPr>
        <w:rPr>
          <w:rFonts w:hint="eastAsia" w:ascii="宋体" w:hAnsi="宋体" w:cs="宋体"/>
          <w:sz w:val="22"/>
          <w:szCs w:val="22"/>
        </w:rPr>
      </w:pPr>
    </w:p>
    <w:p w14:paraId="74249346">
      <w:pPr>
        <w:rPr>
          <w:rFonts w:hint="eastAsia" w:ascii="宋体" w:hAnsi="宋体" w:cs="宋体"/>
          <w:b/>
          <w:sz w:val="28"/>
          <w:szCs w:val="28"/>
        </w:rPr>
      </w:pPr>
      <w:r>
        <w:rPr>
          <w:rFonts w:hint="eastAsia" w:ascii="宋体" w:hAnsi="宋体" w:cs="宋体"/>
          <w:b/>
          <w:sz w:val="28"/>
          <w:szCs w:val="28"/>
        </w:rPr>
        <w:br w:type="page"/>
      </w:r>
    </w:p>
    <w:p w14:paraId="7FD6A4AE">
      <w:pPr>
        <w:spacing w:line="380" w:lineRule="exact"/>
        <w:jc w:val="center"/>
        <w:rPr>
          <w:rFonts w:hint="eastAsia" w:ascii="宋体" w:hAnsi="宋体" w:cs="宋体"/>
          <w:b/>
          <w:sz w:val="28"/>
          <w:szCs w:val="28"/>
        </w:rPr>
      </w:pPr>
      <w:r>
        <w:rPr>
          <w:rFonts w:hint="eastAsia" w:ascii="宋体" w:hAnsi="宋体" w:cs="宋体"/>
          <w:b/>
          <w:sz w:val="28"/>
          <w:szCs w:val="28"/>
        </w:rPr>
        <w:t>磋商分项报价表（首次）</w:t>
      </w:r>
    </w:p>
    <w:p w14:paraId="57314944">
      <w:pPr>
        <w:spacing w:line="380" w:lineRule="exact"/>
        <w:rPr>
          <w:rFonts w:hint="eastAsia" w:ascii="宋体" w:hAnsi="宋体" w:cs="宋体"/>
          <w:b/>
          <w:bCs/>
          <w:sz w:val="22"/>
          <w:szCs w:val="22"/>
        </w:rPr>
      </w:pPr>
    </w:p>
    <w:p w14:paraId="5169A6B3">
      <w:pPr>
        <w:spacing w:line="380" w:lineRule="exact"/>
        <w:rPr>
          <w:rFonts w:hint="eastAsia" w:ascii="宋体" w:hAnsi="宋体" w:cs="宋体"/>
          <w:b/>
          <w:bCs/>
          <w:sz w:val="22"/>
          <w:szCs w:val="22"/>
        </w:rPr>
      </w:pPr>
    </w:p>
    <w:p w14:paraId="3845AE0D">
      <w:pPr>
        <w:spacing w:line="380" w:lineRule="exact"/>
        <w:rPr>
          <w:rFonts w:ascii="宋体"/>
          <w:b/>
          <w:bCs/>
          <w:sz w:val="22"/>
          <w:szCs w:val="22"/>
        </w:rPr>
      </w:pPr>
      <w:r>
        <w:rPr>
          <w:rFonts w:hint="eastAsia" w:ascii="宋体" w:hAnsi="宋体" w:cs="宋体"/>
          <w:b/>
          <w:bCs/>
          <w:sz w:val="22"/>
          <w:szCs w:val="22"/>
        </w:rPr>
        <w:t>项目名称：</w:t>
      </w:r>
      <w:r>
        <w:rPr>
          <w:rFonts w:ascii="宋体" w:hAnsi="宋体" w:cs="宋体"/>
          <w:b/>
          <w:bCs/>
          <w:sz w:val="22"/>
          <w:szCs w:val="22"/>
        </w:rPr>
        <w:t xml:space="preserve">                              </w:t>
      </w:r>
      <w:r>
        <w:rPr>
          <w:rFonts w:hint="eastAsia" w:ascii="宋体" w:hAnsi="宋体" w:cs="宋体"/>
          <w:b/>
          <w:bCs/>
          <w:sz w:val="22"/>
          <w:szCs w:val="22"/>
        </w:rPr>
        <w:t>项目编号：</w:t>
      </w:r>
    </w:p>
    <w:p w14:paraId="00AACB22">
      <w:pPr>
        <w:spacing w:line="380" w:lineRule="exact"/>
        <w:rPr>
          <w:rFonts w:hint="eastAsia" w:ascii="宋体" w:hAnsi="宋体" w:cs="宋体"/>
          <w:bCs/>
          <w:sz w:val="22"/>
          <w:szCs w:val="22"/>
        </w:rPr>
      </w:pPr>
      <w:bookmarkStart w:id="142" w:name="_Toc11579"/>
      <w:bookmarkStart w:id="143" w:name="_Toc25036"/>
      <w:bookmarkStart w:id="144" w:name="_Toc3959"/>
      <w:r>
        <w:rPr>
          <w:rFonts w:hint="eastAsia" w:ascii="宋体" w:hAnsi="宋体" w:cs="宋体"/>
          <w:bCs/>
          <w:sz w:val="22"/>
          <w:szCs w:val="22"/>
        </w:rPr>
        <w:t>（价格单位：元人民币）</w:t>
      </w:r>
    </w:p>
    <w:tbl>
      <w:tblPr>
        <w:tblStyle w:val="23"/>
        <w:tblW w:w="9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3299"/>
        <w:gridCol w:w="3480"/>
        <w:gridCol w:w="1910"/>
      </w:tblGrid>
      <w:tr w14:paraId="15E0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85" w:type="dxa"/>
            <w:tcBorders>
              <w:top w:val="single" w:color="auto" w:sz="12" w:space="0"/>
              <w:left w:val="single" w:color="auto" w:sz="12" w:space="0"/>
              <w:bottom w:val="single" w:color="auto" w:sz="6" w:space="0"/>
              <w:right w:val="single" w:color="auto" w:sz="6" w:space="0"/>
            </w:tcBorders>
            <w:noWrap w:val="0"/>
            <w:vAlign w:val="center"/>
          </w:tcPr>
          <w:p w14:paraId="462488A5">
            <w:pPr>
              <w:ind w:right="-11"/>
              <w:jc w:val="center"/>
              <w:rPr>
                <w:rFonts w:hint="eastAsia" w:ascii="宋体" w:hAnsi="宋体" w:cs="宋体"/>
                <w:b/>
                <w:bCs/>
              </w:rPr>
            </w:pPr>
            <w:r>
              <w:rPr>
                <w:rFonts w:hint="eastAsia" w:ascii="宋体" w:hAnsi="宋体" w:cs="宋体"/>
                <w:b/>
                <w:bCs/>
              </w:rPr>
              <w:t>序号</w:t>
            </w:r>
          </w:p>
        </w:tc>
        <w:tc>
          <w:tcPr>
            <w:tcW w:w="3299" w:type="dxa"/>
            <w:tcBorders>
              <w:top w:val="single" w:color="auto" w:sz="12" w:space="0"/>
              <w:left w:val="single" w:color="auto" w:sz="6" w:space="0"/>
              <w:bottom w:val="single" w:color="auto" w:sz="6" w:space="0"/>
              <w:right w:val="single" w:color="auto" w:sz="6" w:space="0"/>
            </w:tcBorders>
            <w:noWrap w:val="0"/>
            <w:vAlign w:val="center"/>
          </w:tcPr>
          <w:p w14:paraId="6B450B76">
            <w:pPr>
              <w:ind w:right="-11"/>
              <w:jc w:val="center"/>
              <w:rPr>
                <w:rFonts w:hint="eastAsia" w:ascii="宋体" w:hAnsi="宋体" w:cs="宋体"/>
                <w:b/>
                <w:bCs/>
              </w:rPr>
            </w:pPr>
            <w:r>
              <w:rPr>
                <w:rFonts w:hint="eastAsia" w:ascii="宋体" w:hAnsi="宋体" w:cs="宋体"/>
                <w:b/>
                <w:bCs/>
              </w:rPr>
              <w:t>费用名称</w:t>
            </w:r>
          </w:p>
        </w:tc>
        <w:tc>
          <w:tcPr>
            <w:tcW w:w="3480" w:type="dxa"/>
            <w:tcBorders>
              <w:top w:val="single" w:color="auto" w:sz="12" w:space="0"/>
              <w:left w:val="single" w:color="auto" w:sz="6" w:space="0"/>
              <w:bottom w:val="single" w:color="auto" w:sz="6" w:space="0"/>
              <w:right w:val="single" w:color="auto" w:sz="6" w:space="0"/>
            </w:tcBorders>
            <w:noWrap w:val="0"/>
            <w:vAlign w:val="center"/>
          </w:tcPr>
          <w:p w14:paraId="6D0E5DBF">
            <w:pPr>
              <w:ind w:right="-11"/>
              <w:jc w:val="center"/>
              <w:rPr>
                <w:rFonts w:ascii="宋体" w:hAnsi="宋体" w:cs="宋体"/>
              </w:rPr>
            </w:pPr>
            <w:r>
              <w:rPr>
                <w:rFonts w:hint="eastAsia" w:ascii="宋体" w:hAnsi="宋体" w:cs="宋体"/>
                <w:b/>
                <w:bCs/>
              </w:rPr>
              <w:t>分项报价</w:t>
            </w:r>
          </w:p>
        </w:tc>
        <w:tc>
          <w:tcPr>
            <w:tcW w:w="1910" w:type="dxa"/>
            <w:tcBorders>
              <w:top w:val="single" w:color="auto" w:sz="12" w:space="0"/>
              <w:left w:val="single" w:color="auto" w:sz="6" w:space="0"/>
              <w:bottom w:val="single" w:color="auto" w:sz="6" w:space="0"/>
              <w:right w:val="single" w:color="auto" w:sz="12" w:space="0"/>
            </w:tcBorders>
            <w:noWrap w:val="0"/>
            <w:vAlign w:val="center"/>
          </w:tcPr>
          <w:p w14:paraId="0E8689A5">
            <w:pPr>
              <w:ind w:right="-11"/>
              <w:jc w:val="center"/>
              <w:rPr>
                <w:rFonts w:hint="eastAsia" w:ascii="宋体" w:hAnsi="宋体" w:cs="宋体"/>
                <w:b/>
                <w:bCs/>
              </w:rPr>
            </w:pPr>
            <w:r>
              <w:rPr>
                <w:rFonts w:hint="eastAsia" w:ascii="宋体" w:hAnsi="宋体" w:cs="宋体"/>
                <w:b/>
                <w:bCs/>
              </w:rPr>
              <w:t>备注</w:t>
            </w:r>
          </w:p>
        </w:tc>
      </w:tr>
      <w:tr w14:paraId="61FF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85" w:type="dxa"/>
            <w:tcBorders>
              <w:top w:val="single" w:color="auto" w:sz="6" w:space="0"/>
              <w:left w:val="single" w:color="auto" w:sz="12" w:space="0"/>
              <w:bottom w:val="single" w:color="auto" w:sz="6" w:space="0"/>
              <w:right w:val="single" w:color="auto" w:sz="6" w:space="0"/>
            </w:tcBorders>
            <w:noWrap w:val="0"/>
            <w:vAlign w:val="center"/>
          </w:tcPr>
          <w:p w14:paraId="3F837C3D">
            <w:pPr>
              <w:adjustRightInd w:val="0"/>
              <w:snapToGrid w:val="0"/>
              <w:jc w:val="center"/>
              <w:rPr>
                <w:rFonts w:hint="eastAsia" w:ascii="宋体" w:hAnsi="宋体" w:cs="宋体"/>
              </w:rPr>
            </w:pPr>
            <w:r>
              <w:rPr>
                <w:rFonts w:hint="eastAsia" w:ascii="宋体" w:hAnsi="宋体" w:cs="宋体"/>
              </w:rPr>
              <w:t>1</w:t>
            </w:r>
          </w:p>
        </w:tc>
        <w:tc>
          <w:tcPr>
            <w:tcW w:w="3299" w:type="dxa"/>
            <w:tcBorders>
              <w:top w:val="single" w:color="auto" w:sz="6" w:space="0"/>
              <w:left w:val="single" w:color="auto" w:sz="6" w:space="0"/>
              <w:bottom w:val="single" w:color="auto" w:sz="6" w:space="0"/>
              <w:right w:val="single" w:color="auto" w:sz="6" w:space="0"/>
            </w:tcBorders>
            <w:noWrap w:val="0"/>
            <w:vAlign w:val="center"/>
          </w:tcPr>
          <w:p w14:paraId="4C6B24E6">
            <w:pPr>
              <w:widowControl/>
              <w:jc w:val="center"/>
              <w:textAlignment w:val="center"/>
              <w:rPr>
                <w:rFonts w:hint="eastAsia" w:ascii="宋体" w:hAnsi="宋体" w:cs="宋体"/>
                <w:b/>
                <w:bCs/>
              </w:rPr>
            </w:pPr>
            <w:r>
              <w:rPr>
                <w:rFonts w:hint="eastAsia" w:ascii="Arial" w:hAnsi="宋体" w:cs="Arial"/>
                <w:sz w:val="24"/>
                <w:szCs w:val="32"/>
              </w:rPr>
              <w:t>电源规划</w:t>
            </w:r>
          </w:p>
        </w:tc>
        <w:tc>
          <w:tcPr>
            <w:tcW w:w="3480" w:type="dxa"/>
            <w:tcBorders>
              <w:top w:val="single" w:color="auto" w:sz="6" w:space="0"/>
              <w:left w:val="single" w:color="auto" w:sz="6" w:space="0"/>
              <w:bottom w:val="single" w:color="auto" w:sz="6" w:space="0"/>
              <w:right w:val="single" w:color="auto" w:sz="6" w:space="0"/>
            </w:tcBorders>
            <w:noWrap w:val="0"/>
            <w:vAlign w:val="center"/>
          </w:tcPr>
          <w:p w14:paraId="6F54BD66">
            <w:pPr>
              <w:ind w:right="-11"/>
              <w:jc w:val="center"/>
              <w:rPr>
                <w:rFonts w:hint="eastAsia" w:ascii="宋体" w:hAnsi="宋体" w:cs="宋体"/>
                <w:b/>
                <w:bCs/>
              </w:rPr>
            </w:pPr>
          </w:p>
        </w:tc>
        <w:tc>
          <w:tcPr>
            <w:tcW w:w="1910" w:type="dxa"/>
            <w:tcBorders>
              <w:top w:val="single" w:color="auto" w:sz="6" w:space="0"/>
              <w:left w:val="single" w:color="auto" w:sz="6" w:space="0"/>
              <w:bottom w:val="single" w:color="auto" w:sz="6" w:space="0"/>
              <w:right w:val="single" w:color="auto" w:sz="12" w:space="0"/>
            </w:tcBorders>
            <w:noWrap w:val="0"/>
            <w:vAlign w:val="center"/>
          </w:tcPr>
          <w:p w14:paraId="3D20DB51">
            <w:pPr>
              <w:ind w:right="-11"/>
              <w:jc w:val="center"/>
              <w:rPr>
                <w:rFonts w:hint="eastAsia" w:ascii="宋体" w:hAnsi="宋体" w:cs="宋体"/>
                <w:b/>
                <w:bCs/>
              </w:rPr>
            </w:pPr>
          </w:p>
        </w:tc>
      </w:tr>
      <w:tr w14:paraId="741D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85" w:type="dxa"/>
            <w:tcBorders>
              <w:top w:val="single" w:color="auto" w:sz="6" w:space="0"/>
              <w:left w:val="single" w:color="auto" w:sz="12" w:space="0"/>
              <w:bottom w:val="single" w:color="auto" w:sz="6" w:space="0"/>
              <w:right w:val="single" w:color="auto" w:sz="6" w:space="0"/>
            </w:tcBorders>
            <w:noWrap w:val="0"/>
            <w:vAlign w:val="center"/>
          </w:tcPr>
          <w:p w14:paraId="688233D4">
            <w:pPr>
              <w:adjustRightInd w:val="0"/>
              <w:snapToGrid w:val="0"/>
              <w:jc w:val="center"/>
              <w:rPr>
                <w:rFonts w:hint="eastAsia" w:ascii="宋体" w:hAnsi="宋体" w:cs="宋体"/>
              </w:rPr>
            </w:pPr>
            <w:r>
              <w:rPr>
                <w:rFonts w:hint="eastAsia" w:ascii="宋体" w:hAnsi="宋体" w:cs="宋体"/>
              </w:rPr>
              <w:t>2</w:t>
            </w:r>
          </w:p>
        </w:tc>
        <w:tc>
          <w:tcPr>
            <w:tcW w:w="3299" w:type="dxa"/>
            <w:tcBorders>
              <w:top w:val="single" w:color="auto" w:sz="6" w:space="0"/>
              <w:left w:val="single" w:color="auto" w:sz="6" w:space="0"/>
              <w:bottom w:val="single" w:color="auto" w:sz="6" w:space="0"/>
              <w:right w:val="single" w:color="auto" w:sz="6" w:space="0"/>
            </w:tcBorders>
            <w:noWrap w:val="0"/>
            <w:vAlign w:val="center"/>
          </w:tcPr>
          <w:p w14:paraId="68BC1729">
            <w:pPr>
              <w:jc w:val="center"/>
              <w:rPr>
                <w:rFonts w:hint="eastAsia" w:ascii="宋体" w:hAnsi="宋体" w:cs="宋体"/>
                <w:b/>
                <w:bCs/>
              </w:rPr>
            </w:pPr>
            <w:r>
              <w:rPr>
                <w:rFonts w:hint="eastAsia" w:ascii="Arial" w:hAnsi="宋体" w:cs="Arial"/>
                <w:sz w:val="24"/>
                <w:szCs w:val="32"/>
              </w:rPr>
              <w:t>电网规划</w:t>
            </w:r>
          </w:p>
        </w:tc>
        <w:tc>
          <w:tcPr>
            <w:tcW w:w="3480" w:type="dxa"/>
            <w:tcBorders>
              <w:top w:val="single" w:color="auto" w:sz="6" w:space="0"/>
              <w:left w:val="single" w:color="auto" w:sz="6" w:space="0"/>
              <w:bottom w:val="single" w:color="auto" w:sz="6" w:space="0"/>
              <w:right w:val="single" w:color="auto" w:sz="6" w:space="0"/>
            </w:tcBorders>
            <w:noWrap w:val="0"/>
            <w:vAlign w:val="center"/>
          </w:tcPr>
          <w:p w14:paraId="2B462DBE">
            <w:pPr>
              <w:ind w:right="-11"/>
              <w:jc w:val="center"/>
              <w:rPr>
                <w:rFonts w:hint="eastAsia" w:ascii="宋体" w:hAnsi="宋体" w:cs="宋体"/>
                <w:b/>
                <w:bCs/>
              </w:rPr>
            </w:pPr>
          </w:p>
        </w:tc>
        <w:tc>
          <w:tcPr>
            <w:tcW w:w="1910" w:type="dxa"/>
            <w:tcBorders>
              <w:top w:val="single" w:color="auto" w:sz="6" w:space="0"/>
              <w:left w:val="single" w:color="auto" w:sz="6" w:space="0"/>
              <w:bottom w:val="single" w:color="auto" w:sz="6" w:space="0"/>
              <w:right w:val="single" w:color="auto" w:sz="12" w:space="0"/>
            </w:tcBorders>
            <w:noWrap w:val="0"/>
            <w:vAlign w:val="center"/>
          </w:tcPr>
          <w:p w14:paraId="705A464E">
            <w:pPr>
              <w:ind w:right="-11"/>
              <w:jc w:val="center"/>
              <w:rPr>
                <w:rFonts w:hint="eastAsia" w:ascii="宋体" w:hAnsi="宋体" w:cs="宋体"/>
                <w:b/>
                <w:bCs/>
              </w:rPr>
            </w:pPr>
          </w:p>
        </w:tc>
      </w:tr>
      <w:tr w14:paraId="5AD7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85" w:type="dxa"/>
            <w:tcBorders>
              <w:top w:val="single" w:color="auto" w:sz="6" w:space="0"/>
              <w:left w:val="single" w:color="auto" w:sz="12" w:space="0"/>
              <w:bottom w:val="single" w:color="auto" w:sz="6" w:space="0"/>
              <w:right w:val="single" w:color="auto" w:sz="6" w:space="0"/>
            </w:tcBorders>
            <w:noWrap w:val="0"/>
            <w:vAlign w:val="center"/>
          </w:tcPr>
          <w:p w14:paraId="759EBDC0">
            <w:pPr>
              <w:adjustRightInd w:val="0"/>
              <w:snapToGrid w:val="0"/>
              <w:jc w:val="center"/>
              <w:rPr>
                <w:rFonts w:hint="eastAsia" w:ascii="宋体" w:hAnsi="宋体" w:cs="宋体"/>
              </w:rPr>
            </w:pPr>
            <w:r>
              <w:rPr>
                <w:rFonts w:hint="eastAsia" w:ascii="宋体" w:hAnsi="宋体" w:cs="宋体"/>
              </w:rPr>
              <w:t>3</w:t>
            </w:r>
          </w:p>
        </w:tc>
        <w:tc>
          <w:tcPr>
            <w:tcW w:w="3299" w:type="dxa"/>
            <w:tcBorders>
              <w:top w:val="single" w:color="auto" w:sz="6" w:space="0"/>
              <w:left w:val="single" w:color="auto" w:sz="6" w:space="0"/>
              <w:bottom w:val="single" w:color="auto" w:sz="6" w:space="0"/>
              <w:right w:val="single" w:color="auto" w:sz="6" w:space="0"/>
            </w:tcBorders>
            <w:noWrap w:val="0"/>
            <w:vAlign w:val="center"/>
          </w:tcPr>
          <w:p w14:paraId="1A347A5B">
            <w:pPr>
              <w:widowControl/>
              <w:jc w:val="center"/>
              <w:textAlignment w:val="center"/>
              <w:rPr>
                <w:rFonts w:ascii="宋体" w:hAnsi="宋体" w:cs="宋体"/>
                <w:b/>
                <w:bCs/>
              </w:rPr>
            </w:pPr>
            <w:r>
              <w:rPr>
                <w:rFonts w:hint="eastAsia" w:ascii="Arial" w:hAnsi="宋体" w:cs="Arial"/>
                <w:sz w:val="24"/>
                <w:szCs w:val="32"/>
              </w:rPr>
              <w:t>电力设施空间布局规划</w:t>
            </w:r>
          </w:p>
        </w:tc>
        <w:tc>
          <w:tcPr>
            <w:tcW w:w="3480" w:type="dxa"/>
            <w:tcBorders>
              <w:top w:val="single" w:color="auto" w:sz="6" w:space="0"/>
              <w:left w:val="single" w:color="auto" w:sz="6" w:space="0"/>
              <w:bottom w:val="single" w:color="auto" w:sz="6" w:space="0"/>
              <w:right w:val="single" w:color="auto" w:sz="6" w:space="0"/>
            </w:tcBorders>
            <w:noWrap w:val="0"/>
            <w:vAlign w:val="center"/>
          </w:tcPr>
          <w:p w14:paraId="21A0DD08">
            <w:pPr>
              <w:ind w:right="-11"/>
              <w:jc w:val="center"/>
              <w:rPr>
                <w:rFonts w:hint="eastAsia" w:ascii="宋体" w:hAnsi="宋体" w:cs="宋体"/>
                <w:b/>
                <w:bCs/>
              </w:rPr>
            </w:pPr>
          </w:p>
        </w:tc>
        <w:tc>
          <w:tcPr>
            <w:tcW w:w="1910" w:type="dxa"/>
            <w:tcBorders>
              <w:top w:val="single" w:color="auto" w:sz="6" w:space="0"/>
              <w:left w:val="single" w:color="auto" w:sz="6" w:space="0"/>
              <w:bottom w:val="single" w:color="auto" w:sz="6" w:space="0"/>
              <w:right w:val="single" w:color="auto" w:sz="12" w:space="0"/>
            </w:tcBorders>
            <w:noWrap w:val="0"/>
            <w:vAlign w:val="center"/>
          </w:tcPr>
          <w:p w14:paraId="671F1ACE">
            <w:pPr>
              <w:ind w:right="-11"/>
              <w:jc w:val="center"/>
              <w:rPr>
                <w:rFonts w:hint="eastAsia" w:ascii="宋体" w:hAnsi="宋体" w:cs="宋体"/>
                <w:b/>
                <w:bCs/>
              </w:rPr>
            </w:pPr>
          </w:p>
        </w:tc>
      </w:tr>
      <w:tr w14:paraId="6885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3984" w:type="dxa"/>
            <w:gridSpan w:val="2"/>
            <w:tcBorders>
              <w:top w:val="single" w:color="auto" w:sz="6" w:space="0"/>
              <w:left w:val="single" w:color="auto" w:sz="12" w:space="0"/>
              <w:bottom w:val="single" w:color="auto" w:sz="12" w:space="0"/>
              <w:right w:val="single" w:color="auto" w:sz="6" w:space="0"/>
            </w:tcBorders>
            <w:noWrap w:val="0"/>
            <w:vAlign w:val="center"/>
          </w:tcPr>
          <w:p w14:paraId="545BF179">
            <w:pPr>
              <w:jc w:val="center"/>
              <w:rPr>
                <w:rFonts w:hint="eastAsia" w:ascii="宋体" w:hAnsi="宋体" w:cs="宋体"/>
              </w:rPr>
            </w:pPr>
            <w:r>
              <w:rPr>
                <w:rFonts w:hint="eastAsia" w:ascii="宋体" w:hAnsi="宋体" w:cs="宋体"/>
                <w:kern w:val="0"/>
                <w:sz w:val="22"/>
                <w:szCs w:val="22"/>
                <w:lang w:bidi="ar"/>
              </w:rPr>
              <w:t>投标报价总价</w:t>
            </w:r>
          </w:p>
        </w:tc>
        <w:tc>
          <w:tcPr>
            <w:tcW w:w="5390" w:type="dxa"/>
            <w:gridSpan w:val="2"/>
            <w:tcBorders>
              <w:top w:val="single" w:color="auto" w:sz="6" w:space="0"/>
              <w:left w:val="single" w:color="auto" w:sz="6" w:space="0"/>
              <w:bottom w:val="single" w:color="auto" w:sz="12" w:space="0"/>
              <w:right w:val="single" w:color="auto" w:sz="12" w:space="0"/>
            </w:tcBorders>
            <w:noWrap w:val="0"/>
            <w:vAlign w:val="center"/>
          </w:tcPr>
          <w:p w14:paraId="3A9F57A1">
            <w:pPr>
              <w:ind w:right="-11"/>
              <w:jc w:val="center"/>
              <w:rPr>
                <w:rFonts w:hint="eastAsia" w:ascii="宋体" w:hAnsi="宋体" w:cs="宋体"/>
              </w:rPr>
            </w:pPr>
          </w:p>
        </w:tc>
      </w:tr>
    </w:tbl>
    <w:p w14:paraId="54214047">
      <w:pPr>
        <w:spacing w:line="440" w:lineRule="exact"/>
        <w:rPr>
          <w:rFonts w:hint="eastAsia" w:ascii="宋体" w:hAnsi="宋体" w:cs="宋体"/>
          <w:b/>
          <w:bCs/>
          <w:sz w:val="22"/>
          <w:szCs w:val="22"/>
        </w:rPr>
      </w:pPr>
      <w:r>
        <w:rPr>
          <w:rFonts w:hint="eastAsia" w:ascii="宋体" w:hAnsi="宋体" w:cs="宋体"/>
          <w:b/>
          <w:bCs/>
          <w:sz w:val="22"/>
          <w:szCs w:val="22"/>
        </w:rPr>
        <w:t>说明：1.</w:t>
      </w:r>
      <w:r>
        <w:rPr>
          <w:rFonts w:hint="eastAsia" w:ascii="宋体" w:hAnsi="宋体" w:cs="宋体"/>
          <w:b/>
          <w:sz w:val="22"/>
          <w:szCs w:val="22"/>
        </w:rPr>
        <w:t>▲</w:t>
      </w:r>
      <w:r>
        <w:rPr>
          <w:rFonts w:hint="eastAsia" w:ascii="宋体" w:hAnsi="宋体" w:cs="宋体"/>
          <w:b/>
          <w:bCs/>
          <w:sz w:val="22"/>
          <w:szCs w:val="22"/>
          <w:u w:val="single"/>
        </w:rPr>
        <w:t>不提供本表视为没有实质性响应磋商文件。</w:t>
      </w:r>
    </w:p>
    <w:p w14:paraId="393C1470">
      <w:pPr>
        <w:spacing w:line="440" w:lineRule="exact"/>
        <w:ind w:firstLine="720"/>
        <w:rPr>
          <w:rFonts w:hint="eastAsia" w:ascii="宋体" w:hAnsi="宋体" w:cs="宋体"/>
          <w:b/>
          <w:bCs/>
          <w:sz w:val="22"/>
          <w:szCs w:val="22"/>
        </w:rPr>
      </w:pPr>
      <w:r>
        <w:rPr>
          <w:rFonts w:hint="eastAsia" w:ascii="宋体" w:hAnsi="宋体" w:cs="宋体"/>
          <w:b/>
          <w:bCs/>
          <w:sz w:val="22"/>
          <w:szCs w:val="22"/>
        </w:rPr>
        <w:t>2.本表的总计价应与附件二“磋商报价一览表（首次）”磋商报价相一致。</w:t>
      </w:r>
    </w:p>
    <w:p w14:paraId="261C8AF2">
      <w:pPr>
        <w:spacing w:line="440" w:lineRule="exact"/>
        <w:ind w:firstLine="720"/>
        <w:rPr>
          <w:rFonts w:hint="eastAsia" w:ascii="宋体" w:hAnsi="宋体" w:cs="宋体"/>
          <w:b/>
          <w:bCs/>
          <w:sz w:val="22"/>
          <w:szCs w:val="22"/>
          <w:u w:val="single"/>
        </w:rPr>
      </w:pPr>
      <w:r>
        <w:rPr>
          <w:rFonts w:hint="eastAsia" w:ascii="宋体" w:hAnsi="宋体" w:cs="宋体"/>
          <w:b/>
          <w:bCs/>
          <w:sz w:val="22"/>
          <w:szCs w:val="22"/>
        </w:rPr>
        <w:t>3.本表中的“总计价”已包括本项目的所有相关费用，未列费用均视为已综合考虑并已计入总计价。</w:t>
      </w:r>
    </w:p>
    <w:p w14:paraId="7A9A347A">
      <w:pPr>
        <w:spacing w:line="440" w:lineRule="exact"/>
        <w:ind w:firstLine="720"/>
        <w:rPr>
          <w:rFonts w:hint="eastAsia" w:ascii="宋体" w:hAnsi="宋体" w:cs="宋体"/>
          <w:sz w:val="22"/>
          <w:szCs w:val="22"/>
        </w:rPr>
      </w:pPr>
      <w:r>
        <w:rPr>
          <w:rFonts w:hint="eastAsia" w:ascii="宋体" w:hAnsi="宋体" w:cs="宋体"/>
          <w:b/>
          <w:bCs/>
          <w:sz w:val="22"/>
          <w:szCs w:val="22"/>
        </w:rPr>
        <w:t>4.本表行数可在不改变格式的情况下根据具体需要自行增减。</w:t>
      </w:r>
    </w:p>
    <w:p w14:paraId="1CA8FADA">
      <w:pPr>
        <w:spacing w:line="440" w:lineRule="exact"/>
        <w:rPr>
          <w:rFonts w:hint="eastAsia" w:ascii="宋体" w:hAnsi="宋体" w:cs="宋体"/>
          <w:sz w:val="22"/>
          <w:szCs w:val="22"/>
        </w:rPr>
      </w:pPr>
    </w:p>
    <w:p w14:paraId="2A6F1434">
      <w:pPr>
        <w:spacing w:line="440" w:lineRule="exact"/>
        <w:rPr>
          <w:rFonts w:hint="eastAsia" w:ascii="宋体" w:hAnsi="宋体" w:cs="宋体"/>
          <w:sz w:val="22"/>
          <w:szCs w:val="22"/>
        </w:rPr>
      </w:pPr>
    </w:p>
    <w:p w14:paraId="6E4AE008">
      <w:pPr>
        <w:spacing w:line="440" w:lineRule="exact"/>
        <w:rPr>
          <w:rFonts w:hint="eastAsia" w:ascii="宋体" w:hAnsi="宋体" w:cs="宋体"/>
          <w:sz w:val="22"/>
          <w:szCs w:val="22"/>
        </w:rPr>
      </w:pPr>
      <w:r>
        <w:rPr>
          <w:rFonts w:hint="eastAsia" w:ascii="宋体" w:hAnsi="宋体" w:cs="宋体"/>
          <w:sz w:val="22"/>
          <w:szCs w:val="22"/>
        </w:rPr>
        <w:t>磋商供应商全称（盖公章）：</w:t>
      </w:r>
    </w:p>
    <w:p w14:paraId="3222A67B">
      <w:pPr>
        <w:widowControl/>
        <w:adjustRightInd w:val="0"/>
        <w:snapToGrid w:val="0"/>
        <w:spacing w:line="440" w:lineRule="exact"/>
        <w:jc w:val="left"/>
        <w:rPr>
          <w:rFonts w:hint="eastAsia" w:ascii="宋体" w:hAnsi="宋体" w:cs="宋体"/>
          <w:kern w:val="0"/>
          <w:sz w:val="22"/>
          <w:szCs w:val="22"/>
        </w:rPr>
      </w:pPr>
      <w:r>
        <w:rPr>
          <w:rFonts w:hint="eastAsia" w:ascii="宋体" w:hAnsi="宋体" w:cs="宋体"/>
          <w:kern w:val="0"/>
          <w:sz w:val="22"/>
          <w:szCs w:val="22"/>
        </w:rPr>
        <w:t>法定代表人（负责人）或其授权代表（签字或盖章）：</w:t>
      </w:r>
    </w:p>
    <w:p w14:paraId="7DDE7D2D">
      <w:pPr>
        <w:spacing w:line="440" w:lineRule="exact"/>
        <w:rPr>
          <w:rFonts w:hint="eastAsia" w:ascii="宋体" w:hAnsi="宋体" w:cs="宋体"/>
          <w:sz w:val="22"/>
          <w:szCs w:val="22"/>
        </w:rPr>
      </w:pPr>
      <w:r>
        <w:rPr>
          <w:rFonts w:hint="eastAsia" w:ascii="宋体" w:hAnsi="宋体" w:cs="宋体"/>
          <w:sz w:val="22"/>
          <w:szCs w:val="22"/>
        </w:rPr>
        <w:t>日 期：</w:t>
      </w:r>
    </w:p>
    <w:p w14:paraId="0D556B1A">
      <w:pPr>
        <w:rPr>
          <w:rFonts w:hint="eastAsia" w:ascii="宋体" w:hAnsi="宋体"/>
          <w:b/>
          <w:color w:val="000000"/>
          <w:sz w:val="32"/>
          <w:szCs w:val="32"/>
        </w:rPr>
      </w:pPr>
      <w:r>
        <w:rPr>
          <w:rFonts w:hint="eastAsia" w:ascii="宋体" w:hAnsi="宋体"/>
          <w:b/>
          <w:color w:val="000000"/>
          <w:sz w:val="32"/>
          <w:szCs w:val="32"/>
        </w:rPr>
        <w:br w:type="page"/>
      </w:r>
    </w:p>
    <w:p w14:paraId="790379C0">
      <w:pPr>
        <w:spacing w:line="360" w:lineRule="auto"/>
        <w:jc w:val="center"/>
        <w:outlineLvl w:val="0"/>
        <w:rPr>
          <w:rFonts w:hint="eastAsia" w:ascii="宋体" w:hAnsi="宋体" w:cs="宋体"/>
          <w:b/>
          <w:bCs/>
          <w:sz w:val="36"/>
          <w:szCs w:val="36"/>
        </w:rPr>
      </w:pPr>
      <w:r>
        <w:rPr>
          <w:rFonts w:hint="eastAsia" w:ascii="宋体" w:hAnsi="宋体"/>
          <w:b/>
          <w:color w:val="000000"/>
          <w:sz w:val="32"/>
          <w:szCs w:val="32"/>
        </w:rPr>
        <w:t xml:space="preserve">第六部分  </w:t>
      </w:r>
      <w:bookmarkEnd w:id="103"/>
      <w:bookmarkEnd w:id="104"/>
      <w:bookmarkEnd w:id="142"/>
      <w:r>
        <w:rPr>
          <w:rFonts w:hint="eastAsia" w:ascii="宋体" w:hAnsi="宋体" w:cs="宋体"/>
          <w:b/>
          <w:bCs/>
          <w:sz w:val="36"/>
          <w:szCs w:val="36"/>
        </w:rPr>
        <w:t>评标原则及方法</w:t>
      </w:r>
      <w:bookmarkEnd w:id="143"/>
      <w:bookmarkEnd w:id="144"/>
    </w:p>
    <w:p w14:paraId="379B66B8">
      <w:pPr>
        <w:spacing w:line="240" w:lineRule="atLeast"/>
        <w:jc w:val="center"/>
        <w:rPr>
          <w:rFonts w:hint="eastAsia" w:ascii="宋体" w:hAnsi="宋体" w:cs="宋体"/>
          <w:b/>
          <w:szCs w:val="21"/>
        </w:rPr>
      </w:pPr>
    </w:p>
    <w:p w14:paraId="5278D59F">
      <w:pPr>
        <w:spacing w:line="420" w:lineRule="exact"/>
        <w:jc w:val="center"/>
        <w:outlineLvl w:val="0"/>
        <w:rPr>
          <w:rFonts w:hint="eastAsia" w:ascii="宋体" w:hAnsi="宋体" w:cs="宋体"/>
          <w:sz w:val="22"/>
          <w:szCs w:val="22"/>
        </w:rPr>
      </w:pPr>
      <w:bookmarkStart w:id="145" w:name="_Toc25983"/>
      <w:bookmarkStart w:id="146" w:name="_Toc21552"/>
      <w:bookmarkStart w:id="147" w:name="_Toc14502"/>
      <w:r>
        <w:rPr>
          <w:rFonts w:hint="eastAsia" w:ascii="宋体" w:hAnsi="宋体" w:cs="宋体"/>
          <w:sz w:val="22"/>
          <w:szCs w:val="22"/>
        </w:rPr>
        <w:t>根据《温州市市属国有企业采购管理办法（试行）》等相关法律、法规特制定以下评标办法。</w:t>
      </w:r>
      <w:bookmarkEnd w:id="145"/>
      <w:bookmarkEnd w:id="146"/>
      <w:bookmarkEnd w:id="147"/>
    </w:p>
    <w:p w14:paraId="31E4558E">
      <w:pPr>
        <w:spacing w:line="420" w:lineRule="exact"/>
        <w:outlineLvl w:val="0"/>
        <w:rPr>
          <w:rFonts w:hint="eastAsia" w:ascii="宋体" w:hAnsi="宋体" w:cs="宋体"/>
          <w:sz w:val="22"/>
          <w:szCs w:val="22"/>
        </w:rPr>
      </w:pPr>
      <w:bookmarkStart w:id="148" w:name="_Toc28110"/>
      <w:bookmarkStart w:id="149" w:name="_Toc11006"/>
      <w:r>
        <w:rPr>
          <w:rFonts w:hint="eastAsia" w:ascii="宋体" w:hAnsi="宋体" w:cs="宋体"/>
          <w:sz w:val="22"/>
          <w:szCs w:val="22"/>
        </w:rPr>
        <w:t>一. 总  则</w:t>
      </w:r>
      <w:bookmarkEnd w:id="148"/>
      <w:bookmarkEnd w:id="149"/>
    </w:p>
    <w:p w14:paraId="502E6D09">
      <w:pPr>
        <w:spacing w:line="420" w:lineRule="exact"/>
        <w:ind w:firstLine="440" w:firstLineChars="200"/>
        <w:rPr>
          <w:rFonts w:hint="eastAsia" w:ascii="宋体" w:hAnsi="宋体" w:cs="宋体"/>
          <w:sz w:val="22"/>
          <w:szCs w:val="22"/>
        </w:rPr>
      </w:pPr>
      <w:r>
        <w:rPr>
          <w:rFonts w:hint="eastAsia" w:ascii="宋体" w:hAnsi="宋体" w:cs="宋体"/>
          <w:sz w:val="22"/>
          <w:szCs w:val="22"/>
        </w:rPr>
        <w:t>评标工作遵循公平、公正、科学、择优原则和诚实、信誉、效率的服务原则。本着科学、严谨的态度，认真进行评标。择优选用，推进技术进步，确保工程质量、交货时间，节约投资，最大限度的保护当事人权益，严格按照采购文件的商务、技术要求，对投标文件进行综合评定，提出优选方案，编写评标报告。对落标单位，评委会不作任何落标解释。投标供应商不得以任何方式干扰招投标工作的进行，一经发现其投标文件将被拒绝。</w:t>
      </w:r>
    </w:p>
    <w:p w14:paraId="252613D5">
      <w:pPr>
        <w:spacing w:line="420" w:lineRule="exact"/>
        <w:outlineLvl w:val="0"/>
        <w:rPr>
          <w:rFonts w:hint="eastAsia" w:ascii="宋体" w:hAnsi="宋体" w:cs="宋体"/>
          <w:sz w:val="22"/>
          <w:szCs w:val="22"/>
        </w:rPr>
      </w:pPr>
      <w:bookmarkStart w:id="150" w:name="_Toc6278"/>
      <w:bookmarkStart w:id="151" w:name="_Toc3436"/>
      <w:r>
        <w:rPr>
          <w:rFonts w:hint="eastAsia" w:ascii="宋体" w:hAnsi="宋体" w:cs="宋体"/>
          <w:sz w:val="22"/>
          <w:szCs w:val="22"/>
        </w:rPr>
        <w:t>二. 评标组织</w:t>
      </w:r>
      <w:bookmarkEnd w:id="150"/>
      <w:bookmarkEnd w:id="151"/>
    </w:p>
    <w:p w14:paraId="548D58F3">
      <w:pPr>
        <w:spacing w:line="420" w:lineRule="exact"/>
        <w:ind w:firstLine="440" w:firstLineChars="200"/>
        <w:rPr>
          <w:rFonts w:hint="eastAsia" w:ascii="宋体" w:hAnsi="宋体" w:cs="宋体"/>
          <w:sz w:val="22"/>
          <w:szCs w:val="22"/>
        </w:rPr>
      </w:pPr>
      <w:r>
        <w:rPr>
          <w:rFonts w:hint="eastAsia" w:ascii="宋体" w:hAnsi="宋体" w:cs="宋体"/>
          <w:sz w:val="22"/>
          <w:szCs w:val="22"/>
        </w:rPr>
        <w:t>评标工作由采购人依法组建的评标委员会负责，评标全过程由有关部门指导监督。</w:t>
      </w:r>
    </w:p>
    <w:p w14:paraId="7F0D2A5F">
      <w:pPr>
        <w:spacing w:line="420" w:lineRule="exact"/>
        <w:outlineLvl w:val="0"/>
        <w:rPr>
          <w:rFonts w:hint="eastAsia" w:ascii="宋体" w:hAnsi="宋体" w:cs="宋体"/>
          <w:sz w:val="22"/>
          <w:szCs w:val="22"/>
        </w:rPr>
      </w:pPr>
      <w:bookmarkStart w:id="152" w:name="_Toc28751"/>
      <w:bookmarkStart w:id="153" w:name="_Toc5078"/>
      <w:r>
        <w:rPr>
          <w:rFonts w:hint="eastAsia" w:ascii="宋体" w:hAnsi="宋体" w:cs="宋体"/>
          <w:sz w:val="22"/>
          <w:szCs w:val="22"/>
        </w:rPr>
        <w:t>三. 评标程序</w:t>
      </w:r>
      <w:bookmarkEnd w:id="152"/>
      <w:bookmarkEnd w:id="153"/>
    </w:p>
    <w:p w14:paraId="4F0A7171">
      <w:pPr>
        <w:spacing w:line="420" w:lineRule="exact"/>
        <w:ind w:firstLine="440" w:firstLineChars="200"/>
        <w:outlineLvl w:val="0"/>
        <w:rPr>
          <w:rFonts w:hint="eastAsia" w:ascii="宋体" w:hAnsi="宋体" w:cs="宋体"/>
          <w:sz w:val="22"/>
          <w:szCs w:val="22"/>
        </w:rPr>
      </w:pPr>
      <w:bookmarkStart w:id="154" w:name="_Toc82"/>
      <w:bookmarkStart w:id="155" w:name="_Toc18671"/>
      <w:bookmarkStart w:id="156" w:name="_Toc17148"/>
      <w:r>
        <w:rPr>
          <w:rFonts w:hint="eastAsia" w:ascii="宋体" w:hAnsi="宋体" w:cs="宋体"/>
          <w:sz w:val="22"/>
          <w:szCs w:val="22"/>
        </w:rPr>
        <w:t>开标后，采购人或采购代理机构对各投标供应商的资格进行审查；然后评标委员会对合格投标供应商的进行符合性审查，按照采购文件中规定的评标方法和标准，对初审合格的投标文件进行技术资信标评审，技术资信标评审结束后，直接要求供应商进行最终磋商报价，再对各有效标进行商务（报价）评审，根据综合评审结果，提交评审报告。</w:t>
      </w:r>
      <w:bookmarkEnd w:id="154"/>
      <w:bookmarkEnd w:id="155"/>
      <w:bookmarkEnd w:id="156"/>
    </w:p>
    <w:p w14:paraId="3566F228">
      <w:pPr>
        <w:spacing w:line="420" w:lineRule="exact"/>
        <w:ind w:firstLine="442" w:firstLineChars="200"/>
        <w:outlineLvl w:val="0"/>
        <w:rPr>
          <w:rFonts w:hint="eastAsia" w:ascii="宋体" w:hAnsi="宋体" w:cs="宋体"/>
          <w:b/>
          <w:bCs/>
          <w:sz w:val="22"/>
          <w:szCs w:val="22"/>
        </w:rPr>
      </w:pPr>
      <w:bookmarkStart w:id="157" w:name="_Toc24759"/>
      <w:bookmarkStart w:id="158" w:name="_Toc10296"/>
      <w:bookmarkStart w:id="159" w:name="_Toc7836"/>
      <w:r>
        <w:rPr>
          <w:rFonts w:hint="eastAsia" w:ascii="宋体" w:hAnsi="宋体" w:cs="宋体"/>
          <w:b/>
          <w:bCs/>
          <w:sz w:val="22"/>
          <w:szCs w:val="22"/>
        </w:rPr>
        <w:t>采购人或采购代理机构对投标供应商所提交的资格证明材料仅负审核的责任。如发现投标供应商所提交的资格证明材料不合法或与事实不符，采购人可取消其中标资格并追究投标供应商的法律责任。</w:t>
      </w:r>
      <w:bookmarkEnd w:id="157"/>
      <w:bookmarkEnd w:id="158"/>
      <w:bookmarkEnd w:id="159"/>
    </w:p>
    <w:p w14:paraId="5331F8C2">
      <w:pPr>
        <w:spacing w:line="420" w:lineRule="exact"/>
        <w:ind w:firstLine="442" w:firstLineChars="200"/>
        <w:outlineLvl w:val="0"/>
        <w:rPr>
          <w:rFonts w:hint="eastAsia" w:ascii="宋体" w:hAnsi="宋体" w:cs="宋体"/>
          <w:b/>
          <w:bCs/>
          <w:sz w:val="22"/>
          <w:szCs w:val="22"/>
        </w:rPr>
      </w:pPr>
      <w:bookmarkStart w:id="160" w:name="_Toc6115"/>
      <w:bookmarkStart w:id="161" w:name="_Toc29584"/>
      <w:bookmarkStart w:id="162" w:name="_Toc7922"/>
      <w:r>
        <w:rPr>
          <w:rFonts w:hint="eastAsia" w:ascii="宋体" w:hAnsi="宋体" w:cs="宋体"/>
          <w:b/>
          <w:bCs/>
          <w:sz w:val="22"/>
          <w:szCs w:val="22"/>
        </w:rPr>
        <w:t>评标委员会决定投标的实质性要求只根据投标文件本身的内容，而不寻求外部的证据。投标供应商不得通过修正或撤销不合要求的偏离或保留从而使其投标成为实质上响应的投标。</w:t>
      </w:r>
      <w:bookmarkEnd w:id="160"/>
      <w:bookmarkEnd w:id="161"/>
      <w:bookmarkEnd w:id="162"/>
    </w:p>
    <w:p w14:paraId="2C7AEB21">
      <w:pPr>
        <w:spacing w:line="420" w:lineRule="exact"/>
        <w:outlineLvl w:val="0"/>
        <w:rPr>
          <w:rFonts w:hint="eastAsia" w:ascii="宋体" w:hAnsi="宋体" w:cs="宋体"/>
          <w:sz w:val="22"/>
          <w:szCs w:val="22"/>
        </w:rPr>
      </w:pPr>
      <w:bookmarkStart w:id="163" w:name="_Toc21487"/>
      <w:bookmarkStart w:id="164" w:name="_Toc26399"/>
      <w:r>
        <w:rPr>
          <w:rFonts w:hint="eastAsia" w:ascii="宋体" w:hAnsi="宋体" w:cs="宋体"/>
          <w:sz w:val="22"/>
          <w:szCs w:val="22"/>
        </w:rPr>
        <w:t>四. 评标办法</w:t>
      </w:r>
      <w:bookmarkEnd w:id="163"/>
      <w:bookmarkEnd w:id="164"/>
    </w:p>
    <w:p w14:paraId="5850DBB3">
      <w:pPr>
        <w:spacing w:line="420" w:lineRule="exact"/>
        <w:ind w:firstLine="440" w:firstLineChars="200"/>
        <w:outlineLvl w:val="0"/>
        <w:rPr>
          <w:rFonts w:hint="eastAsia" w:ascii="宋体" w:hAnsi="宋体" w:cs="宋体"/>
          <w:sz w:val="22"/>
          <w:szCs w:val="22"/>
        </w:rPr>
      </w:pPr>
      <w:bookmarkStart w:id="165" w:name="_Toc92"/>
      <w:bookmarkStart w:id="166" w:name="_Toc6169"/>
      <w:bookmarkStart w:id="167" w:name="_Toc31769"/>
      <w:r>
        <w:rPr>
          <w:rFonts w:hint="eastAsia" w:ascii="宋体" w:hAnsi="宋体" w:cs="宋体"/>
          <w:sz w:val="22"/>
          <w:szCs w:val="22"/>
        </w:rPr>
        <w:t>本评标办法采用百分制综合评估法，技术资信80分（技术权值80%），商务报价20分（价格权值20%）。最大限度地满足采购文件中规定的各项综合评价标准按综合得分高低推荐一名中标候选人。</w:t>
      </w:r>
      <w:bookmarkEnd w:id="165"/>
      <w:bookmarkEnd w:id="166"/>
      <w:bookmarkEnd w:id="167"/>
    </w:p>
    <w:p w14:paraId="3BE8558A">
      <w:pPr>
        <w:spacing w:line="420" w:lineRule="exact"/>
        <w:outlineLvl w:val="0"/>
        <w:rPr>
          <w:rFonts w:hint="eastAsia" w:ascii="宋体" w:hAnsi="宋体" w:cs="宋体"/>
          <w:sz w:val="22"/>
          <w:szCs w:val="22"/>
        </w:rPr>
      </w:pPr>
      <w:bookmarkStart w:id="168" w:name="_Toc31975"/>
      <w:bookmarkStart w:id="169" w:name="_Toc11176"/>
      <w:r>
        <w:rPr>
          <w:rFonts w:hint="eastAsia" w:ascii="宋体" w:hAnsi="宋体" w:cs="宋体"/>
          <w:sz w:val="22"/>
          <w:szCs w:val="22"/>
        </w:rPr>
        <w:t>五. 技术资信评分细则</w:t>
      </w:r>
      <w:bookmarkEnd w:id="168"/>
      <w:bookmarkEnd w:id="169"/>
    </w:p>
    <w:p w14:paraId="20247CA5">
      <w:pPr>
        <w:spacing w:line="360" w:lineRule="auto"/>
        <w:outlineLvl w:val="9"/>
        <w:rPr>
          <w:rFonts w:hint="eastAsia" w:ascii="Times New Roman" w:hAnsi="Times New Roman" w:cs="Times New Roman"/>
          <w:sz w:val="21"/>
          <w:szCs w:val="24"/>
        </w:rPr>
      </w:pPr>
      <w:r>
        <w:rPr>
          <w:rFonts w:hint="eastAsia" w:ascii="宋体" w:hAnsi="宋体" w:cs="宋体"/>
          <w:sz w:val="22"/>
          <w:szCs w:val="22"/>
        </w:rPr>
        <w:t>1.  技术资信评分（80分）：</w:t>
      </w:r>
    </w:p>
    <w:tbl>
      <w:tblPr>
        <w:tblStyle w:val="23"/>
        <w:tblW w:w="52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247"/>
        <w:gridCol w:w="6176"/>
        <w:gridCol w:w="778"/>
      </w:tblGrid>
      <w:tr w14:paraId="5BC1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22" w:type="pct"/>
            <w:vAlign w:val="center"/>
          </w:tcPr>
          <w:p w14:paraId="527ACAFE">
            <w:pPr>
              <w:spacing w:line="288" w:lineRule="auto"/>
              <w:jc w:val="center"/>
              <w:outlineLvl w:val="0"/>
              <w:rPr>
                <w:rFonts w:eastAsia="仿宋" w:cs="仿宋"/>
                <w:bCs/>
                <w:sz w:val="24"/>
              </w:rPr>
            </w:pPr>
            <w:r>
              <w:rPr>
                <w:rFonts w:hint="eastAsia" w:eastAsia="仿宋" w:cs="仿宋"/>
                <w:bCs/>
                <w:sz w:val="24"/>
              </w:rPr>
              <w:t>序号</w:t>
            </w:r>
          </w:p>
        </w:tc>
        <w:tc>
          <w:tcPr>
            <w:tcW w:w="696" w:type="pct"/>
            <w:vAlign w:val="center"/>
          </w:tcPr>
          <w:p w14:paraId="640704D5">
            <w:pPr>
              <w:spacing w:line="288" w:lineRule="auto"/>
              <w:jc w:val="center"/>
              <w:outlineLvl w:val="0"/>
              <w:rPr>
                <w:rFonts w:eastAsia="仿宋" w:cs="仿宋"/>
                <w:bCs/>
                <w:sz w:val="24"/>
              </w:rPr>
            </w:pPr>
            <w:r>
              <w:rPr>
                <w:rFonts w:hint="eastAsia" w:eastAsia="仿宋" w:cs="仿宋"/>
                <w:bCs/>
                <w:sz w:val="24"/>
              </w:rPr>
              <w:t>评分项</w:t>
            </w:r>
          </w:p>
        </w:tc>
        <w:tc>
          <w:tcPr>
            <w:tcW w:w="3447" w:type="pct"/>
            <w:vAlign w:val="center"/>
          </w:tcPr>
          <w:p w14:paraId="4264F091">
            <w:pPr>
              <w:spacing w:line="288" w:lineRule="auto"/>
              <w:jc w:val="center"/>
              <w:outlineLvl w:val="0"/>
              <w:rPr>
                <w:rFonts w:eastAsia="仿宋" w:cs="仿宋"/>
                <w:bCs/>
                <w:sz w:val="24"/>
              </w:rPr>
            </w:pPr>
            <w:r>
              <w:rPr>
                <w:rFonts w:hint="eastAsia" w:eastAsia="仿宋" w:cs="仿宋"/>
                <w:bCs/>
                <w:sz w:val="24"/>
              </w:rPr>
              <w:t>评标标准</w:t>
            </w:r>
          </w:p>
        </w:tc>
        <w:tc>
          <w:tcPr>
            <w:tcW w:w="434" w:type="pct"/>
            <w:vAlign w:val="center"/>
          </w:tcPr>
          <w:p w14:paraId="0F229694">
            <w:pPr>
              <w:spacing w:line="288" w:lineRule="auto"/>
              <w:jc w:val="center"/>
              <w:outlineLvl w:val="0"/>
              <w:rPr>
                <w:rFonts w:eastAsia="仿宋" w:cs="仿宋"/>
                <w:bCs/>
                <w:sz w:val="24"/>
              </w:rPr>
            </w:pPr>
            <w:r>
              <w:rPr>
                <w:rFonts w:hint="eastAsia" w:eastAsia="仿宋" w:cs="仿宋"/>
                <w:bCs/>
                <w:sz w:val="24"/>
              </w:rPr>
              <w:t>分值</w:t>
            </w:r>
          </w:p>
        </w:tc>
      </w:tr>
      <w:tr w14:paraId="57EE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422" w:type="pct"/>
            <w:vAlign w:val="center"/>
          </w:tcPr>
          <w:p w14:paraId="09AC7B57">
            <w:pPr>
              <w:spacing w:line="288" w:lineRule="auto"/>
              <w:jc w:val="center"/>
              <w:outlineLvl w:val="0"/>
              <w:rPr>
                <w:rFonts w:eastAsia="仿宋" w:cs="仿宋"/>
                <w:sz w:val="24"/>
              </w:rPr>
            </w:pPr>
            <w:r>
              <w:rPr>
                <w:rFonts w:hint="eastAsia" w:eastAsia="仿宋" w:cs="仿宋"/>
                <w:sz w:val="24"/>
              </w:rPr>
              <w:t>1</w:t>
            </w:r>
          </w:p>
        </w:tc>
        <w:tc>
          <w:tcPr>
            <w:tcW w:w="696" w:type="pct"/>
            <w:shd w:val="clear" w:color="auto" w:fill="auto"/>
            <w:vAlign w:val="center"/>
          </w:tcPr>
          <w:p w14:paraId="62407627">
            <w:pPr>
              <w:spacing w:line="288" w:lineRule="auto"/>
              <w:jc w:val="center"/>
              <w:outlineLvl w:val="0"/>
              <w:rPr>
                <w:rFonts w:eastAsia="仿宋" w:cs="仿宋"/>
                <w:sz w:val="24"/>
              </w:rPr>
            </w:pPr>
            <w:r>
              <w:rPr>
                <w:rFonts w:hint="eastAsia" w:eastAsia="仿宋" w:cs="仿宋"/>
                <w:sz w:val="24"/>
              </w:rPr>
              <w:t>企业综合实力</w:t>
            </w:r>
          </w:p>
        </w:tc>
        <w:tc>
          <w:tcPr>
            <w:tcW w:w="3447" w:type="pct"/>
            <w:shd w:val="clear" w:color="auto" w:fill="auto"/>
            <w:vAlign w:val="center"/>
          </w:tcPr>
          <w:p w14:paraId="642F782B">
            <w:pPr>
              <w:pStyle w:val="12"/>
              <w:ind w:firstLine="0"/>
              <w:rPr>
                <w:rFonts w:eastAsia="仿宋" w:cs="仿宋"/>
              </w:rPr>
            </w:pPr>
            <w:r>
              <w:rPr>
                <w:rFonts w:hint="eastAsia" w:eastAsia="仿宋" w:cs="仿宋"/>
              </w:rPr>
              <w:t>具有</w:t>
            </w:r>
            <w:r>
              <w:rPr>
                <w:rFonts w:hint="eastAsia" w:eastAsia="仿宋" w:cs="仿宋"/>
                <w:lang w:val="en-US" w:eastAsia="zh-CN"/>
              </w:rPr>
              <w:t>ISO</w:t>
            </w:r>
            <w:r>
              <w:rPr>
                <w:rFonts w:hint="eastAsia" w:eastAsia="仿宋" w:cs="仿宋"/>
              </w:rPr>
              <w:t>质量管理体系认证证书得</w:t>
            </w:r>
            <w:r>
              <w:rPr>
                <w:rFonts w:hint="eastAsia" w:eastAsia="仿宋" w:cs="仿宋"/>
                <w:lang w:val="en-US" w:eastAsia="zh-CN"/>
              </w:rPr>
              <w:t>1</w:t>
            </w:r>
            <w:r>
              <w:rPr>
                <w:rFonts w:hint="eastAsia" w:eastAsia="仿宋" w:cs="仿宋"/>
              </w:rPr>
              <w:t>分；</w:t>
            </w:r>
          </w:p>
          <w:p w14:paraId="5574ED19">
            <w:pPr>
              <w:rPr>
                <w:rFonts w:eastAsia="仿宋" w:cs="仿宋"/>
                <w:sz w:val="24"/>
              </w:rPr>
            </w:pPr>
            <w:r>
              <w:rPr>
                <w:rFonts w:hint="eastAsia" w:eastAsia="仿宋" w:cs="仿宋"/>
                <w:sz w:val="24"/>
              </w:rPr>
              <w:t>具有</w:t>
            </w:r>
            <w:r>
              <w:rPr>
                <w:rFonts w:hint="eastAsia" w:eastAsia="仿宋" w:cs="仿宋"/>
                <w:lang w:val="en-US" w:eastAsia="zh-CN"/>
              </w:rPr>
              <w:t>ISO</w:t>
            </w:r>
            <w:r>
              <w:rPr>
                <w:rFonts w:hint="eastAsia" w:eastAsia="仿宋" w:cs="仿宋"/>
                <w:sz w:val="24"/>
              </w:rPr>
              <w:t>环境管理体系认证证书得</w:t>
            </w:r>
            <w:r>
              <w:rPr>
                <w:rFonts w:hint="eastAsia" w:eastAsia="仿宋" w:cs="仿宋"/>
                <w:sz w:val="24"/>
                <w:lang w:val="en-US" w:eastAsia="zh-CN"/>
              </w:rPr>
              <w:t>1</w:t>
            </w:r>
            <w:r>
              <w:rPr>
                <w:rFonts w:hint="eastAsia" w:eastAsia="仿宋" w:cs="仿宋"/>
                <w:sz w:val="24"/>
              </w:rPr>
              <w:t>分；</w:t>
            </w:r>
          </w:p>
          <w:p w14:paraId="330118C0">
            <w:pPr>
              <w:pStyle w:val="11"/>
              <w:spacing w:after="0"/>
              <w:rPr>
                <w:rFonts w:eastAsia="仿宋" w:cs="仿宋"/>
                <w:sz w:val="24"/>
              </w:rPr>
            </w:pPr>
            <w:r>
              <w:rPr>
                <w:rFonts w:hint="eastAsia" w:eastAsia="仿宋" w:cs="仿宋"/>
                <w:sz w:val="24"/>
              </w:rPr>
              <w:t>具有</w:t>
            </w:r>
            <w:r>
              <w:rPr>
                <w:rFonts w:hint="eastAsia" w:eastAsia="仿宋" w:cs="仿宋"/>
                <w:lang w:val="en-US" w:eastAsia="zh-CN"/>
              </w:rPr>
              <w:t>ISO</w:t>
            </w:r>
            <w:r>
              <w:rPr>
                <w:rFonts w:hint="eastAsia" w:eastAsia="仿宋" w:cs="仿宋"/>
                <w:sz w:val="24"/>
              </w:rPr>
              <w:t>职业健康安全管理体系认证证书得</w:t>
            </w:r>
            <w:r>
              <w:rPr>
                <w:rFonts w:hint="eastAsia" w:eastAsia="仿宋" w:cs="仿宋"/>
                <w:sz w:val="24"/>
                <w:lang w:val="en-US" w:eastAsia="zh-CN"/>
              </w:rPr>
              <w:t>1</w:t>
            </w:r>
            <w:r>
              <w:rPr>
                <w:rFonts w:hint="eastAsia" w:eastAsia="仿宋" w:cs="仿宋"/>
                <w:sz w:val="24"/>
              </w:rPr>
              <w:t>分。</w:t>
            </w:r>
          </w:p>
          <w:p w14:paraId="62ACDAE7">
            <w:pPr>
              <w:spacing w:line="288" w:lineRule="auto"/>
              <w:outlineLvl w:val="0"/>
              <w:rPr>
                <w:rFonts w:hint="eastAsia" w:eastAsia="仿宋" w:cs="仿宋"/>
                <w:sz w:val="24"/>
                <w:lang w:val="en-US" w:eastAsia="zh-CN"/>
              </w:rPr>
            </w:pPr>
            <w:r>
              <w:rPr>
                <w:rFonts w:hint="eastAsia" w:eastAsia="仿宋" w:cs="仿宋"/>
                <w:sz w:val="24"/>
                <w:lang w:val="en-US" w:eastAsia="zh-CN"/>
              </w:rPr>
              <w:t>须提供以上有效证书原件扫描件及证书在全国认证认可信息公共服务平台</w:t>
            </w:r>
          </w:p>
          <w:p w14:paraId="1E1225C2">
            <w:pPr>
              <w:spacing w:line="288" w:lineRule="auto"/>
              <w:outlineLvl w:val="0"/>
              <w:rPr>
                <w:rFonts w:eastAsia="仿宋" w:cs="仿宋"/>
                <w:sz w:val="24"/>
              </w:rPr>
            </w:pPr>
            <w:r>
              <w:rPr>
                <w:rFonts w:hint="eastAsia" w:eastAsia="仿宋" w:cs="仿宋"/>
                <w:sz w:val="24"/>
                <w:lang w:val="en-US" w:eastAsia="zh-CN"/>
              </w:rPr>
              <w:t>(http://cx.cnca.cn/CertECloud/result/skipResultList?certItemOne=A)上证书状态为“有效”的查询结果网页截图打印件，否则不得分。</w:t>
            </w:r>
          </w:p>
        </w:tc>
        <w:tc>
          <w:tcPr>
            <w:tcW w:w="434" w:type="pct"/>
            <w:shd w:val="clear" w:color="auto" w:fill="auto"/>
            <w:vAlign w:val="center"/>
          </w:tcPr>
          <w:p w14:paraId="2EFFE781">
            <w:pPr>
              <w:spacing w:line="320" w:lineRule="exact"/>
              <w:jc w:val="center"/>
              <w:rPr>
                <w:rFonts w:hint="eastAsia" w:eastAsia="宋体" w:cs="宋体"/>
                <w:sz w:val="24"/>
                <w:lang w:eastAsia="zh-CN"/>
              </w:rPr>
            </w:pPr>
            <w:r>
              <w:rPr>
                <w:rFonts w:hint="eastAsia" w:eastAsia="仿宋" w:cs="仿宋"/>
                <w:sz w:val="24"/>
                <w:lang w:val="en-US" w:eastAsia="zh-CN"/>
              </w:rPr>
              <w:t>0-</w:t>
            </w:r>
            <w:r>
              <w:rPr>
                <w:rFonts w:hint="eastAsia" w:cs="宋体"/>
                <w:sz w:val="24"/>
                <w:lang w:val="en-US" w:eastAsia="zh-CN"/>
              </w:rPr>
              <w:t>3</w:t>
            </w:r>
          </w:p>
        </w:tc>
      </w:tr>
      <w:tr w14:paraId="75C5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22" w:type="pct"/>
            <w:vAlign w:val="center"/>
          </w:tcPr>
          <w:p w14:paraId="610CF77C">
            <w:pPr>
              <w:spacing w:line="288" w:lineRule="auto"/>
              <w:jc w:val="center"/>
              <w:outlineLvl w:val="0"/>
              <w:rPr>
                <w:rFonts w:eastAsia="仿宋" w:cs="仿宋"/>
                <w:sz w:val="24"/>
              </w:rPr>
            </w:pPr>
            <w:r>
              <w:rPr>
                <w:rFonts w:hint="eastAsia" w:eastAsia="仿宋" w:cs="仿宋"/>
                <w:sz w:val="24"/>
              </w:rPr>
              <w:t>2</w:t>
            </w:r>
          </w:p>
        </w:tc>
        <w:tc>
          <w:tcPr>
            <w:tcW w:w="696" w:type="pct"/>
            <w:shd w:val="clear" w:color="auto" w:fill="auto"/>
            <w:vAlign w:val="center"/>
          </w:tcPr>
          <w:p w14:paraId="3B070908">
            <w:pPr>
              <w:spacing w:line="288" w:lineRule="auto"/>
              <w:jc w:val="center"/>
              <w:rPr>
                <w:rFonts w:eastAsia="仿宋" w:cs="仿宋"/>
                <w:sz w:val="24"/>
              </w:rPr>
            </w:pPr>
            <w:r>
              <w:rPr>
                <w:rFonts w:hint="eastAsia" w:eastAsia="仿宋" w:cs="仿宋"/>
                <w:sz w:val="24"/>
              </w:rPr>
              <w:t>咨询服务能力</w:t>
            </w:r>
          </w:p>
        </w:tc>
        <w:tc>
          <w:tcPr>
            <w:tcW w:w="3447" w:type="pct"/>
            <w:shd w:val="clear" w:color="auto" w:fill="auto"/>
          </w:tcPr>
          <w:p w14:paraId="317F7CE6">
            <w:pPr>
              <w:spacing w:line="288" w:lineRule="auto"/>
              <w:rPr>
                <w:rFonts w:eastAsia="仿宋" w:cs="仿宋"/>
                <w:sz w:val="24"/>
              </w:rPr>
            </w:pPr>
            <w:r>
              <w:rPr>
                <w:rFonts w:hint="eastAsia" w:eastAsia="仿宋" w:cs="仿宋"/>
                <w:sz w:val="24"/>
              </w:rPr>
              <w:t>具备工程咨询综合甲级资信证书的得</w:t>
            </w:r>
            <w:r>
              <w:rPr>
                <w:rFonts w:hint="eastAsia" w:eastAsia="仿宋" w:cs="仿宋"/>
                <w:sz w:val="24"/>
                <w:lang w:val="en-US" w:eastAsia="zh-CN"/>
              </w:rPr>
              <w:t>3</w:t>
            </w:r>
            <w:r>
              <w:rPr>
                <w:rFonts w:hint="eastAsia" w:eastAsia="仿宋" w:cs="仿宋"/>
                <w:sz w:val="24"/>
              </w:rPr>
              <w:t>分，工程咨询单位甲级资信证书的得</w:t>
            </w:r>
            <w:r>
              <w:rPr>
                <w:rFonts w:hint="eastAsia" w:eastAsia="仿宋" w:cs="仿宋"/>
                <w:sz w:val="24"/>
                <w:lang w:val="en-US" w:eastAsia="zh-CN"/>
              </w:rPr>
              <w:t>2</w:t>
            </w:r>
            <w:r>
              <w:rPr>
                <w:rFonts w:hint="eastAsia" w:eastAsia="仿宋" w:cs="仿宋"/>
                <w:sz w:val="24"/>
              </w:rPr>
              <w:t>分，工程咨询单位乙级资信证书的得1分。</w:t>
            </w:r>
          </w:p>
          <w:p w14:paraId="5571F58A">
            <w:pPr>
              <w:spacing w:line="288" w:lineRule="auto"/>
              <w:rPr>
                <w:rFonts w:eastAsia="仿宋" w:cs="仿宋"/>
                <w:sz w:val="24"/>
              </w:rPr>
            </w:pPr>
            <w:r>
              <w:rPr>
                <w:rFonts w:hint="eastAsia" w:eastAsia="仿宋" w:cs="仿宋"/>
                <w:sz w:val="24"/>
              </w:rPr>
              <w:t>须提供证书扫描件加盖电子签章，否则不得分。</w:t>
            </w:r>
          </w:p>
        </w:tc>
        <w:tc>
          <w:tcPr>
            <w:tcW w:w="434" w:type="pct"/>
            <w:shd w:val="clear" w:color="auto" w:fill="auto"/>
            <w:vAlign w:val="center"/>
          </w:tcPr>
          <w:p w14:paraId="3B50D95F">
            <w:pPr>
              <w:spacing w:line="288" w:lineRule="auto"/>
              <w:jc w:val="center"/>
              <w:rPr>
                <w:rFonts w:hint="eastAsia" w:eastAsia="仿宋" w:cs="仿宋"/>
                <w:sz w:val="24"/>
                <w:lang w:eastAsia="zh-CN"/>
              </w:rPr>
            </w:pPr>
            <w:r>
              <w:rPr>
                <w:rFonts w:hint="eastAsia" w:eastAsia="仿宋" w:cs="仿宋"/>
                <w:sz w:val="24"/>
                <w:lang w:val="en-US" w:eastAsia="zh-CN"/>
              </w:rPr>
              <w:t>0-3</w:t>
            </w:r>
          </w:p>
        </w:tc>
      </w:tr>
      <w:tr w14:paraId="6648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22" w:type="pct"/>
            <w:vAlign w:val="center"/>
          </w:tcPr>
          <w:p w14:paraId="0723F495">
            <w:pPr>
              <w:spacing w:line="288" w:lineRule="auto"/>
              <w:jc w:val="center"/>
              <w:outlineLvl w:val="0"/>
              <w:rPr>
                <w:rFonts w:eastAsia="仿宋" w:cs="仿宋"/>
                <w:sz w:val="24"/>
              </w:rPr>
            </w:pPr>
            <w:r>
              <w:rPr>
                <w:rFonts w:hint="eastAsia" w:eastAsia="仿宋" w:cs="仿宋"/>
                <w:sz w:val="24"/>
              </w:rPr>
              <w:t>3</w:t>
            </w:r>
          </w:p>
        </w:tc>
        <w:tc>
          <w:tcPr>
            <w:tcW w:w="696" w:type="pct"/>
            <w:shd w:val="clear" w:color="auto" w:fill="auto"/>
            <w:vAlign w:val="center"/>
          </w:tcPr>
          <w:p w14:paraId="33E20168">
            <w:pPr>
              <w:spacing w:line="288" w:lineRule="auto"/>
              <w:jc w:val="center"/>
              <w:rPr>
                <w:rFonts w:eastAsia="仿宋" w:cs="仿宋"/>
                <w:sz w:val="24"/>
              </w:rPr>
            </w:pPr>
            <w:r>
              <w:rPr>
                <w:rFonts w:hint="eastAsia" w:eastAsia="仿宋" w:cs="仿宋"/>
                <w:sz w:val="24"/>
              </w:rPr>
              <w:t>类似项目业绩</w:t>
            </w:r>
          </w:p>
        </w:tc>
        <w:tc>
          <w:tcPr>
            <w:tcW w:w="3447" w:type="pct"/>
            <w:shd w:val="clear" w:color="auto" w:fill="auto"/>
          </w:tcPr>
          <w:p w14:paraId="3A3727FA">
            <w:pPr>
              <w:spacing w:line="288" w:lineRule="auto"/>
              <w:rPr>
                <w:rFonts w:hint="eastAsia" w:eastAsia="仿宋" w:cs="仿宋"/>
                <w:sz w:val="24"/>
              </w:rPr>
            </w:pPr>
            <w:r>
              <w:rPr>
                <w:rFonts w:hint="eastAsia" w:eastAsia="仿宋" w:cs="仿宋"/>
                <w:sz w:val="24"/>
                <w:lang w:val="en-US" w:eastAsia="zh-CN"/>
              </w:rPr>
              <w:t>供应商自</w:t>
            </w:r>
            <w:r>
              <w:rPr>
                <w:rFonts w:hint="eastAsia" w:eastAsia="仿宋" w:cs="仿宋"/>
                <w:sz w:val="24"/>
              </w:rPr>
              <w:t>201</w:t>
            </w:r>
            <w:r>
              <w:rPr>
                <w:rFonts w:hint="eastAsia" w:eastAsia="仿宋" w:cs="仿宋"/>
                <w:sz w:val="24"/>
                <w:lang w:val="en-US" w:eastAsia="zh-CN"/>
              </w:rPr>
              <w:t>9</w:t>
            </w:r>
            <w:r>
              <w:rPr>
                <w:rFonts w:hint="eastAsia" w:eastAsia="仿宋" w:cs="仿宋"/>
                <w:sz w:val="24"/>
              </w:rPr>
              <w:t>年</w:t>
            </w:r>
            <w:r>
              <w:rPr>
                <w:rFonts w:hint="eastAsia" w:eastAsia="仿宋" w:cs="仿宋"/>
                <w:sz w:val="24"/>
                <w:lang w:val="en-US" w:eastAsia="zh-CN"/>
              </w:rPr>
              <w:t>1</w:t>
            </w:r>
            <w:r>
              <w:rPr>
                <w:rFonts w:hint="eastAsia" w:eastAsia="仿宋" w:cs="仿宋"/>
                <w:sz w:val="24"/>
              </w:rPr>
              <w:t>月1日以来</w:t>
            </w:r>
            <w:r>
              <w:rPr>
                <w:rFonts w:hint="eastAsia" w:eastAsia="仿宋" w:cs="仿宋"/>
                <w:sz w:val="24"/>
                <w:lang w:val="en-US" w:eastAsia="zh-CN"/>
              </w:rPr>
              <w:t>（时间以合同签订时间为准）</w:t>
            </w:r>
            <w:r>
              <w:rPr>
                <w:rFonts w:hint="eastAsia" w:eastAsia="仿宋" w:cs="仿宋"/>
                <w:sz w:val="24"/>
              </w:rPr>
              <w:t>，完成</w:t>
            </w:r>
            <w:r>
              <w:rPr>
                <w:rFonts w:hint="eastAsia" w:eastAsia="仿宋" w:cs="仿宋"/>
                <w:sz w:val="24"/>
                <w:lang w:val="en-US" w:eastAsia="zh-CN"/>
              </w:rPr>
              <w:t>过类似</w:t>
            </w:r>
            <w:r>
              <w:rPr>
                <w:rFonts w:hint="eastAsia" w:eastAsia="仿宋" w:cs="仿宋"/>
                <w:sz w:val="24"/>
              </w:rPr>
              <w:t>项目</w:t>
            </w:r>
            <w:r>
              <w:rPr>
                <w:rFonts w:hint="eastAsia" w:eastAsia="仿宋" w:cs="仿宋"/>
                <w:sz w:val="24"/>
                <w:lang w:val="en-US" w:eastAsia="zh-CN"/>
              </w:rPr>
              <w:t>咨询</w:t>
            </w:r>
            <w:r>
              <w:rPr>
                <w:rFonts w:hint="eastAsia" w:eastAsia="仿宋" w:cs="仿宋"/>
                <w:sz w:val="24"/>
              </w:rPr>
              <w:t>业绩，每提供1个得</w:t>
            </w:r>
            <w:r>
              <w:rPr>
                <w:rFonts w:hint="eastAsia" w:eastAsia="仿宋" w:cs="仿宋"/>
                <w:sz w:val="24"/>
                <w:lang w:val="en-US" w:eastAsia="zh-CN"/>
              </w:rPr>
              <w:t>0.5</w:t>
            </w:r>
            <w:r>
              <w:rPr>
                <w:rFonts w:hint="eastAsia" w:eastAsia="仿宋" w:cs="仿宋"/>
                <w:sz w:val="24"/>
              </w:rPr>
              <w:t>分，</w:t>
            </w:r>
            <w:r>
              <w:rPr>
                <w:rFonts w:hint="eastAsia" w:eastAsia="仿宋" w:cs="仿宋"/>
                <w:sz w:val="24"/>
                <w:lang w:val="en-US" w:eastAsia="zh-CN"/>
              </w:rPr>
              <w:t>本项最高得3</w:t>
            </w:r>
            <w:r>
              <w:rPr>
                <w:rFonts w:hint="eastAsia" w:eastAsia="仿宋" w:cs="仿宋"/>
                <w:sz w:val="24"/>
              </w:rPr>
              <w:t>分。</w:t>
            </w:r>
          </w:p>
          <w:p w14:paraId="091AD2CC">
            <w:pPr>
              <w:spacing w:line="288" w:lineRule="auto"/>
              <w:rPr>
                <w:rFonts w:eastAsia="仿宋" w:cs="仿宋"/>
                <w:sz w:val="24"/>
              </w:rPr>
            </w:pPr>
            <w:r>
              <w:rPr>
                <w:rFonts w:hint="eastAsia" w:eastAsia="仿宋" w:cs="仿宋"/>
                <w:sz w:val="24"/>
              </w:rPr>
              <w:t>须提供服务项目合同关键页扫描件加盖电子签章，否则不得分。</w:t>
            </w:r>
          </w:p>
        </w:tc>
        <w:tc>
          <w:tcPr>
            <w:tcW w:w="434" w:type="pct"/>
            <w:shd w:val="clear" w:color="auto" w:fill="auto"/>
            <w:vAlign w:val="center"/>
          </w:tcPr>
          <w:p w14:paraId="4FE4C008">
            <w:pPr>
              <w:spacing w:line="288" w:lineRule="auto"/>
              <w:jc w:val="center"/>
              <w:rPr>
                <w:rFonts w:hint="eastAsia" w:eastAsia="仿宋" w:cs="仿宋"/>
                <w:sz w:val="24"/>
                <w:lang w:eastAsia="zh-CN"/>
              </w:rPr>
            </w:pPr>
            <w:r>
              <w:rPr>
                <w:rFonts w:hint="eastAsia" w:eastAsia="仿宋" w:cs="仿宋"/>
                <w:sz w:val="24"/>
                <w:lang w:val="en-US" w:eastAsia="zh-CN"/>
              </w:rPr>
              <w:t>0-3</w:t>
            </w:r>
          </w:p>
        </w:tc>
      </w:tr>
      <w:tr w14:paraId="0672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422" w:type="pct"/>
            <w:vAlign w:val="center"/>
          </w:tcPr>
          <w:p w14:paraId="436384E5">
            <w:pPr>
              <w:spacing w:line="288" w:lineRule="auto"/>
              <w:jc w:val="center"/>
              <w:rPr>
                <w:rFonts w:eastAsia="仿宋" w:cs="仿宋"/>
                <w:sz w:val="24"/>
              </w:rPr>
            </w:pPr>
            <w:r>
              <w:rPr>
                <w:rFonts w:hint="eastAsia" w:eastAsia="仿宋" w:cs="仿宋"/>
                <w:sz w:val="24"/>
              </w:rPr>
              <w:t>4</w:t>
            </w:r>
          </w:p>
        </w:tc>
        <w:tc>
          <w:tcPr>
            <w:tcW w:w="696" w:type="pct"/>
            <w:shd w:val="clear" w:color="auto" w:fill="auto"/>
            <w:vAlign w:val="center"/>
          </w:tcPr>
          <w:p w14:paraId="448EABEC">
            <w:pPr>
              <w:spacing w:line="288" w:lineRule="auto"/>
              <w:jc w:val="center"/>
              <w:rPr>
                <w:rFonts w:ascii="Times New Roman" w:hAnsi="Times New Roman" w:eastAsia="仿宋" w:cs="仿宋"/>
                <w:kern w:val="2"/>
                <w:sz w:val="24"/>
                <w:szCs w:val="24"/>
                <w:lang w:val="en-US" w:eastAsia="zh-CN" w:bidi="ar-SA"/>
              </w:rPr>
            </w:pPr>
            <w:r>
              <w:rPr>
                <w:rFonts w:hint="eastAsia" w:eastAsia="仿宋" w:cs="仿宋"/>
                <w:sz w:val="24"/>
              </w:rPr>
              <w:t>项目</w:t>
            </w:r>
            <w:r>
              <w:rPr>
                <w:rFonts w:hint="eastAsia" w:eastAsia="仿宋" w:cs="仿宋"/>
                <w:sz w:val="24"/>
                <w:lang w:val="en-US" w:eastAsia="zh-CN"/>
              </w:rPr>
              <w:t>组成员</w:t>
            </w:r>
            <w:r>
              <w:rPr>
                <w:rFonts w:hint="eastAsia" w:eastAsia="仿宋" w:cs="仿宋"/>
                <w:sz w:val="24"/>
              </w:rPr>
              <w:t>配备</w:t>
            </w:r>
          </w:p>
        </w:tc>
        <w:tc>
          <w:tcPr>
            <w:tcW w:w="3447" w:type="pct"/>
            <w:shd w:val="clear" w:color="auto" w:fill="auto"/>
            <w:vAlign w:val="center"/>
          </w:tcPr>
          <w:p w14:paraId="0D6DEB10">
            <w:pPr>
              <w:spacing w:line="288" w:lineRule="auto"/>
              <w:rPr>
                <w:rFonts w:hint="eastAsia" w:ascii="Times New Roman" w:hAnsi="Times New Roman" w:eastAsia="仿宋" w:cs="仿宋"/>
                <w:sz w:val="24"/>
                <w:lang w:val="en-US" w:eastAsia="zh-CN"/>
              </w:rPr>
            </w:pPr>
            <w:r>
              <w:rPr>
                <w:rFonts w:hint="eastAsia" w:ascii="Times New Roman" w:hAnsi="Times New Roman" w:eastAsia="仿宋" w:cs="仿宋"/>
                <w:sz w:val="24"/>
                <w:lang w:val="en-US" w:eastAsia="zh-CN"/>
              </w:rPr>
              <w:t>项目组人员配置是否合理，劳动力的投入是否满足本工程的需要等情况进行综合比较打分。</w:t>
            </w:r>
          </w:p>
          <w:p w14:paraId="62818AB7">
            <w:pPr>
              <w:numPr>
                <w:ilvl w:val="0"/>
                <w:numId w:val="0"/>
              </w:numPr>
              <w:spacing w:line="288" w:lineRule="auto"/>
              <w:rPr>
                <w:rFonts w:hint="eastAsia" w:ascii="Times New Roman" w:hAnsi="Times New Roman" w:eastAsia="仿宋" w:cs="仿宋"/>
                <w:sz w:val="24"/>
                <w:lang w:val="en-US" w:eastAsia="zh-CN"/>
              </w:rPr>
            </w:pPr>
            <w:r>
              <w:rPr>
                <w:rFonts w:hint="eastAsia" w:ascii="Times New Roman" w:hAnsi="Times New Roman" w:eastAsia="仿宋" w:cs="仿宋"/>
                <w:sz w:val="24"/>
                <w:lang w:val="en-US" w:eastAsia="zh-CN"/>
              </w:rPr>
              <w:t>1.配置合理、全面、到位的得10-7分；</w:t>
            </w:r>
          </w:p>
          <w:p w14:paraId="66FE0A8F">
            <w:pPr>
              <w:numPr>
                <w:ilvl w:val="0"/>
                <w:numId w:val="0"/>
              </w:numPr>
              <w:spacing w:line="288" w:lineRule="auto"/>
              <w:rPr>
                <w:rFonts w:hint="eastAsia" w:ascii="Times New Roman" w:hAnsi="Times New Roman" w:eastAsia="仿宋" w:cs="仿宋"/>
                <w:sz w:val="24"/>
                <w:lang w:val="en-US" w:eastAsia="zh-CN"/>
              </w:rPr>
            </w:pPr>
            <w:r>
              <w:rPr>
                <w:rFonts w:hint="eastAsia" w:ascii="Times New Roman" w:hAnsi="Times New Roman" w:eastAsia="仿宋" w:cs="仿宋"/>
                <w:sz w:val="24"/>
                <w:lang w:val="en-US" w:eastAsia="zh-CN"/>
              </w:rPr>
              <w:t>2.配置基本合理、全面、到位的得7-3分；</w:t>
            </w:r>
          </w:p>
          <w:p w14:paraId="7291F6E0">
            <w:pPr>
              <w:numPr>
                <w:ilvl w:val="0"/>
                <w:numId w:val="0"/>
              </w:numPr>
              <w:spacing w:line="288" w:lineRule="auto"/>
              <w:rPr>
                <w:rFonts w:hint="eastAsia" w:ascii="Times New Roman" w:hAnsi="Times New Roman" w:eastAsia="仿宋" w:cs="仿宋"/>
                <w:sz w:val="24"/>
                <w:lang w:val="en-US" w:eastAsia="zh-CN"/>
              </w:rPr>
            </w:pPr>
            <w:r>
              <w:rPr>
                <w:rFonts w:hint="eastAsia" w:ascii="Times New Roman" w:hAnsi="Times New Roman" w:eastAsia="仿宋" w:cs="仿宋"/>
                <w:sz w:val="24"/>
                <w:lang w:val="en-US" w:eastAsia="zh-CN"/>
              </w:rPr>
              <w:t>3.配置部分齐全合理或存在缺漏的得3-0分。</w:t>
            </w:r>
          </w:p>
          <w:p w14:paraId="1825ED27">
            <w:pPr>
              <w:spacing w:line="288" w:lineRule="auto"/>
              <w:rPr>
                <w:rFonts w:ascii="Times New Roman" w:hAnsi="Times New Roman" w:eastAsia="宋体" w:cs="Times New Roman"/>
                <w:kern w:val="2"/>
                <w:sz w:val="24"/>
                <w:szCs w:val="24"/>
                <w:lang w:val="en-US" w:eastAsia="zh-CN" w:bidi="ar-SA"/>
              </w:rPr>
            </w:pPr>
            <w:r>
              <w:rPr>
                <w:rFonts w:hint="eastAsia" w:ascii="Times New Roman" w:hAnsi="Times New Roman" w:eastAsia="仿宋" w:cs="仿宋"/>
                <w:sz w:val="24"/>
                <w:lang w:val="en-US" w:eastAsia="zh-CN"/>
              </w:rPr>
              <w:t>注：以上人员须为本单位在职员工。须提供人员相关证书复印件（不能识别专业的需同时提供学历证书复印件）和社保证明，加盖投标人公章编入投标文件，不提供不得分。</w:t>
            </w:r>
          </w:p>
        </w:tc>
        <w:tc>
          <w:tcPr>
            <w:tcW w:w="434" w:type="pct"/>
            <w:shd w:val="clear" w:color="auto" w:fill="auto"/>
            <w:vAlign w:val="center"/>
          </w:tcPr>
          <w:p w14:paraId="3A5BE489">
            <w:pPr>
              <w:spacing w:line="288" w:lineRule="auto"/>
              <w:jc w:val="center"/>
              <w:rPr>
                <w:rFonts w:hint="default" w:ascii="Times New Roman" w:hAnsi="Times New Roman" w:eastAsia="仿宋" w:cs="仿宋"/>
                <w:kern w:val="2"/>
                <w:sz w:val="24"/>
                <w:szCs w:val="24"/>
                <w:lang w:val="en-US" w:eastAsia="zh-CN" w:bidi="ar-SA"/>
              </w:rPr>
            </w:pPr>
            <w:r>
              <w:rPr>
                <w:rFonts w:hint="eastAsia" w:eastAsia="仿宋" w:cs="仿宋"/>
                <w:sz w:val="24"/>
                <w:lang w:val="en-US" w:eastAsia="zh-CN"/>
              </w:rPr>
              <w:t>0-10</w:t>
            </w:r>
          </w:p>
        </w:tc>
      </w:tr>
      <w:tr w14:paraId="5843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422" w:type="pct"/>
            <w:vAlign w:val="center"/>
          </w:tcPr>
          <w:p w14:paraId="4E325035">
            <w:pPr>
              <w:spacing w:line="288" w:lineRule="auto"/>
              <w:jc w:val="center"/>
              <w:rPr>
                <w:rFonts w:eastAsia="仿宋" w:cs="仿宋"/>
                <w:sz w:val="24"/>
              </w:rPr>
            </w:pPr>
            <w:r>
              <w:rPr>
                <w:rFonts w:hint="eastAsia" w:eastAsia="仿宋" w:cs="仿宋"/>
                <w:sz w:val="24"/>
              </w:rPr>
              <w:t>5</w:t>
            </w:r>
          </w:p>
        </w:tc>
        <w:tc>
          <w:tcPr>
            <w:tcW w:w="696" w:type="pct"/>
            <w:shd w:val="clear" w:color="auto" w:fill="auto"/>
            <w:vAlign w:val="center"/>
          </w:tcPr>
          <w:p w14:paraId="2275B35B">
            <w:pPr>
              <w:spacing w:line="288" w:lineRule="auto"/>
              <w:jc w:val="left"/>
              <w:rPr>
                <w:rFonts w:ascii="Times New Roman" w:hAnsi="Times New Roman" w:eastAsia="仿宋" w:cs="仿宋"/>
                <w:kern w:val="2"/>
                <w:sz w:val="24"/>
                <w:szCs w:val="24"/>
                <w:lang w:val="en-US" w:eastAsia="zh-CN" w:bidi="ar-SA"/>
              </w:rPr>
            </w:pPr>
            <w:r>
              <w:rPr>
                <w:rFonts w:hint="eastAsia" w:eastAsia="仿宋" w:cs="仿宋"/>
                <w:sz w:val="24"/>
              </w:rPr>
              <w:t>技术方案</w:t>
            </w:r>
          </w:p>
        </w:tc>
        <w:tc>
          <w:tcPr>
            <w:tcW w:w="3447" w:type="pct"/>
            <w:shd w:val="clear" w:color="auto" w:fill="auto"/>
            <w:vAlign w:val="center"/>
          </w:tcPr>
          <w:p w14:paraId="2107022C">
            <w:pPr>
              <w:spacing w:line="288" w:lineRule="auto"/>
              <w:rPr>
                <w:rFonts w:eastAsia="仿宋" w:cs="仿宋"/>
                <w:sz w:val="24"/>
              </w:rPr>
            </w:pPr>
            <w:r>
              <w:rPr>
                <w:rFonts w:hint="eastAsia" w:eastAsia="仿宋" w:cs="仿宋"/>
                <w:sz w:val="24"/>
              </w:rPr>
              <w:t>根据磋商响应方提供的《文成县新型能源体系构建白皮书（2024-2035年）》工作方案</w:t>
            </w:r>
          </w:p>
          <w:p w14:paraId="5707BE48">
            <w:pPr>
              <w:spacing w:line="288" w:lineRule="auto"/>
              <w:rPr>
                <w:rFonts w:eastAsia="仿宋" w:cs="仿宋"/>
                <w:sz w:val="24"/>
              </w:rPr>
            </w:pPr>
            <w:r>
              <w:rPr>
                <w:rFonts w:eastAsia="仿宋" w:cs="仿宋"/>
                <w:sz w:val="24"/>
              </w:rPr>
              <w:t>1.</w:t>
            </w:r>
            <w:r>
              <w:rPr>
                <w:rFonts w:hint="eastAsia" w:eastAsia="仿宋" w:cs="仿宋"/>
                <w:sz w:val="24"/>
              </w:rPr>
              <w:t>对项目研究背景的理解是否明确、合理等进行打分（</w:t>
            </w:r>
            <w:r>
              <w:rPr>
                <w:rFonts w:eastAsia="仿宋" w:cs="仿宋"/>
                <w:sz w:val="24"/>
              </w:rPr>
              <w:t>0-</w:t>
            </w:r>
            <w:r>
              <w:rPr>
                <w:rFonts w:hint="eastAsia" w:eastAsia="仿宋" w:cs="仿宋"/>
                <w:sz w:val="24"/>
              </w:rPr>
              <w:t>5分）；</w:t>
            </w:r>
          </w:p>
          <w:p w14:paraId="1352B346">
            <w:pPr>
              <w:spacing w:line="288" w:lineRule="auto"/>
              <w:rPr>
                <w:rFonts w:eastAsia="仿宋" w:cs="仿宋"/>
                <w:sz w:val="24"/>
              </w:rPr>
            </w:pPr>
            <w:r>
              <w:rPr>
                <w:rFonts w:eastAsia="仿宋" w:cs="仿宋"/>
                <w:sz w:val="24"/>
              </w:rPr>
              <w:t>2.</w:t>
            </w:r>
            <w:r>
              <w:rPr>
                <w:rFonts w:hint="eastAsia" w:eastAsia="仿宋" w:cs="仿宋"/>
                <w:sz w:val="24"/>
              </w:rPr>
              <w:t>对</w:t>
            </w:r>
            <w:r>
              <w:rPr>
                <w:rFonts w:hint="eastAsia" w:eastAsia="仿宋" w:cs="仿宋"/>
                <w:sz w:val="24"/>
                <w:lang w:val="en-US" w:eastAsia="zh-CN"/>
              </w:rPr>
              <w:t>项目所在地</w:t>
            </w:r>
            <w:r>
              <w:rPr>
                <w:rFonts w:hint="eastAsia" w:eastAsia="仿宋" w:cs="仿宋"/>
                <w:sz w:val="24"/>
              </w:rPr>
              <w:t>资源禀赋、电源、电网发展现状等的理解是否明确、合理等进行打分（</w:t>
            </w:r>
            <w:r>
              <w:rPr>
                <w:rFonts w:eastAsia="仿宋" w:cs="仿宋"/>
                <w:sz w:val="24"/>
              </w:rPr>
              <w:t>0-</w:t>
            </w:r>
            <w:r>
              <w:rPr>
                <w:rFonts w:hint="eastAsia" w:eastAsia="仿宋" w:cs="仿宋"/>
                <w:sz w:val="24"/>
              </w:rPr>
              <w:t>5分）；</w:t>
            </w:r>
          </w:p>
          <w:p w14:paraId="2A3987DD">
            <w:pPr>
              <w:spacing w:line="288" w:lineRule="auto"/>
              <w:rPr>
                <w:rFonts w:eastAsia="仿宋" w:cs="仿宋"/>
                <w:sz w:val="24"/>
              </w:rPr>
            </w:pPr>
            <w:r>
              <w:rPr>
                <w:rFonts w:eastAsia="仿宋" w:cs="仿宋"/>
                <w:sz w:val="24"/>
              </w:rPr>
              <w:t>3.</w:t>
            </w:r>
            <w:r>
              <w:rPr>
                <w:rFonts w:hint="eastAsia" w:eastAsia="仿宋" w:cs="仿宋"/>
                <w:sz w:val="24"/>
              </w:rPr>
              <w:t>聚焦新能源发展，对电源规划部分方案及风电、光伏场址选取原则是否明确、合理等进行打分（0-6分）；</w:t>
            </w:r>
          </w:p>
          <w:p w14:paraId="6EAF46F4">
            <w:pPr>
              <w:spacing w:line="288" w:lineRule="auto"/>
              <w:rPr>
                <w:rFonts w:eastAsia="仿宋" w:cs="仿宋"/>
                <w:sz w:val="24"/>
              </w:rPr>
            </w:pPr>
            <w:r>
              <w:rPr>
                <w:rFonts w:hint="eastAsia" w:eastAsia="仿宋" w:cs="仿宋"/>
                <w:sz w:val="24"/>
              </w:rPr>
              <w:t>4</w:t>
            </w:r>
            <w:r>
              <w:rPr>
                <w:rFonts w:eastAsia="仿宋" w:cs="仿宋"/>
                <w:sz w:val="24"/>
              </w:rPr>
              <w:t>.</w:t>
            </w:r>
            <w:r>
              <w:rPr>
                <w:rFonts w:hint="eastAsia" w:eastAsia="仿宋" w:cs="仿宋"/>
                <w:sz w:val="24"/>
              </w:rPr>
              <w:t>综合考虑负荷和新能源消纳，对电网规划思路是否明确、合理等进行打分（0-6分）；</w:t>
            </w:r>
            <w:bookmarkStart w:id="179" w:name="_GoBack"/>
            <w:bookmarkEnd w:id="179"/>
          </w:p>
          <w:p w14:paraId="3B690473">
            <w:pPr>
              <w:spacing w:line="288" w:lineRule="auto"/>
              <w:rPr>
                <w:rFonts w:eastAsia="仿宋" w:cs="仿宋"/>
                <w:sz w:val="24"/>
              </w:rPr>
            </w:pPr>
            <w:r>
              <w:rPr>
                <w:rFonts w:hint="eastAsia" w:eastAsia="仿宋" w:cs="仿宋"/>
                <w:sz w:val="24"/>
              </w:rPr>
              <w:t>5</w:t>
            </w:r>
            <w:r>
              <w:rPr>
                <w:rFonts w:eastAsia="仿宋" w:cs="仿宋"/>
                <w:sz w:val="24"/>
              </w:rPr>
              <w:t>.</w:t>
            </w:r>
            <w:r>
              <w:rPr>
                <w:rFonts w:hint="eastAsia" w:eastAsia="仿宋" w:cs="仿宋"/>
                <w:sz w:val="24"/>
              </w:rPr>
              <w:t>对电力设施空间布局方案及电力设施空间布局原则、电力设施布局方案及电力建设用地的保障和管制等研究是否明确、合理等进行打分（</w:t>
            </w:r>
            <w:r>
              <w:rPr>
                <w:rFonts w:eastAsia="仿宋" w:cs="仿宋"/>
                <w:sz w:val="24"/>
              </w:rPr>
              <w:t>0-</w:t>
            </w:r>
            <w:r>
              <w:rPr>
                <w:rFonts w:hint="eastAsia" w:eastAsia="仿宋" w:cs="仿宋"/>
                <w:sz w:val="24"/>
              </w:rPr>
              <w:t>6分）；</w:t>
            </w:r>
          </w:p>
          <w:p w14:paraId="1F8D3FF7">
            <w:pPr>
              <w:pStyle w:val="11"/>
              <w:rPr>
                <w:rFonts w:eastAsia="仿宋" w:cs="仿宋"/>
                <w:sz w:val="24"/>
              </w:rPr>
            </w:pPr>
            <w:r>
              <w:rPr>
                <w:rFonts w:hint="eastAsia" w:eastAsia="仿宋" w:cs="仿宋"/>
                <w:sz w:val="24"/>
              </w:rPr>
              <w:t>6.节能降碳、环境保护及要素资源保障研究是否明确、合理等进行打分（0-6分）；</w:t>
            </w:r>
          </w:p>
          <w:p w14:paraId="11D61FE5">
            <w:pPr>
              <w:pStyle w:val="11"/>
              <w:rPr>
                <w:rFonts w:ascii="Times New Roman" w:hAnsi="Times New Roman" w:eastAsia="宋体" w:cs="Times New Roman"/>
                <w:kern w:val="2"/>
                <w:sz w:val="21"/>
                <w:szCs w:val="24"/>
                <w:lang w:val="en-US" w:eastAsia="zh-CN" w:bidi="ar-SA"/>
              </w:rPr>
            </w:pPr>
            <w:r>
              <w:rPr>
                <w:rFonts w:hint="eastAsia" w:eastAsia="仿宋" w:cs="仿宋"/>
                <w:sz w:val="24"/>
              </w:rPr>
              <w:t>7.编制大纲是否完整、准确、合理（0-6分）。</w:t>
            </w:r>
          </w:p>
        </w:tc>
        <w:tc>
          <w:tcPr>
            <w:tcW w:w="434" w:type="pct"/>
            <w:shd w:val="clear" w:color="auto" w:fill="auto"/>
            <w:vAlign w:val="center"/>
          </w:tcPr>
          <w:p w14:paraId="1DBC5299">
            <w:pPr>
              <w:spacing w:line="288" w:lineRule="auto"/>
              <w:jc w:val="center"/>
              <w:rPr>
                <w:rFonts w:ascii="Times New Roman" w:hAnsi="Times New Roman" w:eastAsia="仿宋" w:cs="仿宋"/>
                <w:kern w:val="2"/>
                <w:sz w:val="24"/>
                <w:szCs w:val="24"/>
                <w:lang w:val="en-US" w:eastAsia="zh-CN" w:bidi="ar-SA"/>
              </w:rPr>
            </w:pPr>
            <w:r>
              <w:rPr>
                <w:rFonts w:hint="eastAsia" w:eastAsia="仿宋" w:cs="仿宋"/>
                <w:sz w:val="24"/>
                <w:lang w:val="en-US" w:eastAsia="zh-CN"/>
              </w:rPr>
              <w:t>0-</w:t>
            </w:r>
            <w:r>
              <w:rPr>
                <w:rFonts w:hint="eastAsia" w:eastAsia="仿宋" w:cs="仿宋"/>
                <w:sz w:val="24"/>
              </w:rPr>
              <w:t>40</w:t>
            </w:r>
          </w:p>
        </w:tc>
      </w:tr>
      <w:tr w14:paraId="39A6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22" w:type="pct"/>
            <w:vAlign w:val="center"/>
          </w:tcPr>
          <w:p w14:paraId="7CF85946">
            <w:pPr>
              <w:spacing w:line="288" w:lineRule="auto"/>
              <w:jc w:val="center"/>
              <w:rPr>
                <w:rFonts w:eastAsia="仿宋" w:cs="仿宋"/>
                <w:sz w:val="24"/>
              </w:rPr>
            </w:pPr>
            <w:r>
              <w:rPr>
                <w:rFonts w:hint="eastAsia" w:eastAsia="仿宋" w:cs="仿宋"/>
                <w:sz w:val="24"/>
              </w:rPr>
              <w:t>6</w:t>
            </w:r>
          </w:p>
        </w:tc>
        <w:tc>
          <w:tcPr>
            <w:tcW w:w="696" w:type="pct"/>
            <w:shd w:val="clear" w:color="auto" w:fill="auto"/>
            <w:vAlign w:val="center"/>
          </w:tcPr>
          <w:p w14:paraId="2240F9F0">
            <w:pPr>
              <w:spacing w:line="288" w:lineRule="auto"/>
              <w:jc w:val="left"/>
              <w:rPr>
                <w:rFonts w:eastAsia="仿宋" w:cs="仿宋"/>
                <w:sz w:val="24"/>
              </w:rPr>
            </w:pPr>
            <w:r>
              <w:rPr>
                <w:rFonts w:hint="eastAsia" w:ascii="Times New Roman" w:hAnsi="Times New Roman" w:eastAsia="仿宋" w:cs="仿宋"/>
                <w:sz w:val="24"/>
                <w:lang w:val="en-US" w:eastAsia="zh-CN"/>
              </w:rPr>
              <w:t>项目重点和难点的分析及解决技术措施</w:t>
            </w:r>
          </w:p>
        </w:tc>
        <w:tc>
          <w:tcPr>
            <w:tcW w:w="3447" w:type="pct"/>
            <w:shd w:val="clear" w:color="auto" w:fill="auto"/>
            <w:vAlign w:val="center"/>
          </w:tcPr>
          <w:p w14:paraId="1D671141">
            <w:pPr>
              <w:spacing w:line="288" w:lineRule="auto"/>
              <w:rPr>
                <w:rFonts w:hint="eastAsia" w:ascii="Times New Roman" w:hAnsi="Times New Roman" w:eastAsia="仿宋" w:cs="仿宋"/>
                <w:sz w:val="24"/>
                <w:lang w:val="en-US" w:eastAsia="zh-CN"/>
              </w:rPr>
            </w:pPr>
            <w:r>
              <w:rPr>
                <w:rFonts w:hint="eastAsia" w:ascii="Times New Roman" w:hAnsi="Times New Roman" w:eastAsia="仿宋" w:cs="仿宋"/>
                <w:sz w:val="24"/>
                <w:lang w:val="en-US" w:eastAsia="zh-CN"/>
              </w:rPr>
              <w:t>根据供应商对本项目重点难点的分析及解决技术措施是否得当、可靠，是否符合工程实际，进行综合比较打分。1.分析全面、到位的得10-7分；</w:t>
            </w:r>
          </w:p>
          <w:p w14:paraId="78DA0604">
            <w:pPr>
              <w:spacing w:line="288" w:lineRule="auto"/>
              <w:rPr>
                <w:rFonts w:hint="eastAsia" w:ascii="Times New Roman" w:hAnsi="Times New Roman" w:eastAsia="仿宋" w:cs="仿宋"/>
                <w:sz w:val="24"/>
                <w:lang w:val="en-US" w:eastAsia="zh-CN"/>
              </w:rPr>
            </w:pPr>
            <w:r>
              <w:rPr>
                <w:rFonts w:hint="eastAsia" w:ascii="Times New Roman" w:hAnsi="Times New Roman" w:eastAsia="仿宋" w:cs="仿宋"/>
                <w:sz w:val="24"/>
                <w:lang w:val="en-US" w:eastAsia="zh-CN"/>
              </w:rPr>
              <w:t>2.分析基本全面、到位的得7-3分；</w:t>
            </w:r>
          </w:p>
          <w:p w14:paraId="3100F739">
            <w:pPr>
              <w:spacing w:line="288" w:lineRule="auto"/>
            </w:pPr>
            <w:r>
              <w:rPr>
                <w:rFonts w:hint="eastAsia" w:ascii="Times New Roman" w:hAnsi="Times New Roman" w:eastAsia="仿宋" w:cs="仿宋"/>
                <w:sz w:val="24"/>
                <w:lang w:val="en-US" w:eastAsia="zh-CN"/>
              </w:rPr>
              <w:t>3.分析较为简单或存在缺漏的得3-0分。</w:t>
            </w:r>
          </w:p>
        </w:tc>
        <w:tc>
          <w:tcPr>
            <w:tcW w:w="434" w:type="pct"/>
            <w:shd w:val="clear" w:color="auto" w:fill="auto"/>
            <w:vAlign w:val="center"/>
          </w:tcPr>
          <w:p w14:paraId="7082FB74">
            <w:pPr>
              <w:spacing w:line="288" w:lineRule="auto"/>
              <w:jc w:val="center"/>
              <w:rPr>
                <w:rFonts w:hint="default" w:eastAsia="仿宋" w:cs="仿宋"/>
                <w:sz w:val="24"/>
                <w:lang w:val="en-US" w:eastAsia="zh-CN"/>
              </w:rPr>
            </w:pPr>
            <w:r>
              <w:rPr>
                <w:rFonts w:hint="eastAsia" w:eastAsia="仿宋" w:cs="仿宋"/>
                <w:sz w:val="24"/>
                <w:lang w:val="en-US" w:eastAsia="zh-CN"/>
              </w:rPr>
              <w:t>0-10</w:t>
            </w:r>
          </w:p>
        </w:tc>
      </w:tr>
      <w:tr w14:paraId="288B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422" w:type="pct"/>
            <w:vAlign w:val="center"/>
          </w:tcPr>
          <w:p w14:paraId="1E081EFA">
            <w:pPr>
              <w:spacing w:line="288" w:lineRule="auto"/>
              <w:jc w:val="center"/>
              <w:rPr>
                <w:rFonts w:eastAsia="仿宋" w:cs="仿宋"/>
                <w:sz w:val="24"/>
              </w:rPr>
            </w:pPr>
            <w:r>
              <w:rPr>
                <w:rFonts w:hint="eastAsia" w:eastAsia="仿宋" w:cs="仿宋"/>
                <w:sz w:val="24"/>
              </w:rPr>
              <w:t>7</w:t>
            </w:r>
          </w:p>
        </w:tc>
        <w:tc>
          <w:tcPr>
            <w:tcW w:w="696" w:type="pct"/>
            <w:shd w:val="clear" w:color="auto" w:fill="auto"/>
            <w:vAlign w:val="center"/>
          </w:tcPr>
          <w:p w14:paraId="6F3750AC">
            <w:pPr>
              <w:spacing w:line="288" w:lineRule="auto"/>
              <w:jc w:val="left"/>
              <w:rPr>
                <w:rFonts w:eastAsia="仿宋" w:cs="仿宋"/>
                <w:sz w:val="24"/>
              </w:rPr>
            </w:pPr>
            <w:r>
              <w:rPr>
                <w:rFonts w:hint="eastAsia" w:eastAsia="仿宋" w:cs="仿宋"/>
                <w:sz w:val="24"/>
              </w:rPr>
              <w:t>质量保障</w:t>
            </w:r>
          </w:p>
        </w:tc>
        <w:tc>
          <w:tcPr>
            <w:tcW w:w="3447" w:type="pct"/>
            <w:shd w:val="clear" w:color="auto" w:fill="auto"/>
          </w:tcPr>
          <w:p w14:paraId="63DFDAC3">
            <w:pPr>
              <w:spacing w:line="288" w:lineRule="auto"/>
              <w:rPr>
                <w:rFonts w:eastAsia="仿宋" w:cs="仿宋"/>
                <w:sz w:val="24"/>
              </w:rPr>
            </w:pPr>
            <w:r>
              <w:rPr>
                <w:rFonts w:hint="eastAsia" w:eastAsia="仿宋" w:cs="仿宋"/>
                <w:sz w:val="24"/>
              </w:rPr>
              <w:t>质量保障体系完整、措施得力</w:t>
            </w:r>
            <w:r>
              <w:rPr>
                <w:rFonts w:hint="eastAsia" w:eastAsia="仿宋" w:cs="仿宋"/>
                <w:sz w:val="24"/>
                <w:lang w:val="en-US" w:eastAsia="zh-CN"/>
              </w:rPr>
              <w:t>3</w:t>
            </w:r>
            <w:r>
              <w:rPr>
                <w:rFonts w:hint="eastAsia" w:eastAsia="仿宋" w:cs="仿宋"/>
                <w:sz w:val="24"/>
              </w:rPr>
              <w:t>-</w:t>
            </w:r>
            <w:r>
              <w:rPr>
                <w:rFonts w:hint="eastAsia" w:eastAsia="仿宋" w:cs="仿宋"/>
                <w:sz w:val="24"/>
                <w:lang w:val="en-US" w:eastAsia="zh-CN"/>
              </w:rPr>
              <w:t>4</w:t>
            </w:r>
            <w:r>
              <w:rPr>
                <w:rFonts w:hint="eastAsia" w:eastAsia="仿宋" w:cs="仿宋"/>
                <w:sz w:val="24"/>
              </w:rPr>
              <w:t>分；体系及措施完善，一般</w:t>
            </w:r>
            <w:r>
              <w:rPr>
                <w:rFonts w:hint="eastAsia" w:eastAsia="仿宋" w:cs="仿宋"/>
                <w:sz w:val="24"/>
                <w:lang w:val="en-US" w:eastAsia="zh-CN"/>
              </w:rPr>
              <w:t>1-3</w:t>
            </w:r>
            <w:r>
              <w:rPr>
                <w:rFonts w:hint="eastAsia" w:eastAsia="仿宋" w:cs="仿宋"/>
                <w:sz w:val="24"/>
              </w:rPr>
              <w:t>分；有保障措施，但不完善、不完整、不得力0-1分；没有0分。</w:t>
            </w:r>
          </w:p>
        </w:tc>
        <w:tc>
          <w:tcPr>
            <w:tcW w:w="434" w:type="pct"/>
            <w:shd w:val="clear" w:color="auto" w:fill="auto"/>
            <w:vAlign w:val="center"/>
          </w:tcPr>
          <w:p w14:paraId="38D22DBD">
            <w:pPr>
              <w:spacing w:line="288" w:lineRule="auto"/>
              <w:jc w:val="center"/>
              <w:rPr>
                <w:rFonts w:hint="eastAsia" w:eastAsia="仿宋" w:cs="仿宋"/>
                <w:sz w:val="24"/>
                <w:lang w:eastAsia="zh-CN"/>
              </w:rPr>
            </w:pPr>
            <w:r>
              <w:rPr>
                <w:rFonts w:hint="eastAsia" w:eastAsia="仿宋" w:cs="仿宋"/>
                <w:sz w:val="24"/>
                <w:lang w:val="en-US" w:eastAsia="zh-CN"/>
              </w:rPr>
              <w:t>0-4</w:t>
            </w:r>
          </w:p>
        </w:tc>
      </w:tr>
      <w:tr w14:paraId="4FC7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422" w:type="pct"/>
            <w:vAlign w:val="center"/>
          </w:tcPr>
          <w:p w14:paraId="57F6E126">
            <w:pPr>
              <w:spacing w:line="288" w:lineRule="auto"/>
              <w:jc w:val="center"/>
              <w:rPr>
                <w:rFonts w:eastAsia="仿宋" w:cs="仿宋"/>
                <w:sz w:val="24"/>
              </w:rPr>
            </w:pPr>
            <w:r>
              <w:rPr>
                <w:rFonts w:hint="eastAsia" w:eastAsia="仿宋" w:cs="仿宋"/>
                <w:sz w:val="24"/>
              </w:rPr>
              <w:t>8</w:t>
            </w:r>
          </w:p>
        </w:tc>
        <w:tc>
          <w:tcPr>
            <w:tcW w:w="696" w:type="pct"/>
            <w:shd w:val="clear" w:color="auto" w:fill="auto"/>
            <w:vAlign w:val="center"/>
          </w:tcPr>
          <w:p w14:paraId="7DC8962F">
            <w:pPr>
              <w:spacing w:line="288" w:lineRule="auto"/>
              <w:jc w:val="left"/>
              <w:rPr>
                <w:rFonts w:eastAsia="仿宋" w:cs="仿宋"/>
                <w:sz w:val="24"/>
              </w:rPr>
            </w:pPr>
            <w:r>
              <w:rPr>
                <w:rFonts w:hint="eastAsia" w:eastAsia="仿宋" w:cs="仿宋"/>
                <w:sz w:val="24"/>
              </w:rPr>
              <w:t>进度保障</w:t>
            </w:r>
          </w:p>
        </w:tc>
        <w:tc>
          <w:tcPr>
            <w:tcW w:w="3447" w:type="pct"/>
            <w:shd w:val="clear" w:color="auto" w:fill="auto"/>
          </w:tcPr>
          <w:p w14:paraId="6845B2A4">
            <w:pPr>
              <w:spacing w:line="288" w:lineRule="auto"/>
              <w:rPr>
                <w:rFonts w:eastAsia="仿宋" w:cs="仿宋"/>
                <w:sz w:val="24"/>
              </w:rPr>
            </w:pPr>
            <w:r>
              <w:rPr>
                <w:rFonts w:hint="eastAsia" w:eastAsia="仿宋" w:cs="仿宋"/>
                <w:sz w:val="24"/>
              </w:rPr>
              <w:t>工作进度计划控制措施得力3-</w:t>
            </w:r>
            <w:r>
              <w:rPr>
                <w:rFonts w:eastAsia="仿宋" w:cs="仿宋"/>
                <w:sz w:val="24"/>
              </w:rPr>
              <w:t>4</w:t>
            </w:r>
            <w:r>
              <w:rPr>
                <w:rFonts w:hint="eastAsia" w:eastAsia="仿宋" w:cs="仿宋"/>
                <w:sz w:val="24"/>
              </w:rPr>
              <w:t>分，工作计划合理，一般</w:t>
            </w:r>
            <w:r>
              <w:rPr>
                <w:rFonts w:hint="eastAsia" w:eastAsia="仿宋" w:cs="仿宋"/>
                <w:sz w:val="24"/>
                <w:lang w:val="en-US" w:eastAsia="zh-CN"/>
              </w:rPr>
              <w:t>1-3</w:t>
            </w:r>
            <w:r>
              <w:rPr>
                <w:rFonts w:hint="eastAsia" w:eastAsia="仿宋" w:cs="仿宋"/>
                <w:sz w:val="24"/>
              </w:rPr>
              <w:t>分，有保障措施，但不完善、不完整、不得力</w:t>
            </w:r>
            <w:r>
              <w:rPr>
                <w:rFonts w:hint="eastAsia" w:eastAsia="仿宋" w:cs="仿宋"/>
                <w:sz w:val="24"/>
                <w:lang w:val="en-US" w:eastAsia="zh-CN"/>
              </w:rPr>
              <w:t>0-1</w:t>
            </w:r>
            <w:r>
              <w:rPr>
                <w:rFonts w:hint="eastAsia" w:eastAsia="仿宋" w:cs="仿宋"/>
                <w:sz w:val="24"/>
              </w:rPr>
              <w:t>分，没有0分。</w:t>
            </w:r>
          </w:p>
        </w:tc>
        <w:tc>
          <w:tcPr>
            <w:tcW w:w="434" w:type="pct"/>
            <w:shd w:val="clear" w:color="auto" w:fill="auto"/>
            <w:vAlign w:val="center"/>
          </w:tcPr>
          <w:p w14:paraId="4054B558">
            <w:pPr>
              <w:spacing w:line="288" w:lineRule="auto"/>
              <w:jc w:val="center"/>
              <w:rPr>
                <w:rFonts w:eastAsia="仿宋" w:cs="仿宋"/>
                <w:sz w:val="24"/>
              </w:rPr>
            </w:pPr>
            <w:r>
              <w:rPr>
                <w:rFonts w:hint="eastAsia" w:eastAsia="仿宋" w:cs="仿宋"/>
                <w:sz w:val="24"/>
                <w:lang w:val="en-US" w:eastAsia="zh-CN"/>
              </w:rPr>
              <w:t>0-</w:t>
            </w:r>
            <w:r>
              <w:rPr>
                <w:rFonts w:hint="eastAsia" w:eastAsia="仿宋" w:cs="仿宋"/>
                <w:sz w:val="24"/>
              </w:rPr>
              <w:t>4</w:t>
            </w:r>
          </w:p>
        </w:tc>
      </w:tr>
      <w:tr w14:paraId="6EDF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422" w:type="pct"/>
            <w:vAlign w:val="center"/>
          </w:tcPr>
          <w:p w14:paraId="4726540E">
            <w:pPr>
              <w:spacing w:line="288" w:lineRule="auto"/>
              <w:jc w:val="center"/>
              <w:rPr>
                <w:rFonts w:eastAsia="仿宋" w:cs="仿宋"/>
                <w:sz w:val="24"/>
              </w:rPr>
            </w:pPr>
            <w:r>
              <w:rPr>
                <w:rFonts w:hint="eastAsia" w:eastAsia="仿宋" w:cs="仿宋"/>
                <w:sz w:val="24"/>
              </w:rPr>
              <w:t>9</w:t>
            </w:r>
          </w:p>
        </w:tc>
        <w:tc>
          <w:tcPr>
            <w:tcW w:w="696" w:type="pct"/>
            <w:shd w:val="clear" w:color="auto" w:fill="auto"/>
            <w:vAlign w:val="center"/>
          </w:tcPr>
          <w:p w14:paraId="5834E4F2">
            <w:pPr>
              <w:spacing w:line="288" w:lineRule="auto"/>
              <w:jc w:val="left"/>
              <w:rPr>
                <w:rFonts w:eastAsia="仿宋" w:cs="仿宋"/>
                <w:sz w:val="24"/>
              </w:rPr>
            </w:pPr>
            <w:r>
              <w:rPr>
                <w:rFonts w:hint="eastAsia" w:eastAsia="仿宋" w:cs="仿宋"/>
                <w:sz w:val="24"/>
              </w:rPr>
              <w:t>后续服务承诺</w:t>
            </w:r>
          </w:p>
        </w:tc>
        <w:tc>
          <w:tcPr>
            <w:tcW w:w="3447" w:type="pct"/>
            <w:shd w:val="clear" w:color="auto" w:fill="auto"/>
          </w:tcPr>
          <w:p w14:paraId="6388F242">
            <w:pPr>
              <w:spacing w:line="288" w:lineRule="auto"/>
              <w:rPr>
                <w:rFonts w:eastAsia="仿宋" w:cs="仿宋"/>
                <w:sz w:val="24"/>
              </w:rPr>
            </w:pPr>
            <w:r>
              <w:rPr>
                <w:rFonts w:hint="eastAsia" w:eastAsia="仿宋" w:cs="仿宋"/>
                <w:sz w:val="24"/>
              </w:rPr>
              <w:t>根据后续服务承诺内容合理性、针对性酌情打分，好，2-3分；一般，1-</w:t>
            </w:r>
            <w:r>
              <w:rPr>
                <w:rFonts w:eastAsia="仿宋" w:cs="仿宋"/>
                <w:sz w:val="24"/>
              </w:rPr>
              <w:t>2</w:t>
            </w:r>
            <w:r>
              <w:rPr>
                <w:rFonts w:hint="eastAsia" w:eastAsia="仿宋" w:cs="仿宋"/>
                <w:sz w:val="24"/>
              </w:rPr>
              <w:t>分；差，0-1分。</w:t>
            </w:r>
          </w:p>
        </w:tc>
        <w:tc>
          <w:tcPr>
            <w:tcW w:w="434" w:type="pct"/>
            <w:shd w:val="clear" w:color="auto" w:fill="auto"/>
            <w:vAlign w:val="center"/>
          </w:tcPr>
          <w:p w14:paraId="02F94FFD">
            <w:pPr>
              <w:spacing w:line="288" w:lineRule="auto"/>
              <w:jc w:val="center"/>
              <w:rPr>
                <w:rFonts w:eastAsia="仿宋" w:cs="仿宋"/>
                <w:sz w:val="24"/>
              </w:rPr>
            </w:pPr>
            <w:r>
              <w:rPr>
                <w:rFonts w:hint="eastAsia" w:eastAsia="仿宋" w:cs="仿宋"/>
                <w:sz w:val="24"/>
                <w:lang w:val="en-US" w:eastAsia="zh-CN"/>
              </w:rPr>
              <w:t>0-</w:t>
            </w:r>
            <w:r>
              <w:rPr>
                <w:rFonts w:hint="eastAsia" w:eastAsia="仿宋" w:cs="仿宋"/>
                <w:sz w:val="24"/>
              </w:rPr>
              <w:t>3</w:t>
            </w:r>
          </w:p>
        </w:tc>
      </w:tr>
    </w:tbl>
    <w:p w14:paraId="5448E404">
      <w:pPr>
        <w:spacing w:line="360" w:lineRule="auto"/>
      </w:pPr>
      <w:r>
        <w:rPr>
          <w:rFonts w:hint="eastAsia" w:ascii="宋体" w:hAnsi="宋体" w:cs="宋体"/>
          <w:b/>
          <w:bCs/>
          <w:sz w:val="22"/>
          <w:szCs w:val="22"/>
        </w:rPr>
        <w:t>注：以上所需提供的复印证明材料均需加盖投标供应商公章，否则不予认可。</w:t>
      </w:r>
    </w:p>
    <w:p w14:paraId="18EA8984">
      <w:pPr>
        <w:spacing w:line="360" w:lineRule="auto"/>
        <w:rPr>
          <w:rFonts w:hint="eastAsia" w:ascii="宋体" w:hAnsi="宋体" w:cs="宋体"/>
          <w:sz w:val="22"/>
          <w:szCs w:val="22"/>
        </w:rPr>
      </w:pPr>
      <w:r>
        <w:rPr>
          <w:rFonts w:hint="eastAsia" w:ascii="宋体" w:hAnsi="宋体" w:cs="宋体"/>
          <w:sz w:val="22"/>
          <w:szCs w:val="22"/>
        </w:rPr>
        <w:t>2.  商务报价评分（20分）：</w:t>
      </w:r>
    </w:p>
    <w:p w14:paraId="4D9C35A2">
      <w:pPr>
        <w:spacing w:line="360" w:lineRule="auto"/>
        <w:ind w:firstLine="440" w:firstLineChars="200"/>
        <w:rPr>
          <w:rFonts w:hint="eastAsia" w:ascii="宋体" w:hAnsi="宋体" w:cs="宋体"/>
          <w:sz w:val="22"/>
          <w:szCs w:val="22"/>
        </w:rPr>
      </w:pPr>
      <w:r>
        <w:rPr>
          <w:rFonts w:hint="eastAsia" w:ascii="宋体" w:hAnsi="宋体" w:cs="宋体"/>
          <w:sz w:val="22"/>
          <w:szCs w:val="22"/>
        </w:rPr>
        <w:t>满足采购文件要求且投标报价最低的投标价为评标基准价，其余投标供应商投标价与该基准价对比，计算出商务报价评分值（小数点后按四舍五入保留2位）：</w:t>
      </w:r>
    </w:p>
    <w:p w14:paraId="4534040B">
      <w:pPr>
        <w:spacing w:line="360" w:lineRule="auto"/>
        <w:ind w:firstLine="440" w:firstLineChars="200"/>
        <w:rPr>
          <w:rFonts w:hint="eastAsia" w:ascii="宋体" w:hAnsi="宋体" w:cs="宋体"/>
          <w:sz w:val="22"/>
          <w:szCs w:val="22"/>
        </w:rPr>
      </w:pPr>
      <w:r>
        <w:rPr>
          <w:rFonts w:hint="eastAsia" w:ascii="宋体" w:hAnsi="宋体" w:cs="宋体"/>
          <w:sz w:val="22"/>
          <w:szCs w:val="22"/>
        </w:rPr>
        <w:t>1） 有效投标供应商的投标价等于评标基准价时其报价分为满分；</w:t>
      </w:r>
    </w:p>
    <w:p w14:paraId="39DCD27A">
      <w:pPr>
        <w:spacing w:line="360" w:lineRule="auto"/>
        <w:ind w:firstLine="440" w:firstLineChars="200"/>
        <w:rPr>
          <w:rFonts w:hint="eastAsia" w:ascii="宋体" w:hAnsi="宋体" w:cs="宋体"/>
          <w:sz w:val="22"/>
          <w:szCs w:val="22"/>
        </w:rPr>
      </w:pPr>
      <w:r>
        <w:rPr>
          <w:rFonts w:hint="eastAsia" w:ascii="宋体" w:hAnsi="宋体" w:cs="宋体"/>
          <w:sz w:val="22"/>
          <w:szCs w:val="22"/>
        </w:rPr>
        <w:t>2） 其他投标供应商的价格分按以下公式计算：</w:t>
      </w:r>
    </w:p>
    <w:p w14:paraId="2666D6CE">
      <w:pPr>
        <w:spacing w:line="360" w:lineRule="auto"/>
        <w:ind w:firstLine="440" w:firstLineChars="200"/>
        <w:rPr>
          <w:rFonts w:hint="eastAsia" w:ascii="宋体" w:hAnsi="宋体" w:cs="宋体"/>
          <w:sz w:val="22"/>
          <w:szCs w:val="22"/>
          <w:u w:val="single"/>
        </w:rPr>
      </w:pPr>
      <w:r>
        <w:rPr>
          <w:rFonts w:hint="eastAsia" w:ascii="宋体" w:hAnsi="宋体" w:cs="宋体"/>
          <w:sz w:val="22"/>
          <w:szCs w:val="22"/>
          <w:u w:val="single"/>
        </w:rPr>
        <w:t>投标报价得分=（评标基准价/投标供应商投标价）× 价格权值（20%）×100</w:t>
      </w:r>
    </w:p>
    <w:p w14:paraId="5A23BA4A">
      <w:pPr>
        <w:numPr>
          <w:ilvl w:val="0"/>
          <w:numId w:val="16"/>
        </w:numPr>
        <w:spacing w:line="360" w:lineRule="auto"/>
        <w:ind w:firstLine="442" w:firstLineChars="200"/>
        <w:rPr>
          <w:rFonts w:hint="eastAsia" w:ascii="宋体" w:hAnsi="宋体" w:cs="宋体"/>
          <w:b/>
          <w:bCs/>
          <w:sz w:val="22"/>
          <w:szCs w:val="22"/>
          <w:u w:val="single"/>
        </w:rPr>
      </w:pPr>
      <w:r>
        <w:rPr>
          <w:rFonts w:hint="eastAsia" w:ascii="宋体" w:hAnsi="宋体" w:cs="宋体"/>
          <w:b/>
          <w:bCs/>
          <w:sz w:val="22"/>
          <w:szCs w:val="22"/>
          <w:u w:val="single"/>
        </w:rPr>
        <w:t>▲本次采购如果供应商的投标报价均超出最高限价且采购人确认不能支付的情况，本次招标做流（废）标处理。如果仅仅某个（些）供应商的最终商务报价超出最高限价的，则该供应商为无效投标处理。</w:t>
      </w:r>
    </w:p>
    <w:p w14:paraId="21CF9C4F">
      <w:pPr>
        <w:spacing w:line="360" w:lineRule="auto"/>
        <w:rPr>
          <w:rFonts w:hint="eastAsia" w:ascii="宋体" w:hAnsi="宋体" w:cs="宋体"/>
          <w:sz w:val="22"/>
          <w:szCs w:val="22"/>
        </w:rPr>
      </w:pPr>
      <w:r>
        <w:rPr>
          <w:rFonts w:hint="eastAsia" w:ascii="宋体" w:hAnsi="宋体" w:cs="宋体"/>
          <w:sz w:val="22"/>
          <w:szCs w:val="22"/>
        </w:rPr>
        <w:t>3. 有效投标供应商的综合得分为技术资信分和商务（报价）分的总和。</w:t>
      </w:r>
    </w:p>
    <w:p w14:paraId="495A042C">
      <w:pPr>
        <w:spacing w:line="360" w:lineRule="auto"/>
        <w:rPr>
          <w:rFonts w:hint="eastAsia" w:ascii="宋体" w:hAnsi="宋体" w:cs="宋体"/>
          <w:sz w:val="22"/>
          <w:szCs w:val="22"/>
        </w:rPr>
      </w:pPr>
      <w:r>
        <w:rPr>
          <w:rFonts w:hint="eastAsia" w:ascii="宋体" w:hAnsi="宋体" w:cs="宋体"/>
          <w:sz w:val="22"/>
          <w:szCs w:val="22"/>
        </w:rPr>
        <w:t>4. 评标委员会按综合得分高低顺序排列，向采购人推荐三名中标候选人，并提交评标报告。综合得分相同的，按投标报价由低到高顺序排列，综合得分且投标报价相同的，由采购人抽签确定名次优先者。</w:t>
      </w:r>
    </w:p>
    <w:p w14:paraId="188EDA72">
      <w:pPr>
        <w:spacing w:line="360" w:lineRule="auto"/>
        <w:ind w:left="220" w:hanging="220" w:hangingChars="100"/>
        <w:outlineLvl w:val="0"/>
        <w:rPr>
          <w:rFonts w:hint="eastAsia" w:ascii="宋体" w:hAnsi="宋体" w:cs="宋体"/>
          <w:sz w:val="22"/>
          <w:szCs w:val="22"/>
        </w:rPr>
      </w:pPr>
      <w:bookmarkStart w:id="170" w:name="_Toc22332"/>
      <w:bookmarkStart w:id="171" w:name="_Toc27777"/>
      <w:r>
        <w:rPr>
          <w:rFonts w:hint="eastAsia" w:ascii="宋体" w:hAnsi="宋体" w:cs="宋体"/>
          <w:sz w:val="22"/>
          <w:szCs w:val="22"/>
        </w:rPr>
        <w:t>六. 定标办法</w:t>
      </w:r>
      <w:bookmarkEnd w:id="170"/>
      <w:bookmarkEnd w:id="171"/>
    </w:p>
    <w:p w14:paraId="49288F13">
      <w:pPr>
        <w:spacing w:line="360" w:lineRule="auto"/>
        <w:ind w:firstLine="440" w:firstLineChars="200"/>
        <w:rPr>
          <w:rFonts w:hint="eastAsia" w:ascii="宋体" w:hAnsi="宋体" w:cs="宋体"/>
          <w:sz w:val="22"/>
          <w:szCs w:val="22"/>
        </w:rPr>
      </w:pPr>
      <w:r>
        <w:rPr>
          <w:rFonts w:hint="eastAsia" w:ascii="宋体" w:hAnsi="宋体" w:cs="宋体"/>
          <w:sz w:val="22"/>
          <w:szCs w:val="22"/>
        </w:rPr>
        <w:t>本次招标由评标委员会推荐中标候选人，采购人根据评标委员会的推荐结果进行最终确认。排名第一的中标候选人因自身原因放弃中标或因不可抗力不能履行合同的；或采购文件规定应当提交履约保证金而在规定的期限内未能提交的；或未能在规定时间内与采购人签订合同的；或经质疑，采购组织机构审查确认因排名第一的候选供应商在本次采购活动中存在违法违规行为或其他原因使质疑成立的，采购人可以直接确定排名第二的候选供应商为中标供应商或重新招标。</w:t>
      </w:r>
    </w:p>
    <w:p w14:paraId="1FC3B50F">
      <w:pPr>
        <w:spacing w:line="360" w:lineRule="auto"/>
        <w:ind w:left="440" w:hanging="440" w:hangingChars="200"/>
        <w:outlineLvl w:val="0"/>
        <w:rPr>
          <w:rFonts w:hint="eastAsia" w:ascii="宋体" w:hAnsi="宋体" w:cs="宋体"/>
          <w:sz w:val="22"/>
          <w:szCs w:val="22"/>
        </w:rPr>
      </w:pPr>
      <w:bookmarkStart w:id="172" w:name="_Toc9302"/>
      <w:bookmarkStart w:id="173" w:name="_Toc7729"/>
      <w:r>
        <w:rPr>
          <w:rFonts w:hint="eastAsia" w:ascii="宋体" w:hAnsi="宋体" w:cs="宋体"/>
          <w:sz w:val="22"/>
          <w:szCs w:val="22"/>
        </w:rPr>
        <w:t>七. 确定中标供应商</w:t>
      </w:r>
      <w:bookmarkEnd w:id="172"/>
      <w:bookmarkEnd w:id="173"/>
    </w:p>
    <w:p w14:paraId="3F67EBEC">
      <w:pPr>
        <w:spacing w:line="360" w:lineRule="auto"/>
        <w:ind w:firstLine="440" w:firstLineChars="200"/>
        <w:outlineLvl w:val="0"/>
        <w:rPr>
          <w:rFonts w:hint="eastAsia" w:ascii="宋体" w:hAnsi="宋体" w:cs="宋体"/>
          <w:sz w:val="22"/>
          <w:szCs w:val="22"/>
        </w:rPr>
      </w:pPr>
      <w:bookmarkStart w:id="174" w:name="_Toc12373"/>
      <w:bookmarkStart w:id="175" w:name="_Toc4842"/>
      <w:bookmarkStart w:id="176" w:name="_Toc14051"/>
      <w:r>
        <w:rPr>
          <w:rFonts w:hint="eastAsia" w:ascii="宋体" w:hAnsi="宋体" w:cs="宋体"/>
          <w:sz w:val="22"/>
          <w:szCs w:val="22"/>
        </w:rPr>
        <w:t>中标供应商经采购人确认后，中标结果在温州国企采购平台和浙江政府采购网上公示中标结果。中标公告期为1个工作日，在公告中标结果的同时，采购人向中标供应商发出中标通知书，</w:t>
      </w:r>
      <w:r>
        <w:rPr>
          <w:rFonts w:hint="eastAsia" w:ascii="宋体" w:hAnsi="宋体"/>
          <w:sz w:val="22"/>
          <w:szCs w:val="22"/>
        </w:rPr>
        <w:t>中标（成交）通知书对采购人和中标供应商具有同等法律效力。</w:t>
      </w:r>
      <w:bookmarkEnd w:id="174"/>
      <w:bookmarkEnd w:id="175"/>
      <w:bookmarkEnd w:id="176"/>
    </w:p>
    <w:p w14:paraId="464573AF">
      <w:pPr>
        <w:spacing w:line="360" w:lineRule="auto"/>
        <w:outlineLvl w:val="0"/>
        <w:rPr>
          <w:rFonts w:hint="eastAsia" w:ascii="宋体" w:hAnsi="宋体" w:cs="宋体"/>
          <w:sz w:val="22"/>
          <w:szCs w:val="22"/>
        </w:rPr>
      </w:pPr>
      <w:bookmarkStart w:id="177" w:name="_Toc5579"/>
      <w:bookmarkStart w:id="178" w:name="_Toc13672"/>
      <w:r>
        <w:rPr>
          <w:rFonts w:hint="eastAsia" w:ascii="宋体" w:hAnsi="宋体" w:cs="宋体"/>
          <w:sz w:val="22"/>
          <w:szCs w:val="22"/>
        </w:rPr>
        <w:t>八. 投标供应商义务</w:t>
      </w:r>
      <w:bookmarkEnd w:id="177"/>
      <w:bookmarkEnd w:id="178"/>
    </w:p>
    <w:p w14:paraId="5E278878">
      <w:pPr>
        <w:spacing w:line="360" w:lineRule="auto"/>
        <w:ind w:firstLine="440" w:firstLineChars="200"/>
        <w:rPr>
          <w:rFonts w:hint="eastAsia" w:ascii="宋体" w:hAnsi="宋体" w:cs="宋体"/>
          <w:sz w:val="22"/>
          <w:szCs w:val="22"/>
        </w:rPr>
      </w:pPr>
      <w:r>
        <w:rPr>
          <w:rFonts w:hint="eastAsia" w:ascii="宋体" w:hAnsi="宋体" w:cs="宋体"/>
          <w:sz w:val="22"/>
          <w:szCs w:val="22"/>
        </w:rPr>
        <w:t>投标供应商应随时接受评标委员会的询标，解答包括有关的商务、技术问题等。评标结束，所有评标资料存招标机构备查。</w:t>
      </w:r>
    </w:p>
    <w:p w14:paraId="27E04DEE">
      <w:pPr>
        <w:pStyle w:val="13"/>
        <w:numPr>
          <w:ilvl w:val="0"/>
          <w:numId w:val="17"/>
        </w:numPr>
        <w:spacing w:line="360" w:lineRule="auto"/>
        <w:ind w:left="0" w:right="147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其他</w:t>
      </w:r>
    </w:p>
    <w:p w14:paraId="1000C4C0">
      <w:pPr>
        <w:spacing w:line="360" w:lineRule="auto"/>
        <w:ind w:firstLine="440" w:firstLineChars="200"/>
        <w:rPr>
          <w:rFonts w:hint="eastAsia" w:ascii="宋体" w:hAnsi="宋体"/>
          <w:sz w:val="22"/>
          <w:szCs w:val="22"/>
        </w:rPr>
      </w:pPr>
      <w:r>
        <w:rPr>
          <w:rFonts w:ascii="宋体" w:hAnsi="宋体"/>
          <w:sz w:val="22"/>
          <w:szCs w:val="22"/>
        </w:rPr>
        <w:t>本项目</w:t>
      </w:r>
      <w:r>
        <w:rPr>
          <w:rFonts w:hint="eastAsia" w:ascii="宋体" w:hAnsi="宋体"/>
          <w:sz w:val="22"/>
          <w:szCs w:val="22"/>
        </w:rPr>
        <w:t>采购响应（指投标或谈判、报价）截止时间止及评审期间，出现有效供应商只有两家的情形，且采购文件事先已在指定媒体公开征求了供应商意见且无重大异议，或经专家论证且出具了“供应商资格条件和项目技术指标等没有歧视性和倾向性”意见的，同时采购信息已在指定媒体上公告，采购文件的发售和截止时间符合《温州市市属国有企业采购管理办法（试行）》温国资委〔2020〕125号的规定，由实质性响应的供应商和采购人认可后，可以按原采购方式继续进行采购活动，但采购项目第一次评审活动除外。</w:t>
      </w:r>
    </w:p>
    <w:p w14:paraId="0EDF13A1">
      <w:pPr>
        <w:spacing w:line="360" w:lineRule="auto"/>
        <w:ind w:firstLine="442" w:firstLineChars="200"/>
        <w:rPr>
          <w:rFonts w:hint="eastAsia" w:ascii="宋体" w:hAnsi="宋体" w:eastAsia="宋体" w:cs="Times New Roman"/>
          <w:kern w:val="2"/>
          <w:sz w:val="22"/>
          <w:szCs w:val="22"/>
          <w:lang w:val="en-US" w:eastAsia="zh-CN" w:bidi="ar-SA"/>
        </w:rPr>
      </w:pPr>
      <w:r>
        <w:rPr>
          <w:rFonts w:hint="eastAsia" w:ascii="宋体" w:hAnsi="宋体" w:eastAsia="宋体" w:cs="宋体"/>
          <w:b/>
          <w:bCs/>
          <w:kern w:val="2"/>
          <w:sz w:val="22"/>
          <w:szCs w:val="22"/>
          <w:lang w:val="en-US" w:eastAsia="zh-CN" w:bidi="ar-SA"/>
        </w:rPr>
        <w:t>▲</w:t>
      </w:r>
      <w:r>
        <w:rPr>
          <w:rFonts w:hint="eastAsia" w:ascii="宋体" w:hAnsi="宋体" w:eastAsia="宋体" w:cs="Times New Roman"/>
          <w:kern w:val="2"/>
          <w:sz w:val="22"/>
          <w:szCs w:val="22"/>
          <w:lang w:val="en-US" w:eastAsia="zh-CN" w:bidi="ar-SA"/>
        </w:rPr>
        <w:t>评标委员会发现投标投标人的报价明显低于其他投标报价，使得其投标报价可能低于其个别成本的，应当要求该投标人作出书面说明并提供相应的证明材料。投标投标人不能合理说明或者不能提供相应证明材料的，评标委员会应当认定该投标人以低于成本报价竞标，可要求投标人承诺提供保证金，如投标人不承诺提供保证金，则报价做0分处理，保证金金额由评标委员会根据投标人的报价商定。</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7F" w:usb3="00000000" w:csb0="003F01FF" w:csb1="00000000"/>
  </w:font>
  <w:font w:name="Cambria">
    <w:panose1 w:val="02040503050406030204"/>
    <w:charset w:val="00"/>
    <w:family w:val="roman"/>
    <w:pitch w:val="default"/>
    <w:sig w:usb0="E00006FF" w:usb1="420024FF" w:usb2="02000000" w:usb3="00000000" w:csb0="2000019F" w:csb1="00000000"/>
  </w:font>
  <w:font w:name="Helvetica">
    <w:panose1 w:val="020B0504020202030204"/>
    <w:charset w:val="00"/>
    <w:family w:val="swiss"/>
    <w:pitch w:val="default"/>
    <w:sig w:usb0="00000007" w:usb1="00000000" w:usb2="00000000" w:usb3="00000000" w:csb0="00000093" w:csb1="00000000"/>
  </w:font>
  <w:font w:name="楷体_GB2312">
    <w:altName w:val="楷体"/>
    <w:panose1 w:val="0201060903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5CB4C">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32635">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4532635">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37881">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AB3D5B">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50AB3D5B">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2DB95">
    <w:pPr>
      <w:pStyle w:val="18"/>
      <w:pBdr>
        <w:bottom w:val="none" w:color="auto" w:sz="0" w:space="1"/>
      </w:pBdr>
      <w:ind w:right="-82" w:rightChars="-39"/>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A12D5">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05997"/>
    <w:multiLevelType w:val="singleLevel"/>
    <w:tmpl w:val="93D05997"/>
    <w:lvl w:ilvl="0" w:tentative="0">
      <w:start w:val="1"/>
      <w:numFmt w:val="decimal"/>
      <w:suff w:val="space"/>
      <w:lvlText w:val="（%1）"/>
      <w:lvlJc w:val="left"/>
      <w:rPr>
        <w:rFonts w:hint="default"/>
        <w:b w:val="0"/>
        <w:bCs w:val="0"/>
      </w:rPr>
    </w:lvl>
  </w:abstractNum>
  <w:abstractNum w:abstractNumId="1">
    <w:nsid w:val="AA4B890C"/>
    <w:multiLevelType w:val="singleLevel"/>
    <w:tmpl w:val="AA4B890C"/>
    <w:lvl w:ilvl="0" w:tentative="0">
      <w:start w:val="1"/>
      <w:numFmt w:val="bullet"/>
      <w:lvlText w:val=""/>
      <w:lvlJc w:val="left"/>
      <w:pPr>
        <w:ind w:left="420" w:hanging="420"/>
      </w:pPr>
      <w:rPr>
        <w:rFonts w:hint="default" w:ascii="Wingdings" w:hAnsi="Wingdings"/>
      </w:rPr>
    </w:lvl>
  </w:abstractNum>
  <w:abstractNum w:abstractNumId="2">
    <w:nsid w:val="D1672CC7"/>
    <w:multiLevelType w:val="singleLevel"/>
    <w:tmpl w:val="D1672CC7"/>
    <w:lvl w:ilvl="0" w:tentative="0">
      <w:start w:val="1"/>
      <w:numFmt w:val="decimal"/>
      <w:suff w:val="space"/>
      <w:lvlText w:val="（%1）"/>
      <w:lvlJc w:val="left"/>
    </w:lvl>
  </w:abstractNum>
  <w:abstractNum w:abstractNumId="3">
    <w:nsid w:val="F50D2E6B"/>
    <w:multiLevelType w:val="singleLevel"/>
    <w:tmpl w:val="F50D2E6B"/>
    <w:lvl w:ilvl="0" w:tentative="0">
      <w:start w:val="1"/>
      <w:numFmt w:val="decimal"/>
      <w:lvlText w:val="(%1)"/>
      <w:lvlJc w:val="left"/>
      <w:pPr>
        <w:tabs>
          <w:tab w:val="left" w:pos="-420"/>
        </w:tabs>
        <w:ind w:left="5" w:hanging="425"/>
      </w:pPr>
      <w:rPr>
        <w:rFonts w:hint="default" w:ascii="宋体" w:hAnsi="宋体" w:eastAsia="宋体" w:cs="宋体"/>
        <w:b w:val="0"/>
        <w:bCs w:val="0"/>
      </w:rPr>
    </w:lvl>
  </w:abstractNum>
  <w:abstractNum w:abstractNumId="4">
    <w:nsid w:val="F61D95EE"/>
    <w:multiLevelType w:val="singleLevel"/>
    <w:tmpl w:val="F61D95EE"/>
    <w:lvl w:ilvl="0" w:tentative="0">
      <w:start w:val="1"/>
      <w:numFmt w:val="decimal"/>
      <w:suff w:val="space"/>
      <w:lvlText w:val="%1."/>
      <w:lvlJc w:val="left"/>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default" w:ascii="宋体" w:hAnsi="宋体" w:eastAsia="宋体"/>
        <w:b/>
        <w:i w:val="0"/>
        <w:sz w:val="21"/>
        <w:szCs w:val="21"/>
      </w:rPr>
    </w:lvl>
    <w:lvl w:ilvl="1" w:tentative="0">
      <w:start w:val="1"/>
      <w:numFmt w:val="decimal"/>
      <w:lvlText w:val="%1.%2"/>
      <w:lvlJc w:val="left"/>
      <w:pPr>
        <w:tabs>
          <w:tab w:val="left" w:pos="992"/>
        </w:tabs>
        <w:ind w:left="992" w:hanging="567"/>
      </w:pPr>
      <w:rPr>
        <w:rFonts w:hint="default"/>
        <w:b w:val="0"/>
        <w:i w:val="0"/>
        <w:sz w:val="21"/>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3"/>
    <w:multiLevelType w:val="multilevel"/>
    <w:tmpl w:val="00000013"/>
    <w:lvl w:ilvl="0" w:tentative="0">
      <w:start w:val="1"/>
      <w:numFmt w:val="decimal"/>
      <w:lvlText w:val="%1."/>
      <w:lvlJc w:val="left"/>
      <w:pPr>
        <w:tabs>
          <w:tab w:val="left" w:pos="687"/>
        </w:tabs>
        <w:ind w:left="687" w:hanging="567"/>
      </w:pPr>
      <w:rPr>
        <w:rFonts w:hint="default" w:ascii="Arial" w:hAnsi="Arial" w:eastAsia="宋体"/>
        <w:b/>
        <w:i w:val="0"/>
        <w:sz w:val="24"/>
      </w:rPr>
    </w:lvl>
    <w:lvl w:ilvl="1" w:tentative="0">
      <w:start w:val="1"/>
      <w:numFmt w:val="decimal"/>
      <w:lvlText w:val="%1.%2"/>
      <w:lvlJc w:val="left"/>
      <w:pPr>
        <w:tabs>
          <w:tab w:val="left" w:pos="1003"/>
        </w:tabs>
        <w:ind w:left="1003" w:hanging="567"/>
      </w:pPr>
      <w:rPr>
        <w:rFonts w:hint="default" w:ascii="Arial" w:hAnsi="Arial" w:eastAsia="宋体"/>
        <w:b w:val="0"/>
        <w:i w:val="0"/>
        <w:color w:val="auto"/>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7">
    <w:nsid w:val="002881A9"/>
    <w:multiLevelType w:val="singleLevel"/>
    <w:tmpl w:val="002881A9"/>
    <w:lvl w:ilvl="0" w:tentative="0">
      <w:start w:val="9"/>
      <w:numFmt w:val="chineseCounting"/>
      <w:suff w:val="space"/>
      <w:lvlText w:val="%1．"/>
      <w:lvlJc w:val="left"/>
      <w:rPr>
        <w:rFonts w:hint="eastAsia"/>
      </w:rPr>
    </w:lvl>
  </w:abstractNum>
  <w:abstractNum w:abstractNumId="8">
    <w:nsid w:val="1759A82E"/>
    <w:multiLevelType w:val="singleLevel"/>
    <w:tmpl w:val="1759A82E"/>
    <w:lvl w:ilvl="0" w:tentative="0">
      <w:start w:val="1"/>
      <w:numFmt w:val="decimal"/>
      <w:suff w:val="nothing"/>
      <w:lvlText w:val="%1．"/>
      <w:lvlJc w:val="left"/>
      <w:pPr>
        <w:ind w:left="0" w:firstLine="400"/>
      </w:pPr>
      <w:rPr>
        <w:rFonts w:hint="default"/>
      </w:rPr>
    </w:lvl>
  </w:abstractNum>
  <w:abstractNum w:abstractNumId="9">
    <w:nsid w:val="23AC1119"/>
    <w:multiLevelType w:val="singleLevel"/>
    <w:tmpl w:val="23AC1119"/>
    <w:lvl w:ilvl="0" w:tentative="0">
      <w:start w:val="1"/>
      <w:numFmt w:val="decimal"/>
      <w:suff w:val="space"/>
      <w:lvlText w:val="%1）"/>
      <w:lvlJc w:val="left"/>
    </w:lvl>
  </w:abstractNum>
  <w:abstractNum w:abstractNumId="10">
    <w:nsid w:val="25D46149"/>
    <w:multiLevelType w:val="multilevel"/>
    <w:tmpl w:val="25D46149"/>
    <w:lvl w:ilvl="0" w:tentative="0">
      <w:start w:val="1"/>
      <w:numFmt w:val="chineseCountingThousand"/>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decimal"/>
      <w:lvlText w:val="%5、"/>
      <w:lvlJc w:val="left"/>
      <w:pPr>
        <w:ind w:left="2310" w:hanging="420"/>
      </w:pPr>
      <w:rPr>
        <w:rFonts w:ascii="宋体" w:hAnsi="宋体" w:eastAsia="宋体" w:cs="Times New Roman"/>
      </w:r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1">
    <w:nsid w:val="378357F1"/>
    <w:multiLevelType w:val="multilevel"/>
    <w:tmpl w:val="378357F1"/>
    <w:lvl w:ilvl="0" w:tentative="0">
      <w:start w:val="1"/>
      <w:numFmt w:val="bullet"/>
      <w:lvlText w:val=""/>
      <w:lvlJc w:val="left"/>
      <w:pPr>
        <w:ind w:left="860" w:hanging="420"/>
      </w:pPr>
      <w:rPr>
        <w:rFonts w:hint="default" w:ascii="Wingdings" w:hAnsi="Wingdings" w:cs="Wingdings"/>
      </w:rPr>
    </w:lvl>
    <w:lvl w:ilvl="1" w:tentative="0">
      <w:start w:val="1"/>
      <w:numFmt w:val="bullet"/>
      <w:lvlText w:val=""/>
      <w:lvlJc w:val="left"/>
      <w:pPr>
        <w:ind w:left="1280" w:hanging="420"/>
      </w:pPr>
      <w:rPr>
        <w:rFonts w:hint="default" w:ascii="Wingdings" w:hAnsi="Wingdings" w:cs="Wingdings"/>
      </w:rPr>
    </w:lvl>
    <w:lvl w:ilvl="2" w:tentative="0">
      <w:start w:val="1"/>
      <w:numFmt w:val="bullet"/>
      <w:lvlText w:val=""/>
      <w:lvlJc w:val="left"/>
      <w:pPr>
        <w:ind w:left="1700" w:hanging="420"/>
      </w:pPr>
      <w:rPr>
        <w:rFonts w:hint="default" w:ascii="Wingdings" w:hAnsi="Wingdings" w:cs="Wingdings"/>
      </w:rPr>
    </w:lvl>
    <w:lvl w:ilvl="3" w:tentative="0">
      <w:start w:val="1"/>
      <w:numFmt w:val="bullet"/>
      <w:lvlText w:val=""/>
      <w:lvlJc w:val="left"/>
      <w:pPr>
        <w:ind w:left="2120" w:hanging="420"/>
      </w:pPr>
      <w:rPr>
        <w:rFonts w:hint="default" w:ascii="Wingdings" w:hAnsi="Wingdings" w:cs="Wingdings"/>
      </w:rPr>
    </w:lvl>
    <w:lvl w:ilvl="4" w:tentative="0">
      <w:start w:val="1"/>
      <w:numFmt w:val="bullet"/>
      <w:lvlText w:val=""/>
      <w:lvlJc w:val="left"/>
      <w:pPr>
        <w:ind w:left="2540" w:hanging="420"/>
      </w:pPr>
      <w:rPr>
        <w:rFonts w:hint="default" w:ascii="Wingdings" w:hAnsi="Wingdings" w:cs="Wingdings"/>
      </w:rPr>
    </w:lvl>
    <w:lvl w:ilvl="5" w:tentative="0">
      <w:start w:val="1"/>
      <w:numFmt w:val="bullet"/>
      <w:lvlText w:val=""/>
      <w:lvlJc w:val="left"/>
      <w:pPr>
        <w:ind w:left="2960" w:hanging="420"/>
      </w:pPr>
      <w:rPr>
        <w:rFonts w:hint="default" w:ascii="Wingdings" w:hAnsi="Wingdings" w:cs="Wingdings"/>
      </w:rPr>
    </w:lvl>
    <w:lvl w:ilvl="6" w:tentative="0">
      <w:start w:val="1"/>
      <w:numFmt w:val="bullet"/>
      <w:lvlText w:val=""/>
      <w:lvlJc w:val="left"/>
      <w:pPr>
        <w:ind w:left="3380" w:hanging="420"/>
      </w:pPr>
      <w:rPr>
        <w:rFonts w:hint="default" w:ascii="Wingdings" w:hAnsi="Wingdings" w:cs="Wingdings"/>
      </w:rPr>
    </w:lvl>
    <w:lvl w:ilvl="7" w:tentative="0">
      <w:start w:val="1"/>
      <w:numFmt w:val="bullet"/>
      <w:lvlText w:val=""/>
      <w:lvlJc w:val="left"/>
      <w:pPr>
        <w:ind w:left="3800" w:hanging="420"/>
      </w:pPr>
      <w:rPr>
        <w:rFonts w:hint="default" w:ascii="Wingdings" w:hAnsi="Wingdings" w:cs="Wingdings"/>
      </w:rPr>
    </w:lvl>
    <w:lvl w:ilvl="8" w:tentative="0">
      <w:start w:val="1"/>
      <w:numFmt w:val="bullet"/>
      <w:lvlText w:val=""/>
      <w:lvlJc w:val="left"/>
      <w:pPr>
        <w:ind w:left="4220" w:hanging="420"/>
      </w:pPr>
      <w:rPr>
        <w:rFonts w:hint="default" w:ascii="Wingdings" w:hAnsi="Wingdings" w:cs="Wingdings"/>
      </w:rPr>
    </w:lvl>
  </w:abstractNum>
  <w:abstractNum w:abstractNumId="12">
    <w:nsid w:val="3AD3761E"/>
    <w:multiLevelType w:val="multilevel"/>
    <w:tmpl w:val="3AD3761E"/>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4DE8B2FD"/>
    <w:multiLevelType w:val="singleLevel"/>
    <w:tmpl w:val="4DE8B2FD"/>
    <w:lvl w:ilvl="0" w:tentative="0">
      <w:start w:val="1"/>
      <w:numFmt w:val="decimal"/>
      <w:suff w:val="nothing"/>
      <w:lvlText w:val="%1．"/>
      <w:lvlJc w:val="left"/>
      <w:pPr>
        <w:ind w:left="0" w:firstLine="400"/>
      </w:pPr>
      <w:rPr>
        <w:rFonts w:hint="default"/>
      </w:rPr>
    </w:lvl>
  </w:abstractNum>
  <w:abstractNum w:abstractNumId="14">
    <w:nsid w:val="59369393"/>
    <w:multiLevelType w:val="singleLevel"/>
    <w:tmpl w:val="59369393"/>
    <w:lvl w:ilvl="0" w:tentative="0">
      <w:start w:val="3"/>
      <w:numFmt w:val="decimal"/>
      <w:suff w:val="nothing"/>
      <w:lvlText w:val="%1）"/>
      <w:lvlJc w:val="left"/>
    </w:lvl>
  </w:abstractNum>
  <w:abstractNum w:abstractNumId="15">
    <w:nsid w:val="62F26E8B"/>
    <w:multiLevelType w:val="singleLevel"/>
    <w:tmpl w:val="62F26E8B"/>
    <w:lvl w:ilvl="0" w:tentative="0">
      <w:start w:val="1"/>
      <w:numFmt w:val="decimal"/>
      <w:suff w:val="space"/>
      <w:lvlText w:val="(%1)"/>
      <w:lvlJc w:val="left"/>
      <w:pPr>
        <w:ind w:left="-420"/>
      </w:pPr>
      <w:rPr>
        <w:rFonts w:hint="default" w:ascii="宋体" w:hAnsi="宋体" w:eastAsia="宋体" w:cs="宋体"/>
        <w:b w:val="0"/>
        <w:bCs w:val="0"/>
        <w:color w:val="000000"/>
      </w:rPr>
    </w:lvl>
  </w:abstractNum>
  <w:abstractNum w:abstractNumId="16">
    <w:nsid w:val="72CE9152"/>
    <w:multiLevelType w:val="multilevel"/>
    <w:tmpl w:val="72CE9152"/>
    <w:lvl w:ilvl="0" w:tentative="0">
      <w:start w:val="1"/>
      <w:numFmt w:val="decimal"/>
      <w:lvlText w:val="%1."/>
      <w:lvlJc w:val="left"/>
      <w:pPr>
        <w:ind w:left="432" w:hanging="432"/>
      </w:pPr>
      <w:rPr>
        <w:rFonts w:hint="default"/>
      </w:rPr>
    </w:lvl>
    <w:lvl w:ilvl="1" w:tentative="0">
      <w:start w:val="1"/>
      <w:numFmt w:val="decimal"/>
      <w:lvlText w:val="%1.%2."/>
      <w:lvlJc w:val="left"/>
      <w:pPr>
        <w:ind w:left="1095" w:hanging="575"/>
      </w:pPr>
      <w:rPr>
        <w:rFonts w:hint="default" w:ascii="宋体" w:hAnsi="宋体" w:eastAsia="宋体" w:cs="宋体"/>
        <w:sz w:val="24"/>
      </w:rPr>
    </w:lvl>
    <w:lvl w:ilvl="2" w:tentative="0">
      <w:start w:val="1"/>
      <w:numFmt w:val="decimal"/>
      <w:lvlText w:val="%1.%2.%3."/>
      <w:lvlJc w:val="left"/>
      <w:pPr>
        <w:ind w:left="5082" w:hanging="720"/>
      </w:pPr>
      <w:rPr>
        <w:rFonts w:hint="default" w:ascii="宋体" w:hAnsi="宋体" w:eastAsia="宋体" w:cs="宋体"/>
        <w:sz w:val="24"/>
      </w:rPr>
    </w:lvl>
    <w:lvl w:ilvl="3" w:tentative="0">
      <w:start w:val="1"/>
      <w:numFmt w:val="decimal"/>
      <w:pStyle w:val="7"/>
      <w:lvlText w:val="%1.%2.%3.%4."/>
      <w:lvlJc w:val="left"/>
      <w:pPr>
        <w:ind w:left="1344" w:hanging="864"/>
      </w:pPr>
      <w:rPr>
        <w:rFonts w:hint="default" w:ascii="宋体" w:hAnsi="宋体" w:eastAsia="宋体"/>
        <w:sz w:val="24"/>
        <w:szCs w:val="24"/>
      </w:rPr>
    </w:lvl>
    <w:lvl w:ilvl="4" w:tentative="0">
      <w:start w:val="1"/>
      <w:numFmt w:val="decimal"/>
      <w:pStyle w:val="8"/>
      <w:lvlText w:val="%1.%2.%3.%4.%5."/>
      <w:lvlJc w:val="left"/>
      <w:pPr>
        <w:ind w:left="172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6"/>
  </w:num>
  <w:num w:numId="2">
    <w:abstractNumId w:val="4"/>
  </w:num>
  <w:num w:numId="3">
    <w:abstractNumId w:val="8"/>
  </w:num>
  <w:num w:numId="4">
    <w:abstractNumId w:val="6"/>
  </w:num>
  <w:num w:numId="5">
    <w:abstractNumId w:val="3"/>
  </w:num>
  <w:num w:numId="6">
    <w:abstractNumId w:val="15"/>
  </w:num>
  <w:num w:numId="7">
    <w:abstractNumId w:val="2"/>
  </w:num>
  <w:num w:numId="8">
    <w:abstractNumId w:val="0"/>
  </w:num>
  <w:num w:numId="9">
    <w:abstractNumId w:val="1"/>
  </w:num>
  <w:num w:numId="10">
    <w:abstractNumId w:val="9"/>
  </w:num>
  <w:num w:numId="11">
    <w:abstractNumId w:val="10"/>
  </w:num>
  <w:num w:numId="12">
    <w:abstractNumId w:val="5"/>
  </w:num>
  <w:num w:numId="13">
    <w:abstractNumId w:val="12"/>
  </w:num>
  <w:num w:numId="14">
    <w:abstractNumId w:val="13"/>
  </w:num>
  <w:num w:numId="15">
    <w:abstractNumId w:val="11"/>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iNDIwODkxMmNiNzQxZjA3YjUzNzM2NGZlOWQ4Y2MifQ=="/>
  </w:docVars>
  <w:rsids>
    <w:rsidRoot w:val="62A81C13"/>
    <w:rsid w:val="00034CE1"/>
    <w:rsid w:val="000355AD"/>
    <w:rsid w:val="00160ACD"/>
    <w:rsid w:val="001C32E1"/>
    <w:rsid w:val="00235D05"/>
    <w:rsid w:val="0024264B"/>
    <w:rsid w:val="002A3171"/>
    <w:rsid w:val="002C54E1"/>
    <w:rsid w:val="004053DE"/>
    <w:rsid w:val="00437C17"/>
    <w:rsid w:val="004629DB"/>
    <w:rsid w:val="004C03B1"/>
    <w:rsid w:val="007D6B9E"/>
    <w:rsid w:val="008D4128"/>
    <w:rsid w:val="009543BD"/>
    <w:rsid w:val="00A34747"/>
    <w:rsid w:val="00B942A4"/>
    <w:rsid w:val="00BA3E60"/>
    <w:rsid w:val="00C705A2"/>
    <w:rsid w:val="03B117C2"/>
    <w:rsid w:val="0530072B"/>
    <w:rsid w:val="07C91981"/>
    <w:rsid w:val="09A90563"/>
    <w:rsid w:val="0B7A2116"/>
    <w:rsid w:val="0BEA2A4D"/>
    <w:rsid w:val="0C50444C"/>
    <w:rsid w:val="0EB44955"/>
    <w:rsid w:val="0F814C24"/>
    <w:rsid w:val="104167CD"/>
    <w:rsid w:val="11BA1581"/>
    <w:rsid w:val="1727064D"/>
    <w:rsid w:val="184969B9"/>
    <w:rsid w:val="18E1321F"/>
    <w:rsid w:val="1A2F125A"/>
    <w:rsid w:val="1A4F10D0"/>
    <w:rsid w:val="1AA63C2F"/>
    <w:rsid w:val="1AF1483D"/>
    <w:rsid w:val="1C1832DD"/>
    <w:rsid w:val="1E9F445E"/>
    <w:rsid w:val="20A0436C"/>
    <w:rsid w:val="20F76A8D"/>
    <w:rsid w:val="2130749E"/>
    <w:rsid w:val="22A01BDF"/>
    <w:rsid w:val="24BD1F1C"/>
    <w:rsid w:val="28151A83"/>
    <w:rsid w:val="28483FEA"/>
    <w:rsid w:val="28B231F0"/>
    <w:rsid w:val="293409A5"/>
    <w:rsid w:val="2AA41CA9"/>
    <w:rsid w:val="2B5C1768"/>
    <w:rsid w:val="2B73426C"/>
    <w:rsid w:val="2DD91A15"/>
    <w:rsid w:val="2EF00298"/>
    <w:rsid w:val="3153423C"/>
    <w:rsid w:val="322152C2"/>
    <w:rsid w:val="352D3747"/>
    <w:rsid w:val="37E83BFE"/>
    <w:rsid w:val="386F0749"/>
    <w:rsid w:val="38F017D5"/>
    <w:rsid w:val="3A674C80"/>
    <w:rsid w:val="3D1551A1"/>
    <w:rsid w:val="3D1D60B4"/>
    <w:rsid w:val="3D31377E"/>
    <w:rsid w:val="3FCF327D"/>
    <w:rsid w:val="42567C0C"/>
    <w:rsid w:val="431216F4"/>
    <w:rsid w:val="43371215"/>
    <w:rsid w:val="45A23592"/>
    <w:rsid w:val="48DE302F"/>
    <w:rsid w:val="4B2B66C2"/>
    <w:rsid w:val="4C890113"/>
    <w:rsid w:val="4F4578BF"/>
    <w:rsid w:val="52572A94"/>
    <w:rsid w:val="543454E7"/>
    <w:rsid w:val="57E25E37"/>
    <w:rsid w:val="593E3FA6"/>
    <w:rsid w:val="59CE339F"/>
    <w:rsid w:val="59DD570D"/>
    <w:rsid w:val="59F90BC1"/>
    <w:rsid w:val="5C142903"/>
    <w:rsid w:val="5D276EB9"/>
    <w:rsid w:val="5D9F0009"/>
    <w:rsid w:val="60791F08"/>
    <w:rsid w:val="614747EE"/>
    <w:rsid w:val="6158230D"/>
    <w:rsid w:val="62A81C13"/>
    <w:rsid w:val="630523BD"/>
    <w:rsid w:val="644A3FCA"/>
    <w:rsid w:val="6A715701"/>
    <w:rsid w:val="6C0F68B7"/>
    <w:rsid w:val="6CEC721A"/>
    <w:rsid w:val="701143D4"/>
    <w:rsid w:val="71450AAE"/>
    <w:rsid w:val="76FD55EB"/>
    <w:rsid w:val="774074CE"/>
    <w:rsid w:val="7849797E"/>
    <w:rsid w:val="78C8572F"/>
    <w:rsid w:val="7CFC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spacing w:line="380" w:lineRule="exact"/>
      <w:jc w:val="center"/>
      <w:outlineLvl w:val="0"/>
    </w:pPr>
    <w:rPr>
      <w:rFonts w:ascii="宋体" w:hAnsi="宋体"/>
      <w:b/>
      <w:kern w:val="44"/>
      <w:sz w:val="44"/>
      <w:szCs w:val="44"/>
    </w:rPr>
  </w:style>
  <w:style w:type="paragraph" w:styleId="6">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7">
    <w:name w:val="heading 4"/>
    <w:basedOn w:val="1"/>
    <w:next w:val="1"/>
    <w:qFormat/>
    <w:uiPriority w:val="99"/>
    <w:pPr>
      <w:keepNext/>
      <w:keepLines/>
      <w:numPr>
        <w:ilvl w:val="3"/>
        <w:numId w:val="1"/>
      </w:numPr>
      <w:spacing w:before="160" w:after="160" w:line="377" w:lineRule="auto"/>
      <w:ind w:firstLine="0"/>
      <w:outlineLvl w:val="3"/>
    </w:pPr>
    <w:rPr>
      <w:rFonts w:ascii="Arial" w:hAnsi="Arial"/>
      <w:b/>
      <w:bCs/>
      <w:sz w:val="30"/>
      <w:szCs w:val="28"/>
    </w:rPr>
  </w:style>
  <w:style w:type="paragraph" w:styleId="8">
    <w:name w:val="heading 5"/>
    <w:basedOn w:val="9"/>
    <w:next w:val="1"/>
    <w:qFormat/>
    <w:uiPriority w:val="9"/>
    <w:pPr>
      <w:keepNext/>
      <w:keepLines/>
      <w:numPr>
        <w:ilvl w:val="4"/>
        <w:numId w:val="1"/>
      </w:numPr>
      <w:spacing w:before="120" w:after="120" w:line="377" w:lineRule="auto"/>
      <w:ind w:firstLine="0"/>
      <w:outlineLvl w:val="4"/>
    </w:pPr>
    <w:rPr>
      <w:b/>
      <w:bCs/>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autoSpaceDE w:val="0"/>
      <w:autoSpaceDN w:val="0"/>
      <w:adjustRightInd w:val="0"/>
      <w:spacing w:after="120"/>
      <w:ind w:left="420" w:leftChars="200" w:firstLineChars="200"/>
      <w:jc w:val="left"/>
    </w:pPr>
  </w:style>
  <w:style w:type="paragraph" w:styleId="3">
    <w:name w:val="Body Text Indent"/>
    <w:basedOn w:val="1"/>
    <w:next w:val="4"/>
    <w:autoRedefine/>
    <w:qFormat/>
    <w:uiPriority w:val="0"/>
    <w:pPr>
      <w:spacing w:line="460" w:lineRule="exact"/>
      <w:ind w:firstLine="420"/>
    </w:pPr>
    <w:rPr>
      <w:rFonts w:ascii="宋体"/>
      <w:kern w:val="24"/>
      <w:sz w:val="28"/>
      <w:szCs w:val="20"/>
    </w:rPr>
  </w:style>
  <w:style w:type="paragraph" w:styleId="4">
    <w:name w:val="Normal Indent"/>
    <w:basedOn w:val="1"/>
    <w:next w:val="1"/>
    <w:autoRedefine/>
    <w:qFormat/>
    <w:uiPriority w:val="0"/>
    <w:pPr>
      <w:spacing w:line="460" w:lineRule="exact"/>
      <w:ind w:firstLine="420"/>
    </w:pPr>
    <w:rPr>
      <w:spacing w:val="14"/>
      <w:kern w:val="24"/>
      <w:sz w:val="24"/>
      <w:szCs w:val="20"/>
    </w:rPr>
  </w:style>
  <w:style w:type="paragraph" w:styleId="9">
    <w:name w:val="Normal (Web)"/>
    <w:basedOn w:val="1"/>
    <w:autoRedefine/>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0">
    <w:name w:val="annotation text"/>
    <w:basedOn w:val="1"/>
    <w:autoRedefine/>
    <w:semiHidden/>
    <w:qFormat/>
    <w:uiPriority w:val="0"/>
  </w:style>
  <w:style w:type="paragraph" w:styleId="11">
    <w:name w:val="Body Text"/>
    <w:basedOn w:val="1"/>
    <w:next w:val="12"/>
    <w:autoRedefine/>
    <w:qFormat/>
    <w:uiPriority w:val="0"/>
    <w:pPr>
      <w:spacing w:after="120"/>
    </w:pPr>
  </w:style>
  <w:style w:type="paragraph" w:styleId="12">
    <w:name w:val="Body Text First Indent"/>
    <w:basedOn w:val="11"/>
    <w:next w:val="1"/>
    <w:autoRedefine/>
    <w:qFormat/>
    <w:uiPriority w:val="0"/>
    <w:pPr>
      <w:tabs>
        <w:tab w:val="left" w:pos="482"/>
        <w:tab w:val="left" w:pos="2183"/>
        <w:tab w:val="left" w:pos="3884"/>
        <w:tab w:val="left" w:pos="5585"/>
      </w:tabs>
      <w:adjustRightInd w:val="0"/>
      <w:spacing w:after="0"/>
      <w:ind w:firstLine="482"/>
      <w:textAlignment w:val="baseline"/>
    </w:pPr>
    <w:rPr>
      <w:kern w:val="0"/>
      <w:sz w:val="24"/>
      <w:szCs w:val="20"/>
    </w:rPr>
  </w:style>
  <w:style w:type="paragraph" w:styleId="13">
    <w:name w:val="Block Text"/>
    <w:basedOn w:val="1"/>
    <w:autoRedefine/>
    <w:qFormat/>
    <w:uiPriority w:val="0"/>
    <w:pPr>
      <w:adjustRightInd w:val="0"/>
      <w:ind w:left="420" w:right="33"/>
      <w:jc w:val="left"/>
      <w:textAlignment w:val="baseline"/>
    </w:pPr>
    <w:rPr>
      <w:kern w:val="0"/>
      <w:sz w:val="24"/>
    </w:rPr>
  </w:style>
  <w:style w:type="paragraph" w:styleId="14">
    <w:name w:val="Plain Text"/>
    <w:basedOn w:val="1"/>
    <w:next w:val="15"/>
    <w:autoRedefine/>
    <w:qFormat/>
    <w:uiPriority w:val="0"/>
    <w:rPr>
      <w:rFonts w:ascii="宋体" w:hAnsi="Courier New"/>
      <w:szCs w:val="20"/>
    </w:rPr>
  </w:style>
  <w:style w:type="paragraph" w:styleId="15">
    <w:name w:val="Date"/>
    <w:basedOn w:val="1"/>
    <w:next w:val="1"/>
    <w:qFormat/>
    <w:uiPriority w:val="0"/>
    <w:pPr>
      <w:ind w:left="100" w:leftChars="2500"/>
    </w:pPr>
    <w:rPr>
      <w:color w:val="000000"/>
      <w:sz w:val="24"/>
      <w:szCs w:val="24"/>
    </w:rPr>
  </w:style>
  <w:style w:type="paragraph" w:styleId="16">
    <w:name w:val="Body Text Indent 2"/>
    <w:basedOn w:val="1"/>
    <w:qFormat/>
    <w:uiPriority w:val="0"/>
    <w:pPr>
      <w:widowControl/>
      <w:spacing w:line="480" w:lineRule="atLeast"/>
      <w:ind w:firstLine="480"/>
    </w:pPr>
    <w:rPr>
      <w:kern w:val="0"/>
      <w:sz w:val="24"/>
      <w:szCs w:val="20"/>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rPr>
      <w:rFonts w:ascii="Arial" w:hAnsi="Arial" w:cs="Arial"/>
      <w:bCs/>
      <w:kern w:val="0"/>
    </w:rPr>
  </w:style>
  <w:style w:type="paragraph" w:styleId="20">
    <w:name w:val="toc 6"/>
    <w:basedOn w:val="1"/>
    <w:next w:val="1"/>
    <w:autoRedefine/>
    <w:qFormat/>
    <w:uiPriority w:val="0"/>
    <w:pPr>
      <w:ind w:left="2100" w:leftChars="1000"/>
    </w:p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Cs w:val="24"/>
    </w:rPr>
  </w:style>
  <w:style w:type="paragraph" w:styleId="22">
    <w:name w:val="Title"/>
    <w:basedOn w:val="1"/>
    <w:next w:val="1"/>
    <w:autoRedefine/>
    <w:qFormat/>
    <w:uiPriority w:val="0"/>
    <w:pPr>
      <w:spacing w:before="240" w:after="60"/>
      <w:jc w:val="center"/>
      <w:outlineLvl w:val="0"/>
    </w:pPr>
    <w:rPr>
      <w:rFonts w:ascii="Cambria" w:hAnsi="Cambria"/>
      <w:b/>
      <w:bCs/>
      <w:sz w:val="32"/>
      <w:szCs w:val="32"/>
    </w:rPr>
  </w:style>
  <w:style w:type="character" w:styleId="25">
    <w:name w:val="Hyperlink"/>
    <w:basedOn w:val="24"/>
    <w:autoRedefine/>
    <w:qFormat/>
    <w:uiPriority w:val="99"/>
    <w:rPr>
      <w:color w:val="333333"/>
      <w:u w:val="none"/>
    </w:rPr>
  </w:style>
  <w:style w:type="paragraph" w:customStyle="1" w:styleId="26">
    <w:name w:val="表格文字"/>
    <w:basedOn w:val="14"/>
    <w:next w:val="11"/>
    <w:autoRedefine/>
    <w:qFormat/>
    <w:uiPriority w:val="0"/>
    <w:pPr>
      <w:adjustRightInd w:val="0"/>
      <w:spacing w:line="420" w:lineRule="atLeast"/>
      <w:textAlignment w:val="baseline"/>
    </w:pPr>
    <w:rPr>
      <w:szCs w:val="24"/>
    </w:rPr>
  </w:style>
  <w:style w:type="paragraph" w:customStyle="1" w:styleId="27">
    <w:name w:val="章正文"/>
    <w:basedOn w:val="1"/>
    <w:autoRedefine/>
    <w:qFormat/>
    <w:uiPriority w:val="0"/>
    <w:pPr>
      <w:spacing w:before="156" w:beforeLines="50" w:after="120" w:line="300" w:lineRule="auto"/>
      <w:ind w:firstLine="480"/>
    </w:pPr>
    <w:rPr>
      <w:rFonts w:ascii="Helvetica" w:hAnsi="Helvetica"/>
      <w:kern w:val="0"/>
      <w:sz w:val="24"/>
    </w:rPr>
  </w:style>
  <w:style w:type="paragraph" w:customStyle="1" w:styleId="28">
    <w:name w:val="WPSOffice手动目录 1"/>
    <w:autoRedefine/>
    <w:qFormat/>
    <w:uiPriority w:val="0"/>
    <w:rPr>
      <w:rFonts w:ascii="Times New Roman" w:hAnsi="Times New Roman" w:eastAsia="宋体" w:cs="Times New Roman"/>
      <w:lang w:val="en-US" w:eastAsia="zh-CN" w:bidi="ar-SA"/>
    </w:rPr>
  </w:style>
  <w:style w:type="paragraph" w:customStyle="1" w:styleId="2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0">
    <w:name w:val="中等深浅网格 1 - 强调文字颜色 21"/>
    <w:basedOn w:val="1"/>
    <w:autoRedefine/>
    <w:qFormat/>
    <w:uiPriority w:val="34"/>
    <w:pPr>
      <w:widowControl/>
      <w:ind w:firstLine="420" w:firstLineChars="200"/>
      <w:jc w:val="left"/>
    </w:pPr>
    <w:rPr>
      <w:kern w:val="0"/>
      <w:szCs w:val="20"/>
    </w:rPr>
  </w:style>
  <w:style w:type="paragraph" w:customStyle="1" w:styleId="31">
    <w:name w:val="Default"/>
    <w:next w:val="32"/>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Normal]"/>
    <w:autoRedefine/>
    <w:qFormat/>
    <w:uiPriority w:val="0"/>
    <w:rPr>
      <w:rFonts w:ascii="宋体" w:hAnsi="宋体" w:eastAsia="宋体" w:cs="Times New Roman"/>
      <w:sz w:val="24"/>
      <w:szCs w:val="22"/>
      <w:lang w:val="zh-CN" w:eastAsia="zh-CN" w:bidi="ar-SA"/>
    </w:rPr>
  </w:style>
  <w:style w:type="character" w:customStyle="1" w:styleId="34">
    <w:name w:val="NormalCharacter"/>
    <w:autoRedefine/>
    <w:qFormat/>
    <w:uiPriority w:val="0"/>
    <w:rPr>
      <w:lang w:val="en-US" w:eastAsia="zh-CN"/>
    </w:rPr>
  </w:style>
  <w:style w:type="paragraph" w:customStyle="1" w:styleId="35">
    <w:name w:val="Table Text"/>
    <w:basedOn w:val="1"/>
    <w:autoRedefine/>
    <w:semiHidden/>
    <w:qFormat/>
    <w:uiPriority w:val="0"/>
    <w:rPr>
      <w:rFonts w:ascii="宋体" w:hAnsi="宋体" w:cs="宋体"/>
      <w:sz w:val="20"/>
      <w:szCs w:val="20"/>
      <w:lang w:eastAsia="en-US"/>
    </w:rPr>
  </w:style>
  <w:style w:type="character" w:customStyle="1" w:styleId="36">
    <w:name w:val="font41"/>
    <w:basedOn w:val="24"/>
    <w:autoRedefine/>
    <w:qFormat/>
    <w:uiPriority w:val="0"/>
    <w:rPr>
      <w:rFonts w:hint="eastAsia" w:ascii="宋体" w:hAnsi="宋体" w:eastAsia="宋体" w:cs="宋体"/>
      <w:color w:val="000000"/>
      <w:sz w:val="21"/>
      <w:szCs w:val="21"/>
      <w:u w:val="none"/>
    </w:rPr>
  </w:style>
  <w:style w:type="character" w:customStyle="1" w:styleId="37">
    <w:name w:val="font21"/>
    <w:basedOn w:val="24"/>
    <w:autoRedefine/>
    <w:qFormat/>
    <w:uiPriority w:val="0"/>
    <w:rPr>
      <w:rFonts w:hint="default" w:ascii="Calibri" w:hAnsi="Calibri" w:cs="Calibri"/>
      <w:color w:val="000000"/>
      <w:sz w:val="24"/>
      <w:szCs w:val="24"/>
      <w:u w:val="none"/>
    </w:rPr>
  </w:style>
  <w:style w:type="character" w:customStyle="1" w:styleId="38">
    <w:name w:val="font51"/>
    <w:basedOn w:val="24"/>
    <w:autoRedefine/>
    <w:qFormat/>
    <w:uiPriority w:val="0"/>
    <w:rPr>
      <w:rFonts w:hint="eastAsia" w:ascii="宋体" w:hAnsi="宋体" w:eastAsia="宋体" w:cs="宋体"/>
      <w:color w:val="000000"/>
      <w:sz w:val="24"/>
      <w:szCs w:val="24"/>
      <w:u w:val="none"/>
    </w:rPr>
  </w:style>
  <w:style w:type="paragraph" w:customStyle="1" w:styleId="39">
    <w:name w:val="列出段落3"/>
    <w:basedOn w:val="1"/>
    <w:autoRedefine/>
    <w:qFormat/>
    <w:uiPriority w:val="0"/>
    <w:pPr>
      <w:ind w:firstLine="420" w:firstLineChars="200"/>
    </w:pPr>
    <w:rPr>
      <w:szCs w:val="20"/>
    </w:rPr>
  </w:style>
  <w:style w:type="paragraph" w:customStyle="1" w:styleId="40">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paragraph" w:customStyle="1" w:styleId="41">
    <w:name w:val="无间隔1"/>
    <w:autoRedefine/>
    <w:qFormat/>
    <w:uiPriority w:val="0"/>
    <w:rPr>
      <w:rFonts w:ascii="Times New Roman" w:hAnsi="Times New Roman" w:eastAsia="宋体" w:cs="Times New Roman"/>
      <w:sz w:val="21"/>
      <w:lang w:val="en-US" w:eastAsia="zh-CN" w:bidi="ar-SA"/>
    </w:rPr>
  </w:style>
  <w:style w:type="paragraph" w:customStyle="1" w:styleId="42">
    <w:name w:val="￥正文"/>
    <w:basedOn w:val="1"/>
    <w:autoRedefine/>
    <w:qFormat/>
    <w:uiPriority w:val="0"/>
    <w:pPr>
      <w:spacing w:line="360" w:lineRule="auto"/>
      <w:ind w:firstLine="200" w:firstLineChars="200"/>
    </w:pPr>
    <w:rPr>
      <w:rFonts w:ascii="Calibri" w:hAnsi="Calibri" w:eastAsia="仿宋_GB2312"/>
      <w:kern w:val="0"/>
      <w:sz w:val="24"/>
      <w:szCs w:val="20"/>
    </w:rPr>
  </w:style>
  <w:style w:type="paragraph" w:customStyle="1" w:styleId="43">
    <w:name w:val="此正文"/>
    <w:basedOn w:val="1"/>
    <w:autoRedefine/>
    <w:qFormat/>
    <w:uiPriority w:val="0"/>
    <w:pPr>
      <w:spacing w:line="360" w:lineRule="auto"/>
      <w:ind w:firstLine="200" w:firstLineChars="200"/>
    </w:pPr>
    <w:rPr>
      <w:sz w:val="24"/>
    </w:rPr>
  </w:style>
  <w:style w:type="paragraph" w:customStyle="1" w:styleId="44">
    <w:name w:val="文档正文"/>
    <w:basedOn w:val="9"/>
    <w:autoRedefine/>
    <w:qFormat/>
    <w:uiPriority w:val="0"/>
    <w:pPr>
      <w:shd w:val="clear" w:color="auto" w:fill="FFFFFF"/>
      <w:spacing w:beforeLines="50" w:beforeAutospacing="0" w:after="0" w:afterAutospacing="0" w:line="360" w:lineRule="auto"/>
      <w:ind w:firstLine="560" w:firstLineChars="200"/>
      <w:jc w:val="both"/>
    </w:pPr>
    <w:rPr>
      <w:rFonts w:eastAsia="仿宋"/>
      <w:sz w:val="28"/>
      <w:szCs w:val="32"/>
    </w:rPr>
  </w:style>
  <w:style w:type="character" w:customStyle="1" w:styleId="45">
    <w:name w:val="font11"/>
    <w:basedOn w:val="24"/>
    <w:qFormat/>
    <w:uiPriority w:val="0"/>
    <w:rPr>
      <w:rFonts w:hint="eastAsia" w:ascii="宋体" w:hAnsi="宋体" w:eastAsia="宋体" w:cs="宋体"/>
      <w:color w:val="000000"/>
      <w:sz w:val="22"/>
      <w:szCs w:val="22"/>
      <w:u w:val="none"/>
    </w:rPr>
  </w:style>
  <w:style w:type="character" w:customStyle="1" w:styleId="46">
    <w:name w:val="font31"/>
    <w:basedOn w:val="24"/>
    <w:qFormat/>
    <w:uiPriority w:val="0"/>
    <w:rPr>
      <w:rFonts w:hint="eastAsia" w:ascii="宋体" w:hAnsi="宋体" w:eastAsia="宋体" w:cs="宋体"/>
      <w:b/>
      <w:bCs/>
      <w:color w:val="000000"/>
      <w:sz w:val="22"/>
      <w:szCs w:val="22"/>
      <w:u w:val="none"/>
    </w:rPr>
  </w:style>
  <w:style w:type="paragraph" w:customStyle="1" w:styleId="47">
    <w:name w:val="111"/>
    <w:basedOn w:val="1"/>
    <w:qFormat/>
    <w:uiPriority w:val="0"/>
    <w:pPr>
      <w:outlineLvl w:val="1"/>
    </w:pPr>
    <w:rPr>
      <w:rFonts w:ascii="黑体" w:hAnsi="黑体" w:eastAsia="黑体"/>
      <w:szCs w:val="36"/>
    </w:rPr>
  </w:style>
  <w:style w:type="table" w:customStyle="1" w:styleId="48">
    <w:name w:val="网格型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21439</Words>
  <Characters>22413</Characters>
  <Lines>184</Lines>
  <Paragraphs>51</Paragraphs>
  <TotalTime>17</TotalTime>
  <ScaleCrop>false</ScaleCrop>
  <LinksUpToDate>false</LinksUpToDate>
  <CharactersWithSpaces>24527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2023-11-15T06:33:00Z</dcterms:created>
  <dc:creator>未知</dc:creator>
  <cp:lastModifiedBy>Administrator</cp:lastModifiedBy>
  <cp:lastPrinted>2023-12-06T07:49:00Z</cp:lastPrinted>
  <dcterms:modified xsi:type="dcterms:W3CDTF">2024-10-31T09:02:59Z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72A787074D344D30B02D506BECE0857B_13</vt:lpwstr>
  </property>
</Properties>
</file>