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color w:val="auto"/>
          <w:sz w:val="24"/>
          <w:highlight w:val="none"/>
        </w:rPr>
      </w:pPr>
    </w:p>
    <w:p>
      <w:pPr>
        <w:pStyle w:val="969"/>
        <w:spacing w:line="760" w:lineRule="exact"/>
        <w:rPr>
          <w:rFonts w:hint="eastAsia" w:ascii="宋体" w:hAnsi="宋体" w:eastAsia="宋体" w:cs="宋体"/>
          <w:color w:val="auto"/>
          <w:sz w:val="72"/>
          <w:szCs w:val="72"/>
          <w:highlight w:val="none"/>
        </w:rPr>
      </w:pPr>
    </w:p>
    <w:p>
      <w:pPr>
        <w:pStyle w:val="24"/>
        <w:jc w:val="center"/>
        <w:rPr>
          <w:rFonts w:hint="eastAsia" w:ascii="宋体" w:hAnsi="宋体" w:eastAsia="宋体" w:cs="宋体"/>
          <w:b/>
          <w:bCs/>
          <w:color w:val="auto"/>
          <w:sz w:val="52"/>
          <w:szCs w:val="52"/>
          <w:highlight w:val="none"/>
          <w:lang w:val="en-US" w:eastAsia="zh-CN"/>
        </w:rPr>
      </w:pPr>
      <w:r>
        <w:rPr>
          <w:rFonts w:hint="eastAsia" w:ascii="宋体" w:hAnsi="宋体" w:eastAsia="宋体" w:cs="宋体"/>
          <w:b/>
          <w:bCs/>
          <w:color w:val="auto"/>
          <w:sz w:val="36"/>
          <w:szCs w:val="36"/>
          <w:highlight w:val="none"/>
          <w:lang w:val="en-US" w:eastAsia="zh-CN"/>
        </w:rPr>
        <w:t>沿江景观带（民和路-金鸡路）城市设计服务采购</w:t>
      </w:r>
    </w:p>
    <w:p>
      <w:pPr>
        <w:pStyle w:val="25"/>
        <w:rPr>
          <w:rFonts w:hint="eastAsia" w:ascii="宋体" w:hAnsi="宋体" w:eastAsia="宋体" w:cs="宋体"/>
          <w:color w:val="auto"/>
          <w:highlight w:val="none"/>
          <w:lang w:eastAsia="zh-CN"/>
        </w:rPr>
      </w:pPr>
    </w:p>
    <w:p>
      <w:pPr>
        <w:rPr>
          <w:rFonts w:hint="eastAsia" w:ascii="宋体" w:hAnsi="宋体" w:eastAsia="宋体" w:cs="宋体"/>
          <w:color w:val="auto"/>
          <w:highlight w:val="none"/>
          <w:lang w:eastAsia="zh-CN"/>
        </w:rPr>
      </w:pPr>
    </w:p>
    <w:p>
      <w:pPr>
        <w:pStyle w:val="16"/>
        <w:rPr>
          <w:rFonts w:hint="eastAsia" w:ascii="宋体" w:hAnsi="宋体" w:eastAsia="宋体" w:cs="宋体"/>
          <w:color w:val="auto"/>
          <w:highlight w:val="none"/>
          <w:lang w:eastAsia="zh-CN"/>
        </w:rPr>
      </w:pPr>
    </w:p>
    <w:p>
      <w:pPr>
        <w:rPr>
          <w:rFonts w:hint="eastAsia" w:ascii="宋体" w:hAnsi="宋体" w:eastAsia="宋体" w:cs="宋体"/>
          <w:color w:val="auto"/>
          <w:highlight w:val="none"/>
          <w:lang w:eastAsia="zh-CN"/>
        </w:rPr>
      </w:pPr>
    </w:p>
    <w:p>
      <w:pPr>
        <w:adjustRightInd/>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公开竞争</w:t>
      </w:r>
    </w:p>
    <w:p>
      <w:pPr>
        <w:adjustRightInd/>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32"/>
          <w:szCs w:val="32"/>
          <w:highlight w:val="none"/>
        </w:rPr>
        <w:t>（电子交易文件）</w:t>
      </w:r>
    </w:p>
    <w:p>
      <w:pPr>
        <w:adjustRightInd/>
        <w:spacing w:line="360" w:lineRule="auto"/>
        <w:jc w:val="center"/>
        <w:rPr>
          <w:rFonts w:hint="eastAsia" w:ascii="宋体" w:hAnsi="宋体" w:eastAsia="宋体" w:cs="宋体"/>
          <w:b/>
          <w:color w:val="auto"/>
          <w:sz w:val="44"/>
          <w:szCs w:val="44"/>
          <w:highlight w:val="none"/>
        </w:rPr>
      </w:pPr>
    </w:p>
    <w:p>
      <w:pPr>
        <w:snapToGrid w:val="0"/>
        <w:spacing w:line="360" w:lineRule="auto"/>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交易编号：2025-YL-BGHFW1</w:t>
      </w:r>
    </w:p>
    <w:p>
      <w:pPr>
        <w:adjustRightInd/>
        <w:spacing w:line="360" w:lineRule="auto"/>
        <w:rPr>
          <w:rFonts w:hint="eastAsia" w:ascii="宋体" w:hAnsi="宋体" w:eastAsia="宋体" w:cs="宋体"/>
          <w:color w:val="auto"/>
          <w:sz w:val="28"/>
          <w:szCs w:val="20"/>
          <w:highlight w:val="none"/>
        </w:rPr>
      </w:pPr>
    </w:p>
    <w:p>
      <w:pPr>
        <w:spacing w:line="360" w:lineRule="auto"/>
        <w:jc w:val="center"/>
        <w:rPr>
          <w:rFonts w:hint="eastAsia" w:ascii="宋体" w:hAnsi="宋体" w:eastAsia="宋体" w:cs="宋体"/>
          <w:b/>
          <w:color w:val="auto"/>
          <w:sz w:val="44"/>
          <w:szCs w:val="44"/>
          <w:highlight w:val="none"/>
        </w:rPr>
      </w:pPr>
    </w:p>
    <w:p>
      <w:pPr>
        <w:pStyle w:val="85"/>
        <w:rPr>
          <w:rFonts w:hint="eastAsia" w:ascii="宋体" w:hAnsi="宋体" w:eastAsia="宋体" w:cs="宋体"/>
          <w:color w:val="auto"/>
          <w:highlight w:val="none"/>
        </w:rPr>
      </w:pPr>
    </w:p>
    <w:p>
      <w:pPr>
        <w:pStyle w:val="85"/>
        <w:rPr>
          <w:rFonts w:hint="eastAsia" w:ascii="宋体" w:hAnsi="宋体" w:eastAsia="宋体" w:cs="宋体"/>
          <w:color w:val="auto"/>
          <w:highlight w:val="none"/>
        </w:rPr>
      </w:pPr>
    </w:p>
    <w:p>
      <w:pPr>
        <w:pStyle w:val="25"/>
        <w:ind w:firstLine="0"/>
        <w:rPr>
          <w:rFonts w:hint="eastAsia" w:ascii="宋体" w:hAnsi="宋体" w:eastAsia="宋体" w:cs="宋体"/>
          <w:color w:val="auto"/>
          <w:highlight w:val="none"/>
          <w:lang w:eastAsia="zh-CN"/>
        </w:rPr>
      </w:pPr>
    </w:p>
    <w:p>
      <w:pPr>
        <w:spacing w:line="360" w:lineRule="auto"/>
        <w:ind w:firstLine="964" w:firstLineChars="300"/>
        <w:rPr>
          <w:rFonts w:hint="eastAsia" w:ascii="宋体" w:hAnsi="宋体" w:eastAsia="宋体" w:cs="宋体"/>
          <w:b/>
          <w:color w:val="auto"/>
          <w:sz w:val="32"/>
          <w:szCs w:val="30"/>
          <w:highlight w:val="none"/>
        </w:rPr>
      </w:pPr>
    </w:p>
    <w:p>
      <w:pPr>
        <w:spacing w:line="360" w:lineRule="auto"/>
        <w:jc w:val="center"/>
        <w:rPr>
          <w:rFonts w:hint="eastAsia" w:ascii="宋体" w:hAnsi="宋体" w:eastAsia="宋体" w:cs="宋体"/>
          <w:b/>
          <w:color w:val="auto"/>
          <w:sz w:val="32"/>
          <w:szCs w:val="30"/>
          <w:highlight w:val="none"/>
          <w:lang w:eastAsia="zh-CN"/>
        </w:rPr>
      </w:pPr>
      <w:r>
        <w:rPr>
          <w:rFonts w:hint="eastAsia" w:ascii="宋体" w:hAnsi="宋体" w:eastAsia="宋体" w:cs="宋体"/>
          <w:b/>
          <w:color w:val="auto"/>
          <w:sz w:val="32"/>
          <w:szCs w:val="30"/>
          <w:highlight w:val="none"/>
        </w:rPr>
        <w:t>交易发起人：</w:t>
      </w:r>
      <w:r>
        <w:rPr>
          <w:rFonts w:hint="eastAsia" w:ascii="宋体" w:hAnsi="宋体" w:eastAsia="宋体" w:cs="宋体"/>
          <w:b/>
          <w:color w:val="auto"/>
          <w:sz w:val="32"/>
          <w:szCs w:val="30"/>
          <w:highlight w:val="none"/>
          <w:lang w:eastAsia="zh-CN"/>
        </w:rPr>
        <w:t>杭州萧山钱江世纪城开发建设有限责任公司</w:t>
      </w:r>
    </w:p>
    <w:p>
      <w:pPr>
        <w:spacing w:line="360" w:lineRule="auto"/>
        <w:jc w:val="center"/>
        <w:rPr>
          <w:rFonts w:hint="eastAsia" w:ascii="宋体" w:hAnsi="宋体" w:eastAsia="宋体" w:cs="宋体"/>
          <w:b/>
          <w:color w:val="auto"/>
          <w:sz w:val="32"/>
          <w:szCs w:val="30"/>
          <w:highlight w:val="none"/>
          <w:lang w:eastAsia="zh-CN"/>
        </w:rPr>
      </w:pPr>
      <w:r>
        <w:rPr>
          <w:rFonts w:hint="eastAsia" w:ascii="宋体" w:hAnsi="宋体" w:eastAsia="宋体" w:cs="宋体"/>
          <w:b/>
          <w:color w:val="auto"/>
          <w:sz w:val="32"/>
          <w:szCs w:val="30"/>
          <w:highlight w:val="none"/>
        </w:rPr>
        <w:t>代理机构：</w:t>
      </w:r>
      <w:r>
        <w:rPr>
          <w:rFonts w:hint="eastAsia" w:ascii="宋体" w:hAnsi="宋体" w:eastAsia="宋体" w:cs="宋体"/>
          <w:b/>
          <w:color w:val="auto"/>
          <w:sz w:val="32"/>
          <w:szCs w:val="30"/>
          <w:highlight w:val="none"/>
          <w:lang w:eastAsia="zh-CN"/>
        </w:rPr>
        <w:t>浙江佳诚工程咨询股份有限公司</w:t>
      </w:r>
    </w:p>
    <w:p>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二〇二</w:t>
      </w:r>
      <w:r>
        <w:rPr>
          <w:rFonts w:hint="eastAsia" w:ascii="宋体" w:hAnsi="宋体" w:eastAsia="宋体" w:cs="宋体"/>
          <w:b/>
          <w:color w:val="auto"/>
          <w:sz w:val="28"/>
          <w:szCs w:val="28"/>
          <w:highlight w:val="none"/>
          <w:lang w:val="en-US" w:eastAsia="zh-CN"/>
        </w:rPr>
        <w:t>五</w:t>
      </w:r>
      <w:r>
        <w:rPr>
          <w:rFonts w:hint="eastAsia" w:ascii="宋体" w:hAnsi="宋体" w:eastAsia="宋体" w:cs="宋体"/>
          <w:b/>
          <w:color w:val="auto"/>
          <w:sz w:val="28"/>
          <w:szCs w:val="28"/>
          <w:highlight w:val="none"/>
        </w:rPr>
        <w:t>年</w:t>
      </w:r>
      <w:r>
        <w:rPr>
          <w:rFonts w:hint="eastAsia" w:ascii="宋体" w:hAnsi="宋体" w:cs="宋体"/>
          <w:b/>
          <w:color w:val="auto"/>
          <w:sz w:val="28"/>
          <w:szCs w:val="28"/>
          <w:highlight w:val="none"/>
          <w:lang w:val="en-US" w:eastAsia="zh-CN"/>
        </w:rPr>
        <w:t>二</w:t>
      </w:r>
      <w:r>
        <w:rPr>
          <w:rFonts w:hint="eastAsia" w:ascii="宋体" w:hAnsi="宋体" w:eastAsia="宋体" w:cs="宋体"/>
          <w:b/>
          <w:color w:val="auto"/>
          <w:sz w:val="28"/>
          <w:szCs w:val="28"/>
          <w:highlight w:val="none"/>
        </w:rPr>
        <w:t>月</w:t>
      </w:r>
      <w:r>
        <w:rPr>
          <w:rFonts w:hint="eastAsia" w:ascii="宋体" w:hAnsi="宋体" w:cs="宋体"/>
          <w:b/>
          <w:color w:val="auto"/>
          <w:sz w:val="28"/>
          <w:szCs w:val="28"/>
          <w:highlight w:val="none"/>
          <w:lang w:val="en-US" w:eastAsia="zh-CN"/>
        </w:rPr>
        <w:t>十一</w:t>
      </w:r>
      <w:r>
        <w:rPr>
          <w:rFonts w:hint="eastAsia" w:ascii="宋体" w:hAnsi="宋体" w:eastAsia="宋体" w:cs="宋体"/>
          <w:b/>
          <w:color w:val="auto"/>
          <w:sz w:val="28"/>
          <w:szCs w:val="28"/>
          <w:highlight w:val="none"/>
        </w:rPr>
        <w:t>日</w:t>
      </w:r>
    </w:p>
    <w:p>
      <w:pP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br w:type="page"/>
      </w:r>
    </w:p>
    <w:p>
      <w:pPr>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pPr>
        <w:spacing w:line="360" w:lineRule="auto"/>
        <w:rPr>
          <w:rFonts w:hint="eastAsia" w:ascii="宋体" w:hAnsi="宋体" w:eastAsia="宋体" w:cs="宋体"/>
          <w:color w:val="auto"/>
          <w:sz w:val="32"/>
          <w:szCs w:val="32"/>
          <w:highlight w:val="none"/>
        </w:rPr>
      </w:pPr>
    </w:p>
    <w:p>
      <w:pPr>
        <w:spacing w:line="360" w:lineRule="auto"/>
        <w:rPr>
          <w:rFonts w:hint="eastAsia" w:ascii="宋体" w:hAnsi="宋体" w:eastAsia="宋体" w:cs="宋体"/>
          <w:color w:val="auto"/>
          <w:sz w:val="32"/>
          <w:szCs w:val="32"/>
          <w:highlight w:val="none"/>
        </w:rPr>
      </w:pP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交易公告</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响应人须知</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交易需求</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交易办法</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pPr>
        <w:spacing w:line="360" w:lineRule="auto"/>
        <w:ind w:firstLine="549" w:firstLineChars="229"/>
        <w:rPr>
          <w:rFonts w:hint="eastAsia" w:ascii="宋体" w:hAnsi="宋体" w:eastAsia="宋体" w:cs="宋体"/>
          <w:color w:val="auto"/>
          <w:sz w:val="24"/>
          <w:highlight w:val="none"/>
        </w:rPr>
      </w:pPr>
      <w:bookmarkStart w:id="0" w:name="_Hlt91233176"/>
      <w:bookmarkEnd w:id="0"/>
      <w:bookmarkStart w:id="1" w:name="_Toc91899869"/>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adjustRightInd/>
        <w:spacing w:line="360" w:lineRule="auto"/>
        <w:jc w:val="center"/>
        <w:outlineLvl w:val="0"/>
        <w:rPr>
          <w:rFonts w:hint="eastAsia" w:ascii="宋体" w:hAnsi="宋体" w:eastAsia="宋体" w:cs="宋体"/>
          <w:b/>
          <w:color w:val="auto"/>
          <w:sz w:val="36"/>
          <w:szCs w:val="20"/>
          <w:highlight w:val="none"/>
        </w:rPr>
      </w:pPr>
      <w:bookmarkStart w:id="2" w:name="第一部分"/>
      <w:r>
        <w:rPr>
          <w:rFonts w:hint="eastAsia" w:ascii="宋体" w:hAnsi="宋体" w:eastAsia="宋体" w:cs="宋体"/>
          <w:b/>
          <w:color w:val="auto"/>
          <w:sz w:val="36"/>
          <w:szCs w:val="36"/>
          <w:highlight w:val="none"/>
        </w:rPr>
        <w:br w:type="page"/>
      </w:r>
      <w:bookmarkEnd w:id="1"/>
      <w:bookmarkEnd w:id="2"/>
      <w:bookmarkStart w:id="3" w:name="_Hlt74707423"/>
      <w:bookmarkEnd w:id="3"/>
      <w:bookmarkStart w:id="4" w:name="_Hlt74649545"/>
      <w:bookmarkEnd w:id="4"/>
      <w:bookmarkStart w:id="5" w:name="_Hlt74729822"/>
      <w:bookmarkEnd w:id="5"/>
      <w:bookmarkStart w:id="6" w:name="_Hlt74728647"/>
      <w:bookmarkEnd w:id="6"/>
      <w:bookmarkStart w:id="7" w:name="第二部分"/>
      <w:bookmarkStart w:id="8" w:name="_Toc91899870"/>
      <w:bookmarkStart w:id="9" w:name="_Toc91899871"/>
      <w:r>
        <w:rPr>
          <w:rFonts w:hint="eastAsia" w:ascii="宋体" w:hAnsi="宋体" w:eastAsia="宋体" w:cs="宋体"/>
          <w:b/>
          <w:color w:val="auto"/>
          <w:sz w:val="36"/>
          <w:szCs w:val="20"/>
          <w:highlight w:val="none"/>
        </w:rPr>
        <w:t>第一部分 交易公告</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一、基本情况</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交易编号：2025-YL-BGHFW1</w:t>
      </w:r>
    </w:p>
    <w:p>
      <w:pPr>
        <w:spacing w:line="360" w:lineRule="auto"/>
        <w:ind w:firstLine="482" w:firstLineChars="200"/>
        <w:rPr>
          <w:rFonts w:hint="eastAsia" w:ascii="宋体" w:hAnsi="宋体" w:eastAsia="宋体" w:cs="宋体"/>
          <w:bCs/>
          <w:color w:val="auto"/>
          <w:sz w:val="24"/>
          <w:highlight w:val="none"/>
          <w:lang w:eastAsia="zh-CN"/>
        </w:rPr>
      </w:pPr>
      <w:r>
        <w:rPr>
          <w:rFonts w:hint="eastAsia" w:ascii="宋体" w:hAnsi="宋体" w:eastAsia="宋体" w:cs="宋体"/>
          <w:b/>
          <w:color w:val="auto"/>
          <w:sz w:val="24"/>
          <w:highlight w:val="none"/>
        </w:rPr>
        <w:t>交易名称：</w:t>
      </w:r>
      <w:r>
        <w:rPr>
          <w:rFonts w:hint="eastAsia" w:ascii="宋体" w:hAnsi="宋体" w:eastAsia="宋体" w:cs="宋体"/>
          <w:bCs/>
          <w:color w:val="auto"/>
          <w:sz w:val="24"/>
          <w:highlight w:val="none"/>
          <w:lang w:eastAsia="zh-CN"/>
        </w:rPr>
        <w:t>沿江景观带（民和路-金鸡路）城市设计服务采购</w:t>
      </w:r>
    </w:p>
    <w:p>
      <w:pPr>
        <w:spacing w:line="360" w:lineRule="auto"/>
        <w:ind w:firstLine="482" w:firstLineChars="200"/>
        <w:rPr>
          <w:rFonts w:hint="eastAsia" w:ascii="宋体" w:hAnsi="宋体" w:eastAsia="宋体" w:cs="宋体"/>
          <w:b w:val="0"/>
          <w:bCs/>
          <w:color w:val="auto"/>
          <w:sz w:val="24"/>
          <w:highlight w:val="none"/>
          <w:lang w:val="en-US" w:eastAsia="zh-CN"/>
        </w:rPr>
      </w:pPr>
      <w:r>
        <w:rPr>
          <w:rFonts w:hint="eastAsia" w:ascii="宋体" w:hAnsi="宋体" w:eastAsia="宋体" w:cs="宋体"/>
          <w:b/>
          <w:color w:val="auto"/>
          <w:sz w:val="24"/>
          <w:highlight w:val="none"/>
        </w:rPr>
        <w:t>预算金额</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w:t>
      </w:r>
      <w:r>
        <w:rPr>
          <w:rFonts w:hint="eastAsia" w:ascii="宋体" w:hAnsi="宋体" w:eastAsia="宋体" w:cs="宋体"/>
          <w:b w:val="0"/>
          <w:bCs/>
          <w:color w:val="auto"/>
          <w:sz w:val="24"/>
          <w:highlight w:val="none"/>
          <w:lang w:val="en-US" w:eastAsia="zh-CN"/>
        </w:rPr>
        <w:t>600000</w:t>
      </w:r>
    </w:p>
    <w:p>
      <w:pPr>
        <w:spacing w:line="360" w:lineRule="auto"/>
        <w:ind w:firstLine="482" w:firstLineChars="200"/>
        <w:rPr>
          <w:rFonts w:hint="eastAsia" w:ascii="宋体" w:hAnsi="宋体" w:eastAsia="宋体" w:cs="宋体"/>
          <w:b w:val="0"/>
          <w:bCs/>
          <w:color w:val="auto"/>
          <w:sz w:val="24"/>
          <w:highlight w:val="none"/>
          <w:lang w:val="en-US" w:eastAsia="zh-CN"/>
        </w:rPr>
      </w:pPr>
      <w:r>
        <w:rPr>
          <w:rFonts w:hint="eastAsia" w:ascii="宋体" w:hAnsi="宋体" w:eastAsia="宋体" w:cs="宋体"/>
          <w:b/>
          <w:color w:val="auto"/>
          <w:sz w:val="24"/>
          <w:highlight w:val="none"/>
        </w:rPr>
        <w:t>最高限价</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w:t>
      </w:r>
      <w:r>
        <w:rPr>
          <w:rFonts w:hint="eastAsia" w:ascii="宋体" w:hAnsi="宋体" w:eastAsia="宋体" w:cs="宋体"/>
          <w:b w:val="0"/>
          <w:bCs/>
          <w:color w:val="auto"/>
          <w:sz w:val="24"/>
          <w:highlight w:val="none"/>
          <w:lang w:val="en-US" w:eastAsia="zh-CN"/>
        </w:rPr>
        <w:t>600000</w:t>
      </w:r>
    </w:p>
    <w:p>
      <w:pPr>
        <w:pStyle w:val="16"/>
        <w:spacing w:line="360" w:lineRule="auto"/>
        <w:ind w:firstLine="482" w:firstLineChars="200"/>
        <w:rPr>
          <w:rFonts w:hint="eastAsia" w:ascii="宋体" w:hAnsi="宋体" w:eastAsia="宋体" w:cs="宋体"/>
          <w:color w:val="auto"/>
          <w:highlight w:val="none"/>
          <w:u w:val="none"/>
          <w:lang w:val="en-US" w:eastAsia="zh-CN"/>
        </w:rPr>
      </w:pPr>
      <w:r>
        <w:rPr>
          <w:rFonts w:hint="eastAsia" w:ascii="宋体" w:hAnsi="宋体" w:eastAsia="宋体" w:cs="宋体"/>
          <w:b/>
          <w:color w:val="auto"/>
          <w:sz w:val="24"/>
          <w:highlight w:val="none"/>
        </w:rPr>
        <w:t>交易需求：</w:t>
      </w:r>
      <w:r>
        <w:rPr>
          <w:rFonts w:hint="eastAsia" w:ascii="宋体" w:hAnsi="宋体" w:eastAsia="宋体" w:cs="宋体"/>
          <w:bCs/>
          <w:color w:val="auto"/>
          <w:sz w:val="24"/>
          <w:highlight w:val="none"/>
          <w:u w:val="single"/>
          <w:lang w:eastAsia="zh-CN"/>
        </w:rPr>
        <w:t>沿江景观带（民和路-金鸡路）城市设计服务采购</w:t>
      </w:r>
      <w:r>
        <w:rPr>
          <w:rFonts w:hint="eastAsia" w:ascii="宋体" w:hAnsi="宋体" w:eastAsia="宋体" w:cs="宋体"/>
          <w:color w:val="auto"/>
          <w:sz w:val="24"/>
          <w:highlight w:val="none"/>
          <w:u w:val="single"/>
          <w:lang w:val="en-US" w:eastAsia="zh-CN"/>
        </w:rPr>
        <w:t>1项，</w:t>
      </w:r>
      <w:r>
        <w:rPr>
          <w:rFonts w:hint="eastAsia" w:ascii="宋体" w:hAnsi="宋体" w:eastAsia="宋体" w:cs="宋体"/>
          <w:color w:val="auto"/>
          <w:sz w:val="24"/>
          <w:highlight w:val="none"/>
          <w:u w:val="single"/>
        </w:rPr>
        <w:t>详见交易需求。</w:t>
      </w:r>
    </w:p>
    <w:p>
      <w:pPr>
        <w:pStyle w:val="16"/>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color w:val="auto"/>
          <w:sz w:val="24"/>
          <w:szCs w:val="18"/>
          <w:highlight w:val="none"/>
        </w:rPr>
        <w:t>合同履约期限：</w:t>
      </w:r>
      <w:r>
        <w:rPr>
          <w:rFonts w:hint="eastAsia" w:ascii="宋体" w:hAnsi="宋体" w:eastAsia="宋体" w:cs="宋体"/>
          <w:color w:val="auto"/>
          <w:sz w:val="24"/>
          <w:szCs w:val="28"/>
          <w:highlight w:val="none"/>
        </w:rPr>
        <w:t>详见公开竞争文件</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bCs/>
          <w:color w:val="auto"/>
          <w:sz w:val="24"/>
          <w:highlight w:val="none"/>
        </w:rPr>
        <w:t>（ ）是；（√）否。</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二、申请人的资格要求</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（1）具有独立承担民事责任的能力；</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（2）具有良好的商业信誉和健全的财务会计制度；</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（3）具有履行合同所必需的设备和专业技术能力；</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（4）有依法缴纳税收和社会保障资金的良好记录；</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（5）参加交易活动前三年内，在经营活动中没有重大违法记录；</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（6）法律、行政法规规定的其他条件；</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（7）本项目的特定资格要求：无；</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（8）本项目不接受联合体参与（潜在响应人能独立完成本项目）。</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三、获取公开竞争文件</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时间：</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u w:val="single"/>
        </w:rPr>
        <w:t>202</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年</w:t>
      </w:r>
      <w:r>
        <w:rPr>
          <w:rFonts w:hint="eastAsia" w:ascii="宋体" w:hAnsi="宋体" w:cs="宋体"/>
          <w:color w:val="auto"/>
          <w:sz w:val="24"/>
          <w:szCs w:val="24"/>
          <w:highlight w:val="none"/>
          <w:u w:val="single"/>
          <w:lang w:val="en-US" w:eastAsia="zh-CN"/>
        </w:rPr>
        <w:t>02</w:t>
      </w:r>
      <w:r>
        <w:rPr>
          <w:rFonts w:hint="eastAsia" w:ascii="宋体" w:hAnsi="宋体" w:eastAsia="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26</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rPr>
        <w:t>，每天上午00:0</w:t>
      </w:r>
      <w:r>
        <w:rPr>
          <w:rFonts w:hint="eastAsia" w:ascii="宋体" w:hAnsi="宋体" w:eastAsia="宋体" w:cs="宋体"/>
          <w:color w:val="auto"/>
          <w:sz w:val="24"/>
          <w:highlight w:val="none"/>
        </w:rPr>
        <w:t>0至12:00 ，下午12:00至23:59（北京时间，线上获取法定节假日均可）</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lang w:val="en-US" w:eastAsia="zh-CN"/>
        </w:rPr>
        <w:t>乐</w:t>
      </w:r>
      <w:r>
        <w:rPr>
          <w:rFonts w:hint="eastAsia" w:ascii="宋体" w:hAnsi="宋体" w:eastAsia="宋体" w:cs="宋体"/>
          <w:color w:val="auto"/>
          <w:sz w:val="24"/>
          <w:highlight w:val="none"/>
        </w:rPr>
        <w:t xml:space="preserve">采云平台（www.lecaiyun.com）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响应人登录</w:t>
      </w:r>
      <w:r>
        <w:rPr>
          <w:rFonts w:hint="eastAsia" w:ascii="宋体" w:hAnsi="宋体" w:eastAsia="宋体" w:cs="宋体"/>
          <w:color w:val="auto"/>
          <w:sz w:val="24"/>
          <w:highlight w:val="none"/>
          <w:lang w:val="en-US" w:eastAsia="zh-CN"/>
        </w:rPr>
        <w:t>乐</w:t>
      </w:r>
      <w:r>
        <w:rPr>
          <w:rFonts w:hint="eastAsia" w:ascii="宋体" w:hAnsi="宋体" w:eastAsia="宋体" w:cs="宋体"/>
          <w:color w:val="auto"/>
          <w:sz w:val="24"/>
          <w:highlight w:val="none"/>
        </w:rPr>
        <w:t xml:space="preserve">采云平台www.lecaiyun.com在线申请获取公开竞争文件（进入“项目采购”应用，在获取采购文件菜单中选择项目，申请获取公开竞争文件）。 </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0</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四、提交响应文件截止时间、交易时间和地点</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提交响应文件截止时间：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02</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eastAsia="宋体" w:cs="宋体"/>
          <w:color w:val="auto"/>
          <w:sz w:val="24"/>
          <w:highlight w:val="none"/>
          <w:u w:val="single"/>
        </w:rPr>
        <w:t>点</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rPr>
        <w:t>（北京时间）</w:t>
      </w:r>
    </w:p>
    <w:p>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乐采云平台（www.lecaiyun.com）</w:t>
      </w:r>
    </w:p>
    <w:p>
      <w:pPr>
        <w:spacing w:line="360" w:lineRule="auto"/>
        <w:ind w:firstLine="482" w:firstLineChars="200"/>
        <w:rPr>
          <w:rFonts w:hint="eastAsia" w:ascii="宋体" w:hAnsi="宋体" w:eastAsia="宋体" w:cs="宋体"/>
          <w:bCs/>
          <w:color w:val="auto"/>
          <w:sz w:val="24"/>
          <w:highlight w:val="none"/>
          <w:u w:val="none"/>
        </w:rPr>
      </w:pPr>
      <w:r>
        <w:rPr>
          <w:rFonts w:hint="eastAsia" w:ascii="宋体" w:hAnsi="宋体" w:eastAsia="宋体" w:cs="宋体"/>
          <w:b/>
          <w:color w:val="auto"/>
          <w:sz w:val="24"/>
          <w:highlight w:val="none"/>
        </w:rPr>
        <w:t>交易时间：</w:t>
      </w:r>
      <w:r>
        <w:rPr>
          <w:rFonts w:hint="eastAsia" w:ascii="宋体" w:hAnsi="宋体" w:eastAsia="宋体" w:cs="宋体"/>
          <w:color w:val="auto"/>
          <w:sz w:val="24"/>
          <w:highlight w:val="none"/>
          <w:u w:val="single"/>
        </w:rPr>
        <w:t>2025年</w:t>
      </w:r>
      <w:r>
        <w:rPr>
          <w:rFonts w:hint="eastAsia" w:ascii="宋体" w:hAnsi="宋体" w:cs="宋体"/>
          <w:color w:val="auto"/>
          <w:sz w:val="24"/>
          <w:highlight w:val="none"/>
          <w:u w:val="single"/>
          <w:lang w:val="en-US" w:eastAsia="zh-CN"/>
        </w:rPr>
        <w:t>02</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09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u w:val="none"/>
        </w:rPr>
        <w:t>（北京时间）</w:t>
      </w:r>
    </w:p>
    <w:p>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乐采云平台（www.lecaiyun.com）</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五、其他补充事宜</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人认为公开竞争文件使自己的权益受到损害的，可以自获取公开竞争文件之日起3天内，以书面形式向交易发起人和代理机构提出异议。异议响应人对交易发起人、代理机构的答复不满意或者交易发起人、代理机构未在规定的时间内作出答复的，可以在答复期满后10日内向基层交易监督机构提出投诉。</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其他事项：电子招投标的说明：①电子招投标：本项目以数据电文形式，依托“政府采购云平台（www.zcygov.cn）”进行招投标活动，不接受纸质响应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公开竞争文件的获取：使用账号登录或者使用CA登录政采云平台；进入“项目采购”应用，在获取采购文件菜单中选择项目，获取公开竞争文件；④响应文件的制作：在“政采云电子交易客户端”中完成“填写基本信息”“导入响应文件”“标书关联”“标书检查”“电子签名”“生成电子标书”等操作；⑤交易发起人、代理机构将依托政采云平台完成本项目的电子交易活动，平台不接受未按上述方式获取公开竞争文件的响应人进行投标活动； ⑥对未按上述方式获取公开竞争文件的响应人对该文件提出的异议，交易发起人或代理机构将不予处理；⑦不提供公开竞争文件纸质版；⑧响应文件的传输递交：响应人在响应截止时间前将加密的响应文件上传至政府采购云平台；⑨响应文件的解密：响应人按照平台提示和公开竞争文件的规定在半小时内完成在线解密。通过“政府采购云平台”上传递交的响应文件无法按时解密，视为响应文件撤回；⑩具体操作指南：详见政采云平台“服务中心-帮助文档-项目采购-操作流程-电子招投标-政府采购项目电子交易管理操作指南-供应商”。</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六、对本次交易提出异议、投诉，请按以下方式联系</w:t>
      </w:r>
    </w:p>
    <w:p>
      <w:pPr>
        <w:widowControl/>
        <w:spacing w:line="360" w:lineRule="auto"/>
        <w:ind w:firstLine="480" w:firstLineChars="20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1、交易发起人信息</w:t>
      </w:r>
    </w:p>
    <w:p>
      <w:pPr>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名称：</w:t>
      </w:r>
      <w:r>
        <w:rPr>
          <w:rFonts w:hint="eastAsia" w:ascii="宋体" w:hAnsi="宋体" w:eastAsia="宋体" w:cs="宋体"/>
          <w:bCs/>
          <w:color w:val="auto"/>
          <w:sz w:val="24"/>
          <w:highlight w:val="none"/>
          <w:lang w:eastAsia="zh-CN"/>
        </w:rPr>
        <w:t>杭州萧山钱江世纪城开发建设有限责任公司</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地址：杭州市萧山区盈丰街道华媒智谷大厦</w:t>
      </w:r>
    </w:p>
    <w:p>
      <w:pPr>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val="en-US" w:eastAsia="zh-CN"/>
        </w:rPr>
        <w:t>柯工</w:t>
      </w:r>
    </w:p>
    <w:p>
      <w:pPr>
        <w:spacing w:line="360" w:lineRule="auto"/>
        <w:ind w:firstLine="480" w:firstLineChars="200"/>
        <w:jc w:val="left"/>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项目联系方式（询问）：</w:t>
      </w:r>
      <w:bookmarkStart w:id="10" w:name="_Toc28359009"/>
      <w:bookmarkStart w:id="11" w:name="_Toc28359086"/>
      <w:r>
        <w:rPr>
          <w:rFonts w:hint="eastAsia" w:ascii="宋体" w:hAnsi="宋体" w:eastAsia="宋体" w:cs="宋体"/>
          <w:color w:val="auto"/>
          <w:sz w:val="24"/>
          <w:highlight w:val="none"/>
          <w:lang w:val="en-US" w:eastAsia="zh-CN"/>
        </w:rPr>
        <w:t>0571-</w:t>
      </w:r>
      <w:r>
        <w:rPr>
          <w:rFonts w:hint="eastAsia" w:ascii="宋体" w:hAnsi="宋体" w:cs="宋体"/>
          <w:color w:val="auto"/>
          <w:sz w:val="24"/>
          <w:highlight w:val="none"/>
          <w:lang w:val="en-US" w:eastAsia="zh-CN"/>
        </w:rPr>
        <w:t>82860902</w:t>
      </w:r>
    </w:p>
    <w:p>
      <w:pPr>
        <w:spacing w:line="360" w:lineRule="auto"/>
        <w:ind w:firstLine="480" w:firstLineChars="20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bookmarkEnd w:id="10"/>
      <w:bookmarkEnd w:id="11"/>
      <w:r>
        <w:rPr>
          <w:rFonts w:hint="eastAsia" w:ascii="宋体" w:hAnsi="宋体" w:eastAsia="宋体" w:cs="宋体"/>
          <w:color w:val="auto"/>
          <w:sz w:val="24"/>
          <w:szCs w:val="28"/>
          <w:highlight w:val="none"/>
        </w:rPr>
        <w:t>、代理机构信息</w:t>
      </w:r>
    </w:p>
    <w:p>
      <w:pPr>
        <w:spacing w:line="360" w:lineRule="auto"/>
        <w:ind w:firstLine="480" w:firstLineChars="20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名称：</w:t>
      </w:r>
      <w:r>
        <w:rPr>
          <w:rFonts w:hint="eastAsia" w:ascii="宋体" w:hAnsi="宋体" w:eastAsia="宋体" w:cs="宋体"/>
          <w:color w:val="auto"/>
          <w:sz w:val="24"/>
          <w:szCs w:val="28"/>
          <w:highlight w:val="none"/>
          <w:lang w:eastAsia="zh-CN"/>
        </w:rPr>
        <w:t>浙江佳诚工程咨询股份有限公司</w:t>
      </w:r>
    </w:p>
    <w:p>
      <w:pPr>
        <w:spacing w:line="360" w:lineRule="auto"/>
        <w:ind w:firstLine="480" w:firstLineChars="20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地址：萧山区民营企业发展大厦A座12楼</w:t>
      </w:r>
    </w:p>
    <w:p>
      <w:pPr>
        <w:spacing w:line="360" w:lineRule="auto"/>
        <w:ind w:firstLine="480" w:firstLineChars="20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项目联系人（询问）：</w:t>
      </w:r>
      <w:r>
        <w:rPr>
          <w:rFonts w:hint="eastAsia" w:ascii="宋体" w:hAnsi="宋体" w:eastAsia="宋体" w:cs="宋体"/>
          <w:color w:val="auto"/>
          <w:sz w:val="24"/>
          <w:szCs w:val="28"/>
          <w:highlight w:val="none"/>
          <w:lang w:val="en-US" w:eastAsia="zh-CN"/>
        </w:rPr>
        <w:t>夏婷</w:t>
      </w:r>
    </w:p>
    <w:p>
      <w:pPr>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8"/>
          <w:highlight w:val="none"/>
        </w:rPr>
        <w:t>项目联系方式（询问）：</w:t>
      </w:r>
      <w:r>
        <w:rPr>
          <w:rFonts w:hint="eastAsia" w:ascii="宋体" w:hAnsi="宋体" w:eastAsia="宋体" w:cs="宋体"/>
          <w:color w:val="auto"/>
          <w:sz w:val="24"/>
          <w:szCs w:val="28"/>
          <w:highlight w:val="none"/>
          <w:lang w:val="en-US" w:eastAsia="zh-CN"/>
        </w:rPr>
        <w:t>15967157761</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r>
        <w:rPr>
          <w:rFonts w:hint="eastAsia" w:ascii="宋体" w:hAnsi="宋体" w:eastAsia="宋体" w:cs="宋体"/>
          <w:b/>
          <w:color w:val="auto"/>
          <w:sz w:val="36"/>
          <w:szCs w:val="20"/>
          <w:highlight w:val="none"/>
        </w:rPr>
        <w:t>第二部分</w:t>
      </w:r>
      <w:bookmarkEnd w:id="7"/>
      <w:r>
        <w:rPr>
          <w:rFonts w:hint="eastAsia" w:ascii="宋体" w:hAnsi="宋体" w:eastAsia="宋体" w:cs="宋体"/>
          <w:b/>
          <w:color w:val="auto"/>
          <w:sz w:val="36"/>
          <w:szCs w:val="20"/>
          <w:highlight w:val="none"/>
        </w:rPr>
        <w:t>响应人须知</w:t>
      </w:r>
      <w:bookmarkEnd w:id="8"/>
    </w:p>
    <w:p>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5"/>
        <w:tblW w:w="91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7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706"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4"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rPr>
              <w:t>）</w:t>
            </w:r>
            <w:r>
              <w:rPr>
                <w:rFonts w:hint="eastAsia" w:ascii="宋体" w:hAnsi="宋体" w:eastAsia="宋体" w:cs="宋体"/>
                <w:color w:val="auto"/>
                <w:kern w:val="0"/>
                <w:sz w:val="24"/>
                <w:highlight w:val="none"/>
              </w:rPr>
              <w:t>A货物类</w:t>
            </w:r>
            <w:r>
              <w:rPr>
                <w:rFonts w:hint="eastAsia" w:ascii="宋体" w:hAnsi="宋体" w:eastAsia="宋体" w:cs="宋体"/>
                <w:color w:val="auto"/>
                <w:sz w:val="24"/>
                <w:highlight w:val="none"/>
              </w:rPr>
              <w:t>。</w:t>
            </w:r>
          </w:p>
          <w:p>
            <w:pPr>
              <w:rPr>
                <w:rFonts w:hint="eastAsia" w:ascii="宋体" w:hAnsi="宋体" w:eastAsia="宋体" w:cs="宋体"/>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color w:val="auto"/>
                <w:kern w:val="0"/>
                <w:sz w:val="24"/>
                <w:highlight w:val="none"/>
              </w:rPr>
              <w:t>B服务类</w:t>
            </w:r>
            <w:r>
              <w:rPr>
                <w:rFonts w:hint="eastAsia" w:ascii="宋体" w:hAnsi="宋体" w:eastAsia="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2" w:hRule="atLeast"/>
          <w:tblHeader/>
          <w:jc w:val="center"/>
        </w:trPr>
        <w:tc>
          <w:tcPr>
            <w:tcW w:w="629" w:type="dxa"/>
            <w:tcBorders>
              <w:top w:val="single" w:color="auto" w:sz="4" w:space="0"/>
              <w:left w:val="single" w:color="auto" w:sz="4" w:space="0"/>
              <w:bottom w:val="single" w:color="auto" w:sz="4" w:space="0"/>
              <w:right w:val="single" w:color="auto" w:sz="4" w:space="0"/>
            </w:tcBorders>
          </w:tcPr>
          <w:p>
            <w:pPr>
              <w:snapToGrid w:val="0"/>
              <w:jc w:val="center"/>
              <w:rPr>
                <w:rFonts w:hint="eastAsia" w:ascii="宋体" w:hAnsi="宋体" w:eastAsia="宋体" w:cs="宋体"/>
                <w:color w:val="auto"/>
                <w:sz w:val="24"/>
                <w:highlight w:val="none"/>
              </w:rPr>
            </w:pPr>
          </w:p>
          <w:p>
            <w:pPr>
              <w:snapToGrid w:val="0"/>
              <w:jc w:val="center"/>
              <w:rPr>
                <w:rFonts w:hint="eastAsia" w:ascii="宋体" w:hAnsi="宋体" w:eastAsia="宋体" w:cs="宋体"/>
                <w:color w:val="auto"/>
                <w:sz w:val="24"/>
                <w:highlight w:val="none"/>
              </w:rPr>
            </w:pPr>
          </w:p>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采购标的对应的中小企业划分标准所属行业</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 xml:space="preserve">  </w:t>
            </w:r>
            <w:r>
              <w:rPr>
                <w:rFonts w:hint="eastAsia" w:ascii="宋体" w:hAnsi="宋体" w:eastAsia="宋体" w:cs="宋体"/>
                <w:bCs/>
                <w:color w:val="auto"/>
                <w:sz w:val="24"/>
                <w:highlight w:val="none"/>
              </w:rPr>
              <w:t>）</w:t>
            </w:r>
            <w:r>
              <w:rPr>
                <w:rFonts w:hint="eastAsia" w:ascii="宋体" w:hAnsi="宋体" w:eastAsia="宋体" w:cs="宋体"/>
                <w:color w:val="auto"/>
                <w:kern w:val="0"/>
                <w:sz w:val="24"/>
                <w:highlight w:val="none"/>
              </w:rPr>
              <w:t>A适用</w:t>
            </w:r>
            <w:r>
              <w:rPr>
                <w:rFonts w:hint="eastAsia" w:ascii="宋体" w:hAnsi="宋体" w:eastAsia="宋体" w:cs="宋体"/>
                <w:color w:val="auto"/>
                <w:sz w:val="24"/>
                <w:highlight w:val="none"/>
              </w:rPr>
              <w:t>。</w:t>
            </w:r>
          </w:p>
          <w:p>
            <w:pPr>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w:t>
            </w:r>
            <w:r>
              <w:rPr>
                <w:rFonts w:hint="eastAsia" w:ascii="宋体" w:hAnsi="宋体" w:eastAsia="宋体" w:cs="宋体"/>
                <w:color w:val="auto"/>
                <w:kern w:val="0"/>
                <w:sz w:val="24"/>
                <w:highlight w:val="none"/>
              </w:rPr>
              <w:t>B不适用</w:t>
            </w:r>
            <w:r>
              <w:rPr>
                <w:rFonts w:hint="eastAsia" w:ascii="宋体" w:hAnsi="宋体" w:eastAsia="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8"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color w:val="auto"/>
                <w:highlight w:val="none"/>
              </w:rPr>
            </w:pPr>
            <w:r>
              <w:rPr>
                <w:rFonts w:hint="eastAsia" w:ascii="宋体" w:hAnsi="宋体" w:eastAsia="宋体" w:cs="宋体"/>
                <w:bCs/>
                <w:color w:val="auto"/>
                <w:sz w:val="24"/>
                <w:highlight w:val="none"/>
              </w:rPr>
              <w:t>（√）</w:t>
            </w:r>
            <w:r>
              <w:rPr>
                <w:rFonts w:hint="eastAsia" w:ascii="宋体" w:hAnsi="宋体" w:eastAsia="宋体" w:cs="宋体"/>
                <w:color w:val="auto"/>
                <w:sz w:val="24"/>
                <w:szCs w:val="32"/>
                <w:highlight w:val="none"/>
              </w:rPr>
              <w:t>本项目不允许采购进口产品。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kern w:val="0"/>
                <w:sz w:val="24"/>
                <w:highlight w:val="none"/>
              </w:rPr>
              <w:t>B</w:t>
            </w:r>
            <w:r>
              <w:rPr>
                <w:rFonts w:hint="eastAsia" w:ascii="宋体" w:hAnsi="宋体" w:eastAsia="宋体" w:cs="宋体"/>
                <w:bCs/>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8"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bCs/>
                <w:color w:val="auto"/>
                <w:sz w:val="24"/>
                <w:szCs w:val="20"/>
                <w:highlight w:val="none"/>
              </w:rPr>
            </w:pPr>
            <w:r>
              <w:rPr>
                <w:rFonts w:hint="eastAsia" w:ascii="宋体" w:hAnsi="宋体" w:eastAsia="宋体" w:cs="宋体"/>
                <w:bCs/>
                <w:color w:val="auto"/>
                <w:sz w:val="24"/>
                <w:highlight w:val="none"/>
              </w:rPr>
              <w:t>（√）</w:t>
            </w:r>
            <w:r>
              <w:rPr>
                <w:rFonts w:hint="eastAsia" w:ascii="宋体" w:hAnsi="宋体" w:eastAsia="宋体" w:cs="宋体"/>
                <w:bCs/>
                <w:color w:val="auto"/>
                <w:kern w:val="0"/>
                <w:sz w:val="24"/>
                <w:highlight w:val="none"/>
              </w:rPr>
              <w:t>A</w:t>
            </w:r>
            <w:r>
              <w:rPr>
                <w:rFonts w:hint="eastAsia" w:ascii="宋体" w:hAnsi="宋体" w:eastAsia="宋体" w:cs="宋体"/>
                <w:bCs/>
                <w:color w:val="auto"/>
                <w:sz w:val="24"/>
                <w:highlight w:val="none"/>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（√）A不要求提供。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现场讲解</w:t>
            </w:r>
          </w:p>
        </w:tc>
        <w:tc>
          <w:tcPr>
            <w:tcW w:w="6706" w:type="dxa"/>
            <w:tcBorders>
              <w:top w:val="single" w:color="000000" w:sz="8" w:space="0"/>
              <w:left w:val="single" w:color="000000" w:sz="2" w:space="0"/>
              <w:bottom w:val="single" w:color="000000" w:sz="8" w:space="0"/>
              <w:right w:val="single" w:color="000000" w:sz="8" w:space="0"/>
            </w:tcBorders>
            <w:vAlign w:val="center"/>
          </w:tcPr>
          <w:p>
            <w:pPr>
              <w:snapToGrid w:val="0"/>
              <w:rPr>
                <w:rFonts w:hint="eastAsia" w:ascii="宋体" w:hAnsi="宋体" w:eastAsia="宋体" w:cs="宋体"/>
                <w:color w:val="auto"/>
                <w:sz w:val="24"/>
                <w:highlight w:val="none"/>
              </w:rPr>
            </w:pPr>
            <w:r>
              <w:rPr>
                <w:rFonts w:hint="eastAsia" w:ascii="宋体" w:hAnsi="宋体" w:eastAsia="宋体" w:cs="宋体"/>
                <w:color w:val="auto"/>
                <w:sz w:val="24"/>
                <w:highlight w:val="none"/>
              </w:rPr>
              <w:t>（√）A不组织。</w:t>
            </w:r>
          </w:p>
          <w:p>
            <w:pPr>
              <w:snapToGrid w:val="0"/>
              <w:rPr>
                <w:rFonts w:hint="eastAsia" w:ascii="宋体" w:hAnsi="宋体" w:eastAsia="宋体" w:cs="宋体"/>
                <w:color w:val="auto"/>
                <w:highlight w:val="none"/>
              </w:rPr>
            </w:pPr>
            <w:r>
              <w:rPr>
                <w:rFonts w:hint="eastAsia" w:ascii="宋体" w:hAnsi="宋体" w:eastAsia="宋体" w:cs="宋体"/>
                <w:color w:val="auto"/>
                <w:sz w:val="24"/>
                <w:highlight w:val="none"/>
              </w:rPr>
              <w:t>（  ）B组织。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43" w:type="dxa"/>
            <w:tcBorders>
              <w:top w:val="single" w:color="000000" w:sz="8" w:space="0"/>
              <w:left w:val="single" w:color="auto" w:sz="4"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响应人应当提供的资格证明文件</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（1）资格证明文件：见公开竞争文件第二部分10.1。</w:t>
            </w:r>
          </w:p>
          <w:p>
            <w:pPr>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响应人未提供有效的资格证明文件的，视为响应人不具备公开竞争文件中规定的资格要求，交易无效。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right w:val="single" w:color="auto" w:sz="4"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43" w:type="dxa"/>
            <w:tcBorders>
              <w:top w:val="single" w:color="000000" w:sz="8" w:space="0"/>
              <w:left w:val="single" w:color="auto" w:sz="4" w:space="0"/>
              <w:right w:val="single" w:color="000000" w:sz="8" w:space="0"/>
            </w:tcBorders>
            <w:vAlign w:val="center"/>
          </w:tcPr>
          <w:p>
            <w:pPr>
              <w:snapToGrid w:val="0"/>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报价要求</w:t>
            </w:r>
          </w:p>
        </w:tc>
        <w:tc>
          <w:tcPr>
            <w:tcW w:w="6706" w:type="dxa"/>
            <w:tcBorders>
              <w:top w:val="single" w:color="000000" w:sz="8" w:space="0"/>
              <w:left w:val="single" w:color="000000" w:sz="2" w:space="0"/>
              <w:bottom w:val="single" w:color="000000" w:sz="8" w:space="0"/>
              <w:right w:val="single" w:color="000000" w:sz="8" w:space="0"/>
            </w:tcBorders>
            <w:vAlign w:val="center"/>
          </w:tcPr>
          <w:p>
            <w:pPr>
              <w:ind w:firstLine="480" w:firstLineChars="200"/>
              <w:rPr>
                <w:rFonts w:hint="eastAsia" w:ascii="宋体" w:hAnsi="宋体" w:eastAsia="宋体" w:cs="宋体"/>
                <w:bCs/>
                <w:color w:val="auto"/>
                <w:kern w:val="0"/>
                <w:sz w:val="24"/>
                <w:highlight w:val="none"/>
                <w:lang w:val="zh-CN"/>
              </w:rPr>
            </w:pPr>
            <w:r>
              <w:rPr>
                <w:rFonts w:hint="eastAsia" w:ascii="宋体" w:hAnsi="宋体" w:eastAsia="宋体" w:cs="宋体"/>
                <w:bCs/>
                <w:color w:val="auto"/>
                <w:kern w:val="0"/>
                <w:sz w:val="24"/>
                <w:highlight w:val="none"/>
                <w:lang w:val="zh-CN"/>
              </w:rPr>
              <w:t>有关本项目实施所需的所有费用（含税费）均计入报价。</w:t>
            </w:r>
            <w:r>
              <w:rPr>
                <w:rFonts w:hint="eastAsia" w:ascii="宋体" w:hAnsi="宋体" w:eastAsia="宋体" w:cs="宋体"/>
                <w:bCs/>
                <w:color w:val="auto"/>
                <w:kern w:val="0"/>
                <w:sz w:val="24"/>
                <w:highlight w:val="none"/>
              </w:rPr>
              <w:t>交易一览表（报价表）是报价的唯一载体</w:t>
            </w:r>
            <w:r>
              <w:rPr>
                <w:rFonts w:hint="eastAsia" w:ascii="宋体" w:hAnsi="宋体" w:eastAsia="宋体" w:cs="宋体"/>
                <w:bCs/>
                <w:color w:val="auto"/>
                <w:kern w:val="0"/>
                <w:sz w:val="24"/>
                <w:highlight w:val="none"/>
                <w:lang w:val="zh-CN"/>
              </w:rPr>
              <w:t>。响应文件中价格全部采用人民币报价。公开竞争文件未列明，而响应人认为必需的费用也需列入报价。</w:t>
            </w:r>
          </w:p>
          <w:p>
            <w:pPr>
              <w:rPr>
                <w:rFonts w:hint="eastAsia" w:ascii="宋体" w:hAnsi="宋体" w:eastAsia="宋体" w:cs="宋体"/>
                <w:bCs/>
                <w:color w:val="auto"/>
                <w:kern w:val="0"/>
                <w:sz w:val="24"/>
                <w:highlight w:val="none"/>
                <w:lang w:val="zh-CN"/>
              </w:rPr>
            </w:pPr>
            <w:r>
              <w:rPr>
                <w:rFonts w:hint="eastAsia" w:ascii="宋体" w:hAnsi="宋体" w:eastAsia="宋体" w:cs="宋体"/>
                <w:bCs/>
                <w:color w:val="auto"/>
                <w:kern w:val="0"/>
                <w:sz w:val="24"/>
                <w:highlight w:val="none"/>
                <w:lang w:val="zh-CN"/>
              </w:rPr>
              <w:t>交易报价出现下列情形的，交易无效：</w:t>
            </w:r>
          </w:p>
          <w:p>
            <w:pPr>
              <w:ind w:firstLine="480" w:firstLineChars="200"/>
              <w:rPr>
                <w:rFonts w:hint="eastAsia" w:ascii="宋体" w:hAnsi="宋体" w:eastAsia="宋体" w:cs="宋体"/>
                <w:bCs/>
                <w:color w:val="auto"/>
                <w:kern w:val="0"/>
                <w:sz w:val="24"/>
                <w:highlight w:val="none"/>
                <w:lang w:val="zh-CN"/>
              </w:rPr>
            </w:pPr>
            <w:r>
              <w:rPr>
                <w:rFonts w:hint="eastAsia" w:ascii="宋体" w:hAnsi="宋体" w:eastAsia="宋体" w:cs="宋体"/>
                <w:bCs/>
                <w:color w:val="auto"/>
                <w:kern w:val="0"/>
                <w:sz w:val="24"/>
                <w:highlight w:val="none"/>
                <w:lang w:val="zh-CN"/>
              </w:rPr>
              <w:t>响应文件出现不是唯一的、有选择性交易报价的；</w:t>
            </w:r>
          </w:p>
          <w:p>
            <w:pPr>
              <w:ind w:firstLine="480" w:firstLineChars="200"/>
              <w:rPr>
                <w:rFonts w:hint="eastAsia" w:ascii="宋体" w:hAnsi="宋体" w:eastAsia="宋体" w:cs="宋体"/>
                <w:bCs/>
                <w:color w:val="auto"/>
                <w:kern w:val="0"/>
                <w:sz w:val="24"/>
                <w:highlight w:val="none"/>
                <w:lang w:val="zh-CN"/>
              </w:rPr>
            </w:pPr>
            <w:r>
              <w:rPr>
                <w:rFonts w:hint="eastAsia" w:ascii="宋体" w:hAnsi="宋体" w:eastAsia="宋体" w:cs="宋体"/>
                <w:bCs/>
                <w:color w:val="auto"/>
                <w:kern w:val="0"/>
                <w:sz w:val="24"/>
                <w:highlight w:val="none"/>
                <w:lang w:val="zh-CN"/>
              </w:rPr>
              <w:t>交易报价超过公开竞争文件中规定的预算金额或者最高限价的；</w:t>
            </w:r>
          </w:p>
          <w:p>
            <w:pPr>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报价明显低于其他通过符合性审查响应人的报价，有可能影响产品质量或者不能诚信履约的，未能按要求提供书面说明或者提交相关证明材料证明其报价合理性的；</w:t>
            </w:r>
          </w:p>
          <w:p>
            <w:pPr>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bCs/>
                <w:color w:val="auto"/>
                <w:kern w:val="0"/>
                <w:sz w:val="24"/>
                <w:highlight w:val="none"/>
              </w:rPr>
              <w:t>响应人对根据修正原则修正后的报价不确认的。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8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备份响应文件</w:t>
            </w:r>
          </w:p>
        </w:tc>
        <w:tc>
          <w:tcPr>
            <w:tcW w:w="6706" w:type="dxa"/>
            <w:tcBorders>
              <w:top w:val="single" w:color="000000" w:sz="8" w:space="0"/>
              <w:left w:val="single" w:color="000000" w:sz="2" w:space="0"/>
              <w:bottom w:val="single" w:color="000000" w:sz="8" w:space="0"/>
              <w:right w:val="single" w:color="000000" w:sz="8" w:space="0"/>
            </w:tcBorders>
            <w:vAlign w:val="center"/>
          </w:tcPr>
          <w:p>
            <w:pPr>
              <w:pStyle w:val="35"/>
              <w:ind w:hanging="4"/>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备份文件是否收取：不收取。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2"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代理机构代理费用</w:t>
            </w:r>
          </w:p>
        </w:tc>
        <w:tc>
          <w:tcPr>
            <w:tcW w:w="6706" w:type="dxa"/>
            <w:tcBorders>
              <w:top w:val="single" w:color="000000" w:sz="8" w:space="0"/>
              <w:left w:val="single" w:color="000000" w:sz="2" w:space="0"/>
              <w:bottom w:val="single" w:color="000000" w:sz="8" w:space="0"/>
              <w:right w:val="single" w:color="000000" w:sz="8" w:space="0"/>
            </w:tcBorders>
            <w:vAlign w:val="center"/>
          </w:tcPr>
          <w:p>
            <w:pPr>
              <w:snapToGrid w:val="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zh-CN" w:eastAsia="zh-CN"/>
              </w:rPr>
              <w:t>本项目代理服务费由</w:t>
            </w:r>
            <w:r>
              <w:rPr>
                <w:rFonts w:hint="eastAsia" w:ascii="宋体" w:hAnsi="宋体" w:eastAsia="宋体" w:cs="宋体"/>
                <w:bCs/>
                <w:color w:val="auto"/>
                <w:kern w:val="0"/>
                <w:sz w:val="24"/>
                <w:highlight w:val="none"/>
                <w:lang w:eastAsia="zh-CN"/>
              </w:rPr>
              <w:t>成交</w:t>
            </w:r>
            <w:r>
              <w:rPr>
                <w:rFonts w:hint="eastAsia" w:ascii="宋体" w:hAnsi="宋体" w:eastAsia="宋体" w:cs="宋体"/>
                <w:bCs/>
                <w:color w:val="auto"/>
                <w:kern w:val="0"/>
                <w:sz w:val="24"/>
                <w:highlight w:val="none"/>
                <w:lang w:val="zh-CN" w:eastAsia="zh-CN"/>
              </w:rPr>
              <w:t>人支付。</w:t>
            </w:r>
            <w:r>
              <w:rPr>
                <w:rFonts w:hint="eastAsia" w:ascii="宋体" w:hAnsi="宋体" w:eastAsia="宋体" w:cs="宋体"/>
                <w:bCs/>
                <w:color w:val="auto"/>
                <w:kern w:val="0"/>
                <w:sz w:val="24"/>
                <w:highlight w:val="none"/>
                <w:lang w:eastAsia="zh-CN"/>
              </w:rPr>
              <w:t>本次代理服务费按国家发展计划委员会的计价格[2002]1980号文件收费标准</w:t>
            </w:r>
            <w:r>
              <w:rPr>
                <w:rFonts w:hint="eastAsia" w:ascii="宋体" w:hAnsi="宋体" w:eastAsia="宋体" w:cs="宋体"/>
                <w:bCs/>
                <w:color w:val="auto"/>
                <w:kern w:val="0"/>
                <w:sz w:val="24"/>
                <w:highlight w:val="none"/>
                <w:lang w:val="en-US" w:eastAsia="zh-CN"/>
              </w:rPr>
              <w:t>收取</w:t>
            </w:r>
            <w:r>
              <w:rPr>
                <w:rFonts w:hint="eastAsia" w:ascii="宋体" w:hAnsi="宋体" w:eastAsia="宋体" w:cs="宋体"/>
                <w:bCs/>
                <w:color w:val="auto"/>
                <w:kern w:val="0"/>
                <w:sz w:val="24"/>
                <w:highlight w:val="none"/>
                <w:lang w:eastAsia="zh-CN"/>
              </w:rPr>
              <w:t>，不足</w:t>
            </w: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000.00元按</w:t>
            </w: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000.00元收取。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2"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履约保证金</w:t>
            </w:r>
          </w:p>
        </w:tc>
        <w:tc>
          <w:tcPr>
            <w:tcW w:w="6706" w:type="dxa"/>
            <w:tcBorders>
              <w:top w:val="single" w:color="000000" w:sz="8" w:space="0"/>
              <w:left w:val="single" w:color="000000" w:sz="2" w:space="0"/>
              <w:bottom w:val="single" w:color="000000" w:sz="8" w:space="0"/>
              <w:right w:val="single" w:color="000000" w:sz="8" w:space="0"/>
            </w:tcBorders>
            <w:vAlign w:val="center"/>
          </w:tcPr>
          <w:p>
            <w:pPr>
              <w:snapToGrid w:val="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履约保证金：不收取。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13"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资格审查和信用信息审查</w:t>
            </w:r>
          </w:p>
        </w:tc>
        <w:tc>
          <w:tcPr>
            <w:tcW w:w="6706" w:type="dxa"/>
            <w:tcBorders>
              <w:top w:val="single" w:color="000000" w:sz="8" w:space="0"/>
              <w:left w:val="single" w:color="000000" w:sz="2" w:space="0"/>
              <w:bottom w:val="single" w:color="000000" w:sz="8" w:space="0"/>
              <w:right w:val="single" w:color="000000" w:sz="8" w:space="0"/>
            </w:tcBorders>
            <w:vAlign w:val="center"/>
          </w:tcPr>
          <w:p>
            <w:pPr>
              <w:snapToGrid w:val="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本项目由交易发起人进行资格文件及信用信息查询。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91"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异议接收人及答复</w:t>
            </w:r>
          </w:p>
        </w:tc>
        <w:tc>
          <w:tcPr>
            <w:tcW w:w="6706"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采购机构质疑接收人：</w:t>
            </w:r>
            <w:r>
              <w:rPr>
                <w:rFonts w:hint="eastAsia" w:ascii="宋体" w:hAnsi="宋体" w:eastAsia="宋体" w:cs="宋体"/>
                <w:color w:val="auto"/>
                <w:sz w:val="24"/>
                <w:highlight w:val="none"/>
                <w:u w:val="single"/>
                <w:lang w:val="en-US" w:eastAsia="zh-CN"/>
              </w:rPr>
              <w:t>夏婷</w:t>
            </w:r>
            <w:r>
              <w:rPr>
                <w:rFonts w:hint="eastAsia" w:ascii="宋体" w:hAnsi="宋体" w:eastAsia="宋体" w:cs="宋体"/>
                <w:color w:val="auto"/>
                <w:sz w:val="24"/>
                <w:highlight w:val="none"/>
                <w:u w:val="none"/>
                <w:lang w:val="en-US" w:eastAsia="zh-CN"/>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lang w:val="en-US" w:eastAsia="zh-CN"/>
              </w:rPr>
              <w:t>15967157761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地址：</w:t>
            </w:r>
            <w:r>
              <w:rPr>
                <w:rFonts w:hint="eastAsia" w:ascii="宋体" w:hAnsi="宋体" w:eastAsia="宋体" w:cs="宋体"/>
                <w:color w:val="auto"/>
                <w:sz w:val="24"/>
                <w:szCs w:val="24"/>
                <w:highlight w:val="none"/>
                <w:u w:val="single"/>
              </w:rPr>
              <w:t>萧山区民营企业发展大厦A座12楼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邮箱：</w:t>
            </w:r>
            <w:r>
              <w:rPr>
                <w:rFonts w:hint="eastAsia" w:ascii="宋体" w:hAnsi="宋体" w:eastAsia="宋体" w:cs="宋体"/>
                <w:color w:val="auto"/>
                <w:sz w:val="24"/>
                <w:highlight w:val="none"/>
                <w:u w:val="single"/>
              </w:rPr>
              <w:fldChar w:fldCharType="begin"/>
            </w:r>
            <w:r>
              <w:rPr>
                <w:rFonts w:hint="eastAsia" w:ascii="宋体" w:hAnsi="宋体" w:eastAsia="宋体" w:cs="宋体"/>
                <w:color w:val="auto"/>
                <w:sz w:val="24"/>
                <w:highlight w:val="none"/>
                <w:u w:val="single"/>
              </w:rPr>
              <w:instrText xml:space="preserve"> HYPERLINK "mailto:382733636@qq.com" </w:instrText>
            </w:r>
            <w:r>
              <w:rPr>
                <w:rFonts w:hint="eastAsia" w:ascii="宋体" w:hAnsi="宋体" w:eastAsia="宋体" w:cs="宋体"/>
                <w:color w:val="auto"/>
                <w:sz w:val="24"/>
                <w:highlight w:val="none"/>
                <w:u w:val="single"/>
              </w:rPr>
              <w:fldChar w:fldCharType="separate"/>
            </w:r>
            <w:r>
              <w:rPr>
                <w:rFonts w:hint="eastAsia" w:ascii="宋体" w:hAnsi="宋体" w:eastAsia="宋体" w:cs="宋体"/>
                <w:color w:val="auto"/>
                <w:sz w:val="24"/>
                <w:highlight w:val="none"/>
                <w:u w:val="single"/>
                <w:lang w:val="en-US" w:eastAsia="zh-CN"/>
              </w:rPr>
              <w:t>670457795</w:t>
            </w:r>
            <w:r>
              <w:rPr>
                <w:rFonts w:hint="eastAsia" w:ascii="宋体" w:hAnsi="宋体" w:eastAsia="宋体" w:cs="宋体"/>
                <w:color w:val="auto"/>
                <w:sz w:val="24"/>
                <w:highlight w:val="none"/>
                <w:u w:val="single"/>
              </w:rPr>
              <w:t>@qq.com</w:t>
            </w:r>
            <w:r>
              <w:rPr>
                <w:rFonts w:hint="eastAsia" w:ascii="宋体" w:hAnsi="宋体" w:eastAsia="宋体" w:cs="宋体"/>
                <w:color w:val="auto"/>
                <w:sz w:val="24"/>
                <w:highlight w:val="none"/>
                <w:u w:val="single"/>
              </w:rPr>
              <w:fldChar w:fldCharType="end"/>
            </w:r>
          </w:p>
          <w:p>
            <w:pPr>
              <w:snapToGrid w:val="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如通过邮箱方式发送异议，须提交符合法规及公开竞争文件要求的异议文件（参考附件1），盖章扫描后发送，异议的受理按答复主体划分以交易发起人或代理机构邮箱回复确认受理为准。</w:t>
            </w:r>
          </w:p>
          <w:p>
            <w:pPr>
              <w:snapToGrid w:val="0"/>
              <w:rPr>
                <w:rFonts w:hint="eastAsia" w:ascii="宋体" w:hAnsi="宋体" w:eastAsia="宋体" w:cs="宋体"/>
                <w:color w:val="auto"/>
                <w:sz w:val="24"/>
                <w:highlight w:val="none"/>
              </w:rPr>
            </w:pPr>
            <w:r>
              <w:rPr>
                <w:rFonts w:hint="eastAsia" w:ascii="宋体" w:hAnsi="宋体" w:eastAsia="宋体" w:cs="宋体"/>
                <w:b w:val="0"/>
                <w:bCs/>
                <w:color w:val="auto"/>
                <w:sz w:val="24"/>
                <w:highlight w:val="none"/>
              </w:rPr>
              <w:t>本项目涉及资格条件、交易需求、评分办法及交易过程中有关</w:t>
            </w:r>
            <w:r>
              <w:rPr>
                <w:rFonts w:hint="eastAsia" w:ascii="宋体" w:hAnsi="宋体" w:eastAsia="宋体" w:cs="宋体"/>
                <w:color w:val="auto"/>
                <w:sz w:val="24"/>
                <w:highlight w:val="none"/>
              </w:rPr>
              <w:t>现场考察或开标前答疑会事项由交易发起人进行答复。</w:t>
            </w:r>
          </w:p>
          <w:p>
            <w:pPr>
              <w:pStyle w:val="35"/>
              <w:ind w:hanging="4"/>
              <w:rPr>
                <w:rFonts w:hint="eastAsia" w:ascii="宋体" w:hAnsi="宋体" w:eastAsia="宋体" w:cs="宋体"/>
                <w:color w:val="auto"/>
                <w:sz w:val="24"/>
                <w:highlight w:val="none"/>
              </w:rPr>
            </w:pPr>
            <w:r>
              <w:rPr>
                <w:rFonts w:hint="eastAsia" w:ascii="宋体" w:hAnsi="宋体" w:eastAsia="宋体" w:cs="宋体"/>
                <w:color w:val="auto"/>
                <w:sz w:val="24"/>
                <w:highlight w:val="none"/>
              </w:rPr>
              <w:t>涉及流程组织等相关事项，由代理机构进行答复。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0"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jc w:val="center"/>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特别说明</w:t>
            </w:r>
          </w:p>
        </w:tc>
        <w:tc>
          <w:tcPr>
            <w:tcW w:w="6706" w:type="dxa"/>
            <w:tcBorders>
              <w:top w:val="single" w:color="000000" w:sz="8" w:space="0"/>
              <w:left w:val="single" w:color="000000" w:sz="2" w:space="0"/>
              <w:bottom w:val="single" w:color="000000" w:sz="8" w:space="0"/>
              <w:right w:val="single" w:color="000000" w:sz="8" w:space="0"/>
            </w:tcBorders>
            <w:vAlign w:val="center"/>
          </w:tcPr>
          <w:p>
            <w:pPr>
              <w:rPr>
                <w:rFonts w:hint="eastAsia" w:ascii="宋体" w:hAnsi="宋体" w:eastAsia="宋体" w:cs="宋体"/>
                <w:snapToGrid w:val="0"/>
                <w:color w:val="auto"/>
                <w:kern w:val="28"/>
                <w:sz w:val="24"/>
                <w:highlight w:val="none"/>
              </w:rPr>
            </w:pPr>
            <w:r>
              <w:rPr>
                <w:rFonts w:hint="eastAsia" w:ascii="宋体" w:hAnsi="宋体" w:eastAsia="宋体" w:cs="宋体"/>
                <w:b w:val="0"/>
                <w:bCs/>
                <w:color w:val="auto"/>
                <w:sz w:val="24"/>
                <w:highlight w:val="none"/>
              </w:rPr>
              <w:t>本项目通用总则条款与前附表等专用特别规定有冲突之处，以专用特别规定为准。</w:t>
            </w:r>
          </w:p>
        </w:tc>
      </w:tr>
    </w:tbl>
    <w:p>
      <w:pPr>
        <w:snapToGrid w:val="0"/>
        <w:spacing w:line="360" w:lineRule="auto"/>
        <w:jc w:val="center"/>
        <w:rPr>
          <w:rFonts w:hint="eastAsia" w:ascii="宋体" w:hAnsi="宋体" w:eastAsia="宋体" w:cs="宋体"/>
          <w:b/>
          <w:color w:val="auto"/>
          <w:sz w:val="32"/>
          <w:szCs w:val="20"/>
          <w:highlight w:val="none"/>
        </w:rPr>
      </w:pPr>
    </w:p>
    <w:p>
      <w:pPr>
        <w:pStyle w:val="46"/>
        <w:rPr>
          <w:rFonts w:hint="eastAsia" w:ascii="宋体" w:hAnsi="宋体" w:eastAsia="宋体" w:cs="宋体"/>
          <w:color w:val="auto"/>
          <w:highlight w:val="none"/>
        </w:rPr>
      </w:pPr>
    </w:p>
    <w:bookmarkEnd w:id="9"/>
    <w:p>
      <w:pPr>
        <w:rPr>
          <w:rFonts w:hint="eastAsia" w:ascii="宋体" w:hAnsi="宋体" w:eastAsia="宋体" w:cs="宋体"/>
          <w:b/>
          <w:color w:val="auto"/>
          <w:sz w:val="32"/>
          <w:szCs w:val="20"/>
          <w:highlight w:val="none"/>
        </w:rPr>
      </w:pPr>
      <w:bookmarkStart w:id="12" w:name="第三部分"/>
      <w:bookmarkStart w:id="13" w:name="_Toc164416483"/>
      <w:r>
        <w:rPr>
          <w:rFonts w:hint="eastAsia" w:ascii="宋体" w:hAnsi="宋体" w:eastAsia="宋体" w:cs="宋体"/>
          <w:b/>
          <w:color w:val="auto"/>
          <w:sz w:val="32"/>
          <w:szCs w:val="20"/>
          <w:highlight w:val="none"/>
        </w:rPr>
        <w:br w:type="page"/>
      </w:r>
    </w:p>
    <w:p>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pPr>
        <w:snapToGrid w:val="0"/>
        <w:spacing w:line="460" w:lineRule="exact"/>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pPr>
        <w:snapToGrid w:val="0"/>
        <w:spacing w:line="460" w:lineRule="exact"/>
        <w:ind w:firstLine="420" w:firstLineChars="175"/>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本公开竞争文件适用于该项目的交易、响应、评审、资格审查及信用信息查询、评审、定标、合同、验收等行为（法律、法规另有规定的，从其规定）。</w:t>
      </w:r>
    </w:p>
    <w:p>
      <w:pPr>
        <w:adjustRightInd/>
        <w:spacing w:line="460" w:lineRule="exact"/>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pPr>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2.1“交易发起人”系指交易公告中载明的本项目的交易发起人。</w:t>
      </w:r>
    </w:p>
    <w:p>
      <w:pPr>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2.2“代理机构”系指交易公告中载明的本项目的代理机构。</w:t>
      </w:r>
    </w:p>
    <w:p>
      <w:pPr>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2.3“响应人”系指响应招标、参加投标竞争的法人、其他组织或者自然人。</w:t>
      </w:r>
    </w:p>
    <w:p>
      <w:pPr>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2.4“负责人”系指法人企业的法定负责人，或其他组织为法律、行政法规规定代表单位行使职权的主要负责人，或自然人本人。</w:t>
      </w:r>
    </w:p>
    <w:p>
      <w:pPr>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响应人电子签名指响应人电子公章；“公章”系指单位法定名称章。因特殊原因需要使用冠以法定名称的业务专用章的，响应时须提供《业务专用章使用说明函》（附件3）。</w:t>
      </w:r>
    </w:p>
    <w:p>
      <w:pPr>
        <w:spacing w:line="460" w:lineRule="exact"/>
        <w:ind w:firstLine="420" w:firstLineChars="175"/>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2.6“电子交易平台”是指本项目交易活动所依托的政府采购云平台（https://www.zcygov.cn/）。</w:t>
      </w:r>
    </w:p>
    <w:p>
      <w:pPr>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2.7“▲” 系指实质性要求条款，“（</w:t>
      </w:r>
      <w:r>
        <w:rPr>
          <w:rFonts w:hint="eastAsia" w:ascii="宋体" w:hAnsi="宋体" w:eastAsia="宋体" w:cs="宋体"/>
          <w:bCs/>
          <w:color w:val="auto"/>
          <w:sz w:val="24"/>
          <w:highlight w:val="none"/>
        </w:rPr>
        <w:t>√</w:t>
      </w:r>
      <w:r>
        <w:rPr>
          <w:rFonts w:hint="eastAsia" w:ascii="宋体" w:hAnsi="宋体" w:eastAsia="宋体" w:cs="宋体"/>
          <w:color w:val="auto"/>
          <w:sz w:val="24"/>
          <w:highlight w:val="none"/>
        </w:rPr>
        <w:t>）” 系指适用本项目的要求，“（  ）”系指不适用本项目的要求。</w:t>
      </w:r>
    </w:p>
    <w:p>
      <w:pPr>
        <w:spacing w:line="4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3.异议、投诉</w:t>
      </w:r>
    </w:p>
    <w:p>
      <w:pPr>
        <w:autoSpaceDE w:val="0"/>
        <w:autoSpaceDN w:val="0"/>
        <w:spacing w:line="460" w:lineRule="exact"/>
        <w:ind w:firstLine="420" w:firstLineChars="175"/>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.1响应人异议</w:t>
      </w:r>
    </w:p>
    <w:p>
      <w:pPr>
        <w:autoSpaceDE w:val="0"/>
        <w:autoSpaceDN w:val="0"/>
        <w:spacing w:line="460" w:lineRule="exact"/>
        <w:ind w:firstLine="420" w:firstLineChars="175"/>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响应人对</w:t>
      </w:r>
      <w:r>
        <w:rPr>
          <w:rFonts w:hint="eastAsia" w:ascii="宋体" w:hAnsi="宋体" w:eastAsia="宋体" w:cs="宋体"/>
          <w:color w:val="auto"/>
          <w:kern w:val="0"/>
          <w:sz w:val="24"/>
          <w:highlight w:val="none"/>
        </w:rPr>
        <w:t>交易</w:t>
      </w:r>
      <w:r>
        <w:rPr>
          <w:rFonts w:hint="eastAsia" w:ascii="宋体" w:hAnsi="宋体" w:eastAsia="宋体" w:cs="宋体"/>
          <w:color w:val="auto"/>
          <w:kern w:val="0"/>
          <w:sz w:val="24"/>
          <w:highlight w:val="none"/>
          <w:lang w:val="zh-CN"/>
        </w:rPr>
        <w:t>活动事项有疑问的，可以提出异议，交易发起人或者代理机构应当在3日内对响应人依法提出的询问作出答复，但答复的内容不得涉及商业秘密。响应人提出的询问超出交易发起人对代理机构委托授权范围的，代理机构应当告知响应人向交易发起人提出。</w:t>
      </w:r>
    </w:p>
    <w:p>
      <w:pPr>
        <w:autoSpaceDE w:val="0"/>
        <w:autoSpaceDN w:val="0"/>
        <w:spacing w:line="460" w:lineRule="exact"/>
        <w:ind w:firstLine="420" w:firstLineChars="175"/>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.2响应人异议</w:t>
      </w:r>
    </w:p>
    <w:p>
      <w:pPr>
        <w:pStyle w:val="35"/>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w:t>
      </w:r>
      <w:r>
        <w:rPr>
          <w:rFonts w:hint="eastAsia" w:ascii="宋体" w:hAnsi="宋体" w:eastAsia="宋体" w:cs="宋体"/>
          <w:color w:val="auto"/>
          <w:sz w:val="24"/>
          <w:highlight w:val="none"/>
        </w:rPr>
        <w:t>.1提出</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的响应人应当是参与所质</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项目交易活动的响应人。潜在响应人已依法获取其可</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的公开竞争文件的，可以对该文件提出</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w:t>
      </w:r>
    </w:p>
    <w:p>
      <w:pPr>
        <w:pStyle w:val="35"/>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w:t>
      </w:r>
      <w:r>
        <w:rPr>
          <w:rFonts w:hint="eastAsia" w:ascii="宋体" w:hAnsi="宋体" w:eastAsia="宋体" w:cs="宋体"/>
          <w:color w:val="auto"/>
          <w:sz w:val="24"/>
          <w:highlight w:val="none"/>
        </w:rPr>
        <w:t>.2响应人认为公开竞争文件、交易过程和成交结果使自己的权益受到损害的，可以在知道或者应知其权益受到损害之日起3日内，以书面形式向交易发起人或者代理机构提出</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，否则，交易发起人或者代理机构不予受理：</w:t>
      </w:r>
    </w:p>
    <w:p>
      <w:pPr>
        <w:pStyle w:val="35"/>
        <w:spacing w:line="460" w:lineRule="exact"/>
        <w:ind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3.2.2.1对交易过程提出</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的，</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期限为各交易程序环节结束之日起计算。对同一交易程序环节的</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，响应人须一次性提出。</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.2.3</w:t>
      </w:r>
      <w:r>
        <w:rPr>
          <w:rFonts w:hint="eastAsia" w:ascii="宋体" w:hAnsi="宋体" w:eastAsia="宋体" w:cs="宋体"/>
          <w:color w:val="auto"/>
          <w:sz w:val="24"/>
          <w:highlight w:val="none"/>
        </w:rPr>
        <w:t>响应人提出</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应当提交</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函和必要的证明材料。</w:t>
      </w:r>
      <w:r>
        <w:rPr>
          <w:rFonts w:hint="eastAsia" w:ascii="宋体" w:hAnsi="宋体" w:eastAsia="宋体" w:cs="宋体"/>
          <w:color w:val="auto"/>
          <w:kern w:val="0"/>
          <w:sz w:val="24"/>
          <w:highlight w:val="none"/>
          <w:lang w:val="zh-CN"/>
        </w:rPr>
        <w:t>异议</w:t>
      </w:r>
      <w:r>
        <w:rPr>
          <w:rFonts w:hint="eastAsia" w:ascii="宋体" w:hAnsi="宋体" w:eastAsia="宋体" w:cs="宋体"/>
          <w:color w:val="auto"/>
          <w:sz w:val="24"/>
          <w:highlight w:val="none"/>
        </w:rPr>
        <w:t>函应当包括下列内容：</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.2.3.1响应人的姓名或者名称、地址、邮编、联系人及联系电话；</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.2.3.2异议项目的名称、编号；</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.2.3.3具体、明确的异议事项和与异议事项相关的请求；</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.2.3.4事实依据；</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.2.3.5必要的法律依据；</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.2.3.6提出异议的日期。</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响应人提交的异议函需一式三份。响应人为自然人的，应当由本人签字；响应人为法人或者其他组织的，应当由法定代表人、主要负责人，或者其授权代表签字或者盖章，并加盖公章。</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异议函范本及制作说明详见附件</w:t>
      </w: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zh-CN"/>
        </w:rPr>
        <w:t>。</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.2.4交易发起人或者代理机构应当在收到响应人的书面异议后</w:t>
      </w: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日内作出答复，并以书面形式通知异议响应人和其他与异议处理结果有利害关系的交易当事人，但答复的内容不得涉及商业秘密。</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.2.5询问或者异议事项可能影响</w:t>
      </w:r>
      <w:r>
        <w:rPr>
          <w:rFonts w:hint="eastAsia" w:ascii="宋体" w:hAnsi="宋体" w:eastAsia="宋体" w:cs="宋体"/>
          <w:color w:val="auto"/>
          <w:kern w:val="0"/>
          <w:sz w:val="24"/>
          <w:highlight w:val="none"/>
        </w:rPr>
        <w:t>交易</w:t>
      </w:r>
      <w:r>
        <w:rPr>
          <w:rFonts w:hint="eastAsia" w:ascii="宋体" w:hAnsi="宋体" w:eastAsia="宋体" w:cs="宋体"/>
          <w:color w:val="auto"/>
          <w:kern w:val="0"/>
          <w:sz w:val="24"/>
          <w:highlight w:val="none"/>
          <w:lang w:val="zh-CN"/>
        </w:rPr>
        <w:t>结果的，交易发起人应当暂停签订合同，已经签订合同的，应当中止履行合同。</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.3响应人投诉</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.3.1异议响应人对交易发起人、代理机构的答复不满意或者交易发起人、代理机构未在规定的时间内作出答复的，可以在答复期满后</w:t>
      </w:r>
      <w:r>
        <w:rPr>
          <w:rFonts w:hint="eastAsia" w:ascii="宋体" w:hAnsi="宋体" w:eastAsia="宋体" w:cs="宋体"/>
          <w:color w:val="auto"/>
          <w:kern w:val="0"/>
          <w:sz w:val="24"/>
          <w:highlight w:val="none"/>
        </w:rPr>
        <w:t>10</w:t>
      </w:r>
      <w:r>
        <w:rPr>
          <w:rFonts w:hint="eastAsia" w:ascii="宋体" w:hAnsi="宋体" w:eastAsia="宋体" w:cs="宋体"/>
          <w:color w:val="auto"/>
          <w:kern w:val="0"/>
          <w:sz w:val="24"/>
          <w:highlight w:val="none"/>
          <w:lang w:val="zh-CN"/>
        </w:rPr>
        <w:t>日内向基层监督机构部门提出投诉。</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.3.2响应人投诉的事项不得超出已异议事项的范围，基于异议答复内容提出的投诉事项除外。</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.3.3响应人投诉应当有明确的请求和必要的证明材料。</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zh-CN"/>
        </w:rPr>
        <w:t>.3.</w:t>
      </w:r>
      <w:r>
        <w:rPr>
          <w:rFonts w:hint="eastAsia" w:ascii="宋体" w:hAnsi="宋体" w:eastAsia="宋体" w:cs="宋体"/>
          <w:color w:val="auto"/>
          <w:kern w:val="0"/>
          <w:sz w:val="24"/>
          <w:highlight w:val="none"/>
        </w:rPr>
        <w:t>4</w:t>
      </w:r>
      <w:r>
        <w:rPr>
          <w:rFonts w:hint="eastAsia" w:ascii="宋体" w:hAnsi="宋体" w:eastAsia="宋体" w:cs="宋体"/>
          <w:color w:val="auto"/>
          <w:kern w:val="0"/>
          <w:sz w:val="24"/>
          <w:highlight w:val="none"/>
          <w:lang w:val="zh-CN"/>
        </w:rPr>
        <w:t>以联合体形式参加交易活动的，其投诉应当由组成联合体的所有响应人共同提出。</w:t>
      </w:r>
    </w:p>
    <w:p>
      <w:pPr>
        <w:pStyle w:val="35"/>
        <w:spacing w:line="460" w:lineRule="exact"/>
        <w:ind w:firstLine="420" w:firstLineChars="175"/>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投诉书范本及制作说明详见附件</w:t>
      </w: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lang w:val="zh-CN"/>
        </w:rPr>
        <w:t>。</w:t>
      </w:r>
    </w:p>
    <w:p>
      <w:pPr>
        <w:pStyle w:val="136"/>
        <w:snapToGrid w:val="0"/>
        <w:spacing w:before="0" w:line="460" w:lineRule="exact"/>
        <w:ind w:firstLine="360"/>
        <w:rPr>
          <w:rFonts w:hint="eastAsia" w:ascii="宋体" w:hAnsi="宋体" w:eastAsia="宋体" w:cs="宋体"/>
          <w:color w:val="auto"/>
          <w:sz w:val="18"/>
          <w:szCs w:val="18"/>
          <w:highlight w:val="none"/>
        </w:rPr>
      </w:pPr>
    </w:p>
    <w:p>
      <w:pPr>
        <w:adjustRightInd/>
        <w:spacing w:line="460" w:lineRule="exact"/>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二、公开竞争文件的构成、澄清、修改</w:t>
      </w:r>
    </w:p>
    <w:p>
      <w:pPr>
        <w:pStyle w:val="35"/>
        <w:spacing w:line="4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4．公开竞争文件的构成</w:t>
      </w:r>
    </w:p>
    <w:p>
      <w:pPr>
        <w:pStyle w:val="35"/>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4.1公开竞争文件包括下列文件及附件：</w:t>
      </w:r>
    </w:p>
    <w:p>
      <w:pPr>
        <w:pStyle w:val="35"/>
        <w:tabs>
          <w:tab w:val="left" w:pos="840"/>
        </w:tabs>
        <w:spacing w:line="46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4.1.1交易公告；</w:t>
      </w:r>
    </w:p>
    <w:p>
      <w:pPr>
        <w:pStyle w:val="35"/>
        <w:tabs>
          <w:tab w:val="left" w:pos="840"/>
        </w:tabs>
        <w:spacing w:line="46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4.1.2响应人须知；</w:t>
      </w:r>
    </w:p>
    <w:p>
      <w:pPr>
        <w:pStyle w:val="35"/>
        <w:tabs>
          <w:tab w:val="left" w:pos="840"/>
        </w:tabs>
        <w:spacing w:line="46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4.1.3交易需求；</w:t>
      </w:r>
    </w:p>
    <w:p>
      <w:pPr>
        <w:pStyle w:val="35"/>
        <w:tabs>
          <w:tab w:val="left" w:pos="840"/>
        </w:tabs>
        <w:spacing w:line="46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4.1.4交易办法；</w:t>
      </w:r>
    </w:p>
    <w:p>
      <w:pPr>
        <w:pStyle w:val="35"/>
        <w:tabs>
          <w:tab w:val="left" w:pos="840"/>
        </w:tabs>
        <w:spacing w:line="46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4.1.5拟签订的合同文本；</w:t>
      </w:r>
    </w:p>
    <w:p>
      <w:pPr>
        <w:pStyle w:val="35"/>
        <w:tabs>
          <w:tab w:val="left" w:pos="840"/>
        </w:tabs>
        <w:spacing w:line="46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4.1.6</w:t>
      </w:r>
      <w:r>
        <w:rPr>
          <w:rFonts w:hint="eastAsia" w:ascii="宋体" w:hAnsi="宋体" w:eastAsia="宋体" w:cs="宋体"/>
          <w:color w:val="auto"/>
          <w:sz w:val="24"/>
          <w:szCs w:val="24"/>
          <w:highlight w:val="none"/>
        </w:rPr>
        <w:t>应提交的有关格式范例。</w:t>
      </w:r>
    </w:p>
    <w:p>
      <w:pPr>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4.2与本项目有关的</w:t>
      </w:r>
      <w:r>
        <w:rPr>
          <w:rFonts w:hint="eastAsia" w:ascii="宋体" w:hAnsi="宋体" w:eastAsia="宋体" w:cs="宋体"/>
          <w:bCs/>
          <w:color w:val="auto"/>
          <w:sz w:val="24"/>
          <w:highlight w:val="none"/>
        </w:rPr>
        <w:t>澄清或者修改的内容为公开竞争文件的组成部分</w:t>
      </w:r>
      <w:r>
        <w:rPr>
          <w:rFonts w:hint="eastAsia" w:ascii="宋体" w:hAnsi="宋体" w:eastAsia="宋体" w:cs="宋体"/>
          <w:color w:val="auto"/>
          <w:sz w:val="24"/>
          <w:highlight w:val="none"/>
        </w:rPr>
        <w:t>。</w:t>
      </w:r>
    </w:p>
    <w:p>
      <w:pPr>
        <w:pStyle w:val="35"/>
        <w:spacing w:line="4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5.公开竞争文件的澄清、修改</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5.1已获取公开竞争文件的潜在响应人，若有问题需要澄清，应于响应截止时间前，以书面形式向代理机构提出。</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5.2 代理机构对公开竞争文件进行澄清或修改的，将同时通过电子交易平台通知已获取公开竞争文件的潜在响应人。依法应当公告的，将按规定公告，同时视情况延长响应截止时间和交易时间。该澄清或者修改的内容为公开竞争文件的组成部分。</w:t>
      </w:r>
    </w:p>
    <w:p>
      <w:pPr>
        <w:adjustRightInd/>
        <w:spacing w:line="460" w:lineRule="exact"/>
        <w:jc w:val="center"/>
        <w:outlineLvl w:val="0"/>
        <w:rPr>
          <w:rFonts w:hint="eastAsia" w:ascii="宋体" w:hAnsi="宋体" w:eastAsia="宋体" w:cs="宋体"/>
          <w:b/>
          <w:color w:val="auto"/>
          <w:sz w:val="30"/>
          <w:szCs w:val="20"/>
          <w:highlight w:val="none"/>
        </w:rPr>
      </w:pPr>
    </w:p>
    <w:p>
      <w:pPr>
        <w:adjustRightInd/>
        <w:spacing w:line="460" w:lineRule="exact"/>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三、响应</w:t>
      </w:r>
    </w:p>
    <w:p>
      <w:pPr>
        <w:pStyle w:val="35"/>
        <w:spacing w:line="4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6.公开竞争文件的获取</w:t>
      </w:r>
    </w:p>
    <w:p>
      <w:pPr>
        <w:spacing w:line="460" w:lineRule="exact"/>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详见交易公告中获取公开竞争文件的时间期限、地点、方式及公开竞争文件售价。</w:t>
      </w:r>
    </w:p>
    <w:p>
      <w:pPr>
        <w:pStyle w:val="35"/>
        <w:spacing w:line="4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7.交易前答疑会或现场考察</w:t>
      </w:r>
    </w:p>
    <w:p>
      <w:pPr>
        <w:pStyle w:val="35"/>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本项目不组织交易前答疑会或现场考察。</w:t>
      </w:r>
    </w:p>
    <w:p>
      <w:pPr>
        <w:pStyle w:val="35"/>
        <w:spacing w:line="460" w:lineRule="exact"/>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8.交易保证金</w:t>
      </w:r>
    </w:p>
    <w:p>
      <w:pPr>
        <w:pStyle w:val="16"/>
        <w:spacing w:line="460" w:lineRule="exact"/>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本项目不需缴纳交易保证金。</w:t>
      </w:r>
    </w:p>
    <w:p>
      <w:pPr>
        <w:pStyle w:val="35"/>
        <w:spacing w:line="4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9.响应文件的语言</w:t>
      </w:r>
    </w:p>
    <w:p>
      <w:pPr>
        <w:autoSpaceDE w:val="0"/>
        <w:autoSpaceDN w:val="0"/>
        <w:spacing w:line="460" w:lineRule="exact"/>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响应文件及响应人与交易有关的来往通知、函件和文件均应使用中文。</w:t>
      </w:r>
    </w:p>
    <w:p>
      <w:pPr>
        <w:pStyle w:val="35"/>
        <w:spacing w:line="4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10.响应文件的组成</w:t>
      </w:r>
    </w:p>
    <w:p>
      <w:pPr>
        <w:snapToGrid w:val="0"/>
        <w:spacing w:line="4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10.1资格文件：</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10.1.1符合参加交易活动应当具备的一般条件的承诺函；</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10.1.2本项目的特定资格要求。</w:t>
      </w:r>
    </w:p>
    <w:p>
      <w:pPr>
        <w:snapToGrid w:val="0"/>
        <w:spacing w:line="460" w:lineRule="exact"/>
        <w:ind w:firstLine="482" w:firstLineChars="200"/>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1</w:t>
      </w:r>
      <w:r>
        <w:rPr>
          <w:rFonts w:hint="eastAsia" w:ascii="宋体" w:hAnsi="宋体" w:eastAsia="宋体" w:cs="宋体"/>
          <w:b/>
          <w:bCs/>
          <w:color w:val="auto"/>
          <w:sz w:val="24"/>
          <w:highlight w:val="none"/>
        </w:rPr>
        <w:t>0</w:t>
      </w: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2商务技术</w:t>
      </w:r>
      <w:r>
        <w:rPr>
          <w:rFonts w:hint="eastAsia" w:ascii="宋体" w:hAnsi="宋体" w:eastAsia="宋体" w:cs="宋体"/>
          <w:b/>
          <w:bCs/>
          <w:color w:val="auto"/>
          <w:sz w:val="24"/>
          <w:highlight w:val="none"/>
          <w:lang w:val="zh-CN"/>
        </w:rPr>
        <w:t>文件：</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10.2.1交易函；</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10.2.2授权委托书或法定代表人（单位负责人、自然人本人）身份证明；</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10.2.3营业执照；</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10.2.4符合性审查资料；</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10.2.5评审标准相应的商务技术资料；</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10.2.6商务技术偏离表；</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10.2.7</w:t>
      </w:r>
      <w:r>
        <w:rPr>
          <w:rFonts w:hint="eastAsia" w:ascii="宋体" w:hAnsi="宋体" w:eastAsia="宋体" w:cs="宋体"/>
          <w:color w:val="auto"/>
          <w:sz w:val="24"/>
          <w:highlight w:val="none"/>
          <w:lang w:val="zh-CN"/>
        </w:rPr>
        <w:t>响应人廉洁自律承诺书。</w:t>
      </w:r>
    </w:p>
    <w:p>
      <w:pPr>
        <w:snapToGrid w:val="0"/>
        <w:spacing w:line="460" w:lineRule="exact"/>
        <w:ind w:firstLine="482" w:firstLineChars="200"/>
        <w:rPr>
          <w:rFonts w:hint="eastAsia" w:ascii="宋体" w:hAnsi="宋体" w:eastAsia="宋体" w:cs="宋体"/>
          <w:b/>
          <w:bCs/>
          <w:color w:val="auto"/>
          <w:sz w:val="24"/>
          <w:highlight w:val="none"/>
          <w:u w:val="single"/>
          <w:lang w:val="zh-CN"/>
        </w:rPr>
      </w:pPr>
      <w:r>
        <w:rPr>
          <w:rFonts w:hint="eastAsia" w:ascii="宋体" w:hAnsi="宋体" w:eastAsia="宋体" w:cs="宋体"/>
          <w:b/>
          <w:bCs/>
          <w:color w:val="auto"/>
          <w:kern w:val="0"/>
          <w:sz w:val="24"/>
          <w:highlight w:val="none"/>
          <w:lang w:val="zh-CN"/>
        </w:rPr>
        <w:t>1</w:t>
      </w:r>
      <w:r>
        <w:rPr>
          <w:rFonts w:hint="eastAsia" w:ascii="宋体" w:hAnsi="宋体" w:eastAsia="宋体" w:cs="宋体"/>
          <w:b/>
          <w:bCs/>
          <w:color w:val="auto"/>
          <w:kern w:val="0"/>
          <w:sz w:val="24"/>
          <w:highlight w:val="none"/>
        </w:rPr>
        <w:t>0</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kern w:val="0"/>
          <w:sz w:val="24"/>
          <w:highlight w:val="none"/>
        </w:rPr>
        <w:t>3</w:t>
      </w:r>
      <w:r>
        <w:rPr>
          <w:rFonts w:hint="eastAsia" w:ascii="宋体" w:hAnsi="宋体" w:eastAsia="宋体" w:cs="宋体"/>
          <w:b/>
          <w:bCs/>
          <w:color w:val="auto"/>
          <w:sz w:val="24"/>
          <w:highlight w:val="none"/>
        </w:rPr>
        <w:t>报价文件：</w:t>
      </w:r>
    </w:p>
    <w:p>
      <w:pPr>
        <w:snapToGrid w:val="0"/>
        <w:spacing w:line="460" w:lineRule="exact"/>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10.3.1交易一览表（报价表）。</w:t>
      </w:r>
    </w:p>
    <w:p>
      <w:pPr>
        <w:spacing w:line="460" w:lineRule="exact"/>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响应文件含有交易发起人不能接受的附加条件的，交易无效；</w:t>
      </w:r>
    </w:p>
    <w:p>
      <w:pPr>
        <w:spacing w:line="460" w:lineRule="exact"/>
        <w:ind w:firstLine="723" w:firstLineChars="300"/>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响应人提供虚假材料投标的，交易无效。</w:t>
      </w:r>
    </w:p>
    <w:p>
      <w:pPr>
        <w:pStyle w:val="136"/>
        <w:snapToGrid w:val="0"/>
        <w:spacing w:before="0" w:line="460" w:lineRule="exact"/>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11</w:t>
      </w:r>
      <w:r>
        <w:rPr>
          <w:rFonts w:hint="eastAsia" w:ascii="宋体" w:hAnsi="宋体" w:eastAsia="宋体" w:cs="宋体"/>
          <w:b/>
          <w:color w:val="auto"/>
          <w:kern w:val="0"/>
          <w:szCs w:val="24"/>
          <w:highlight w:val="none"/>
          <w:lang w:val="zh-CN"/>
        </w:rPr>
        <w:t>.</w:t>
      </w:r>
      <w:r>
        <w:rPr>
          <w:rFonts w:hint="eastAsia" w:ascii="宋体" w:hAnsi="宋体" w:eastAsia="宋体" w:cs="宋体"/>
          <w:b/>
          <w:color w:val="auto"/>
          <w:szCs w:val="24"/>
          <w:highlight w:val="none"/>
        </w:rPr>
        <w:t>响应文件的编制</w:t>
      </w:r>
    </w:p>
    <w:p>
      <w:pPr>
        <w:spacing w:line="4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zh-CN"/>
        </w:rPr>
        <w:t>.1响应文件分为资格文件、商务技术文件、报价文件三部分。各响应人在编制响应文件时请按照公开竞争文件第六部分规定的格式进行，混乱的编排导致响应文件被误读或评审委员会查找不到有效文件是响应人的风险。</w:t>
      </w:r>
    </w:p>
    <w:p>
      <w:pPr>
        <w:spacing w:line="460" w:lineRule="exact"/>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zh-CN"/>
        </w:rPr>
        <w:t>.2响应人进行电子投标应安装客户端软件—“政采云电子交易客户端”，并按照公开竞争文件和电子交易平台的要求编制并加密响应文件。响应人未按规定加密的响应文件，电子交易平台将拒收并提示。</w:t>
      </w:r>
    </w:p>
    <w:p>
      <w:pPr>
        <w:spacing w:line="460" w:lineRule="exact"/>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12.响应文件的签署、盖章</w:t>
      </w:r>
    </w:p>
    <w:p>
      <w:pPr>
        <w:pStyle w:val="136"/>
        <w:snapToGrid w:val="0"/>
        <w:spacing w:before="0" w:line="460" w:lineRule="exact"/>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12.1响应文件按照公开竞争文件第六部分格式要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▲响应人的响应文件未按照公开竞争文件要求签署、盖章的，其交易无效</w:t>
      </w:r>
      <w:r>
        <w:rPr>
          <w:rFonts w:hint="eastAsia" w:ascii="宋体" w:hAnsi="宋体" w:eastAsia="宋体" w:cs="宋体"/>
          <w:color w:val="auto"/>
          <w:szCs w:val="24"/>
          <w:highlight w:val="none"/>
        </w:rPr>
        <w:t>。</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12.2为确保网上操作合法、有效和安全，响应人应当在响应截止时间前完成在“政府采购云平台”的身份认证，确保在电子投标过程中能够对相关数据电文进行加密和使用电子签名。</w:t>
      </w:r>
    </w:p>
    <w:p>
      <w:pPr>
        <w:pStyle w:val="136"/>
        <w:snapToGrid w:val="0"/>
        <w:spacing w:before="0" w:line="460" w:lineRule="exact"/>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12.3公开竞争文件对响应文件签署、盖章的要求适用于电子签名。</w:t>
      </w:r>
    </w:p>
    <w:p>
      <w:pPr>
        <w:pStyle w:val="136"/>
        <w:spacing w:before="0" w:line="460" w:lineRule="exact"/>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13.响应文件的提交、补充、修改、撤回</w:t>
      </w:r>
    </w:p>
    <w:p>
      <w:pPr>
        <w:pStyle w:val="136"/>
        <w:spacing w:line="46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13.1响应人应当在响应截止时间前完成响应文件的传输递交，并可以补充、修改或者撤回响应文件。补充或者修改响应文件的，应当先行撤回原文件，补充、修改后重新传输递交。投标截止时间前未完成传输的，视为撤回响应文件。响应截止时间后递交的响应文件，电子交易平台将拒收。</w:t>
      </w:r>
    </w:p>
    <w:p>
      <w:pPr>
        <w:pStyle w:val="136"/>
        <w:spacing w:before="0" w:line="46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13.2电子交易平台收到响应文件，将妥善保存并即时向响应人发出确认回执通知。在响应截止时间前，除响应人补充、修改或者撤回响应文件外，任何单位和个人不得解密或提取响应文件。</w:t>
      </w:r>
    </w:p>
    <w:p>
      <w:pPr>
        <w:pStyle w:val="136"/>
        <w:spacing w:before="0" w:line="460" w:lineRule="exact"/>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13.3交易发起人、代理机构可以视情况延长响应文件提交的截止时间。在上述情况下，代理机构与响应人以前在投标截止期方面的全部权利、责任和义务，将适用于延长至新的投标截止期。</w:t>
      </w:r>
    </w:p>
    <w:p>
      <w:pPr>
        <w:pStyle w:val="35"/>
        <w:numPr>
          <w:ilvl w:val="0"/>
          <w:numId w:val="1"/>
        </w:numPr>
        <w:spacing w:line="4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备份响应文件</w:t>
      </w:r>
    </w:p>
    <w:p>
      <w:pPr>
        <w:pStyle w:val="35"/>
        <w:spacing w:line="46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kern w:val="28"/>
          <w:sz w:val="24"/>
          <w:szCs w:val="24"/>
          <w:highlight w:val="none"/>
        </w:rPr>
        <w:t>不收取备份响应文件。</w:t>
      </w:r>
    </w:p>
    <w:p>
      <w:pPr>
        <w:pStyle w:val="136"/>
        <w:spacing w:before="0" w:line="460" w:lineRule="exact"/>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15.响应文件的无效处理</w:t>
      </w:r>
    </w:p>
    <w:p>
      <w:pPr>
        <w:pStyle w:val="26"/>
        <w:spacing w:line="4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有公开竞争文件第四部分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的情形之一的，交易无效：</w:t>
      </w:r>
    </w:p>
    <w:p>
      <w:pPr>
        <w:pStyle w:val="136"/>
        <w:spacing w:before="0" w:line="460" w:lineRule="exact"/>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16.交易有效期</w:t>
      </w:r>
    </w:p>
    <w:p>
      <w:pPr>
        <w:spacing w:line="460" w:lineRule="exact"/>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16.1交易有效期为从提交响应文件的截止之日起90天。▲</w:t>
      </w:r>
      <w:r>
        <w:rPr>
          <w:rFonts w:hint="eastAsia" w:ascii="宋体" w:hAnsi="宋体" w:eastAsia="宋体" w:cs="宋体"/>
          <w:b/>
          <w:color w:val="auto"/>
          <w:sz w:val="24"/>
          <w:szCs w:val="20"/>
          <w:highlight w:val="none"/>
        </w:rPr>
        <w:t>响应人的响应文件中承</w:t>
      </w:r>
      <w:r>
        <w:rPr>
          <w:rFonts w:hint="eastAsia" w:ascii="宋体" w:hAnsi="宋体" w:eastAsia="宋体" w:cs="宋体"/>
          <w:b/>
          <w:color w:val="auto"/>
          <w:sz w:val="24"/>
          <w:szCs w:val="21"/>
          <w:highlight w:val="none"/>
        </w:rPr>
        <w:t>诺的交易有效期少于公开竞争文件中载明的交易有效期的，交易无效。</w:t>
      </w:r>
    </w:p>
    <w:p>
      <w:pPr>
        <w:pStyle w:val="136"/>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16.2响应文件合格投递后，自投标截止日期起，在交易有效期内有效。</w:t>
      </w:r>
    </w:p>
    <w:p>
      <w:pPr>
        <w:pStyle w:val="136"/>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16.3在原定交易有效期满之前，如果出现特殊情况，代理机构可以以书面形式通知响应人延长交易有效期。响应人同意延长的，不得要求或被允许修改其响应文件，响应人拒绝延长的，其交易无效。</w:t>
      </w:r>
    </w:p>
    <w:p>
      <w:pPr>
        <w:pStyle w:val="136"/>
        <w:spacing w:before="0" w:line="460" w:lineRule="exact"/>
        <w:ind w:firstLine="643"/>
        <w:rPr>
          <w:rFonts w:hint="eastAsia" w:ascii="宋体" w:hAnsi="宋体" w:eastAsia="宋体" w:cs="宋体"/>
          <w:b/>
          <w:color w:val="auto"/>
          <w:sz w:val="32"/>
          <w:highlight w:val="none"/>
        </w:rPr>
      </w:pPr>
    </w:p>
    <w:p>
      <w:pPr>
        <w:pStyle w:val="136"/>
        <w:spacing w:before="0" w:line="460" w:lineRule="exact"/>
        <w:ind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四、交易、资格审查</w:t>
      </w:r>
    </w:p>
    <w:p>
      <w:pPr>
        <w:pStyle w:val="561"/>
        <w:spacing w:before="0" w:line="460" w:lineRule="exact"/>
        <w:ind w:left="0" w:firstLine="0"/>
        <w:contextualSpacing/>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 xml:space="preserve">17.交易 </w:t>
      </w:r>
    </w:p>
    <w:p>
      <w:pPr>
        <w:pStyle w:val="561"/>
        <w:spacing w:before="0" w:line="460" w:lineRule="exact"/>
        <w:ind w:left="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17.1代理机构按照公开竞争文件规定的时间通过电子交易平台组织开标，所有响应人均应当准时在线参加。响应人不足3家的，不得开标。</w:t>
      </w:r>
    </w:p>
    <w:p>
      <w:pPr>
        <w:pStyle w:val="561"/>
        <w:spacing w:before="0" w:line="460" w:lineRule="exact"/>
        <w:ind w:left="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17.2交易时，电子交易平台按交易时间自动提取所有响应文件。代理机构依托电子交易平台发起开始解密指令，响应人按照平台提示和公开竞争文件的规定在半小时内完成在线解密。</w:t>
      </w:r>
    </w:p>
    <w:p>
      <w:pPr>
        <w:pStyle w:val="561"/>
        <w:spacing w:before="0" w:line="460" w:lineRule="exact"/>
        <w:ind w:left="0" w:firstLine="420" w:firstLineChars="175"/>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17.3响应文件未按时解密，视为响应文件撤回。</w:t>
      </w:r>
    </w:p>
    <w:p>
      <w:pPr>
        <w:pStyle w:val="26"/>
        <w:spacing w:line="460" w:lineRule="exact"/>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18、资格审查</w:t>
      </w:r>
    </w:p>
    <w:p>
      <w:pPr>
        <w:pStyle w:val="136"/>
        <w:spacing w:before="0" w:line="460" w:lineRule="exact"/>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18.1交易后，交易发起人或代理机构将依法对响应人的资格进行审查。</w:t>
      </w:r>
    </w:p>
    <w:p>
      <w:pPr>
        <w:snapToGrid w:val="0"/>
        <w:spacing w:line="4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18.2</w:t>
      </w:r>
      <w:r>
        <w:rPr>
          <w:rFonts w:hint="eastAsia" w:ascii="宋体" w:hAnsi="宋体" w:eastAsia="宋体" w:cs="宋体"/>
          <w:color w:val="auto"/>
          <w:sz w:val="24"/>
          <w:highlight w:val="none"/>
        </w:rPr>
        <w:t>交易发起人或代理机构依据法律法规和公开竞争文件的规定，对响应人的基本资格条件、特定资格条件进行审查。</w:t>
      </w:r>
    </w:p>
    <w:p>
      <w:pPr>
        <w:pStyle w:val="136"/>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18.3响应人未按照公开竞争文件要求提供与</w:t>
      </w:r>
      <w:r>
        <w:rPr>
          <w:rFonts w:hint="eastAsia" w:ascii="宋体" w:hAnsi="宋体" w:eastAsia="宋体" w:cs="宋体"/>
          <w:color w:val="auto"/>
          <w:highlight w:val="none"/>
        </w:rPr>
        <w:t>基本资格条件、特定资格条件相应的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响应人不具备公开竞争文件中规定的资格要求，其交易无效。</w:t>
      </w:r>
    </w:p>
    <w:p>
      <w:pPr>
        <w:pStyle w:val="136"/>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18.</w:t>
      </w:r>
      <w:r>
        <w:rPr>
          <w:rFonts w:hint="eastAsia" w:ascii="宋体" w:hAnsi="宋体" w:eastAsia="宋体" w:cs="宋体"/>
          <w:color w:val="auto"/>
          <w:highlight w:val="none"/>
        </w:rPr>
        <w:t>4对未通过资格审查的响应人，交易发起人或代理机构告知其未通过的原因。</w:t>
      </w:r>
    </w:p>
    <w:p>
      <w:pPr>
        <w:pStyle w:val="136"/>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18.</w:t>
      </w:r>
      <w:r>
        <w:rPr>
          <w:rFonts w:hint="eastAsia" w:ascii="宋体" w:hAnsi="宋体" w:eastAsia="宋体" w:cs="宋体"/>
          <w:color w:val="auto"/>
          <w:highlight w:val="none"/>
        </w:rPr>
        <w:t>5合格响应人不足3家的，不再评标。</w:t>
      </w:r>
    </w:p>
    <w:p>
      <w:pPr>
        <w:pStyle w:val="136"/>
        <w:spacing w:before="0" w:line="460" w:lineRule="exact"/>
        <w:ind w:firstLine="0" w:firstLineChars="0"/>
        <w:rPr>
          <w:rFonts w:hint="eastAsia" w:ascii="宋体" w:hAnsi="宋体" w:eastAsia="宋体" w:cs="宋体"/>
          <w:color w:val="auto"/>
          <w:kern w:val="0"/>
          <w:szCs w:val="24"/>
          <w:highlight w:val="none"/>
        </w:rPr>
      </w:pPr>
    </w:p>
    <w:p>
      <w:pPr>
        <w:snapToGrid w:val="0"/>
        <w:spacing w:line="460" w:lineRule="exact"/>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五、评审</w:t>
      </w:r>
    </w:p>
    <w:p>
      <w:pPr>
        <w:spacing w:line="460" w:lineRule="exact"/>
        <w:rPr>
          <w:rFonts w:hint="eastAsia" w:ascii="宋体" w:hAnsi="宋体" w:eastAsia="宋体" w:cs="宋体"/>
          <w:color w:val="auto"/>
          <w:sz w:val="24"/>
          <w:highlight w:val="none"/>
        </w:rPr>
      </w:pPr>
      <w:bookmarkStart w:id="14" w:name="_Toc91899903"/>
      <w:r>
        <w:rPr>
          <w:rFonts w:hint="eastAsia" w:ascii="宋体" w:hAnsi="宋体" w:eastAsia="宋体" w:cs="宋体"/>
          <w:b/>
          <w:color w:val="auto"/>
          <w:sz w:val="24"/>
          <w:highlight w:val="none"/>
        </w:rPr>
        <w:t>19.</w:t>
      </w:r>
      <w:r>
        <w:rPr>
          <w:rFonts w:hint="eastAsia" w:ascii="宋体" w:hAnsi="宋体" w:eastAsia="宋体" w:cs="宋体"/>
          <w:color w:val="auto"/>
          <w:sz w:val="24"/>
          <w:highlight w:val="none"/>
        </w:rPr>
        <w:t>评审委员会将根据公开竞争文件和有关规定，履行评标工作职责，并按照评标方法及评分标准，全面衡量各响应人对公开竞争文件的响应情况。对实质上响应公开竞争文件的响应人，按照评审因素的量化指标排出推荐成交的响应人的先后顺序，并按顺序提出授标建议。</w:t>
      </w:r>
    </w:p>
    <w:p>
      <w:pPr>
        <w:spacing w:line="46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详见公开竞争文件第四部分交易办法。</w:t>
      </w:r>
    </w:p>
    <w:p>
      <w:pPr>
        <w:spacing w:line="460" w:lineRule="exact"/>
        <w:rPr>
          <w:rFonts w:hint="eastAsia" w:ascii="宋体" w:hAnsi="宋体" w:eastAsia="宋体" w:cs="宋体"/>
          <w:b/>
          <w:color w:val="auto"/>
          <w:sz w:val="24"/>
          <w:highlight w:val="none"/>
        </w:rPr>
      </w:pPr>
    </w:p>
    <w:p>
      <w:pPr>
        <w:snapToGrid w:val="0"/>
        <w:spacing w:line="460" w:lineRule="exact"/>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六、定标</w:t>
      </w:r>
    </w:p>
    <w:p>
      <w:pPr>
        <w:pStyle w:val="26"/>
        <w:spacing w:line="460" w:lineRule="exact"/>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20.确定成交响应人</w:t>
      </w:r>
    </w:p>
    <w:p>
      <w:pPr>
        <w:pStyle w:val="136"/>
        <w:snapToGrid w:val="0"/>
        <w:spacing w:before="0" w:line="460" w:lineRule="exact"/>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交易发起人将自收到评审报告之日起5个工作日内通过电子交易平台在评审报告推荐的成交候选人中按顺序确定成交响应人。</w:t>
      </w:r>
    </w:p>
    <w:p>
      <w:pPr>
        <w:pStyle w:val="136"/>
        <w:snapToGrid w:val="0"/>
        <w:spacing w:before="0" w:line="460" w:lineRule="exact"/>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21.成交通知与成交结果公告</w:t>
      </w:r>
    </w:p>
    <w:p>
      <w:pPr>
        <w:widowControl/>
        <w:shd w:val="clear" w:color="auto" w:fill="FFFFFF"/>
        <w:spacing w:line="46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21.1自成交人确定之日起3天内，代理机构通过电子交易平台向成交人发出成交通知书，同时编制发布成交结果公告。代理机构也可以以纸质形式进行成交通知。</w:t>
      </w:r>
    </w:p>
    <w:p>
      <w:pPr>
        <w:widowControl/>
        <w:shd w:val="clear" w:color="auto" w:fill="FFFFFF"/>
        <w:spacing w:line="460" w:lineRule="exact"/>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21.2成交结果公告内容包括交易发起人及其委托的代理机构的名称、地址、联系方式，项目名称和交易编号，成交人名称、地址和成交金额。</w:t>
      </w:r>
    </w:p>
    <w:p>
      <w:pPr>
        <w:snapToGrid w:val="0"/>
        <w:spacing w:line="460" w:lineRule="exact"/>
        <w:ind w:left="120" w:leftChars="57" w:firstLine="482" w:firstLineChars="150"/>
        <w:jc w:val="center"/>
        <w:rPr>
          <w:rFonts w:hint="eastAsia" w:ascii="宋体" w:hAnsi="宋体" w:eastAsia="宋体" w:cs="宋体"/>
          <w:b/>
          <w:color w:val="auto"/>
          <w:sz w:val="32"/>
          <w:highlight w:val="none"/>
        </w:rPr>
      </w:pPr>
    </w:p>
    <w:p>
      <w:pPr>
        <w:snapToGrid w:val="0"/>
        <w:spacing w:line="460" w:lineRule="exact"/>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pPr>
        <w:pStyle w:val="26"/>
        <w:spacing w:line="460" w:lineRule="exact"/>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w:t>
      </w:r>
      <w:r>
        <w:rPr>
          <w:rFonts w:hint="eastAsia" w:ascii="宋体" w:hAnsi="宋体" w:eastAsia="宋体" w:cs="宋体"/>
          <w:color w:val="auto"/>
          <w:highlight w:val="none"/>
        </w:rPr>
        <w:t>合同主要条款详见第五部分拟签订的合同文本。</w:t>
      </w:r>
    </w:p>
    <w:p>
      <w:pPr>
        <w:pStyle w:val="26"/>
        <w:spacing w:line="460" w:lineRule="exact"/>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23.合同的签订</w:t>
      </w:r>
    </w:p>
    <w:p>
      <w:pPr>
        <w:widowControl/>
        <w:shd w:val="clear" w:color="auto" w:fill="FFFFFF"/>
        <w:spacing w:line="46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23.1</w:t>
      </w:r>
      <w:r>
        <w:rPr>
          <w:rFonts w:hint="eastAsia" w:ascii="宋体" w:hAnsi="宋体" w:eastAsia="宋体" w:cs="宋体"/>
          <w:color w:val="auto"/>
          <w:kern w:val="0"/>
          <w:sz w:val="24"/>
          <w:highlight w:val="none"/>
        </w:rPr>
        <w:t>交易发起人与成交人应当通过电子交易平台在成交通知书发出之日起三十日内，按照公开竞争文件确定的事项签订书面合同。</w:t>
      </w:r>
    </w:p>
    <w:p>
      <w:pPr>
        <w:pStyle w:val="136"/>
        <w:snapToGrid w:val="0"/>
        <w:spacing w:before="0" w:line="460" w:lineRule="exact"/>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w:t>
      </w:r>
      <w:r>
        <w:rPr>
          <w:rFonts w:hint="eastAsia" w:ascii="宋体" w:hAnsi="宋体" w:eastAsia="宋体" w:cs="宋体"/>
          <w:color w:val="auto"/>
          <w:kern w:val="0"/>
          <w:highlight w:val="none"/>
        </w:rPr>
        <w:t>3</w:t>
      </w:r>
      <w:r>
        <w:rPr>
          <w:rFonts w:hint="eastAsia" w:ascii="宋体" w:hAnsi="宋体" w:eastAsia="宋体" w:cs="宋体"/>
          <w:color w:val="auto"/>
          <w:kern w:val="0"/>
          <w:highlight w:val="none"/>
          <w:lang w:val="zh-CN"/>
        </w:rPr>
        <w:t>.2成交人按规定的日期、时间、地点，由法定代表人或其授权代表与交易发起人代表签订合同。如成交人为联合体的，由联合体成员各方法定代表人或其授权代表与交易发起人代表签订合同。</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23.3如签订合同并生效后，响应人无故拒绝或延期，除按照合同条款处理外，列入不良行为记录一次，并给予通报。</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23.4成交响应人拒绝与交易发起人签订合同的，交易发起人可以按照评审报告推荐的</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或者成交候选人名单排序，确定下一候选人为成交响应人，也可以重新开展交易活动。</w:t>
      </w:r>
    </w:p>
    <w:p>
      <w:pPr>
        <w:pStyle w:val="136"/>
        <w:snapToGrid w:val="0"/>
        <w:spacing w:before="0" w:after="12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23.5书面合同由交易发起人与成交响应人根据公开竞争文件、响应文件等内容签订合同。</w:t>
      </w:r>
    </w:p>
    <w:p>
      <w:pPr>
        <w:pStyle w:val="26"/>
        <w:spacing w:line="460" w:lineRule="exact"/>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24.履约保证金：</w:t>
      </w:r>
      <w:r>
        <w:rPr>
          <w:rFonts w:hint="eastAsia" w:ascii="宋体" w:hAnsi="宋体" w:eastAsia="宋体" w:cs="宋体"/>
          <w:bCs/>
          <w:color w:val="auto"/>
          <w:highlight w:val="none"/>
        </w:rPr>
        <w:t>不收取。</w:t>
      </w:r>
    </w:p>
    <w:p>
      <w:pPr>
        <w:snapToGrid w:val="0"/>
        <w:spacing w:line="460" w:lineRule="exact"/>
        <w:ind w:firstLine="3357" w:firstLineChars="1045"/>
        <w:rPr>
          <w:rFonts w:hint="eastAsia" w:ascii="宋体" w:hAnsi="宋体" w:eastAsia="宋体" w:cs="宋体"/>
          <w:b/>
          <w:color w:val="auto"/>
          <w:sz w:val="32"/>
          <w:highlight w:val="none"/>
        </w:rPr>
      </w:pPr>
    </w:p>
    <w:p>
      <w:pPr>
        <w:snapToGrid w:val="0"/>
        <w:spacing w:line="460" w:lineRule="exact"/>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pPr>
        <w:pStyle w:val="136"/>
        <w:snapToGrid w:val="0"/>
        <w:spacing w:before="0" w:line="460" w:lineRule="exact"/>
        <w:ind w:firstLine="0" w:firstLineChars="0"/>
        <w:rPr>
          <w:rFonts w:hint="eastAsia" w:ascii="宋体" w:hAnsi="宋体" w:eastAsia="宋体" w:cs="宋体"/>
          <w:color w:val="auto"/>
          <w:highlight w:val="none"/>
        </w:rPr>
      </w:pPr>
      <w:r>
        <w:rPr>
          <w:rFonts w:hint="eastAsia" w:ascii="宋体" w:hAnsi="宋体" w:eastAsia="宋体" w:cs="宋体"/>
          <w:b/>
          <w:bCs/>
          <w:color w:val="auto"/>
          <w:highlight w:val="none"/>
        </w:rPr>
        <w:t>2</w:t>
      </w:r>
      <w:r>
        <w:rPr>
          <w:rFonts w:hint="eastAsia" w:ascii="宋体" w:hAnsi="宋体" w:eastAsia="宋体" w:cs="宋体"/>
          <w:b/>
          <w:color w:val="auto"/>
          <w:szCs w:val="24"/>
          <w:highlight w:val="none"/>
        </w:rPr>
        <w:t>5.电子交易活动的中止。</w:t>
      </w:r>
      <w:r>
        <w:rPr>
          <w:rFonts w:hint="eastAsia" w:ascii="宋体" w:hAnsi="宋体" w:eastAsia="宋体" w:cs="宋体"/>
          <w:bCs/>
          <w:color w:val="auto"/>
          <w:szCs w:val="24"/>
          <w:highlight w:val="none"/>
        </w:rPr>
        <w:t>交易</w:t>
      </w:r>
      <w:r>
        <w:rPr>
          <w:rFonts w:hint="eastAsia" w:ascii="宋体" w:hAnsi="宋体" w:eastAsia="宋体" w:cs="宋体"/>
          <w:color w:val="auto"/>
          <w:highlight w:val="none"/>
        </w:rPr>
        <w:t>过程中出现以下情形，导致电子交易平台无法正常运行，或者无法保证电子交易的公平、公正和安全时，代理机构可中止电子交易活动：</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25.1电子交易平台发生故障而无法登录访问的； </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25.2电子交易平台应用或数据库出现错误，不能进行正常操作的；</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25.3电子交易平台发现严重安全漏洞，有潜在泄密危险的；</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25.4病毒发作导致不能进行正常操作的； </w:t>
      </w:r>
    </w:p>
    <w:p>
      <w:pPr>
        <w:pStyle w:val="136"/>
        <w:snapToGrid w:val="0"/>
        <w:spacing w:before="0" w:line="46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25.5其他无法保证电子交易的公平、公正和安全的情况。</w:t>
      </w:r>
    </w:p>
    <w:p>
      <w:pPr>
        <w:pStyle w:val="136"/>
        <w:snapToGrid w:val="0"/>
        <w:spacing w:before="0" w:line="460" w:lineRule="exact"/>
        <w:ind w:firstLine="0" w:firstLineChars="0"/>
        <w:rPr>
          <w:rFonts w:hint="eastAsia" w:ascii="宋体" w:hAnsi="宋体" w:eastAsia="宋体" w:cs="宋体"/>
          <w:color w:val="auto"/>
          <w:highlight w:val="none"/>
        </w:rPr>
      </w:pPr>
      <w:r>
        <w:rPr>
          <w:rFonts w:hint="eastAsia" w:ascii="宋体" w:hAnsi="宋体" w:eastAsia="宋体" w:cs="宋体"/>
          <w:b/>
          <w:bCs/>
          <w:color w:val="auto"/>
          <w:highlight w:val="none"/>
        </w:rPr>
        <w:t>26.</w:t>
      </w:r>
      <w:r>
        <w:rPr>
          <w:rFonts w:hint="eastAsia" w:ascii="宋体" w:hAnsi="宋体" w:eastAsia="宋体" w:cs="宋体"/>
          <w:color w:val="auto"/>
          <w:highlight w:val="none"/>
        </w:rPr>
        <w:t>出现以上情形，不影响交易公平、公正性的，代理机构可以待上述情形消除后继续组织电子交易活动，也可以决定某些环节以纸质形式进行；影响或可能影响交易公平、公正性的，应当重新交易。</w:t>
      </w:r>
    </w:p>
    <w:p>
      <w:pPr>
        <w:snapToGrid w:val="0"/>
        <w:spacing w:line="460" w:lineRule="exact"/>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pPr>
        <w:pStyle w:val="26"/>
        <w:spacing w:line="460" w:lineRule="exact"/>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27.验收</w:t>
      </w:r>
    </w:p>
    <w:p>
      <w:pPr>
        <w:tabs>
          <w:tab w:val="left" w:pos="0"/>
        </w:tabs>
        <w:spacing w:line="460" w:lineRule="exact"/>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27.1交易发起人应当组织对响应人履约的验收。</w:t>
      </w:r>
    </w:p>
    <w:bookmarkEnd w:id="12"/>
    <w:bookmarkEnd w:id="13"/>
    <w:bookmarkEnd w:id="14"/>
    <w:p>
      <w:pPr>
        <w:rPr>
          <w:rFonts w:hint="eastAsia" w:ascii="宋体" w:hAnsi="宋体" w:eastAsia="宋体" w:cs="宋体"/>
          <w:b/>
          <w:color w:val="auto"/>
          <w:sz w:val="36"/>
          <w:szCs w:val="36"/>
          <w:highlight w:val="none"/>
        </w:rPr>
      </w:pPr>
      <w:bookmarkStart w:id="15" w:name="第四部分"/>
      <w:r>
        <w:rPr>
          <w:rFonts w:hint="eastAsia" w:ascii="宋体" w:hAnsi="宋体" w:eastAsia="宋体" w:cs="宋体"/>
          <w:b/>
          <w:color w:val="auto"/>
          <w:sz w:val="36"/>
          <w:szCs w:val="36"/>
          <w:highlight w:val="none"/>
        </w:rPr>
        <w:br w:type="page"/>
      </w:r>
    </w:p>
    <w:p>
      <w:pPr>
        <w:jc w:val="center"/>
        <w:rPr>
          <w:rFonts w:hint="eastAsia" w:ascii="宋体" w:hAnsi="宋体" w:eastAsia="宋体" w:cs="宋体"/>
          <w:color w:val="auto"/>
          <w:sz w:val="24"/>
          <w:highlight w:val="none"/>
        </w:rPr>
      </w:pPr>
      <w:r>
        <w:rPr>
          <w:rFonts w:hint="eastAsia" w:ascii="宋体" w:hAnsi="宋体" w:eastAsia="宋体" w:cs="宋体"/>
          <w:b/>
          <w:color w:val="auto"/>
          <w:sz w:val="36"/>
          <w:szCs w:val="36"/>
          <w:highlight w:val="none"/>
        </w:rPr>
        <w:t>第三部分   交易需求</w:t>
      </w:r>
    </w:p>
    <w:p>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属于实质性要求条款的，请用符号“▲”标明，否则属于非实质性要求。</w:t>
      </w:r>
    </w:p>
    <w:p>
      <w:pPr>
        <w:numPr>
          <w:ilvl w:val="0"/>
          <w:numId w:val="2"/>
        </w:numPr>
        <w:spacing w:before="100" w:beforeAutospacing="1" w:after="240"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交易一览表</w:t>
      </w:r>
    </w:p>
    <w:tbl>
      <w:tblPr>
        <w:tblStyle w:val="65"/>
        <w:tblpPr w:leftFromText="180" w:rightFromText="180" w:vertAnchor="text" w:horzAnchor="margin" w:tblpX="-396" w:tblpY="63"/>
        <w:tblOverlap w:val="never"/>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0"/>
        <w:gridCol w:w="2160"/>
        <w:gridCol w:w="958"/>
        <w:gridCol w:w="742"/>
        <w:gridCol w:w="1135"/>
        <w:gridCol w:w="1755"/>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26" w:hRule="atLeast"/>
        </w:trPr>
        <w:tc>
          <w:tcPr>
            <w:tcW w:w="95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标项号</w:t>
            </w:r>
          </w:p>
        </w:tc>
        <w:tc>
          <w:tcPr>
            <w:tcW w:w="21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5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4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35" w:type="dxa"/>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预算（元）</w:t>
            </w:r>
          </w:p>
        </w:tc>
        <w:tc>
          <w:tcPr>
            <w:tcW w:w="1755" w:type="dxa"/>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简要规格描述或基本情况介绍</w:t>
            </w: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2" w:hRule="atLeast"/>
        </w:trPr>
        <w:tc>
          <w:tcPr>
            <w:tcW w:w="95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216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沿江景观带（民和路-金鸡路）城市设计服务采购项目</w:t>
            </w:r>
          </w:p>
        </w:tc>
        <w:tc>
          <w:tcPr>
            <w:tcW w:w="95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74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1135" w:type="dxa"/>
            <w:tcBorders>
              <w:top w:val="single" w:color="auto" w:sz="4" w:space="0"/>
              <w:left w:val="single" w:color="auto" w:sz="4" w:space="0"/>
              <w:bottom w:val="single" w:color="auto" w:sz="4" w:space="0"/>
              <w:right w:val="single" w:color="auto" w:sz="4" w:space="0"/>
            </w:tcBorders>
            <w:vAlign w:val="center"/>
          </w:tcPr>
          <w:p>
            <w:pPr>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600000</w:t>
            </w:r>
          </w:p>
        </w:tc>
        <w:tc>
          <w:tcPr>
            <w:tcW w:w="1755" w:type="dxa"/>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after="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详见二、交易需求</w:t>
            </w:r>
          </w:p>
        </w:tc>
        <w:tc>
          <w:tcPr>
            <w:tcW w:w="1364" w:type="dxa"/>
            <w:tcBorders>
              <w:top w:val="single" w:color="auto" w:sz="4" w:space="0"/>
              <w:left w:val="single" w:color="auto" w:sz="4" w:space="0"/>
              <w:bottom w:val="single" w:color="auto" w:sz="4" w:space="0"/>
              <w:right w:val="single" w:color="auto" w:sz="4" w:space="0"/>
            </w:tcBorders>
            <w:vAlign w:val="center"/>
          </w:tcPr>
          <w:p>
            <w:pPr>
              <w:snapToGrid w:val="0"/>
              <w:spacing w:after="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600000</w:t>
            </w:r>
          </w:p>
        </w:tc>
      </w:tr>
    </w:tbl>
    <w:p>
      <w:pPr>
        <w:tabs>
          <w:tab w:val="left" w:pos="0"/>
        </w:tabs>
        <w:spacing w:after="80"/>
        <w:jc w:val="center"/>
        <w:rPr>
          <w:rFonts w:hint="eastAsia" w:ascii="宋体" w:hAnsi="宋体" w:eastAsia="宋体" w:cs="宋体"/>
          <w:color w:val="auto"/>
          <w:highlight w:val="none"/>
        </w:rPr>
      </w:pPr>
    </w:p>
    <w:p>
      <w:pPr>
        <w:spacing w:line="360" w:lineRule="auto"/>
        <w:jc w:val="center"/>
        <w:rPr>
          <w:rFonts w:hint="eastAsia" w:ascii="宋体" w:hAnsi="宋体" w:eastAsia="宋体" w:cs="宋体"/>
          <w:color w:val="auto"/>
          <w:highlight w:val="none"/>
          <w:lang w:val="en-US" w:eastAsia="zh-CN"/>
        </w:rPr>
      </w:pPr>
      <w:r>
        <w:rPr>
          <w:rFonts w:hint="eastAsia" w:ascii="宋体" w:hAnsi="宋体" w:eastAsia="宋体" w:cs="宋体"/>
          <w:b/>
          <w:color w:val="auto"/>
          <w:sz w:val="32"/>
          <w:highlight w:val="none"/>
        </w:rPr>
        <w:t>二、交易</w:t>
      </w:r>
      <w:r>
        <w:rPr>
          <w:rFonts w:hint="eastAsia" w:ascii="宋体" w:hAnsi="宋体" w:cs="宋体"/>
          <w:b/>
          <w:color w:val="auto"/>
          <w:sz w:val="32"/>
          <w:highlight w:val="none"/>
          <w:lang w:val="en-US" w:eastAsia="zh-CN"/>
        </w:rPr>
        <w:t>需求</w:t>
      </w:r>
    </w:p>
    <w:p>
      <w:pPr>
        <w:keepNext w:val="0"/>
        <w:keepLines w:val="0"/>
        <w:pageBreakBefore w:val="0"/>
        <w:widowControl w:val="0"/>
        <w:kinsoku/>
        <w:wordWrap/>
        <w:overflowPunct/>
        <w:topLinePunct w:val="0"/>
        <w:autoSpaceDE/>
        <w:autoSpaceDN/>
        <w:bidi w:val="0"/>
        <w:adjustRightInd w:val="0"/>
        <w:snapToGrid/>
        <w:spacing w:after="0" w:line="360" w:lineRule="auto"/>
        <w:textAlignment w:val="auto"/>
        <w:rPr>
          <w:rFonts w:hint="eastAsia" w:ascii="宋体" w:hAnsi="宋体" w:eastAsia="宋体" w:cs="宋体"/>
          <w:b/>
          <w:bCs/>
          <w:color w:val="auto"/>
          <w:position w:val="-6"/>
          <w:sz w:val="24"/>
          <w:szCs w:val="24"/>
          <w:highlight w:val="none"/>
        </w:rPr>
      </w:pPr>
      <w:r>
        <w:rPr>
          <w:rFonts w:hint="eastAsia" w:ascii="宋体" w:hAnsi="宋体" w:eastAsia="宋体" w:cs="宋体"/>
          <w:b/>
          <w:bCs/>
          <w:color w:val="auto"/>
          <w:position w:val="-6"/>
          <w:sz w:val="24"/>
          <w:szCs w:val="24"/>
          <w:highlight w:val="none"/>
        </w:rPr>
        <w:t>1.技术需求：</w:t>
      </w:r>
    </w:p>
    <w:p>
      <w:pPr>
        <w:keepNext w:val="0"/>
        <w:keepLines w:val="0"/>
        <w:pageBreakBefore w:val="0"/>
        <w:widowControl w:val="0"/>
        <w:kinsoku/>
        <w:wordWrap/>
        <w:overflowPunct/>
        <w:topLinePunct w:val="0"/>
        <w:autoSpaceDE/>
        <w:autoSpaceDN/>
        <w:bidi w:val="0"/>
        <w:adjustRightInd w:val="0"/>
        <w:snapToGrid/>
        <w:spacing w:after="0"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一、项目概况</w:t>
      </w:r>
      <w:bookmarkStart w:id="16" w:name="_Toc161304297"/>
    </w:p>
    <w:p>
      <w:pPr>
        <w:keepNext w:val="0"/>
        <w:keepLines w:val="0"/>
        <w:pageBreakBefore w:val="0"/>
        <w:widowControl w:val="0"/>
        <w:kinsoku/>
        <w:wordWrap/>
        <w:overflowPunct/>
        <w:topLinePunct w:val="0"/>
        <w:autoSpaceDE/>
        <w:autoSpaceDN/>
        <w:bidi w:val="0"/>
        <w:adjustRightInd w:val="0"/>
        <w:snapToGrid/>
        <w:spacing w:after="0"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（一）项目背景</w:t>
      </w:r>
      <w:bookmarkEnd w:id="16"/>
    </w:p>
    <w:p>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eastAsia" w:ascii="宋体" w:hAnsi="宋体" w:eastAsia="宋体" w:cs="宋体"/>
          <w:color w:val="auto"/>
          <w:sz w:val="24"/>
          <w:szCs w:val="24"/>
          <w:highlight w:val="none"/>
        </w:rPr>
      </w:pPr>
      <w:bookmarkStart w:id="17" w:name="_Toc161304298"/>
      <w:r>
        <w:rPr>
          <w:rFonts w:hint="eastAsia" w:ascii="宋体" w:hAnsi="宋体" w:eastAsia="宋体" w:cs="宋体"/>
          <w:color w:val="auto"/>
          <w:sz w:val="24"/>
          <w:szCs w:val="24"/>
          <w:highlight w:val="none"/>
        </w:rPr>
        <w:t>在杭州市新中心转型发展战略下，钱江世纪城由传统中央商务区（CBD）向中央活力区（CAZ）转型发展。本项目位于钱江世纪城核心区域。区域内部道路、公园等城市基础设施建设，办公楼和住宅楼等高层建筑不断推进，公共空间在数量上一定程度是比较充足的。但是另一方面，由于沿江区域开发较早，在安全性和舒适性方面存在欠缺，公共空间的潜力无法得到充分发挥，该地区的活力难以提升。</w:t>
      </w:r>
    </w:p>
    <w:p>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践行发展目标，对现有公共空间及景观重新规划，建设舒适便利的多层次公共空间，公园、广场、步道等多层次公共空间并存，提升步行体验；打造活力空间，解决区域活力不足。实现宜商、宜居、宜游，宜白天和夜晚都有人气的城市化新模式的样板城区。</w:t>
      </w:r>
    </w:p>
    <w:p>
      <w:pPr>
        <w:keepNext w:val="0"/>
        <w:keepLines w:val="0"/>
        <w:pageBreakBefore w:val="0"/>
        <w:widowControl w:val="0"/>
        <w:kinsoku/>
        <w:wordWrap/>
        <w:overflowPunct/>
        <w:topLinePunct w:val="0"/>
        <w:autoSpaceDE/>
        <w:autoSpaceDN/>
        <w:bidi w:val="0"/>
        <w:adjustRightInd w:val="0"/>
        <w:snapToGrid/>
        <w:spacing w:after="0"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（二）项目位置及范围</w:t>
      </w:r>
      <w:bookmarkEnd w:id="17"/>
    </w:p>
    <w:p>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规划设计范围为钱江世纪城沿江区域，东至民和路，南至观澜路，西至金鸡路，面积约10公顷（含水域）。</w:t>
      </w:r>
    </w:p>
    <w:p>
      <w:pPr>
        <w:pStyle w:val="64"/>
        <w:spacing w:after="0"/>
        <w:jc w:val="center"/>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drawing>
          <wp:inline distT="0" distB="0" distL="114300" distR="114300">
            <wp:extent cx="5271135" cy="3799205"/>
            <wp:effectExtent l="0" t="0" r="5715" b="10795"/>
            <wp:docPr id="2" name="图片 2" descr="17363227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6322712957"/>
                    <pic:cNvPicPr>
                      <a:picLocks noChangeAspect="1"/>
                    </pic:cNvPicPr>
                  </pic:nvPicPr>
                  <pic:blipFill>
                    <a:blip r:embed="rId17"/>
                    <a:stretch>
                      <a:fillRect/>
                    </a:stretch>
                  </pic:blipFill>
                  <pic:spPr>
                    <a:xfrm>
                      <a:off x="0" y="0"/>
                      <a:ext cx="5271135" cy="3799205"/>
                    </a:xfrm>
                    <a:prstGeom prst="rect">
                      <a:avLst/>
                    </a:prstGeom>
                  </pic:spPr>
                </pic:pic>
              </a:graphicData>
            </a:graphic>
          </wp:inline>
        </w:drawing>
      </w:r>
    </w:p>
    <w:p>
      <w:pPr>
        <w:spacing w:after="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图：项目研究范围及设计范围</w:t>
      </w:r>
    </w:p>
    <w:p>
      <w:pPr>
        <w:keepNext w:val="0"/>
        <w:keepLines w:val="0"/>
        <w:pageBreakBefore w:val="0"/>
        <w:widowControl w:val="0"/>
        <w:kinsoku/>
        <w:wordWrap/>
        <w:overflowPunct/>
        <w:topLinePunct w:val="0"/>
        <w:autoSpaceDE/>
        <w:autoSpaceDN/>
        <w:bidi w:val="0"/>
        <w:adjustRightInd w:val="0"/>
        <w:spacing w:line="360" w:lineRule="auto"/>
        <w:ind w:left="0" w:firstLine="482" w:firstLineChars="200"/>
        <w:textAlignment w:val="auto"/>
        <w:rPr>
          <w:rFonts w:hint="eastAsia" w:ascii="宋体" w:hAnsi="宋体" w:eastAsia="宋体" w:cs="宋体"/>
          <w:b/>
          <w:bCs/>
          <w:color w:val="auto"/>
          <w:sz w:val="24"/>
          <w:szCs w:val="24"/>
          <w:highlight w:val="none"/>
        </w:rPr>
      </w:pPr>
      <w:bookmarkStart w:id="18" w:name="_Toc161304299"/>
      <w:r>
        <w:rPr>
          <w:rFonts w:hint="eastAsia" w:ascii="宋体" w:hAnsi="宋体" w:eastAsia="宋体" w:cs="宋体"/>
          <w:b/>
          <w:bCs/>
          <w:color w:val="auto"/>
          <w:sz w:val="24"/>
          <w:szCs w:val="24"/>
          <w:highlight w:val="none"/>
        </w:rPr>
        <w:t>（三）规划依据</w:t>
      </w:r>
      <w:bookmarkEnd w:id="18"/>
    </w:p>
    <w:p>
      <w:pPr>
        <w:keepNext w:val="0"/>
        <w:keepLines w:val="0"/>
        <w:pageBreakBefore w:val="0"/>
        <w:widowControl w:val="0"/>
        <w:kinsoku/>
        <w:wordWrap/>
        <w:overflowPunct/>
        <w:topLinePunct w:val="0"/>
        <w:autoSpaceDE/>
        <w:autoSpaceDN/>
        <w:bidi w:val="0"/>
        <w:adjustRightInd w:val="0"/>
        <w:spacing w:line="360" w:lineRule="auto"/>
        <w:ind w:left="0" w:firstLine="482" w:firstLineChars="200"/>
        <w:textAlignment w:val="auto"/>
        <w:rPr>
          <w:rFonts w:hint="eastAsia" w:ascii="宋体" w:hAnsi="宋体" w:eastAsia="宋体" w:cs="宋体"/>
          <w:b/>
          <w:color w:val="auto"/>
          <w:sz w:val="24"/>
          <w:szCs w:val="24"/>
          <w:highlight w:val="none"/>
        </w:rPr>
      </w:pPr>
      <w:bookmarkStart w:id="19" w:name="_Toc161304300"/>
      <w:r>
        <w:rPr>
          <w:rFonts w:hint="eastAsia" w:ascii="宋体" w:hAnsi="宋体" w:eastAsia="宋体" w:cs="宋体"/>
          <w:b/>
          <w:color w:val="auto"/>
          <w:sz w:val="24"/>
          <w:szCs w:val="24"/>
          <w:highlight w:val="none"/>
        </w:rPr>
        <w:t>1、上位规划与相关规划、设计</w:t>
      </w:r>
      <w:bookmarkEnd w:id="19"/>
    </w:p>
    <w:p>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宋体" w:hAnsi="宋体" w:eastAsia="宋体" w:cs="宋体"/>
          <w:bCs/>
          <w:color w:val="auto"/>
          <w:sz w:val="24"/>
          <w:szCs w:val="24"/>
          <w:highlight w:val="none"/>
        </w:rPr>
      </w:pPr>
      <w:bookmarkStart w:id="20" w:name="_Toc161304301"/>
      <w:r>
        <w:rPr>
          <w:rFonts w:hint="eastAsia" w:ascii="宋体" w:hAnsi="宋体" w:eastAsia="宋体" w:cs="宋体"/>
          <w:bCs/>
          <w:color w:val="auto"/>
          <w:sz w:val="24"/>
          <w:szCs w:val="24"/>
          <w:highlight w:val="none"/>
        </w:rPr>
        <w:t>《杭州市国土空间总体规划 萧山分区规划(2021-2035年)》</w:t>
      </w:r>
    </w:p>
    <w:p>
      <w:pPr>
        <w:keepNext w:val="0"/>
        <w:keepLines w:val="0"/>
        <w:pageBreakBefore w:val="0"/>
        <w:widowControl w:val="0"/>
        <w:kinsoku/>
        <w:wordWrap/>
        <w:overflowPunct/>
        <w:topLinePunct w:val="0"/>
        <w:autoSpaceDE/>
        <w:autoSpaceDN/>
        <w:bidi w:val="0"/>
        <w:adjustRightInd w:val="0"/>
        <w:spacing w:line="360" w:lineRule="auto"/>
        <w:ind w:left="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2、地方性法规、规章和规范性文件</w:t>
      </w:r>
      <w:bookmarkEnd w:id="20"/>
    </w:p>
    <w:p>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遵守中华人民共和国，浙江省以及杭州市的有关法律规范（包括法律、法规、规章与规范性文件）的相关规则。</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二、工作目标</w:t>
      </w:r>
    </w:p>
    <w:p>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本次方案征集希望通过前瞻性的城市公园街区设计，加快优化项目落地实施。打造</w:t>
      </w:r>
      <w:r>
        <w:rPr>
          <w:rFonts w:hint="eastAsia" w:ascii="宋体" w:hAnsi="宋体" w:eastAsia="宋体" w:cs="宋体"/>
          <w:b/>
          <w:bCs/>
          <w:color w:val="auto"/>
          <w:sz w:val="24"/>
          <w:szCs w:val="24"/>
          <w:highlight w:val="none"/>
        </w:rPr>
        <w:t>钱江世纪城滨水公共空间示范样板：</w:t>
      </w:r>
      <w:r>
        <w:rPr>
          <w:rFonts w:hint="eastAsia" w:ascii="宋体" w:hAnsi="宋体" w:eastAsia="宋体" w:cs="宋体"/>
          <w:color w:val="auto"/>
          <w:sz w:val="24"/>
          <w:szCs w:val="24"/>
          <w:highlight w:val="none"/>
        </w:rPr>
        <w:t>以“融合共享”为目标，高起点规划、高标准建设，依托钱江世纪城的发展、轨道地铁交通建设，加快推进规划建设，打造活力休闲、慢行组织便利、潮流靓丽和人文韵味的品质公共空间。</w:t>
      </w:r>
    </w:p>
    <w:p>
      <w:pPr>
        <w:keepNext w:val="0"/>
        <w:keepLines w:val="0"/>
        <w:pageBreakBefore w:val="0"/>
        <w:widowControl w:val="0"/>
        <w:kinsoku/>
        <w:wordWrap/>
        <w:overflowPunct/>
        <w:topLinePunct w:val="0"/>
        <w:autoSpaceDE/>
        <w:autoSpaceDN/>
        <w:bidi w:val="0"/>
        <w:adjustRightInd w:val="0"/>
        <w:spacing w:line="360" w:lineRule="auto"/>
        <w:ind w:left="0" w:firstLine="45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三、工作内容及重点</w:t>
      </w:r>
    </w:p>
    <w:p>
      <w:pPr>
        <w:keepNext w:val="0"/>
        <w:keepLines w:val="0"/>
        <w:pageBreakBefore w:val="0"/>
        <w:widowControl w:val="0"/>
        <w:kinsoku/>
        <w:wordWrap/>
        <w:overflowPunct/>
        <w:topLinePunct w:val="0"/>
        <w:autoSpaceDE/>
        <w:autoSpaceDN/>
        <w:bidi w:val="0"/>
        <w:adjustRightInd w:val="0"/>
        <w:spacing w:line="360" w:lineRule="auto"/>
        <w:ind w:left="0" w:firstLine="4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重点区域专项城市设计，旨在提升区域整体功能与形象，特别是对于区域内的慢行系统、绿道系统、视廊系统、景观风貌、城市家具、夜景照明等关键要素进行深度专项研究和系统优化。本项目的设计不仅要求结合现有条件解决实际问题，更需要创造性地提出符合未来发展趋势的解决方案，并注重可持续性、创新性与国际化视野。</w:t>
      </w:r>
    </w:p>
    <w:p>
      <w:pPr>
        <w:keepNext w:val="0"/>
        <w:keepLines w:val="0"/>
        <w:pageBreakBefore w:val="0"/>
        <w:widowControl w:val="0"/>
        <w:kinsoku/>
        <w:wordWrap/>
        <w:overflowPunct/>
        <w:topLinePunct w:val="0"/>
        <w:autoSpaceDE/>
        <w:autoSpaceDN/>
        <w:bidi w:val="0"/>
        <w:adjustRightInd w:val="0"/>
        <w:spacing w:line="360" w:lineRule="auto"/>
        <w:ind w:left="0" w:firstLine="45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（一）现状研究</w:t>
      </w:r>
    </w:p>
    <w:p>
      <w:pPr>
        <w:pStyle w:val="82"/>
        <w:keepNext w:val="0"/>
        <w:keepLines w:val="0"/>
        <w:pageBreakBefore w:val="0"/>
        <w:widowControl w:val="0"/>
        <w:numPr>
          <w:ilvl w:val="0"/>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现状梳理</w:t>
      </w:r>
    </w:p>
    <w:p>
      <w:pPr>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设计范围内现状的梳理应综合考虑以下多个维度，内容需覆盖但不限于：</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已建成地块的公共空间</w:t>
      </w:r>
      <w:r>
        <w:rPr>
          <w:rFonts w:hint="eastAsia" w:ascii="宋体" w:hAnsi="宋体" w:eastAsia="宋体" w:cs="宋体"/>
          <w:color w:val="auto"/>
          <w:sz w:val="24"/>
          <w:szCs w:val="24"/>
          <w:highlight w:val="none"/>
        </w:rPr>
        <w:t>：包括退距空间、内部道路、景观设施（如绿化、步道、广场等）及其与周边环境的关系，分析现有空间利用效率和功能适配度。</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人车交通流线分析</w:t>
      </w:r>
      <w:r>
        <w:rPr>
          <w:rFonts w:hint="eastAsia" w:ascii="宋体" w:hAnsi="宋体" w:eastAsia="宋体" w:cs="宋体"/>
          <w:color w:val="auto"/>
          <w:sz w:val="24"/>
          <w:szCs w:val="24"/>
          <w:highlight w:val="none"/>
        </w:rPr>
        <w:t>：包括车行与慢行系统的现状分析，识别交通瓶颈、拥堵点和潜在安全隐患，重点分析慢行系统（步行与自行车）的可达性与连贯性。</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慢行体系现状</w:t>
      </w:r>
      <w:r>
        <w:rPr>
          <w:rFonts w:hint="eastAsia" w:ascii="宋体" w:hAnsi="宋体" w:eastAsia="宋体" w:cs="宋体"/>
          <w:color w:val="auto"/>
          <w:sz w:val="24"/>
          <w:szCs w:val="24"/>
          <w:highlight w:val="none"/>
        </w:rPr>
        <w:t>：现有步行系统的连通性、可达性、舒适性与安全性。</w:t>
      </w:r>
    </w:p>
    <w:p>
      <w:pPr>
        <w:pStyle w:val="82"/>
        <w:keepNext w:val="0"/>
        <w:keepLines w:val="0"/>
        <w:pageBreakBefore w:val="0"/>
        <w:widowControl w:val="0"/>
        <w:numPr>
          <w:ilvl w:val="0"/>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问题分析</w:t>
      </w:r>
    </w:p>
    <w:p>
      <w:pPr>
        <w:pStyle w:val="82"/>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在现状梳理的基础上，针对以下方面进行深度问题分析：</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公共空间与景观问题：评估现有景观设计是否高效利用空间并符合当地气候、文化及生态特点，同时识别景观设计的局限性和生态退化问题。</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江边漫步道与功能冲突：重点分析现有跑步、步行、骑行路径的缺陷，优化慢行系统，改善不同使用群体之间的功能分流问题。</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隐私性与空间分隔：识别办公空间与公共空间的私密性冲突点，优化功能区划分，确保空间的高效利用和人群互动的合理性。</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种植与景观视线优化：梳理现状植被设计中的杂乱问题，评估种植布局对江边视线的遮挡及对生态环境的潜在影响，提出改善方向以提升整体美感和功能性。</w:t>
      </w:r>
    </w:p>
    <w:p>
      <w:pPr>
        <w:pStyle w:val="82"/>
        <w:keepNext w:val="0"/>
        <w:keepLines w:val="0"/>
        <w:pageBreakBefore w:val="0"/>
        <w:widowControl w:val="0"/>
        <w:numPr>
          <w:ilvl w:val="0"/>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规划策略及目标</w:t>
      </w:r>
    </w:p>
    <w:p>
      <w:pPr>
        <w:pStyle w:val="82"/>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基于现状问题的深入分析，本规划旨在通过优化景观、改善功能分流和提升生态环境质量，打造兼具私密性与开放性的高效空间。</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优化慢行系统</w:t>
      </w:r>
      <w:r>
        <w:rPr>
          <w:rFonts w:hint="eastAsia" w:ascii="宋体" w:hAnsi="宋体" w:eastAsia="宋体" w:cs="宋体"/>
          <w:color w:val="auto"/>
          <w:sz w:val="24"/>
          <w:szCs w:val="24"/>
          <w:highlight w:val="none"/>
        </w:rPr>
        <w:t>：重新梳理江边漫步道的跑步、步行和骑行路径，消除功能冲突点，通过合理分流设计满足多样化的使用需求，提升慢行系统的便捷性与安全性。</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提升空间隐私性</w:t>
      </w:r>
      <w:r>
        <w:rPr>
          <w:rFonts w:hint="eastAsia" w:ascii="宋体" w:hAnsi="宋体" w:eastAsia="宋体" w:cs="宋体"/>
          <w:color w:val="auto"/>
          <w:sz w:val="24"/>
          <w:szCs w:val="24"/>
          <w:highlight w:val="none"/>
        </w:rPr>
        <w:t>：针对办公区与公共空间的使用冲突，通过合理的空间分隔策略与景观屏障设计，提升办公空间的私密性，同时确保公共区域的开放性与可达性。</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改善种植布局与视线优化</w:t>
      </w:r>
      <w:r>
        <w:rPr>
          <w:rFonts w:hint="eastAsia" w:ascii="宋体" w:hAnsi="宋体" w:eastAsia="宋体" w:cs="宋体"/>
          <w:color w:val="auto"/>
          <w:sz w:val="24"/>
          <w:szCs w:val="24"/>
          <w:highlight w:val="none"/>
        </w:rPr>
        <w:t>：调整江边植被的布局，清理杂乱种植，保护并优化江景视线，同时结合本地植物打造生态友好的景观环境。</w:t>
      </w:r>
    </w:p>
    <w:p>
      <w:pPr>
        <w:pStyle w:val="82"/>
        <w:keepNext w:val="0"/>
        <w:keepLines w:val="0"/>
        <w:pageBreakBefore w:val="0"/>
        <w:widowControl w:val="0"/>
        <w:numPr>
          <w:ilvl w:val="1"/>
          <w:numId w:val="3"/>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提高空间利用效率</w:t>
      </w:r>
      <w:r>
        <w:rPr>
          <w:rFonts w:hint="eastAsia" w:ascii="宋体" w:hAnsi="宋体" w:eastAsia="宋体" w:cs="宋体"/>
          <w:color w:val="auto"/>
          <w:sz w:val="24"/>
          <w:szCs w:val="24"/>
          <w:highlight w:val="none"/>
        </w:rPr>
        <w:t>：结合场地特点，通过优化公共空间的功能分区与景观设计，提高空间利用率，满足办公人群和公众人群对多样化空间的需求。</w:t>
      </w:r>
    </w:p>
    <w:p>
      <w:pPr>
        <w:pStyle w:val="82"/>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p>
    <w:p>
      <w:pPr>
        <w:pStyle w:val="82"/>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目标：在满足功能需求的同时，塑造环境友好、生态可持续且具有地域文化与国际审美的高品质滨江空间，为公众和办公人群提供兼具休闲与实用价值的标志性场所。</w:t>
      </w:r>
    </w:p>
    <w:p>
      <w:pPr>
        <w:pStyle w:val="5"/>
        <w:keepNext w:val="0"/>
        <w:keepLines w:val="0"/>
        <w:pageBreakBefore w:val="0"/>
        <w:widowControl w:val="0"/>
        <w:kinsoku/>
        <w:wordWrap/>
        <w:overflowPunct/>
        <w:topLinePunct w:val="0"/>
        <w:autoSpaceDE/>
        <w:autoSpaceDN/>
        <w:bidi w:val="0"/>
        <w:adjustRightInd w:val="0"/>
        <w:spacing w:before="0" w:after="0" w:line="360" w:lineRule="auto"/>
        <w:ind w:left="985" w:leftChars="228" w:hanging="506" w:hangingChars="21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（二）街区公共空间及景观优化提升整体研究</w:t>
      </w:r>
    </w:p>
    <w:p>
      <w:pPr>
        <w:pStyle w:val="82"/>
        <w:keepNext w:val="0"/>
        <w:keepLines w:val="0"/>
        <w:pageBreakBefore w:val="0"/>
        <w:widowControl w:val="0"/>
        <w:numPr>
          <w:ilvl w:val="0"/>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结合现状问题与解决策略，提出公共空间及景观优化提升设计方案</w:t>
      </w:r>
    </w:p>
    <w:p>
      <w:pPr>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方案需要结合项目的区位特征、功能需求和发展目标，提出创新的公共空间设计理念，要求体现以下要素：</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设计理念与形象定位</w:t>
      </w:r>
      <w:r>
        <w:rPr>
          <w:rFonts w:hint="eastAsia" w:ascii="宋体" w:hAnsi="宋体" w:eastAsia="宋体" w:cs="宋体"/>
          <w:color w:val="auto"/>
          <w:sz w:val="24"/>
          <w:szCs w:val="24"/>
          <w:highlight w:val="none"/>
        </w:rPr>
        <w:t>：结合国际化设计理念与当地文化底蕴，提出具有全球视野的景观设计方案，注重空间的文化表达与环境适应性。</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可持续性与生态设计</w:t>
      </w:r>
      <w:r>
        <w:rPr>
          <w:rFonts w:hint="eastAsia" w:ascii="宋体" w:hAnsi="宋体" w:eastAsia="宋体" w:cs="宋体"/>
          <w:color w:val="auto"/>
          <w:sz w:val="24"/>
          <w:szCs w:val="24"/>
          <w:highlight w:val="none"/>
        </w:rPr>
        <w:t>：优化绿化布局、雨水管理和生态修复，增强项目的可持续性。特别是在景观设计中，要结合低碳技术、环境友好型材料等，以满足长期发展的需求。</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区域文化特色与创新表达</w:t>
      </w:r>
      <w:r>
        <w:rPr>
          <w:rFonts w:hint="eastAsia" w:ascii="宋体" w:hAnsi="宋体" w:eastAsia="宋体" w:cs="宋体"/>
          <w:color w:val="auto"/>
          <w:sz w:val="24"/>
          <w:szCs w:val="24"/>
          <w:highlight w:val="none"/>
        </w:rPr>
        <w:t>：在设计中融入当地历史文化元素，同时结合创新设计手法，提出既具有时代感，又能体现地域特色的景观形象。</w:t>
      </w:r>
    </w:p>
    <w:p>
      <w:pPr>
        <w:pStyle w:val="82"/>
        <w:keepNext w:val="0"/>
        <w:keepLines w:val="0"/>
        <w:pageBreakBefore w:val="0"/>
        <w:widowControl w:val="0"/>
        <w:numPr>
          <w:ilvl w:val="0"/>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交通组织优化及空间需求提出优化提升方案</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人车分流优化</w:t>
      </w:r>
      <w:r>
        <w:rPr>
          <w:rFonts w:hint="eastAsia" w:ascii="宋体" w:hAnsi="宋体" w:eastAsia="宋体" w:cs="宋体"/>
          <w:color w:val="auto"/>
          <w:sz w:val="24"/>
          <w:szCs w:val="24"/>
          <w:highlight w:val="none"/>
        </w:rPr>
        <w:t>：针对现有的交通流线与慢行系统，提出全新的交通组织方案，特别是在人车混行区实现有效的分流与交通疏导，确保行人、骑行者与车辆的安全与流畅。</w:t>
      </w:r>
    </w:p>
    <w:p>
      <w:pPr>
        <w:pStyle w:val="82"/>
        <w:keepNext w:val="0"/>
        <w:keepLines w:val="0"/>
        <w:pageBreakBefore w:val="0"/>
        <w:widowControl w:val="0"/>
        <w:numPr>
          <w:ilvl w:val="0"/>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慢行交通体系构建</w:t>
      </w:r>
      <w:r>
        <w:rPr>
          <w:rFonts w:hint="eastAsia" w:ascii="宋体" w:hAnsi="宋体" w:eastAsia="宋体" w:cs="宋体"/>
          <w:color w:val="auto"/>
          <w:sz w:val="24"/>
          <w:szCs w:val="24"/>
          <w:highlight w:val="none"/>
        </w:rPr>
        <w:t>：建立以步行、骑行为核心的慢行交通体系，设计连续、便捷的步道和绿道系统。</w:t>
      </w:r>
    </w:p>
    <w:p>
      <w:pPr>
        <w:pStyle w:val="82"/>
        <w:keepNext w:val="0"/>
        <w:keepLines w:val="0"/>
        <w:pageBreakBefore w:val="0"/>
        <w:widowControl w:val="0"/>
        <w:numPr>
          <w:ilvl w:val="0"/>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对C区建筑周边的景观、绿化、服务驿站提出改造优化方案</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C区公园改造优化方案</w:t>
      </w:r>
      <w:r>
        <w:rPr>
          <w:rFonts w:hint="eastAsia" w:ascii="宋体" w:hAnsi="宋体" w:eastAsia="宋体" w:cs="宋体"/>
          <w:color w:val="auto"/>
          <w:sz w:val="24"/>
          <w:szCs w:val="24"/>
          <w:highlight w:val="none"/>
        </w:rPr>
        <w:t>：针对C区内的公园空间，提出具体的改造建议，特别是在提升公园景观、增加绿色设施、改善空间功能等方面，要求设计方案体现创新性与可实施性。</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绿化景观与人流动线优化</w:t>
      </w:r>
      <w:r>
        <w:rPr>
          <w:rFonts w:hint="eastAsia" w:ascii="宋体" w:hAnsi="宋体" w:eastAsia="宋体" w:cs="宋体"/>
          <w:color w:val="auto"/>
          <w:sz w:val="24"/>
          <w:szCs w:val="24"/>
          <w:highlight w:val="none"/>
        </w:rPr>
        <w:t>：提出公园内绿化布局的优化，结合人流动线设计，确保人们能够在公园内获得舒适、宜人的体验。</w:t>
      </w:r>
    </w:p>
    <w:p>
      <w:pPr>
        <w:pStyle w:val="82"/>
        <w:keepNext w:val="0"/>
        <w:keepLines w:val="0"/>
        <w:pageBreakBefore w:val="0"/>
        <w:widowControl w:val="0"/>
        <w:numPr>
          <w:ilvl w:val="0"/>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对该区域夜景灯光提出优化方案</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夜景灯光改造提升方案</w:t>
      </w:r>
      <w:r>
        <w:rPr>
          <w:rFonts w:hint="eastAsia" w:ascii="宋体" w:hAnsi="宋体" w:eastAsia="宋体" w:cs="宋体"/>
          <w:color w:val="auto"/>
          <w:sz w:val="24"/>
          <w:szCs w:val="24"/>
          <w:highlight w:val="none"/>
        </w:rPr>
        <w:t>：结合区域的夜间景观需求，提出具有创新性和艺术感的夜景灯光方案，既能提升区域夜间的美学效果，又不破坏生态环境。</w:t>
      </w:r>
    </w:p>
    <w:p>
      <w:pPr>
        <w:pStyle w:val="82"/>
        <w:keepNext w:val="0"/>
        <w:keepLines w:val="0"/>
        <w:pageBreakBefore w:val="0"/>
        <w:widowControl w:val="0"/>
        <w:numPr>
          <w:ilvl w:val="1"/>
          <w:numId w:val="4"/>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“夜经济”运营提升方案</w:t>
      </w:r>
      <w:r>
        <w:rPr>
          <w:rFonts w:hint="eastAsia" w:ascii="宋体" w:hAnsi="宋体" w:eastAsia="宋体" w:cs="宋体"/>
          <w:color w:val="auto"/>
          <w:sz w:val="24"/>
          <w:szCs w:val="24"/>
          <w:highlight w:val="none"/>
        </w:rPr>
        <w:t>：基于夜景灯光设计，提出促进“夜经济”的方案，重点考虑如何通过灯光设计提升夜间商业、文化活动的吸引力，推动区域经济的多元化发展。</w:t>
      </w:r>
    </w:p>
    <w:p>
      <w:pPr>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四、成果要求</w:t>
      </w:r>
    </w:p>
    <w:p>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设计成果应参照已有的相关规划，并应遵守中华人民共和国，浙江省以及杭州市的有关法律规范（包括法律、法规、规章与规范性文件）的相关规则，并符合本招标文件设计任务书的规定。包括但不限于以下内容：</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highlight w:val="none"/>
        </w:rPr>
      </w:pPr>
      <w:bookmarkStart w:id="21" w:name="_Toc161304323"/>
      <w:r>
        <w:rPr>
          <w:rFonts w:hint="eastAsia" w:ascii="宋体" w:hAnsi="宋体" w:eastAsia="宋体" w:cs="宋体"/>
          <w:b/>
          <w:bCs/>
          <w:color w:val="auto"/>
          <w:sz w:val="24"/>
          <w:szCs w:val="24"/>
          <w:highlight w:val="none"/>
        </w:rPr>
        <w:t>（一）规划设计文本</w:t>
      </w:r>
      <w:bookmarkEnd w:id="21"/>
    </w:p>
    <w:p>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A3规格（297×420mm）</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highlight w:val="none"/>
        </w:rPr>
      </w:pPr>
      <w:bookmarkStart w:id="22" w:name="_Toc161304324"/>
      <w:r>
        <w:rPr>
          <w:rFonts w:hint="eastAsia" w:ascii="宋体" w:hAnsi="宋体" w:eastAsia="宋体" w:cs="宋体"/>
          <w:b/>
          <w:bCs/>
          <w:color w:val="auto"/>
          <w:sz w:val="24"/>
          <w:szCs w:val="24"/>
          <w:highlight w:val="none"/>
        </w:rPr>
        <w:t>（二）图纸（包含但不限于以下图纸）</w:t>
      </w:r>
      <w:bookmarkEnd w:id="22"/>
    </w:p>
    <w:p>
      <w:pPr>
        <w:pStyle w:val="82"/>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1、必要的现状分析图</w:t>
      </w:r>
    </w:p>
    <w:p>
      <w:pPr>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公园街区设计图</w:t>
      </w:r>
    </w:p>
    <w:p>
      <w:pPr>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该部分设计需提供一系列高度集成、细化的图纸，充分展现公园街区的整体构思、空间布局及多维度设计策略，确保每一项设计意图和功能需求都得到充分体现，具体要求包括：</w:t>
      </w:r>
    </w:p>
    <w:p>
      <w:pPr>
        <w:pStyle w:val="82"/>
        <w:keepNext w:val="0"/>
        <w:keepLines w:val="0"/>
        <w:pageBreakBefore w:val="0"/>
        <w:widowControl w:val="0"/>
        <w:numPr>
          <w:ilvl w:val="0"/>
          <w:numId w:val="5"/>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计总平面图：需细化展示公园及周边街区的整体空间布局，全面涵盖公共空间、绿地、步行系统、交通流线等要素，并在图中体现各功能区的空间互动与相互联系。总平面图应结合城市整体规划和公园设计的核心理念，确保设计方案具有强烈的视觉冲击力，并能够在实际实施中顺畅运作。</w:t>
      </w:r>
    </w:p>
    <w:p>
      <w:pPr>
        <w:pStyle w:val="82"/>
        <w:keepNext w:val="0"/>
        <w:keepLines w:val="0"/>
        <w:pageBreakBefore w:val="0"/>
        <w:widowControl w:val="0"/>
        <w:numPr>
          <w:ilvl w:val="0"/>
          <w:numId w:val="5"/>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共空间布局图：展示各公共区域（如广场、绿道、休闲区、文化活动场所等）的精确布局，并考虑不同群体的使用需求。每个空间的功能定位、流线组织、景观设计、景观元素的安排都应具备创新性，同时兼顾舒适性和可达性。</w:t>
      </w:r>
    </w:p>
    <w:p>
      <w:pPr>
        <w:pStyle w:val="82"/>
        <w:keepNext w:val="0"/>
        <w:keepLines w:val="0"/>
        <w:pageBreakBefore w:val="0"/>
        <w:widowControl w:val="0"/>
        <w:numPr>
          <w:ilvl w:val="0"/>
          <w:numId w:val="5"/>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交通组织图：在设计图中，清晰标示车行与慢行系统（步行、自行车、公共交通）如何有机结合，分析各类交通流线的关系，特别是如何实现人车分流、缓解交通压力，保障区域内交通安全和畅通。设计方案应充分</w:t>
      </w:r>
      <w:r>
        <w:rPr>
          <w:rFonts w:hint="eastAsia" w:ascii="宋体" w:hAnsi="宋体" w:eastAsia="宋体" w:cs="宋体"/>
          <w:color w:val="auto"/>
          <w:sz w:val="24"/>
          <w:szCs w:val="24"/>
          <w:highlight w:val="none"/>
          <w:lang w:val="en-US" w:eastAsia="zh-CN"/>
        </w:rPr>
        <w:t>体现</w:t>
      </w:r>
      <w:r>
        <w:rPr>
          <w:rFonts w:hint="eastAsia" w:ascii="宋体" w:hAnsi="宋体" w:eastAsia="宋体" w:cs="宋体"/>
          <w:color w:val="auto"/>
          <w:sz w:val="24"/>
          <w:szCs w:val="24"/>
          <w:highlight w:val="none"/>
        </w:rPr>
        <w:t>与周边交通系统的衔接与优化措施。</w:t>
      </w:r>
    </w:p>
    <w:p>
      <w:pPr>
        <w:keepNext w:val="0"/>
        <w:keepLines w:val="0"/>
        <w:pageBreakBefore w:val="0"/>
        <w:widowControl w:val="0"/>
        <w:kinsoku/>
        <w:wordWrap/>
        <w:overflowPunct/>
        <w:topLinePunct w:val="0"/>
        <w:autoSpaceDE/>
        <w:autoSpaceDN/>
        <w:bidi w:val="0"/>
        <w:adjustRightInd w:val="0"/>
        <w:spacing w:line="360" w:lineRule="auto"/>
        <w:ind w:lef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3、重要区域方案设计图：</w:t>
      </w:r>
      <w:r>
        <w:rPr>
          <w:rFonts w:hint="eastAsia" w:ascii="宋体" w:hAnsi="宋体" w:eastAsia="宋体" w:cs="宋体"/>
          <w:color w:val="auto"/>
          <w:sz w:val="24"/>
          <w:szCs w:val="24"/>
          <w:highlight w:val="none"/>
        </w:rPr>
        <w:t xml:space="preserve"> </w:t>
      </w:r>
    </w:p>
    <w:p>
      <w:pPr>
        <w:pStyle w:val="82"/>
        <w:keepNext w:val="0"/>
        <w:keepLines w:val="0"/>
        <w:pageBreakBefore w:val="0"/>
        <w:widowControl w:val="0"/>
        <w:numPr>
          <w:ilvl w:val="0"/>
          <w:numId w:val="6"/>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多层次、细化的设计图纸，包括总平面图、公共空间布局图、交通组织图等，充分展示各项设计要素的互动关系和优化策略。</w:t>
      </w:r>
    </w:p>
    <w:p>
      <w:pPr>
        <w:pStyle w:val="82"/>
        <w:keepNext w:val="0"/>
        <w:keepLines w:val="0"/>
        <w:pageBreakBefore w:val="0"/>
        <w:widowControl w:val="0"/>
        <w:numPr>
          <w:ilvl w:val="0"/>
          <w:numId w:val="6"/>
        </w:numPr>
        <w:kinsoku/>
        <w:wordWrap/>
        <w:overflowPunct/>
        <w:topLinePunct w:val="0"/>
        <w:autoSpaceDE/>
        <w:autoSpaceDN/>
        <w:bidi w:val="0"/>
        <w:adjustRightInd w:val="0"/>
        <w:spacing w:line="360" w:lineRule="auto"/>
        <w:ind w:lef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多角度的效果图（包括人视角和鸟瞰图）和场景重现，清晰表现设计意图与设计效果。</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textAlignment w:val="auto"/>
        <w:rPr>
          <w:rFonts w:hint="eastAsia" w:ascii="宋体" w:hAnsi="宋体" w:eastAsia="宋体" w:cs="宋体"/>
          <w:b/>
          <w:bCs/>
          <w:color w:val="auto"/>
          <w:sz w:val="24"/>
          <w:szCs w:val="24"/>
          <w:highlight w:val="none"/>
        </w:rPr>
      </w:pPr>
      <w:bookmarkStart w:id="23" w:name="_Toc161304325"/>
      <w:r>
        <w:rPr>
          <w:rFonts w:hint="eastAsia" w:ascii="宋体" w:hAnsi="宋体" w:eastAsia="宋体" w:cs="宋体"/>
          <w:b/>
          <w:bCs/>
          <w:color w:val="auto"/>
          <w:sz w:val="24"/>
          <w:szCs w:val="24"/>
          <w:highlight w:val="none"/>
        </w:rPr>
        <w:t>（三）电子文件</w:t>
      </w:r>
      <w:bookmarkEnd w:id="23"/>
    </w:p>
    <w:p>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电子版规划文本（PPT、DOC文件或可编辑的PDF文件）等。</w:t>
      </w:r>
    </w:p>
    <w:p>
      <w:pPr>
        <w:keepNext w:val="0"/>
        <w:keepLines w:val="0"/>
        <w:pageBreakBefore w:val="0"/>
        <w:widowControl w:val="0"/>
        <w:kinsoku/>
        <w:wordWrap/>
        <w:overflowPunct/>
        <w:topLinePunct w:val="0"/>
        <w:autoSpaceDE/>
        <w:autoSpaceDN/>
        <w:bidi w:val="0"/>
        <w:adjustRightInd w:val="0"/>
        <w:spacing w:line="360" w:lineRule="auto"/>
        <w:ind w:left="0"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pacing w:line="360"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2.商务需求：</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2.1服务期限：合同签订后14日历天。</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2.2服务质量承诺：</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（1）为确保服务质量及与交易发起人沟通联络，成交人须设置兼职主管，负责对承包项目、范围、服务质量的检查监督及与交易发起人日常业务联系；</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（2）成交人需提供员工管理服务规范要求及确保服务质量达标的具体措施；</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（3）成交人需向交易发起人提供服务承诺；</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（4）成交人须主动接受交易发起人的指导、检查、监督及协调；</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（5）现有服务范围内，由于调整而增加的工作量，不再增加费用；</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（6）因成交人工作人员的失误造成的损失由成交人负责；</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（7）成交人员工在工作及服务期间发生的一切安全事故由成交人负责，与交易发起人无关；</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2.3付款方式</w:t>
      </w:r>
    </w:p>
    <w:p>
      <w:pPr>
        <w:keepNext w:val="0"/>
        <w:keepLines w:val="0"/>
        <w:pageBreakBefore w:val="0"/>
        <w:widowControl w:val="0"/>
        <w:kinsoku/>
        <w:wordWrap/>
        <w:overflowPunct/>
        <w:topLinePunct w:val="0"/>
        <w:autoSpaceDE/>
        <w:autoSpaceDN/>
        <w:bidi w:val="0"/>
        <w:adjustRightInd w:val="0"/>
        <w:spacing w:line="360" w:lineRule="auto"/>
        <w:ind w:left="0"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完成概念性方案后支付该项目合同价款的50%，通过方案评审后支付该项目合同价款的40%，项目竣工验收后支付剩余10%款项。</w:t>
      </w:r>
    </w:p>
    <w:p>
      <w:pPr>
        <w:spacing w:line="360" w:lineRule="auto"/>
        <w:jc w:val="center"/>
        <w:rPr>
          <w:rFonts w:hint="eastAsia" w:ascii="宋体" w:hAnsi="宋体" w:eastAsia="宋体" w:cs="宋体"/>
          <w:b/>
          <w:color w:val="auto"/>
          <w:sz w:val="36"/>
          <w:szCs w:val="36"/>
          <w:highlight w:val="none"/>
        </w:rPr>
      </w:pPr>
    </w:p>
    <w:p>
      <w:pPr>
        <w:spacing w:line="360" w:lineRule="auto"/>
        <w:jc w:val="center"/>
        <w:rPr>
          <w:rFonts w:hint="eastAsia" w:ascii="宋体" w:hAnsi="宋体" w:eastAsia="宋体" w:cs="宋体"/>
          <w:b/>
          <w:color w:val="auto"/>
          <w:sz w:val="36"/>
          <w:szCs w:val="36"/>
          <w:highlight w:val="none"/>
        </w:rPr>
      </w:pPr>
    </w:p>
    <w:p>
      <w:pPr>
        <w:pStyle w:val="3"/>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3"/>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3"/>
        <w:rPr>
          <w:rFonts w:hint="eastAsia" w:ascii="宋体" w:hAnsi="宋体" w:eastAsia="宋体" w:cs="宋体"/>
          <w:b/>
          <w:color w:val="auto"/>
          <w:sz w:val="36"/>
          <w:szCs w:val="36"/>
          <w:highlight w:val="none"/>
        </w:rPr>
      </w:pPr>
    </w:p>
    <w:p>
      <w:pPr>
        <w:rPr>
          <w:rFonts w:hint="eastAsia"/>
          <w:color w:val="auto"/>
          <w:highlight w:val="none"/>
        </w:rPr>
      </w:pPr>
    </w:p>
    <w:p>
      <w:pPr>
        <w:spacing w:line="360" w:lineRule="auto"/>
        <w:jc w:val="both"/>
        <w:rPr>
          <w:rFonts w:hint="eastAsia" w:ascii="宋体" w:hAnsi="宋体" w:eastAsia="宋体" w:cs="宋体"/>
          <w:b/>
          <w:color w:val="auto"/>
          <w:sz w:val="36"/>
          <w:szCs w:val="36"/>
          <w:highlight w:val="none"/>
        </w:rPr>
      </w:pPr>
    </w:p>
    <w:p>
      <w:pPr>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24" w:name="_Toc184308066"/>
      <w:bookmarkEnd w:id="24"/>
      <w:bookmarkStart w:id="25" w:name="_Toc184310317"/>
      <w:bookmarkEnd w:id="25"/>
      <w:bookmarkStart w:id="26" w:name="_Toc184312105"/>
      <w:bookmarkEnd w:id="26"/>
      <w:bookmarkStart w:id="27" w:name="_Toc184312089"/>
      <w:bookmarkEnd w:id="27"/>
      <w:bookmarkStart w:id="28" w:name="_Toc184314465"/>
      <w:bookmarkEnd w:id="28"/>
      <w:bookmarkStart w:id="29" w:name="_Toc184312111"/>
      <w:bookmarkEnd w:id="29"/>
      <w:bookmarkStart w:id="30" w:name="_Toc184308061"/>
      <w:bookmarkEnd w:id="30"/>
      <w:bookmarkStart w:id="31" w:name="_Toc184310276"/>
      <w:bookmarkEnd w:id="31"/>
      <w:bookmarkStart w:id="32" w:name="_Toc184312073"/>
      <w:bookmarkEnd w:id="32"/>
      <w:bookmarkStart w:id="33" w:name="_Toc184313269"/>
      <w:bookmarkEnd w:id="33"/>
      <w:bookmarkStart w:id="34" w:name="_Toc184312129"/>
      <w:bookmarkEnd w:id="34"/>
      <w:bookmarkStart w:id="35" w:name="_Toc184314450"/>
      <w:bookmarkEnd w:id="35"/>
      <w:bookmarkStart w:id="36" w:name="_Toc184308070"/>
      <w:bookmarkEnd w:id="36"/>
      <w:bookmarkStart w:id="37" w:name="_Toc184312091"/>
      <w:bookmarkEnd w:id="37"/>
      <w:bookmarkStart w:id="38" w:name="_Toc184308103"/>
      <w:bookmarkEnd w:id="38"/>
      <w:bookmarkStart w:id="39" w:name="_Toc184314473"/>
      <w:bookmarkEnd w:id="39"/>
      <w:bookmarkStart w:id="40" w:name="_Toc184310301"/>
      <w:bookmarkEnd w:id="40"/>
      <w:bookmarkStart w:id="41" w:name="_Toc184314453"/>
      <w:bookmarkEnd w:id="41"/>
      <w:bookmarkStart w:id="42" w:name="_Toc184314426"/>
      <w:bookmarkEnd w:id="42"/>
      <w:bookmarkStart w:id="43" w:name="_Toc184313254"/>
      <w:bookmarkEnd w:id="43"/>
      <w:bookmarkStart w:id="44" w:name="_Toc184314433"/>
      <w:bookmarkEnd w:id="44"/>
      <w:bookmarkStart w:id="45" w:name="_Toc184310326"/>
      <w:bookmarkEnd w:id="45"/>
      <w:bookmarkStart w:id="46" w:name="_Toc184312079"/>
      <w:bookmarkEnd w:id="46"/>
      <w:bookmarkStart w:id="47" w:name="_Toc184314455"/>
      <w:bookmarkEnd w:id="47"/>
      <w:bookmarkStart w:id="48" w:name="_Toc184310299"/>
      <w:bookmarkEnd w:id="48"/>
      <w:bookmarkStart w:id="49" w:name="_Toc184308041"/>
      <w:bookmarkEnd w:id="49"/>
      <w:bookmarkStart w:id="50" w:name="_Toc184312135"/>
      <w:bookmarkEnd w:id="50"/>
      <w:bookmarkStart w:id="51" w:name="_Toc184312070"/>
      <w:bookmarkEnd w:id="51"/>
      <w:bookmarkStart w:id="52" w:name="_Toc184314476"/>
      <w:bookmarkEnd w:id="52"/>
      <w:bookmarkStart w:id="53" w:name="_Toc184313308"/>
      <w:bookmarkEnd w:id="53"/>
      <w:bookmarkStart w:id="54" w:name="_Toc184313297"/>
      <w:bookmarkEnd w:id="54"/>
      <w:bookmarkStart w:id="55" w:name="_Toc184313278"/>
      <w:bookmarkEnd w:id="55"/>
      <w:bookmarkStart w:id="56" w:name="_Toc184313267"/>
      <w:bookmarkEnd w:id="56"/>
      <w:bookmarkStart w:id="57" w:name="_Toc184313253"/>
      <w:bookmarkEnd w:id="57"/>
      <w:bookmarkStart w:id="58" w:name="_Toc184310277"/>
      <w:bookmarkEnd w:id="58"/>
      <w:bookmarkStart w:id="59" w:name="_Toc184313290"/>
      <w:bookmarkEnd w:id="59"/>
      <w:bookmarkStart w:id="60" w:name="_Toc184308062"/>
      <w:bookmarkEnd w:id="60"/>
      <w:bookmarkStart w:id="61" w:name="_Toc184313274"/>
      <w:bookmarkEnd w:id="61"/>
      <w:bookmarkStart w:id="62" w:name="_Toc184308081"/>
      <w:bookmarkEnd w:id="62"/>
      <w:bookmarkStart w:id="63" w:name="_Toc184313282"/>
      <w:bookmarkEnd w:id="63"/>
      <w:bookmarkStart w:id="64" w:name="_Toc184312125"/>
      <w:bookmarkEnd w:id="64"/>
      <w:bookmarkStart w:id="65" w:name="_Toc184312082"/>
      <w:bookmarkEnd w:id="65"/>
      <w:bookmarkStart w:id="66" w:name="_Toc184313288"/>
      <w:bookmarkEnd w:id="66"/>
      <w:bookmarkStart w:id="67" w:name="_Toc184313296"/>
      <w:bookmarkEnd w:id="67"/>
      <w:bookmarkStart w:id="68" w:name="_Toc184310278"/>
      <w:bookmarkEnd w:id="68"/>
      <w:bookmarkStart w:id="69" w:name="_Toc184310285"/>
      <w:bookmarkEnd w:id="69"/>
      <w:bookmarkStart w:id="70" w:name="_Toc184314413"/>
      <w:bookmarkEnd w:id="70"/>
      <w:bookmarkStart w:id="71" w:name="_Toc184312121"/>
      <w:bookmarkEnd w:id="71"/>
      <w:bookmarkStart w:id="72" w:name="_Toc184312127"/>
      <w:bookmarkEnd w:id="72"/>
      <w:bookmarkStart w:id="73" w:name="_Toc184313255"/>
      <w:bookmarkEnd w:id="73"/>
      <w:bookmarkStart w:id="74" w:name="_Toc184313259"/>
      <w:bookmarkEnd w:id="74"/>
      <w:bookmarkStart w:id="75" w:name="_Toc184310337"/>
      <w:bookmarkEnd w:id="75"/>
      <w:bookmarkStart w:id="76" w:name="_Toc184314451"/>
      <w:bookmarkEnd w:id="76"/>
      <w:bookmarkStart w:id="77" w:name="_Toc184312117"/>
      <w:bookmarkEnd w:id="77"/>
      <w:bookmarkStart w:id="78" w:name="_Toc184314423"/>
      <w:bookmarkEnd w:id="78"/>
      <w:bookmarkStart w:id="79" w:name="_Toc184312084"/>
      <w:bookmarkEnd w:id="79"/>
      <w:bookmarkStart w:id="80" w:name="_Toc184310343"/>
      <w:bookmarkEnd w:id="80"/>
      <w:bookmarkStart w:id="81" w:name="_Toc184312068"/>
      <w:bookmarkEnd w:id="81"/>
      <w:bookmarkStart w:id="82" w:name="_Toc184312077"/>
      <w:bookmarkEnd w:id="82"/>
      <w:bookmarkStart w:id="83" w:name="_Toc184310293"/>
      <w:bookmarkEnd w:id="83"/>
      <w:bookmarkStart w:id="84" w:name="_Toc184310295"/>
      <w:bookmarkEnd w:id="84"/>
      <w:bookmarkStart w:id="85" w:name="_Toc184310344"/>
      <w:bookmarkEnd w:id="85"/>
      <w:bookmarkStart w:id="86" w:name="_Toc184314469"/>
      <w:bookmarkEnd w:id="86"/>
      <w:bookmarkStart w:id="87" w:name="_Toc184314430"/>
      <w:bookmarkEnd w:id="87"/>
      <w:bookmarkStart w:id="88" w:name="_Toc184310273"/>
      <w:bookmarkEnd w:id="88"/>
      <w:bookmarkStart w:id="89" w:name="_Toc184310339"/>
      <w:bookmarkEnd w:id="89"/>
      <w:bookmarkStart w:id="90" w:name="_Toc184312114"/>
      <w:bookmarkEnd w:id="90"/>
      <w:bookmarkStart w:id="91" w:name="_Toc184314412"/>
      <w:bookmarkEnd w:id="91"/>
      <w:bookmarkStart w:id="92" w:name="_Toc184313293"/>
      <w:bookmarkEnd w:id="92"/>
      <w:bookmarkStart w:id="93" w:name="_Toc184310319"/>
      <w:bookmarkEnd w:id="93"/>
      <w:bookmarkStart w:id="94" w:name="_Toc184312099"/>
      <w:bookmarkEnd w:id="94"/>
      <w:bookmarkStart w:id="95" w:name="_Toc184314416"/>
      <w:bookmarkEnd w:id="95"/>
      <w:bookmarkStart w:id="96" w:name="_Toc184313305"/>
      <w:bookmarkEnd w:id="96"/>
      <w:bookmarkStart w:id="97" w:name="_Toc184308054"/>
      <w:bookmarkEnd w:id="97"/>
      <w:bookmarkStart w:id="98" w:name="_Toc184308100"/>
      <w:bookmarkEnd w:id="98"/>
      <w:bookmarkStart w:id="99" w:name="_Toc184310333"/>
      <w:bookmarkEnd w:id="99"/>
      <w:bookmarkStart w:id="100" w:name="_Toc184308060"/>
      <w:bookmarkEnd w:id="100"/>
      <w:bookmarkStart w:id="101" w:name="_Toc184310320"/>
      <w:bookmarkEnd w:id="101"/>
      <w:bookmarkStart w:id="102" w:name="_Toc184310309"/>
      <w:bookmarkEnd w:id="102"/>
      <w:bookmarkStart w:id="103" w:name="_Toc184313266"/>
      <w:bookmarkEnd w:id="103"/>
      <w:bookmarkStart w:id="104" w:name="_Toc184314446"/>
      <w:bookmarkEnd w:id="104"/>
      <w:bookmarkStart w:id="105" w:name="_Toc184308067"/>
      <w:bookmarkEnd w:id="105"/>
      <w:bookmarkStart w:id="106" w:name="_Toc184314429"/>
      <w:bookmarkEnd w:id="106"/>
      <w:bookmarkStart w:id="107" w:name="_Toc184314418"/>
      <w:bookmarkEnd w:id="107"/>
      <w:bookmarkStart w:id="108" w:name="_Toc184310306"/>
      <w:bookmarkEnd w:id="108"/>
      <w:bookmarkStart w:id="109" w:name="_Toc184308064"/>
      <w:bookmarkEnd w:id="109"/>
      <w:bookmarkStart w:id="110" w:name="_Toc184313272"/>
      <w:bookmarkEnd w:id="110"/>
      <w:bookmarkStart w:id="111" w:name="_Toc184312076"/>
      <w:bookmarkEnd w:id="111"/>
      <w:bookmarkStart w:id="112" w:name="_Toc184310316"/>
      <w:bookmarkEnd w:id="112"/>
      <w:bookmarkStart w:id="113" w:name="_Toc184308092"/>
      <w:bookmarkEnd w:id="113"/>
      <w:bookmarkStart w:id="114" w:name="_Toc184310341"/>
      <w:bookmarkEnd w:id="114"/>
      <w:bookmarkStart w:id="115" w:name="_Toc184313248"/>
      <w:bookmarkEnd w:id="115"/>
      <w:bookmarkStart w:id="116" w:name="_Toc184308038"/>
      <w:bookmarkEnd w:id="116"/>
      <w:bookmarkStart w:id="117" w:name="_Toc184312137"/>
      <w:bookmarkEnd w:id="117"/>
      <w:bookmarkStart w:id="118" w:name="_Toc184310284"/>
      <w:bookmarkEnd w:id="118"/>
      <w:bookmarkStart w:id="119" w:name="_Toc184312086"/>
      <w:bookmarkEnd w:id="119"/>
      <w:bookmarkStart w:id="120" w:name="_Toc184314462"/>
      <w:bookmarkEnd w:id="120"/>
      <w:bookmarkStart w:id="121" w:name="_Toc184308049"/>
      <w:bookmarkEnd w:id="121"/>
      <w:bookmarkStart w:id="122" w:name="_Toc184310272"/>
      <w:bookmarkEnd w:id="122"/>
      <w:bookmarkStart w:id="123" w:name="_Toc184313243"/>
      <w:bookmarkEnd w:id="123"/>
      <w:bookmarkStart w:id="124" w:name="_Toc184314442"/>
      <w:bookmarkEnd w:id="124"/>
      <w:bookmarkStart w:id="125" w:name="_Toc184310279"/>
      <w:bookmarkEnd w:id="125"/>
      <w:bookmarkStart w:id="126" w:name="_Toc184310313"/>
      <w:bookmarkEnd w:id="126"/>
      <w:bookmarkStart w:id="127" w:name="_Toc184314467"/>
      <w:bookmarkEnd w:id="127"/>
      <w:bookmarkStart w:id="128" w:name="_Toc184314468"/>
      <w:bookmarkEnd w:id="128"/>
      <w:bookmarkStart w:id="129" w:name="_Toc184310332"/>
      <w:bookmarkEnd w:id="129"/>
      <w:bookmarkStart w:id="130" w:name="_Toc184312106"/>
      <w:bookmarkEnd w:id="130"/>
      <w:bookmarkStart w:id="131" w:name="_Toc184314472"/>
      <w:bookmarkEnd w:id="131"/>
      <w:bookmarkStart w:id="132" w:name="_Toc184308039"/>
      <w:bookmarkEnd w:id="132"/>
      <w:bookmarkStart w:id="133" w:name="_Toc184312080"/>
      <w:bookmarkEnd w:id="133"/>
      <w:bookmarkStart w:id="134" w:name="_Toc184308036"/>
      <w:bookmarkEnd w:id="134"/>
      <w:bookmarkStart w:id="135" w:name="_Toc184312071"/>
      <w:bookmarkEnd w:id="135"/>
      <w:bookmarkStart w:id="136" w:name="_Toc184312128"/>
      <w:bookmarkEnd w:id="136"/>
      <w:bookmarkStart w:id="137" w:name="_Toc184308069"/>
      <w:bookmarkEnd w:id="137"/>
      <w:bookmarkStart w:id="138" w:name="_Toc184312095"/>
      <w:bookmarkEnd w:id="138"/>
      <w:bookmarkStart w:id="139" w:name="_Toc184312112"/>
      <w:bookmarkEnd w:id="139"/>
      <w:bookmarkStart w:id="140" w:name="_Toc184310305"/>
      <w:bookmarkEnd w:id="140"/>
      <w:bookmarkStart w:id="141" w:name="_Toc184308046"/>
      <w:bookmarkEnd w:id="141"/>
      <w:bookmarkStart w:id="142" w:name="_Toc184314449"/>
      <w:bookmarkEnd w:id="142"/>
      <w:bookmarkStart w:id="143" w:name="_Toc184312098"/>
      <w:bookmarkEnd w:id="143"/>
      <w:bookmarkStart w:id="144" w:name="_Toc184314415"/>
      <w:bookmarkEnd w:id="144"/>
      <w:bookmarkStart w:id="145" w:name="_Toc184313246"/>
      <w:bookmarkEnd w:id="145"/>
      <w:bookmarkStart w:id="146" w:name="_Toc184308045"/>
      <w:bookmarkEnd w:id="146"/>
      <w:bookmarkStart w:id="147" w:name="_Toc184308071"/>
      <w:bookmarkEnd w:id="147"/>
      <w:bookmarkStart w:id="148" w:name="_Toc184312122"/>
      <w:bookmarkEnd w:id="148"/>
      <w:bookmarkStart w:id="149" w:name="_Toc184313262"/>
      <w:bookmarkEnd w:id="149"/>
      <w:bookmarkStart w:id="150" w:name="_Toc184313265"/>
      <w:bookmarkEnd w:id="150"/>
      <w:bookmarkStart w:id="151" w:name="_Toc184310315"/>
      <w:bookmarkEnd w:id="151"/>
      <w:bookmarkStart w:id="152" w:name="_Toc184312108"/>
      <w:bookmarkEnd w:id="152"/>
      <w:bookmarkStart w:id="153" w:name="_Toc184314436"/>
      <w:bookmarkEnd w:id="153"/>
      <w:bookmarkStart w:id="154" w:name="_Toc184313307"/>
      <w:bookmarkEnd w:id="154"/>
      <w:bookmarkStart w:id="155" w:name="_Toc184308083"/>
      <w:bookmarkEnd w:id="155"/>
      <w:bookmarkStart w:id="156" w:name="_Toc184310297"/>
      <w:bookmarkEnd w:id="156"/>
      <w:bookmarkStart w:id="157" w:name="_Toc184312092"/>
      <w:bookmarkEnd w:id="157"/>
      <w:bookmarkStart w:id="158" w:name="_Toc184314480"/>
      <w:bookmarkEnd w:id="158"/>
      <w:bookmarkStart w:id="159" w:name="_Toc184310328"/>
      <w:bookmarkEnd w:id="159"/>
      <w:bookmarkStart w:id="160" w:name="_Toc184314431"/>
      <w:bookmarkEnd w:id="160"/>
      <w:bookmarkStart w:id="161" w:name="_Toc184310281"/>
      <w:bookmarkEnd w:id="161"/>
      <w:bookmarkStart w:id="162" w:name="_Toc184308108"/>
      <w:bookmarkEnd w:id="162"/>
      <w:bookmarkStart w:id="163" w:name="_Toc184313263"/>
      <w:bookmarkEnd w:id="163"/>
      <w:bookmarkStart w:id="164" w:name="_Toc184310300"/>
      <w:bookmarkEnd w:id="164"/>
      <w:bookmarkStart w:id="165" w:name="_Toc184314454"/>
      <w:bookmarkEnd w:id="165"/>
      <w:bookmarkStart w:id="166" w:name="_Toc184308096"/>
      <w:bookmarkEnd w:id="166"/>
      <w:bookmarkStart w:id="167" w:name="_Toc184313280"/>
      <w:bookmarkEnd w:id="167"/>
      <w:bookmarkStart w:id="168" w:name="_Toc184310291"/>
      <w:bookmarkEnd w:id="168"/>
      <w:bookmarkStart w:id="169" w:name="_Toc184308048"/>
      <w:bookmarkEnd w:id="169"/>
      <w:bookmarkStart w:id="170" w:name="_Toc184314417"/>
      <w:bookmarkEnd w:id="170"/>
      <w:bookmarkStart w:id="171" w:name="_Toc184308073"/>
      <w:bookmarkEnd w:id="171"/>
      <w:bookmarkStart w:id="172" w:name="_Toc184310336"/>
      <w:bookmarkEnd w:id="172"/>
      <w:bookmarkStart w:id="173" w:name="_Toc184312102"/>
      <w:bookmarkEnd w:id="173"/>
      <w:bookmarkStart w:id="174" w:name="_Toc184314439"/>
      <w:bookmarkEnd w:id="174"/>
      <w:bookmarkStart w:id="175" w:name="_Toc184312132"/>
      <w:bookmarkEnd w:id="175"/>
      <w:bookmarkStart w:id="176" w:name="_Toc184314459"/>
      <w:bookmarkEnd w:id="176"/>
      <w:bookmarkStart w:id="177" w:name="_Toc184313302"/>
      <w:bookmarkEnd w:id="177"/>
      <w:bookmarkStart w:id="178" w:name="_Toc184313300"/>
      <w:bookmarkEnd w:id="178"/>
      <w:bookmarkStart w:id="179" w:name="_Toc184313244"/>
      <w:bookmarkEnd w:id="179"/>
      <w:bookmarkStart w:id="180" w:name="_Toc184314482"/>
      <w:bookmarkEnd w:id="180"/>
      <w:bookmarkStart w:id="181" w:name="_Toc184313268"/>
      <w:bookmarkEnd w:id="181"/>
      <w:bookmarkStart w:id="182" w:name="_Toc184310338"/>
      <w:bookmarkEnd w:id="182"/>
      <w:bookmarkStart w:id="183" w:name="_Toc184312109"/>
      <w:bookmarkEnd w:id="183"/>
      <w:bookmarkStart w:id="184" w:name="_Toc184308097"/>
      <w:bookmarkEnd w:id="184"/>
      <w:bookmarkStart w:id="185" w:name="_Toc184313271"/>
      <w:bookmarkEnd w:id="185"/>
      <w:bookmarkStart w:id="186" w:name="_Toc184308099"/>
      <w:bookmarkEnd w:id="186"/>
      <w:bookmarkStart w:id="187" w:name="_Toc184312088"/>
      <w:bookmarkEnd w:id="187"/>
      <w:bookmarkStart w:id="188" w:name="_Toc184310290"/>
      <w:bookmarkEnd w:id="188"/>
      <w:bookmarkStart w:id="189" w:name="_Toc184312134"/>
      <w:bookmarkEnd w:id="189"/>
      <w:bookmarkStart w:id="190" w:name="_Toc184313295"/>
      <w:bookmarkEnd w:id="190"/>
      <w:bookmarkStart w:id="191" w:name="_Toc184312100"/>
      <w:bookmarkEnd w:id="191"/>
      <w:bookmarkStart w:id="192" w:name="_Toc184308102"/>
      <w:bookmarkEnd w:id="192"/>
      <w:bookmarkStart w:id="193" w:name="_Toc184310311"/>
      <w:bookmarkEnd w:id="193"/>
      <w:bookmarkStart w:id="194" w:name="_Toc184314456"/>
      <w:bookmarkEnd w:id="194"/>
      <w:bookmarkStart w:id="195" w:name="_Toc184312130"/>
      <w:bookmarkEnd w:id="195"/>
      <w:bookmarkStart w:id="196" w:name="_Toc184313256"/>
      <w:bookmarkEnd w:id="196"/>
      <w:bookmarkStart w:id="197" w:name="_Toc184310307"/>
      <w:bookmarkEnd w:id="197"/>
      <w:bookmarkStart w:id="198" w:name="_Toc184314414"/>
      <w:bookmarkEnd w:id="198"/>
      <w:bookmarkStart w:id="199" w:name="_Toc184312094"/>
      <w:bookmarkEnd w:id="199"/>
      <w:bookmarkStart w:id="200" w:name="_Toc184308089"/>
      <w:bookmarkEnd w:id="200"/>
      <w:bookmarkStart w:id="201" w:name="_Toc184310292"/>
      <w:bookmarkEnd w:id="201"/>
      <w:bookmarkStart w:id="202" w:name="_Toc184312118"/>
      <w:bookmarkEnd w:id="202"/>
      <w:bookmarkStart w:id="203" w:name="_Toc184313273"/>
      <w:bookmarkEnd w:id="203"/>
      <w:bookmarkStart w:id="204" w:name="_Toc184308093"/>
      <w:bookmarkEnd w:id="204"/>
      <w:bookmarkStart w:id="205" w:name="_Toc184314474"/>
      <w:bookmarkEnd w:id="205"/>
      <w:bookmarkStart w:id="206" w:name="_Toc184312110"/>
      <w:bookmarkEnd w:id="206"/>
      <w:bookmarkStart w:id="207" w:name="_Toc184313285"/>
      <w:bookmarkEnd w:id="207"/>
      <w:bookmarkStart w:id="208" w:name="_Toc184308105"/>
      <w:bookmarkEnd w:id="208"/>
      <w:bookmarkStart w:id="209" w:name="_Toc184314466"/>
      <w:bookmarkEnd w:id="209"/>
      <w:bookmarkStart w:id="210" w:name="_Toc184312085"/>
      <w:bookmarkEnd w:id="210"/>
      <w:bookmarkStart w:id="211" w:name="_Toc184314411"/>
      <w:bookmarkEnd w:id="211"/>
      <w:bookmarkStart w:id="212" w:name="_Toc184310283"/>
      <w:bookmarkEnd w:id="212"/>
      <w:bookmarkStart w:id="213" w:name="_Toc184308085"/>
      <w:bookmarkEnd w:id="213"/>
      <w:bookmarkStart w:id="214" w:name="_Toc184314432"/>
      <w:bookmarkEnd w:id="214"/>
      <w:bookmarkStart w:id="215" w:name="_Toc184314464"/>
      <w:bookmarkEnd w:id="215"/>
      <w:bookmarkStart w:id="216" w:name="_Toc184310310"/>
      <w:bookmarkEnd w:id="216"/>
      <w:bookmarkStart w:id="217" w:name="_Toc184308058"/>
      <w:bookmarkEnd w:id="217"/>
      <w:bookmarkStart w:id="218" w:name="_Toc184313250"/>
      <w:bookmarkEnd w:id="218"/>
      <w:bookmarkStart w:id="219" w:name="_Toc184313306"/>
      <w:bookmarkEnd w:id="219"/>
      <w:bookmarkStart w:id="220" w:name="_Toc184308094"/>
      <w:bookmarkEnd w:id="220"/>
      <w:bookmarkStart w:id="221" w:name="_Toc184312083"/>
      <w:bookmarkEnd w:id="221"/>
      <w:bookmarkStart w:id="222" w:name="_Toc184308101"/>
      <w:bookmarkEnd w:id="222"/>
      <w:bookmarkStart w:id="223" w:name="_Toc184310280"/>
      <w:bookmarkEnd w:id="223"/>
      <w:bookmarkStart w:id="224" w:name="_Toc184313245"/>
      <w:bookmarkEnd w:id="224"/>
      <w:bookmarkStart w:id="225" w:name="_Toc184308095"/>
      <w:bookmarkEnd w:id="225"/>
      <w:bookmarkStart w:id="226" w:name="_Toc184308080"/>
      <w:bookmarkEnd w:id="226"/>
      <w:bookmarkStart w:id="227" w:name="_Toc184312078"/>
      <w:bookmarkEnd w:id="227"/>
      <w:bookmarkStart w:id="228" w:name="_Toc184313301"/>
      <w:bookmarkEnd w:id="228"/>
      <w:bookmarkStart w:id="229" w:name="_Toc184314481"/>
      <w:bookmarkEnd w:id="229"/>
      <w:bookmarkStart w:id="230" w:name="_Toc184313258"/>
      <w:bookmarkEnd w:id="230"/>
      <w:bookmarkStart w:id="231" w:name="_Toc184314444"/>
      <w:bookmarkEnd w:id="231"/>
      <w:bookmarkStart w:id="232" w:name="_Toc184310321"/>
      <w:bookmarkEnd w:id="232"/>
      <w:bookmarkStart w:id="233" w:name="_Toc184308075"/>
      <w:bookmarkEnd w:id="233"/>
      <w:bookmarkStart w:id="234" w:name="_Toc184312069"/>
      <w:bookmarkEnd w:id="234"/>
      <w:bookmarkStart w:id="235" w:name="_Toc184312104"/>
      <w:bookmarkEnd w:id="235"/>
      <w:bookmarkStart w:id="236" w:name="_Toc184313277"/>
      <w:bookmarkEnd w:id="236"/>
      <w:bookmarkStart w:id="237" w:name="_Toc184310304"/>
      <w:bookmarkEnd w:id="237"/>
      <w:bookmarkStart w:id="238" w:name="_Toc184312093"/>
      <w:bookmarkEnd w:id="238"/>
      <w:bookmarkStart w:id="239" w:name="_Toc184313251"/>
      <w:bookmarkEnd w:id="239"/>
      <w:bookmarkStart w:id="240" w:name="_Toc184314424"/>
      <w:bookmarkEnd w:id="240"/>
      <w:bookmarkStart w:id="241" w:name="_Toc184314477"/>
      <w:bookmarkEnd w:id="241"/>
      <w:bookmarkStart w:id="242" w:name="_Toc184314463"/>
      <w:bookmarkEnd w:id="242"/>
      <w:bookmarkStart w:id="243" w:name="_Toc184308090"/>
      <w:bookmarkEnd w:id="243"/>
      <w:bookmarkStart w:id="244" w:name="_Toc184310289"/>
      <w:bookmarkEnd w:id="244"/>
      <w:bookmarkStart w:id="245" w:name="_Toc184312096"/>
      <w:bookmarkEnd w:id="245"/>
      <w:bookmarkStart w:id="246" w:name="_Toc184310329"/>
      <w:bookmarkEnd w:id="246"/>
      <w:bookmarkStart w:id="247" w:name="_Toc184314460"/>
      <w:bookmarkEnd w:id="247"/>
      <w:bookmarkStart w:id="248" w:name="_Toc184310275"/>
      <w:bookmarkEnd w:id="248"/>
      <w:bookmarkStart w:id="249" w:name="_Toc184314471"/>
      <w:bookmarkEnd w:id="249"/>
      <w:bookmarkStart w:id="250" w:name="_Toc184312116"/>
      <w:bookmarkEnd w:id="250"/>
      <w:bookmarkStart w:id="251" w:name="_Toc184310335"/>
      <w:bookmarkEnd w:id="251"/>
      <w:bookmarkStart w:id="252" w:name="_Toc184308051"/>
      <w:bookmarkEnd w:id="252"/>
      <w:bookmarkStart w:id="253" w:name="_Toc184310325"/>
      <w:bookmarkEnd w:id="253"/>
      <w:bookmarkStart w:id="254" w:name="_Toc184312124"/>
      <w:bookmarkEnd w:id="254"/>
      <w:bookmarkStart w:id="255" w:name="_Toc184312072"/>
      <w:bookmarkEnd w:id="255"/>
      <w:bookmarkStart w:id="256" w:name="_Toc184308104"/>
      <w:bookmarkEnd w:id="256"/>
      <w:bookmarkStart w:id="257" w:name="_Toc184308084"/>
      <w:bookmarkEnd w:id="257"/>
      <w:bookmarkStart w:id="258" w:name="_Toc184312138"/>
      <w:bookmarkEnd w:id="258"/>
      <w:bookmarkStart w:id="259" w:name="_Toc184308043"/>
      <w:bookmarkEnd w:id="259"/>
      <w:bookmarkStart w:id="260" w:name="_Toc184313304"/>
      <w:bookmarkEnd w:id="260"/>
      <w:bookmarkStart w:id="261" w:name="_Toc184308063"/>
      <w:bookmarkEnd w:id="261"/>
      <w:bookmarkStart w:id="262" w:name="_Toc184310324"/>
      <w:bookmarkEnd w:id="262"/>
      <w:bookmarkStart w:id="263" w:name="_Toc184312113"/>
      <w:bookmarkEnd w:id="263"/>
      <w:bookmarkStart w:id="264" w:name="_Toc184310288"/>
      <w:bookmarkEnd w:id="264"/>
      <w:bookmarkStart w:id="265" w:name="_Toc184314461"/>
      <w:bookmarkEnd w:id="265"/>
      <w:bookmarkStart w:id="266" w:name="_Toc184308106"/>
      <w:bookmarkEnd w:id="266"/>
      <w:bookmarkStart w:id="267" w:name="_Toc184313303"/>
      <w:bookmarkEnd w:id="267"/>
      <w:bookmarkStart w:id="268" w:name="_Toc184313299"/>
      <w:bookmarkEnd w:id="268"/>
      <w:bookmarkStart w:id="269" w:name="_Toc184310330"/>
      <w:bookmarkEnd w:id="269"/>
      <w:bookmarkStart w:id="270" w:name="_Toc184312126"/>
      <w:bookmarkEnd w:id="270"/>
      <w:bookmarkStart w:id="271" w:name="_Toc184310340"/>
      <w:bookmarkEnd w:id="271"/>
      <w:bookmarkStart w:id="272" w:name="_Toc184314437"/>
      <w:bookmarkEnd w:id="272"/>
      <w:bookmarkStart w:id="273" w:name="_Toc184310342"/>
      <w:bookmarkEnd w:id="273"/>
      <w:bookmarkStart w:id="274" w:name="_Toc184312123"/>
      <w:bookmarkEnd w:id="274"/>
      <w:bookmarkStart w:id="275" w:name="_Toc184314410"/>
      <w:bookmarkEnd w:id="275"/>
      <w:bookmarkStart w:id="276" w:name="_Toc184308040"/>
      <w:bookmarkEnd w:id="276"/>
      <w:bookmarkStart w:id="277" w:name="_Toc184310314"/>
      <w:bookmarkEnd w:id="277"/>
      <w:bookmarkStart w:id="278" w:name="_Toc184312120"/>
      <w:bookmarkEnd w:id="278"/>
      <w:bookmarkStart w:id="279" w:name="_Toc184314475"/>
      <w:bookmarkEnd w:id="279"/>
      <w:bookmarkStart w:id="280" w:name="_Toc184308079"/>
      <w:bookmarkEnd w:id="280"/>
      <w:bookmarkStart w:id="281" w:name="_Toc184308037"/>
      <w:bookmarkEnd w:id="281"/>
      <w:bookmarkStart w:id="282" w:name="_Toc184310331"/>
      <w:bookmarkEnd w:id="282"/>
      <w:bookmarkStart w:id="283" w:name="_Toc184313289"/>
      <w:bookmarkEnd w:id="283"/>
      <w:bookmarkStart w:id="284" w:name="_Toc184313286"/>
      <w:bookmarkEnd w:id="284"/>
      <w:bookmarkStart w:id="285" w:name="_Toc184310294"/>
      <w:bookmarkEnd w:id="285"/>
      <w:bookmarkStart w:id="286" w:name="_Toc184314443"/>
      <w:bookmarkEnd w:id="286"/>
      <w:bookmarkStart w:id="287" w:name="_Toc184312074"/>
      <w:bookmarkEnd w:id="287"/>
      <w:bookmarkStart w:id="288" w:name="_Toc184308088"/>
      <w:bookmarkEnd w:id="288"/>
      <w:bookmarkStart w:id="289" w:name="_Toc184314448"/>
      <w:bookmarkEnd w:id="289"/>
      <w:bookmarkStart w:id="290" w:name="_Toc184310322"/>
      <w:bookmarkEnd w:id="290"/>
      <w:bookmarkStart w:id="291" w:name="_Toc184313281"/>
      <w:bookmarkEnd w:id="291"/>
      <w:bookmarkStart w:id="292" w:name="_Toc184313291"/>
      <w:bookmarkEnd w:id="292"/>
      <w:bookmarkStart w:id="293" w:name="_Toc184308042"/>
      <w:bookmarkEnd w:id="293"/>
      <w:bookmarkStart w:id="294" w:name="_Toc184313275"/>
      <w:bookmarkEnd w:id="294"/>
      <w:bookmarkStart w:id="295" w:name="_Toc184312075"/>
      <w:bookmarkEnd w:id="295"/>
      <w:bookmarkStart w:id="296" w:name="_Toc184314458"/>
      <w:bookmarkEnd w:id="296"/>
      <w:bookmarkStart w:id="297" w:name="_Toc184313264"/>
      <w:bookmarkEnd w:id="297"/>
      <w:bookmarkStart w:id="298" w:name="_Toc184308077"/>
      <w:bookmarkEnd w:id="298"/>
      <w:bookmarkStart w:id="299" w:name="_Toc184314470"/>
      <w:bookmarkEnd w:id="299"/>
      <w:bookmarkStart w:id="300" w:name="_Toc184308091"/>
      <w:bookmarkEnd w:id="300"/>
      <w:bookmarkStart w:id="301" w:name="_Toc184308082"/>
      <w:bookmarkEnd w:id="301"/>
      <w:bookmarkStart w:id="302" w:name="_Toc184312115"/>
      <w:bookmarkEnd w:id="302"/>
      <w:bookmarkStart w:id="303" w:name="_Toc184308056"/>
      <w:bookmarkEnd w:id="303"/>
      <w:bookmarkStart w:id="304" w:name="_Toc184308086"/>
      <w:bookmarkEnd w:id="304"/>
      <w:bookmarkStart w:id="305" w:name="_Toc184310282"/>
      <w:bookmarkEnd w:id="305"/>
      <w:bookmarkStart w:id="306" w:name="_Toc184312119"/>
      <w:bookmarkEnd w:id="306"/>
      <w:bookmarkStart w:id="307" w:name="_Toc184313294"/>
      <w:bookmarkEnd w:id="307"/>
      <w:bookmarkStart w:id="308" w:name="_Toc184308087"/>
      <w:bookmarkEnd w:id="308"/>
      <w:bookmarkStart w:id="309" w:name="_Toc184314447"/>
      <w:bookmarkEnd w:id="309"/>
      <w:bookmarkStart w:id="310" w:name="_Toc184314435"/>
      <w:bookmarkEnd w:id="310"/>
      <w:bookmarkStart w:id="311" w:name="_Toc184308052"/>
      <w:bookmarkEnd w:id="311"/>
      <w:bookmarkStart w:id="312" w:name="_Toc184308107"/>
      <w:bookmarkEnd w:id="312"/>
      <w:bookmarkStart w:id="313" w:name="_Toc184308044"/>
      <w:bookmarkEnd w:id="313"/>
      <w:bookmarkStart w:id="314" w:name="_Toc184312081"/>
      <w:bookmarkEnd w:id="314"/>
      <w:bookmarkStart w:id="315" w:name="_Toc184313279"/>
      <w:bookmarkEnd w:id="315"/>
      <w:bookmarkStart w:id="316" w:name="_Toc184314428"/>
      <w:bookmarkEnd w:id="316"/>
      <w:bookmarkStart w:id="317" w:name="_Toc184313287"/>
      <w:bookmarkEnd w:id="317"/>
      <w:bookmarkStart w:id="318" w:name="_Toc184313310"/>
      <w:bookmarkEnd w:id="318"/>
      <w:bookmarkStart w:id="319" w:name="_Toc184313260"/>
      <w:bookmarkEnd w:id="319"/>
      <w:bookmarkStart w:id="320" w:name="_Toc184314479"/>
      <w:bookmarkEnd w:id="320"/>
      <w:bookmarkStart w:id="321" w:name="_Toc184313261"/>
      <w:bookmarkEnd w:id="321"/>
      <w:bookmarkStart w:id="322" w:name="_Toc184310274"/>
      <w:bookmarkEnd w:id="322"/>
      <w:bookmarkStart w:id="323" w:name="_Toc184312087"/>
      <w:bookmarkEnd w:id="323"/>
      <w:bookmarkStart w:id="324" w:name="_Toc184308076"/>
      <w:bookmarkEnd w:id="324"/>
      <w:bookmarkStart w:id="325" w:name="_Toc184312103"/>
      <w:bookmarkEnd w:id="325"/>
      <w:bookmarkStart w:id="326" w:name="_Toc184310286"/>
      <w:bookmarkEnd w:id="326"/>
      <w:bookmarkStart w:id="327" w:name="_Toc184314420"/>
      <w:bookmarkEnd w:id="327"/>
      <w:bookmarkStart w:id="328" w:name="_Toc184314419"/>
      <w:bookmarkEnd w:id="328"/>
      <w:bookmarkStart w:id="329" w:name="_Toc184314421"/>
      <w:bookmarkEnd w:id="329"/>
      <w:bookmarkStart w:id="330" w:name="_Toc184313257"/>
      <w:bookmarkEnd w:id="330"/>
      <w:bookmarkStart w:id="331" w:name="_Toc184310323"/>
      <w:bookmarkEnd w:id="331"/>
      <w:bookmarkStart w:id="332" w:name="_Toc184308057"/>
      <w:bookmarkEnd w:id="332"/>
      <w:bookmarkStart w:id="333" w:name="_Toc184308047"/>
      <w:bookmarkEnd w:id="333"/>
      <w:bookmarkStart w:id="334" w:name="_Toc184310318"/>
      <w:bookmarkEnd w:id="334"/>
      <w:bookmarkStart w:id="335" w:name="_Toc184308059"/>
      <w:bookmarkEnd w:id="335"/>
      <w:bookmarkStart w:id="336" w:name="_Toc184312097"/>
      <w:bookmarkEnd w:id="336"/>
      <w:bookmarkStart w:id="337" w:name="_Toc184313276"/>
      <w:bookmarkEnd w:id="337"/>
      <w:bookmarkStart w:id="338" w:name="_Toc184308098"/>
      <w:bookmarkEnd w:id="338"/>
      <w:bookmarkStart w:id="339" w:name="_Toc184314441"/>
      <w:bookmarkEnd w:id="339"/>
      <w:bookmarkStart w:id="340" w:name="_Toc184312101"/>
      <w:bookmarkEnd w:id="340"/>
      <w:bookmarkStart w:id="341" w:name="_Toc184308074"/>
      <w:bookmarkEnd w:id="341"/>
      <w:bookmarkStart w:id="342" w:name="_Toc184313238"/>
      <w:bookmarkEnd w:id="342"/>
      <w:bookmarkStart w:id="343" w:name="_Toc184313284"/>
      <w:bookmarkEnd w:id="343"/>
      <w:bookmarkStart w:id="344" w:name="_Toc184314478"/>
      <w:bookmarkEnd w:id="344"/>
      <w:bookmarkStart w:id="345" w:name="_Toc184312107"/>
      <w:bookmarkEnd w:id="345"/>
      <w:bookmarkStart w:id="346" w:name="_Toc184308065"/>
      <w:bookmarkEnd w:id="346"/>
      <w:bookmarkStart w:id="347" w:name="_Toc184314452"/>
      <w:bookmarkEnd w:id="347"/>
      <w:bookmarkStart w:id="348" w:name="_Toc184314445"/>
      <w:bookmarkEnd w:id="348"/>
      <w:bookmarkStart w:id="349" w:name="_Toc184313241"/>
      <w:bookmarkEnd w:id="349"/>
      <w:bookmarkStart w:id="350" w:name="_Toc184313242"/>
      <w:bookmarkEnd w:id="350"/>
      <w:bookmarkStart w:id="351" w:name="_Toc184314425"/>
      <w:bookmarkEnd w:id="351"/>
      <w:bookmarkStart w:id="352" w:name="_Toc184312090"/>
      <w:bookmarkEnd w:id="352"/>
      <w:bookmarkStart w:id="353" w:name="_Toc184313247"/>
      <w:bookmarkEnd w:id="353"/>
      <w:bookmarkStart w:id="354" w:name="_Toc184312136"/>
      <w:bookmarkEnd w:id="354"/>
      <w:bookmarkStart w:id="355" w:name="_Toc184310303"/>
      <w:bookmarkEnd w:id="355"/>
      <w:bookmarkStart w:id="356" w:name="_Toc184310308"/>
      <w:bookmarkEnd w:id="356"/>
      <w:bookmarkStart w:id="357" w:name="_Toc184308072"/>
      <w:bookmarkEnd w:id="357"/>
      <w:bookmarkStart w:id="358" w:name="_Toc184310312"/>
      <w:bookmarkEnd w:id="358"/>
      <w:bookmarkStart w:id="359" w:name="_Toc184308050"/>
      <w:bookmarkEnd w:id="359"/>
      <w:bookmarkStart w:id="360" w:name="_Toc184310287"/>
      <w:bookmarkEnd w:id="360"/>
      <w:bookmarkStart w:id="361" w:name="_Toc184310296"/>
      <w:bookmarkEnd w:id="361"/>
      <w:bookmarkStart w:id="362" w:name="_Toc184313283"/>
      <w:bookmarkEnd w:id="362"/>
      <w:bookmarkStart w:id="363" w:name="_Toc184310302"/>
      <w:bookmarkEnd w:id="363"/>
      <w:bookmarkStart w:id="364" w:name="_Toc184314434"/>
      <w:bookmarkEnd w:id="364"/>
      <w:bookmarkStart w:id="365" w:name="_Toc184313309"/>
      <w:bookmarkEnd w:id="365"/>
      <w:bookmarkStart w:id="366" w:name="_Toc184314427"/>
      <w:bookmarkEnd w:id="366"/>
      <w:bookmarkStart w:id="367" w:name="_Toc184312067"/>
      <w:bookmarkEnd w:id="367"/>
      <w:bookmarkStart w:id="368" w:name="_Toc184313270"/>
      <w:bookmarkEnd w:id="368"/>
      <w:bookmarkStart w:id="369" w:name="_Toc184314422"/>
      <w:bookmarkEnd w:id="369"/>
      <w:bookmarkStart w:id="370" w:name="_Toc184312131"/>
      <w:bookmarkEnd w:id="370"/>
      <w:bookmarkStart w:id="371" w:name="_Toc184308055"/>
      <w:bookmarkEnd w:id="371"/>
      <w:bookmarkStart w:id="372" w:name="_Toc184310298"/>
      <w:bookmarkEnd w:id="372"/>
      <w:bookmarkStart w:id="373" w:name="_Toc184310334"/>
      <w:bookmarkEnd w:id="373"/>
      <w:bookmarkStart w:id="374" w:name="_Toc184310327"/>
      <w:bookmarkEnd w:id="374"/>
      <w:bookmarkStart w:id="375" w:name="_Toc184308068"/>
      <w:bookmarkEnd w:id="375"/>
      <w:bookmarkStart w:id="376" w:name="_Toc184313239"/>
      <w:bookmarkEnd w:id="376"/>
      <w:bookmarkStart w:id="377" w:name="_Toc184314457"/>
      <w:bookmarkEnd w:id="377"/>
      <w:bookmarkStart w:id="378" w:name="_Toc184314438"/>
      <w:bookmarkEnd w:id="378"/>
      <w:bookmarkStart w:id="379" w:name="_Toc184314440"/>
      <w:bookmarkEnd w:id="379"/>
      <w:bookmarkStart w:id="380" w:name="_Toc184312133"/>
      <w:bookmarkEnd w:id="380"/>
      <w:bookmarkStart w:id="381" w:name="_Toc184313240"/>
      <w:bookmarkEnd w:id="381"/>
      <w:bookmarkStart w:id="382" w:name="_Toc184308078"/>
      <w:bookmarkEnd w:id="382"/>
      <w:bookmarkStart w:id="383" w:name="_Toc184313292"/>
      <w:bookmarkEnd w:id="383"/>
      <w:bookmarkStart w:id="384" w:name="_Toc184308053"/>
      <w:bookmarkEnd w:id="384"/>
      <w:bookmarkStart w:id="385" w:name="_Toc184313252"/>
      <w:bookmarkEnd w:id="385"/>
      <w:bookmarkStart w:id="386" w:name="_Toc184312139"/>
      <w:bookmarkEnd w:id="386"/>
      <w:bookmarkStart w:id="387" w:name="_Toc184313249"/>
      <w:bookmarkEnd w:id="387"/>
      <w:bookmarkStart w:id="388" w:name="_Toc184313298"/>
      <w:bookmarkEnd w:id="388"/>
      <w:r>
        <w:rPr>
          <w:rFonts w:hint="eastAsia" w:ascii="宋体" w:hAnsi="宋体" w:eastAsia="宋体" w:cs="宋体"/>
          <w:b/>
          <w:color w:val="auto"/>
          <w:sz w:val="36"/>
          <w:szCs w:val="36"/>
          <w:highlight w:val="none"/>
        </w:rPr>
        <w:t>交易办法</w:t>
      </w:r>
    </w:p>
    <w:p>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交易办法前附表</w:t>
      </w:r>
    </w:p>
    <w:p>
      <w:pPr>
        <w:keepNext w:val="0"/>
        <w:keepLines w:val="0"/>
        <w:pageBreakBefore w:val="0"/>
        <w:widowControl w:val="0"/>
        <w:kinsoku/>
        <w:wordWrap/>
        <w:overflowPunct/>
        <w:topLinePunct w:val="0"/>
        <w:bidi w:val="0"/>
        <w:adjustRightInd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1、商务资信（10分）</w:t>
      </w:r>
    </w:p>
    <w:tbl>
      <w:tblPr>
        <w:tblStyle w:val="65"/>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01"/>
        <w:gridCol w:w="5693"/>
        <w:gridCol w:w="957"/>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exact"/>
          <w:jc w:val="center"/>
        </w:trPr>
        <w:tc>
          <w:tcPr>
            <w:tcW w:w="78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394"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评分内容和标准</w:t>
            </w:r>
          </w:p>
        </w:tc>
        <w:tc>
          <w:tcPr>
            <w:tcW w:w="9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c>
          <w:tcPr>
            <w:tcW w:w="6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787" w:type="dxa"/>
            <w:vMerge w:val="restart"/>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商务资信（10分）</w:t>
            </w:r>
          </w:p>
        </w:tc>
        <w:tc>
          <w:tcPr>
            <w:tcW w:w="70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569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响应人同时具有质量保证体系认证、环境管理 体系认证、职业健康安全管理体系认证、信息 技术服务管理体系认证证书、绿色照明服务认 证证书的得3分；否则不得分。</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(响应文件中提供有效期内证书扫描件加盖</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z w:val="24"/>
                <w:szCs w:val="24"/>
                <w:highlight w:val="none"/>
              </w:rPr>
              <w:t>公章)不提供不得分。</w:t>
            </w:r>
          </w:p>
        </w:tc>
        <w:tc>
          <w:tcPr>
            <w:tcW w:w="9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0-3分</w:t>
            </w:r>
          </w:p>
        </w:tc>
        <w:tc>
          <w:tcPr>
            <w:tcW w:w="6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rPr>
            </w:pPr>
          </w:p>
        </w:tc>
        <w:tc>
          <w:tcPr>
            <w:tcW w:w="70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569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响应人自202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年1月1日（以获奖时间为准）以来承接的项目获得过</w:t>
            </w:r>
            <w:r>
              <w:rPr>
                <w:rFonts w:hint="eastAsia" w:ascii="宋体" w:hAnsi="宋体" w:eastAsia="宋体" w:cs="宋体"/>
                <w:color w:val="auto"/>
                <w:sz w:val="24"/>
                <w:szCs w:val="24"/>
                <w:highlight w:val="none"/>
                <w:lang w:val="en-US" w:eastAsia="zh-CN"/>
              </w:rPr>
              <w:t>国家级</w:t>
            </w:r>
            <w:r>
              <w:rPr>
                <w:rFonts w:hint="eastAsia" w:ascii="宋体" w:hAnsi="宋体" w:eastAsia="宋体" w:cs="宋体"/>
                <w:color w:val="auto"/>
                <w:sz w:val="24"/>
                <w:szCs w:val="24"/>
                <w:highlight w:val="none"/>
              </w:rPr>
              <w:t>行政部门或</w:t>
            </w:r>
            <w:r>
              <w:rPr>
                <w:rFonts w:hint="eastAsia" w:ascii="宋体" w:hAnsi="宋体" w:eastAsia="宋体" w:cs="宋体"/>
                <w:color w:val="auto"/>
                <w:sz w:val="24"/>
                <w:szCs w:val="24"/>
                <w:highlight w:val="none"/>
                <w:lang w:val="en-US" w:eastAsia="zh-CN"/>
              </w:rPr>
              <w:t>学</w:t>
            </w:r>
            <w:r>
              <w:rPr>
                <w:rFonts w:hint="eastAsia" w:ascii="宋体" w:hAnsi="宋体" w:eastAsia="宋体" w:cs="宋体"/>
                <w:color w:val="auto"/>
                <w:sz w:val="24"/>
                <w:szCs w:val="24"/>
                <w:highlight w:val="none"/>
              </w:rPr>
              <w:t>会颁发的奖项情况：</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一等奖及以上的</w:t>
            </w:r>
            <w:r>
              <w:rPr>
                <w:rFonts w:hint="eastAsia" w:ascii="宋体" w:hAnsi="宋体" w:eastAsia="宋体" w:cs="宋体"/>
                <w:color w:val="auto"/>
                <w:sz w:val="24"/>
                <w:szCs w:val="24"/>
                <w:highlight w:val="none"/>
              </w:rPr>
              <w:t>每个得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分，最高</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其他级别的每个得0.5分，最高1分。</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本项最高2分。</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响应人自202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年1月1日以后获得过区级及</w:t>
            </w:r>
            <w:r>
              <w:rPr>
                <w:rFonts w:hint="eastAsia" w:ascii="宋体" w:hAnsi="宋体" w:eastAsia="宋体" w:cs="宋体"/>
                <w:color w:val="auto"/>
                <w:spacing w:val="-1"/>
                <w:sz w:val="24"/>
                <w:szCs w:val="24"/>
                <w:highlight w:val="none"/>
              </w:rPr>
              <w:t>以上政府质量奖的得</w:t>
            </w: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分，</w:t>
            </w:r>
            <w:r>
              <w:rPr>
                <w:rFonts w:hint="eastAsia" w:ascii="宋体" w:hAnsi="宋体" w:eastAsia="宋体" w:cs="宋体"/>
                <w:color w:val="auto"/>
                <w:spacing w:val="-1"/>
                <w:sz w:val="24"/>
                <w:szCs w:val="24"/>
                <w:highlight w:val="none"/>
                <w:lang w:val="en-US" w:eastAsia="zh-CN"/>
              </w:rPr>
              <w:t>本项最高2分。</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（响应文件中提供获奖证书或证明文件加盖公章）不提供不得分。</w:t>
            </w:r>
          </w:p>
        </w:tc>
        <w:tc>
          <w:tcPr>
            <w:tcW w:w="9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0-4分</w:t>
            </w:r>
          </w:p>
        </w:tc>
        <w:tc>
          <w:tcPr>
            <w:tcW w:w="6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787"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240" w:lineRule="auto"/>
              <w:jc w:val="center"/>
              <w:textAlignment w:val="auto"/>
              <w:rPr>
                <w:rFonts w:hint="eastAsia" w:ascii="宋体" w:hAnsi="宋体" w:eastAsia="宋体" w:cs="宋体"/>
                <w:color w:val="auto"/>
                <w:sz w:val="24"/>
                <w:szCs w:val="24"/>
                <w:highlight w:val="none"/>
              </w:rPr>
            </w:pPr>
          </w:p>
        </w:tc>
        <w:tc>
          <w:tcPr>
            <w:tcW w:w="70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569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项目组人员配备：</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1、拟派项目负责人风景园林类高级工程师及以上职称的得1分；</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2、拟派项目组成员(项目负责人除外)具有</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建筑类、电气专业工程师及以上各1人的得2分。</w:t>
            </w:r>
          </w:p>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（响应文件中提供职称证书、注册证书等证书材料及响应人为其缴纳的近三个月（含2024年10月、11月、12月）由社保部门出具的有效社保证明原件扫描件加盖公章）不提供不得分。</w:t>
            </w:r>
          </w:p>
        </w:tc>
        <w:tc>
          <w:tcPr>
            <w:tcW w:w="9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0-3分</w:t>
            </w:r>
          </w:p>
        </w:tc>
        <w:tc>
          <w:tcPr>
            <w:tcW w:w="65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r>
    </w:tbl>
    <w:p>
      <w:pPr>
        <w:keepNext w:val="0"/>
        <w:keepLines w:val="0"/>
        <w:pageBreakBefore w:val="0"/>
        <w:widowControl w:val="0"/>
        <w:kinsoku/>
        <w:wordWrap/>
        <w:overflowPunct/>
        <w:topLinePunct w:val="0"/>
        <w:bidi w:val="0"/>
        <w:adjustRightInd w:val="0"/>
        <w:spacing w:line="360" w:lineRule="auto"/>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pageBreakBefore w:val="0"/>
        <w:widowControl w:val="0"/>
        <w:kinsoku/>
        <w:wordWrap/>
        <w:overflowPunct/>
        <w:topLinePunct w:val="0"/>
        <w:bidi w:val="0"/>
        <w:adjustRightInd w:val="0"/>
        <w:spacing w:after="0"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2、商务技术（</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0分）</w:t>
      </w:r>
    </w:p>
    <w:tbl>
      <w:tblPr>
        <w:tblStyle w:val="66"/>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787"/>
        <w:gridCol w:w="863"/>
        <w:gridCol w:w="5026"/>
        <w:gridCol w:w="73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技术分</w:t>
            </w:r>
          </w:p>
        </w:tc>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8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评分内容和标准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Style w:val="976"/>
                <w:rFonts w:hint="eastAsia" w:ascii="宋体" w:hAnsi="宋体" w:eastAsia="宋体" w:cs="宋体"/>
                <w:color w:val="auto"/>
                <w:sz w:val="24"/>
                <w:szCs w:val="24"/>
                <w:highlight w:val="none"/>
              </w:rPr>
              <w:t>项目背景及现状分析</w:t>
            </w:r>
          </w:p>
        </w:tc>
        <w:tc>
          <w:tcPr>
            <w:tcW w:w="5026"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根据响应人提供的本项目区位背景分析，结合区域社会经济特征、文化历史脉络、交通组织体系以及生态环境条件，全面解读相关上位规划与政策文件。通过对场地周边现状的综合调研，包括土地利用现状、建筑形态、基础设施分布、人流动线以及景观生态资源，形成系统性分析报告。在此基础上，深入梳理现状公共空间的核心问题，从空间连通性、功能适配性、用户多样性、生态健康度以及场地特色表达等维度进行量化评价，并提出针对性优化方向。</w:t>
            </w:r>
          </w:p>
          <w:p>
            <w:pP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bidi="ar-SA"/>
              </w:rPr>
              <w:t>分析解读全面、合理的得4-5分；分析解读较全面、合理的得2-3.9分，整体一般的得0-1.9分。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0-5分</w:t>
            </w:r>
          </w:p>
        </w:tc>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p>
        </w:tc>
        <w:tc>
          <w:tcPr>
            <w:tcW w:w="86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Style w:val="976"/>
                <w:rFonts w:hint="eastAsia" w:ascii="宋体" w:hAnsi="宋体" w:eastAsia="宋体" w:cs="宋体"/>
                <w:color w:val="auto"/>
                <w:sz w:val="24"/>
                <w:szCs w:val="24"/>
                <w:highlight w:val="none"/>
              </w:rPr>
              <w:t>总体理念和思路</w:t>
            </w:r>
          </w:p>
        </w:tc>
        <w:tc>
          <w:tcPr>
            <w:tcW w:w="5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在深入分析现状问题的基础上，</w:t>
            </w:r>
            <w:r>
              <w:rPr>
                <w:rFonts w:hint="eastAsia" w:ascii="宋体" w:hAnsi="宋体" w:eastAsia="宋体" w:cs="宋体"/>
                <w:color w:val="auto"/>
                <w:sz w:val="24"/>
                <w:szCs w:val="24"/>
                <w:highlight w:val="none"/>
                <w:lang w:val="en-US" w:eastAsia="zh-CN"/>
              </w:rPr>
              <w:t>根据响应人提供</w:t>
            </w:r>
            <w:r>
              <w:rPr>
                <w:rFonts w:hint="eastAsia" w:ascii="宋体" w:hAnsi="宋体" w:eastAsia="宋体" w:cs="宋体"/>
                <w:color w:val="auto"/>
                <w:sz w:val="24"/>
                <w:szCs w:val="24"/>
                <w:highlight w:val="none"/>
              </w:rPr>
              <w:t>总体设计理念和优化方向，要求设计思路明确、目标清晰，并具备创新性与国际化视野。</w:t>
            </w:r>
          </w:p>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设计思路明确、目标清晰、具有创新及国际视野的得</w:t>
            </w:r>
            <w:r>
              <w:rPr>
                <w:rFonts w:hint="eastAsia" w:ascii="宋体" w:hAnsi="宋体" w:cs="宋体"/>
                <w:color w:val="auto"/>
                <w:sz w:val="24"/>
                <w:szCs w:val="24"/>
                <w:highlight w:val="none"/>
                <w:lang w:val="en-US" w:eastAsia="zh-CN"/>
              </w:rPr>
              <w:t>3-4</w:t>
            </w:r>
            <w:r>
              <w:rPr>
                <w:rFonts w:hint="eastAsia" w:ascii="宋体" w:hAnsi="宋体" w:eastAsia="宋体" w:cs="宋体"/>
                <w:color w:val="auto"/>
                <w:sz w:val="24"/>
                <w:szCs w:val="24"/>
                <w:highlight w:val="none"/>
                <w:lang w:val="en-US" w:eastAsia="zh-CN"/>
              </w:rPr>
              <w:t>分；设计思路较明确、目标清晰、较具有创新及国际视野的得得2-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.9分；整体一般的得0-1.9分。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Style w:val="976"/>
                <w:rFonts w:hint="eastAsia" w:ascii="宋体" w:hAnsi="宋体" w:eastAsia="宋体" w:cs="宋体"/>
                <w:color w:val="auto"/>
                <w:sz w:val="24"/>
                <w:szCs w:val="24"/>
                <w:highlight w:val="none"/>
              </w:rPr>
            </w:pPr>
          </w:p>
        </w:tc>
        <w:tc>
          <w:tcPr>
            <w:tcW w:w="5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根据响应人提供的环境生态服务方案，要求</w:t>
            </w:r>
            <w:r>
              <w:rPr>
                <w:rFonts w:hint="eastAsia" w:ascii="宋体" w:hAnsi="宋体" w:eastAsia="宋体" w:cs="宋体"/>
                <w:color w:val="auto"/>
                <w:sz w:val="24"/>
                <w:szCs w:val="24"/>
                <w:highlight w:val="none"/>
              </w:rPr>
              <w:t>强调尊重场地现状特点，维护场地自然生态环境，尤其是保护现有植物资源及其生态价值。</w:t>
            </w:r>
          </w:p>
          <w:p>
            <w:pPr>
              <w:keepNext w:val="0"/>
              <w:keepLines w:val="0"/>
              <w:pageBreakBefore w:val="0"/>
              <w:widowControl w:val="0"/>
              <w:kinsoku/>
              <w:wordWrap/>
              <w:overflowPunct/>
              <w:topLinePunct w:val="0"/>
              <w:bidi w:val="0"/>
              <w:adjustRightInd w:val="0"/>
              <w:snapToGrid/>
              <w:spacing w:after="0" w:line="240"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生态服务方案尊重场地现状、维护自然生态环境及生态价值的得</w:t>
            </w:r>
            <w:r>
              <w:rPr>
                <w:rFonts w:hint="eastAsia" w:ascii="宋体" w:hAnsi="宋体" w:cs="宋体"/>
                <w:color w:val="auto"/>
                <w:sz w:val="24"/>
                <w:szCs w:val="24"/>
                <w:highlight w:val="none"/>
                <w:lang w:val="en-US" w:eastAsia="zh-CN"/>
              </w:rPr>
              <w:t>3-4</w:t>
            </w:r>
            <w:r>
              <w:rPr>
                <w:rFonts w:hint="eastAsia" w:ascii="宋体" w:hAnsi="宋体" w:eastAsia="宋体" w:cs="宋体"/>
                <w:color w:val="auto"/>
                <w:sz w:val="24"/>
                <w:szCs w:val="24"/>
                <w:highlight w:val="none"/>
                <w:lang w:val="en-US" w:eastAsia="zh-CN"/>
              </w:rPr>
              <w:t>分，生态服务方案中涉及尊重场地现状、维护自然生态环境及生态价值，但不够明确清晰的得2-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.9；分；整体一般的得0-1.9分。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w:t>
            </w:r>
          </w:p>
        </w:tc>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lang w:val="en-US" w:eastAsia="zh-CN"/>
              </w:rPr>
            </w:pPr>
          </w:p>
        </w:tc>
        <w:tc>
          <w:tcPr>
            <w:tcW w:w="86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Style w:val="976"/>
                <w:rFonts w:hint="eastAsia" w:ascii="宋体" w:hAnsi="宋体" w:eastAsia="宋体" w:cs="宋体"/>
                <w:color w:val="auto"/>
                <w:sz w:val="24"/>
                <w:szCs w:val="24"/>
                <w:highlight w:val="none"/>
              </w:rPr>
            </w:pPr>
          </w:p>
        </w:tc>
        <w:tc>
          <w:tcPr>
            <w:tcW w:w="5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根据响应人提供的整体设计路线方案，</w:t>
            </w:r>
            <w:r>
              <w:rPr>
                <w:rFonts w:hint="eastAsia" w:ascii="宋体" w:hAnsi="宋体" w:eastAsia="宋体" w:cs="宋体"/>
                <w:color w:val="auto"/>
                <w:sz w:val="24"/>
                <w:szCs w:val="24"/>
                <w:highlight w:val="none"/>
              </w:rPr>
              <w:t>设计需结合场地特征及项目需求，提出合理性与前瞻性的技术路线，在优化公共空间的同时，确保步行系统的便捷性、舒适性及生态可持续性。同时保证场地动静分离，提出确保办公区的隐私性同时不影响公众活动的有效策略。</w:t>
            </w:r>
          </w:p>
          <w:p>
            <w:pPr>
              <w:keepNext w:val="0"/>
              <w:keepLines w:val="0"/>
              <w:pageBreakBefore w:val="0"/>
              <w:widowControl w:val="0"/>
              <w:kinsoku/>
              <w:wordWrap/>
              <w:overflowPunct/>
              <w:topLinePunct w:val="0"/>
              <w:bidi w:val="0"/>
              <w:adjustRightInd w:val="0"/>
              <w:snapToGrid/>
              <w:spacing w:after="0" w:line="240"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整体设计路线方案合理、便捷，体现舒适性与可持续性、体现动静分离特点的得</w:t>
            </w:r>
            <w:r>
              <w:rPr>
                <w:rFonts w:hint="eastAsia" w:ascii="宋体" w:hAnsi="宋体" w:cs="宋体"/>
                <w:color w:val="auto"/>
                <w:sz w:val="24"/>
                <w:szCs w:val="24"/>
                <w:highlight w:val="none"/>
                <w:lang w:val="en-US" w:eastAsia="zh-CN"/>
              </w:rPr>
              <w:t>3-4</w:t>
            </w:r>
            <w:r>
              <w:rPr>
                <w:rFonts w:hint="eastAsia" w:ascii="宋体" w:hAnsi="宋体" w:eastAsia="宋体" w:cs="宋体"/>
                <w:color w:val="auto"/>
                <w:sz w:val="24"/>
                <w:szCs w:val="24"/>
                <w:highlight w:val="none"/>
                <w:lang w:val="en-US" w:eastAsia="zh-CN"/>
              </w:rPr>
              <w:t>分；整体设计路线方案较合理、便捷，较能体现舒适性与可持续性、体现动静分离特点的得2-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.9分；整体一般的得0-1.9分。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w:t>
            </w:r>
          </w:p>
        </w:tc>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86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Style w:val="976"/>
                <w:rFonts w:hint="eastAsia" w:ascii="宋体" w:hAnsi="宋体" w:eastAsia="宋体" w:cs="宋体"/>
                <w:color w:val="auto"/>
                <w:sz w:val="24"/>
                <w:szCs w:val="24"/>
                <w:highlight w:val="none"/>
                <w:lang w:val="en-US" w:eastAsia="zh-CN"/>
              </w:rPr>
            </w:pPr>
            <w:r>
              <w:rPr>
                <w:rStyle w:val="976"/>
                <w:rFonts w:hint="eastAsia" w:ascii="宋体" w:hAnsi="宋体" w:eastAsia="宋体" w:cs="宋体"/>
                <w:color w:val="auto"/>
                <w:sz w:val="24"/>
                <w:szCs w:val="24"/>
                <w:highlight w:val="none"/>
                <w:lang w:val="en-US" w:eastAsia="zh-CN"/>
              </w:rPr>
              <w:t>城市</w:t>
            </w:r>
            <w:r>
              <w:rPr>
                <w:rStyle w:val="976"/>
                <w:rFonts w:hint="eastAsia" w:ascii="宋体" w:hAnsi="宋体" w:eastAsia="宋体" w:cs="宋体"/>
                <w:color w:val="auto"/>
                <w:sz w:val="24"/>
                <w:szCs w:val="24"/>
                <w:highlight w:val="none"/>
              </w:rPr>
              <w:t>空间设计</w:t>
            </w:r>
            <w:r>
              <w:rPr>
                <w:rStyle w:val="976"/>
                <w:rFonts w:hint="eastAsia" w:ascii="宋体" w:hAnsi="宋体" w:eastAsia="宋体" w:cs="宋体"/>
                <w:color w:val="auto"/>
                <w:sz w:val="24"/>
                <w:szCs w:val="24"/>
                <w:highlight w:val="none"/>
                <w:lang w:val="en-US" w:eastAsia="zh-CN"/>
              </w:rPr>
              <w:t>方案</w:t>
            </w:r>
          </w:p>
        </w:tc>
        <w:tc>
          <w:tcPr>
            <w:tcW w:w="5026" w:type="dxa"/>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val="0"/>
              <w:kinsoku/>
              <w:wordWrap/>
              <w:overflowPunct/>
              <w:topLinePunct w:val="0"/>
              <w:bidi w:val="0"/>
              <w:adjustRightInd w:val="0"/>
              <w:snapToGrid/>
              <w:spacing w:after="0" w:line="240" w:lineRule="auto"/>
              <w:ind w:firstLine="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设计语言的流畅性与创新性</w:t>
            </w:r>
          </w:p>
          <w:p>
            <w:pPr>
              <w:pStyle w:val="64"/>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设计需体现语言的统一性，确保整体风格协调且富有逻辑性，同时满足办公人群与公众人群对空间多样化的需求。方案应注重不同功能空间之间的和谐过渡，避免视觉冲突和使用上的割裂。审美表达需具有国际前瞻性，通过创新性的形式与细节设计展现独特魅力，确保方案既贴合场地特质又能够引领区域景观发展的趋势。</w:t>
            </w:r>
            <w:r>
              <w:rPr>
                <w:rFonts w:hint="eastAsia" w:ascii="宋体" w:hAnsi="宋体" w:eastAsia="宋体" w:cs="宋体"/>
                <w:color w:val="auto"/>
                <w:sz w:val="24"/>
                <w:szCs w:val="24"/>
                <w:highlight w:val="none"/>
                <w:lang w:val="en-US" w:eastAsia="zh-CN"/>
              </w:rPr>
              <w:t>主要从以下几点分析：</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设计语言的统一性：设计是否在整体风格上保持连贯性，构建协调一致的视觉与空间体验。</w:t>
            </w:r>
            <w:r>
              <w:rPr>
                <w:rFonts w:hint="eastAsia" w:ascii="宋体" w:hAnsi="宋体" w:eastAsia="宋体" w:cs="宋体"/>
                <w:color w:val="auto"/>
                <w:sz w:val="24"/>
                <w:szCs w:val="24"/>
                <w:highlight w:val="none"/>
                <w:lang w:val="en-US" w:eastAsia="zh-CN"/>
              </w:rPr>
              <w:t>设计语言统一、连贯、构建协调一致的得</w:t>
            </w:r>
            <w:r>
              <w:rPr>
                <w:rFonts w:hint="eastAsia" w:ascii="宋体" w:hAnsi="宋体" w:cs="宋体"/>
                <w:color w:val="auto"/>
                <w:sz w:val="24"/>
                <w:szCs w:val="24"/>
                <w:highlight w:val="none"/>
                <w:lang w:val="en-US" w:eastAsia="zh-CN"/>
              </w:rPr>
              <w:t>4-5</w:t>
            </w:r>
            <w:r>
              <w:rPr>
                <w:rFonts w:hint="eastAsia" w:ascii="宋体" w:hAnsi="宋体" w:eastAsia="宋体" w:cs="宋体"/>
                <w:color w:val="auto"/>
                <w:sz w:val="24"/>
                <w:szCs w:val="24"/>
                <w:highlight w:val="none"/>
                <w:lang w:val="en-US" w:eastAsia="zh-CN"/>
              </w:rPr>
              <w:t>分；设计语言较统一、较连贯、较协调一致的得2-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.9分；整体一般的得0-1.9分；</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空间多样性与用户需求平衡：是否兼顾办公人群与公众人群的多样化需求，为不同使用者提供适宜的空间。</w:t>
            </w:r>
            <w:r>
              <w:rPr>
                <w:rFonts w:hint="eastAsia" w:ascii="宋体" w:hAnsi="宋体" w:eastAsia="宋体" w:cs="宋体"/>
                <w:color w:val="auto"/>
                <w:sz w:val="24"/>
                <w:szCs w:val="24"/>
                <w:highlight w:val="none"/>
                <w:lang w:val="en-US" w:eastAsia="zh-CN"/>
              </w:rPr>
              <w:t>空间设计方案具有多样性、满足多用户需求的得</w:t>
            </w:r>
            <w:r>
              <w:rPr>
                <w:rFonts w:hint="eastAsia" w:ascii="宋体" w:hAnsi="宋体" w:cs="宋体"/>
                <w:color w:val="auto"/>
                <w:sz w:val="24"/>
                <w:szCs w:val="24"/>
                <w:highlight w:val="none"/>
                <w:lang w:val="en-US" w:eastAsia="zh-CN"/>
              </w:rPr>
              <w:t>4-5</w:t>
            </w:r>
            <w:r>
              <w:rPr>
                <w:rFonts w:hint="eastAsia" w:ascii="宋体" w:hAnsi="宋体" w:eastAsia="宋体" w:cs="宋体"/>
                <w:color w:val="auto"/>
                <w:sz w:val="24"/>
                <w:szCs w:val="24"/>
                <w:highlight w:val="none"/>
                <w:lang w:val="en-US" w:eastAsia="zh-CN"/>
              </w:rPr>
              <w:t>分；空间设计方案较具有多样性、满足多用户需求的得2-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.9分；整体一般的得0-1.9分；</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和谐与过渡：设计是否能够自然衔接不同功能区，确保整体空间布局的和谐与使用流畅性。</w:t>
            </w:r>
            <w:r>
              <w:rPr>
                <w:rFonts w:hint="eastAsia" w:ascii="宋体" w:hAnsi="宋体" w:eastAsia="宋体" w:cs="宋体"/>
                <w:color w:val="auto"/>
                <w:sz w:val="24"/>
                <w:szCs w:val="24"/>
                <w:highlight w:val="none"/>
                <w:lang w:val="en-US" w:eastAsia="zh-CN"/>
              </w:rPr>
              <w:t>设计方案兼具多样性与流畅性，衔接性能强的得</w:t>
            </w:r>
            <w:r>
              <w:rPr>
                <w:rFonts w:hint="eastAsia" w:ascii="宋体" w:hAnsi="宋体" w:cs="宋体"/>
                <w:color w:val="auto"/>
                <w:sz w:val="24"/>
                <w:szCs w:val="24"/>
                <w:highlight w:val="none"/>
                <w:lang w:val="en-US" w:eastAsia="zh-CN"/>
              </w:rPr>
              <w:t>4-5</w:t>
            </w:r>
            <w:r>
              <w:rPr>
                <w:rFonts w:hint="eastAsia" w:ascii="宋体" w:hAnsi="宋体" w:eastAsia="宋体" w:cs="宋体"/>
                <w:color w:val="auto"/>
                <w:sz w:val="24"/>
                <w:szCs w:val="24"/>
                <w:highlight w:val="none"/>
                <w:lang w:val="en-US" w:eastAsia="zh-CN"/>
              </w:rPr>
              <w:t>分；设计方案较能体现多样性与流畅性的兼具，衔接性能较强的得2-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.9分；整体一般的得0-1.9分。</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国际化与审美前瞻性：设计是否具有国际视野，展现前瞻性的审美与创新，提升场所的辨识度和吸引力。</w:t>
            </w:r>
            <w:r>
              <w:rPr>
                <w:rFonts w:hint="eastAsia" w:ascii="宋体" w:hAnsi="宋体" w:eastAsia="宋体" w:cs="宋体"/>
                <w:color w:val="auto"/>
                <w:sz w:val="24"/>
                <w:szCs w:val="24"/>
                <w:highlight w:val="none"/>
                <w:lang w:val="en-US" w:eastAsia="zh-CN"/>
              </w:rPr>
              <w:t>方案设计具有国际视野及前瞻性，体现辨识度与创新性的得</w:t>
            </w:r>
            <w:r>
              <w:rPr>
                <w:rFonts w:hint="eastAsia" w:ascii="宋体" w:hAnsi="宋体" w:cs="宋体"/>
                <w:color w:val="auto"/>
                <w:sz w:val="24"/>
                <w:szCs w:val="24"/>
                <w:highlight w:val="none"/>
                <w:lang w:val="en-US" w:eastAsia="zh-CN"/>
              </w:rPr>
              <w:t>4-5</w:t>
            </w:r>
            <w:r>
              <w:rPr>
                <w:rFonts w:hint="eastAsia" w:ascii="宋体" w:hAnsi="宋体" w:eastAsia="宋体" w:cs="宋体"/>
                <w:color w:val="auto"/>
                <w:sz w:val="24"/>
                <w:szCs w:val="24"/>
                <w:highlight w:val="none"/>
                <w:lang w:val="en-US" w:eastAsia="zh-CN"/>
              </w:rPr>
              <w:t>分；设计方案较具国际视野及前瞻性，体现辨识度与创新性的得2-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.9分；整体一般的得0-1.9分。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p>
        </w:tc>
        <w:tc>
          <w:tcPr>
            <w:tcW w:w="71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3"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c>
          <w:tcPr>
            <w:tcW w:w="787"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c>
          <w:tcPr>
            <w:tcW w:w="863"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c>
          <w:tcPr>
            <w:tcW w:w="5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流线设计</w:t>
            </w:r>
            <w:r>
              <w:rPr>
                <w:rFonts w:hint="eastAsia" w:ascii="宋体" w:hAnsi="宋体" w:eastAsia="宋体" w:cs="宋体"/>
                <w:b/>
                <w:bCs/>
                <w:color w:val="auto"/>
                <w:sz w:val="24"/>
                <w:szCs w:val="24"/>
                <w:highlight w:val="none"/>
                <w:lang w:val="en-US" w:eastAsia="zh-CN"/>
              </w:rPr>
              <w:t>方案</w:t>
            </w:r>
          </w:p>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流线系统设计需重点考虑保护办公区隐私、分流办公区与游客群体，并优化江边步道流线。设计应确保办公区与公共区域有明确界限，避免交叉干扰。游客与办公区流线分开，提升功能分区效率。江边步道应增强连通性与舒适度，优化步行体验。通过合理布局和动线设计，确保各功能区域既独立又顺畅连接，满足实际需求并提升空间使用效率。</w:t>
            </w:r>
            <w:r>
              <w:rPr>
                <w:rFonts w:hint="eastAsia" w:ascii="宋体" w:hAnsi="宋体" w:eastAsia="宋体" w:cs="宋体"/>
                <w:color w:val="auto"/>
                <w:sz w:val="24"/>
                <w:szCs w:val="24"/>
                <w:highlight w:val="none"/>
                <w:lang w:val="en-US" w:eastAsia="zh-CN"/>
              </w:rPr>
              <w:t>主要从以下几点分析：</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SA"/>
              </w:rPr>
              <w:t>1.</w:t>
            </w:r>
            <w:r>
              <w:rPr>
                <w:rFonts w:hint="eastAsia" w:ascii="宋体" w:hAnsi="宋体" w:eastAsia="宋体" w:cs="宋体"/>
                <w:color w:val="auto"/>
                <w:sz w:val="24"/>
                <w:szCs w:val="24"/>
                <w:highlight w:val="none"/>
              </w:rPr>
              <w:t>隐私保护与区域分隔: 办公区与游客区域是否通过合理布局与屏障设计有效分离，确保隐私保护。</w:t>
            </w:r>
            <w:r>
              <w:rPr>
                <w:rFonts w:hint="eastAsia" w:ascii="宋体" w:hAnsi="宋体" w:eastAsia="宋体" w:cs="宋体"/>
                <w:color w:val="auto"/>
                <w:sz w:val="24"/>
                <w:szCs w:val="24"/>
                <w:highlight w:val="none"/>
                <w:lang w:val="en-US" w:eastAsia="zh-CN"/>
              </w:rPr>
              <w:t>(2分）</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2.</w:t>
            </w:r>
            <w:r>
              <w:rPr>
                <w:rFonts w:hint="eastAsia" w:ascii="宋体" w:hAnsi="宋体" w:eastAsia="宋体" w:cs="宋体"/>
                <w:color w:val="auto"/>
                <w:sz w:val="24"/>
                <w:szCs w:val="24"/>
                <w:highlight w:val="none"/>
              </w:rPr>
              <w:t>流线分流与功能区衔接: 游客流线与办公区流线是否合理分流，确保高效而无冲突的空间利用。</w:t>
            </w:r>
            <w:r>
              <w:rPr>
                <w:rFonts w:hint="eastAsia" w:ascii="宋体" w:hAnsi="宋体" w:eastAsia="宋体" w:cs="宋体"/>
                <w:color w:val="auto"/>
                <w:sz w:val="24"/>
                <w:szCs w:val="24"/>
                <w:highlight w:val="none"/>
                <w:lang w:val="en-US" w:eastAsia="zh-CN"/>
              </w:rPr>
              <w:t>2分）</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3.</w:t>
            </w:r>
            <w:r>
              <w:rPr>
                <w:rFonts w:hint="eastAsia" w:ascii="宋体" w:hAnsi="宋体" w:eastAsia="宋体" w:cs="宋体"/>
                <w:color w:val="auto"/>
                <w:sz w:val="24"/>
                <w:szCs w:val="24"/>
                <w:highlight w:val="none"/>
              </w:rPr>
              <w:t>江边步道优化: 步道系统是否优化，改善了江边的步行流线，提升了景观与行走体验。</w:t>
            </w:r>
            <w:r>
              <w:rPr>
                <w:rFonts w:hint="eastAsia" w:ascii="宋体" w:hAnsi="宋体" w:eastAsia="宋体" w:cs="宋体"/>
                <w:color w:val="auto"/>
                <w:sz w:val="24"/>
                <w:szCs w:val="24"/>
                <w:highlight w:val="none"/>
                <w:lang w:val="en-US" w:eastAsia="zh-CN"/>
              </w:rPr>
              <w:t>(2分）</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4.</w:t>
            </w:r>
            <w:r>
              <w:rPr>
                <w:rFonts w:hint="eastAsia" w:ascii="宋体" w:hAnsi="宋体" w:eastAsia="宋体" w:cs="宋体"/>
                <w:color w:val="auto"/>
                <w:sz w:val="24"/>
                <w:szCs w:val="24"/>
                <w:highlight w:val="none"/>
              </w:rPr>
              <w:t>可达性与流畅性: 动线是否清晰、直观，步行流线是否顺畅且合理连接各个功能区。</w:t>
            </w:r>
            <w:r>
              <w:rPr>
                <w:rFonts w:hint="eastAsia" w:ascii="宋体" w:hAnsi="宋体" w:eastAsia="宋体" w:cs="宋体"/>
                <w:color w:val="auto"/>
                <w:sz w:val="24"/>
                <w:szCs w:val="24"/>
                <w:highlight w:val="none"/>
                <w:lang w:val="en-US" w:eastAsia="zh-CN"/>
              </w:rPr>
              <w:t>(2分）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711"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3"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c>
          <w:tcPr>
            <w:tcW w:w="787"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c>
          <w:tcPr>
            <w:tcW w:w="863"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c>
          <w:tcPr>
            <w:tcW w:w="5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景观构筑物</w:t>
            </w:r>
            <w:r>
              <w:rPr>
                <w:rFonts w:hint="eastAsia" w:ascii="宋体" w:hAnsi="宋体" w:eastAsia="宋体" w:cs="宋体"/>
                <w:b/>
                <w:bCs/>
                <w:color w:val="auto"/>
                <w:sz w:val="24"/>
                <w:szCs w:val="24"/>
                <w:highlight w:val="none"/>
                <w:lang w:val="en-US" w:eastAsia="zh-CN"/>
              </w:rPr>
              <w:t>设计方案</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SA"/>
              </w:rPr>
              <w:t>1.</w:t>
            </w:r>
            <w:r>
              <w:rPr>
                <w:rFonts w:hint="eastAsia" w:ascii="宋体" w:hAnsi="宋体" w:eastAsia="宋体" w:cs="宋体"/>
                <w:color w:val="auto"/>
                <w:sz w:val="24"/>
                <w:szCs w:val="24"/>
                <w:highlight w:val="none"/>
              </w:rPr>
              <w:t>设计需尊重现状地形，从改善办公区户外空间使用效率、优化构筑物立面改造及增加新构筑物完善景观空间的角度出发，提出合理而创新的设计方案。构筑物应充分结合场地特征，提升场所的功能性与美观性，满足多样化的使用需求。设计需通过科学布局和精准规划，协调办公区私密性与公共空间的开放性，同时注重构筑物与整体景观的融合，创造和谐且功能完善的景观空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2分</w:t>
            </w:r>
            <w:r>
              <w:rPr>
                <w:rFonts w:hint="eastAsia" w:ascii="宋体" w:hAnsi="宋体" w:eastAsia="宋体" w:cs="宋体"/>
                <w:color w:val="auto"/>
                <w:sz w:val="24"/>
                <w:szCs w:val="24"/>
                <w:highlight w:val="none"/>
                <w:lang w:eastAsia="zh-CN"/>
              </w:rPr>
              <w:t>）</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2.</w:t>
            </w:r>
            <w:r>
              <w:rPr>
                <w:rFonts w:hint="eastAsia" w:ascii="宋体" w:hAnsi="宋体" w:eastAsia="宋体" w:cs="宋体"/>
                <w:color w:val="auto"/>
                <w:sz w:val="24"/>
                <w:szCs w:val="24"/>
                <w:highlight w:val="none"/>
              </w:rPr>
              <w:t>尊重地形与场地特征：构筑物设计是否充分尊重现状地形，体现场地特性并增强空间体验。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2分</w:t>
            </w:r>
            <w:r>
              <w:rPr>
                <w:rFonts w:hint="eastAsia" w:ascii="宋体" w:hAnsi="宋体" w:eastAsia="宋体" w:cs="宋体"/>
                <w:color w:val="auto"/>
                <w:sz w:val="24"/>
                <w:szCs w:val="24"/>
                <w:highlight w:val="none"/>
                <w:lang w:eastAsia="zh-CN"/>
              </w:rPr>
              <w:t>）</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3.</w:t>
            </w:r>
            <w:r>
              <w:rPr>
                <w:rFonts w:hint="eastAsia" w:ascii="宋体" w:hAnsi="宋体" w:eastAsia="宋体" w:cs="宋体"/>
                <w:color w:val="auto"/>
                <w:sz w:val="24"/>
                <w:szCs w:val="24"/>
                <w:highlight w:val="none"/>
              </w:rPr>
              <w:t>户外空间使用效率提升：是否优化办公区对户外空间的使用效率，提供更多功能性与舒适性。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2分</w:t>
            </w:r>
            <w:r>
              <w:rPr>
                <w:rFonts w:hint="eastAsia" w:ascii="宋体" w:hAnsi="宋体" w:eastAsia="宋体" w:cs="宋体"/>
                <w:color w:val="auto"/>
                <w:sz w:val="24"/>
                <w:szCs w:val="24"/>
                <w:highlight w:val="none"/>
                <w:lang w:eastAsia="zh-CN"/>
              </w:rPr>
              <w:t>）</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4.</w:t>
            </w:r>
            <w:r>
              <w:rPr>
                <w:rFonts w:hint="eastAsia" w:ascii="宋体" w:hAnsi="宋体" w:eastAsia="宋体" w:cs="宋体"/>
                <w:color w:val="auto"/>
                <w:sz w:val="24"/>
                <w:szCs w:val="24"/>
                <w:highlight w:val="none"/>
              </w:rPr>
              <w:t>立面改造与视觉美感：构筑物立面改造是否合理且具有美感，与整体景观协调一致。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2分</w:t>
            </w:r>
            <w:r>
              <w:rPr>
                <w:rFonts w:hint="eastAsia" w:ascii="宋体" w:hAnsi="宋体" w:eastAsia="宋体" w:cs="宋体"/>
                <w:color w:val="auto"/>
                <w:sz w:val="24"/>
                <w:szCs w:val="24"/>
                <w:highlight w:val="none"/>
                <w:lang w:eastAsia="zh-CN"/>
              </w:rPr>
              <w:t>）</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5.</w:t>
            </w:r>
            <w:r>
              <w:rPr>
                <w:rFonts w:hint="eastAsia" w:ascii="宋体" w:hAnsi="宋体" w:eastAsia="宋体" w:cs="宋体"/>
                <w:color w:val="auto"/>
                <w:sz w:val="24"/>
                <w:szCs w:val="24"/>
                <w:highlight w:val="none"/>
              </w:rPr>
              <w:t>新构筑物的补充与创新性：新增构筑物是否提升景观空间的完整性并带来创新性的设计思路。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2分</w:t>
            </w:r>
            <w:r>
              <w:rPr>
                <w:rFonts w:hint="eastAsia" w:ascii="宋体" w:hAnsi="宋体" w:eastAsia="宋体" w:cs="宋体"/>
                <w:color w:val="auto"/>
                <w:sz w:val="24"/>
                <w:szCs w:val="24"/>
                <w:highlight w:val="none"/>
                <w:lang w:eastAsia="zh-CN"/>
              </w:rPr>
              <w:t>）</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0-10分</w:t>
            </w:r>
          </w:p>
        </w:tc>
        <w:tc>
          <w:tcPr>
            <w:tcW w:w="711" w:type="dxa"/>
            <w:vMerge w:val="continue"/>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vMerge w:val="continue"/>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rPr>
            </w:pPr>
          </w:p>
        </w:tc>
        <w:tc>
          <w:tcPr>
            <w:tcW w:w="863" w:type="dxa"/>
            <w:vMerge w:val="continue"/>
            <w:vAlign w:val="center"/>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5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夜景灯光设计</w:t>
            </w:r>
            <w:r>
              <w:rPr>
                <w:rFonts w:hint="eastAsia" w:ascii="宋体" w:hAnsi="宋体" w:eastAsia="宋体" w:cs="宋体"/>
                <w:b/>
                <w:bCs/>
                <w:color w:val="auto"/>
                <w:sz w:val="24"/>
                <w:szCs w:val="24"/>
                <w:highlight w:val="none"/>
                <w:lang w:val="en-US" w:eastAsia="zh-CN"/>
              </w:rPr>
              <w:t>方案</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夜景灯光需匹配城市设计总体方案，体现国际化滨水空间的大气典雅、低调克制的审美品位，既满足夜间游览的需要，也满足城市阳台视角和谐统一的效果。</w:t>
            </w:r>
          </w:p>
          <w:p>
            <w:pPr>
              <w:pStyle w:val="82"/>
              <w:numPr>
                <w:ilvl w:val="0"/>
                <w:numId w:val="7"/>
              </w:numPr>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灯光设计方案合理全面，且与城市整体设计方案匹配度高的得</w:t>
            </w:r>
            <w:r>
              <w:rPr>
                <w:rFonts w:hint="eastAsia" w:ascii="宋体" w:hAnsi="宋体" w:cs="宋体"/>
                <w:color w:val="auto"/>
                <w:sz w:val="24"/>
                <w:szCs w:val="24"/>
                <w:highlight w:val="none"/>
                <w:lang w:val="en-US" w:eastAsia="zh-CN"/>
              </w:rPr>
              <w:t>4-5</w:t>
            </w:r>
            <w:r>
              <w:rPr>
                <w:rFonts w:hint="eastAsia" w:ascii="宋体" w:hAnsi="宋体" w:eastAsia="宋体" w:cs="宋体"/>
                <w:color w:val="auto"/>
                <w:kern w:val="2"/>
                <w:sz w:val="24"/>
                <w:szCs w:val="24"/>
                <w:highlight w:val="none"/>
                <w:lang w:val="en-US" w:eastAsia="zh-CN" w:bidi="ar-SA"/>
              </w:rPr>
              <w:t>分；灯光设计方案较合理全面，与城市整体设计方案匹配度较高的得</w:t>
            </w:r>
            <w:r>
              <w:rPr>
                <w:rFonts w:hint="eastAsia" w:ascii="宋体" w:hAnsi="宋体" w:eastAsia="宋体" w:cs="宋体"/>
                <w:color w:val="auto"/>
                <w:sz w:val="24"/>
                <w:szCs w:val="24"/>
                <w:highlight w:val="none"/>
                <w:lang w:val="en-US" w:eastAsia="zh-CN"/>
              </w:rPr>
              <w:t>2-3.9</w:t>
            </w:r>
            <w:r>
              <w:rPr>
                <w:rFonts w:hint="eastAsia" w:ascii="宋体" w:hAnsi="宋体" w:eastAsia="宋体" w:cs="宋体"/>
                <w:color w:val="auto"/>
                <w:kern w:val="2"/>
                <w:sz w:val="24"/>
                <w:szCs w:val="24"/>
                <w:highlight w:val="none"/>
                <w:lang w:val="en-US" w:eastAsia="zh-CN" w:bidi="ar-SA"/>
              </w:rPr>
              <w:t>分；整体一般的得0-1.9分。</w:t>
            </w:r>
          </w:p>
          <w:p>
            <w:pPr>
              <w:pStyle w:val="82"/>
              <w:numPr>
                <w:ilvl w:val="0"/>
                <w:numId w:val="7"/>
              </w:numPr>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灯光设计方案整体审美需满足采购人整体定位，体现大气典雅、低调克制的审美品位。整体审美定位与采购人需求契合度高的得</w:t>
            </w:r>
            <w:r>
              <w:rPr>
                <w:rFonts w:hint="eastAsia" w:ascii="宋体" w:hAnsi="宋体" w:cs="宋体"/>
                <w:color w:val="auto"/>
                <w:sz w:val="24"/>
                <w:szCs w:val="24"/>
                <w:highlight w:val="none"/>
                <w:lang w:val="en-US" w:eastAsia="zh-CN"/>
              </w:rPr>
              <w:t>4-5</w:t>
            </w:r>
            <w:r>
              <w:rPr>
                <w:rFonts w:hint="eastAsia" w:ascii="宋体" w:hAnsi="宋体" w:eastAsia="宋体" w:cs="宋体"/>
                <w:color w:val="auto"/>
                <w:kern w:val="2"/>
                <w:sz w:val="24"/>
                <w:szCs w:val="24"/>
                <w:highlight w:val="none"/>
                <w:lang w:val="en-US" w:eastAsia="zh-CN" w:bidi="ar-SA"/>
              </w:rPr>
              <w:t>分；与采购人契合度较高的得2-3.9分；整体一般的得0-1.9分。</w:t>
            </w:r>
          </w:p>
          <w:p>
            <w:pPr>
              <w:pStyle w:val="82"/>
              <w:numPr>
                <w:ilvl w:val="0"/>
                <w:numId w:val="7"/>
              </w:numPr>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灯光设计方案兼具夜间游览需求且城市阳台灯光视觉效果好的得</w:t>
            </w:r>
            <w:r>
              <w:rPr>
                <w:rFonts w:hint="eastAsia" w:ascii="宋体" w:hAnsi="宋体" w:cs="宋体"/>
                <w:color w:val="auto"/>
                <w:sz w:val="24"/>
                <w:szCs w:val="24"/>
                <w:highlight w:val="none"/>
                <w:lang w:val="en-US" w:eastAsia="zh-CN"/>
              </w:rPr>
              <w:t>4-5</w:t>
            </w:r>
            <w:r>
              <w:rPr>
                <w:rFonts w:hint="eastAsia" w:ascii="宋体" w:hAnsi="宋体" w:eastAsia="宋体" w:cs="宋体"/>
                <w:color w:val="auto"/>
                <w:kern w:val="2"/>
                <w:sz w:val="24"/>
                <w:szCs w:val="24"/>
                <w:highlight w:val="none"/>
                <w:lang w:val="en-US" w:eastAsia="zh-CN" w:bidi="ar-SA"/>
              </w:rPr>
              <w:t>分；灯光设计方案兼具夜间游览需求且城市阳台灯光视觉效果较好得2-3.9分；整体一般的得0-1.9分。</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863" w:type="dxa"/>
            <w:tcBorders>
              <w:top w:val="single" w:color="auto" w:sz="4" w:space="0"/>
              <w:left w:val="single" w:color="auto" w:sz="4" w:space="0"/>
              <w:bottom w:val="single" w:color="auto" w:sz="4" w:space="0"/>
              <w:right w:val="single" w:color="auto" w:sz="4" w:space="0"/>
            </w:tcBorders>
            <w:vAlign w:val="center"/>
          </w:tcPr>
          <w:p>
            <w:pPr>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进度及质量保证措施</w:t>
            </w:r>
          </w:p>
        </w:tc>
        <w:tc>
          <w:tcPr>
            <w:tcW w:w="5026" w:type="dxa"/>
            <w:tcBorders>
              <w:top w:val="single" w:color="auto" w:sz="4" w:space="0"/>
              <w:left w:val="single" w:color="auto" w:sz="4" w:space="0"/>
              <w:bottom w:val="single" w:color="auto" w:sz="4" w:space="0"/>
              <w:right w:val="single" w:color="auto" w:sz="4" w:space="0"/>
            </w:tcBorders>
            <w:vAlign w:val="center"/>
          </w:tcPr>
          <w:p>
            <w:pPr>
              <w:spacing w:line="300" w:lineRule="exact"/>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根据</w:t>
            </w:r>
            <w:r>
              <w:rPr>
                <w:rFonts w:hint="eastAsia" w:ascii="宋体" w:hAnsi="宋体" w:eastAsia="宋体" w:cs="宋体"/>
                <w:color w:val="auto"/>
                <w:kern w:val="0"/>
                <w:sz w:val="24"/>
                <w:szCs w:val="24"/>
                <w:highlight w:val="none"/>
                <w:lang w:val="en-US" w:eastAsia="zh-CN"/>
              </w:rPr>
              <w:t>响应</w:t>
            </w:r>
            <w:r>
              <w:rPr>
                <w:rFonts w:hint="eastAsia" w:ascii="宋体" w:hAnsi="宋体" w:eastAsia="宋体" w:cs="宋体"/>
                <w:color w:val="auto"/>
                <w:kern w:val="0"/>
                <w:sz w:val="24"/>
                <w:szCs w:val="24"/>
                <w:highlight w:val="none"/>
              </w:rPr>
              <w:t>人提供的</w:t>
            </w:r>
            <w:r>
              <w:rPr>
                <w:rFonts w:hint="eastAsia" w:ascii="宋体" w:hAnsi="宋体" w:eastAsia="宋体" w:cs="宋体"/>
                <w:color w:val="auto"/>
                <w:kern w:val="0"/>
                <w:sz w:val="24"/>
                <w:szCs w:val="24"/>
                <w:highlight w:val="none"/>
                <w:lang w:val="en-US" w:eastAsia="zh-CN"/>
              </w:rPr>
              <w:t>进度及质量保障措施</w:t>
            </w:r>
            <w:r>
              <w:rPr>
                <w:rFonts w:hint="eastAsia" w:ascii="宋体" w:hAnsi="宋体" w:eastAsia="宋体" w:cs="宋体"/>
                <w:color w:val="auto"/>
                <w:kern w:val="0"/>
                <w:sz w:val="24"/>
                <w:szCs w:val="24"/>
                <w:highlight w:val="none"/>
              </w:rPr>
              <w:t>的合理性和科学性综合评分</w:t>
            </w:r>
            <w:r>
              <w:rPr>
                <w:rFonts w:hint="eastAsia" w:ascii="宋体" w:hAnsi="宋体" w:eastAsia="宋体" w:cs="宋体"/>
                <w:bCs/>
                <w:color w:val="auto"/>
                <w:sz w:val="24"/>
                <w:szCs w:val="24"/>
                <w:highlight w:val="none"/>
              </w:rPr>
              <w:t>。</w:t>
            </w:r>
            <w:r>
              <w:rPr>
                <w:rFonts w:hint="eastAsia" w:ascii="宋体" w:hAnsi="宋体" w:eastAsia="宋体" w:cs="宋体"/>
                <w:color w:val="auto"/>
                <w:kern w:val="0"/>
                <w:sz w:val="24"/>
                <w:szCs w:val="24"/>
                <w:highlight w:val="none"/>
                <w:lang w:val="en-US" w:eastAsia="zh-CN"/>
              </w:rPr>
              <w:t>进度及质量保障措施</w:t>
            </w:r>
            <w:r>
              <w:rPr>
                <w:rFonts w:hint="eastAsia" w:ascii="宋体" w:hAnsi="宋体" w:eastAsia="宋体" w:cs="宋体"/>
                <w:bCs/>
                <w:color w:val="auto"/>
                <w:sz w:val="24"/>
                <w:szCs w:val="24"/>
                <w:highlight w:val="none"/>
              </w:rPr>
              <w:t>全面、合理的得3分；</w:t>
            </w:r>
            <w:r>
              <w:rPr>
                <w:rFonts w:hint="eastAsia" w:ascii="宋体" w:hAnsi="宋体" w:eastAsia="宋体" w:cs="宋体"/>
                <w:color w:val="auto"/>
                <w:kern w:val="0"/>
                <w:sz w:val="24"/>
                <w:szCs w:val="24"/>
                <w:highlight w:val="none"/>
                <w:lang w:val="en-US" w:eastAsia="zh-CN"/>
              </w:rPr>
              <w:t>进度及质量保障措施</w:t>
            </w:r>
            <w:r>
              <w:rPr>
                <w:rFonts w:hint="eastAsia" w:ascii="宋体" w:hAnsi="宋体" w:eastAsia="宋体" w:cs="宋体"/>
                <w:bCs/>
                <w:color w:val="auto"/>
                <w:sz w:val="24"/>
                <w:szCs w:val="24"/>
                <w:highlight w:val="none"/>
              </w:rPr>
              <w:t>较全面、合理的得2分；</w:t>
            </w:r>
            <w:r>
              <w:rPr>
                <w:rFonts w:hint="eastAsia" w:ascii="宋体" w:hAnsi="宋体" w:eastAsia="宋体" w:cs="宋体"/>
                <w:color w:val="auto"/>
                <w:kern w:val="0"/>
                <w:sz w:val="24"/>
                <w:szCs w:val="24"/>
                <w:highlight w:val="none"/>
                <w:lang w:val="en-US" w:eastAsia="zh-CN"/>
              </w:rPr>
              <w:t>进度及质量保障措施</w:t>
            </w:r>
            <w:r>
              <w:rPr>
                <w:rFonts w:hint="eastAsia" w:ascii="宋体" w:hAnsi="宋体" w:eastAsia="宋体" w:cs="宋体"/>
                <w:bCs/>
                <w:color w:val="auto"/>
                <w:sz w:val="24"/>
                <w:szCs w:val="24"/>
                <w:highlight w:val="none"/>
              </w:rPr>
              <w:t>一般的得1分。</w:t>
            </w:r>
          </w:p>
        </w:tc>
        <w:tc>
          <w:tcPr>
            <w:tcW w:w="731" w:type="dxa"/>
            <w:tcBorders>
              <w:top w:val="single" w:color="auto" w:sz="4" w:space="0"/>
              <w:left w:val="single" w:color="auto" w:sz="4" w:space="0"/>
              <w:bottom w:val="single" w:color="auto" w:sz="4" w:space="0"/>
              <w:right w:val="single" w:color="auto" w:sz="4" w:space="0"/>
            </w:tcBorders>
            <w:vAlign w:val="center"/>
          </w:tcPr>
          <w:p>
            <w:pPr>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0-3</w:t>
            </w:r>
          </w:p>
        </w:tc>
        <w:tc>
          <w:tcPr>
            <w:tcW w:w="711" w:type="dxa"/>
            <w:tcBorders>
              <w:top w:val="single" w:color="auto" w:sz="4" w:space="0"/>
              <w:left w:val="single" w:color="auto" w:sz="4" w:space="0"/>
              <w:bottom w:val="single" w:color="auto" w:sz="4" w:space="0"/>
              <w:right w:val="single" w:color="auto" w:sz="4" w:space="0"/>
            </w:tcBorders>
            <w:vAlign w:val="center"/>
          </w:tcPr>
          <w:p>
            <w:pPr>
              <w:spacing w:line="300" w:lineRule="exact"/>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863" w:type="dxa"/>
            <w:tcBorders>
              <w:top w:val="single" w:color="auto" w:sz="4" w:space="0"/>
              <w:left w:val="single" w:color="auto" w:sz="4" w:space="0"/>
              <w:bottom w:val="single" w:color="auto" w:sz="4" w:space="0"/>
              <w:right w:val="single" w:color="auto" w:sz="4" w:space="0"/>
            </w:tcBorders>
            <w:vAlign w:val="center"/>
          </w:tcPr>
          <w:p>
            <w:pPr>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服务响应承诺</w:t>
            </w:r>
          </w:p>
        </w:tc>
        <w:tc>
          <w:tcPr>
            <w:tcW w:w="5026" w:type="dxa"/>
            <w:tcBorders>
              <w:top w:val="single" w:color="auto" w:sz="4" w:space="0"/>
              <w:left w:val="single" w:color="auto" w:sz="4" w:space="0"/>
              <w:bottom w:val="single" w:color="auto" w:sz="4" w:space="0"/>
              <w:right w:val="single" w:color="auto" w:sz="4" w:space="0"/>
            </w:tcBorders>
            <w:vAlign w:val="center"/>
          </w:tcPr>
          <w:p>
            <w:pPr>
              <w:spacing w:line="300" w:lineRule="exact"/>
              <w:contextualSpacing/>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承诺在</w:t>
            </w:r>
            <w:r>
              <w:rPr>
                <w:rFonts w:hint="eastAsia" w:ascii="宋体" w:hAnsi="宋体" w:eastAsia="宋体" w:cs="宋体"/>
                <w:color w:val="auto"/>
                <w:sz w:val="24"/>
                <w:szCs w:val="24"/>
                <w:highlight w:val="none"/>
              </w:rPr>
              <w:t>合同签订后14日历天</w:t>
            </w:r>
            <w:r>
              <w:rPr>
                <w:rFonts w:hint="eastAsia" w:ascii="宋体" w:hAnsi="宋体" w:cs="宋体"/>
                <w:color w:val="auto"/>
                <w:sz w:val="24"/>
                <w:szCs w:val="24"/>
                <w:highlight w:val="none"/>
                <w:lang w:val="en-US" w:eastAsia="zh-CN"/>
              </w:rPr>
              <w:t>完成项目方案设计（承诺函格式自拟），未承诺的不得分。</w:t>
            </w:r>
          </w:p>
        </w:tc>
        <w:tc>
          <w:tcPr>
            <w:tcW w:w="731" w:type="dxa"/>
            <w:tcBorders>
              <w:top w:val="single" w:color="auto" w:sz="4" w:space="0"/>
              <w:left w:val="single" w:color="auto" w:sz="4" w:space="0"/>
              <w:bottom w:val="single" w:color="auto" w:sz="4" w:space="0"/>
              <w:right w:val="single" w:color="auto" w:sz="4" w:space="0"/>
            </w:tcBorders>
            <w:vAlign w:val="center"/>
          </w:tcPr>
          <w:p>
            <w:pPr>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0-3</w:t>
            </w:r>
          </w:p>
        </w:tc>
        <w:tc>
          <w:tcPr>
            <w:tcW w:w="711" w:type="dxa"/>
            <w:tcBorders>
              <w:top w:val="single" w:color="auto" w:sz="4" w:space="0"/>
              <w:left w:val="single" w:color="auto" w:sz="4" w:space="0"/>
              <w:bottom w:val="single" w:color="auto" w:sz="4" w:space="0"/>
              <w:right w:val="single" w:color="auto" w:sz="4" w:space="0"/>
            </w:tcBorders>
            <w:vAlign w:val="center"/>
          </w:tcPr>
          <w:p>
            <w:pPr>
              <w:spacing w:line="300" w:lineRule="exact"/>
              <w:contextualSpacing/>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Merge w:val="continue"/>
          </w:tcPr>
          <w:p>
            <w:pPr>
              <w:keepNext w:val="0"/>
              <w:keepLines w:val="0"/>
              <w:pageBreakBefore w:val="0"/>
              <w:widowControl w:val="0"/>
              <w:kinsoku/>
              <w:wordWrap/>
              <w:overflowPunct/>
              <w:topLinePunct w:val="0"/>
              <w:bidi w:val="0"/>
              <w:adjustRightInd w:val="0"/>
              <w:snapToGrid/>
              <w:spacing w:after="0" w:line="240" w:lineRule="auto"/>
              <w:ind w:firstLine="480"/>
              <w:jc w:val="center"/>
              <w:textAlignment w:val="auto"/>
              <w:rPr>
                <w:rFonts w:hint="eastAsia" w:ascii="宋体" w:hAnsi="宋体" w:eastAsia="宋体" w:cs="宋体"/>
                <w:color w:val="auto"/>
                <w:sz w:val="24"/>
                <w:szCs w:val="24"/>
                <w:highlight w:val="none"/>
              </w:rPr>
            </w:pPr>
          </w:p>
        </w:tc>
        <w:tc>
          <w:tcPr>
            <w:tcW w:w="7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8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投资估算</w:t>
            </w:r>
          </w:p>
        </w:tc>
        <w:tc>
          <w:tcPr>
            <w:tcW w:w="5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方案需详细列出投资估算，并确保估算合理、科学，符合项目的实际需求。设计应展示以下方面的能力：</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投资成本控制：估算是否精准且合理，是否考虑到项目的所有相关费用，包括土地、建设、设备、运营等方面的成本。</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经济可行性分析：是否进行了详尽的经济效益分析，项目是否具备可行的投资回报周期，是否能吸引足够的资金支持。</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实施建设方案的可操作性：方案是否有明确的实施步骤，是否合理安排施工时间、资源调配，并考虑到施工过程中的潜在风险和挑战。</w:t>
            </w:r>
          </w:p>
          <w:p>
            <w:pPr>
              <w:keepNext w:val="0"/>
              <w:keepLines w:val="0"/>
              <w:pageBreakBefore w:val="0"/>
              <w:widowControl w:val="0"/>
              <w:numPr>
                <w:ilvl w:val="0"/>
                <w:numId w:val="0"/>
              </w:numPr>
              <w:kinsoku/>
              <w:wordWrap/>
              <w:overflowPunct/>
              <w:topLinePunct w:val="0"/>
              <w:bidi w:val="0"/>
              <w:adjustRightInd w:val="0"/>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国际化视角与先进建设方法：是否借鉴了国际先进的建设方法和管理经验，提出高效、可持续的实施方案。</w:t>
            </w:r>
          </w:p>
        </w:tc>
        <w:tc>
          <w:tcPr>
            <w:tcW w:w="7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7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after="0"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主观分</w:t>
            </w:r>
          </w:p>
        </w:tc>
      </w:tr>
    </w:tbl>
    <w:p>
      <w:pPr>
        <w:keepNext w:val="0"/>
        <w:keepLines w:val="0"/>
        <w:pageBreakBefore w:val="0"/>
        <w:widowControl w:val="0"/>
        <w:kinsoku/>
        <w:wordWrap/>
        <w:overflowPunct/>
        <w:topLinePunct w:val="0"/>
        <w:bidi w:val="0"/>
        <w:adjustRightInd w:val="0"/>
        <w:spacing w:after="0" w:line="360" w:lineRule="auto"/>
        <w:textAlignment w:val="auto"/>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bidi w:val="0"/>
        <w:adjustRightInd w:val="0"/>
        <w:spacing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备注：</w:t>
      </w:r>
      <w:r>
        <w:rPr>
          <w:rFonts w:hint="eastAsia" w:ascii="宋体" w:hAnsi="宋体" w:eastAsia="宋体" w:cs="宋体"/>
          <w:color w:val="auto"/>
          <w:sz w:val="24"/>
          <w:szCs w:val="24"/>
          <w:highlight w:val="none"/>
        </w:rPr>
        <w:t>1、评分条款中涉及的业绩、荣誉、人员、社保等分公司均有效。</w:t>
      </w:r>
    </w:p>
    <w:p>
      <w:pPr>
        <w:keepNext w:val="0"/>
        <w:keepLines w:val="0"/>
        <w:pageBreakBefore w:val="0"/>
        <w:widowControl w:val="0"/>
        <w:kinsoku/>
        <w:wordWrap/>
        <w:overflowPunct/>
        <w:topLinePunct w:val="0"/>
        <w:bidi w:val="0"/>
        <w:adjustRightInd w:val="0"/>
        <w:spacing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中如附有外文资料，必须逐一对应翻译成中文并加盖响应人公章后附在相关外文资料后面，否则外文资料不予认可。翻译的中文资料与外文资料不符的，均不予认可。翻译严重错误的，将视同提供虚假资料。</w:t>
      </w:r>
    </w:p>
    <w:p>
      <w:pPr>
        <w:keepNext w:val="0"/>
        <w:keepLines w:val="0"/>
        <w:pageBreakBefore w:val="0"/>
        <w:widowControl w:val="0"/>
        <w:kinsoku/>
        <w:wordWrap/>
        <w:overflowPunct/>
        <w:topLinePunct w:val="0"/>
        <w:bidi w:val="0"/>
        <w:adjustRightInd w:val="0"/>
        <w:spacing w:after="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3、响应人编制响应文件（商务技术文件部分）时，建议按此目录（序号和内容）提供评审标准相应的商务技术资料。</w:t>
      </w:r>
    </w:p>
    <w:p>
      <w:pPr>
        <w:keepNext w:val="0"/>
        <w:keepLines w:val="0"/>
        <w:pageBreakBefore w:val="0"/>
        <w:widowControl w:val="0"/>
        <w:kinsoku/>
        <w:wordWrap/>
        <w:overflowPunct/>
        <w:topLinePunct w:val="0"/>
        <w:bidi w:val="0"/>
        <w:adjustRightInd w:val="0"/>
        <w:spacing w:after="0" w:line="36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4、技术文本篇幅需控制在200页以内，超出200页的为无效内容，专家组只评审200页以内的内容。</w:t>
      </w:r>
    </w:p>
    <w:p>
      <w:pPr>
        <w:keepNext w:val="0"/>
        <w:keepLines w:val="0"/>
        <w:pageBreakBefore w:val="0"/>
        <w:widowControl w:val="0"/>
        <w:kinsoku/>
        <w:wordWrap/>
        <w:overflowPunct/>
        <w:topLinePunct w:val="0"/>
        <w:bidi w:val="0"/>
        <w:adjustRightInd w:val="0"/>
        <w:spacing w:after="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2、价格分（10分）</w:t>
      </w:r>
    </w:p>
    <w:tbl>
      <w:tblPr>
        <w:tblStyle w:val="65"/>
        <w:tblW w:w="8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6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4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after="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价格权值</w:t>
            </w:r>
          </w:p>
        </w:tc>
        <w:tc>
          <w:tcPr>
            <w:tcW w:w="6484"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napToGrid w:val="0"/>
              <w:spacing w:after="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84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bidi w:val="0"/>
              <w:adjustRightInd w:val="0"/>
              <w:spacing w:after="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价格权值=0.10</w:t>
            </w:r>
          </w:p>
        </w:tc>
        <w:tc>
          <w:tcPr>
            <w:tcW w:w="6484"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审委员会对通过资格审查、技术部分评审、初步评审的响应文件进行商务部分评审。商务报价得分以有效响应报价与评审基准价的比值计算。若有效响应人＞5个的，以所有有效响应报价去除最高报价、最低报价后的平均值作为评审基准价；有效响应人≤5个的，以所有有效响应报价的平均值作为评审基准价。</w:t>
            </w:r>
            <w:r>
              <w:rPr>
                <w:rFonts w:hint="eastAsia" w:ascii="宋体" w:hAnsi="宋体" w:cs="宋体"/>
                <w:color w:val="auto"/>
                <w:sz w:val="24"/>
                <w:highlight w:val="none"/>
                <w:lang w:val="en-US" w:eastAsia="zh-CN"/>
              </w:rPr>
              <w:t>（保留2为小数）</w:t>
            </w:r>
          </w:p>
          <w:p>
            <w:pPr>
              <w:widowControl/>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u w:val="single"/>
                <w:lang w:val="en-US" w:eastAsia="zh-CN"/>
              </w:rPr>
              <w:t>响应报价等于评审基准价的得满分；每高于评审基准价的1%扣</w:t>
            </w:r>
            <w:r>
              <w:rPr>
                <w:rFonts w:hint="eastAsia" w:ascii="宋体" w:hAnsi="宋体" w:eastAsia="宋体" w:cs="宋体"/>
                <w:strike w:val="0"/>
                <w:dstrike w:val="0"/>
                <w:color w:val="auto"/>
                <w:sz w:val="24"/>
                <w:highlight w:val="none"/>
                <w:u w:val="single"/>
                <w:lang w:val="en-US" w:eastAsia="zh-CN"/>
              </w:rPr>
              <w:t>0.3</w:t>
            </w:r>
            <w:r>
              <w:rPr>
                <w:rFonts w:hint="eastAsia" w:ascii="宋体" w:hAnsi="宋体" w:eastAsia="宋体" w:cs="宋体"/>
                <w:color w:val="auto"/>
                <w:sz w:val="24"/>
                <w:highlight w:val="none"/>
                <w:u w:val="single"/>
                <w:lang w:val="en-US" w:eastAsia="zh-CN"/>
              </w:rPr>
              <w:t>分；每低于评审基准价1%的 扣</w:t>
            </w:r>
            <w:r>
              <w:rPr>
                <w:rFonts w:hint="eastAsia" w:ascii="宋体" w:hAnsi="宋体" w:eastAsia="宋体" w:cs="宋体"/>
                <w:strike w:val="0"/>
                <w:dstrike w:val="0"/>
                <w:color w:val="auto"/>
                <w:sz w:val="24"/>
                <w:highlight w:val="none"/>
                <w:u w:val="single"/>
                <w:lang w:val="en-US" w:eastAsia="zh-CN"/>
              </w:rPr>
              <w:t xml:space="preserve"> 0.15</w:t>
            </w:r>
            <w:r>
              <w:rPr>
                <w:rFonts w:hint="eastAsia" w:ascii="宋体" w:hAnsi="宋体" w:eastAsia="宋体" w:cs="宋体"/>
                <w:color w:val="auto"/>
                <w:sz w:val="24"/>
                <w:highlight w:val="none"/>
                <w:u w:val="single"/>
                <w:lang w:val="en-US" w:eastAsia="zh-CN"/>
              </w:rPr>
              <w:t>分 。响应报价每高于或低于评审基准价不足一个百分点时，使用直线插入法计算，保留两位小数。</w:t>
            </w:r>
          </w:p>
        </w:tc>
      </w:tr>
    </w:tbl>
    <w:p>
      <w:pPr>
        <w:pStyle w:val="64"/>
        <w:rPr>
          <w:rFonts w:hint="eastAsia" w:ascii="宋体" w:hAnsi="宋体" w:eastAsia="宋体" w:cs="宋体"/>
          <w:color w:val="auto"/>
          <w:highlight w:val="none"/>
        </w:rPr>
      </w:pPr>
    </w:p>
    <w:p>
      <w:pPr>
        <w:widowControl/>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1、评分条款中涉及的业绩、荣誉、人员、社保等分公司均有效。</w:t>
      </w:r>
    </w:p>
    <w:p>
      <w:pPr>
        <w:widowControl/>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响应文件中如附有外文资料，必须逐一对应翻译成中文并加盖响应人公章后附在相关外文资料后面，否则外文资料不予认可。翻译的中文资料与外文资料不符的，均不予认可。翻译严重错误的，将视同提供虚假资料。</w:t>
      </w:r>
    </w:p>
    <w:p>
      <w:pPr>
        <w:widowControl/>
        <w:spacing w:line="360" w:lineRule="auto"/>
        <w:ind w:firstLine="480" w:firstLineChars="200"/>
        <w:rPr>
          <w:rFonts w:hint="eastAsia" w:ascii="宋体" w:hAnsi="宋体" w:eastAsia="宋体" w:cs="宋体"/>
          <w:b/>
          <w:color w:val="auto"/>
          <w:sz w:val="28"/>
          <w:szCs w:val="28"/>
          <w:highlight w:val="none"/>
        </w:rPr>
      </w:pPr>
      <w:r>
        <w:rPr>
          <w:rFonts w:hint="eastAsia" w:ascii="宋体" w:hAnsi="宋体" w:eastAsia="宋体" w:cs="宋体"/>
          <w:color w:val="auto"/>
          <w:sz w:val="24"/>
          <w:highlight w:val="none"/>
        </w:rPr>
        <w:t>3、响应人编制响应文件（商务技术文件部分）时，建议按此目录（序号和内容）提供评审标准相应的商务技术资料。</w:t>
      </w:r>
    </w:p>
    <w:p>
      <w:pPr>
        <w:snapToGrid w:val="0"/>
        <w:spacing w:line="570" w:lineRule="exact"/>
        <w:rPr>
          <w:rFonts w:hint="eastAsia" w:ascii="宋体" w:hAnsi="宋体" w:eastAsia="宋体" w:cs="宋体"/>
          <w:b/>
          <w:color w:val="auto"/>
          <w:sz w:val="28"/>
          <w:szCs w:val="28"/>
          <w:highlight w:val="none"/>
        </w:rPr>
      </w:pPr>
    </w:p>
    <w:p>
      <w:pPr>
        <w:snapToGrid w:val="0"/>
        <w:spacing w:line="57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一、交易方法</w:t>
      </w:r>
    </w:p>
    <w:p>
      <w:pPr>
        <w:adjustRightInd/>
        <w:spacing w:line="570" w:lineRule="exact"/>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1.本项目采用综合评估法。</w:t>
      </w:r>
      <w:r>
        <w:rPr>
          <w:rFonts w:hint="eastAsia" w:ascii="宋体" w:hAnsi="宋体" w:eastAsia="宋体" w:cs="宋体"/>
          <w:color w:val="auto"/>
          <w:kern w:val="0"/>
          <w:sz w:val="24"/>
          <w:highlight w:val="none"/>
        </w:rPr>
        <w:t>综合评估法，是指响应文件满足公开竞争文件全部实质性要求，且按照评审因素的量化指标评审得分最高的响应人为成交候选人的评标方法。</w:t>
      </w:r>
    </w:p>
    <w:p>
      <w:pPr>
        <w:snapToGrid w:val="0"/>
        <w:spacing w:line="57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二、交易标准</w:t>
      </w:r>
    </w:p>
    <w:p>
      <w:pPr>
        <w:spacing w:line="570" w:lineRule="exact"/>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2.评标标准：</w:t>
      </w:r>
      <w:r>
        <w:rPr>
          <w:rFonts w:hint="eastAsia" w:ascii="宋体" w:hAnsi="宋体" w:eastAsia="宋体" w:cs="宋体"/>
          <w:color w:val="auto"/>
          <w:kern w:val="0"/>
          <w:sz w:val="24"/>
          <w:highlight w:val="none"/>
        </w:rPr>
        <w:t>见交易办法前附表。</w:t>
      </w:r>
    </w:p>
    <w:p>
      <w:pPr>
        <w:snapToGrid w:val="0"/>
        <w:spacing w:line="57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三、交易程序</w:t>
      </w:r>
    </w:p>
    <w:bookmarkEnd w:id="15"/>
    <w:p>
      <w:pPr>
        <w:spacing w:line="570" w:lineRule="exact"/>
        <w:ind w:firstLine="472" w:firstLineChars="196"/>
        <w:rPr>
          <w:rFonts w:hint="eastAsia" w:ascii="宋体" w:hAnsi="宋体" w:eastAsia="宋体" w:cs="宋体"/>
          <w:color w:val="auto"/>
          <w:kern w:val="0"/>
          <w:sz w:val="24"/>
          <w:highlight w:val="none"/>
        </w:rPr>
      </w:pPr>
      <w:bookmarkStart w:id="389" w:name="第五部分"/>
      <w:bookmarkStart w:id="390" w:name="_Toc86217003"/>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评审委员会应当对符合资格的响应人的响应文件进行符合性审查，以确定其是否满足公开竞争文件的实质性要求。不满足公开竞争文件的实质性要求的，交易无效。</w:t>
      </w:r>
    </w:p>
    <w:p>
      <w:pPr>
        <w:spacing w:line="570" w:lineRule="exact"/>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3.2比较与评价。</w:t>
      </w:r>
      <w:r>
        <w:rPr>
          <w:rFonts w:hint="eastAsia" w:ascii="宋体" w:hAnsi="宋体" w:eastAsia="宋体" w:cs="宋体"/>
          <w:color w:val="auto"/>
          <w:kern w:val="0"/>
          <w:sz w:val="24"/>
          <w:highlight w:val="none"/>
        </w:rPr>
        <w:t>评审委员会应当按照公开竞争文件中规定的评标方法和标准，对符合性审查合格的响应文件进行商务和技术评估，综合比较与评价。</w:t>
      </w:r>
    </w:p>
    <w:p>
      <w:pPr>
        <w:spacing w:line="570" w:lineRule="exact"/>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评审委员会各成员应当独立对每个响应人的商务和技术文件进行评价，并汇总商务技术得分情况。</w:t>
      </w:r>
    </w:p>
    <w:p>
      <w:pPr>
        <w:spacing w:line="570" w:lineRule="exact"/>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pPr>
        <w:pStyle w:val="136"/>
        <w:spacing w:before="0" w:line="570" w:lineRule="exact"/>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3.4.1响应文件报价出现前后不一致的，按照下列规定修正：</w:t>
      </w:r>
    </w:p>
    <w:p>
      <w:pPr>
        <w:pStyle w:val="136"/>
        <w:spacing w:before="0" w:line="570" w:lineRule="exact"/>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3.4.1.1响应文件中交易一览表(报价表)内容与响应文件中相应内容不一致的，以交易一览表(报价表)为准；</w:t>
      </w:r>
    </w:p>
    <w:p>
      <w:pPr>
        <w:pStyle w:val="136"/>
        <w:spacing w:before="0" w:line="570" w:lineRule="exact"/>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pPr>
        <w:pStyle w:val="136"/>
        <w:spacing w:before="0" w:line="570" w:lineRule="exact"/>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3.4.1.3单价金额小数点或者百分比有明显错位的，以交易一览表的总价为准，并修改单价；</w:t>
      </w:r>
    </w:p>
    <w:p>
      <w:pPr>
        <w:pStyle w:val="136"/>
        <w:spacing w:before="0" w:line="570" w:lineRule="exact"/>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pPr>
        <w:pStyle w:val="136"/>
        <w:spacing w:before="0" w:line="570" w:lineRule="exact"/>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w:t>
      </w:r>
    </w:p>
    <w:p>
      <w:pPr>
        <w:snapToGrid w:val="0"/>
        <w:spacing w:line="57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3.4.2响应文件出现不是唯一的、有选择性交易报价的，交易无效。</w:t>
      </w:r>
    </w:p>
    <w:p>
      <w:pPr>
        <w:snapToGrid w:val="0"/>
        <w:spacing w:line="57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3.4.3交易报价超过公开竞争文件中规定的预算金额或者最高限价的，交易无效。</w:t>
      </w:r>
    </w:p>
    <w:p>
      <w:pPr>
        <w:pStyle w:val="136"/>
        <w:spacing w:before="0" w:line="570" w:lineRule="exact"/>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审委员会认为响应人的报价明显低于其他通过符合性审查响应人的报价，有可能影响产品质量或者不能诚信履约的，应当要求其在合理的时间内提供书面说明，必要时提交相关证明材料；响应人不能证明其报价合理性的，评审委员会应当将其作为无效投标处理。</w:t>
      </w:r>
    </w:p>
    <w:p>
      <w:pPr>
        <w:spacing w:line="570" w:lineRule="exact"/>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估法的，评标结果按评审后得分由高到低顺序排列。得分相同的，按交易报价由低到高顺序排列。得分且交易报价相同的并列。响应文件满足公开竞争文件全部实质性要求，且按照评审因素的量化指标评审得分最高的响应人为排名第一的成交候选人。</w:t>
      </w:r>
    </w:p>
    <w:p>
      <w:pPr>
        <w:spacing w:line="570" w:lineRule="exact"/>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3.6编写评审报告。</w:t>
      </w:r>
      <w:r>
        <w:rPr>
          <w:rFonts w:hint="eastAsia" w:ascii="宋体" w:hAnsi="宋体" w:eastAsia="宋体" w:cs="宋体"/>
          <w:color w:val="auto"/>
          <w:kern w:val="0"/>
          <w:sz w:val="24"/>
          <w:highlight w:val="none"/>
        </w:rPr>
        <w:t>评审委员会根据全体评标成员签字的原始评标记录和评标结果编写评审报告。评审委员会成员对需要共同认定的事项存在争议的，应当按照少数服从多数的原则作出结论。持不同意见的评审委员会成员应当在评审报告上签署不同意见及理由，否则视为同意评审报告。</w:t>
      </w:r>
    </w:p>
    <w:p>
      <w:pPr>
        <w:snapToGrid w:val="0"/>
        <w:spacing w:line="57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四、评标中的其他事项</w:t>
      </w:r>
    </w:p>
    <w:p>
      <w:pPr>
        <w:pStyle w:val="136"/>
        <w:spacing w:before="0" w:line="570" w:lineRule="exact"/>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4.1响应人澄清、说明或者补正。</w:t>
      </w:r>
      <w:r>
        <w:rPr>
          <w:rFonts w:hint="eastAsia" w:ascii="宋体" w:hAnsi="宋体" w:eastAsia="宋体" w:cs="宋体"/>
          <w:color w:val="auto"/>
          <w:kern w:val="0"/>
          <w:szCs w:val="24"/>
          <w:highlight w:val="none"/>
        </w:rPr>
        <w:t>对于响应文件中含义不明确、同类问题表述不一致或者有明显文字和计算错误的内容需要响应人作出必要的澄清、说明或者补正的，评审委员会和响应人通过电子交易平台交换数据电文，响应人提交使用电子签名的相关数据电文或通过平台上传加盖公章的扫描件。给予响应人提交澄清、说明或补正的时间不得少于半小时，响应人已经明确表示澄清说明或补正完毕的除外。响应人的澄清、说明或者补正不得超出响应文件的范围或者改变响应文件的实质性内容。</w:t>
      </w:r>
    </w:p>
    <w:p>
      <w:pPr>
        <w:pStyle w:val="26"/>
        <w:spacing w:line="570" w:lineRule="exact"/>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4.2交易无效。</w:t>
      </w:r>
      <w:r>
        <w:rPr>
          <w:rFonts w:hint="eastAsia" w:ascii="宋体" w:hAnsi="宋体" w:eastAsia="宋体" w:cs="宋体"/>
          <w:color w:val="auto"/>
          <w:szCs w:val="21"/>
          <w:highlight w:val="none"/>
        </w:rPr>
        <w:t>有下列情形之一的，交易无效：</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4.2.1响应人不具备公开竞争文件中规定的资格要求的（响应人未提供有效的资格文件的，视为响应人不具备公开竞争文件中规定的资格要求）；</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4.2.2响应文件未按照公开竞争文件要求签署、盖章的；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4.2.3响应文件含有交易发起人不能接受的附加条件的；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4.2.4响应文件中承诺的交易有效期少于公开竞争文件中载明的交易有效期的；</w:t>
      </w:r>
    </w:p>
    <w:p>
      <w:pPr>
        <w:snapToGrid w:val="0"/>
        <w:spacing w:line="570" w:lineRule="exact"/>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4.2.5响应文件出现不是唯一的、有选择性交易报价的；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4.2.6交易报价超过公开竞争文件中规定的预算金额或者最高限价的；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4.2.7报价明显低于其他通过符合性审查响应人的报价，有可能影响产品质量或者不能诚信履约的，未能按要求提供书面说明或者提交相关证明材料，不能证明其报价合理性的；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4.2.8响应人对根据修正原则修正后的报价不确认的；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4.2.9响应人提供虚假材料投标的；</w:t>
      </w:r>
    </w:p>
    <w:p>
      <w:pPr>
        <w:spacing w:line="570" w:lineRule="exact"/>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4.2.10响应人有恶意串通、妨碍其他响应人的竞争行为、损害交易发起人或者其他响应人的合法权益情形的；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4.2.11响应人未在电子交易平台传输递交响应文件的，交易无效；</w:t>
      </w:r>
    </w:p>
    <w:p>
      <w:pPr>
        <w:pStyle w:val="3"/>
        <w:spacing w:line="570" w:lineRule="exact"/>
        <w:ind w:left="862" w:leftChars="205"/>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4.2.12响应文件不满足公开竞争文件的其它实质性要求的；</w:t>
      </w:r>
    </w:p>
    <w:p>
      <w:pPr>
        <w:spacing w:line="57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4.2.13法律、法规、规章（适用本市的）及省级以上规范性文件（适用本市的）规定的其他无效情形。</w:t>
      </w:r>
    </w:p>
    <w:p>
      <w:pPr>
        <w:pStyle w:val="26"/>
        <w:snapToGrid w:val="0"/>
        <w:spacing w:line="570" w:lineRule="exact"/>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根据《中华人民共和国政府采购法》第三十六条之规定，在交易过程中，出现下列情形之一的，应予废标：</w:t>
      </w:r>
    </w:p>
    <w:p>
      <w:pPr>
        <w:pStyle w:val="26"/>
        <w:snapToGrid w:val="0"/>
        <w:spacing w:line="570" w:lineRule="exact"/>
        <w:rPr>
          <w:rFonts w:hint="eastAsia" w:ascii="宋体" w:hAnsi="宋体" w:eastAsia="宋体" w:cs="宋体"/>
          <w:color w:val="auto"/>
          <w:highlight w:val="none"/>
        </w:rPr>
      </w:pPr>
      <w:r>
        <w:rPr>
          <w:rFonts w:hint="eastAsia" w:ascii="宋体" w:hAnsi="宋体" w:eastAsia="宋体" w:cs="宋体"/>
          <w:color w:val="auto"/>
          <w:highlight w:val="none"/>
        </w:rPr>
        <w:t>5.1符合专业条件的响应人或者对公开竞争文件作实质响应的响应人不足3家的；</w:t>
      </w:r>
    </w:p>
    <w:p>
      <w:pPr>
        <w:pStyle w:val="26"/>
        <w:snapToGrid w:val="0"/>
        <w:spacing w:line="570" w:lineRule="exact"/>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pPr>
        <w:pStyle w:val="26"/>
        <w:snapToGrid w:val="0"/>
        <w:spacing w:line="570" w:lineRule="exact"/>
        <w:rPr>
          <w:rFonts w:hint="eastAsia" w:ascii="宋体" w:hAnsi="宋体" w:eastAsia="宋体" w:cs="宋体"/>
          <w:color w:val="auto"/>
          <w:highlight w:val="none"/>
        </w:rPr>
      </w:pPr>
      <w:r>
        <w:rPr>
          <w:rFonts w:hint="eastAsia" w:ascii="宋体" w:hAnsi="宋体" w:eastAsia="宋体" w:cs="宋体"/>
          <w:color w:val="auto"/>
          <w:highlight w:val="none"/>
        </w:rPr>
        <w:t>5.3响应人的报价均超过了采购预算，交易发起人不能支付的；</w:t>
      </w:r>
    </w:p>
    <w:p>
      <w:pPr>
        <w:pStyle w:val="26"/>
        <w:snapToGrid w:val="0"/>
        <w:spacing w:line="570" w:lineRule="exact"/>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pPr>
        <w:pStyle w:val="26"/>
        <w:snapToGrid w:val="0"/>
        <w:spacing w:line="570" w:lineRule="exact"/>
        <w:rPr>
          <w:rFonts w:hint="eastAsia" w:ascii="宋体" w:hAnsi="宋体" w:eastAsia="宋体" w:cs="宋体"/>
          <w:color w:val="auto"/>
          <w:highlight w:val="none"/>
        </w:rPr>
      </w:pPr>
      <w:r>
        <w:rPr>
          <w:rFonts w:hint="eastAsia" w:ascii="宋体" w:hAnsi="宋体" w:eastAsia="宋体" w:cs="宋体"/>
          <w:color w:val="auto"/>
          <w:highlight w:val="none"/>
        </w:rPr>
        <w:t>废标后，代理机构应当将废标理由通知所有响应人。</w:t>
      </w:r>
    </w:p>
    <w:p>
      <w:pPr>
        <w:pStyle w:val="26"/>
        <w:snapToGrid w:val="0"/>
        <w:spacing w:line="570" w:lineRule="exact"/>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6.修改公开竞争文件，重新组织交易活动。</w:t>
      </w:r>
      <w:r>
        <w:rPr>
          <w:rFonts w:hint="eastAsia" w:ascii="宋体" w:hAnsi="宋体" w:eastAsia="宋体" w:cs="宋体"/>
          <w:color w:val="auto"/>
          <w:highlight w:val="none"/>
        </w:rPr>
        <w:t>评审委员会发现公开竞争文件存在歧义、重大缺陷导致评标工作无法进行，或者公开竞争文件内容违反国家有关强制性规定的，将停止评审工作，并与交易发起人、代理机构沟通并作书面记录。交易发起人、代理机构确认后，将修改公开竞争文件，重新组织交易活动。</w:t>
      </w:r>
    </w:p>
    <w:p>
      <w:pPr>
        <w:pStyle w:val="26"/>
        <w:snapToGrid w:val="0"/>
        <w:spacing w:line="570" w:lineRule="exact"/>
        <w:ind w:firstLine="590" w:firstLineChars="245"/>
        <w:rPr>
          <w:rFonts w:hint="eastAsia" w:ascii="宋体" w:hAnsi="宋体" w:eastAsia="宋体" w:cs="宋体"/>
          <w:color w:val="auto"/>
          <w:highlight w:val="none"/>
        </w:rPr>
      </w:pPr>
      <w:r>
        <w:rPr>
          <w:rFonts w:hint="eastAsia" w:ascii="宋体" w:hAnsi="宋体" w:eastAsia="宋体" w:cs="宋体"/>
          <w:b/>
          <w:color w:val="auto"/>
          <w:kern w:val="0"/>
          <w:highlight w:val="none"/>
        </w:rPr>
        <w:t>7.重新开展交易。</w:t>
      </w:r>
      <w:r>
        <w:rPr>
          <w:rFonts w:hint="eastAsia" w:ascii="宋体" w:hAnsi="宋体" w:eastAsia="宋体" w:cs="宋体"/>
          <w:color w:val="auto"/>
          <w:highlight w:val="none"/>
        </w:rPr>
        <w:t>影响或者可能影响</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、成交结果的，依照下列规定处理：</w:t>
      </w:r>
    </w:p>
    <w:p>
      <w:pPr>
        <w:pStyle w:val="26"/>
        <w:snapToGrid w:val="0"/>
        <w:spacing w:line="570" w:lineRule="exact"/>
        <w:ind w:firstLine="600" w:firstLineChars="250"/>
        <w:rPr>
          <w:rFonts w:hint="eastAsia" w:ascii="宋体" w:hAnsi="宋体" w:eastAsia="宋体" w:cs="宋体"/>
          <w:color w:val="auto"/>
          <w:highlight w:val="none"/>
        </w:rPr>
      </w:pPr>
      <w:r>
        <w:rPr>
          <w:rFonts w:hint="eastAsia" w:ascii="宋体" w:hAnsi="宋体" w:eastAsia="宋体" w:cs="宋体"/>
          <w:color w:val="auto"/>
          <w:highlight w:val="none"/>
        </w:rPr>
        <w:t>7.1未确定</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或者成交人的，终止本次交易活动，重新开展交易活动。</w:t>
      </w:r>
    </w:p>
    <w:p>
      <w:pPr>
        <w:pStyle w:val="26"/>
        <w:snapToGrid w:val="0"/>
        <w:spacing w:line="570" w:lineRule="exact"/>
        <w:ind w:firstLine="600" w:firstLineChars="250"/>
        <w:rPr>
          <w:rFonts w:hint="eastAsia" w:ascii="宋体" w:hAnsi="宋体" w:eastAsia="宋体" w:cs="宋体"/>
          <w:color w:val="auto"/>
          <w:highlight w:val="none"/>
        </w:rPr>
      </w:pPr>
      <w:r>
        <w:rPr>
          <w:rFonts w:hint="eastAsia" w:ascii="宋体" w:hAnsi="宋体" w:eastAsia="宋体" w:cs="宋体"/>
          <w:color w:val="auto"/>
          <w:highlight w:val="none"/>
        </w:rPr>
        <w:t>7.2已确定</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或者成交人但尚未签订合同的，</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或者成交结果无效，从合格的</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或者成交候选人中另行确定</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或者成交人；没有合格的</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或者成交候选人的，重新开展交易活动。</w:t>
      </w:r>
    </w:p>
    <w:p>
      <w:pPr>
        <w:pStyle w:val="26"/>
        <w:snapToGrid w:val="0"/>
        <w:spacing w:line="570" w:lineRule="exact"/>
        <w:ind w:firstLine="600" w:firstLineChars="250"/>
        <w:rPr>
          <w:rFonts w:hint="eastAsia" w:ascii="宋体" w:hAnsi="宋体" w:eastAsia="宋体" w:cs="宋体"/>
          <w:color w:val="auto"/>
          <w:highlight w:val="none"/>
        </w:rPr>
      </w:pPr>
      <w:r>
        <w:rPr>
          <w:rFonts w:hint="eastAsia" w:ascii="宋体" w:hAnsi="宋体" w:eastAsia="宋体" w:cs="宋体"/>
          <w:color w:val="auto"/>
          <w:highlight w:val="none"/>
        </w:rPr>
        <w:t>7.3书面合同已签订但尚未履行的，撤销合同，从合格的</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或者成交候选人中另行确定</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或者成交人；没有合格的</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或者成交候选人的，重新开展交易活动。</w:t>
      </w:r>
    </w:p>
    <w:p>
      <w:pPr>
        <w:pStyle w:val="26"/>
        <w:snapToGrid w:val="0"/>
        <w:spacing w:line="570" w:lineRule="exact"/>
        <w:rPr>
          <w:rFonts w:hint="eastAsia" w:ascii="宋体" w:hAnsi="宋体" w:eastAsia="宋体" w:cs="宋体"/>
          <w:color w:val="auto"/>
          <w:highlight w:val="none"/>
        </w:rPr>
      </w:pPr>
      <w:r>
        <w:rPr>
          <w:rFonts w:hint="eastAsia" w:ascii="宋体" w:hAnsi="宋体" w:eastAsia="宋体" w:cs="宋体"/>
          <w:color w:val="auto"/>
          <w:highlight w:val="none"/>
        </w:rPr>
        <w:t>7.4书面合同已经履行，给交易发起人、响应人造成损失的，由责任人承担赔偿责任。</w:t>
      </w:r>
    </w:p>
    <w:p>
      <w:pPr>
        <w:pStyle w:val="26"/>
        <w:snapToGrid w:val="0"/>
        <w:spacing w:line="570" w:lineRule="exact"/>
        <w:rPr>
          <w:rFonts w:hint="eastAsia" w:ascii="宋体" w:hAnsi="宋体" w:eastAsia="宋体" w:cs="宋体"/>
          <w:color w:val="auto"/>
          <w:highlight w:val="none"/>
        </w:rPr>
      </w:pPr>
      <w:r>
        <w:rPr>
          <w:rFonts w:hint="eastAsia" w:ascii="宋体" w:hAnsi="宋体" w:eastAsia="宋体" w:cs="宋体"/>
          <w:color w:val="auto"/>
          <w:highlight w:val="none"/>
        </w:rPr>
        <w:t>7.5交易当事人有其他违反政府采购法</w:t>
      </w:r>
      <w:r>
        <w:rPr>
          <w:rFonts w:hint="eastAsia" w:ascii="宋体" w:hAnsi="宋体" w:eastAsia="宋体" w:cs="宋体"/>
          <w:color w:val="auto"/>
          <w:kern w:val="0"/>
          <w:highlight w:val="none"/>
        </w:rPr>
        <w:t>或者政府采购法实施条例等法律法规规定</w:t>
      </w:r>
      <w:r>
        <w:rPr>
          <w:rFonts w:hint="eastAsia" w:ascii="宋体" w:hAnsi="宋体" w:eastAsia="宋体" w:cs="宋体"/>
          <w:color w:val="auto"/>
          <w:highlight w:val="none"/>
        </w:rPr>
        <w:t>的行为，经改正后仍然影响或者可能影响</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、成交结果或者依法被认定为</w:t>
      </w:r>
      <w:r>
        <w:rPr>
          <w:rFonts w:hint="eastAsia" w:ascii="宋体" w:hAnsi="宋体" w:eastAsia="宋体" w:cs="宋体"/>
          <w:color w:val="auto"/>
          <w:kern w:val="0"/>
          <w:highlight w:val="none"/>
        </w:rPr>
        <w:t>成交</w:t>
      </w:r>
      <w:r>
        <w:rPr>
          <w:rFonts w:hint="eastAsia" w:ascii="宋体" w:hAnsi="宋体" w:eastAsia="宋体" w:cs="宋体"/>
          <w:color w:val="auto"/>
          <w:highlight w:val="none"/>
        </w:rPr>
        <w:t>、成交无效的，依照7.1-7.4规定处理。</w:t>
      </w:r>
    </w:p>
    <w:p>
      <w:pPr>
        <w:pStyle w:val="26"/>
        <w:snapToGrid w:val="0"/>
        <w:spacing w:line="360" w:lineRule="auto"/>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pPr>
        <w:numPr>
          <w:ilvl w:val="0"/>
          <w:numId w:val="8"/>
        </w:numPr>
        <w:spacing w:line="360" w:lineRule="auto"/>
        <w:ind w:left="718" w:leftChars="342" w:firstLine="119" w:firstLineChars="33"/>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拟签订的合同文本</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合同编号：</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签订地点：                                 签订时间：202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年  月  日</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甲方（需方）：                                     </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乙方（供方）：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供、需双方根据项目（交易编号  -  -   ）成交结果和公开竞争文件的要求，并经双方协调一致，订立本合同。</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一、合同文件：</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1、合同条款。</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2、成交通知书。</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3、公开竞争文件。</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4、更正公告。</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5、成交单位响应文件。</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6、其他。</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二、合同金额: 本合同金额为（大写）</w:t>
      </w:r>
      <w:r>
        <w:rPr>
          <w:rFonts w:hint="eastAsia" w:ascii="宋体" w:hAnsi="宋体" w:eastAsia="宋体" w:cs="宋体"/>
          <w:color w:val="auto"/>
          <w:highlight w:val="none"/>
          <w:u w:val="single"/>
        </w:rPr>
        <w:t>　　　　</w:t>
      </w:r>
      <w:r>
        <w:rPr>
          <w:rFonts w:hint="eastAsia" w:ascii="宋体" w:hAnsi="宋体" w:eastAsia="宋体" w:cs="宋体"/>
          <w:color w:val="auto"/>
          <w:highlight w:val="none"/>
        </w:rPr>
        <w:t>元（￥</w:t>
      </w:r>
      <w:r>
        <w:rPr>
          <w:rFonts w:hint="eastAsia" w:ascii="宋体" w:hAnsi="宋体" w:eastAsia="宋体" w:cs="宋体"/>
          <w:color w:val="auto"/>
          <w:highlight w:val="none"/>
          <w:u w:val="single"/>
        </w:rPr>
        <w:t>　　　　</w:t>
      </w:r>
      <w:r>
        <w:rPr>
          <w:rFonts w:hint="eastAsia" w:ascii="宋体" w:hAnsi="宋体" w:eastAsia="宋体" w:cs="宋体"/>
          <w:color w:val="auto"/>
          <w:highlight w:val="none"/>
        </w:rPr>
        <w:t>元）人民币。</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附：</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《项目清单内容》</w:t>
      </w:r>
    </w:p>
    <w:tbl>
      <w:tblPr>
        <w:tblStyle w:val="65"/>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637"/>
        <w:gridCol w:w="1972"/>
        <w:gridCol w:w="961"/>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1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6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tc>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成交内容</w:t>
            </w:r>
          </w:p>
        </w:tc>
        <w:tc>
          <w:tcPr>
            <w:tcW w:w="9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23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成交总价（元）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1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6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11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6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197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c>
          <w:tcPr>
            <w:tcW w:w="235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4"/>
                <w:highlight w:val="none"/>
              </w:rPr>
            </w:pPr>
          </w:p>
        </w:tc>
      </w:tr>
    </w:tbl>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三、技术资料</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1.乙方应按公开竞争文件规定的时间向甲方提供有关技术资料。</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没有甲方事先书面同意，乙方不得将由甲方提供的有关合同或任何合同条文、规格、计划或资料提供给与履行本合同无关的任何其他人。即使向履行本合同有关的人员提供，也应注意保密并限于履行合同的必需范围。</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四、转包或分包</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1.本合同范围的服务，应由乙方直接提供，乙方不得将本合同范围的服务全部或部分分包给他人供应；</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2.如有转让和未经甲方同意的分包行为，甲方有权解除合同，追究乙方的违约责任。</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五、服务质量保证期</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 服务时间：</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六、合同履行时间、履行方式及履行地点</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 履行时间：</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 履行方式：按合同履行。</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 履行地点：甲方指定地点内。</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七、款项支付</w:t>
      </w:r>
    </w:p>
    <w:p>
      <w:pPr>
        <w:pStyle w:val="26"/>
        <w:snapToGrid w:val="0"/>
        <w:spacing w:line="360" w:lineRule="auto"/>
        <w:ind w:left="479" w:leftChars="228" w:firstLine="0" w:firstLineChars="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完成概念性方案后支付该项目合同价款的50%，通过方案评审后支付该项目合同价款的40%，项目竣工验收后支付剩余10%款项</w:t>
      </w:r>
      <w:bookmarkStart w:id="391" w:name="_GoBack"/>
      <w:bookmarkEnd w:id="391"/>
      <w:r>
        <w:rPr>
          <w:rFonts w:hint="eastAsia" w:ascii="宋体" w:hAnsi="宋体" w:eastAsia="宋体" w:cs="宋体"/>
          <w:b/>
          <w:bCs/>
          <w:color w:val="auto"/>
          <w:highlight w:val="none"/>
          <w:u w:val="single"/>
        </w:rPr>
        <w:t>；</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注：每次支付前，成交人需向发包人提供合法有效的、等额增值税专用发票。</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、税费</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本合同执行中相关的一切税费均由乙方负担。</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九</w:t>
      </w:r>
      <w:r>
        <w:rPr>
          <w:rFonts w:hint="eastAsia" w:ascii="宋体" w:hAnsi="宋体" w:eastAsia="宋体" w:cs="宋体"/>
          <w:color w:val="auto"/>
          <w:highlight w:val="none"/>
        </w:rPr>
        <w:t>、质量保证及后续服务</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 乙方应按公开竞争文件规定向甲方提供服务。</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 乙方提供的服务发生问题或产出重大不良影响的，除按招标文件扣除结算金额外，乙方应负责免费提供后续善后服务，同时承担相应责任。</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十、违约责任</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1.甲方无正当理由拒绝接收服务的，甲方向乙方偿付合同款项百分之五作为违约金。</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2.乙方未能如期提供服务的，每日向甲方支付合同款项的千分之六作为违约金。乙方超过约定日期3个工作日仍不能提供服务的，甲方可解除本合同，追究乙赔偿责任。</w:t>
      </w:r>
      <w:r>
        <w:rPr>
          <w:rFonts w:hint="eastAsia" w:ascii="宋体" w:hAnsi="宋体" w:eastAsia="宋体" w:cs="宋体"/>
          <w:color w:val="auto"/>
          <w:highlight w:val="none"/>
          <w:lang w:val="en-US" w:eastAsia="zh-CN"/>
        </w:rPr>
        <w:t xml:space="preserve">  3</w:t>
      </w:r>
      <w:r>
        <w:rPr>
          <w:rFonts w:hint="eastAsia" w:ascii="宋体" w:hAnsi="宋体" w:eastAsia="宋体" w:cs="宋体"/>
          <w:color w:val="auto"/>
          <w:highlight w:val="none"/>
        </w:rPr>
        <w:t>.如发现乙方违反公开竞争文件、响应文件和合同的有关规定，甲方有权根据约定和《杭州市政府采购响应人合同履行和售后服务考核暂行办法》，对乙方进行处罚，并有权提前终止合同。</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十</w:t>
      </w:r>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rPr>
        <w:t>、争议的解决</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因本合同引起的或与本合同有关的任何争议，合同双方应首先通过协商解决，达成书面协议，如协商不成，可选择下列方式解决。</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提请杭州仲裁委员会按照该会仲裁规则进行仲裁，仲裁裁决是终局的，对合同双方均有约束力。</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向有管辖权的人民法院提起诉讼。</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十</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、合同生效</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1.成交方持成交通知书作为与需方签订合同的凭证。</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2.本合同经需、供双方法定代表人或其授权委托人签字并加盖单位公章或合同章后生效。</w:t>
      </w:r>
    </w:p>
    <w:p>
      <w:pPr>
        <w:pStyle w:val="26"/>
        <w:snapToGrid w:val="0"/>
        <w:spacing w:line="360" w:lineRule="auto"/>
        <w:rPr>
          <w:rFonts w:hint="eastAsia" w:ascii="宋体" w:hAnsi="宋体" w:eastAsia="宋体" w:cs="宋体"/>
          <w:color w:val="auto"/>
          <w:highlight w:val="none"/>
        </w:rPr>
      </w:pPr>
    </w:p>
    <w:p>
      <w:pPr>
        <w:pStyle w:val="26"/>
        <w:snapToGrid w:val="0"/>
        <w:spacing w:line="360" w:lineRule="auto"/>
        <w:rPr>
          <w:rFonts w:hint="eastAsia" w:ascii="宋体" w:hAnsi="宋体" w:eastAsia="宋体" w:cs="宋体"/>
          <w:color w:val="auto"/>
          <w:highlight w:val="none"/>
        </w:rPr>
      </w:pP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需方（盖章）：                     供方（盖章）：</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地址：                             地址：</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法定代表人（或委托代理人）签名：   法定代表人（或委托代理人）签名：</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联系电话：                         联系电话：</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邮政编码：                         邮政编码：</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开户银行：                         开户银行：      </w:t>
      </w:r>
    </w:p>
    <w:p>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帐号：                             帐号：</w:t>
      </w:r>
      <w:r>
        <w:rPr>
          <w:rFonts w:hint="eastAsia" w:ascii="宋体" w:hAnsi="宋体" w:eastAsia="宋体" w:cs="宋体"/>
          <w:color w:val="auto"/>
          <w:highlight w:val="none"/>
        </w:rPr>
        <w:br w:type="page"/>
      </w:r>
    </w:p>
    <w:p>
      <w:pPr>
        <w:rPr>
          <w:rFonts w:hint="eastAsia" w:ascii="宋体" w:hAnsi="宋体" w:eastAsia="宋体" w:cs="宋体"/>
          <w:color w:val="auto"/>
          <w:highlight w:val="none"/>
        </w:rPr>
      </w:pPr>
    </w:p>
    <w:p>
      <w:pPr>
        <w:spacing w:line="360" w:lineRule="auto"/>
        <w:ind w:left="720" w:firstLine="723" w:firstLineChars="2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89"/>
      <w:bookmarkEnd w:id="390"/>
      <w:r>
        <w:rPr>
          <w:rFonts w:hint="eastAsia" w:ascii="宋体" w:hAnsi="宋体" w:eastAsia="宋体" w:cs="宋体"/>
          <w:b/>
          <w:color w:val="auto"/>
          <w:sz w:val="36"/>
          <w:szCs w:val="20"/>
          <w:highlight w:val="none"/>
        </w:rPr>
        <w:t>应提交的有关格式范例</w:t>
      </w:r>
    </w:p>
    <w:p>
      <w:pPr>
        <w:spacing w:line="360" w:lineRule="auto"/>
        <w:jc w:val="center"/>
        <w:outlineLvl w:val="0"/>
        <w:rPr>
          <w:rFonts w:hint="eastAsia" w:ascii="宋体" w:hAnsi="宋体" w:eastAsia="宋体" w:cs="宋体"/>
          <w:b/>
          <w:color w:val="auto"/>
          <w:kern w:val="0"/>
          <w:sz w:val="36"/>
          <w:szCs w:val="36"/>
          <w:highlight w:val="none"/>
        </w:r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（1）符合参加交易活动应当具备的一般条件的承诺函…………………（页码）</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（2）本项目的特定资格要求………………………………………………（页码）</w:t>
      </w:r>
    </w:p>
    <w:p>
      <w:pPr>
        <w:snapToGrid w:val="0"/>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符合参加交易活动应当具备的一般条件的承诺函</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（交易发起人）、（代理机构）：</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u w:val="single"/>
        </w:rPr>
        <w:t>（项目名称）【交易编号：】</w:t>
      </w:r>
      <w:r>
        <w:rPr>
          <w:rFonts w:hint="eastAsia" w:ascii="宋体" w:hAnsi="宋体" w:eastAsia="宋体" w:cs="宋体"/>
          <w:color w:val="auto"/>
          <w:sz w:val="24"/>
          <w:highlight w:val="none"/>
        </w:rPr>
        <w:t>交易活动，郑重承诺：</w:t>
      </w:r>
    </w:p>
    <w:p>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（一）具备以下条件：</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5、参加交易活动前三年内，在经营活动中没有重大违法记录；</w:t>
      </w:r>
    </w:p>
    <w:p>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pPr>
        <w:snapToGrid w:val="0"/>
        <w:spacing w:line="360" w:lineRule="auto"/>
        <w:ind w:firstLine="5520" w:firstLineChars="2300"/>
        <w:rPr>
          <w:rFonts w:hint="eastAsia" w:ascii="宋体" w:hAnsi="宋体" w:eastAsia="宋体" w:cs="宋体"/>
          <w:color w:val="auto"/>
          <w:kern w:val="0"/>
          <w:sz w:val="24"/>
          <w:highlight w:val="none"/>
          <w:lang w:val="zh-CN"/>
        </w:rPr>
      </w:pPr>
    </w:p>
    <w:p>
      <w:pPr>
        <w:snapToGrid w:val="0"/>
        <w:spacing w:line="360" w:lineRule="auto"/>
        <w:ind w:firstLine="5520" w:firstLineChars="2300"/>
        <w:rPr>
          <w:rFonts w:hint="eastAsia" w:ascii="宋体" w:hAnsi="宋体" w:eastAsia="宋体" w:cs="宋体"/>
          <w:color w:val="auto"/>
          <w:kern w:val="0"/>
          <w:sz w:val="24"/>
          <w:highlight w:val="none"/>
          <w:lang w:val="zh-CN"/>
        </w:rPr>
      </w:pPr>
    </w:p>
    <w:p>
      <w:pPr>
        <w:snapToGrid w:val="0"/>
        <w:spacing w:line="360" w:lineRule="auto"/>
        <w:ind w:firstLine="5520" w:firstLineChars="2300"/>
        <w:rPr>
          <w:rFonts w:hint="eastAsia" w:ascii="宋体" w:hAnsi="宋体" w:eastAsia="宋体" w:cs="宋体"/>
          <w:color w:val="auto"/>
          <w:kern w:val="0"/>
          <w:sz w:val="24"/>
          <w:highlight w:val="none"/>
          <w:lang w:val="zh-CN"/>
        </w:rPr>
      </w:pPr>
    </w:p>
    <w:p>
      <w:pPr>
        <w:snapToGrid w:val="0"/>
        <w:spacing w:line="360" w:lineRule="auto"/>
        <w:ind w:firstLine="5520" w:firstLineChars="23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响应人名称(电子签名)：</w:t>
      </w:r>
    </w:p>
    <w:p>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月日</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widowControl/>
        <w:spacing w:line="360" w:lineRule="auto"/>
        <w:ind w:left="150"/>
        <w:jc w:val="center"/>
        <w:rPr>
          <w:rFonts w:hint="eastAsia" w:ascii="宋体" w:hAnsi="宋体" w:eastAsia="宋体" w:cs="宋体"/>
          <w:b/>
          <w:color w:val="auto"/>
          <w:kern w:val="0"/>
          <w:sz w:val="32"/>
          <w:szCs w:val="32"/>
          <w:highlight w:val="none"/>
        </w:rPr>
      </w:pPr>
    </w:p>
    <w:p>
      <w:pPr>
        <w:pStyle w:val="5"/>
        <w:rPr>
          <w:rFonts w:hint="eastAsia" w:ascii="宋体" w:hAnsi="宋体" w:eastAsia="宋体" w:cs="宋体"/>
          <w:b/>
          <w:color w:val="auto"/>
          <w:kern w:val="0"/>
          <w:sz w:val="32"/>
          <w:szCs w:val="32"/>
          <w:highlight w:val="none"/>
        </w:rPr>
      </w:pPr>
    </w:p>
    <w:p>
      <w:pPr>
        <w:pStyle w:val="35"/>
        <w:rPr>
          <w:rFonts w:hint="eastAsia" w:ascii="宋体" w:hAnsi="宋体" w:eastAsia="宋体" w:cs="宋体"/>
          <w:b/>
          <w:color w:val="auto"/>
          <w:kern w:val="0"/>
          <w:sz w:val="32"/>
          <w:szCs w:val="32"/>
          <w:highlight w:val="none"/>
        </w:rPr>
      </w:pPr>
    </w:p>
    <w:p>
      <w:pPr>
        <w:pStyle w:val="35"/>
        <w:rPr>
          <w:rFonts w:hint="eastAsia" w:ascii="宋体" w:hAnsi="宋体" w:eastAsia="宋体" w:cs="宋体"/>
          <w:b/>
          <w:color w:val="auto"/>
          <w:kern w:val="0"/>
          <w:sz w:val="32"/>
          <w:szCs w:val="32"/>
          <w:highlight w:val="none"/>
        </w:rPr>
      </w:pPr>
    </w:p>
    <w:p>
      <w:pPr>
        <w:pStyle w:val="35"/>
        <w:rPr>
          <w:rFonts w:hint="eastAsia" w:ascii="宋体" w:hAnsi="宋体" w:eastAsia="宋体" w:cs="宋体"/>
          <w:b/>
          <w:color w:val="auto"/>
          <w:kern w:val="0"/>
          <w:sz w:val="32"/>
          <w:szCs w:val="32"/>
          <w:highlight w:val="none"/>
        </w:rPr>
      </w:pPr>
    </w:p>
    <w:p>
      <w:pPr>
        <w:pStyle w:val="35"/>
        <w:rPr>
          <w:rFonts w:hint="eastAsia" w:ascii="宋体" w:hAnsi="宋体" w:eastAsia="宋体" w:cs="宋体"/>
          <w:b/>
          <w:color w:val="auto"/>
          <w:kern w:val="0"/>
          <w:sz w:val="32"/>
          <w:szCs w:val="32"/>
          <w:highlight w:val="none"/>
        </w:rPr>
      </w:pPr>
    </w:p>
    <w:p>
      <w:pPr>
        <w:widowControl/>
        <w:spacing w:line="360" w:lineRule="auto"/>
        <w:ind w:left="150"/>
        <w:jc w:val="center"/>
        <w:rPr>
          <w:rFonts w:hint="eastAsia" w:ascii="宋体" w:hAnsi="宋体" w:eastAsia="宋体" w:cs="宋体"/>
          <w:b/>
          <w:color w:val="auto"/>
          <w:kern w:val="0"/>
          <w:sz w:val="32"/>
          <w:szCs w:val="32"/>
          <w:highlight w:val="none"/>
        </w:rPr>
      </w:pPr>
    </w:p>
    <w:p>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二、本项目的特定资格要求</w:t>
      </w:r>
    </w:p>
    <w:p>
      <w:pPr>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t>（根据交易公告本项目的特定资格要求提供相应的材料；未要求的，无需提供）</w:t>
      </w:r>
    </w:p>
    <w:p>
      <w:pPr>
        <w:snapToGrid w:val="0"/>
        <w:spacing w:line="360" w:lineRule="auto"/>
        <w:ind w:right="480"/>
        <w:jc w:val="center"/>
        <w:rPr>
          <w:rFonts w:hint="eastAsia" w:ascii="宋体" w:hAnsi="宋体" w:eastAsia="宋体" w:cs="宋体"/>
          <w:b/>
          <w:color w:val="auto"/>
          <w:kern w:val="0"/>
          <w:sz w:val="32"/>
          <w:szCs w:val="32"/>
          <w:highlight w:val="none"/>
        </w:rPr>
      </w:pPr>
    </w:p>
    <w:p>
      <w:pPr>
        <w:spacing w:line="360" w:lineRule="auto"/>
        <w:jc w:val="center"/>
        <w:outlineLvl w:val="0"/>
        <w:rPr>
          <w:rFonts w:hint="eastAsia" w:ascii="宋体" w:hAnsi="宋体" w:eastAsia="宋体" w:cs="宋体"/>
          <w:b/>
          <w:color w:val="auto"/>
          <w:kern w:val="0"/>
          <w:sz w:val="36"/>
          <w:szCs w:val="36"/>
          <w:highlight w:val="none"/>
        </w:rPr>
      </w:pPr>
    </w:p>
    <w:p>
      <w:pP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br w:type="page"/>
      </w:r>
    </w:p>
    <w:p>
      <w:pPr>
        <w:spacing w:line="360" w:lineRule="auto"/>
        <w:ind w:right="420"/>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pPr>
        <w:spacing w:line="360" w:lineRule="auto"/>
        <w:jc w:val="center"/>
        <w:outlineLvl w:val="0"/>
        <w:rPr>
          <w:rFonts w:hint="eastAsia" w:ascii="宋体" w:hAnsi="宋体" w:eastAsia="宋体" w:cs="宋体"/>
          <w:b/>
          <w:color w:val="auto"/>
          <w:kern w:val="0"/>
          <w:sz w:val="24"/>
          <w:highlight w:val="none"/>
        </w:rPr>
      </w:pPr>
    </w:p>
    <w:p>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pPr>
        <w:snapToGrid w:val="0"/>
        <w:spacing w:line="360" w:lineRule="auto"/>
        <w:ind w:left="479" w:leftChars="228"/>
        <w:jc w:val="distribute"/>
        <w:rPr>
          <w:rFonts w:hint="eastAsia" w:ascii="宋体" w:hAnsi="宋体" w:eastAsia="宋体" w:cs="宋体"/>
          <w:color w:val="auto"/>
          <w:highlight w:val="none"/>
        </w:rPr>
      </w:pPr>
      <w:r>
        <w:rPr>
          <w:rFonts w:hint="eastAsia" w:ascii="宋体" w:hAnsi="宋体" w:eastAsia="宋体" w:cs="宋体"/>
          <w:color w:val="auto"/>
          <w:sz w:val="24"/>
          <w:highlight w:val="none"/>
        </w:rPr>
        <w:t>（1）交易函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pPr>
        <w:snapToGrid w:val="0"/>
        <w:spacing w:line="360" w:lineRule="auto"/>
        <w:ind w:firstLine="480" w:firstLineChars="200"/>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（3）营业执照</w:t>
      </w:r>
      <w:r>
        <w:rPr>
          <w:rFonts w:hint="eastAsia" w:ascii="宋体" w:hAnsi="宋体" w:eastAsia="宋体" w:cs="宋体"/>
          <w:color w:val="auto"/>
          <w:highlight w:val="none"/>
        </w:rPr>
        <w:t>………………………………………………………………………………（页码）</w:t>
      </w:r>
    </w:p>
    <w:p>
      <w:pPr>
        <w:snapToGrid w:val="0"/>
        <w:spacing w:line="360" w:lineRule="auto"/>
        <w:ind w:firstLine="480" w:firstLineChars="200"/>
        <w:jc w:val="distribute"/>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pPr>
        <w:snapToGrid w:val="0"/>
        <w:spacing w:line="360" w:lineRule="auto"/>
        <w:ind w:firstLine="480" w:firstLineChars="200"/>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（5）评审标准相应的商务技术资料</w:t>
      </w:r>
      <w:r>
        <w:rPr>
          <w:rFonts w:hint="eastAsia" w:ascii="宋体" w:hAnsi="宋体" w:eastAsia="宋体" w:cs="宋体"/>
          <w:color w:val="auto"/>
          <w:highlight w:val="none"/>
        </w:rPr>
        <w:t>……………………………………………………（页码）</w:t>
      </w:r>
    </w:p>
    <w:p>
      <w:pPr>
        <w:snapToGrid w:val="0"/>
        <w:spacing w:line="360" w:lineRule="auto"/>
        <w:ind w:firstLine="480" w:firstLineChars="200"/>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（6）商务技术偏离表</w:t>
      </w:r>
      <w:r>
        <w:rPr>
          <w:rFonts w:hint="eastAsia" w:ascii="宋体" w:hAnsi="宋体" w:eastAsia="宋体" w:cs="宋体"/>
          <w:color w:val="auto"/>
          <w:highlight w:val="none"/>
        </w:rPr>
        <w:t>………………………………………………………………………（页码）</w:t>
      </w:r>
    </w:p>
    <w:p>
      <w:pPr>
        <w:snapToGrid w:val="0"/>
        <w:spacing w:line="360" w:lineRule="auto"/>
        <w:ind w:left="479" w:leftChars="228"/>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color w:val="auto"/>
          <w:sz w:val="24"/>
          <w:highlight w:val="none"/>
          <w:lang w:val="zh-CN"/>
        </w:rPr>
        <w:t>响应人廉洁自律承诺书</w:t>
      </w:r>
      <w:r>
        <w:rPr>
          <w:rFonts w:hint="eastAsia" w:ascii="宋体" w:hAnsi="宋体" w:eastAsia="宋体" w:cs="宋体"/>
          <w:color w:val="auto"/>
          <w:highlight w:val="none"/>
        </w:rPr>
        <w:t>……………………………………………………………（页码）</w:t>
      </w: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pPr>
        <w:snapToGrid w:val="0"/>
        <w:spacing w:line="360" w:lineRule="auto"/>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一、交易函</w:t>
      </w:r>
    </w:p>
    <w:p>
      <w:pPr>
        <w:snapToGrid w:val="0"/>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（交易发起人）、（代理机构）：</w:t>
      </w:r>
    </w:p>
    <w:p>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eastAsia="宋体" w:cs="宋体"/>
          <w:color w:val="auto"/>
          <w:sz w:val="24"/>
          <w:highlight w:val="none"/>
          <w:u w:val="single"/>
        </w:rPr>
        <w:t>（项目名称）【交易编号：】</w:t>
      </w:r>
      <w:r>
        <w:rPr>
          <w:rFonts w:hint="eastAsia" w:ascii="宋体" w:hAnsi="宋体" w:eastAsia="宋体" w:cs="宋体"/>
          <w:color w:val="auto"/>
          <w:sz w:val="24"/>
          <w:highlight w:val="none"/>
        </w:rPr>
        <w:t>招标的有关活动，并对此项目进行投标。为此：</w:t>
      </w:r>
    </w:p>
    <w:p>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1、我方承诺交易有效期从提交响应文件的截止之日起天（不少于90天）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本响应文件在交易有效期满之前均具有约束力。</w:t>
      </w:r>
    </w:p>
    <w:p>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2、我方的响应文件包括以下内容：</w:t>
      </w:r>
    </w:p>
    <w:p>
      <w:pPr>
        <w:snapToGrid w:val="0"/>
        <w:spacing w:line="440" w:lineRule="exact"/>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2.1.2本项目的特定资格要求（如果有）。</w:t>
      </w:r>
    </w:p>
    <w:p>
      <w:pPr>
        <w:snapToGrid w:val="0"/>
        <w:spacing w:line="440" w:lineRule="exact"/>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2商务技术</w:t>
      </w:r>
      <w:r>
        <w:rPr>
          <w:rFonts w:hint="eastAsia" w:ascii="宋体" w:hAnsi="宋体" w:eastAsia="宋体" w:cs="宋体"/>
          <w:color w:val="auto"/>
          <w:sz w:val="24"/>
          <w:highlight w:val="none"/>
          <w:lang w:val="zh-CN"/>
        </w:rPr>
        <w:t>文件：</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2.2.1交易函；</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2.2.3营业执照；</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pPr>
        <w:snapToGrid w:val="0"/>
        <w:spacing w:line="440" w:lineRule="exact"/>
        <w:ind w:left="420" w:lef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2.2.5评审标准相应的商务技术资料；</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2.2.6商务技术偏离表；</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w:t>
      </w:r>
      <w:r>
        <w:rPr>
          <w:rFonts w:hint="eastAsia" w:ascii="宋体" w:hAnsi="宋体" w:eastAsia="宋体" w:cs="宋体"/>
          <w:color w:val="auto"/>
          <w:sz w:val="24"/>
          <w:highlight w:val="none"/>
          <w:lang w:val="zh-CN"/>
        </w:rPr>
        <w:t>响应人廉洁自律承诺书。</w:t>
      </w:r>
    </w:p>
    <w:p>
      <w:pPr>
        <w:snapToGrid w:val="0"/>
        <w:spacing w:line="440" w:lineRule="exact"/>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pPr>
        <w:snapToGrid w:val="0"/>
        <w:spacing w:line="440" w:lineRule="exact"/>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2.3.1交易一览表（报价表）。</w:t>
      </w:r>
    </w:p>
    <w:p>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3、我方承诺除商务技术偏离表列出的偏离外，我方响应公开竞争文件的全部要求。</w:t>
      </w:r>
    </w:p>
    <w:p>
      <w:pPr>
        <w:snapToGrid w:val="0"/>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4、如我方成交，我方承诺：</w:t>
      </w:r>
    </w:p>
    <w:p>
      <w:pPr>
        <w:snapToGrid w:val="0"/>
        <w:spacing w:line="440" w:lineRule="exact"/>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4.1在收到成交通知书后，在成交通知书规定的期限内与你方签订合同； </w:t>
      </w:r>
    </w:p>
    <w:p>
      <w:pPr>
        <w:snapToGrid w:val="0"/>
        <w:spacing w:line="440" w:lineRule="exact"/>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pPr>
        <w:snapToGrid w:val="0"/>
        <w:spacing w:line="440" w:lineRule="exact"/>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4.3按照公开竞争文件要求提交履约保证金； </w:t>
      </w:r>
    </w:p>
    <w:p>
      <w:pPr>
        <w:snapToGrid w:val="0"/>
        <w:spacing w:line="440" w:lineRule="exact"/>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pPr>
        <w:snapToGrid w:val="0"/>
        <w:spacing w:line="440" w:lineRule="exact"/>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p>
    <w:p>
      <w:pPr>
        <w:spacing w:line="440" w:lineRule="exact"/>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响应人名称（电子签名）：                          </w:t>
      </w:r>
    </w:p>
    <w:p>
      <w:pPr>
        <w:spacing w:line="440" w:lineRule="exact"/>
        <w:jc w:val="center"/>
        <w:rPr>
          <w:rFonts w:hint="eastAsia" w:ascii="宋体" w:hAnsi="宋体" w:eastAsia="宋体" w:cs="宋体"/>
          <w:color w:val="auto"/>
          <w:kern w:val="0"/>
          <w:sz w:val="24"/>
          <w:highlight w:val="none"/>
          <w:u w:val="single"/>
        </w:rPr>
      </w:pPr>
      <w:r>
        <w:rPr>
          <w:rFonts w:hint="eastAsia" w:ascii="宋体" w:hAnsi="宋体" w:eastAsia="宋体" w:cs="宋体"/>
          <w:color w:val="auto"/>
          <w:sz w:val="24"/>
          <w:highlight w:val="none"/>
        </w:rPr>
        <w:t xml:space="preserve">     日期：  年   月   日</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pStyle w:val="24"/>
        <w:rPr>
          <w:rFonts w:hint="eastAsia" w:ascii="宋体" w:hAnsi="宋体" w:eastAsia="宋体" w:cs="宋体"/>
          <w:color w:val="auto"/>
          <w:highlight w:val="none"/>
          <w:lang w:val="en-US"/>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pPr>
        <w:snapToGrid w:val="0"/>
        <w:spacing w:line="360" w:lineRule="auto"/>
        <w:rPr>
          <w:rFonts w:hint="eastAsia" w:ascii="宋体" w:hAnsi="宋体" w:eastAsia="宋体" w:cs="宋体"/>
          <w:color w:val="auto"/>
          <w:sz w:val="24"/>
          <w:highlight w:val="none"/>
        </w:rPr>
      </w:pPr>
    </w:p>
    <w:p>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u w:val="single"/>
        </w:rPr>
        <w:t>（交易发起人）、（代理机构）</w:t>
      </w:r>
      <w:r>
        <w:rPr>
          <w:rFonts w:hint="eastAsia" w:ascii="宋体" w:hAnsi="宋体" w:eastAsia="宋体" w:cs="宋体"/>
          <w:color w:val="auto"/>
          <w:kern w:val="0"/>
          <w:sz w:val="24"/>
          <w:highlight w:val="none"/>
          <w:lang w:val="zh-CN"/>
        </w:rPr>
        <w:t>：</w:t>
      </w:r>
    </w:p>
    <w:p>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委托（姓名）为我方代理人（身份证号码：，手机：），以我方名义处理</w:t>
      </w:r>
      <w:r>
        <w:rPr>
          <w:rFonts w:hint="eastAsia" w:ascii="宋体" w:hAnsi="宋体" w:eastAsia="宋体" w:cs="宋体"/>
          <w:color w:val="auto"/>
          <w:sz w:val="24"/>
          <w:highlight w:val="none"/>
          <w:u w:val="single"/>
        </w:rPr>
        <w:t>（项目名称）【交易编号：】</w:t>
      </w:r>
      <w:r>
        <w:rPr>
          <w:rFonts w:hint="eastAsia" w:ascii="宋体" w:hAnsi="宋体" w:eastAsia="宋体" w:cs="宋体"/>
          <w:color w:val="auto"/>
          <w:kern w:val="0"/>
          <w:sz w:val="24"/>
          <w:highlight w:val="none"/>
          <w:lang w:val="zh-CN"/>
        </w:rPr>
        <w:t>交易项目的一切事项，其法律后果由我方承担。</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自年月日起至年月日止。</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特此告知。</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响应人名称(电子签名)：</w:t>
      </w:r>
    </w:p>
    <w:p>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kern w:val="0"/>
          <w:sz w:val="24"/>
          <w:highlight w:val="none"/>
          <w:lang w:val="zh-CN"/>
        </w:rPr>
      </w:pPr>
    </w:p>
    <w:p>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的身份证明（适用于法定代表人、单位负责人或者自然人本人代表响应人参加投标）</w:t>
      </w:r>
    </w:p>
    <w:p>
      <w:pPr>
        <w:pStyle w:val="154"/>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jc w:val="center"/>
        </w:trPr>
        <w:tc>
          <w:tcPr>
            <w:tcW w:w="9207" w:type="dxa"/>
          </w:tcPr>
          <w:p>
            <w:pPr>
              <w:pStyle w:val="154"/>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pPr>
              <w:pStyle w:val="154"/>
              <w:adjustRightInd w:val="0"/>
              <w:spacing w:line="360" w:lineRule="auto"/>
              <w:rPr>
                <w:rFonts w:hint="eastAsia" w:ascii="宋体" w:hAnsi="宋体" w:eastAsia="宋体" w:cs="宋体"/>
                <w:bCs/>
                <w:color w:val="auto"/>
                <w:sz w:val="24"/>
                <w:highlight w:val="none"/>
              </w:rPr>
            </w:pPr>
          </w:p>
        </w:tc>
      </w:tr>
    </w:tbl>
    <w:p>
      <w:pPr>
        <w:snapToGrid w:val="0"/>
        <w:spacing w:line="360" w:lineRule="auto"/>
        <w:ind w:firstLine="576"/>
        <w:jc w:val="center"/>
        <w:rPr>
          <w:rFonts w:hint="eastAsia" w:ascii="宋体" w:hAnsi="宋体" w:eastAsia="宋体" w:cs="宋体"/>
          <w:color w:val="auto"/>
          <w:kern w:val="0"/>
          <w:sz w:val="24"/>
          <w:highlight w:val="none"/>
          <w:lang w:val="zh-CN"/>
        </w:rPr>
      </w:pPr>
    </w:p>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响应人名称(电子签名)：                              </w:t>
      </w:r>
    </w:p>
    <w:p>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三、营业执照</w:t>
      </w:r>
    </w:p>
    <w:p>
      <w:pPr>
        <w:jc w:val="center"/>
        <w:rPr>
          <w:rFonts w:hint="eastAsia" w:ascii="宋体" w:hAnsi="宋体" w:eastAsia="宋体" w:cs="宋体"/>
          <w:b/>
          <w:color w:val="auto"/>
          <w:kern w:val="0"/>
          <w:sz w:val="32"/>
          <w:szCs w:val="32"/>
          <w:highlight w:val="none"/>
        </w:rPr>
      </w:pPr>
    </w:p>
    <w:tbl>
      <w:tblPr>
        <w:tblStyle w:val="6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jc w:val="center"/>
        </w:trPr>
        <w:tc>
          <w:tcPr>
            <w:tcW w:w="9207" w:type="dxa"/>
          </w:tcPr>
          <w:p>
            <w:pPr>
              <w:pStyle w:val="154"/>
              <w:adjustRightInd w:val="0"/>
              <w:spacing w:line="360" w:lineRule="auto"/>
              <w:rPr>
                <w:rFonts w:hint="eastAsia" w:ascii="宋体" w:hAnsi="宋体" w:eastAsia="宋体" w:cs="宋体"/>
                <w:bCs/>
                <w:color w:val="auto"/>
                <w:sz w:val="24"/>
                <w:highlight w:val="none"/>
              </w:rPr>
            </w:pPr>
          </w:p>
        </w:tc>
      </w:tr>
    </w:tbl>
    <w:p>
      <w:pPr>
        <w:snapToGrid w:val="0"/>
        <w:spacing w:line="360" w:lineRule="auto"/>
        <w:ind w:firstLine="576"/>
        <w:jc w:val="center"/>
        <w:rPr>
          <w:rFonts w:hint="eastAsia" w:ascii="宋体" w:hAnsi="宋体" w:eastAsia="宋体" w:cs="宋体"/>
          <w:color w:val="auto"/>
          <w:kern w:val="0"/>
          <w:sz w:val="24"/>
          <w:highlight w:val="none"/>
          <w:lang w:val="zh-CN"/>
        </w:rPr>
      </w:pPr>
    </w:p>
    <w:p>
      <w:pPr>
        <w:snapToGrid w:val="0"/>
        <w:spacing w:line="360" w:lineRule="auto"/>
        <w:ind w:firstLine="576"/>
        <w:jc w:val="center"/>
        <w:rPr>
          <w:rFonts w:hint="eastAsia" w:ascii="宋体" w:hAnsi="宋体" w:eastAsia="宋体" w:cs="宋体"/>
          <w:color w:val="auto"/>
          <w:kern w:val="0"/>
          <w:sz w:val="24"/>
          <w:highlight w:val="none"/>
          <w:lang w:val="zh-CN"/>
        </w:rPr>
      </w:pPr>
    </w:p>
    <w:p>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响应人名称(电子签名)：                              </w:t>
      </w:r>
    </w:p>
    <w:p>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pPr>
        <w:jc w:val="center"/>
        <w:rPr>
          <w:rFonts w:hint="eastAsia" w:ascii="宋体" w:hAnsi="宋体" w:eastAsia="宋体" w:cs="宋体"/>
          <w:b/>
          <w:color w:val="auto"/>
          <w:kern w:val="0"/>
          <w:sz w:val="32"/>
          <w:szCs w:val="32"/>
          <w:highlight w:val="none"/>
        </w:rPr>
      </w:pPr>
    </w:p>
    <w:tbl>
      <w:tblPr>
        <w:tblStyle w:val="6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976"/>
        <w:gridCol w:w="356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3976"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3566"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响应文件中的</w:t>
            </w:r>
          </w:p>
          <w:p>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976"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响应文件按照公开竞争文件要求签署、盖章。</w:t>
            </w:r>
          </w:p>
        </w:tc>
        <w:tc>
          <w:tcPr>
            <w:tcW w:w="356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需要使用电子签名或者签字盖章的响应文件的组成部分</w:t>
            </w:r>
          </w:p>
        </w:tc>
        <w:tc>
          <w:tcPr>
            <w:tcW w:w="1418" w:type="dxa"/>
            <w:vAlign w:val="center"/>
          </w:tcPr>
          <w:p>
            <w:pPr>
              <w:jc w:val="center"/>
              <w:rPr>
                <w:rFonts w:hint="eastAsia" w:ascii="宋体" w:hAnsi="宋体" w:eastAsia="宋体" w:cs="宋体"/>
                <w:color w:val="auto"/>
                <w:sz w:val="24"/>
                <w:highlight w:val="none"/>
              </w:rPr>
            </w:pP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见响应文件</w:t>
            </w:r>
          </w:p>
          <w:p>
            <w:pPr>
              <w:jc w:val="center"/>
              <w:rPr>
                <w:rFonts w:hint="eastAsia" w:ascii="宋体" w:hAnsi="宋体" w:eastAsia="宋体" w:cs="宋体"/>
                <w:color w:val="auto"/>
                <w:highlight w:val="none"/>
              </w:rPr>
            </w:pPr>
            <w:r>
              <w:rPr>
                <w:rFonts w:hint="eastAsia" w:ascii="宋体" w:hAnsi="宋体" w:eastAsia="宋体" w:cs="宋体"/>
                <w:color w:val="auto"/>
                <w:sz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3976"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响应文件中承诺的交易有效期不少于公开竞争文件中载明的交易有效期。</w:t>
            </w:r>
          </w:p>
        </w:tc>
        <w:tc>
          <w:tcPr>
            <w:tcW w:w="356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交易函</w:t>
            </w:r>
          </w:p>
        </w:tc>
        <w:tc>
          <w:tcPr>
            <w:tcW w:w="1418" w:type="dxa"/>
            <w:vAlign w:val="center"/>
          </w:tcPr>
          <w:p>
            <w:pPr>
              <w:jc w:val="center"/>
              <w:rPr>
                <w:rFonts w:hint="eastAsia" w:ascii="宋体" w:hAnsi="宋体" w:eastAsia="宋体" w:cs="宋体"/>
                <w:color w:val="auto"/>
                <w:highlight w:val="none"/>
              </w:rPr>
            </w:pPr>
            <w:r>
              <w:rPr>
                <w:rFonts w:hint="eastAsia" w:ascii="宋体" w:hAnsi="宋体" w:eastAsia="宋体" w:cs="宋体"/>
                <w:color w:val="auto"/>
                <w:sz w:val="24"/>
                <w:highlight w:val="none"/>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3976" w:type="dxa"/>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响应文件满足公开竞争文件的其它实质性要求。</w:t>
            </w:r>
          </w:p>
        </w:tc>
        <w:tc>
          <w:tcPr>
            <w:tcW w:w="3566" w:type="dxa"/>
            <w:vAlign w:val="center"/>
          </w:tcPr>
          <w:p>
            <w:pPr>
              <w:jc w:val="cente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公开竞争文件其它实质性要求相应的材料（“▲” 系指实质性要求条款，公开竞争文件无其它实质性要求的，无需提供）</w:t>
            </w:r>
          </w:p>
        </w:tc>
        <w:tc>
          <w:tcPr>
            <w:tcW w:w="1418" w:type="dxa"/>
            <w:vAlign w:val="center"/>
          </w:tcPr>
          <w:p>
            <w:pPr>
              <w:jc w:val="center"/>
              <w:rPr>
                <w:rFonts w:hint="eastAsia" w:ascii="宋体" w:hAnsi="宋体" w:eastAsia="宋体" w:cs="宋体"/>
                <w:color w:val="auto"/>
                <w:highlight w:val="none"/>
              </w:rPr>
            </w:pPr>
            <w:r>
              <w:rPr>
                <w:rFonts w:hint="eastAsia" w:ascii="宋体" w:hAnsi="宋体" w:eastAsia="宋体" w:cs="宋体"/>
                <w:color w:val="auto"/>
                <w:sz w:val="24"/>
                <w:highlight w:val="none"/>
              </w:rPr>
              <w:t>见响应文件第页</w:t>
            </w:r>
          </w:p>
        </w:tc>
      </w:tr>
    </w:tbl>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五、评审标准相应的商务技术资料</w:t>
      </w:r>
    </w:p>
    <w:p>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（按公开竞争文件第四部分交易办法前附表中“响应文件中评审标准相应的商务技术资料目录”提供资料。）</w:t>
      </w: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pStyle w:val="64"/>
        <w:rPr>
          <w:rFonts w:hint="eastAsia" w:ascii="宋体" w:hAnsi="宋体" w:eastAsia="宋体" w:cs="宋体"/>
          <w:b/>
          <w:color w:val="auto"/>
          <w:kern w:val="0"/>
          <w:sz w:val="32"/>
          <w:szCs w:val="32"/>
          <w:highlight w:val="none"/>
        </w:rPr>
      </w:pPr>
    </w:p>
    <w:p>
      <w:pPr>
        <w:pStyle w:val="54"/>
        <w:rPr>
          <w:rFonts w:hint="eastAsia" w:ascii="宋体" w:hAnsi="宋体" w:eastAsia="宋体" w:cs="宋体"/>
          <w:color w:val="auto"/>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jc w:val="center"/>
        <w:rPr>
          <w:rFonts w:hint="eastAsia" w:ascii="宋体" w:hAnsi="宋体" w:eastAsia="宋体" w:cs="宋体"/>
          <w:b/>
          <w:color w:val="auto"/>
          <w:kern w:val="0"/>
          <w:sz w:val="32"/>
          <w:szCs w:val="32"/>
          <w:highlight w:val="none"/>
        </w:rPr>
      </w:pPr>
    </w:p>
    <w:p>
      <w:pPr>
        <w:spacing w:line="360" w:lineRule="auto"/>
        <w:ind w:right="42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公开竞争文件章节及具体内容</w:t>
            </w:r>
          </w:p>
        </w:tc>
        <w:tc>
          <w:tcPr>
            <w:tcW w:w="354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响应文件章节及具体内容</w:t>
            </w:r>
          </w:p>
        </w:tc>
        <w:tc>
          <w:tcPr>
            <w:tcW w:w="1276" w:type="dxa"/>
          </w:tcPr>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pPr>
              <w:jc w:val="center"/>
              <w:rPr>
                <w:rFonts w:hint="eastAsia" w:ascii="宋体" w:hAnsi="宋体" w:eastAsia="宋体" w:cs="宋体"/>
                <w:b/>
                <w:color w:val="auto"/>
                <w:kern w:val="0"/>
                <w:sz w:val="32"/>
                <w:szCs w:val="32"/>
                <w:highlight w:val="none"/>
              </w:rPr>
            </w:pPr>
          </w:p>
        </w:tc>
        <w:tc>
          <w:tcPr>
            <w:tcW w:w="3546" w:type="dxa"/>
          </w:tcPr>
          <w:p>
            <w:pPr>
              <w:jc w:val="center"/>
              <w:rPr>
                <w:rFonts w:hint="eastAsia" w:ascii="宋体" w:hAnsi="宋体" w:eastAsia="宋体" w:cs="宋体"/>
                <w:b/>
                <w:color w:val="auto"/>
                <w:kern w:val="0"/>
                <w:sz w:val="32"/>
                <w:szCs w:val="32"/>
                <w:highlight w:val="none"/>
              </w:rPr>
            </w:pPr>
          </w:p>
        </w:tc>
        <w:tc>
          <w:tcPr>
            <w:tcW w:w="1276" w:type="dxa"/>
          </w:tcPr>
          <w:p>
            <w:pPr>
              <w:jc w:val="center"/>
              <w:rPr>
                <w:rFonts w:hint="eastAsia" w:ascii="宋体" w:hAnsi="宋体" w:eastAsia="宋体" w:cs="宋体"/>
                <w:b/>
                <w:color w:val="auto"/>
                <w:kern w:val="0"/>
                <w:sz w:val="32"/>
                <w:szCs w:val="32"/>
                <w:highlight w:val="none"/>
              </w:rPr>
            </w:pPr>
          </w:p>
        </w:tc>
      </w:tr>
    </w:tbl>
    <w:p>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响应人保证：除商务技术偏离表列出的偏离外，响应人响应公开竞争文件的全部要求</w:t>
      </w:r>
    </w:p>
    <w:p>
      <w:pPr>
        <w:jc w:val="center"/>
        <w:rPr>
          <w:rFonts w:hint="eastAsia" w:ascii="宋体" w:hAnsi="宋体" w:eastAsia="宋体" w:cs="宋体"/>
          <w:b/>
          <w:color w:val="auto"/>
          <w:kern w:val="0"/>
          <w:sz w:val="32"/>
          <w:szCs w:val="32"/>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jc w:val="center"/>
        <w:rPr>
          <w:rFonts w:hint="eastAsia" w:ascii="宋体" w:hAnsi="宋体" w:eastAsia="宋体" w:cs="宋体"/>
          <w:b/>
          <w:color w:val="auto"/>
          <w:kern w:val="0"/>
          <w:sz w:val="32"/>
          <w:szCs w:val="32"/>
          <w:highlight w:val="none"/>
        </w:rPr>
      </w:pP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jc w:val="center"/>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七</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响应人廉洁自律承诺书</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u w:val="single"/>
        </w:rPr>
        <w:t>（交易发起人）、（代理机构）</w:t>
      </w:r>
      <w:r>
        <w:rPr>
          <w:rFonts w:hint="eastAsia" w:ascii="宋体" w:hAnsi="宋体" w:eastAsia="宋体" w:cs="宋体"/>
          <w:color w:val="auto"/>
          <w:kern w:val="0"/>
          <w:sz w:val="24"/>
          <w:highlight w:val="none"/>
          <w:lang w:val="zh-CN"/>
        </w:rPr>
        <w:t>：</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w:t>
      </w:r>
      <w:r>
        <w:rPr>
          <w:rFonts w:hint="eastAsia" w:ascii="宋体" w:hAnsi="宋体" w:eastAsia="宋体" w:cs="宋体"/>
          <w:color w:val="auto"/>
          <w:kern w:val="0"/>
          <w:sz w:val="24"/>
          <w:highlight w:val="none"/>
        </w:rPr>
        <w:t>成交</w:t>
      </w:r>
      <w:r>
        <w:rPr>
          <w:rFonts w:hint="eastAsia" w:ascii="宋体" w:hAnsi="宋体" w:eastAsia="宋体" w:cs="宋体"/>
          <w:color w:val="auto"/>
          <w:kern w:val="0"/>
          <w:sz w:val="24"/>
          <w:highlight w:val="none"/>
          <w:lang w:val="zh-CN"/>
        </w:rPr>
        <w:t>后，我们将严格遵守国家法律法规要求，并郑重承诺：</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六、严格遵守相关法律法规，诚实守信，合法经营，坚决抵制各种违法违纪行为。 </w:t>
      </w:r>
    </w:p>
    <w:p>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w:t>
      </w:r>
      <w:r>
        <w:rPr>
          <w:rFonts w:hint="eastAsia" w:ascii="宋体" w:hAnsi="宋体" w:eastAsia="宋体" w:cs="宋体"/>
          <w:color w:val="auto"/>
          <w:kern w:val="0"/>
          <w:sz w:val="24"/>
          <w:highlight w:val="none"/>
        </w:rPr>
        <w:t>成交</w:t>
      </w:r>
      <w:r>
        <w:rPr>
          <w:rFonts w:hint="eastAsia" w:ascii="宋体" w:hAnsi="宋体" w:eastAsia="宋体" w:cs="宋体"/>
          <w:color w:val="auto"/>
          <w:kern w:val="0"/>
          <w:sz w:val="24"/>
          <w:highlight w:val="none"/>
          <w:lang w:val="zh-CN"/>
        </w:rPr>
        <w:t>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jc w:val="left"/>
        <w:rPr>
          <w:rFonts w:hint="eastAsia" w:ascii="宋体" w:hAnsi="宋体" w:eastAsia="宋体" w:cs="宋体"/>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响应人名称（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pPr>
        <w:spacing w:line="360" w:lineRule="auto"/>
        <w:jc w:val="center"/>
        <w:rPr>
          <w:rFonts w:hint="eastAsia" w:ascii="宋体" w:hAnsi="宋体" w:eastAsia="宋体" w:cs="宋体"/>
          <w:b/>
          <w:bCs/>
          <w:color w:val="auto"/>
          <w:sz w:val="24"/>
          <w:highlight w:val="none"/>
        </w:rPr>
      </w:pPr>
    </w:p>
    <w:p>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pPr>
        <w:spacing w:line="360" w:lineRule="auto"/>
        <w:jc w:val="center"/>
        <w:rPr>
          <w:rFonts w:hint="eastAsia" w:ascii="宋体" w:hAnsi="宋体" w:eastAsia="宋体" w:cs="宋体"/>
          <w:b/>
          <w:bCs/>
          <w:color w:val="auto"/>
          <w:sz w:val="24"/>
          <w:highlight w:val="none"/>
        </w:rPr>
        <w:sectPr>
          <w:headerReference r:id="rId4" w:type="first"/>
          <w:footerReference r:id="rId6" w:type="first"/>
          <w:headerReference r:id="rId3" w:type="default"/>
          <w:footerReference r:id="rId5" w:type="default"/>
          <w:pgSz w:w="11906" w:h="16838"/>
          <w:pgMar w:top="1247" w:right="1417" w:bottom="1247" w:left="1417" w:header="851" w:footer="992" w:gutter="0"/>
          <w:cols w:space="0" w:num="1"/>
          <w:titlePg/>
          <w:docGrid w:linePitch="312" w:charSpace="0"/>
        </w:sectPr>
      </w:pP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4"/>
          <w:highlight w:val="none"/>
        </w:rPr>
        <w:sectPr>
          <w:headerReference r:id="rId8" w:type="first"/>
          <w:footerReference r:id="rId10" w:type="first"/>
          <w:headerReference r:id="rId7" w:type="default"/>
          <w:footerReference r:id="rId9" w:type="default"/>
          <w:pgSz w:w="11906" w:h="16838"/>
          <w:pgMar w:top="1247" w:right="1417" w:bottom="1247" w:left="1417" w:header="851" w:footer="992" w:gutter="0"/>
          <w:cols w:space="0" w:num="1"/>
          <w:titlePg/>
          <w:docGrid w:linePitch="312" w:charSpace="0"/>
        </w:sectPr>
      </w:pPr>
      <w:r>
        <w:rPr>
          <w:rFonts w:hint="eastAsia" w:ascii="宋体" w:hAnsi="宋体" w:eastAsia="宋体" w:cs="宋体"/>
          <w:color w:val="auto"/>
          <w:sz w:val="24"/>
          <w:highlight w:val="none"/>
        </w:rPr>
        <w:t>（1）交易一览表（报价表）………………………………………………………（页码）</w:t>
      </w:r>
    </w:p>
    <w:p>
      <w:pPr>
        <w:pStyle w:val="697"/>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一、交易一览表（报价表）</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u w:val="single"/>
        </w:rPr>
        <w:t>（交易发起人）、（代理机构）</w:t>
      </w:r>
      <w:r>
        <w:rPr>
          <w:rFonts w:hint="eastAsia" w:ascii="宋体" w:hAnsi="宋体" w:eastAsia="宋体" w:cs="宋体"/>
          <w:color w:val="auto"/>
          <w:kern w:val="0"/>
          <w:sz w:val="24"/>
          <w:highlight w:val="none"/>
          <w:lang w:val="zh-CN"/>
        </w:rPr>
        <w:t>：</w:t>
      </w:r>
    </w:p>
    <w:p>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按你方公开竞争文件要求，我们，本响应文件签字方，谨此向你方发出要约如下：如你方接受本投标，我方承诺按照如下交易一览表（报价表）的价格完成</w:t>
      </w:r>
      <w:r>
        <w:rPr>
          <w:rFonts w:hint="eastAsia" w:ascii="宋体" w:hAnsi="宋体" w:eastAsia="宋体" w:cs="宋体"/>
          <w:color w:val="auto"/>
          <w:sz w:val="24"/>
          <w:highlight w:val="none"/>
          <w:u w:val="single"/>
        </w:rPr>
        <w:t>（项目名称）</w:t>
      </w:r>
      <w:r>
        <w:rPr>
          <w:rFonts w:hint="eastAsia" w:ascii="宋体" w:hAnsi="宋体" w:eastAsia="宋体" w:cs="宋体"/>
          <w:color w:val="auto"/>
          <w:kern w:val="0"/>
          <w:sz w:val="24"/>
          <w:highlight w:val="none"/>
          <w:u w:val="single"/>
          <w:lang w:val="zh-CN"/>
        </w:rPr>
        <w:t>【交易编号：</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pPr>
        <w:snapToGrid w:val="0"/>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交易一览表（报价表）(单位均为人民币元)</w:t>
      </w:r>
    </w:p>
    <w:tbl>
      <w:tblPr>
        <w:tblStyle w:val="65"/>
        <w:tblW w:w="14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2591"/>
        <w:gridCol w:w="2201"/>
        <w:gridCol w:w="1586"/>
        <w:gridCol w:w="3968"/>
        <w:gridCol w:w="993"/>
        <w:gridCol w:w="99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59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22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5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规格型号（或具体服务）</w:t>
            </w:r>
          </w:p>
        </w:tc>
        <w:tc>
          <w:tcPr>
            <w:tcW w:w="396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总价</w:t>
            </w: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15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396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15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396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15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396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15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396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bCs/>
                <w:color w:val="auto"/>
                <w:sz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15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396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bCs/>
                <w:color w:val="auto"/>
                <w:sz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15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396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259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bCs/>
                <w:color w:val="auto"/>
                <w:sz w:val="24"/>
                <w:highlight w:val="none"/>
              </w:rPr>
            </w:pPr>
          </w:p>
        </w:tc>
        <w:tc>
          <w:tcPr>
            <w:tcW w:w="220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15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396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color w:val="auto"/>
                <w:sz w:val="24"/>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11"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4"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911"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4"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4"/>
                <w:highlight w:val="none"/>
              </w:rPr>
            </w:pPr>
          </w:p>
        </w:tc>
      </w:tr>
    </w:tbl>
    <w:p>
      <w:pPr>
        <w:snapToGrid w:val="0"/>
        <w:spacing w:line="360" w:lineRule="auto"/>
        <w:ind w:left="480"/>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注：</w:t>
      </w:r>
    </w:p>
    <w:p>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1、响应人需按本表格式填写，不得自行更改。</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交易发起人将以合同形式有偿取得货物或服务，不接受响应人给予的赠品、回扣或者与交易无关的其他商品、服务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响应文件含有交易发起人不能接受的附加条件的，交易无效</w:t>
      </w:r>
      <w:r>
        <w:rPr>
          <w:rFonts w:hint="eastAsia" w:ascii="宋体" w:hAnsi="宋体" w:eastAsia="宋体" w:cs="宋体"/>
          <w:b/>
          <w:color w:val="auto"/>
          <w:kern w:val="0"/>
          <w:sz w:val="24"/>
          <w:highlight w:val="none"/>
          <w:lang w:val="zh-CN"/>
        </w:rPr>
        <w:t>；交易内容未包含在《交易一览表（报价表）》名称栏中，响应人不能作出合理解释的，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响应文件含有交易发起人不能接受的附加条件的，交易无效。</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4、特别提示：代理机构将对项目名称和项目编号，成交响应人名称、地址和</w:t>
      </w:r>
      <w:r>
        <w:rPr>
          <w:rFonts w:hint="eastAsia" w:ascii="宋体" w:hAnsi="宋体" w:eastAsia="宋体" w:cs="宋体"/>
          <w:color w:val="auto"/>
          <w:kern w:val="0"/>
          <w:sz w:val="24"/>
          <w:highlight w:val="none"/>
        </w:rPr>
        <w:t>成交</w:t>
      </w:r>
      <w:r>
        <w:rPr>
          <w:rFonts w:hint="eastAsia" w:ascii="宋体" w:hAnsi="宋体" w:eastAsia="宋体" w:cs="宋体"/>
          <w:color w:val="auto"/>
          <w:kern w:val="0"/>
          <w:sz w:val="24"/>
          <w:highlight w:val="none"/>
          <w:lang w:val="zh-CN"/>
        </w:rPr>
        <w:t>金额等予以公示。</w:t>
      </w:r>
    </w:p>
    <w:p>
      <w:pPr>
        <w:spacing w:line="360" w:lineRule="auto"/>
        <w:ind w:firstLine="482" w:firstLineChars="200"/>
        <w:rPr>
          <w:rFonts w:hint="eastAsia" w:ascii="宋体" w:hAnsi="宋体" w:eastAsia="宋体" w:cs="宋体"/>
          <w:b/>
          <w:color w:val="auto"/>
          <w:kern w:val="0"/>
          <w:sz w:val="24"/>
          <w:highlight w:val="none"/>
        </w:rPr>
      </w:pPr>
    </w:p>
    <w:p>
      <w:pPr>
        <w:autoSpaceDE w:val="0"/>
        <w:autoSpaceDN w:val="0"/>
        <w:spacing w:line="360" w:lineRule="auto"/>
        <w:ind w:left="2" w:leftChars="1" w:right="1120" w:firstLine="7680" w:firstLineChars="3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响应人名称（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w:t>
      </w:r>
    </w:p>
    <w:p>
      <w:pPr>
        <w:autoSpaceDE w:val="0"/>
        <w:autoSpaceDN w:val="0"/>
        <w:spacing w:line="360" w:lineRule="auto"/>
        <w:ind w:left="2" w:leftChars="1" w:right="1120" w:firstLine="7680" w:firstLineChars="3200"/>
        <w:jc w:val="left"/>
        <w:rPr>
          <w:rFonts w:hint="eastAsia" w:ascii="宋体" w:hAnsi="宋体" w:eastAsia="宋体" w:cs="宋体"/>
          <w:color w:val="auto"/>
          <w:kern w:val="0"/>
          <w:sz w:val="24"/>
          <w:highlight w:val="none"/>
          <w:lang w:val="zh-CN"/>
        </w:rPr>
        <w:sectPr>
          <w:pgSz w:w="16838" w:h="11906" w:orient="landscape"/>
          <w:pgMar w:top="1417" w:right="1247" w:bottom="1417" w:left="1247" w:header="851" w:footer="992" w:gutter="0"/>
          <w:cols w:space="0" w:num="1"/>
          <w:titlePg/>
          <w:docGrid w:linePitch="312" w:charSpace="0"/>
        </w:sect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r>
        <w:rPr>
          <w:rFonts w:hint="eastAsia" w:ascii="宋体" w:hAnsi="宋体" w:eastAsia="宋体" w:cs="宋体"/>
          <w:b/>
          <w:color w:val="auto"/>
          <w:spacing w:val="6"/>
          <w:sz w:val="32"/>
          <w:szCs w:val="32"/>
          <w:highlight w:val="none"/>
          <w:lang w:val="zh-CN"/>
        </w:rPr>
        <w:t>异议</w:t>
      </w:r>
      <w:r>
        <w:rPr>
          <w:rFonts w:hint="eastAsia" w:ascii="宋体" w:hAnsi="宋体" w:eastAsia="宋体" w:cs="宋体"/>
          <w:b/>
          <w:color w:val="auto"/>
          <w:spacing w:val="6"/>
          <w:sz w:val="32"/>
          <w:szCs w:val="32"/>
          <w:highlight w:val="none"/>
        </w:rPr>
        <w:t>函范本及制作说明</w:t>
      </w: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异议函范本</w:t>
      </w:r>
    </w:p>
    <w:p>
      <w:pPr>
        <w:snapToGrid w:val="0"/>
        <w:spacing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一、异议响应人基本信息</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异议响应人：</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地址：邮编：</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联系人：联系电话：</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 邮编：</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二、异议项目基本情况</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异议项目的名称：</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异议项目的编号：包号：</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交易发起人名称：</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公开竞争文件获取日期：</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三、异议事项具体内容</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异议事项1：</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p>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p>
    <w:p>
      <w:pPr>
        <w:snapToGrid w:val="0"/>
        <w:spacing w:line="360" w:lineRule="auto"/>
        <w:rPr>
          <w:rFonts w:hint="eastAsia" w:ascii="宋体" w:hAnsi="宋体" w:eastAsia="宋体" w:cs="宋体"/>
          <w:color w:val="auto"/>
          <w:sz w:val="24"/>
          <w:highlight w:val="none"/>
          <w:u w:val="dotted"/>
        </w:rPr>
      </w:pP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异议事项2</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四、与异议事项相关的异议请求</w:t>
      </w:r>
    </w:p>
    <w:p>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jc w:val="center"/>
        <w:rPr>
          <w:rFonts w:hint="eastAsia" w:ascii="宋体" w:hAnsi="宋体" w:eastAsia="宋体" w:cs="宋体"/>
          <w:b/>
          <w:bCs/>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异议函制作说明：</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1.响应人提出异议时，应提交异议函和必要的证明材料。</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2.异议响应人若委托代理人进行异议的，异议函应按要求列明“授权代表”的有关内容，并在附件中提交由异议</w:t>
      </w:r>
      <w:r>
        <w:rPr>
          <w:rFonts w:hint="eastAsia" w:ascii="宋体" w:hAnsi="宋体" w:eastAsia="宋体" w:cs="宋体"/>
          <w:color w:val="auto"/>
          <w:kern w:val="0"/>
          <w:sz w:val="24"/>
          <w:highlight w:val="none"/>
        </w:rPr>
        <w:t>响应人签署的授权委托书。授权委托书应载明代理人的姓名或者名称、代理事项、具体权限、期限和相关事项。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3.异议响应人若对项目的某一分包进行异议，异议函中应列明具体分包号。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4.异议函的异议事项应具体、明确，并有必要的事实依据和法律依据。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5.异议函的异议请求应与异议事项相关。</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6.异议响应人为自然人的，异议函应由本人签字；异议响应人为法人或者其他组织的，异议函应由法定代表人、主要负责人，或者其授权代表签字或者盖章，并加盖公章。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auto"/>
          <w:sz w:val="30"/>
          <w:szCs w:val="30"/>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附件2：投诉书范本及制作说明</w:t>
      </w:r>
    </w:p>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址：邮编：</w:t>
      </w:r>
    </w:p>
    <w:p>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p>
    <w:p>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授权代表：联系电话</w:t>
      </w:r>
      <w:r>
        <w:rPr>
          <w:rFonts w:hint="eastAsia" w:ascii="宋体" w:hAnsi="宋体" w:eastAsia="宋体" w:cs="宋体"/>
          <w:color w:val="auto"/>
          <w:sz w:val="24"/>
          <w:highlight w:val="none"/>
          <w:u w:val="dotted"/>
        </w:rPr>
        <w:t xml:space="preserve">：                  </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址：邮编：</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址：邮编：</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联系人：联系电话：</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相关响应人：</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址：邮编：</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联系人：联系电话：</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交易名称：</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交易编号：包号：</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交易发起人名称：</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公开竞争文件公告: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成交结果公告: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三、异议基本情况</w:t>
      </w:r>
    </w:p>
    <w:p>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投诉人于年月日,向提出异议，异议事项为：</w:t>
      </w:r>
    </w:p>
    <w:p>
      <w:pPr>
        <w:spacing w:line="360" w:lineRule="auto"/>
        <w:rPr>
          <w:rFonts w:hint="eastAsia" w:ascii="宋体" w:hAnsi="宋体" w:eastAsia="宋体" w:cs="宋体"/>
          <w:color w:val="auto"/>
          <w:sz w:val="24"/>
          <w:highlight w:val="none"/>
          <w:u w:val="dotted"/>
        </w:rPr>
      </w:pPr>
    </w:p>
    <w:p>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交易发起人/代理机构</w:t>
      </w:r>
      <w:r>
        <w:rPr>
          <w:rFonts w:hint="eastAsia" w:ascii="宋体" w:hAnsi="宋体" w:eastAsia="宋体" w:cs="宋体"/>
          <w:color w:val="auto"/>
          <w:sz w:val="24"/>
          <w:highlight w:val="none"/>
        </w:rPr>
        <w:t>于年月日,就异议事项作出了答复/没有在法定期限内作出答复。</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p>
    <w:p>
      <w:pPr>
        <w:spacing w:line="360" w:lineRule="auto"/>
        <w:rPr>
          <w:rFonts w:hint="eastAsia" w:ascii="宋体" w:hAnsi="宋体" w:eastAsia="宋体" w:cs="宋体"/>
          <w:color w:val="auto"/>
          <w:sz w:val="24"/>
          <w:highlight w:val="none"/>
          <w:u w:val="dotted"/>
        </w:rPr>
      </w:pPr>
    </w:p>
    <w:p>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p>
    <w:p>
      <w:pPr>
        <w:spacing w:line="360" w:lineRule="auto"/>
        <w:rPr>
          <w:rFonts w:hint="eastAsia" w:ascii="宋体" w:hAnsi="宋体" w:eastAsia="宋体" w:cs="宋体"/>
          <w:color w:val="auto"/>
          <w:sz w:val="24"/>
          <w:highlight w:val="none"/>
          <w:u w:val="dotted"/>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p>
    <w:p>
      <w:pPr>
        <w:spacing w:line="360" w:lineRule="auto"/>
        <w:rPr>
          <w:rFonts w:hint="eastAsia" w:ascii="宋体" w:hAnsi="宋体" w:eastAsia="宋体" w:cs="宋体"/>
          <w:color w:val="auto"/>
          <w:sz w:val="24"/>
          <w:highlight w:val="none"/>
          <w:u w:val="singl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1.投诉人提起投诉时，应当提交投诉书和必要的证明材料，并按照被投诉人和与投诉事项有关的响应人数量提供投诉书副本。</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4.投诉书应简要列明异议事项，异议函、异议答复等作为附件材料提供。</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宋体" w:hAnsi="宋体" w:eastAsia="宋体" w:cs="宋体"/>
          <w:b/>
          <w:color w:val="auto"/>
          <w:sz w:val="24"/>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left"/>
        <w:rPr>
          <w:rFonts w:hint="eastAsia" w:ascii="宋体" w:hAnsi="宋体" w:eastAsia="宋体" w:cs="宋体"/>
          <w:b/>
          <w:color w:val="auto"/>
          <w:spacing w:val="6"/>
          <w:sz w:val="32"/>
          <w:szCs w:val="32"/>
          <w:highlight w:val="none"/>
        </w:rPr>
      </w:pPr>
    </w:p>
    <w:p>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pPr>
        <w:autoSpaceDE w:val="0"/>
        <w:autoSpaceDN w:val="0"/>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w:t>
      </w:r>
    </w:p>
    <w:p>
      <w:pPr>
        <w:autoSpaceDE w:val="0"/>
        <w:autoSpaceDN w:val="0"/>
        <w:jc w:val="center"/>
        <w:rPr>
          <w:rFonts w:hint="eastAsia" w:ascii="宋体" w:hAnsi="宋体" w:eastAsia="宋体" w:cs="宋体"/>
          <w:b/>
          <w:bCs/>
          <w:color w:val="auto"/>
          <w:sz w:val="32"/>
          <w:szCs w:val="32"/>
          <w:highlight w:val="none"/>
        </w:rPr>
      </w:pPr>
    </w:p>
    <w:p>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业务专用章使用说明函</w:t>
      </w:r>
    </w:p>
    <w:p>
      <w:pPr>
        <w:spacing w:line="360" w:lineRule="auto"/>
        <w:rPr>
          <w:rFonts w:hint="eastAsia" w:ascii="宋体" w:hAnsi="宋体" w:eastAsia="宋体" w:cs="宋体"/>
          <w:color w:val="auto"/>
          <w:sz w:val="24"/>
          <w:highlight w:val="none"/>
          <w:u w:val="singl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（交易发起人）、（代理机构）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sz w:val="24"/>
          <w:highlight w:val="none"/>
        </w:rPr>
        <w:t>(响应人全称)是中华人民共和国依法登记注册的合法企业，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eastAsia="宋体" w:cs="宋体"/>
          <w:color w:val="auto"/>
          <w:sz w:val="24"/>
          <w:highlight w:val="none"/>
          <w:u w:val="single"/>
        </w:rPr>
        <w:t>（项目名称）项目【交易编号：）】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firstLine="494"/>
        <w:rPr>
          <w:rFonts w:hint="eastAsia" w:ascii="宋体" w:hAnsi="宋体" w:eastAsia="宋体" w:cs="宋体"/>
          <w:color w:val="auto"/>
          <w:sz w:val="24"/>
          <w:highlight w:val="none"/>
        </w:rPr>
      </w:pPr>
    </w:p>
    <w:p>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YxHptgAAAAKAQAADwAAAAAAAAABACAAAAAiAAAAZHJzL2Rvd25yZXYu&#10;eG1sUEsBAhQAFAAAAAgAh07iQEI+DFE0AgAAjQQAAA4AAAAAAAAAAQAgAAAAJwEAAGRycy9lMm9E&#10;b2MueG1sUEsFBgAAAAAGAAYAWQEAAM0FAAAAAA==&#10;">
                <v:fill on="t" focussize="0,0"/>
                <v:stroke color="#000000" miterlimit="2" joinstyle="miter"/>
                <v:imagedata o:title=""/>
                <o:lock v:ext="edit" aspectratio="f"/>
                <v:textbox>
                  <w:txbxContent>
                    <w:p>
                      <w:pPr>
                        <w:jc w:val="center"/>
                      </w:pPr>
                    </w:p>
                  </w:txbxContent>
                </v:textbox>
              </v:rect>
            </w:pict>
          </mc:Fallback>
        </mc:AlternateContent>
      </w:r>
      <w:r>
        <w:rPr>
          <w:rFonts w:hint="eastAsia" w:ascii="宋体" w:hAnsi="宋体" w:eastAsia="宋体" w:cs="宋体"/>
          <w:color w:val="auto"/>
          <w:sz w:val="24"/>
          <w:highlight w:val="none"/>
        </w:rPr>
        <w:t>投标单位法定名称章（印模）                投标单位“XX专用章”（印模）</w:t>
      </w: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p>
      <w:pPr>
        <w:autoSpaceDE w:val="0"/>
        <w:autoSpaceDN w:val="0"/>
        <w:jc w:val="center"/>
        <w:rPr>
          <w:rFonts w:hint="eastAsia" w:ascii="宋体" w:hAnsi="宋体" w:eastAsia="宋体" w:cs="宋体"/>
          <w:b/>
          <w:color w:val="auto"/>
          <w:spacing w:val="6"/>
          <w:sz w:val="32"/>
          <w:szCs w:val="32"/>
          <w:highlight w:val="none"/>
        </w:rPr>
      </w:pPr>
    </w:p>
    <w:sectPr>
      <w:headerReference r:id="rId12" w:type="first"/>
      <w:footerReference r:id="rId15" w:type="first"/>
      <w:headerReference r:id="rId11" w:type="default"/>
      <w:footerReference r:id="rId13" w:type="default"/>
      <w:footerReference r:id="rId14" w:type="even"/>
      <w:pgSz w:w="11906" w:h="16838"/>
      <w:pgMar w:top="1247" w:right="1417" w:bottom="1247" w:left="1417"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Courier New"/>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4" w:lineRule="auto"/>
      <w:ind w:right="287"/>
      <w:jc w:val="right"/>
      <w:rPr>
        <w:rFonts w:ascii="宋体" w:hAnsi="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2"/>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2"/>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2"/>
                          </w:pPr>
                          <w:r>
                            <w:t xml:space="preserve">第 </w:t>
                          </w:r>
                          <w:r>
                            <w:fldChar w:fldCharType="begin"/>
                          </w:r>
                          <w:r>
                            <w:instrText xml:space="preserve"> PAGE  \* MERGEFORMAT </w:instrText>
                          </w:r>
                          <w:r>
                            <w:fldChar w:fldCharType="separate"/>
                          </w:r>
                          <w:r>
                            <w:t>38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38</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2"/>
                          </w:pPr>
                          <w:r>
                            <w:t xml:space="preserve">第 </w:t>
                          </w:r>
                          <w:r>
                            <w:fldChar w:fldCharType="begin"/>
                          </w:r>
                          <w:r>
                            <w:instrText xml:space="preserve"> PAGE  \* MERGEFORMAT </w:instrText>
                          </w:r>
                          <w:r>
                            <w:fldChar w:fldCharType="separate"/>
                          </w:r>
                          <w:r>
                            <w:t>44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44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2"/>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p>
  <w:p>
    <w:pPr>
      <w:pStyle w:val="44"/>
    </w:pPr>
  </w:p>
  <w:p>
    <w:pPr>
      <w:pStyle w:val="44"/>
    </w:pPr>
    <w:r>
      <w:rPr>
        <w:rFonts w:hint="eastAsia"/>
      </w:rPr>
      <w:t xml:space="preserve">                                                                                        公开竞争文件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rPr>
        <w:rFonts w:hint="eastAsia"/>
      </w:rPr>
      <w:t xml:space="preserve">                                                                                        公开竞争文件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rPr>
        <w:rFonts w:hint="eastAsia"/>
      </w:rPr>
      <w:t xml:space="preserve">                                                                                                                                         公开竞争文件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rPr>
        <w:rFonts w:hint="eastAsia"/>
      </w:rPr>
      <w:t>公开竞争文件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pPr>
    <w:r>
      <w:rPr>
        <w:rFonts w:hint="eastAsia"/>
      </w:rPr>
      <w:t>公开竞争文件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w:t>
    </w:r>
    <w:r>
      <w:rPr>
        <w:rFonts w:hint="eastAsia"/>
      </w:rPr>
      <w:t xml:space="preserve">                公开竞争文件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D6F871"/>
    <w:multiLevelType w:val="singleLevel"/>
    <w:tmpl w:val="95D6F871"/>
    <w:lvl w:ilvl="0" w:tentative="0">
      <w:start w:val="1"/>
      <w:numFmt w:val="decimal"/>
      <w:suff w:val="nothing"/>
      <w:lvlText w:val="%1、"/>
      <w:lvlJc w:val="left"/>
    </w:lvl>
  </w:abstractNum>
  <w:abstractNum w:abstractNumId="1">
    <w:nsid w:val="C9068E0C"/>
    <w:multiLevelType w:val="singleLevel"/>
    <w:tmpl w:val="C9068E0C"/>
    <w:lvl w:ilvl="0" w:tentative="0">
      <w:start w:val="5"/>
      <w:numFmt w:val="chineseCounting"/>
      <w:suff w:val="space"/>
      <w:lvlText w:val="第%1部分"/>
      <w:lvlJc w:val="left"/>
      <w:rPr>
        <w:rFonts w:hint="eastAsia"/>
      </w:rPr>
    </w:lvl>
  </w:abstractNum>
  <w:abstractNum w:abstractNumId="2">
    <w:nsid w:val="DB6A45D5"/>
    <w:multiLevelType w:val="singleLevel"/>
    <w:tmpl w:val="DB6A45D5"/>
    <w:lvl w:ilvl="0" w:tentative="0">
      <w:start w:val="1"/>
      <w:numFmt w:val="chineseCounting"/>
      <w:suff w:val="nothing"/>
      <w:lvlText w:val="%1、"/>
      <w:lvlJc w:val="left"/>
      <w:rPr>
        <w:rFonts w:hint="eastAsia"/>
      </w:rPr>
    </w:lvl>
  </w:abstractNum>
  <w:abstractNum w:abstractNumId="3">
    <w:nsid w:val="114AA0E1"/>
    <w:multiLevelType w:val="multilevel"/>
    <w:tmpl w:val="114AA0E1"/>
    <w:lvl w:ilvl="0" w:tentative="0">
      <w:start w:val="1"/>
      <w:numFmt w:val="bullet"/>
      <w:lvlText w:val=""/>
      <w:lvlJc w:val="left"/>
      <w:pPr>
        <w:ind w:left="780" w:hanging="420"/>
      </w:pPr>
      <w:rPr>
        <w:rFonts w:hint="default" w:ascii="Symbol" w:hAnsi="Symbol"/>
      </w:rPr>
    </w:lvl>
    <w:lvl w:ilvl="1" w:tentative="0">
      <w:start w:val="1"/>
      <w:numFmt w:val="bullet"/>
      <w:lvlText w:val="o"/>
      <w:lvlJc w:val="left"/>
      <w:pPr>
        <w:ind w:left="1200" w:hanging="420"/>
      </w:pPr>
      <w:rPr>
        <w:rFonts w:hint="default" w:ascii="Courier New" w:hAnsi="Courier New"/>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Symbol" w:hAnsi="Symbol"/>
      </w:rPr>
    </w:lvl>
    <w:lvl w:ilvl="4" w:tentative="0">
      <w:start w:val="1"/>
      <w:numFmt w:val="bullet"/>
      <w:lvlText w:val="o"/>
      <w:lvlJc w:val="left"/>
      <w:pPr>
        <w:ind w:left="2460" w:hanging="420"/>
      </w:pPr>
      <w:rPr>
        <w:rFonts w:hint="default" w:ascii="Courier New" w:hAnsi="Courier New"/>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Symbol" w:hAnsi="Symbol"/>
      </w:rPr>
    </w:lvl>
    <w:lvl w:ilvl="7" w:tentative="0">
      <w:start w:val="1"/>
      <w:numFmt w:val="bullet"/>
      <w:lvlText w:val="o"/>
      <w:lvlJc w:val="left"/>
      <w:pPr>
        <w:ind w:left="3720" w:hanging="420"/>
      </w:pPr>
      <w:rPr>
        <w:rFonts w:hint="default" w:ascii="Courier New" w:hAnsi="Courier New"/>
      </w:rPr>
    </w:lvl>
    <w:lvl w:ilvl="8" w:tentative="0">
      <w:start w:val="1"/>
      <w:numFmt w:val="bullet"/>
      <w:lvlText w:val=""/>
      <w:lvlJc w:val="left"/>
      <w:pPr>
        <w:ind w:left="4140" w:hanging="420"/>
      </w:pPr>
      <w:rPr>
        <w:rFonts w:hint="default" w:ascii="Wingdings" w:hAnsi="Wingdings"/>
      </w:rPr>
    </w:lvl>
  </w:abstractNum>
  <w:abstractNum w:abstractNumId="4">
    <w:nsid w:val="2F17BB27"/>
    <w:multiLevelType w:val="multilevel"/>
    <w:tmpl w:val="2F17BB27"/>
    <w:lvl w:ilvl="0" w:tentative="0">
      <w:start w:val="1"/>
      <w:numFmt w:val="bullet"/>
      <w:lvlText w:val=""/>
      <w:lvlJc w:val="left"/>
      <w:pPr>
        <w:ind w:left="810" w:hanging="420"/>
      </w:pPr>
      <w:rPr>
        <w:rFonts w:hint="default" w:ascii="Symbol" w:hAnsi="Symbol"/>
      </w:rPr>
    </w:lvl>
    <w:lvl w:ilvl="1" w:tentative="0">
      <w:start w:val="1"/>
      <w:numFmt w:val="bullet"/>
      <w:lvlText w:val="o"/>
      <w:lvlJc w:val="left"/>
      <w:pPr>
        <w:ind w:left="1530" w:hanging="420"/>
      </w:pPr>
      <w:rPr>
        <w:rFonts w:hint="default" w:ascii="Courier New" w:hAnsi="Courier New"/>
      </w:rPr>
    </w:lvl>
    <w:lvl w:ilvl="2" w:tentative="0">
      <w:start w:val="1"/>
      <w:numFmt w:val="bullet"/>
      <w:lvlText w:val=""/>
      <w:lvlJc w:val="left"/>
      <w:pPr>
        <w:ind w:left="2250" w:hanging="420"/>
      </w:pPr>
      <w:rPr>
        <w:rFonts w:hint="default" w:ascii="Wingdings" w:hAnsi="Wingdings"/>
      </w:rPr>
    </w:lvl>
    <w:lvl w:ilvl="3" w:tentative="0">
      <w:start w:val="1"/>
      <w:numFmt w:val="bullet"/>
      <w:lvlText w:val=""/>
      <w:lvlJc w:val="left"/>
      <w:pPr>
        <w:ind w:left="2970" w:hanging="420"/>
      </w:pPr>
      <w:rPr>
        <w:rFonts w:hint="default" w:ascii="Symbol" w:hAnsi="Symbol"/>
      </w:rPr>
    </w:lvl>
    <w:lvl w:ilvl="4" w:tentative="0">
      <w:start w:val="1"/>
      <w:numFmt w:val="bullet"/>
      <w:lvlText w:val="o"/>
      <w:lvlJc w:val="left"/>
      <w:pPr>
        <w:ind w:left="3690" w:hanging="420"/>
      </w:pPr>
      <w:rPr>
        <w:rFonts w:hint="default" w:ascii="Courier New" w:hAnsi="Courier New"/>
      </w:rPr>
    </w:lvl>
    <w:lvl w:ilvl="5" w:tentative="0">
      <w:start w:val="1"/>
      <w:numFmt w:val="bullet"/>
      <w:lvlText w:val=""/>
      <w:lvlJc w:val="left"/>
      <w:pPr>
        <w:ind w:left="4410" w:hanging="420"/>
      </w:pPr>
      <w:rPr>
        <w:rFonts w:hint="default" w:ascii="Wingdings" w:hAnsi="Wingdings"/>
      </w:rPr>
    </w:lvl>
    <w:lvl w:ilvl="6" w:tentative="0">
      <w:start w:val="1"/>
      <w:numFmt w:val="bullet"/>
      <w:lvlText w:val=""/>
      <w:lvlJc w:val="left"/>
      <w:pPr>
        <w:ind w:left="5130" w:hanging="420"/>
      </w:pPr>
      <w:rPr>
        <w:rFonts w:hint="default" w:ascii="Symbol" w:hAnsi="Symbol"/>
      </w:rPr>
    </w:lvl>
    <w:lvl w:ilvl="7" w:tentative="0">
      <w:start w:val="1"/>
      <w:numFmt w:val="bullet"/>
      <w:lvlText w:val="o"/>
      <w:lvlJc w:val="left"/>
      <w:pPr>
        <w:ind w:left="5850" w:hanging="420"/>
      </w:pPr>
      <w:rPr>
        <w:rFonts w:hint="default" w:ascii="Courier New" w:hAnsi="Courier New"/>
      </w:rPr>
    </w:lvl>
    <w:lvl w:ilvl="8" w:tentative="0">
      <w:start w:val="1"/>
      <w:numFmt w:val="bullet"/>
      <w:lvlText w:val=""/>
      <w:lvlJc w:val="left"/>
      <w:pPr>
        <w:ind w:left="6570" w:hanging="420"/>
      </w:pPr>
      <w:rPr>
        <w:rFonts w:hint="default" w:ascii="Wingdings" w:hAnsi="Wingdings"/>
      </w:rPr>
    </w:lvl>
  </w:abstractNum>
  <w:abstractNum w:abstractNumId="5">
    <w:nsid w:val="434CA0FB"/>
    <w:multiLevelType w:val="singleLevel"/>
    <w:tmpl w:val="434CA0FB"/>
    <w:lvl w:ilvl="0" w:tentative="0">
      <w:start w:val="14"/>
      <w:numFmt w:val="decimal"/>
      <w:lvlText w:val="%1."/>
      <w:lvlJc w:val="left"/>
      <w:pPr>
        <w:tabs>
          <w:tab w:val="left" w:pos="312"/>
        </w:tabs>
      </w:pPr>
    </w:lvl>
  </w:abstractNum>
  <w:abstractNum w:abstractNumId="6">
    <w:nsid w:val="564C371E"/>
    <w:multiLevelType w:val="multilevel"/>
    <w:tmpl w:val="564C371E"/>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78D0B088"/>
    <w:multiLevelType w:val="multilevel"/>
    <w:tmpl w:val="78D0B08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6"/>
  </w:num>
  <w:num w:numId="4">
    <w:abstractNumId w:val="7"/>
  </w:num>
  <w:num w:numId="5">
    <w:abstractNumId w:val="3"/>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xMzU5ZTBhMGI3ZmVlNmFlYjllMzUzYjRhMjc2YTAifQ=="/>
    <w:docVar w:name="KSO_WPS_MARK_KEY" w:val="2fb6240f-43ca-4e78-9fe3-d002f0cdd61b"/>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268"/>
    <w:rsid w:val="002C1AB3"/>
    <w:rsid w:val="002C1BB7"/>
    <w:rsid w:val="002C1FB3"/>
    <w:rsid w:val="002C2665"/>
    <w:rsid w:val="002C28E1"/>
    <w:rsid w:val="002C327D"/>
    <w:rsid w:val="002C3890"/>
    <w:rsid w:val="002C3985"/>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3CBC"/>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77CB8"/>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8A"/>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0D06"/>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2"/>
    <w:rsid w:val="009D7523"/>
    <w:rsid w:val="009D76B5"/>
    <w:rsid w:val="009D7AF1"/>
    <w:rsid w:val="009D7BC7"/>
    <w:rsid w:val="009D7FAC"/>
    <w:rsid w:val="009E0109"/>
    <w:rsid w:val="009E0342"/>
    <w:rsid w:val="009E098B"/>
    <w:rsid w:val="009E09AB"/>
    <w:rsid w:val="009E0BA3"/>
    <w:rsid w:val="009E0D7D"/>
    <w:rsid w:val="009E0DAF"/>
    <w:rsid w:val="009E19BB"/>
    <w:rsid w:val="009E1C47"/>
    <w:rsid w:val="009E38D1"/>
    <w:rsid w:val="009E3DF1"/>
    <w:rsid w:val="009E514A"/>
    <w:rsid w:val="009E5177"/>
    <w:rsid w:val="009E5701"/>
    <w:rsid w:val="009E5711"/>
    <w:rsid w:val="009E6BEF"/>
    <w:rsid w:val="009E758E"/>
    <w:rsid w:val="009E7BFB"/>
    <w:rsid w:val="009E7D6B"/>
    <w:rsid w:val="009E7E81"/>
    <w:rsid w:val="009F020A"/>
    <w:rsid w:val="009F05AD"/>
    <w:rsid w:val="009F0659"/>
    <w:rsid w:val="009F1109"/>
    <w:rsid w:val="009F1256"/>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931"/>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77C"/>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6F12"/>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3A66"/>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4DB0"/>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7101D"/>
    <w:rsid w:val="011F6449"/>
    <w:rsid w:val="01236AFB"/>
    <w:rsid w:val="015E0632"/>
    <w:rsid w:val="017055D0"/>
    <w:rsid w:val="0178495D"/>
    <w:rsid w:val="019F7441"/>
    <w:rsid w:val="01A06AA0"/>
    <w:rsid w:val="01B37585"/>
    <w:rsid w:val="01B5399D"/>
    <w:rsid w:val="01C064F8"/>
    <w:rsid w:val="01D051B4"/>
    <w:rsid w:val="01D55165"/>
    <w:rsid w:val="01DF6BF8"/>
    <w:rsid w:val="01EC2C57"/>
    <w:rsid w:val="02021298"/>
    <w:rsid w:val="020B640B"/>
    <w:rsid w:val="020C0EF6"/>
    <w:rsid w:val="025F0711"/>
    <w:rsid w:val="02644317"/>
    <w:rsid w:val="026B2E25"/>
    <w:rsid w:val="02824D4D"/>
    <w:rsid w:val="02BE3979"/>
    <w:rsid w:val="02BE582C"/>
    <w:rsid w:val="02DC4B10"/>
    <w:rsid w:val="02DD76CE"/>
    <w:rsid w:val="02F36323"/>
    <w:rsid w:val="02F5619C"/>
    <w:rsid w:val="0326446A"/>
    <w:rsid w:val="032D5555"/>
    <w:rsid w:val="036634D2"/>
    <w:rsid w:val="03756463"/>
    <w:rsid w:val="038A68D9"/>
    <w:rsid w:val="03977E2B"/>
    <w:rsid w:val="03DD35E4"/>
    <w:rsid w:val="04076900"/>
    <w:rsid w:val="041A5A3B"/>
    <w:rsid w:val="042311BA"/>
    <w:rsid w:val="042B157A"/>
    <w:rsid w:val="048F763B"/>
    <w:rsid w:val="049F330E"/>
    <w:rsid w:val="04AA775C"/>
    <w:rsid w:val="04AF1889"/>
    <w:rsid w:val="04B85F11"/>
    <w:rsid w:val="04EE3F9B"/>
    <w:rsid w:val="04F66F48"/>
    <w:rsid w:val="05025778"/>
    <w:rsid w:val="051554AC"/>
    <w:rsid w:val="051E28A6"/>
    <w:rsid w:val="05251E14"/>
    <w:rsid w:val="05507636"/>
    <w:rsid w:val="05770BD6"/>
    <w:rsid w:val="058806C7"/>
    <w:rsid w:val="05A16594"/>
    <w:rsid w:val="05A7762D"/>
    <w:rsid w:val="05BF4603"/>
    <w:rsid w:val="05C04DC2"/>
    <w:rsid w:val="06020126"/>
    <w:rsid w:val="060E5941"/>
    <w:rsid w:val="06110FAF"/>
    <w:rsid w:val="06493CA7"/>
    <w:rsid w:val="065A6178"/>
    <w:rsid w:val="066D3597"/>
    <w:rsid w:val="066F1CF3"/>
    <w:rsid w:val="06930BB8"/>
    <w:rsid w:val="06956198"/>
    <w:rsid w:val="06C54CB0"/>
    <w:rsid w:val="07245D42"/>
    <w:rsid w:val="07264C62"/>
    <w:rsid w:val="072F6604"/>
    <w:rsid w:val="074460BC"/>
    <w:rsid w:val="0779354C"/>
    <w:rsid w:val="077F0C95"/>
    <w:rsid w:val="07C300BD"/>
    <w:rsid w:val="07FE18F3"/>
    <w:rsid w:val="08061376"/>
    <w:rsid w:val="08127C83"/>
    <w:rsid w:val="081A0204"/>
    <w:rsid w:val="0828199A"/>
    <w:rsid w:val="08452D77"/>
    <w:rsid w:val="086401F8"/>
    <w:rsid w:val="086724C2"/>
    <w:rsid w:val="08751CAA"/>
    <w:rsid w:val="0876556A"/>
    <w:rsid w:val="087E4C40"/>
    <w:rsid w:val="087F37CE"/>
    <w:rsid w:val="08A53637"/>
    <w:rsid w:val="08A871D0"/>
    <w:rsid w:val="08A93957"/>
    <w:rsid w:val="08CE2541"/>
    <w:rsid w:val="08D66AD6"/>
    <w:rsid w:val="08DA33A3"/>
    <w:rsid w:val="08E80F13"/>
    <w:rsid w:val="092612F3"/>
    <w:rsid w:val="092748F4"/>
    <w:rsid w:val="0932487E"/>
    <w:rsid w:val="09335624"/>
    <w:rsid w:val="0935611C"/>
    <w:rsid w:val="093E11FE"/>
    <w:rsid w:val="0944690F"/>
    <w:rsid w:val="09535675"/>
    <w:rsid w:val="095F057D"/>
    <w:rsid w:val="09642282"/>
    <w:rsid w:val="09733572"/>
    <w:rsid w:val="09772C16"/>
    <w:rsid w:val="097B2960"/>
    <w:rsid w:val="098353B5"/>
    <w:rsid w:val="09A92330"/>
    <w:rsid w:val="09B06B87"/>
    <w:rsid w:val="09B5725D"/>
    <w:rsid w:val="09C13146"/>
    <w:rsid w:val="09E04166"/>
    <w:rsid w:val="09E268B9"/>
    <w:rsid w:val="09F81448"/>
    <w:rsid w:val="0A1C0718"/>
    <w:rsid w:val="0A2C10A7"/>
    <w:rsid w:val="0A3E7710"/>
    <w:rsid w:val="0A5B7E63"/>
    <w:rsid w:val="0A5E227D"/>
    <w:rsid w:val="0A7F4701"/>
    <w:rsid w:val="0AA25A34"/>
    <w:rsid w:val="0AA374A5"/>
    <w:rsid w:val="0AA74DF8"/>
    <w:rsid w:val="0AAB7649"/>
    <w:rsid w:val="0AAF5E89"/>
    <w:rsid w:val="0AB86C5C"/>
    <w:rsid w:val="0ABC5606"/>
    <w:rsid w:val="0AC42692"/>
    <w:rsid w:val="0ADE3108"/>
    <w:rsid w:val="0ADF4EB4"/>
    <w:rsid w:val="0B0F74C5"/>
    <w:rsid w:val="0B30404E"/>
    <w:rsid w:val="0B4C6C14"/>
    <w:rsid w:val="0B524759"/>
    <w:rsid w:val="0B631A88"/>
    <w:rsid w:val="0B683D45"/>
    <w:rsid w:val="0B76461B"/>
    <w:rsid w:val="0B7F3F11"/>
    <w:rsid w:val="0B884417"/>
    <w:rsid w:val="0B93709B"/>
    <w:rsid w:val="0BA212C6"/>
    <w:rsid w:val="0BF6188C"/>
    <w:rsid w:val="0BF73C91"/>
    <w:rsid w:val="0C170175"/>
    <w:rsid w:val="0C41327A"/>
    <w:rsid w:val="0C571A41"/>
    <w:rsid w:val="0C5C1171"/>
    <w:rsid w:val="0C5E1CBC"/>
    <w:rsid w:val="0C615B50"/>
    <w:rsid w:val="0C6452BC"/>
    <w:rsid w:val="0C6E0EEC"/>
    <w:rsid w:val="0C8445DA"/>
    <w:rsid w:val="0C87121B"/>
    <w:rsid w:val="0CAE0BF3"/>
    <w:rsid w:val="0CC007F7"/>
    <w:rsid w:val="0CC617AC"/>
    <w:rsid w:val="0CFE707A"/>
    <w:rsid w:val="0CFF6A2F"/>
    <w:rsid w:val="0D063BDA"/>
    <w:rsid w:val="0D08375F"/>
    <w:rsid w:val="0D184CFB"/>
    <w:rsid w:val="0D37621D"/>
    <w:rsid w:val="0D3D3B60"/>
    <w:rsid w:val="0D400115"/>
    <w:rsid w:val="0D4A7419"/>
    <w:rsid w:val="0D827401"/>
    <w:rsid w:val="0D84094E"/>
    <w:rsid w:val="0D8A00E9"/>
    <w:rsid w:val="0D8D589E"/>
    <w:rsid w:val="0D95362E"/>
    <w:rsid w:val="0DA01C73"/>
    <w:rsid w:val="0DD63300"/>
    <w:rsid w:val="0DF50604"/>
    <w:rsid w:val="0DF540CC"/>
    <w:rsid w:val="0DF702FE"/>
    <w:rsid w:val="0E060E51"/>
    <w:rsid w:val="0E0E518E"/>
    <w:rsid w:val="0E22536A"/>
    <w:rsid w:val="0E24319C"/>
    <w:rsid w:val="0E373674"/>
    <w:rsid w:val="0E415563"/>
    <w:rsid w:val="0E5604B2"/>
    <w:rsid w:val="0E6D5D79"/>
    <w:rsid w:val="0E6F14E6"/>
    <w:rsid w:val="0E9B5E39"/>
    <w:rsid w:val="0E9D0089"/>
    <w:rsid w:val="0EB803EE"/>
    <w:rsid w:val="0EF94D4B"/>
    <w:rsid w:val="0F0B13B6"/>
    <w:rsid w:val="0F182768"/>
    <w:rsid w:val="0F4958DC"/>
    <w:rsid w:val="0F515DF7"/>
    <w:rsid w:val="0F596BA8"/>
    <w:rsid w:val="0F6248D2"/>
    <w:rsid w:val="0F635421"/>
    <w:rsid w:val="0F693536"/>
    <w:rsid w:val="0F7B0511"/>
    <w:rsid w:val="0F7B76D9"/>
    <w:rsid w:val="0F816ACD"/>
    <w:rsid w:val="0F9832DB"/>
    <w:rsid w:val="0FBF3FD2"/>
    <w:rsid w:val="0FBF4992"/>
    <w:rsid w:val="0FBF7FF3"/>
    <w:rsid w:val="0FCF1C32"/>
    <w:rsid w:val="0FDA406B"/>
    <w:rsid w:val="0FFC3E38"/>
    <w:rsid w:val="10156805"/>
    <w:rsid w:val="10646583"/>
    <w:rsid w:val="107D4B15"/>
    <w:rsid w:val="10841832"/>
    <w:rsid w:val="108A3C80"/>
    <w:rsid w:val="10A15184"/>
    <w:rsid w:val="10C26171"/>
    <w:rsid w:val="10D7314B"/>
    <w:rsid w:val="10DC700E"/>
    <w:rsid w:val="10F33360"/>
    <w:rsid w:val="10F4083A"/>
    <w:rsid w:val="10FC16EA"/>
    <w:rsid w:val="110F1D40"/>
    <w:rsid w:val="11266F33"/>
    <w:rsid w:val="113055C1"/>
    <w:rsid w:val="118963A1"/>
    <w:rsid w:val="11C6522A"/>
    <w:rsid w:val="11E104CC"/>
    <w:rsid w:val="11E20309"/>
    <w:rsid w:val="12255233"/>
    <w:rsid w:val="12530213"/>
    <w:rsid w:val="12620DA8"/>
    <w:rsid w:val="127723A9"/>
    <w:rsid w:val="12862074"/>
    <w:rsid w:val="12883966"/>
    <w:rsid w:val="129E45B4"/>
    <w:rsid w:val="12B72C8C"/>
    <w:rsid w:val="12D14480"/>
    <w:rsid w:val="12D21374"/>
    <w:rsid w:val="12D81596"/>
    <w:rsid w:val="13072A44"/>
    <w:rsid w:val="131A1B7F"/>
    <w:rsid w:val="13474EA5"/>
    <w:rsid w:val="135F4BE2"/>
    <w:rsid w:val="13692E64"/>
    <w:rsid w:val="13913864"/>
    <w:rsid w:val="139B1A0A"/>
    <w:rsid w:val="139B5BDE"/>
    <w:rsid w:val="139D25C7"/>
    <w:rsid w:val="13BF3CE4"/>
    <w:rsid w:val="13E40E6B"/>
    <w:rsid w:val="13E47441"/>
    <w:rsid w:val="13E674F4"/>
    <w:rsid w:val="140F0A5D"/>
    <w:rsid w:val="141008D8"/>
    <w:rsid w:val="14125FE6"/>
    <w:rsid w:val="142B70E5"/>
    <w:rsid w:val="14500381"/>
    <w:rsid w:val="146D271E"/>
    <w:rsid w:val="147B131C"/>
    <w:rsid w:val="147B24A0"/>
    <w:rsid w:val="14982588"/>
    <w:rsid w:val="149A5AD9"/>
    <w:rsid w:val="14A7619D"/>
    <w:rsid w:val="14AA2978"/>
    <w:rsid w:val="14C445F3"/>
    <w:rsid w:val="14F25B02"/>
    <w:rsid w:val="150536C3"/>
    <w:rsid w:val="150C1963"/>
    <w:rsid w:val="151447A0"/>
    <w:rsid w:val="154A6454"/>
    <w:rsid w:val="15762120"/>
    <w:rsid w:val="15844A86"/>
    <w:rsid w:val="15C1630E"/>
    <w:rsid w:val="15F56AC3"/>
    <w:rsid w:val="1608540D"/>
    <w:rsid w:val="16204A74"/>
    <w:rsid w:val="166C515D"/>
    <w:rsid w:val="169C77DB"/>
    <w:rsid w:val="16A8729C"/>
    <w:rsid w:val="16B33777"/>
    <w:rsid w:val="16BC70A7"/>
    <w:rsid w:val="16C6339E"/>
    <w:rsid w:val="16C730F7"/>
    <w:rsid w:val="16D6012D"/>
    <w:rsid w:val="16FE2244"/>
    <w:rsid w:val="172F2D79"/>
    <w:rsid w:val="17557BEF"/>
    <w:rsid w:val="176D1E2A"/>
    <w:rsid w:val="17852075"/>
    <w:rsid w:val="178B06F1"/>
    <w:rsid w:val="179B74BF"/>
    <w:rsid w:val="17A05FFC"/>
    <w:rsid w:val="17A70B2D"/>
    <w:rsid w:val="17D349C1"/>
    <w:rsid w:val="17E066D8"/>
    <w:rsid w:val="1830729E"/>
    <w:rsid w:val="18394486"/>
    <w:rsid w:val="183A3B38"/>
    <w:rsid w:val="184A3267"/>
    <w:rsid w:val="185134E3"/>
    <w:rsid w:val="1870062C"/>
    <w:rsid w:val="18817102"/>
    <w:rsid w:val="18830A15"/>
    <w:rsid w:val="18852B28"/>
    <w:rsid w:val="188B5321"/>
    <w:rsid w:val="18A0112E"/>
    <w:rsid w:val="18C776A6"/>
    <w:rsid w:val="18CA21AC"/>
    <w:rsid w:val="18D64F20"/>
    <w:rsid w:val="18EE574D"/>
    <w:rsid w:val="19341F4D"/>
    <w:rsid w:val="193742F6"/>
    <w:rsid w:val="197524E7"/>
    <w:rsid w:val="19761DA4"/>
    <w:rsid w:val="197B320F"/>
    <w:rsid w:val="19932372"/>
    <w:rsid w:val="19A07A88"/>
    <w:rsid w:val="19A20DD5"/>
    <w:rsid w:val="19AE03F1"/>
    <w:rsid w:val="19D16EBE"/>
    <w:rsid w:val="19E05098"/>
    <w:rsid w:val="19FD5937"/>
    <w:rsid w:val="1A071A03"/>
    <w:rsid w:val="1A1A5A79"/>
    <w:rsid w:val="1A1A697E"/>
    <w:rsid w:val="1A1F16AE"/>
    <w:rsid w:val="1A3B5C77"/>
    <w:rsid w:val="1A78287A"/>
    <w:rsid w:val="1A7A249A"/>
    <w:rsid w:val="1A984BAD"/>
    <w:rsid w:val="1AB8220E"/>
    <w:rsid w:val="1AE4166C"/>
    <w:rsid w:val="1AF06CFB"/>
    <w:rsid w:val="1AF11B8D"/>
    <w:rsid w:val="1B11359C"/>
    <w:rsid w:val="1B2A271F"/>
    <w:rsid w:val="1B530544"/>
    <w:rsid w:val="1B713184"/>
    <w:rsid w:val="1B825FBC"/>
    <w:rsid w:val="1B9A3283"/>
    <w:rsid w:val="1BA209CF"/>
    <w:rsid w:val="1BA411A5"/>
    <w:rsid w:val="1BB4777D"/>
    <w:rsid w:val="1BD75AB8"/>
    <w:rsid w:val="1BE22A26"/>
    <w:rsid w:val="1C0459C2"/>
    <w:rsid w:val="1C1B3B4A"/>
    <w:rsid w:val="1C537570"/>
    <w:rsid w:val="1C88086E"/>
    <w:rsid w:val="1CA045EE"/>
    <w:rsid w:val="1CC47A8B"/>
    <w:rsid w:val="1D266CE1"/>
    <w:rsid w:val="1D316024"/>
    <w:rsid w:val="1D3963AF"/>
    <w:rsid w:val="1D6A673C"/>
    <w:rsid w:val="1D9247AE"/>
    <w:rsid w:val="1DB567EC"/>
    <w:rsid w:val="1DEC22C4"/>
    <w:rsid w:val="1DF51A98"/>
    <w:rsid w:val="1E310995"/>
    <w:rsid w:val="1E3D060F"/>
    <w:rsid w:val="1E3F7D2E"/>
    <w:rsid w:val="1E4134E4"/>
    <w:rsid w:val="1E5062B3"/>
    <w:rsid w:val="1E523514"/>
    <w:rsid w:val="1E714A66"/>
    <w:rsid w:val="1E730E11"/>
    <w:rsid w:val="1E743AF2"/>
    <w:rsid w:val="1E802593"/>
    <w:rsid w:val="1E8B6156"/>
    <w:rsid w:val="1EA703CC"/>
    <w:rsid w:val="1EB7330C"/>
    <w:rsid w:val="1F0A0FF3"/>
    <w:rsid w:val="1F5771FF"/>
    <w:rsid w:val="1FE868A9"/>
    <w:rsid w:val="20034907"/>
    <w:rsid w:val="20104D96"/>
    <w:rsid w:val="20173E4B"/>
    <w:rsid w:val="204E48BC"/>
    <w:rsid w:val="208921B3"/>
    <w:rsid w:val="2093370A"/>
    <w:rsid w:val="20973DEB"/>
    <w:rsid w:val="20B26522"/>
    <w:rsid w:val="20B34C6B"/>
    <w:rsid w:val="20B44310"/>
    <w:rsid w:val="20DF1008"/>
    <w:rsid w:val="20EE2FE4"/>
    <w:rsid w:val="20EF2FBC"/>
    <w:rsid w:val="211116EB"/>
    <w:rsid w:val="211E01F0"/>
    <w:rsid w:val="212D6D8F"/>
    <w:rsid w:val="216133FC"/>
    <w:rsid w:val="218944CA"/>
    <w:rsid w:val="21B3021E"/>
    <w:rsid w:val="21D56769"/>
    <w:rsid w:val="21D62C50"/>
    <w:rsid w:val="21E52EF3"/>
    <w:rsid w:val="21FB5D7B"/>
    <w:rsid w:val="21FD6859"/>
    <w:rsid w:val="220B1C3D"/>
    <w:rsid w:val="221D1D20"/>
    <w:rsid w:val="22334A87"/>
    <w:rsid w:val="22B61EBB"/>
    <w:rsid w:val="22B83BEE"/>
    <w:rsid w:val="22BE6801"/>
    <w:rsid w:val="22C04C60"/>
    <w:rsid w:val="22E03145"/>
    <w:rsid w:val="23113F1A"/>
    <w:rsid w:val="233500BF"/>
    <w:rsid w:val="23377FF7"/>
    <w:rsid w:val="23402BD5"/>
    <w:rsid w:val="236819A8"/>
    <w:rsid w:val="236B425F"/>
    <w:rsid w:val="23836192"/>
    <w:rsid w:val="23901F29"/>
    <w:rsid w:val="239C0061"/>
    <w:rsid w:val="23B908A4"/>
    <w:rsid w:val="23E406C4"/>
    <w:rsid w:val="23E95BEF"/>
    <w:rsid w:val="23E96CAE"/>
    <w:rsid w:val="23FC52F4"/>
    <w:rsid w:val="23FD0064"/>
    <w:rsid w:val="244C6C81"/>
    <w:rsid w:val="245375B0"/>
    <w:rsid w:val="24642C0A"/>
    <w:rsid w:val="24667B44"/>
    <w:rsid w:val="246A3BA8"/>
    <w:rsid w:val="248B443A"/>
    <w:rsid w:val="2492728B"/>
    <w:rsid w:val="249307DC"/>
    <w:rsid w:val="24B22173"/>
    <w:rsid w:val="24B95AD9"/>
    <w:rsid w:val="24BE24DA"/>
    <w:rsid w:val="24CF5825"/>
    <w:rsid w:val="24D663E6"/>
    <w:rsid w:val="24D77F2B"/>
    <w:rsid w:val="24E4449F"/>
    <w:rsid w:val="24E64937"/>
    <w:rsid w:val="254F52B1"/>
    <w:rsid w:val="258B00E2"/>
    <w:rsid w:val="258D6809"/>
    <w:rsid w:val="25A34E23"/>
    <w:rsid w:val="25A917A6"/>
    <w:rsid w:val="25BE27CC"/>
    <w:rsid w:val="25E92F53"/>
    <w:rsid w:val="25EA3C74"/>
    <w:rsid w:val="25F74A5C"/>
    <w:rsid w:val="260C23EB"/>
    <w:rsid w:val="261260D7"/>
    <w:rsid w:val="2628662C"/>
    <w:rsid w:val="262D45DE"/>
    <w:rsid w:val="266E6AE8"/>
    <w:rsid w:val="267E09C1"/>
    <w:rsid w:val="26871DC8"/>
    <w:rsid w:val="26A53EF9"/>
    <w:rsid w:val="26A6481F"/>
    <w:rsid w:val="26A94201"/>
    <w:rsid w:val="26AC274F"/>
    <w:rsid w:val="270377E9"/>
    <w:rsid w:val="27044A29"/>
    <w:rsid w:val="271D34C8"/>
    <w:rsid w:val="2729764F"/>
    <w:rsid w:val="272F6449"/>
    <w:rsid w:val="273B094A"/>
    <w:rsid w:val="274C4FBA"/>
    <w:rsid w:val="276142BF"/>
    <w:rsid w:val="27783712"/>
    <w:rsid w:val="27907362"/>
    <w:rsid w:val="279B7084"/>
    <w:rsid w:val="27A02A0E"/>
    <w:rsid w:val="27BA26D3"/>
    <w:rsid w:val="27D668AA"/>
    <w:rsid w:val="282D0BDB"/>
    <w:rsid w:val="28333E1D"/>
    <w:rsid w:val="28454BD6"/>
    <w:rsid w:val="28455253"/>
    <w:rsid w:val="28551971"/>
    <w:rsid w:val="285B1C53"/>
    <w:rsid w:val="289B26A7"/>
    <w:rsid w:val="289F7086"/>
    <w:rsid w:val="28C32028"/>
    <w:rsid w:val="28CC490F"/>
    <w:rsid w:val="28DE40AA"/>
    <w:rsid w:val="29017C87"/>
    <w:rsid w:val="293005EF"/>
    <w:rsid w:val="29345E77"/>
    <w:rsid w:val="29453CBE"/>
    <w:rsid w:val="294C65AD"/>
    <w:rsid w:val="294E3480"/>
    <w:rsid w:val="29806583"/>
    <w:rsid w:val="298B3C4C"/>
    <w:rsid w:val="29E90B31"/>
    <w:rsid w:val="29EB63A2"/>
    <w:rsid w:val="29F26D24"/>
    <w:rsid w:val="2A13795C"/>
    <w:rsid w:val="2A15033F"/>
    <w:rsid w:val="2A1662C1"/>
    <w:rsid w:val="2A196977"/>
    <w:rsid w:val="2A1C7367"/>
    <w:rsid w:val="2A200230"/>
    <w:rsid w:val="2A2815FA"/>
    <w:rsid w:val="2A6D6092"/>
    <w:rsid w:val="2A7A1CCA"/>
    <w:rsid w:val="2A7D76B4"/>
    <w:rsid w:val="2A830ABD"/>
    <w:rsid w:val="2A8D5961"/>
    <w:rsid w:val="2AD8021A"/>
    <w:rsid w:val="2AEE1B3B"/>
    <w:rsid w:val="2AF47F2E"/>
    <w:rsid w:val="2B404781"/>
    <w:rsid w:val="2B437463"/>
    <w:rsid w:val="2B7807EE"/>
    <w:rsid w:val="2B8C47CE"/>
    <w:rsid w:val="2BA50BF7"/>
    <w:rsid w:val="2BBF00EC"/>
    <w:rsid w:val="2BC37CFD"/>
    <w:rsid w:val="2BCB2E8E"/>
    <w:rsid w:val="2BD5237F"/>
    <w:rsid w:val="2BD63337"/>
    <w:rsid w:val="2BE536CE"/>
    <w:rsid w:val="2BE758D9"/>
    <w:rsid w:val="2BEA7DD3"/>
    <w:rsid w:val="2C09049E"/>
    <w:rsid w:val="2C0A653C"/>
    <w:rsid w:val="2C191F85"/>
    <w:rsid w:val="2C37616F"/>
    <w:rsid w:val="2C8C4873"/>
    <w:rsid w:val="2C994A93"/>
    <w:rsid w:val="2CE82D6F"/>
    <w:rsid w:val="2D2216DE"/>
    <w:rsid w:val="2D343236"/>
    <w:rsid w:val="2D956040"/>
    <w:rsid w:val="2DC53663"/>
    <w:rsid w:val="2DD15014"/>
    <w:rsid w:val="2DF72DE4"/>
    <w:rsid w:val="2DFD17EA"/>
    <w:rsid w:val="2E0220AF"/>
    <w:rsid w:val="2E2A66CA"/>
    <w:rsid w:val="2E4B082A"/>
    <w:rsid w:val="2E5D4E86"/>
    <w:rsid w:val="2E5D790B"/>
    <w:rsid w:val="2E776A61"/>
    <w:rsid w:val="2E9A143D"/>
    <w:rsid w:val="2E9A3C18"/>
    <w:rsid w:val="2EBB0FEE"/>
    <w:rsid w:val="2EC63002"/>
    <w:rsid w:val="2ECB46DA"/>
    <w:rsid w:val="2F064D1A"/>
    <w:rsid w:val="2F0A6B38"/>
    <w:rsid w:val="2F0E78D3"/>
    <w:rsid w:val="2F585F5C"/>
    <w:rsid w:val="2F923332"/>
    <w:rsid w:val="2F946CCB"/>
    <w:rsid w:val="2FA33530"/>
    <w:rsid w:val="2FD25781"/>
    <w:rsid w:val="2FDE33BA"/>
    <w:rsid w:val="2FF346DE"/>
    <w:rsid w:val="2FFB7730"/>
    <w:rsid w:val="2FFD7934"/>
    <w:rsid w:val="30201A01"/>
    <w:rsid w:val="305A2255"/>
    <w:rsid w:val="30733ACD"/>
    <w:rsid w:val="308C3862"/>
    <w:rsid w:val="309379D8"/>
    <w:rsid w:val="309B6899"/>
    <w:rsid w:val="30A270F7"/>
    <w:rsid w:val="30DF1478"/>
    <w:rsid w:val="30EA055D"/>
    <w:rsid w:val="30EC586F"/>
    <w:rsid w:val="30F1651D"/>
    <w:rsid w:val="31077AEF"/>
    <w:rsid w:val="3192385D"/>
    <w:rsid w:val="319C6071"/>
    <w:rsid w:val="31AC537E"/>
    <w:rsid w:val="31B420C4"/>
    <w:rsid w:val="31B82C24"/>
    <w:rsid w:val="31C17BA9"/>
    <w:rsid w:val="31C549B6"/>
    <w:rsid w:val="31E3679B"/>
    <w:rsid w:val="31E732FD"/>
    <w:rsid w:val="321C75CA"/>
    <w:rsid w:val="324E33D2"/>
    <w:rsid w:val="32517576"/>
    <w:rsid w:val="3262346C"/>
    <w:rsid w:val="32A64673"/>
    <w:rsid w:val="32BE5C2C"/>
    <w:rsid w:val="32FB6478"/>
    <w:rsid w:val="331E793D"/>
    <w:rsid w:val="332637C2"/>
    <w:rsid w:val="33263B3F"/>
    <w:rsid w:val="336963EB"/>
    <w:rsid w:val="337259B8"/>
    <w:rsid w:val="33816EEB"/>
    <w:rsid w:val="338863E7"/>
    <w:rsid w:val="339C09C3"/>
    <w:rsid w:val="33EB55CD"/>
    <w:rsid w:val="33EC4C02"/>
    <w:rsid w:val="340D2360"/>
    <w:rsid w:val="340D3EB8"/>
    <w:rsid w:val="3410665D"/>
    <w:rsid w:val="34211214"/>
    <w:rsid w:val="342E63AB"/>
    <w:rsid w:val="34433534"/>
    <w:rsid w:val="3466782F"/>
    <w:rsid w:val="347B5D1E"/>
    <w:rsid w:val="34812DB4"/>
    <w:rsid w:val="34880F83"/>
    <w:rsid w:val="34950E68"/>
    <w:rsid w:val="34986E94"/>
    <w:rsid w:val="34AF62C9"/>
    <w:rsid w:val="34CB4388"/>
    <w:rsid w:val="34DC2C0A"/>
    <w:rsid w:val="34FA6E12"/>
    <w:rsid w:val="354D7158"/>
    <w:rsid w:val="358D5588"/>
    <w:rsid w:val="36136070"/>
    <w:rsid w:val="363924A3"/>
    <w:rsid w:val="363A3B40"/>
    <w:rsid w:val="36401AD9"/>
    <w:rsid w:val="365302AE"/>
    <w:rsid w:val="36607A0A"/>
    <w:rsid w:val="3663038D"/>
    <w:rsid w:val="366E227C"/>
    <w:rsid w:val="366F2E0D"/>
    <w:rsid w:val="367B6A5C"/>
    <w:rsid w:val="36A74ADA"/>
    <w:rsid w:val="36AD60D5"/>
    <w:rsid w:val="36B224F9"/>
    <w:rsid w:val="36EC0CC9"/>
    <w:rsid w:val="37390A8E"/>
    <w:rsid w:val="373F410B"/>
    <w:rsid w:val="3748158D"/>
    <w:rsid w:val="3756404C"/>
    <w:rsid w:val="376A0174"/>
    <w:rsid w:val="3786509C"/>
    <w:rsid w:val="378C13F6"/>
    <w:rsid w:val="37BD1A5A"/>
    <w:rsid w:val="37DE5A4E"/>
    <w:rsid w:val="37E16E9C"/>
    <w:rsid w:val="37EE7094"/>
    <w:rsid w:val="3809239F"/>
    <w:rsid w:val="38296C89"/>
    <w:rsid w:val="383002EB"/>
    <w:rsid w:val="38586797"/>
    <w:rsid w:val="388843DC"/>
    <w:rsid w:val="38BC0149"/>
    <w:rsid w:val="38C277EB"/>
    <w:rsid w:val="38D87D1C"/>
    <w:rsid w:val="38DE6D4B"/>
    <w:rsid w:val="391F535F"/>
    <w:rsid w:val="392E73EA"/>
    <w:rsid w:val="39636459"/>
    <w:rsid w:val="396B7F6C"/>
    <w:rsid w:val="399C14F7"/>
    <w:rsid w:val="39B417A9"/>
    <w:rsid w:val="39D00F17"/>
    <w:rsid w:val="39D17336"/>
    <w:rsid w:val="39F5707E"/>
    <w:rsid w:val="39FC5695"/>
    <w:rsid w:val="3A006D8E"/>
    <w:rsid w:val="3A3651E5"/>
    <w:rsid w:val="3A4E2342"/>
    <w:rsid w:val="3A584A7F"/>
    <w:rsid w:val="3A744481"/>
    <w:rsid w:val="3A8C7BEF"/>
    <w:rsid w:val="3A906246"/>
    <w:rsid w:val="3A9C74FA"/>
    <w:rsid w:val="3AD4138A"/>
    <w:rsid w:val="3B2349B7"/>
    <w:rsid w:val="3B392F9B"/>
    <w:rsid w:val="3B4677B8"/>
    <w:rsid w:val="3B4F5EBB"/>
    <w:rsid w:val="3B616CFF"/>
    <w:rsid w:val="3B6259F6"/>
    <w:rsid w:val="3B894B0B"/>
    <w:rsid w:val="3B976654"/>
    <w:rsid w:val="3B9B68EE"/>
    <w:rsid w:val="3BC01EFC"/>
    <w:rsid w:val="3BC52CC1"/>
    <w:rsid w:val="3BCA6BD1"/>
    <w:rsid w:val="3BCA786A"/>
    <w:rsid w:val="3BD06659"/>
    <w:rsid w:val="3BD31E2F"/>
    <w:rsid w:val="3BF15831"/>
    <w:rsid w:val="3C105946"/>
    <w:rsid w:val="3C3A44D8"/>
    <w:rsid w:val="3C471448"/>
    <w:rsid w:val="3C556941"/>
    <w:rsid w:val="3C5F759A"/>
    <w:rsid w:val="3C616601"/>
    <w:rsid w:val="3C6C525A"/>
    <w:rsid w:val="3CA60D3D"/>
    <w:rsid w:val="3CCE23CB"/>
    <w:rsid w:val="3CD17D17"/>
    <w:rsid w:val="3CED249E"/>
    <w:rsid w:val="3CEE6358"/>
    <w:rsid w:val="3D1C4922"/>
    <w:rsid w:val="3D3B2FFA"/>
    <w:rsid w:val="3D3C7F39"/>
    <w:rsid w:val="3D440F09"/>
    <w:rsid w:val="3D4504A0"/>
    <w:rsid w:val="3D5A1DE7"/>
    <w:rsid w:val="3D64467C"/>
    <w:rsid w:val="3D7E0A99"/>
    <w:rsid w:val="3D8734BB"/>
    <w:rsid w:val="3D9A11D4"/>
    <w:rsid w:val="3DA16D89"/>
    <w:rsid w:val="3DA364BE"/>
    <w:rsid w:val="3DA475D8"/>
    <w:rsid w:val="3DB67810"/>
    <w:rsid w:val="3DD50C8A"/>
    <w:rsid w:val="3DE041CB"/>
    <w:rsid w:val="3E0D48F6"/>
    <w:rsid w:val="3E1868B4"/>
    <w:rsid w:val="3E1D2DF9"/>
    <w:rsid w:val="3E377251"/>
    <w:rsid w:val="3E42664B"/>
    <w:rsid w:val="3E5A7334"/>
    <w:rsid w:val="3E7B5D6B"/>
    <w:rsid w:val="3E843E66"/>
    <w:rsid w:val="3E8F51FE"/>
    <w:rsid w:val="3E926F87"/>
    <w:rsid w:val="3E992734"/>
    <w:rsid w:val="3E9A59DE"/>
    <w:rsid w:val="3EA95CBD"/>
    <w:rsid w:val="3EAF4836"/>
    <w:rsid w:val="3EB161CD"/>
    <w:rsid w:val="3EC33DFA"/>
    <w:rsid w:val="3EF66285"/>
    <w:rsid w:val="3F0563CA"/>
    <w:rsid w:val="3F060E16"/>
    <w:rsid w:val="3F081602"/>
    <w:rsid w:val="3F1D1096"/>
    <w:rsid w:val="3F2F0234"/>
    <w:rsid w:val="3F5707E4"/>
    <w:rsid w:val="3F6363FE"/>
    <w:rsid w:val="3F756B8F"/>
    <w:rsid w:val="3F8D4B70"/>
    <w:rsid w:val="3F95482B"/>
    <w:rsid w:val="3FAF4907"/>
    <w:rsid w:val="3FEE25A6"/>
    <w:rsid w:val="400B2468"/>
    <w:rsid w:val="4019356B"/>
    <w:rsid w:val="401E1828"/>
    <w:rsid w:val="40592157"/>
    <w:rsid w:val="406E1CAE"/>
    <w:rsid w:val="40937DD1"/>
    <w:rsid w:val="40A0133A"/>
    <w:rsid w:val="40C31A53"/>
    <w:rsid w:val="40F33AA5"/>
    <w:rsid w:val="40F92A66"/>
    <w:rsid w:val="40FF545D"/>
    <w:rsid w:val="410067C8"/>
    <w:rsid w:val="410E75CA"/>
    <w:rsid w:val="413C45E3"/>
    <w:rsid w:val="4147433B"/>
    <w:rsid w:val="4182569C"/>
    <w:rsid w:val="418F0D2A"/>
    <w:rsid w:val="4193304C"/>
    <w:rsid w:val="419500D6"/>
    <w:rsid w:val="41C04416"/>
    <w:rsid w:val="41D01505"/>
    <w:rsid w:val="4238518B"/>
    <w:rsid w:val="42402E61"/>
    <w:rsid w:val="42474939"/>
    <w:rsid w:val="424C3C57"/>
    <w:rsid w:val="42613FF3"/>
    <w:rsid w:val="42660D96"/>
    <w:rsid w:val="428667D2"/>
    <w:rsid w:val="42CD1CE0"/>
    <w:rsid w:val="42D53E10"/>
    <w:rsid w:val="42DD4DBD"/>
    <w:rsid w:val="42E1381E"/>
    <w:rsid w:val="42E3216A"/>
    <w:rsid w:val="42ED6459"/>
    <w:rsid w:val="42FE58DD"/>
    <w:rsid w:val="43174B3D"/>
    <w:rsid w:val="433F0E43"/>
    <w:rsid w:val="434B790E"/>
    <w:rsid w:val="4360274F"/>
    <w:rsid w:val="43977AB6"/>
    <w:rsid w:val="43A3342B"/>
    <w:rsid w:val="43AA2F9D"/>
    <w:rsid w:val="43C77C27"/>
    <w:rsid w:val="43DE09EE"/>
    <w:rsid w:val="44002FAD"/>
    <w:rsid w:val="4430589B"/>
    <w:rsid w:val="44356927"/>
    <w:rsid w:val="449101DD"/>
    <w:rsid w:val="449D00C3"/>
    <w:rsid w:val="44DE1391"/>
    <w:rsid w:val="44E72961"/>
    <w:rsid w:val="451B225C"/>
    <w:rsid w:val="452410C9"/>
    <w:rsid w:val="452B71EC"/>
    <w:rsid w:val="452E1696"/>
    <w:rsid w:val="45317DFB"/>
    <w:rsid w:val="454904BB"/>
    <w:rsid w:val="456D3CE4"/>
    <w:rsid w:val="4579042C"/>
    <w:rsid w:val="457E4BFD"/>
    <w:rsid w:val="457F0571"/>
    <w:rsid w:val="45851176"/>
    <w:rsid w:val="45853C91"/>
    <w:rsid w:val="458A2D71"/>
    <w:rsid w:val="458E4BD4"/>
    <w:rsid w:val="45912351"/>
    <w:rsid w:val="45C63B94"/>
    <w:rsid w:val="45F134FD"/>
    <w:rsid w:val="46081EE8"/>
    <w:rsid w:val="460E7DA5"/>
    <w:rsid w:val="461B579A"/>
    <w:rsid w:val="46422483"/>
    <w:rsid w:val="4659254A"/>
    <w:rsid w:val="465B0637"/>
    <w:rsid w:val="465E3F0D"/>
    <w:rsid w:val="466A16E6"/>
    <w:rsid w:val="46791209"/>
    <w:rsid w:val="46893F2B"/>
    <w:rsid w:val="46C4686E"/>
    <w:rsid w:val="472A3E43"/>
    <w:rsid w:val="47391126"/>
    <w:rsid w:val="473D0E4D"/>
    <w:rsid w:val="477B778F"/>
    <w:rsid w:val="478203EC"/>
    <w:rsid w:val="478464A5"/>
    <w:rsid w:val="47B025FA"/>
    <w:rsid w:val="47EC7057"/>
    <w:rsid w:val="48010DED"/>
    <w:rsid w:val="4809698F"/>
    <w:rsid w:val="48097DF4"/>
    <w:rsid w:val="480C2553"/>
    <w:rsid w:val="4811697D"/>
    <w:rsid w:val="4853049A"/>
    <w:rsid w:val="487A3E25"/>
    <w:rsid w:val="487B0FC2"/>
    <w:rsid w:val="48833F78"/>
    <w:rsid w:val="488B5503"/>
    <w:rsid w:val="48937E21"/>
    <w:rsid w:val="48975AF1"/>
    <w:rsid w:val="489A0361"/>
    <w:rsid w:val="48A405ED"/>
    <w:rsid w:val="48B94FF3"/>
    <w:rsid w:val="48CD3EBF"/>
    <w:rsid w:val="48E37AAB"/>
    <w:rsid w:val="48EC362B"/>
    <w:rsid w:val="48FB2C50"/>
    <w:rsid w:val="48FD4B4C"/>
    <w:rsid w:val="490606C8"/>
    <w:rsid w:val="490A68E0"/>
    <w:rsid w:val="491055FE"/>
    <w:rsid w:val="49131B61"/>
    <w:rsid w:val="49441489"/>
    <w:rsid w:val="494C6EA1"/>
    <w:rsid w:val="494D4D8B"/>
    <w:rsid w:val="495F5B3E"/>
    <w:rsid w:val="496F77D7"/>
    <w:rsid w:val="497654FD"/>
    <w:rsid w:val="498F505D"/>
    <w:rsid w:val="49B546BE"/>
    <w:rsid w:val="49B64211"/>
    <w:rsid w:val="49F0243A"/>
    <w:rsid w:val="49F6167F"/>
    <w:rsid w:val="4A064FA0"/>
    <w:rsid w:val="4A16615C"/>
    <w:rsid w:val="4A4424D7"/>
    <w:rsid w:val="4A493572"/>
    <w:rsid w:val="4A6E0CA4"/>
    <w:rsid w:val="4A83134F"/>
    <w:rsid w:val="4AB82D0F"/>
    <w:rsid w:val="4AEB7664"/>
    <w:rsid w:val="4AFD7C19"/>
    <w:rsid w:val="4B0567D1"/>
    <w:rsid w:val="4B236AAE"/>
    <w:rsid w:val="4B555D27"/>
    <w:rsid w:val="4B6D6E85"/>
    <w:rsid w:val="4B707271"/>
    <w:rsid w:val="4B9739F7"/>
    <w:rsid w:val="4B974368"/>
    <w:rsid w:val="4B9A6B21"/>
    <w:rsid w:val="4B9C1FA2"/>
    <w:rsid w:val="4BE96C25"/>
    <w:rsid w:val="4BEE2503"/>
    <w:rsid w:val="4BF80D38"/>
    <w:rsid w:val="4C245A30"/>
    <w:rsid w:val="4C5D53ED"/>
    <w:rsid w:val="4C676029"/>
    <w:rsid w:val="4CAF7256"/>
    <w:rsid w:val="4CB6685F"/>
    <w:rsid w:val="4CC367FE"/>
    <w:rsid w:val="4CD54317"/>
    <w:rsid w:val="4D077F3C"/>
    <w:rsid w:val="4D123355"/>
    <w:rsid w:val="4D2A3B31"/>
    <w:rsid w:val="4D312C52"/>
    <w:rsid w:val="4D4B0F25"/>
    <w:rsid w:val="4D905305"/>
    <w:rsid w:val="4D964A72"/>
    <w:rsid w:val="4D9C1254"/>
    <w:rsid w:val="4E526455"/>
    <w:rsid w:val="4E5A0B37"/>
    <w:rsid w:val="4E793892"/>
    <w:rsid w:val="4E800872"/>
    <w:rsid w:val="4E9532A8"/>
    <w:rsid w:val="4E9A20A5"/>
    <w:rsid w:val="4EC569ED"/>
    <w:rsid w:val="4ED50EA1"/>
    <w:rsid w:val="4EEC050C"/>
    <w:rsid w:val="4EF833C6"/>
    <w:rsid w:val="4F104EC3"/>
    <w:rsid w:val="4F1D4C56"/>
    <w:rsid w:val="4F47354A"/>
    <w:rsid w:val="4F561EAC"/>
    <w:rsid w:val="4F8E345D"/>
    <w:rsid w:val="4F911C54"/>
    <w:rsid w:val="4FE625E0"/>
    <w:rsid w:val="4FED5402"/>
    <w:rsid w:val="5021480F"/>
    <w:rsid w:val="505D15FC"/>
    <w:rsid w:val="506C1562"/>
    <w:rsid w:val="50707CB0"/>
    <w:rsid w:val="50755E1B"/>
    <w:rsid w:val="50962ECB"/>
    <w:rsid w:val="50A42E38"/>
    <w:rsid w:val="50A4577F"/>
    <w:rsid w:val="50B73D1F"/>
    <w:rsid w:val="50BD5BC9"/>
    <w:rsid w:val="50C11EEE"/>
    <w:rsid w:val="50D73351"/>
    <w:rsid w:val="50E97CFC"/>
    <w:rsid w:val="50F1399D"/>
    <w:rsid w:val="50FA4028"/>
    <w:rsid w:val="50FE434C"/>
    <w:rsid w:val="510D65B7"/>
    <w:rsid w:val="511157AB"/>
    <w:rsid w:val="5142540C"/>
    <w:rsid w:val="518832C8"/>
    <w:rsid w:val="51A0432A"/>
    <w:rsid w:val="51A86090"/>
    <w:rsid w:val="51B7396D"/>
    <w:rsid w:val="51EC449B"/>
    <w:rsid w:val="51F4743E"/>
    <w:rsid w:val="522E4CC3"/>
    <w:rsid w:val="523B4DF9"/>
    <w:rsid w:val="5244713B"/>
    <w:rsid w:val="52615633"/>
    <w:rsid w:val="526A04DD"/>
    <w:rsid w:val="52977FD4"/>
    <w:rsid w:val="52A25790"/>
    <w:rsid w:val="52A96B6F"/>
    <w:rsid w:val="52B45975"/>
    <w:rsid w:val="52D94AA4"/>
    <w:rsid w:val="52EA3A62"/>
    <w:rsid w:val="52F50BB8"/>
    <w:rsid w:val="53097272"/>
    <w:rsid w:val="53544462"/>
    <w:rsid w:val="53676980"/>
    <w:rsid w:val="53960CB2"/>
    <w:rsid w:val="5397158E"/>
    <w:rsid w:val="53D42C20"/>
    <w:rsid w:val="54013861"/>
    <w:rsid w:val="54487265"/>
    <w:rsid w:val="544D6070"/>
    <w:rsid w:val="545B4ECF"/>
    <w:rsid w:val="54605E1E"/>
    <w:rsid w:val="54B3506A"/>
    <w:rsid w:val="54CA0D16"/>
    <w:rsid w:val="54DD4057"/>
    <w:rsid w:val="54E7490F"/>
    <w:rsid w:val="54FF4546"/>
    <w:rsid w:val="55061018"/>
    <w:rsid w:val="550764A4"/>
    <w:rsid w:val="550B2BF6"/>
    <w:rsid w:val="55214EB5"/>
    <w:rsid w:val="55364EFD"/>
    <w:rsid w:val="555D4828"/>
    <w:rsid w:val="557A4C8B"/>
    <w:rsid w:val="558931E1"/>
    <w:rsid w:val="55923347"/>
    <w:rsid w:val="55925180"/>
    <w:rsid w:val="55983B1B"/>
    <w:rsid w:val="55A8376B"/>
    <w:rsid w:val="55C248FD"/>
    <w:rsid w:val="55D87B28"/>
    <w:rsid w:val="55DC29B6"/>
    <w:rsid w:val="55DD4241"/>
    <w:rsid w:val="55F16964"/>
    <w:rsid w:val="55FA20BB"/>
    <w:rsid w:val="561C1BE8"/>
    <w:rsid w:val="566B6D1E"/>
    <w:rsid w:val="56705FB3"/>
    <w:rsid w:val="567A298E"/>
    <w:rsid w:val="567D2234"/>
    <w:rsid w:val="568630E0"/>
    <w:rsid w:val="569E129D"/>
    <w:rsid w:val="56C76EC1"/>
    <w:rsid w:val="57032A2C"/>
    <w:rsid w:val="570F5219"/>
    <w:rsid w:val="575D12B5"/>
    <w:rsid w:val="57610A87"/>
    <w:rsid w:val="577B1140"/>
    <w:rsid w:val="577B7F21"/>
    <w:rsid w:val="577F181B"/>
    <w:rsid w:val="57921984"/>
    <w:rsid w:val="579737F0"/>
    <w:rsid w:val="57AB7B30"/>
    <w:rsid w:val="57AF5251"/>
    <w:rsid w:val="57B26373"/>
    <w:rsid w:val="57B3517E"/>
    <w:rsid w:val="57B63F04"/>
    <w:rsid w:val="57CD20C2"/>
    <w:rsid w:val="57D675AB"/>
    <w:rsid w:val="57D95FDD"/>
    <w:rsid w:val="58914238"/>
    <w:rsid w:val="58917D2F"/>
    <w:rsid w:val="5894085C"/>
    <w:rsid w:val="58AE4F0C"/>
    <w:rsid w:val="58B85899"/>
    <w:rsid w:val="58C0702C"/>
    <w:rsid w:val="58E363A9"/>
    <w:rsid w:val="59272ECB"/>
    <w:rsid w:val="59307B25"/>
    <w:rsid w:val="595E1678"/>
    <w:rsid w:val="596D5BD4"/>
    <w:rsid w:val="597E3DD8"/>
    <w:rsid w:val="59AB1AC0"/>
    <w:rsid w:val="59B31026"/>
    <w:rsid w:val="59F80043"/>
    <w:rsid w:val="5A09252F"/>
    <w:rsid w:val="5A0B2778"/>
    <w:rsid w:val="5A2A7C7B"/>
    <w:rsid w:val="5A380D61"/>
    <w:rsid w:val="5A3E2560"/>
    <w:rsid w:val="5A5D3B6E"/>
    <w:rsid w:val="5A637A76"/>
    <w:rsid w:val="5A686384"/>
    <w:rsid w:val="5A6D33BA"/>
    <w:rsid w:val="5A753B98"/>
    <w:rsid w:val="5A792B1F"/>
    <w:rsid w:val="5A874767"/>
    <w:rsid w:val="5A9A655F"/>
    <w:rsid w:val="5AA85BE2"/>
    <w:rsid w:val="5AAD6F28"/>
    <w:rsid w:val="5AD63A24"/>
    <w:rsid w:val="5AE51FB6"/>
    <w:rsid w:val="5B0B0B6B"/>
    <w:rsid w:val="5B2E1A1D"/>
    <w:rsid w:val="5B843A1C"/>
    <w:rsid w:val="5B873E3F"/>
    <w:rsid w:val="5C02690E"/>
    <w:rsid w:val="5C196DA7"/>
    <w:rsid w:val="5C2A048C"/>
    <w:rsid w:val="5C35640B"/>
    <w:rsid w:val="5C641793"/>
    <w:rsid w:val="5C7422AE"/>
    <w:rsid w:val="5C80234E"/>
    <w:rsid w:val="5C8A680C"/>
    <w:rsid w:val="5C990941"/>
    <w:rsid w:val="5CE45C2B"/>
    <w:rsid w:val="5CEB387F"/>
    <w:rsid w:val="5D0C4701"/>
    <w:rsid w:val="5D0F0395"/>
    <w:rsid w:val="5D221076"/>
    <w:rsid w:val="5D307D5D"/>
    <w:rsid w:val="5D397964"/>
    <w:rsid w:val="5D551783"/>
    <w:rsid w:val="5D5A391C"/>
    <w:rsid w:val="5D5F10C0"/>
    <w:rsid w:val="5D891B7B"/>
    <w:rsid w:val="5D8A5E82"/>
    <w:rsid w:val="5D930F65"/>
    <w:rsid w:val="5D945FAA"/>
    <w:rsid w:val="5DAD38EE"/>
    <w:rsid w:val="5E006862"/>
    <w:rsid w:val="5E0207B9"/>
    <w:rsid w:val="5E093CEF"/>
    <w:rsid w:val="5E1834A1"/>
    <w:rsid w:val="5E261785"/>
    <w:rsid w:val="5E4A7017"/>
    <w:rsid w:val="5E552BBA"/>
    <w:rsid w:val="5E611C10"/>
    <w:rsid w:val="5E626095"/>
    <w:rsid w:val="5E74631F"/>
    <w:rsid w:val="5E765627"/>
    <w:rsid w:val="5E7A0F3F"/>
    <w:rsid w:val="5E866777"/>
    <w:rsid w:val="5EF50A1B"/>
    <w:rsid w:val="5EFC7377"/>
    <w:rsid w:val="5F012A1A"/>
    <w:rsid w:val="5F06174D"/>
    <w:rsid w:val="5F3A3602"/>
    <w:rsid w:val="5F42274D"/>
    <w:rsid w:val="5F45733B"/>
    <w:rsid w:val="5F50478A"/>
    <w:rsid w:val="5F5B211E"/>
    <w:rsid w:val="5F6277C6"/>
    <w:rsid w:val="5F6D0B1D"/>
    <w:rsid w:val="5F8D0B82"/>
    <w:rsid w:val="5FA61B85"/>
    <w:rsid w:val="5FCC5339"/>
    <w:rsid w:val="5FE34A5B"/>
    <w:rsid w:val="5FE84E0C"/>
    <w:rsid w:val="5FFE1E36"/>
    <w:rsid w:val="60172C7B"/>
    <w:rsid w:val="60232584"/>
    <w:rsid w:val="60305BC5"/>
    <w:rsid w:val="605864BB"/>
    <w:rsid w:val="607330CE"/>
    <w:rsid w:val="60825176"/>
    <w:rsid w:val="60873AD9"/>
    <w:rsid w:val="609F2AC4"/>
    <w:rsid w:val="60C413D5"/>
    <w:rsid w:val="60FA2EE8"/>
    <w:rsid w:val="60FD48E7"/>
    <w:rsid w:val="61054A27"/>
    <w:rsid w:val="610A52BC"/>
    <w:rsid w:val="611D2366"/>
    <w:rsid w:val="61421856"/>
    <w:rsid w:val="615227C4"/>
    <w:rsid w:val="61654E3F"/>
    <w:rsid w:val="617514F6"/>
    <w:rsid w:val="6182292A"/>
    <w:rsid w:val="618B5F69"/>
    <w:rsid w:val="61985864"/>
    <w:rsid w:val="619F7F92"/>
    <w:rsid w:val="61BB155E"/>
    <w:rsid w:val="61BD2EFD"/>
    <w:rsid w:val="61F94C26"/>
    <w:rsid w:val="62000E56"/>
    <w:rsid w:val="62244584"/>
    <w:rsid w:val="624F3E49"/>
    <w:rsid w:val="62632286"/>
    <w:rsid w:val="62775066"/>
    <w:rsid w:val="62885958"/>
    <w:rsid w:val="628903DB"/>
    <w:rsid w:val="62BC7606"/>
    <w:rsid w:val="62C860CC"/>
    <w:rsid w:val="62F40B65"/>
    <w:rsid w:val="62FC2CFE"/>
    <w:rsid w:val="63024505"/>
    <w:rsid w:val="63540CCD"/>
    <w:rsid w:val="635B1DB5"/>
    <w:rsid w:val="636C73AF"/>
    <w:rsid w:val="63711FED"/>
    <w:rsid w:val="6384682A"/>
    <w:rsid w:val="63880DDC"/>
    <w:rsid w:val="63885935"/>
    <w:rsid w:val="638D750D"/>
    <w:rsid w:val="63AC52D2"/>
    <w:rsid w:val="63AC6CC0"/>
    <w:rsid w:val="63B048E8"/>
    <w:rsid w:val="63FC5CEF"/>
    <w:rsid w:val="64043733"/>
    <w:rsid w:val="64055776"/>
    <w:rsid w:val="64175397"/>
    <w:rsid w:val="64240056"/>
    <w:rsid w:val="64337D05"/>
    <w:rsid w:val="643E143A"/>
    <w:rsid w:val="644A0C02"/>
    <w:rsid w:val="64690F05"/>
    <w:rsid w:val="648B6EEF"/>
    <w:rsid w:val="64C158BF"/>
    <w:rsid w:val="64CE2EAA"/>
    <w:rsid w:val="65092215"/>
    <w:rsid w:val="653C3090"/>
    <w:rsid w:val="65854376"/>
    <w:rsid w:val="658767BE"/>
    <w:rsid w:val="65882CD5"/>
    <w:rsid w:val="65892531"/>
    <w:rsid w:val="65E616BA"/>
    <w:rsid w:val="660B2066"/>
    <w:rsid w:val="66153939"/>
    <w:rsid w:val="66195831"/>
    <w:rsid w:val="662E75B1"/>
    <w:rsid w:val="66342C2E"/>
    <w:rsid w:val="663E784C"/>
    <w:rsid w:val="66551A38"/>
    <w:rsid w:val="666D1F69"/>
    <w:rsid w:val="667133EA"/>
    <w:rsid w:val="668B6A45"/>
    <w:rsid w:val="66B772E6"/>
    <w:rsid w:val="66DE04FB"/>
    <w:rsid w:val="66F85C8F"/>
    <w:rsid w:val="66F95B50"/>
    <w:rsid w:val="671E7365"/>
    <w:rsid w:val="67230B7E"/>
    <w:rsid w:val="67277552"/>
    <w:rsid w:val="672D338F"/>
    <w:rsid w:val="672F3F24"/>
    <w:rsid w:val="673E055F"/>
    <w:rsid w:val="67551CE3"/>
    <w:rsid w:val="67A22552"/>
    <w:rsid w:val="67A530AB"/>
    <w:rsid w:val="67A531D6"/>
    <w:rsid w:val="67B22DCC"/>
    <w:rsid w:val="67BE71AA"/>
    <w:rsid w:val="67BF28F6"/>
    <w:rsid w:val="67D90273"/>
    <w:rsid w:val="67DE5875"/>
    <w:rsid w:val="67E55852"/>
    <w:rsid w:val="67EB1AB4"/>
    <w:rsid w:val="67FA1285"/>
    <w:rsid w:val="68551F4F"/>
    <w:rsid w:val="68647B92"/>
    <w:rsid w:val="687C10C9"/>
    <w:rsid w:val="68840C16"/>
    <w:rsid w:val="68876EFB"/>
    <w:rsid w:val="68884654"/>
    <w:rsid w:val="689F444F"/>
    <w:rsid w:val="68B96DBB"/>
    <w:rsid w:val="68CA2805"/>
    <w:rsid w:val="68E85AE5"/>
    <w:rsid w:val="68E937A3"/>
    <w:rsid w:val="693E15D3"/>
    <w:rsid w:val="69627681"/>
    <w:rsid w:val="6977531D"/>
    <w:rsid w:val="69B51747"/>
    <w:rsid w:val="69BD5BBB"/>
    <w:rsid w:val="69CC2BFF"/>
    <w:rsid w:val="69D327F2"/>
    <w:rsid w:val="69FD55B8"/>
    <w:rsid w:val="6A0B1C62"/>
    <w:rsid w:val="6A0C584D"/>
    <w:rsid w:val="6A0D3F4C"/>
    <w:rsid w:val="6A23426E"/>
    <w:rsid w:val="6A2406C8"/>
    <w:rsid w:val="6A4B328A"/>
    <w:rsid w:val="6A4B36BE"/>
    <w:rsid w:val="6A8F2B46"/>
    <w:rsid w:val="6AAF0A00"/>
    <w:rsid w:val="6AB20DE6"/>
    <w:rsid w:val="6ABA3454"/>
    <w:rsid w:val="6ADC5EF8"/>
    <w:rsid w:val="6ADE0BD1"/>
    <w:rsid w:val="6AE96859"/>
    <w:rsid w:val="6B147746"/>
    <w:rsid w:val="6B24787C"/>
    <w:rsid w:val="6B573233"/>
    <w:rsid w:val="6B5B6274"/>
    <w:rsid w:val="6B694FD4"/>
    <w:rsid w:val="6B710BD6"/>
    <w:rsid w:val="6B935D53"/>
    <w:rsid w:val="6C196F71"/>
    <w:rsid w:val="6C226FCB"/>
    <w:rsid w:val="6C31226F"/>
    <w:rsid w:val="6C340BCC"/>
    <w:rsid w:val="6C390C24"/>
    <w:rsid w:val="6C3F7B62"/>
    <w:rsid w:val="6C552F0B"/>
    <w:rsid w:val="6C8C2DF7"/>
    <w:rsid w:val="6C8C67B7"/>
    <w:rsid w:val="6C9D744C"/>
    <w:rsid w:val="6CFD6256"/>
    <w:rsid w:val="6CFE67A8"/>
    <w:rsid w:val="6D167928"/>
    <w:rsid w:val="6D261515"/>
    <w:rsid w:val="6D26299B"/>
    <w:rsid w:val="6D4608A2"/>
    <w:rsid w:val="6D4772EC"/>
    <w:rsid w:val="6D6D4FC1"/>
    <w:rsid w:val="6D8007DE"/>
    <w:rsid w:val="6D9078AF"/>
    <w:rsid w:val="6DAA3FEF"/>
    <w:rsid w:val="6DB703FB"/>
    <w:rsid w:val="6DC0172B"/>
    <w:rsid w:val="6DCB690C"/>
    <w:rsid w:val="6DD41A5B"/>
    <w:rsid w:val="6DF43C2E"/>
    <w:rsid w:val="6DF51CA3"/>
    <w:rsid w:val="6E683ACB"/>
    <w:rsid w:val="6E8335BD"/>
    <w:rsid w:val="6E8E12EF"/>
    <w:rsid w:val="6E9045AA"/>
    <w:rsid w:val="6E972936"/>
    <w:rsid w:val="6EB74327"/>
    <w:rsid w:val="6EC91D52"/>
    <w:rsid w:val="6ED34821"/>
    <w:rsid w:val="6ED446C5"/>
    <w:rsid w:val="6EDD6C63"/>
    <w:rsid w:val="6EFA6CD6"/>
    <w:rsid w:val="6F0F7527"/>
    <w:rsid w:val="6F184A18"/>
    <w:rsid w:val="6F2A7D94"/>
    <w:rsid w:val="6F6B361C"/>
    <w:rsid w:val="6F802313"/>
    <w:rsid w:val="6F8331F1"/>
    <w:rsid w:val="6FAE1A09"/>
    <w:rsid w:val="6FD75BF8"/>
    <w:rsid w:val="6FDD2838"/>
    <w:rsid w:val="6FEF3B3E"/>
    <w:rsid w:val="703C638E"/>
    <w:rsid w:val="704318A8"/>
    <w:rsid w:val="707723D0"/>
    <w:rsid w:val="709541F4"/>
    <w:rsid w:val="70DB77AC"/>
    <w:rsid w:val="70E74579"/>
    <w:rsid w:val="70F5661B"/>
    <w:rsid w:val="70FF0D7D"/>
    <w:rsid w:val="70FF7EE6"/>
    <w:rsid w:val="7123737D"/>
    <w:rsid w:val="71360107"/>
    <w:rsid w:val="713B688E"/>
    <w:rsid w:val="716167CC"/>
    <w:rsid w:val="7183561A"/>
    <w:rsid w:val="71BE6408"/>
    <w:rsid w:val="71D43752"/>
    <w:rsid w:val="71D7083C"/>
    <w:rsid w:val="71DF0B1D"/>
    <w:rsid w:val="71F1796A"/>
    <w:rsid w:val="720846CC"/>
    <w:rsid w:val="72154626"/>
    <w:rsid w:val="721F290F"/>
    <w:rsid w:val="72202699"/>
    <w:rsid w:val="72255A4C"/>
    <w:rsid w:val="72262B5D"/>
    <w:rsid w:val="72283FF7"/>
    <w:rsid w:val="722E7212"/>
    <w:rsid w:val="723A0474"/>
    <w:rsid w:val="723F6D35"/>
    <w:rsid w:val="725923E4"/>
    <w:rsid w:val="72864BF7"/>
    <w:rsid w:val="729023FC"/>
    <w:rsid w:val="729B6005"/>
    <w:rsid w:val="73012015"/>
    <w:rsid w:val="733470C6"/>
    <w:rsid w:val="73533CC2"/>
    <w:rsid w:val="736D2DF9"/>
    <w:rsid w:val="73C0646E"/>
    <w:rsid w:val="740C0C71"/>
    <w:rsid w:val="742222F5"/>
    <w:rsid w:val="742348D0"/>
    <w:rsid w:val="74476126"/>
    <w:rsid w:val="74624977"/>
    <w:rsid w:val="74706664"/>
    <w:rsid w:val="7475702A"/>
    <w:rsid w:val="747F3682"/>
    <w:rsid w:val="749C4185"/>
    <w:rsid w:val="74A73931"/>
    <w:rsid w:val="74BE006A"/>
    <w:rsid w:val="74DA51BD"/>
    <w:rsid w:val="75067759"/>
    <w:rsid w:val="752E6DCD"/>
    <w:rsid w:val="7551380D"/>
    <w:rsid w:val="75600BE5"/>
    <w:rsid w:val="7564475C"/>
    <w:rsid w:val="75834A5C"/>
    <w:rsid w:val="7583797F"/>
    <w:rsid w:val="75D20F1D"/>
    <w:rsid w:val="75DA2C18"/>
    <w:rsid w:val="75F54412"/>
    <w:rsid w:val="75FF1B9F"/>
    <w:rsid w:val="761969BC"/>
    <w:rsid w:val="761D08E0"/>
    <w:rsid w:val="76400B70"/>
    <w:rsid w:val="765D347C"/>
    <w:rsid w:val="76826699"/>
    <w:rsid w:val="7688753D"/>
    <w:rsid w:val="76A062CA"/>
    <w:rsid w:val="76C01D45"/>
    <w:rsid w:val="76C87133"/>
    <w:rsid w:val="76CD08D5"/>
    <w:rsid w:val="76DB4B92"/>
    <w:rsid w:val="76FF4961"/>
    <w:rsid w:val="77052AA4"/>
    <w:rsid w:val="77136511"/>
    <w:rsid w:val="77340A39"/>
    <w:rsid w:val="77351FD0"/>
    <w:rsid w:val="77472422"/>
    <w:rsid w:val="777F31F2"/>
    <w:rsid w:val="77BC4C63"/>
    <w:rsid w:val="77C24C2D"/>
    <w:rsid w:val="77D1700D"/>
    <w:rsid w:val="77E4568D"/>
    <w:rsid w:val="77EC04CC"/>
    <w:rsid w:val="78006A23"/>
    <w:rsid w:val="78775729"/>
    <w:rsid w:val="78A42DB0"/>
    <w:rsid w:val="78A656AB"/>
    <w:rsid w:val="78B2245C"/>
    <w:rsid w:val="78E172CC"/>
    <w:rsid w:val="78EA1D1F"/>
    <w:rsid w:val="7904172F"/>
    <w:rsid w:val="79062AD2"/>
    <w:rsid w:val="790F7E27"/>
    <w:rsid w:val="792A231A"/>
    <w:rsid w:val="79316829"/>
    <w:rsid w:val="79404FE3"/>
    <w:rsid w:val="797C7409"/>
    <w:rsid w:val="797E66A9"/>
    <w:rsid w:val="79A97383"/>
    <w:rsid w:val="79DC2E94"/>
    <w:rsid w:val="79E27E8B"/>
    <w:rsid w:val="79F850CE"/>
    <w:rsid w:val="79FD443C"/>
    <w:rsid w:val="7A1D1975"/>
    <w:rsid w:val="7A3902E6"/>
    <w:rsid w:val="7A3E5150"/>
    <w:rsid w:val="7A4670D6"/>
    <w:rsid w:val="7A534B63"/>
    <w:rsid w:val="7A5C3FD5"/>
    <w:rsid w:val="7A615382"/>
    <w:rsid w:val="7A653600"/>
    <w:rsid w:val="7A67303B"/>
    <w:rsid w:val="7AA31C03"/>
    <w:rsid w:val="7AAB1D04"/>
    <w:rsid w:val="7AB93BDA"/>
    <w:rsid w:val="7ABA4368"/>
    <w:rsid w:val="7AD05746"/>
    <w:rsid w:val="7AEA15E0"/>
    <w:rsid w:val="7B226FCC"/>
    <w:rsid w:val="7B257FFD"/>
    <w:rsid w:val="7B2E3BC3"/>
    <w:rsid w:val="7B343476"/>
    <w:rsid w:val="7B4E55AE"/>
    <w:rsid w:val="7B5A2978"/>
    <w:rsid w:val="7B5A7E4C"/>
    <w:rsid w:val="7B667AF9"/>
    <w:rsid w:val="7B7468F8"/>
    <w:rsid w:val="7B8732D3"/>
    <w:rsid w:val="7BE64CF7"/>
    <w:rsid w:val="7BEE0103"/>
    <w:rsid w:val="7C0A0FE4"/>
    <w:rsid w:val="7C254906"/>
    <w:rsid w:val="7C5022FF"/>
    <w:rsid w:val="7C590818"/>
    <w:rsid w:val="7C6E0182"/>
    <w:rsid w:val="7C7C10F6"/>
    <w:rsid w:val="7C853BEA"/>
    <w:rsid w:val="7C881368"/>
    <w:rsid w:val="7CDD2BF7"/>
    <w:rsid w:val="7CE27788"/>
    <w:rsid w:val="7CE64D74"/>
    <w:rsid w:val="7CF548F1"/>
    <w:rsid w:val="7D0357E5"/>
    <w:rsid w:val="7D0C32F1"/>
    <w:rsid w:val="7D0F408D"/>
    <w:rsid w:val="7D491C6C"/>
    <w:rsid w:val="7D5429C0"/>
    <w:rsid w:val="7D6E6D43"/>
    <w:rsid w:val="7D7069D2"/>
    <w:rsid w:val="7D894AA5"/>
    <w:rsid w:val="7D8E125C"/>
    <w:rsid w:val="7DAD6DD7"/>
    <w:rsid w:val="7DB57A34"/>
    <w:rsid w:val="7DDB10A1"/>
    <w:rsid w:val="7DE60973"/>
    <w:rsid w:val="7DEF0916"/>
    <w:rsid w:val="7E1E5218"/>
    <w:rsid w:val="7E7514D4"/>
    <w:rsid w:val="7E9A4E1F"/>
    <w:rsid w:val="7EA7723A"/>
    <w:rsid w:val="7EB659FE"/>
    <w:rsid w:val="7EBC6AFC"/>
    <w:rsid w:val="7ED456CF"/>
    <w:rsid w:val="7EF56FBB"/>
    <w:rsid w:val="7EFC38CE"/>
    <w:rsid w:val="7F015C50"/>
    <w:rsid w:val="7F067E4D"/>
    <w:rsid w:val="7F0768EB"/>
    <w:rsid w:val="7F143BEC"/>
    <w:rsid w:val="7F19715A"/>
    <w:rsid w:val="7F5856D4"/>
    <w:rsid w:val="7F6137FA"/>
    <w:rsid w:val="7F715AF2"/>
    <w:rsid w:val="7F793597"/>
    <w:rsid w:val="7F886E69"/>
    <w:rsid w:val="7FCF2D12"/>
    <w:rsid w:val="7FFA1DC8"/>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971"/>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3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7"/>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11"/>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index 8"/>
    <w:basedOn w:val="1"/>
    <w:next w:val="1"/>
    <w:qFormat/>
    <w:uiPriority w:val="0"/>
    <w:pPr>
      <w:ind w:left="2940"/>
    </w:p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4"/>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7"/>
    <w:qFormat/>
    <w:uiPriority w:val="0"/>
    <w:pPr>
      <w:shd w:val="clear" w:color="auto" w:fill="000080"/>
    </w:pPr>
  </w:style>
  <w:style w:type="paragraph" w:styleId="20">
    <w:name w:val="annotation text"/>
    <w:basedOn w:val="1"/>
    <w:link w:val="348"/>
    <w:qFormat/>
    <w:uiPriority w:val="99"/>
    <w:pPr>
      <w:jc w:val="left"/>
    </w:pPr>
  </w:style>
  <w:style w:type="paragraph" w:styleId="21">
    <w:name w:val="Salutation"/>
    <w:basedOn w:val="1"/>
    <w:next w:val="1"/>
    <w:link w:val="302"/>
    <w:qFormat/>
    <w:uiPriority w:val="0"/>
    <w:rPr>
      <w:rFonts w:ascii="仿宋_GB2312" w:eastAsia="仿宋_GB2312"/>
      <w:sz w:val="28"/>
      <w:szCs w:val="20"/>
    </w:rPr>
  </w:style>
  <w:style w:type="paragraph" w:styleId="22">
    <w:name w:val="Body Text 3"/>
    <w:basedOn w:val="1"/>
    <w:link w:val="334"/>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4"/>
    <w:qFormat/>
    <w:uiPriority w:val="0"/>
    <w:pPr>
      <w:autoSpaceDE w:val="0"/>
      <w:autoSpaceDN w:val="0"/>
      <w:spacing w:line="360" w:lineRule="auto"/>
    </w:pPr>
    <w:rPr>
      <w:rFonts w:ascii="宋体" w:hAnsi="Arial" w:cs="Arial"/>
      <w:snapToGrid w:val="0"/>
      <w:sz w:val="24"/>
      <w:szCs w:val="21"/>
      <w:lang w:val="zh-CN"/>
    </w:rPr>
  </w:style>
  <w:style w:type="paragraph" w:customStyle="1" w:styleId="2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styleId="26">
    <w:name w:val="Body Text Indent"/>
    <w:basedOn w:val="1"/>
    <w:next w:val="27"/>
    <w:link w:val="269"/>
    <w:qFormat/>
    <w:uiPriority w:val="0"/>
    <w:pPr>
      <w:spacing w:line="480" w:lineRule="exact"/>
      <w:ind w:firstLine="480" w:firstLineChars="200"/>
    </w:pPr>
    <w:rPr>
      <w:rFonts w:ascii="宋体" w:hAnsi="宋体"/>
      <w:sz w:val="24"/>
    </w:rPr>
  </w:style>
  <w:style w:type="paragraph" w:styleId="27">
    <w:name w:val="Body Text First Indent 2"/>
    <w:basedOn w:val="26"/>
    <w:link w:val="126"/>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30"/>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6"/>
    <w:qFormat/>
    <w:uiPriority w:val="0"/>
    <w:pPr>
      <w:ind w:left="100" w:leftChars="2500"/>
    </w:pPr>
    <w:rPr>
      <w:rFonts w:ascii="宋体"/>
      <w:sz w:val="24"/>
      <w:szCs w:val="21"/>
      <w:lang w:val="zh-CN"/>
    </w:rPr>
  </w:style>
  <w:style w:type="paragraph" w:styleId="39">
    <w:name w:val="Body Text Indent 2"/>
    <w:basedOn w:val="1"/>
    <w:link w:val="312"/>
    <w:qFormat/>
    <w:uiPriority w:val="0"/>
    <w:pPr>
      <w:spacing w:line="360" w:lineRule="auto"/>
      <w:ind w:firstLine="601"/>
      <w:textAlignment w:val="baseline"/>
    </w:pPr>
    <w:rPr>
      <w:rFonts w:ascii="宋体"/>
      <w:kern w:val="0"/>
      <w:sz w:val="28"/>
      <w:szCs w:val="20"/>
    </w:rPr>
  </w:style>
  <w:style w:type="paragraph" w:styleId="40">
    <w:name w:val="endnote text"/>
    <w:basedOn w:val="1"/>
    <w:link w:val="935"/>
    <w:qFormat/>
    <w:uiPriority w:val="0"/>
    <w:rPr>
      <w:lang w:val="zh-CN"/>
    </w:rPr>
  </w:style>
  <w:style w:type="paragraph" w:styleId="41">
    <w:name w:val="Balloon Text"/>
    <w:basedOn w:val="1"/>
    <w:link w:val="193"/>
    <w:qFormat/>
    <w:uiPriority w:val="0"/>
    <w:rPr>
      <w:sz w:val="18"/>
      <w:szCs w:val="18"/>
    </w:rPr>
  </w:style>
  <w:style w:type="paragraph" w:styleId="42">
    <w:name w:val="footer"/>
    <w:basedOn w:val="1"/>
    <w:link w:val="387"/>
    <w:qFormat/>
    <w:uiPriority w:val="99"/>
    <w:pPr>
      <w:tabs>
        <w:tab w:val="center" w:pos="4153"/>
        <w:tab w:val="right" w:pos="8306"/>
      </w:tabs>
      <w:snapToGrid w:val="0"/>
      <w:jc w:val="left"/>
    </w:pPr>
    <w:rPr>
      <w:sz w:val="18"/>
      <w:szCs w:val="18"/>
    </w:rPr>
  </w:style>
  <w:style w:type="paragraph" w:styleId="43">
    <w:name w:val="envelope return"/>
    <w:basedOn w:val="1"/>
    <w:qFormat/>
    <w:uiPriority w:val="0"/>
    <w:pPr>
      <w:snapToGrid w:val="0"/>
    </w:pPr>
    <w:rPr>
      <w:rFonts w:ascii="Arial" w:hAnsi="Arial"/>
    </w:rPr>
  </w:style>
  <w:style w:type="paragraph" w:styleId="44">
    <w:name w:val="header"/>
    <w:basedOn w:val="1"/>
    <w:link w:val="396"/>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9"/>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16"/>
    <w:link w:val="314"/>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9"/>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6"/>
    <w:qFormat/>
    <w:uiPriority w:val="0"/>
    <w:pPr>
      <w:spacing w:after="120" w:line="480" w:lineRule="auto"/>
    </w:pPr>
  </w:style>
  <w:style w:type="paragraph" w:styleId="60">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90"/>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0"/>
    <w:next w:val="20"/>
    <w:link w:val="101"/>
    <w:qFormat/>
    <w:uiPriority w:val="0"/>
    <w:rPr>
      <w:b/>
      <w:bCs/>
    </w:rPr>
  </w:style>
  <w:style w:type="paragraph" w:styleId="64">
    <w:name w:val="Body Text First Indent"/>
    <w:basedOn w:val="24"/>
    <w:next w:val="1"/>
    <w:link w:val="325"/>
    <w:qFormat/>
    <w:uiPriority w:val="0"/>
    <w:pPr>
      <w:ind w:firstLine="420"/>
    </w:pPr>
    <w:rPr>
      <w:rFonts w:hAnsi="Calibri" w:cs="Times New Roman"/>
      <w:snapToGrid/>
      <w:szCs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styleId="82">
    <w:name w:val="List Paragraph"/>
    <w:basedOn w:val="1"/>
    <w:qFormat/>
    <w:uiPriority w:val="34"/>
    <w:pPr>
      <w:spacing w:line="360" w:lineRule="auto"/>
      <w:ind w:firstLine="200" w:firstLineChars="200"/>
    </w:pPr>
    <w:rPr>
      <w:rFonts w:eastAsia="楷体_GB2312" w:cs="Lucida Sans"/>
      <w:sz w:val="24"/>
    </w:rPr>
  </w:style>
  <w:style w:type="paragraph" w:customStyle="1" w:styleId="83">
    <w:name w:val="Default"/>
    <w:next w:val="84"/>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71"/>
    <w:next w:val="1"/>
    <w:qFormat/>
    <w:uiPriority w:val="0"/>
    <w:pPr>
      <w:wordWrap w:val="0"/>
      <w:ind w:left="2550"/>
      <w:jc w:val="both"/>
    </w:pPr>
    <w:rPr>
      <w:rFonts w:ascii="Calibri" w:hAnsi="Calibri" w:eastAsia="宋体" w:cs="Times New Roman"/>
      <w:sz w:val="21"/>
      <w:szCs w:val="22"/>
      <w:lang w:val="en-US" w:eastAsia="zh-CN" w:bidi="ar-SA"/>
    </w:rPr>
  </w:style>
  <w:style w:type="paragraph" w:customStyle="1" w:styleId="85">
    <w:name w:val="[Normal]"/>
    <w:qFormat/>
    <w:uiPriority w:val="0"/>
    <w:rPr>
      <w:rFonts w:ascii="宋体" w:hAnsi="宋体" w:eastAsia="宋体" w:cs="Times New Roman"/>
      <w:sz w:val="24"/>
      <w:lang w:val="zh-CN" w:eastAsia="zh-CN" w:bidi="ar-SA"/>
    </w:rPr>
  </w:style>
  <w:style w:type="paragraph" w:customStyle="1" w:styleId="86">
    <w:name w:val="正文文本首行缩进 21"/>
    <w:basedOn w:val="26"/>
    <w:qFormat/>
    <w:uiPriority w:val="99"/>
    <w:pPr>
      <w:spacing w:line="200" w:lineRule="atLeast"/>
      <w:ind w:firstLine="420"/>
    </w:pPr>
    <w:rPr>
      <w:rFonts w:hAnsi="Courier New"/>
      <w:spacing w:val="-4"/>
      <w:sz w:val="18"/>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locked/>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semiHidden/>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仿宋_GB2312" w:hAnsi="仿宋_GB2312" w:eastAsia="仿宋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3"/>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仿宋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
    <w:qFormat/>
    <w:locked/>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仿宋_GB2312" w:hAnsi="微软雅黑" w:eastAsia="仿宋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首行缩进 2 Char"/>
    <w:link w:val="27"/>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2"/>
    <w:qFormat/>
    <w:uiPriority w:val="0"/>
    <w:rPr>
      <w:rFonts w:ascii="Arial" w:hAnsi="Arial" w:eastAsia="黑体" w:cs="Arial"/>
      <w:snapToGrid w:val="0"/>
      <w:kern w:val="0"/>
      <w:szCs w:val="21"/>
    </w:rPr>
  </w:style>
  <w:style w:type="character" w:customStyle="1" w:styleId="130">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136"/>
    <w:qFormat/>
    <w:uiPriority w:val="0"/>
    <w:rPr>
      <w:rFonts w:eastAsia="宋体"/>
      <w:kern w:val="2"/>
      <w:sz w:val="24"/>
      <w:lang w:val="en-US" w:eastAsia="zh-CN" w:bidi="ar-SA"/>
    </w:rPr>
  </w:style>
  <w:style w:type="paragraph" w:customStyle="1" w:styleId="136">
    <w:name w:val="正文2"/>
    <w:basedOn w:val="1"/>
    <w:link w:val="135"/>
    <w:qFormat/>
    <w:uiPriority w:val="0"/>
    <w:pPr>
      <w:spacing w:before="156" w:line="360" w:lineRule="auto"/>
      <w:ind w:firstLine="510" w:firstLineChars="200"/>
    </w:pPr>
    <w:rPr>
      <w:sz w:val="24"/>
      <w:szCs w:val="20"/>
    </w:rPr>
  </w:style>
  <w:style w:type="character" w:customStyle="1" w:styleId="137">
    <w:name w:val="Char Char24"/>
    <w:qFormat/>
    <w:uiPriority w:val="6"/>
    <w:rPr>
      <w:kern w:val="1"/>
      <w:sz w:val="21"/>
    </w:rPr>
  </w:style>
  <w:style w:type="character" w:customStyle="1" w:styleId="138">
    <w:name w:val="副标题 Char"/>
    <w:link w:val="50"/>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仿宋_GB2312" w:hAnsi="仿宋" w:eastAsia="仿宋_GB2312"/>
      <w:b/>
      <w:kern w:val="2"/>
      <w:sz w:val="24"/>
      <w:szCs w:val="24"/>
    </w:rPr>
  </w:style>
  <w:style w:type="character" w:customStyle="1" w:styleId="147">
    <w:name w:val="font12gray1"/>
    <w:qFormat/>
    <w:uiPriority w:val="0"/>
    <w:rPr>
      <w:rFonts w:ascii="仿宋_GB2312" w:eastAsia="微软雅黑"/>
      <w:b/>
      <w:spacing w:val="300"/>
      <w:kern w:val="2"/>
      <w:sz w:val="18"/>
      <w:szCs w:val="18"/>
      <w:lang w:val="en-US" w:eastAsia="zh-CN" w:bidi="ar-SA"/>
    </w:rPr>
  </w:style>
  <w:style w:type="character" w:customStyle="1" w:styleId="148">
    <w:name w:val="Char Char7"/>
    <w:semiHidden/>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locked/>
    <w:uiPriority w:val="0"/>
    <w:rPr>
      <w:rFonts w:eastAsia="宋体"/>
      <w:kern w:val="2"/>
      <w:sz w:val="21"/>
      <w:szCs w:val="24"/>
      <w:lang w:val="en-US" w:eastAsia="zh-CN" w:bidi="ar-SA"/>
    </w:rPr>
  </w:style>
  <w:style w:type="character" w:customStyle="1" w:styleId="151">
    <w:name w:val="font41"/>
    <w:qFormat/>
    <w:uiPriority w:val="0"/>
    <w:rPr>
      <w:rFonts w:hint="eastAsia" w:ascii="仿宋_GB2312" w:eastAsia="仿宋_GB2312" w:cs="仿宋_GB2312"/>
      <w:color w:val="000000"/>
      <w:sz w:val="22"/>
      <w:szCs w:val="22"/>
      <w:u w:val="none"/>
    </w:rPr>
  </w:style>
  <w:style w:type="character" w:customStyle="1" w:styleId="152">
    <w:name w:val="标题 6 Char"/>
    <w:link w:val="7"/>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locked/>
    <w:uiPriority w:val="0"/>
    <w:rPr>
      <w:rFonts w:eastAsia="宋体"/>
      <w:kern w:val="2"/>
      <w:sz w:val="18"/>
      <w:szCs w:val="18"/>
      <w:lang w:val="en-US" w:eastAsia="zh-CN" w:bidi="ar-SA"/>
    </w:rPr>
  </w:style>
  <w:style w:type="character" w:customStyle="1" w:styleId="157">
    <w:name w:val="正文 项目2 Char"/>
    <w:basedOn w:val="158"/>
    <w:qFormat/>
    <w:uiPriority w:val="0"/>
    <w:rPr>
      <w:rFonts w:ascii="仿宋_GB2312" w:hAnsi="仿宋_GB2312" w:eastAsia="仿宋_GB2312"/>
      <w:kern w:val="2"/>
      <w:sz w:val="24"/>
      <w:lang w:bidi="ar-SA"/>
    </w:rPr>
  </w:style>
  <w:style w:type="character" w:customStyle="1" w:styleId="158">
    <w:name w:val="正文 项目 Char"/>
    <w:qFormat/>
    <w:uiPriority w:val="0"/>
    <w:rPr>
      <w:rFonts w:ascii="仿宋_GB2312" w:hAnsi="仿宋_GB2312" w:eastAsia="仿宋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仿宋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仿宋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locked/>
    <w:uiPriority w:val="0"/>
    <w:rPr>
      <w:rFonts w:ascii="宋体" w:hAnsi="宋体" w:eastAsia="宋体"/>
      <w:kern w:val="2"/>
      <w:sz w:val="24"/>
      <w:lang w:val="en-US" w:eastAsia="zh-CN" w:bidi="ar-SA"/>
    </w:rPr>
  </w:style>
  <w:style w:type="character" w:customStyle="1" w:styleId="171">
    <w:name w:val="标题 2 字符"/>
    <w:qFormat/>
    <w:uiPriority w:val="1"/>
    <w:rPr>
      <w:rFonts w:ascii="仿宋_GB2312" w:hAnsi="Times New Roman" w:eastAsia="仿宋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3"/>
    <w:link w:val="175"/>
    <w:qFormat/>
    <w:uiPriority w:val="0"/>
    <w:pPr>
      <w:snapToGrid w:val="0"/>
      <w:spacing w:before="240" w:after="240" w:line="240" w:lineRule="auto"/>
      <w:ind w:left="0" w:firstLine="0"/>
      <w:jc w:val="center"/>
    </w:pPr>
    <w:rPr>
      <w:rFonts w:ascii="Calibri" w:hAnsi="Calibri" w:eastAsia="宋体"/>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semiHidden/>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semiHidden/>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Char"/>
    <w:link w:val="38"/>
    <w:qFormat/>
    <w:uiPriority w:val="0"/>
    <w:rPr>
      <w:rFonts w:ascii="宋体"/>
      <w:kern w:val="2"/>
      <w:sz w:val="24"/>
      <w:szCs w:val="21"/>
      <w:lang w:val="zh-CN"/>
    </w:rPr>
  </w:style>
  <w:style w:type="character" w:customStyle="1" w:styleId="187">
    <w:name w:val="标题 9 Char"/>
    <w:link w:val="10"/>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99"/>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semiHidden/>
    <w:qFormat/>
    <w:uiPriority w:val="99"/>
    <w:rPr>
      <w:rFonts w:ascii="Times New Roman" w:hAnsi="Times New Roman" w:eastAsia="宋体" w:cs="Times New Roman"/>
      <w:szCs w:val="24"/>
    </w:rPr>
  </w:style>
  <w:style w:type="character" w:customStyle="1" w:styleId="193">
    <w:name w:val="批注框文本 Char"/>
    <w:link w:val="41"/>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locked/>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16"/>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Char1"/>
    <w:link w:val="19"/>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semiHidden/>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2"/>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Char"/>
    <w:link w:val="32"/>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5"/>
    <w:link w:val="22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
    <w:qFormat/>
    <w:locked/>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Char"/>
    <w:link w:val="17"/>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83"/>
    <w:qFormat/>
    <w:uiPriority w:val="0"/>
    <w:rPr>
      <w:rFonts w:ascii="仿宋_GB2312" w:eastAsia="仿宋_GB2312" w:cs="仿宋_GB2312"/>
      <w:color w:val="000000"/>
      <w:sz w:val="24"/>
      <w:szCs w:val="24"/>
      <w:lang w:val="en-US" w:eastAsia="zh-CN" w:bidi="ar-SA"/>
    </w:rPr>
  </w:style>
  <w:style w:type="paragraph" w:customStyle="1" w:styleId="240">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semiHidden/>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locked/>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仿宋_GB2312" w:eastAsia="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sz w:val="24"/>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82"/>
    <w:link w:val="261"/>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仿宋_GB2312" w:eastAsia="仿宋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Char3"/>
    <w:link w:val="26"/>
    <w:qFormat/>
    <w:uiPriority w:val="0"/>
    <w:rPr>
      <w:rFonts w:ascii="宋体" w:hAnsi="宋体"/>
      <w:kern w:val="2"/>
      <w:sz w:val="24"/>
      <w:szCs w:val="24"/>
    </w:rPr>
  </w:style>
  <w:style w:type="character" w:customStyle="1" w:styleId="270">
    <w:name w:val="font01"/>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0"/>
    <w:rPr>
      <w:rFonts w:ascii="Arial" w:hAnsi="Arial" w:eastAsia="黑体" w:cs="Arial"/>
      <w:snapToGrid w:val="0"/>
      <w:kern w:val="0"/>
      <w:sz w:val="18"/>
      <w:szCs w:val="18"/>
    </w:rPr>
  </w:style>
  <w:style w:type="character" w:customStyle="1" w:styleId="280">
    <w:name w:val="纯文本 Char2"/>
    <w:semiHidden/>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
    <w:qFormat/>
    <w:locked/>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rPr>
      <w:sz w:val="24"/>
    </w:r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标题 1 Char"/>
    <w:link w:val="2"/>
    <w:qFormat/>
    <w:uiPriority w:val="9"/>
    <w:rPr>
      <w:b/>
      <w:bCs/>
      <w:kern w:val="44"/>
      <w:sz w:val="44"/>
      <w:szCs w:val="44"/>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Char2"/>
    <w:link w:val="62"/>
    <w:qFormat/>
    <w:uiPriority w:val="1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仿宋_GB2312" w:eastAsia="微软雅黑"/>
      <w:b/>
      <w:kern w:val="2"/>
      <w:sz w:val="23"/>
      <w:szCs w:val="23"/>
      <w:lang w:val="en-US" w:eastAsia="zh-CN" w:bidi="ar-SA"/>
    </w:rPr>
  </w:style>
  <w:style w:type="character" w:customStyle="1" w:styleId="294">
    <w:name w:val="样式8 Char"/>
    <w:qFormat/>
    <w:uiPriority w:val="0"/>
    <w:rPr>
      <w:rFonts w:ascii="仿宋_GB2312" w:hAnsi="宋体" w:eastAsia="仿宋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0"/>
    <w:rPr>
      <w:rFonts w:ascii="Calibri" w:hAnsi="Calibri" w:eastAsia="黑体" w:cs="Arial"/>
      <w:snapToGrid w:val="0"/>
      <w:kern w:val="2"/>
      <w:sz w:val="28"/>
      <w:szCs w:val="21"/>
    </w:rPr>
  </w:style>
  <w:style w:type="character" w:customStyle="1" w:styleId="297">
    <w:name w:val="标题 5 Char"/>
    <w:link w:val="6"/>
    <w:qFormat/>
    <w:uiPriority w:val="9"/>
    <w:rPr>
      <w:b/>
      <w:bCs/>
      <w:kern w:val="2"/>
      <w:sz w:val="28"/>
      <w:szCs w:val="28"/>
    </w:rPr>
  </w:style>
  <w:style w:type="character" w:customStyle="1" w:styleId="298">
    <w:name w:val="标题 6 Char1"/>
    <w:qFormat/>
    <w:uiPriority w:val="0"/>
    <w:rPr>
      <w:rFonts w:ascii="Arial" w:hAnsi="Arial" w:eastAsia="黑体" w:cs="Times New Roman"/>
      <w:b/>
      <w:sz w:val="24"/>
      <w:szCs w:val="20"/>
      <w:lang w:bidi="ar-SA"/>
    </w:rPr>
  </w:style>
  <w:style w:type="character" w:customStyle="1" w:styleId="299">
    <w:name w:val="带编号样式 Char"/>
    <w:qFormat/>
    <w:uiPriority w:val="0"/>
    <w:rPr>
      <w:rFonts w:ascii="仿宋_GB2312" w:eastAsia="仿宋_GB2312"/>
      <w:color w:val="000000"/>
      <w:sz w:val="24"/>
      <w:lang w:bidi="ar-SA"/>
    </w:rPr>
  </w:style>
  <w:style w:type="character" w:customStyle="1" w:styleId="300">
    <w:name w:val="unnamed31"/>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qFormat/>
    <w:uiPriority w:val="0"/>
    <w:rPr>
      <w:rFonts w:ascii="宋体" w:eastAsia="宋体"/>
      <w:kern w:val="2"/>
      <w:sz w:val="24"/>
      <w:szCs w:val="24"/>
      <w:lang w:val="zh-CN" w:bidi="ar-SA"/>
    </w:rPr>
  </w:style>
  <w:style w:type="character" w:customStyle="1" w:styleId="302">
    <w:name w:val="称呼 Char"/>
    <w:link w:val="21"/>
    <w:qFormat/>
    <w:uiPriority w:val="0"/>
    <w:rPr>
      <w:rFonts w:ascii="仿宋_GB2312" w:eastAsia="仿宋_GB2312"/>
      <w:kern w:val="2"/>
      <w:sz w:val="28"/>
    </w:rPr>
  </w:style>
  <w:style w:type="character" w:customStyle="1" w:styleId="303">
    <w:name w:val="文本正文 Char Char"/>
    <w:qFormat/>
    <w:locked/>
    <w:uiPriority w:val="0"/>
    <w:rPr>
      <w:sz w:val="24"/>
      <w:lang w:bidi="ar-SA"/>
    </w:rPr>
  </w:style>
  <w:style w:type="character" w:customStyle="1" w:styleId="304">
    <w:name w:val="正文缩进 字符"/>
    <w:qFormat/>
    <w:uiPriority w:val="0"/>
    <w:rPr>
      <w:rFonts w:ascii="宋体" w:eastAsia="宋体"/>
      <w:snapToGrid w:val="0"/>
      <w:color w:val="000000"/>
      <w:kern w:val="28"/>
      <w:sz w:val="28"/>
      <w:lang w:val="en-US" w:eastAsia="zh-CN" w:bidi="ar-SA"/>
    </w:rPr>
  </w:style>
  <w:style w:type="character" w:customStyle="1" w:styleId="305">
    <w:name w:val="HTML 预设格式 Char"/>
    <w:link w:val="60"/>
    <w:qFormat/>
    <w:uiPriority w:val="0"/>
    <w:rPr>
      <w:rFonts w:ascii="黑体" w:hAnsi="Courier New" w:eastAsia="黑体"/>
    </w:rPr>
  </w:style>
  <w:style w:type="character" w:customStyle="1" w:styleId="306">
    <w:name w:val="正文文本 2 Char1"/>
    <w:link w:val="59"/>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5"/>
    <w:link w:val="41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标题 7 Char"/>
    <w:link w:val="8"/>
    <w:qFormat/>
    <w:uiPriority w:val="0"/>
    <w:rPr>
      <w:b/>
      <w:bCs/>
      <w:kern w:val="2"/>
      <w:sz w:val="24"/>
      <w:szCs w:val="24"/>
    </w:rPr>
  </w:style>
  <w:style w:type="character" w:customStyle="1" w:styleId="312">
    <w:name w:val="正文文本缩进 2 Char"/>
    <w:link w:val="39"/>
    <w:qFormat/>
    <w:uiPriority w:val="0"/>
    <w:rPr>
      <w:rFonts w:ascii="宋体"/>
      <w:sz w:val="28"/>
    </w:rPr>
  </w:style>
  <w:style w:type="character" w:customStyle="1" w:styleId="313">
    <w:name w:val="Char Char5"/>
    <w:qFormat/>
    <w:uiPriority w:val="0"/>
    <w:rPr>
      <w:rFonts w:ascii="宋体" w:hAnsi="Courier New" w:eastAsia="宋体"/>
      <w:kern w:val="2"/>
      <w:sz w:val="21"/>
      <w:lang w:val="en-US" w:eastAsia="zh-CN"/>
    </w:rPr>
  </w:style>
  <w:style w:type="character" w:customStyle="1" w:styleId="314">
    <w:name w:val="脚注文本 Char"/>
    <w:link w:val="53"/>
    <w:qFormat/>
    <w:uiPriority w:val="0"/>
    <w:rPr>
      <w:color w:val="0000FF"/>
      <w:sz w:val="21"/>
    </w:rPr>
  </w:style>
  <w:style w:type="character" w:customStyle="1" w:styleId="315">
    <w:name w:val="称呼 Char1"/>
    <w:qFormat/>
    <w:uiPriority w:val="0"/>
    <w:rPr>
      <w:rFonts w:ascii="Times New Roman" w:hAnsi="Times New Roman" w:eastAsia="宋体" w:cs="Times New Roman"/>
      <w:szCs w:val="24"/>
    </w:rPr>
  </w:style>
  <w:style w:type="character" w:customStyle="1" w:styleId="316">
    <w:name w:val="正文1 Char"/>
    <w:qFormat/>
    <w:uiPriority w:val="0"/>
    <w:rPr>
      <w:rFonts w:ascii="宋体" w:eastAsia="宋体"/>
      <w:snapToGrid w:val="0"/>
      <w:color w:val="000000"/>
      <w:kern w:val="28"/>
      <w:sz w:val="28"/>
      <w:lang w:val="en-US" w:eastAsia="zh-CN" w:bidi="ar-SA"/>
    </w:rPr>
  </w:style>
  <w:style w:type="character" w:customStyle="1" w:styleId="317">
    <w:name w:val="正文缩进 Char1"/>
    <w:qFormat/>
    <w:uiPriority w:val="0"/>
    <w:rPr>
      <w:rFonts w:ascii="宋体" w:eastAsia="宋体"/>
      <w:snapToGrid w:val="0"/>
      <w:color w:val="000000"/>
      <w:kern w:val="28"/>
      <w:sz w:val="28"/>
      <w:lang w:val="en-US" w:eastAsia="zh-CN" w:bidi="ar-SA"/>
    </w:rPr>
  </w:style>
  <w:style w:type="character" w:customStyle="1" w:styleId="318">
    <w:name w:val="font21"/>
    <w:qFormat/>
    <w:uiPriority w:val="0"/>
    <w:rPr>
      <w:rFonts w:hint="eastAsia" w:ascii="宋体" w:hAnsi="宋体" w:eastAsia="宋体"/>
      <w:kern w:val="2"/>
      <w:sz w:val="28"/>
      <w:szCs w:val="28"/>
      <w:lang w:val="en-US" w:eastAsia="zh-CN" w:bidi="ar-SA"/>
    </w:rPr>
  </w:style>
  <w:style w:type="character" w:customStyle="1" w:styleId="319">
    <w:name w:val="Char Char26"/>
    <w:qFormat/>
    <w:uiPriority w:val="6"/>
    <w:rPr>
      <w:kern w:val="1"/>
      <w:sz w:val="21"/>
      <w:szCs w:val="24"/>
    </w:rPr>
  </w:style>
  <w:style w:type="character" w:customStyle="1" w:styleId="320">
    <w:name w:val="Item List Char"/>
    <w:link w:val="321"/>
    <w:qFormat/>
    <w:uiPriority w:val="0"/>
    <w:rPr>
      <w:rFonts w:ascii="Arial"/>
      <w:bCs/>
      <w:sz w:val="21"/>
      <w:szCs w:val="21"/>
      <w:lang w:val="en-US" w:eastAsia="zh-CN" w:bidi="ar-SA"/>
    </w:rPr>
  </w:style>
  <w:style w:type="paragraph" w:customStyle="1" w:styleId="321">
    <w:name w:val="Item List"/>
    <w:link w:val="32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qFormat/>
    <w:uiPriority w:val="0"/>
    <w:rPr>
      <w:rFonts w:ascii="Times New Roman" w:hAnsi="Times New Roman" w:eastAsia="宋体" w:cs="Times New Roman"/>
      <w:sz w:val="18"/>
      <w:szCs w:val="18"/>
    </w:rPr>
  </w:style>
  <w:style w:type="character" w:customStyle="1" w:styleId="323">
    <w:name w:val="纯文本 Char1"/>
    <w:link w:val="324"/>
    <w:qFormat/>
    <w:uiPriority w:val="0"/>
    <w:rPr>
      <w:rFonts w:ascii="宋体" w:hAnsi="Courier New"/>
    </w:rPr>
  </w:style>
  <w:style w:type="paragraph" w:customStyle="1" w:styleId="324">
    <w:name w:val="纯文本1"/>
    <w:basedOn w:val="1"/>
    <w:link w:val="323"/>
    <w:qFormat/>
    <w:uiPriority w:val="0"/>
    <w:pPr>
      <w:adjustRightInd/>
    </w:pPr>
    <w:rPr>
      <w:rFonts w:ascii="宋体" w:hAnsi="Courier New"/>
      <w:kern w:val="0"/>
      <w:sz w:val="20"/>
      <w:szCs w:val="20"/>
    </w:rPr>
  </w:style>
  <w:style w:type="character" w:customStyle="1" w:styleId="325">
    <w:name w:val="正文首行缩进 Char"/>
    <w:link w:val="64"/>
    <w:qFormat/>
    <w:uiPriority w:val="0"/>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Char2"/>
    <w:link w:val="5"/>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Char"/>
    <w:link w:val="22"/>
    <w:qFormat/>
    <w:uiPriority w:val="0"/>
    <w:rPr>
      <w:kern w:val="2"/>
      <w:sz w:val="21"/>
    </w:rPr>
  </w:style>
  <w:style w:type="character" w:customStyle="1" w:styleId="335">
    <w:name w:val="font3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仿宋_GB2312" w:eastAsia="仿宋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仿宋_GB2312" w:hAnsi="Courier New" w:eastAsia="仿宋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Char1"/>
    <w:link w:val="20"/>
    <w:qFormat/>
    <w:uiPriority w:val="0"/>
    <w:rPr>
      <w:kern w:val="2"/>
      <w:sz w:val="21"/>
      <w:szCs w:val="24"/>
    </w:rPr>
  </w:style>
  <w:style w:type="character" w:customStyle="1" w:styleId="349">
    <w:name w:val="签名 Char"/>
    <w:link w:val="45"/>
    <w:qFormat/>
    <w:uiPriority w:val="0"/>
    <w:rPr>
      <w:rFonts w:eastAsia="仿宋_GB2312"/>
      <w:sz w:val="24"/>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标题 4 字符"/>
    <w:qFormat/>
    <w:uiPriority w:val="9"/>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semiHidden/>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仿宋_GB2312" w:eastAsia="仿宋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仿宋_GB2312" w:eastAsia="仿宋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Char"/>
    <w:link w:val="9"/>
    <w:qFormat/>
    <w:uiPriority w:val="0"/>
    <w:rPr>
      <w:rFonts w:ascii="Arial" w:hAnsi="Arial" w:eastAsia="黑体"/>
      <w:kern w:val="2"/>
      <w:sz w:val="24"/>
      <w:szCs w:val="24"/>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正文文本缩进 3 Char"/>
    <w:link w:val="56"/>
    <w:qFormat/>
    <w:uiPriority w:val="0"/>
    <w:rPr>
      <w:kern w:val="2"/>
      <w:sz w:val="24"/>
    </w:rPr>
  </w:style>
  <w:style w:type="character" w:customStyle="1" w:styleId="380">
    <w:name w:val="日期 Char1"/>
    <w:semiHidden/>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页脚 Char2"/>
    <w:link w:val="42"/>
    <w:qFormat/>
    <w:locked/>
    <w:uiPriority w:val="99"/>
    <w:rPr>
      <w:kern w:val="2"/>
      <w:sz w:val="18"/>
      <w:szCs w:val="18"/>
    </w:rPr>
  </w:style>
  <w:style w:type="character" w:customStyle="1" w:styleId="388">
    <w:name w:val="Char Char36"/>
    <w:qFormat/>
    <w:uiPriority w:val="6"/>
    <w:rPr>
      <w:rFonts w:ascii="仿宋_GB2312" w:hAnsi="仿宋_GB2312" w:eastAsia="仿宋_GB2312" w:cs="Arial"/>
      <w:b/>
      <w:kern w:val="1"/>
      <w:sz w:val="32"/>
      <w:szCs w:val="32"/>
      <w:lang w:val="zh-CN" w:eastAsia="zh-CN" w:bidi="ar-SA"/>
    </w:rPr>
  </w:style>
  <w:style w:type="character" w:customStyle="1" w:styleId="389">
    <w:name w:val="Char Char61"/>
    <w:qFormat/>
    <w:uiPriority w:val="6"/>
    <w:rPr>
      <w:rFonts w:eastAsia="宋体"/>
      <w:kern w:val="2"/>
      <w:sz w:val="21"/>
      <w:szCs w:val="24"/>
      <w:lang w:val="en-US" w:eastAsia="zh-CN" w:bidi="ar-SA"/>
    </w:rPr>
  </w:style>
  <w:style w:type="character" w:customStyle="1" w:styleId="390">
    <w:name w:val="正文文字缩进 2 Char Char"/>
    <w:qFormat/>
    <w:uiPriority w:val="0"/>
    <w:rPr>
      <w:rFonts w:ascii="宋体"/>
      <w:sz w:val="28"/>
    </w:rPr>
  </w:style>
  <w:style w:type="character" w:customStyle="1" w:styleId="391">
    <w:name w:val="f141"/>
    <w:qFormat/>
    <w:uiPriority w:val="0"/>
    <w:rPr>
      <w:rFonts w:ascii="Tahoma" w:hAnsi="Tahoma" w:eastAsia="宋体"/>
      <w:b/>
      <w:kern w:val="2"/>
      <w:sz w:val="21"/>
      <w:szCs w:val="21"/>
      <w:lang w:val="en-US" w:eastAsia="zh-CN" w:bidi="ar-SA"/>
    </w:rPr>
  </w:style>
  <w:style w:type="character" w:customStyle="1" w:styleId="392">
    <w:name w:val="段落 Char Char"/>
    <w:link w:val="393"/>
    <w:qFormat/>
    <w:uiPriority w:val="0"/>
    <w:rPr>
      <w:rFonts w:ascii="宋体" w:hAnsi="宋体"/>
      <w:sz w:val="24"/>
    </w:rPr>
  </w:style>
  <w:style w:type="paragraph" w:customStyle="1" w:styleId="393">
    <w:name w:val="段落"/>
    <w:basedOn w:val="1"/>
    <w:link w:val="392"/>
    <w:qFormat/>
    <w:uiPriority w:val="0"/>
    <w:pPr>
      <w:adjustRightInd/>
      <w:spacing w:line="360" w:lineRule="auto"/>
      <w:ind w:firstLine="480" w:firstLineChars="200"/>
    </w:pPr>
    <w:rPr>
      <w:rFonts w:ascii="宋体" w:hAnsi="宋体"/>
      <w:kern w:val="0"/>
      <w:sz w:val="24"/>
      <w:szCs w:val="20"/>
    </w:rPr>
  </w:style>
  <w:style w:type="character" w:customStyle="1" w:styleId="394">
    <w:name w:val="标题 3 Char2"/>
    <w:qFormat/>
    <w:uiPriority w:val="0"/>
    <w:rPr>
      <w:rFonts w:eastAsia="宋体"/>
      <w:b/>
      <w:bCs/>
      <w:kern w:val="2"/>
      <w:sz w:val="32"/>
      <w:szCs w:val="32"/>
      <w:lang w:val="en-US" w:eastAsia="zh-CN" w:bidi="ar-SA"/>
    </w:rPr>
  </w:style>
  <w:style w:type="character" w:customStyle="1" w:styleId="395">
    <w:name w:val="apple-converted-space"/>
    <w:qFormat/>
    <w:uiPriority w:val="0"/>
  </w:style>
  <w:style w:type="character" w:customStyle="1" w:styleId="396">
    <w:name w:val="页眉 Char2"/>
    <w:link w:val="44"/>
    <w:qFormat/>
    <w:uiPriority w:val="99"/>
    <w:rPr>
      <w:kern w:val="2"/>
      <w:sz w:val="18"/>
      <w:szCs w:val="18"/>
    </w:rPr>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9"/>
    <w:rPr>
      <w:rFonts w:ascii="Arial" w:hAnsi="Arial" w:eastAsia="黑体" w:cs="Arial"/>
      <w:b/>
      <w:bCs/>
      <w:snapToGrid w:val="0"/>
      <w:kern w:val="44"/>
      <w:sz w:val="44"/>
      <w:szCs w:val="44"/>
    </w:rPr>
  </w:style>
  <w:style w:type="character" w:customStyle="1" w:styleId="425">
    <w:name w:val="style36"/>
    <w:basedOn w:val="72"/>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16"/>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5">
    <w:name w:val="gray6"/>
    <w:basedOn w:val="72"/>
    <w:qFormat/>
    <w:uiPriority w:val="0"/>
    <w:rPr>
      <w:rFonts w:ascii="Arial" w:hAnsi="Arial" w:eastAsia="黑体" w:cs="Arial"/>
      <w:snapToGrid w:val="0"/>
      <w:kern w:val="0"/>
      <w:szCs w:val="21"/>
    </w:rPr>
  </w:style>
  <w:style w:type="character" w:customStyle="1" w:styleId="436">
    <w:name w:val="hui"/>
    <w:basedOn w:val="72"/>
    <w:qFormat/>
    <w:uiPriority w:val="0"/>
    <w:rPr>
      <w:rFonts w:ascii="Arial" w:hAnsi="Arial" w:eastAsia="黑体" w:cs="Arial"/>
      <w:snapToGrid w:val="0"/>
      <w:kern w:val="0"/>
      <w:szCs w:val="21"/>
    </w:rPr>
  </w:style>
  <w:style w:type="character" w:customStyle="1" w:styleId="437">
    <w:name w:val="哈哈正文 Char Char"/>
    <w:qFormat/>
    <w:uiPriority w:val="0"/>
    <w:rPr>
      <w:rFonts w:ascii="宋体" w:hAnsi="宋体" w:eastAsia="宋体" w:cs="宋体"/>
      <w:kern w:val="2"/>
      <w:sz w:val="24"/>
      <w:lang w:val="en-US" w:eastAsia="zh-CN" w:bidi="ar-SA"/>
    </w:rPr>
  </w:style>
  <w:style w:type="paragraph" w:customStyle="1" w:styleId="438">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0">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5">
    <w:name w:val="标题4_自定义"/>
    <w:basedOn w:val="5"/>
    <w:qFormat/>
    <w:uiPriority w:val="0"/>
    <w:pPr>
      <w:adjustRightInd/>
      <w:spacing w:before="0" w:after="0" w:line="360" w:lineRule="auto"/>
    </w:pPr>
    <w:rPr>
      <w:rFonts w:ascii="Verdana" w:eastAsia="Verdana"/>
      <w:sz w:val="21"/>
      <w:lang w:val="en-US"/>
    </w:rPr>
  </w:style>
  <w:style w:type="paragraph" w:customStyle="1" w:styleId="446">
    <w:name w:val="正文 内标 序号标"/>
    <w:basedOn w:val="447"/>
    <w:qFormat/>
    <w:uiPriority w:val="0"/>
    <w:pPr>
      <w:tabs>
        <w:tab w:val="left" w:pos="0"/>
      </w:tabs>
      <w:adjustRightInd/>
      <w:spacing w:before="0"/>
      <w:ind w:firstLine="482"/>
    </w:pPr>
    <w:rPr>
      <w:rFonts w:ascii="微软雅黑" w:hAnsi="微软雅黑"/>
      <w:sz w:val="24"/>
      <w:szCs w:val="24"/>
    </w:rPr>
  </w:style>
  <w:style w:type="paragraph" w:customStyle="1" w:styleId="447">
    <w:name w:val="My正文"/>
    <w:basedOn w:val="1"/>
    <w:qFormat/>
    <w:uiPriority w:val="0"/>
    <w:pPr>
      <w:spacing w:before="120" w:line="360" w:lineRule="auto"/>
      <w:ind w:firstLine="567"/>
    </w:pPr>
    <w:rPr>
      <w:rFonts w:ascii="Arial" w:hAnsi="Arial"/>
      <w:sz w:val="20"/>
      <w:szCs w:val="20"/>
    </w:rPr>
  </w:style>
  <w:style w:type="paragraph" w:customStyle="1" w:styleId="44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1">
    <w:name w:val="修订2"/>
    <w:qFormat/>
    <w:uiPriority w:val="0"/>
    <w:rPr>
      <w:rFonts w:ascii="Times New Roman" w:hAnsi="Times New Roman" w:eastAsia="宋体" w:cs="Times New Roman"/>
      <w:kern w:val="2"/>
      <w:sz w:val="21"/>
      <w:lang w:val="en-US" w:eastAsia="zh-CN" w:bidi="ar-SA"/>
    </w:rPr>
  </w:style>
  <w:style w:type="paragraph" w:customStyle="1" w:styleId="45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4">
    <w:name w:val="文章标题"/>
    <w:next w:val="45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5">
    <w:name w:val="封面公司名"/>
    <w:qFormat/>
    <w:uiPriority w:val="0"/>
    <w:pPr>
      <w:jc w:val="center"/>
    </w:pPr>
    <w:rPr>
      <w:rFonts w:ascii="Arial" w:hAnsi="Arial" w:eastAsia="楷体_GB2312" w:cs="宋体"/>
      <w:bCs/>
      <w:kern w:val="2"/>
      <w:sz w:val="28"/>
      <w:lang w:val="en-US" w:eastAsia="zh-CN" w:bidi="ar-SA"/>
    </w:rPr>
  </w:style>
  <w:style w:type="paragraph" w:customStyle="1" w:styleId="456">
    <w:name w:val="Char1 Char Char Char5"/>
    <w:basedOn w:val="1"/>
    <w:qFormat/>
    <w:uiPriority w:val="0"/>
    <w:pPr>
      <w:adjustRightInd/>
      <w:ind w:firstLine="200" w:firstLineChars="200"/>
    </w:pPr>
    <w:rPr>
      <w:rFonts w:ascii="Tahoma" w:hAnsi="Tahoma"/>
      <w:sz w:val="24"/>
      <w:szCs w:val="20"/>
    </w:rPr>
  </w:style>
  <w:style w:type="paragraph" w:customStyle="1" w:styleId="4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9">
    <w:name w:val="Char Char Char Char Char Char Char Char"/>
    <w:basedOn w:val="1"/>
    <w:qFormat/>
    <w:uiPriority w:val="0"/>
    <w:pPr>
      <w:tabs>
        <w:tab w:val="left" w:pos="360"/>
      </w:tabs>
    </w:pPr>
    <w:rPr>
      <w:sz w:val="24"/>
      <w:szCs w:val="20"/>
    </w:rPr>
  </w:style>
  <w:style w:type="paragraph" w:customStyle="1" w:styleId="460">
    <w:name w:val="Char Char11 Char Char Char"/>
    <w:basedOn w:val="1"/>
    <w:qFormat/>
    <w:uiPriority w:val="0"/>
    <w:pPr>
      <w:spacing w:line="360" w:lineRule="auto"/>
    </w:pPr>
    <w:rPr>
      <w:szCs w:val="20"/>
    </w:rPr>
  </w:style>
  <w:style w:type="paragraph" w:customStyle="1" w:styleId="46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3">
    <w:name w:val="样式3"/>
    <w:basedOn w:val="464"/>
    <w:qFormat/>
    <w:uiPriority w:val="0"/>
    <w:pPr>
      <w:tabs>
        <w:tab w:val="left" w:pos="2790"/>
        <w:tab w:val="left" w:pos="4230"/>
      </w:tabs>
      <w:spacing w:beforeLines="100"/>
      <w:jc w:val="left"/>
    </w:pPr>
  </w:style>
  <w:style w:type="paragraph" w:customStyle="1" w:styleId="46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5">
    <w:name w:val="Char Char1 Char Char1 Char Char1"/>
    <w:basedOn w:val="1"/>
    <w:qFormat/>
    <w:uiPriority w:val="0"/>
    <w:pPr>
      <w:tabs>
        <w:tab w:val="left" w:pos="840"/>
      </w:tabs>
      <w:ind w:left="840" w:hanging="420"/>
    </w:pPr>
    <w:rPr>
      <w:rFonts w:ascii="Tahoma" w:hAnsi="Tahoma"/>
      <w:sz w:val="24"/>
    </w:rPr>
  </w:style>
  <w:style w:type="paragraph" w:customStyle="1" w:styleId="46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7">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9">
    <w:name w:val="正文21"/>
    <w:basedOn w:val="1"/>
    <w:qFormat/>
    <w:uiPriority w:val="0"/>
    <w:pPr>
      <w:adjustRightInd/>
      <w:spacing w:before="156" w:line="360" w:lineRule="auto"/>
      <w:ind w:firstLine="510" w:firstLineChars="200"/>
    </w:pPr>
    <w:rPr>
      <w:sz w:val="24"/>
      <w:szCs w:val="20"/>
    </w:rPr>
  </w:style>
  <w:style w:type="paragraph" w:customStyle="1" w:styleId="470">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2">
    <w:name w:val="Char1"/>
    <w:basedOn w:val="1"/>
    <w:qFormat/>
    <w:uiPriority w:val="0"/>
    <w:rPr>
      <w:rFonts w:ascii="仿宋_GB2312" w:eastAsia="仿宋_GB2312"/>
      <w:b/>
      <w:sz w:val="32"/>
      <w:szCs w:val="32"/>
    </w:rPr>
  </w:style>
  <w:style w:type="paragraph" w:customStyle="1" w:styleId="47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7">
    <w:name w:val="6级标题"/>
    <w:basedOn w:val="478"/>
    <w:qFormat/>
    <w:uiPriority w:val="0"/>
    <w:pPr>
      <w:keepNext/>
      <w:tabs>
        <w:tab w:val="left" w:pos="360"/>
      </w:tabs>
      <w:outlineLvl w:val="5"/>
    </w:pPr>
  </w:style>
  <w:style w:type="paragraph" w:customStyle="1" w:styleId="478">
    <w:name w:val="5级标题"/>
    <w:basedOn w:val="479"/>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9">
    <w:name w:val="4级标题"/>
    <w:basedOn w:val="8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0">
    <w:name w:val="样式 正文文本缩进 + 段前: 2 字符"/>
    <w:basedOn w:val="1"/>
    <w:qFormat/>
    <w:uiPriority w:val="0"/>
    <w:pPr>
      <w:adjustRightInd/>
      <w:ind w:left="420" w:leftChars="200"/>
      <w:jc w:val="left"/>
    </w:pPr>
    <w:rPr>
      <w:sz w:val="28"/>
      <w:szCs w:val="20"/>
      <w:lang w:eastAsia="zh-TW"/>
    </w:rPr>
  </w:style>
  <w:style w:type="paragraph" w:customStyle="1" w:styleId="481">
    <w:name w:val="Char2 Char Char"/>
    <w:basedOn w:val="1"/>
    <w:qFormat/>
    <w:uiPriority w:val="0"/>
    <w:pPr>
      <w:adjustRightInd/>
    </w:pPr>
    <w:rPr>
      <w:rFonts w:ascii="Tahoma" w:hAnsi="Tahoma"/>
      <w:sz w:val="24"/>
      <w:szCs w:val="20"/>
    </w:rPr>
  </w:style>
  <w:style w:type="paragraph" w:customStyle="1" w:styleId="482">
    <w:name w:val="_Style 11"/>
    <w:basedOn w:val="1"/>
    <w:qFormat/>
    <w:uiPriority w:val="34"/>
    <w:pPr>
      <w:adjustRightInd/>
      <w:ind w:firstLine="420" w:firstLineChars="200"/>
    </w:pPr>
    <w:rPr>
      <w:rFonts w:eastAsia="仿宋_GB2312"/>
      <w:sz w:val="28"/>
    </w:rPr>
  </w:style>
  <w:style w:type="paragraph" w:customStyle="1" w:styleId="48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4">
    <w:name w:val="Char Char Char"/>
    <w:basedOn w:val="1"/>
    <w:qFormat/>
    <w:uiPriority w:val="0"/>
    <w:rPr>
      <w:rFonts w:ascii="Tahoma" w:hAnsi="Tahoma"/>
      <w:sz w:val="24"/>
      <w:szCs w:val="20"/>
    </w:rPr>
  </w:style>
  <w:style w:type="paragraph" w:customStyle="1" w:styleId="485">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7">
    <w:name w:val="No Spacing"/>
    <w:basedOn w:val="1"/>
    <w:link w:val="936"/>
    <w:qFormat/>
    <w:uiPriority w:val="99"/>
    <w:rPr>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3"/>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4"/>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6"/>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4"/>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next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5"/>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Lines="50"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83"/>
    <w:next w:val="83"/>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83"/>
    <w:next w:val="83"/>
    <w:qFormat/>
    <w:uiPriority w:val="0"/>
    <w:rPr>
      <w:rFonts w:ascii="宋体" w:eastAsia="宋体" w:cs="Times New Roman"/>
      <w:color w:val="auto"/>
    </w:rPr>
  </w:style>
  <w:style w:type="paragraph" w:customStyle="1" w:styleId="55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9"/>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3"/>
    <w:next w:val="1"/>
    <w:qFormat/>
    <w:uiPriority w:val="0"/>
    <w:pPr>
      <w:tabs>
        <w:tab w:val="left" w:pos="578"/>
        <w:tab w:val="left" w:pos="900"/>
        <w:tab w:val="left" w:pos="1440"/>
      </w:tabs>
      <w:ind w:left="1440" w:hanging="360"/>
    </w:pPr>
    <w:rPr>
      <w:rFonts w:ascii="仿宋" w:eastAsia="仿宋" w:cs="宋体"/>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2"/>
    <w:qFormat/>
    <w:uiPriority w:val="0"/>
    <w:pPr>
      <w:tabs>
        <w:tab w:val="left" w:pos="840"/>
      </w:tabs>
      <w:adjustRightInd/>
      <w:ind w:left="840" w:hanging="420"/>
    </w:pPr>
  </w:style>
  <w:style w:type="paragraph" w:customStyle="1" w:styleId="63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4"/>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Lines="0" w:afterLines="0"/>
      <w:ind w:left="1680"/>
      <w:outlineLvl w:val="2"/>
    </w:pPr>
  </w:style>
  <w:style w:type="paragraph" w:customStyle="1" w:styleId="662">
    <w:name w:val="章标题"/>
    <w:next w:val="64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5"/>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Lines="50"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9"/>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4"/>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4"/>
    <w:next w:val="56"/>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4"/>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59"/>
    <w:next w:val="644"/>
    <w:qFormat/>
    <w:uiPriority w:val="0"/>
    <w:pPr>
      <w:tabs>
        <w:tab w:val="left" w:pos="2940"/>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首行缩进"/>
    <w:basedOn w:val="1"/>
    <w:qFormat/>
    <w:uiPriority w:val="0"/>
    <w:pPr>
      <w:spacing w:line="360" w:lineRule="auto"/>
      <w:ind w:firstLine="480" w:firstLineChars="200"/>
    </w:pPr>
    <w:rPr>
      <w:rFonts w:ascii="宋体"/>
      <w:sz w:val="24"/>
      <w:szCs w:val="20"/>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28"/>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9">
    <w:name w:val="正文 内标"/>
    <w:basedOn w:val="754"/>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7">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8">
    <w:name w:val="Char Char1 Char Char Char Char Char Char"/>
    <w:basedOn w:val="1"/>
    <w:qFormat/>
    <w:uiPriority w:val="0"/>
    <w:rPr>
      <w:rFonts w:ascii="仿宋_GB2312" w:eastAsia="仿宋_GB2312"/>
      <w:b/>
      <w:sz w:val="32"/>
      <w:szCs w:val="20"/>
    </w:rPr>
  </w:style>
  <w:style w:type="paragraph" w:customStyle="1" w:styleId="8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0">
    <w:name w:val="Char Char1 Char Char Char Char Char Char2"/>
    <w:basedOn w:val="1"/>
    <w:qFormat/>
    <w:uiPriority w:val="0"/>
    <w:rPr>
      <w:rFonts w:ascii="仿宋_GB2312" w:eastAsia="仿宋_GB2312"/>
      <w:b/>
      <w:sz w:val="32"/>
      <w:szCs w:val="20"/>
    </w:rPr>
  </w:style>
  <w:style w:type="paragraph" w:customStyle="1" w:styleId="85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0">
    <w:name w:val="Char31"/>
    <w:basedOn w:val="1"/>
    <w:qFormat/>
    <w:uiPriority w:val="0"/>
    <w:pPr>
      <w:adjustRightInd/>
    </w:pPr>
    <w:rPr>
      <w:rFonts w:ascii="仿宋_GB2312" w:eastAsia="仿宋_GB2312"/>
      <w:b/>
      <w:sz w:val="32"/>
      <w:szCs w:val="32"/>
    </w:rPr>
  </w:style>
  <w:style w:type="paragraph" w:customStyle="1" w:styleId="86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4">
    <w:name w:val="Char Char1"/>
    <w:basedOn w:val="1"/>
    <w:qFormat/>
    <w:uiPriority w:val="0"/>
    <w:pPr>
      <w:widowControl/>
      <w:spacing w:after="160" w:line="240" w:lineRule="exact"/>
      <w:jc w:val="left"/>
    </w:pPr>
    <w:rPr>
      <w:rFonts w:eastAsia="仿宋_GB2312"/>
      <w:sz w:val="28"/>
    </w:rPr>
  </w:style>
  <w:style w:type="paragraph" w:customStyle="1" w:styleId="865">
    <w:name w:val="Char21"/>
    <w:basedOn w:val="1"/>
    <w:qFormat/>
    <w:uiPriority w:val="0"/>
    <w:pPr>
      <w:adjustRightInd/>
      <w:ind w:firstLine="200" w:firstLineChars="200"/>
    </w:pPr>
    <w:rPr>
      <w:rFonts w:ascii="仿宋_GB2312" w:eastAsia="仿宋_GB2312"/>
      <w:b/>
      <w:sz w:val="32"/>
      <w:szCs w:val="32"/>
    </w:rPr>
  </w:style>
  <w:style w:type="paragraph" w:customStyle="1" w:styleId="866">
    <w:name w:val="列表段落1"/>
    <w:basedOn w:val="1"/>
    <w:qFormat/>
    <w:uiPriority w:val="34"/>
    <w:pPr>
      <w:adjustRightInd/>
      <w:ind w:right="238" w:firstLine="420"/>
    </w:pPr>
    <w:rPr>
      <w:rFonts w:ascii="Calibri" w:hAnsi="Calibri"/>
      <w:sz w:val="24"/>
    </w:rPr>
  </w:style>
  <w:style w:type="paragraph" w:customStyle="1" w:styleId="867">
    <w:name w:val="Char Char110"/>
    <w:basedOn w:val="1"/>
    <w:qFormat/>
    <w:uiPriority w:val="6"/>
    <w:pPr>
      <w:spacing w:line="360" w:lineRule="auto"/>
    </w:pPr>
    <w:rPr>
      <w:rFonts w:ascii="Tahoma" w:hAnsi="Tahoma"/>
      <w:sz w:val="24"/>
      <w:szCs w:val="20"/>
    </w:rPr>
  </w:style>
  <w:style w:type="paragraph" w:customStyle="1" w:styleId="8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2">
    <w:name w:val="Char Char Char Char Char Char Char Char Char Char Char Char1 Char2"/>
    <w:basedOn w:val="1"/>
    <w:qFormat/>
    <w:uiPriority w:val="0"/>
    <w:rPr>
      <w:rFonts w:ascii="Tahoma" w:hAnsi="Tahoma" w:cs="仿宋_GB2312"/>
      <w:sz w:val="24"/>
      <w:szCs w:val="20"/>
    </w:rPr>
  </w:style>
  <w:style w:type="paragraph" w:customStyle="1" w:styleId="8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7">
    <w:name w:val="_Style 12"/>
    <w:basedOn w:val="19"/>
    <w:qFormat/>
    <w:uiPriority w:val="0"/>
    <w:pPr>
      <w:snapToGrid w:val="0"/>
      <w:spacing w:line="360" w:lineRule="auto"/>
    </w:pPr>
  </w:style>
  <w:style w:type="paragraph" w:customStyle="1" w:styleId="8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0">
    <w:name w:val="_Style 94"/>
    <w:basedOn w:val="1"/>
    <w:next w:val="82"/>
    <w:qFormat/>
    <w:uiPriority w:val="34"/>
    <w:pPr>
      <w:adjustRightInd/>
      <w:spacing w:line="360" w:lineRule="auto"/>
      <w:ind w:firstLine="200" w:firstLineChars="200"/>
    </w:pPr>
    <w:rPr>
      <w:rFonts w:ascii="Calibri" w:hAnsi="Calibri"/>
      <w:sz w:val="28"/>
      <w:szCs w:val="20"/>
    </w:rPr>
  </w:style>
  <w:style w:type="paragraph" w:customStyle="1" w:styleId="8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4">
    <w:name w:val="3级标题"/>
    <w:basedOn w:val="676"/>
    <w:qFormat/>
    <w:uiPriority w:val="0"/>
    <w:pPr>
      <w:outlineLvl w:val="2"/>
    </w:pPr>
  </w:style>
  <w:style w:type="paragraph" w:customStyle="1" w:styleId="8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6">
    <w:name w:val="Char1 Char Char Char3"/>
    <w:basedOn w:val="1"/>
    <w:qFormat/>
    <w:uiPriority w:val="0"/>
    <w:pPr>
      <w:adjustRightInd/>
      <w:ind w:firstLine="200" w:firstLineChars="200"/>
    </w:pPr>
    <w:rPr>
      <w:rFonts w:ascii="Tahoma" w:hAnsi="Tahoma"/>
      <w:sz w:val="24"/>
      <w:szCs w:val="20"/>
    </w:rPr>
  </w:style>
  <w:style w:type="paragraph" w:customStyle="1" w:styleId="8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8">
    <w:name w:val="MM Empty"/>
    <w:basedOn w:val="1"/>
    <w:qFormat/>
    <w:uiPriority w:val="0"/>
    <w:pPr>
      <w:adjustRightInd/>
    </w:pPr>
  </w:style>
  <w:style w:type="paragraph" w:customStyle="1" w:styleId="889">
    <w:name w:val="Char24"/>
    <w:basedOn w:val="1"/>
    <w:qFormat/>
    <w:uiPriority w:val="0"/>
    <w:rPr>
      <w:rFonts w:ascii="仿宋_GB2312" w:eastAsia="仿宋_GB2312"/>
      <w:b/>
      <w:sz w:val="32"/>
      <w:szCs w:val="32"/>
    </w:rPr>
  </w:style>
  <w:style w:type="paragraph" w:customStyle="1" w:styleId="890">
    <w:name w:val="正文箭头"/>
    <w:basedOn w:val="542"/>
    <w:qFormat/>
    <w:uiPriority w:val="0"/>
  </w:style>
  <w:style w:type="paragraph" w:customStyle="1" w:styleId="891">
    <w:name w:val="U_编号2"/>
    <w:basedOn w:val="1"/>
    <w:qFormat/>
    <w:uiPriority w:val="0"/>
    <w:pPr>
      <w:tabs>
        <w:tab w:val="left" w:pos="785"/>
      </w:tabs>
      <w:adjustRightInd/>
      <w:spacing w:beforeLines="10" w:afterLines="10" w:line="300" w:lineRule="auto"/>
    </w:pPr>
    <w:rPr>
      <w:sz w:val="24"/>
    </w:rPr>
  </w:style>
  <w:style w:type="paragraph" w:customStyle="1" w:styleId="8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4">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5">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6">
    <w:name w:val="_Style 1"/>
    <w:basedOn w:val="1"/>
    <w:qFormat/>
    <w:uiPriority w:val="34"/>
    <w:pPr>
      <w:adjustRightInd/>
      <w:ind w:firstLine="420" w:firstLineChars="200"/>
    </w:pPr>
    <w:rPr>
      <w:rFonts w:eastAsia="仿宋_GB2312"/>
      <w:sz w:val="28"/>
    </w:rPr>
  </w:style>
  <w:style w:type="paragraph" w:customStyle="1" w:styleId="897">
    <w:name w:val="表格 内容"/>
    <w:basedOn w:val="733"/>
    <w:qFormat/>
    <w:uiPriority w:val="0"/>
    <w:rPr>
      <w:b w:val="0"/>
      <w:sz w:val="20"/>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6"/>
    <w:next w:val="1"/>
    <w:qFormat/>
    <w:uiPriority w:val="0"/>
    <w:pPr>
      <w:tabs>
        <w:tab w:val="left" w:pos="1080"/>
      </w:tabs>
      <w:ind w:left="1080" w:hanging="1080"/>
    </w:pPr>
  </w:style>
  <w:style w:type="paragraph" w:customStyle="1" w:styleId="900">
    <w:name w:val="数字标题1"/>
    <w:basedOn w:val="2"/>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7"/>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6"/>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locked/>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尾注文本 Char"/>
    <w:link w:val="40"/>
    <w:qFormat/>
    <w:uiPriority w:val="0"/>
    <w:rPr>
      <w:kern w:val="2"/>
      <w:sz w:val="21"/>
      <w:szCs w:val="24"/>
      <w:lang w:val="zh-CN"/>
    </w:rPr>
  </w:style>
  <w:style w:type="character" w:customStyle="1" w:styleId="936">
    <w:name w:val="无间隔 Char"/>
    <w:link w:val="487"/>
    <w:qFormat/>
    <w:uiPriority w:val="99"/>
    <w:rPr>
      <w:kern w:val="2"/>
      <w:sz w:val="21"/>
      <w:szCs w:val="22"/>
    </w:rPr>
  </w:style>
  <w:style w:type="character" w:customStyle="1" w:styleId="937">
    <w:name w:val="标准文本 Char Char"/>
    <w:link w:val="938"/>
    <w:qFormat/>
    <w:uiPriority w:val="0"/>
    <w:rPr>
      <w:rFonts w:cs="宋体"/>
      <w:kern w:val="2"/>
      <w:sz w:val="24"/>
    </w:rPr>
  </w:style>
  <w:style w:type="paragraph" w:customStyle="1" w:styleId="938">
    <w:name w:val="标准文本"/>
    <w:basedOn w:val="1"/>
    <w:link w:val="937"/>
    <w:qFormat/>
    <w:uiPriority w:val="0"/>
    <w:pPr>
      <w:adjustRightInd/>
      <w:spacing w:line="360" w:lineRule="auto"/>
      <w:ind w:firstLine="480" w:firstLineChars="200"/>
    </w:pPr>
    <w:rPr>
      <w:rFonts w:cs="宋体"/>
      <w:sz w:val="24"/>
      <w:szCs w:val="20"/>
    </w:rPr>
  </w:style>
  <w:style w:type="character" w:customStyle="1" w:styleId="939">
    <w:name w:val="Char Char213"/>
    <w:qFormat/>
    <w:uiPriority w:val="0"/>
    <w:rPr>
      <w:rFonts w:eastAsia="Century Gothic"/>
      <w:b/>
      <w:bCs/>
      <w:kern w:val="44"/>
      <w:sz w:val="32"/>
      <w:szCs w:val="44"/>
      <w:lang w:val="en-US" w:eastAsia="zh-CN" w:bidi="ar-SA"/>
    </w:rPr>
  </w:style>
  <w:style w:type="character" w:customStyle="1" w:styleId="940">
    <w:name w:val="apple-style-span"/>
    <w:qFormat/>
    <w:uiPriority w:val="0"/>
    <w:rPr>
      <w:rFonts w:ascii="Arial" w:hAnsi="Arial" w:eastAsia="黑体" w:cs="Arial"/>
      <w:snapToGrid w:val="0"/>
      <w:kern w:val="0"/>
      <w:szCs w:val="21"/>
    </w:rPr>
  </w:style>
  <w:style w:type="character" w:customStyle="1" w:styleId="941">
    <w:name w:val="15"/>
    <w:basedOn w:val="72"/>
    <w:qFormat/>
    <w:uiPriority w:val="0"/>
    <w:rPr>
      <w:rFonts w:hint="default" w:ascii="Calibri" w:hAnsi="Calibri"/>
      <w:color w:val="0000FF"/>
      <w:u w:val="single"/>
    </w:rPr>
  </w:style>
  <w:style w:type="character" w:customStyle="1" w:styleId="942">
    <w:name w:val="16"/>
    <w:qFormat/>
    <w:uiPriority w:val="0"/>
    <w:rPr>
      <w:rFonts w:hint="eastAsia" w:ascii="宋体" w:hAnsi="宋体" w:eastAsia="宋体"/>
      <w:color w:val="000000"/>
      <w:sz w:val="20"/>
      <w:szCs w:val="20"/>
    </w:rPr>
  </w:style>
  <w:style w:type="character" w:customStyle="1" w:styleId="943">
    <w:name w:val="edui-unclickable"/>
    <w:qFormat/>
    <w:uiPriority w:val="0"/>
    <w:rPr>
      <w:color w:val="808080"/>
    </w:rPr>
  </w:style>
  <w:style w:type="character" w:customStyle="1" w:styleId="944">
    <w:name w:val="tpc_content1"/>
    <w:qFormat/>
    <w:uiPriority w:val="0"/>
    <w:rPr>
      <w:sz w:val="20"/>
      <w:szCs w:val="20"/>
    </w:rPr>
  </w:style>
  <w:style w:type="character" w:customStyle="1" w:styleId="945">
    <w:name w:val="正文文本缩进 字符"/>
    <w:qFormat/>
    <w:uiPriority w:val="0"/>
    <w:rPr>
      <w:rFonts w:ascii="Century Gothic" w:hAnsi="Century Gothic" w:eastAsia="Century Gothic"/>
      <w:kern w:val="2"/>
      <w:sz w:val="24"/>
      <w:lang w:val="en-US" w:eastAsia="zh-CN" w:bidi="ar-SA"/>
    </w:rPr>
  </w:style>
  <w:style w:type="character" w:customStyle="1" w:styleId="946">
    <w:name w:val="正文文本 2 字符"/>
    <w:qFormat/>
    <w:uiPriority w:val="0"/>
    <w:rPr>
      <w:rFonts w:ascii="Arial" w:hAnsi="Arial" w:eastAsia="宋体"/>
      <w:kern w:val="2"/>
      <w:sz w:val="24"/>
      <w:szCs w:val="24"/>
      <w:lang w:val="en-US" w:eastAsia="zh-CN" w:bidi="ar-SA"/>
    </w:rPr>
  </w:style>
  <w:style w:type="character" w:customStyle="1" w:styleId="947">
    <w:name w:val="edui-clickable2"/>
    <w:qFormat/>
    <w:uiPriority w:val="0"/>
    <w:rPr>
      <w:color w:val="0000FF"/>
      <w:u w:val="single"/>
    </w:rPr>
  </w:style>
  <w:style w:type="character" w:customStyle="1" w:styleId="948">
    <w:name w:val="style1"/>
    <w:qFormat/>
    <w:uiPriority w:val="0"/>
    <w:rPr>
      <w:rFonts w:ascii="Arial" w:hAnsi="Arial" w:eastAsia="黑体" w:cs="Arial"/>
      <w:snapToGrid w:val="0"/>
      <w:kern w:val="0"/>
      <w:szCs w:val="21"/>
    </w:rPr>
  </w:style>
  <w:style w:type="character" w:customStyle="1" w:styleId="949">
    <w:name w:val="zbggtop11 style5"/>
    <w:qFormat/>
    <w:uiPriority w:val="0"/>
    <w:rPr>
      <w:rFonts w:ascii="Arial" w:hAnsi="Arial" w:eastAsia="黑体" w:cs="Arial"/>
      <w:snapToGrid w:val="0"/>
      <w:kern w:val="0"/>
      <w:szCs w:val="21"/>
    </w:rPr>
  </w:style>
  <w:style w:type="character" w:customStyle="1" w:styleId="950">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1">
    <w:name w:val="bulletintext1"/>
    <w:qFormat/>
    <w:uiPriority w:val="0"/>
    <w:rPr>
      <w:color w:val="000000"/>
      <w:sz w:val="18"/>
    </w:rPr>
  </w:style>
  <w:style w:type="paragraph" w:customStyle="1" w:styleId="952">
    <w:name w:val="_Style 947"/>
    <w:basedOn w:val="1"/>
    <w:next w:val="82"/>
    <w:qFormat/>
    <w:uiPriority w:val="34"/>
    <w:pPr>
      <w:adjustRightInd/>
      <w:ind w:firstLine="420" w:firstLineChars="200"/>
    </w:pPr>
  </w:style>
  <w:style w:type="paragraph" w:customStyle="1" w:styleId="953">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4">
    <w:name w:val="纯文本2"/>
    <w:basedOn w:val="1"/>
    <w:qFormat/>
    <w:uiPriority w:val="0"/>
    <w:pPr>
      <w:adjustRightInd/>
      <w:snapToGrid w:val="0"/>
      <w:jc w:val="left"/>
    </w:pPr>
    <w:rPr>
      <w:rFonts w:ascii="Century Gothic" w:hAnsi="楷体_GB2312" w:eastAsia="Century Gothic"/>
      <w:szCs w:val="20"/>
    </w:rPr>
  </w:style>
  <w:style w:type="paragraph" w:customStyle="1" w:styleId="955">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6">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7">
    <w:name w:val="节"/>
    <w:basedOn w:val="3"/>
    <w:qFormat/>
    <w:uiPriority w:val="0"/>
    <w:pPr>
      <w:tabs>
        <w:tab w:val="clear" w:pos="432"/>
      </w:tabs>
      <w:spacing w:before="160" w:after="160" w:line="720" w:lineRule="exact"/>
      <w:ind w:left="0" w:firstLine="0"/>
      <w:jc w:val="center"/>
    </w:pPr>
    <w:rPr>
      <w:rFonts w:ascii="Arial" w:hAnsi="Arial" w:eastAsia="楷体"/>
      <w:color w:val="000000"/>
      <w:spacing w:val="14"/>
      <w:kern w:val="24"/>
      <w:sz w:val="28"/>
      <w:szCs w:val="20"/>
      <w:lang w:val="en-US"/>
    </w:rPr>
  </w:style>
  <w:style w:type="paragraph" w:customStyle="1" w:styleId="958">
    <w:name w:val="Blockquote"/>
    <w:basedOn w:val="1"/>
    <w:qFormat/>
    <w:uiPriority w:val="0"/>
    <w:pPr>
      <w:autoSpaceDE w:val="0"/>
      <w:autoSpaceDN w:val="0"/>
      <w:spacing w:before="100" w:after="100"/>
      <w:ind w:left="360" w:right="360"/>
      <w:jc w:val="left"/>
    </w:pPr>
    <w:rPr>
      <w:kern w:val="0"/>
      <w:sz w:val="24"/>
      <w:szCs w:val="20"/>
    </w:rPr>
  </w:style>
  <w:style w:type="paragraph" w:customStyle="1" w:styleId="959">
    <w:name w:val="p1"/>
    <w:basedOn w:val="1"/>
    <w:qFormat/>
    <w:uiPriority w:val="0"/>
    <w:pPr>
      <w:widowControl/>
      <w:adjustRightInd/>
      <w:jc w:val="left"/>
    </w:pPr>
    <w:rPr>
      <w:rFonts w:ascii=".PingFang SC" w:eastAsia=".PingFang SC"/>
      <w:color w:val="454545"/>
      <w:kern w:val="0"/>
      <w:sz w:val="18"/>
      <w:szCs w:val="18"/>
    </w:rPr>
  </w:style>
  <w:style w:type="paragraph" w:customStyle="1" w:styleId="960">
    <w:name w:val="Table Paragraph"/>
    <w:basedOn w:val="1"/>
    <w:qFormat/>
    <w:uiPriority w:val="0"/>
    <w:pPr>
      <w:adjustRightInd/>
      <w:jc w:val="left"/>
    </w:pPr>
    <w:rPr>
      <w:rFonts w:ascii="Calibri" w:hAnsi="Calibri"/>
      <w:kern w:val="0"/>
      <w:sz w:val="22"/>
      <w:szCs w:val="22"/>
      <w:lang w:eastAsia="en-US"/>
    </w:rPr>
  </w:style>
  <w:style w:type="paragraph" w:customStyle="1" w:styleId="96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2">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4">
    <w:name w:val="ksfind_class_select1"/>
    <w:basedOn w:val="72"/>
    <w:qFormat/>
    <w:uiPriority w:val="0"/>
    <w:rPr>
      <w:color w:val="000000"/>
      <w:shd w:val="clear" w:color="auto" w:fill="EFD200"/>
    </w:rPr>
  </w:style>
  <w:style w:type="character" w:customStyle="1" w:styleId="965">
    <w:name w:val="font71"/>
    <w:qFormat/>
    <w:uiPriority w:val="0"/>
    <w:rPr>
      <w:rFonts w:hint="eastAsia" w:ascii="宋体" w:hAnsi="宋体" w:eastAsia="宋体" w:cs="宋体"/>
      <w:color w:val="000000"/>
      <w:sz w:val="22"/>
      <w:szCs w:val="22"/>
      <w:u w:val="none"/>
    </w:rPr>
  </w:style>
  <w:style w:type="character" w:customStyle="1" w:styleId="966">
    <w:name w:val="font91"/>
    <w:qFormat/>
    <w:uiPriority w:val="0"/>
    <w:rPr>
      <w:rFonts w:hint="eastAsia" w:ascii="仿宋" w:hAnsi="仿宋" w:eastAsia="仿宋" w:cs="仿宋"/>
      <w:color w:val="000000"/>
      <w:sz w:val="22"/>
      <w:szCs w:val="22"/>
      <w:u w:val="none"/>
    </w:rPr>
  </w:style>
  <w:style w:type="paragraph" w:customStyle="1" w:styleId="967">
    <w:name w:val="Body text|1"/>
    <w:basedOn w:val="1"/>
    <w:qFormat/>
    <w:uiPriority w:val="0"/>
    <w:pPr>
      <w:spacing w:line="391" w:lineRule="auto"/>
      <w:ind w:firstLine="400"/>
    </w:pPr>
    <w:rPr>
      <w:rFonts w:ascii="宋体" w:hAnsi="宋体" w:cs="宋体"/>
      <w:lang w:val="zh-TW" w:eastAsia="zh-TW" w:bidi="zh-TW"/>
    </w:rPr>
  </w:style>
  <w:style w:type="character" w:customStyle="1" w:styleId="968">
    <w:name w:val="font101"/>
    <w:basedOn w:val="72"/>
    <w:qFormat/>
    <w:uiPriority w:val="0"/>
    <w:rPr>
      <w:rFonts w:hint="eastAsia" w:ascii="宋体" w:hAnsi="宋体" w:eastAsia="宋体" w:cs="宋体"/>
      <w:color w:val="FF0000"/>
      <w:sz w:val="20"/>
      <w:szCs w:val="20"/>
      <w:u w:val="none"/>
    </w:rPr>
  </w:style>
  <w:style w:type="paragraph" w:customStyle="1" w:styleId="969">
    <w:name w:val="封面编号"/>
    <w:basedOn w:val="1"/>
    <w:qFormat/>
    <w:uiPriority w:val="0"/>
    <w:pPr>
      <w:spacing w:line="360" w:lineRule="auto"/>
      <w:jc w:val="center"/>
    </w:pPr>
    <w:rPr>
      <w:rFonts w:ascii="黑体" w:hAnsi="宋体" w:eastAsia="黑体" w:cs="宋体"/>
      <w:b/>
      <w:bCs/>
      <w:sz w:val="38"/>
      <w:szCs w:val="20"/>
    </w:rPr>
  </w:style>
  <w:style w:type="table" w:customStyle="1" w:styleId="970">
    <w:name w:val="Table Normal"/>
    <w:semiHidden/>
    <w:unhideWhenUsed/>
    <w:qFormat/>
    <w:uiPriority w:val="0"/>
    <w:tblPr>
      <w:tblCellMar>
        <w:top w:w="0" w:type="dxa"/>
        <w:left w:w="0" w:type="dxa"/>
        <w:bottom w:w="0" w:type="dxa"/>
        <w:right w:w="0" w:type="dxa"/>
      </w:tblCellMar>
    </w:tblPr>
  </w:style>
  <w:style w:type="character" w:customStyle="1" w:styleId="971">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972">
    <w:name w:val="null3"/>
    <w:qFormat/>
    <w:uiPriority w:val="0"/>
    <w:rPr>
      <w:rFonts w:hint="eastAsia" w:ascii="Calibri" w:hAnsi="Calibri" w:eastAsia="宋体" w:cs="Times New Roman"/>
      <w:kern w:val="0"/>
      <w:sz w:val="20"/>
      <w:szCs w:val="20"/>
      <w:lang w:val="en-US" w:eastAsia="zh-Hans" w:bidi="ar-SA"/>
    </w:rPr>
  </w:style>
  <w:style w:type="paragraph" w:customStyle="1" w:styleId="973">
    <w:name w:val="Normal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4">
    <w:name w:val="列出段落"/>
    <w:basedOn w:val="1"/>
    <w:qFormat/>
    <w:uiPriority w:val="0"/>
    <w:pPr>
      <w:ind w:firstLine="420" w:firstLineChars="200"/>
    </w:pPr>
    <w:rPr>
      <w:rFonts w:ascii="Calibri" w:hAnsi="Calibri"/>
      <w:szCs w:val="22"/>
    </w:rPr>
  </w:style>
  <w:style w:type="paragraph" w:customStyle="1" w:styleId="975">
    <w:name w:val="列出段落6"/>
    <w:basedOn w:val="1"/>
    <w:qFormat/>
    <w:uiPriority w:val="0"/>
    <w:pPr>
      <w:widowControl w:val="0"/>
      <w:adjustRightInd w:val="0"/>
      <w:spacing w:after="0"/>
      <w:ind w:firstLine="420" w:firstLineChars="200"/>
      <w:jc w:val="both"/>
    </w:pPr>
    <w:rPr>
      <w:rFonts w:ascii="Calibri" w:hAnsi="Calibri" w:eastAsia="宋体" w:cs="Times New Roman"/>
      <w:kern w:val="2"/>
      <w:sz w:val="21"/>
      <w:szCs w:val="22"/>
    </w:rPr>
  </w:style>
  <w:style w:type="character" w:customStyle="1" w:styleId="976">
    <w:name w:val="normaltextrun"/>
    <w:basedOn w:val="7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50</Pages>
  <Words>22267</Words>
  <Characters>23432</Characters>
  <Lines>153</Lines>
  <Paragraphs>43</Paragraphs>
  <TotalTime>22</TotalTime>
  <ScaleCrop>false</ScaleCrop>
  <LinksUpToDate>false</LinksUpToDate>
  <CharactersWithSpaces>24557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2023-11-09T15:59:00Z</dcterms:created>
  <dc:creator>玥</dc:creator>
  <cp:lastModifiedBy>Mrs12</cp:lastModifiedBy>
  <cp:lastPrinted>2024-08-07T01:00:00Z</cp:lastPrinted>
  <dcterms:modified xsi:type="dcterms:W3CDTF">2025-02-11T09:04:43Z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6D1AE5091DCA49A49451C6D64BFFB7D9_13</vt:lpwstr>
  </property>
  <property fmtid="{D5CDD505-2E9C-101B-9397-08002B2CF9AE}" pid="5" name="commondata">
    <vt:lpwstr>eyJoZGlkIjoiMzdkYTNjODAzOWEyZTBjZWI2OWE0Y2U2MTNhOGNiNmUifQ==</vt:lpwstr>
  </property>
  <property fmtid="{D5CDD505-2E9C-101B-9397-08002B2CF9AE}" pid="6" name="KSOTemplateDocerSaveRecord">
    <vt:lpwstr>eyJoZGlkIjoiOTYxMzU5ZTBhMGI3ZmVlNmFlYjllMzUzYjRhMjc2YTAiLCJ1c2VySWQiOiI0MDY1NDE2MzkifQ==</vt:lpwstr>
  </property>
</Properties>
</file>