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796A2C">
      <w:pPr>
        <w:shd w:val="clear"/>
        <w:spacing w:line="360" w:lineRule="auto"/>
        <w:jc w:val="center"/>
        <w:rPr>
          <w:rFonts w:asciiTheme="minorEastAsia" w:hAnsiTheme="minorEastAsia" w:eastAsiaTheme="minorEastAsia" w:cstheme="minorEastAsia"/>
          <w:color w:val="auto"/>
          <w:sz w:val="48"/>
          <w:szCs w:val="48"/>
          <w:highlight w:val="none"/>
        </w:rPr>
      </w:pPr>
    </w:p>
    <w:p w14:paraId="75D1C79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_GB2312"/>
          <w:color w:val="auto"/>
          <w:sz w:val="44"/>
          <w:szCs w:val="44"/>
          <w:highlight w:val="none"/>
          <w:lang w:eastAsia="zh-CN"/>
        </w:rPr>
      </w:pPr>
      <w:r>
        <w:rPr>
          <w:rFonts w:hint="eastAsia" w:ascii="仿宋" w:hAnsi="仿宋" w:eastAsia="仿宋" w:cs="仿宋_GB2312"/>
          <w:color w:val="auto"/>
          <w:sz w:val="44"/>
          <w:szCs w:val="44"/>
          <w:highlight w:val="none"/>
          <w:lang w:eastAsia="zh-CN"/>
        </w:rPr>
        <w:t>宁波市奉化区粮食购销有限公司2025年零星工程维修服务采购项目</w:t>
      </w:r>
    </w:p>
    <w:p w14:paraId="62B45FC4">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default"/>
          <w:color w:val="auto"/>
          <w:highlight w:val="none"/>
        </w:rPr>
      </w:pPr>
    </w:p>
    <w:p w14:paraId="2ABF6B42">
      <w:pPr>
        <w:keepNext w:val="0"/>
        <w:keepLines w:val="0"/>
        <w:pageBreakBefore w:val="0"/>
        <w:widowControl w:val="0"/>
        <w:kinsoku/>
        <w:wordWrap/>
        <w:overflowPunct/>
        <w:topLinePunct w:val="0"/>
        <w:autoSpaceDE/>
        <w:autoSpaceDN/>
        <w:bidi w:val="0"/>
        <w:adjustRightInd/>
        <w:spacing w:line="240" w:lineRule="auto"/>
        <w:jc w:val="center"/>
        <w:textAlignment w:val="auto"/>
        <w:rPr>
          <w:rFonts w:ascii="仿宋" w:hAnsi="仿宋" w:eastAsia="仿宋" w:cs="仿宋_GB2312"/>
          <w:color w:val="auto"/>
          <w:sz w:val="48"/>
          <w:szCs w:val="48"/>
          <w:highlight w:val="none"/>
        </w:rPr>
      </w:pPr>
      <w:r>
        <w:rPr>
          <w:rFonts w:hint="eastAsia" w:ascii="仿宋" w:hAnsi="仿宋" w:eastAsia="仿宋" w:cs="仿宋"/>
          <w:b/>
          <w:bCs/>
          <w:color w:val="auto"/>
          <w:sz w:val="72"/>
          <w:szCs w:val="72"/>
          <w:highlight w:val="none"/>
          <w:lang w:val="en-US" w:eastAsia="zh-CN"/>
        </w:rPr>
        <w:t>竞争性磋商采购</w:t>
      </w:r>
      <w:r>
        <w:rPr>
          <w:rFonts w:hint="eastAsia" w:ascii="仿宋" w:hAnsi="仿宋" w:eastAsia="仿宋" w:cs="仿宋"/>
          <w:b/>
          <w:bCs/>
          <w:color w:val="auto"/>
          <w:sz w:val="72"/>
          <w:szCs w:val="72"/>
          <w:highlight w:val="none"/>
        </w:rPr>
        <w:t>文件</w:t>
      </w:r>
    </w:p>
    <w:p w14:paraId="072A85AE">
      <w:pPr>
        <w:keepNext w:val="0"/>
        <w:keepLines w:val="0"/>
        <w:pageBreakBefore w:val="0"/>
        <w:widowControl w:val="0"/>
        <w:kinsoku/>
        <w:wordWrap/>
        <w:overflowPunct/>
        <w:topLinePunct w:val="0"/>
        <w:autoSpaceDE/>
        <w:autoSpaceDN/>
        <w:bidi w:val="0"/>
        <w:adjustRightInd/>
        <w:spacing w:line="240" w:lineRule="auto"/>
        <w:jc w:val="center"/>
        <w:textAlignment w:val="auto"/>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（电子招投标）</w:t>
      </w:r>
    </w:p>
    <w:p w14:paraId="3A12B0B8">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rPr>
        <w:t>编号</w:t>
      </w:r>
      <w:r>
        <w:rPr>
          <w:rFonts w:ascii="仿宋" w:hAnsi="仿宋" w:eastAsia="仿宋" w:cs="仿宋_GB2312"/>
          <w:color w:val="auto"/>
          <w:sz w:val="30"/>
          <w:szCs w:val="30"/>
          <w:highlight w:val="none"/>
        </w:rPr>
        <w:t>:</w:t>
      </w:r>
      <w:r>
        <w:rPr>
          <w:rFonts w:hint="eastAsia" w:eastAsia="仿宋"/>
          <w:color w:val="auto"/>
          <w:highlight w:val="none"/>
          <w:lang w:eastAsia="zh-CN"/>
        </w:rPr>
        <w:t>FHGQZB(2025)121D</w:t>
      </w:r>
    </w:p>
    <w:p w14:paraId="2E876D0A">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ascii="仿宋" w:hAnsi="仿宋" w:eastAsia="仿宋" w:cs="仿宋_GB2312"/>
          <w:color w:val="auto"/>
          <w:sz w:val="24"/>
          <w:highlight w:val="none"/>
        </w:rPr>
      </w:pPr>
    </w:p>
    <w:p w14:paraId="1252FD39">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2932CE36">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68896CF4">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3833866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71380857">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77C1EE4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18A88FD8">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仿宋" w:hAnsi="仿宋" w:eastAsia="仿宋" w:cs="仿宋_GB2312"/>
          <w:color w:val="auto"/>
          <w:sz w:val="24"/>
          <w:highlight w:val="none"/>
          <w:lang w:eastAsia="zh-CN"/>
        </w:rPr>
      </w:pPr>
    </w:p>
    <w:p w14:paraId="3F68F105">
      <w:pPr>
        <w:spacing w:line="360" w:lineRule="auto"/>
        <w:jc w:val="center"/>
        <w:rPr>
          <w:rFonts w:hint="eastAsia" w:ascii="仿宋" w:hAnsi="仿宋" w:eastAsia="仿宋" w:cs="仿宋_GB2312"/>
          <w:color w:val="auto"/>
          <w:sz w:val="32"/>
          <w:szCs w:val="32"/>
          <w:highlight w:val="none"/>
          <w:lang w:val="en-US" w:eastAsia="zh-CN"/>
        </w:rPr>
      </w:pPr>
    </w:p>
    <w:p w14:paraId="1BE03B1C">
      <w:pPr>
        <w:spacing w:line="360" w:lineRule="auto"/>
        <w:jc w:val="center"/>
        <w:rPr>
          <w:rFonts w:hint="eastAsia" w:ascii="仿宋" w:hAnsi="仿宋" w:eastAsia="仿宋" w:cs="仿宋_GB2312"/>
          <w:color w:val="auto"/>
          <w:sz w:val="32"/>
          <w:szCs w:val="32"/>
          <w:highlight w:val="none"/>
          <w:lang w:val="en-US" w:eastAsia="zh-CN"/>
        </w:rPr>
      </w:pPr>
    </w:p>
    <w:p w14:paraId="59218263">
      <w:pPr>
        <w:spacing w:line="360" w:lineRule="auto"/>
        <w:jc w:val="center"/>
        <w:rPr>
          <w:rFonts w:hint="eastAsia" w:ascii="仿宋" w:hAnsi="仿宋" w:eastAsia="仿宋" w:cs="仿宋_GB2312"/>
          <w:color w:val="auto"/>
          <w:sz w:val="32"/>
          <w:szCs w:val="32"/>
          <w:highlight w:val="none"/>
          <w:lang w:val="en-US" w:eastAsia="zh-CN"/>
        </w:rPr>
      </w:pPr>
    </w:p>
    <w:p w14:paraId="6EAD9CEE">
      <w:pPr>
        <w:spacing w:line="360" w:lineRule="auto"/>
        <w:jc w:val="center"/>
        <w:rPr>
          <w:rFonts w:hint="eastAsia" w:ascii="仿宋" w:hAnsi="仿宋" w:eastAsia="仿宋" w:cs="仿宋_GB2312"/>
          <w:color w:val="auto"/>
          <w:sz w:val="32"/>
          <w:szCs w:val="32"/>
          <w:highlight w:val="none"/>
          <w:lang w:eastAsia="zh-CN"/>
        </w:rPr>
      </w:pPr>
      <w:r>
        <w:rPr>
          <w:rFonts w:hint="eastAsia" w:ascii="仿宋" w:hAnsi="仿宋" w:eastAsia="仿宋" w:cs="仿宋_GB2312"/>
          <w:color w:val="auto"/>
          <w:sz w:val="32"/>
          <w:szCs w:val="32"/>
          <w:highlight w:val="none"/>
          <w:lang w:val="en-US" w:eastAsia="zh-CN"/>
        </w:rPr>
        <w:t>采购</w:t>
      </w:r>
      <w:r>
        <w:rPr>
          <w:rFonts w:hint="eastAsia" w:ascii="仿宋" w:hAnsi="仿宋" w:eastAsia="仿宋" w:cs="仿宋_GB2312"/>
          <w:color w:val="auto"/>
          <w:sz w:val="32"/>
          <w:szCs w:val="32"/>
          <w:highlight w:val="none"/>
        </w:rPr>
        <w:t>人：</w:t>
      </w:r>
      <w:r>
        <w:rPr>
          <w:rFonts w:hint="eastAsia" w:ascii="仿宋" w:hAnsi="仿宋" w:eastAsia="仿宋" w:cs="仿宋_GB2312"/>
          <w:color w:val="auto"/>
          <w:sz w:val="32"/>
          <w:szCs w:val="32"/>
          <w:highlight w:val="none"/>
          <w:lang w:eastAsia="zh-CN"/>
        </w:rPr>
        <w:t>宁波市奉化区粮食购销有限公司</w:t>
      </w:r>
    </w:p>
    <w:p w14:paraId="44CB2F12">
      <w:pPr>
        <w:spacing w:line="360" w:lineRule="auto"/>
        <w:jc w:val="center"/>
        <w:rPr>
          <w:rFonts w:ascii="仿宋" w:hAnsi="仿宋" w:eastAsia="仿宋" w:cs="仿宋_GB2312"/>
          <w:bCs/>
          <w:color w:val="auto"/>
          <w:sz w:val="32"/>
          <w:szCs w:val="32"/>
          <w:highlight w:val="none"/>
        </w:rPr>
      </w:pPr>
      <w:r>
        <w:rPr>
          <w:rFonts w:hint="eastAsia" w:ascii="仿宋" w:hAnsi="仿宋" w:eastAsia="仿宋" w:cs="仿宋_GB2312"/>
          <w:color w:val="auto"/>
          <w:sz w:val="32"/>
          <w:szCs w:val="32"/>
          <w:highlight w:val="none"/>
        </w:rPr>
        <w:t xml:space="preserve">  采购代理机构：宁波名诚招标代理有限公司</w:t>
      </w:r>
    </w:p>
    <w:p w14:paraId="0DA6054D">
      <w:pPr>
        <w:snapToGrid w:val="0"/>
        <w:spacing w:line="360" w:lineRule="auto"/>
        <w:jc w:val="center"/>
        <w:rPr>
          <w:rFonts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二〇二</w:t>
      </w:r>
      <w:r>
        <w:rPr>
          <w:rFonts w:hint="eastAsia" w:ascii="仿宋_GB2312" w:hAnsi="仿宋_GB2312" w:eastAsia="仿宋_GB2312" w:cs="仿宋_GB2312"/>
          <w:bCs/>
          <w:color w:val="auto"/>
          <w:sz w:val="32"/>
          <w:szCs w:val="32"/>
          <w:highlight w:val="none"/>
          <w:lang w:val="en-US" w:eastAsia="zh-CN"/>
        </w:rPr>
        <w:t>五</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val="en-US" w:eastAsia="zh-CN"/>
        </w:rPr>
        <w:t>四</w:t>
      </w:r>
      <w:r>
        <w:rPr>
          <w:rFonts w:hint="eastAsia" w:ascii="仿宋_GB2312" w:hAnsi="仿宋_GB2312" w:eastAsia="仿宋_GB2312" w:cs="仿宋_GB2312"/>
          <w:bCs/>
          <w:color w:val="auto"/>
          <w:sz w:val="32"/>
          <w:szCs w:val="32"/>
          <w:highlight w:val="none"/>
        </w:rPr>
        <w:t>月</w:t>
      </w:r>
    </w:p>
    <w:p w14:paraId="3BE7596D">
      <w:pPr>
        <w:tabs>
          <w:tab w:val="left" w:pos="1577"/>
        </w:tabs>
        <w:spacing w:line="360" w:lineRule="auto"/>
        <w:rPr>
          <w:rFonts w:hint="eastAsia" w:ascii="仿宋" w:hAnsi="仿宋" w:eastAsia="仿宋" w:cs="仿宋_GB2312"/>
          <w:color w:val="auto"/>
          <w:sz w:val="32"/>
          <w:szCs w:val="32"/>
          <w:highlight w:val="none"/>
          <w:lang w:eastAsia="zh-CN"/>
        </w:rPr>
        <w:sectPr>
          <w:footerReference r:id="rId3" w:type="default"/>
          <w:pgSz w:w="11906" w:h="16838"/>
          <w:pgMar w:top="1240" w:right="1706" w:bottom="1440" w:left="1600" w:header="851" w:footer="992" w:gutter="0"/>
          <w:cols w:space="720" w:num="1"/>
          <w:docGrid w:type="lines" w:linePitch="312" w:charSpace="0"/>
        </w:sectPr>
      </w:pPr>
    </w:p>
    <w:p w14:paraId="2EC1A78E">
      <w:pPr>
        <w:shd w:val="clear"/>
        <w:spacing w:line="360" w:lineRule="auto"/>
        <w:jc w:val="center"/>
        <w:rPr>
          <w:rFonts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0AF88AC8">
      <w:pPr>
        <w:shd w:val="clear"/>
        <w:spacing w:line="360" w:lineRule="auto"/>
        <w:rPr>
          <w:rFonts w:asciiTheme="minorEastAsia" w:hAnsiTheme="minorEastAsia" w:eastAsiaTheme="minorEastAsia" w:cstheme="minorEastAsia"/>
          <w:color w:val="auto"/>
          <w:sz w:val="32"/>
          <w:szCs w:val="32"/>
          <w:highlight w:val="none"/>
        </w:rPr>
      </w:pPr>
    </w:p>
    <w:p w14:paraId="0D29924E">
      <w:pPr>
        <w:shd w:val="clear"/>
        <w:spacing w:line="360" w:lineRule="auto"/>
        <w:rPr>
          <w:rFonts w:asciiTheme="minorEastAsia" w:hAnsiTheme="minorEastAsia" w:eastAsiaTheme="minorEastAsia" w:cstheme="minorEastAsia"/>
          <w:color w:val="auto"/>
          <w:sz w:val="32"/>
          <w:szCs w:val="32"/>
          <w:highlight w:val="none"/>
        </w:rPr>
      </w:pPr>
    </w:p>
    <w:p w14:paraId="41A41A39">
      <w:pPr>
        <w:shd w:val="clear"/>
        <w:spacing w:line="360" w:lineRule="auto"/>
        <w:ind w:firstLine="732" w:firstLineChars="229"/>
        <w:rPr>
          <w:rFonts w:asciiTheme="minorEastAsia" w:hAnsiTheme="minorEastAsia" w:eastAsiaTheme="minorEastAsia" w:cstheme="minorEastAsia"/>
          <w:color w:val="auto"/>
          <w:sz w:val="32"/>
          <w:szCs w:val="32"/>
          <w:highlight w:val="none"/>
        </w:rPr>
      </w:pPr>
      <w:bookmarkStart w:id="0" w:name="_Hlt91233176"/>
      <w:bookmarkEnd w:id="0"/>
      <w:r>
        <w:rPr>
          <w:rFonts w:hint="eastAsia" w:asciiTheme="minorEastAsia" w:hAnsiTheme="minorEastAsia" w:eastAsiaTheme="minorEastAsia" w:cstheme="minorEastAsia"/>
          <w:color w:val="auto"/>
          <w:sz w:val="32"/>
          <w:szCs w:val="32"/>
          <w:highlight w:val="none"/>
        </w:rPr>
        <w:t>第一部分  竞争性磋商公告</w:t>
      </w:r>
    </w:p>
    <w:p w14:paraId="53480C2F">
      <w:pPr>
        <w:shd w:val="clea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响应须知</w:t>
      </w:r>
    </w:p>
    <w:p w14:paraId="046FE768">
      <w:pPr>
        <w:shd w:val="clea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采购需求</w:t>
      </w:r>
    </w:p>
    <w:p w14:paraId="24E2BE74">
      <w:pPr>
        <w:shd w:val="clea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评审办法</w:t>
      </w:r>
    </w:p>
    <w:p w14:paraId="1D78EDDD">
      <w:pPr>
        <w:shd w:val="clear"/>
        <w:spacing w:line="360" w:lineRule="auto"/>
        <w:ind w:firstLine="732" w:firstLineChars="229"/>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合同文本</w:t>
      </w:r>
    </w:p>
    <w:p w14:paraId="2B142A53">
      <w:pPr>
        <w:shd w:val="clear"/>
        <w:spacing w:line="360" w:lineRule="auto"/>
        <w:ind w:firstLine="732" w:firstLineChars="229"/>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612EEF54">
      <w:pPr>
        <w:shd w:val="clear"/>
        <w:spacing w:line="360" w:lineRule="auto"/>
        <w:ind w:firstLine="549" w:firstLineChars="229"/>
        <w:rPr>
          <w:rFonts w:asciiTheme="minorEastAsia" w:hAnsiTheme="minorEastAsia" w:eastAsiaTheme="minorEastAsia" w:cstheme="minorEastAsia"/>
          <w:color w:val="auto"/>
          <w:sz w:val="24"/>
          <w:highlight w:val="none"/>
        </w:rPr>
      </w:pPr>
    </w:p>
    <w:p w14:paraId="1A071206">
      <w:pPr>
        <w:shd w:val="clear"/>
        <w:spacing w:line="360" w:lineRule="auto"/>
        <w:ind w:firstLine="549" w:firstLineChars="229"/>
        <w:rPr>
          <w:rFonts w:asciiTheme="minorEastAsia" w:hAnsiTheme="minorEastAsia" w:eastAsiaTheme="minorEastAsia" w:cstheme="minorEastAsia"/>
          <w:color w:val="auto"/>
          <w:sz w:val="24"/>
          <w:highlight w:val="none"/>
        </w:rPr>
      </w:pPr>
    </w:p>
    <w:p w14:paraId="6A4DA78C">
      <w:pPr>
        <w:shd w:val="clear"/>
        <w:spacing w:line="360" w:lineRule="auto"/>
        <w:ind w:firstLine="549" w:firstLineChars="229"/>
        <w:rPr>
          <w:rFonts w:asciiTheme="minorEastAsia" w:hAnsiTheme="minorEastAsia" w:eastAsiaTheme="minorEastAsia" w:cstheme="minorEastAsia"/>
          <w:color w:val="auto"/>
          <w:sz w:val="24"/>
          <w:highlight w:val="none"/>
        </w:rPr>
      </w:pPr>
    </w:p>
    <w:p w14:paraId="333DC5B6">
      <w:pPr>
        <w:shd w:val="clear"/>
        <w:spacing w:line="360" w:lineRule="auto"/>
        <w:ind w:firstLine="549" w:firstLineChars="229"/>
        <w:rPr>
          <w:rFonts w:asciiTheme="minorEastAsia" w:hAnsiTheme="minorEastAsia" w:eastAsiaTheme="minorEastAsia" w:cstheme="minorEastAsia"/>
          <w:color w:val="auto"/>
          <w:sz w:val="24"/>
          <w:highlight w:val="none"/>
        </w:rPr>
      </w:pPr>
    </w:p>
    <w:p w14:paraId="19105F22">
      <w:pPr>
        <w:shd w:val="clear"/>
        <w:spacing w:line="360" w:lineRule="auto"/>
        <w:ind w:firstLine="549" w:firstLineChars="229"/>
        <w:rPr>
          <w:rFonts w:asciiTheme="minorEastAsia" w:hAnsiTheme="minorEastAsia" w:eastAsiaTheme="minorEastAsia" w:cstheme="minorEastAsia"/>
          <w:color w:val="auto"/>
          <w:sz w:val="24"/>
          <w:highlight w:val="none"/>
        </w:rPr>
      </w:pPr>
    </w:p>
    <w:p w14:paraId="09B11E61">
      <w:pPr>
        <w:shd w:val="clear"/>
        <w:spacing w:line="360" w:lineRule="auto"/>
        <w:ind w:firstLine="549" w:firstLineChars="229"/>
        <w:rPr>
          <w:rFonts w:asciiTheme="minorEastAsia" w:hAnsiTheme="minorEastAsia" w:eastAsiaTheme="minorEastAsia" w:cstheme="minorEastAsia"/>
          <w:color w:val="auto"/>
          <w:sz w:val="24"/>
          <w:highlight w:val="none"/>
        </w:rPr>
      </w:pPr>
    </w:p>
    <w:p w14:paraId="37B18BE7">
      <w:pPr>
        <w:shd w:val="clear"/>
        <w:spacing w:line="360" w:lineRule="auto"/>
        <w:ind w:firstLine="549" w:firstLineChars="229"/>
        <w:rPr>
          <w:rFonts w:asciiTheme="minorEastAsia" w:hAnsiTheme="minorEastAsia" w:eastAsiaTheme="minorEastAsia" w:cstheme="minorEastAsia"/>
          <w:color w:val="auto"/>
          <w:sz w:val="24"/>
          <w:highlight w:val="none"/>
        </w:rPr>
      </w:pPr>
    </w:p>
    <w:p w14:paraId="4591E279">
      <w:pPr>
        <w:shd w:val="clear"/>
        <w:spacing w:line="360" w:lineRule="auto"/>
        <w:ind w:firstLine="549" w:firstLineChars="229"/>
        <w:rPr>
          <w:rFonts w:asciiTheme="minorEastAsia" w:hAnsiTheme="minorEastAsia" w:eastAsiaTheme="minorEastAsia" w:cstheme="minorEastAsia"/>
          <w:color w:val="auto"/>
          <w:sz w:val="24"/>
          <w:highlight w:val="none"/>
        </w:rPr>
      </w:pPr>
    </w:p>
    <w:p w14:paraId="002CDE18">
      <w:pPr>
        <w:shd w:val="clear"/>
        <w:spacing w:line="360" w:lineRule="auto"/>
        <w:ind w:firstLine="549" w:firstLineChars="229"/>
        <w:rPr>
          <w:rFonts w:asciiTheme="minorEastAsia" w:hAnsiTheme="minorEastAsia" w:eastAsiaTheme="minorEastAsia" w:cstheme="minorEastAsia"/>
          <w:color w:val="auto"/>
          <w:sz w:val="24"/>
          <w:highlight w:val="none"/>
        </w:rPr>
      </w:pPr>
    </w:p>
    <w:p w14:paraId="3242F813">
      <w:pPr>
        <w:shd w:val="clear"/>
        <w:spacing w:line="360" w:lineRule="auto"/>
        <w:ind w:firstLine="549" w:firstLineChars="229"/>
        <w:rPr>
          <w:rFonts w:asciiTheme="minorEastAsia" w:hAnsiTheme="minorEastAsia" w:eastAsiaTheme="minorEastAsia" w:cstheme="minorEastAsia"/>
          <w:color w:val="auto"/>
          <w:sz w:val="24"/>
          <w:highlight w:val="none"/>
        </w:rPr>
      </w:pPr>
    </w:p>
    <w:p w14:paraId="7207D6F2">
      <w:pPr>
        <w:shd w:val="clear"/>
        <w:spacing w:line="360" w:lineRule="auto"/>
        <w:ind w:firstLine="549" w:firstLineChars="229"/>
        <w:rPr>
          <w:rFonts w:asciiTheme="minorEastAsia" w:hAnsiTheme="minorEastAsia" w:eastAsiaTheme="minorEastAsia" w:cstheme="minorEastAsia"/>
          <w:color w:val="auto"/>
          <w:sz w:val="24"/>
          <w:highlight w:val="none"/>
        </w:rPr>
      </w:pPr>
    </w:p>
    <w:p w14:paraId="35306423">
      <w:pPr>
        <w:shd w:val="clear"/>
        <w:spacing w:line="360" w:lineRule="auto"/>
        <w:ind w:firstLine="549" w:firstLineChars="229"/>
        <w:rPr>
          <w:rFonts w:asciiTheme="minorEastAsia" w:hAnsiTheme="minorEastAsia" w:eastAsiaTheme="minorEastAsia" w:cstheme="minorEastAsia"/>
          <w:color w:val="auto"/>
          <w:sz w:val="24"/>
          <w:highlight w:val="none"/>
        </w:rPr>
      </w:pPr>
    </w:p>
    <w:p w14:paraId="43FABCBE">
      <w:pPr>
        <w:shd w:val="clear"/>
        <w:spacing w:line="360" w:lineRule="auto"/>
        <w:ind w:firstLine="480" w:firstLineChars="229"/>
        <w:rPr>
          <w:rFonts w:hint="eastAsia"/>
          <w:color w:val="auto"/>
          <w:highlight w:val="none"/>
          <w:lang w:eastAsia="zh-CN"/>
        </w:rPr>
      </w:pPr>
    </w:p>
    <w:p w14:paraId="54E53ECB">
      <w:pPr>
        <w:shd w:val="clear"/>
        <w:spacing w:line="360" w:lineRule="auto"/>
        <w:jc w:val="center"/>
        <w:outlineLvl w:val="0"/>
        <w:rPr>
          <w:rFonts w:asciiTheme="minorEastAsia" w:hAnsiTheme="minorEastAsia" w:eastAsiaTheme="minorEastAsia" w:cstheme="minorEastAsia"/>
          <w:b/>
          <w:color w:val="auto"/>
          <w:sz w:val="24"/>
          <w:highlight w:val="none"/>
        </w:rPr>
      </w:pPr>
      <w:bookmarkStart w:id="1" w:name="第一部分"/>
      <w:r>
        <w:rPr>
          <w:rFonts w:hint="eastAsia" w:asciiTheme="minorEastAsia" w:hAnsiTheme="minorEastAsia" w:eastAsiaTheme="minorEastAsia" w:cstheme="minorEastAsia"/>
          <w:b/>
          <w:color w:val="auto"/>
          <w:sz w:val="36"/>
          <w:szCs w:val="36"/>
          <w:highlight w:val="none"/>
        </w:rPr>
        <w:br w:type="page"/>
      </w:r>
      <w:bookmarkEnd w:id="1"/>
      <w:bookmarkStart w:id="2" w:name="_Hlt74728647"/>
      <w:bookmarkEnd w:id="2"/>
      <w:bookmarkStart w:id="3" w:name="_Hlt74729822"/>
      <w:bookmarkEnd w:id="3"/>
      <w:bookmarkStart w:id="4" w:name="_Hlt74649545"/>
      <w:bookmarkEnd w:id="4"/>
      <w:bookmarkStart w:id="5" w:name="_Hlt74707423"/>
      <w:bookmarkEnd w:id="5"/>
      <w:r>
        <w:rPr>
          <w:rFonts w:hint="eastAsia" w:asciiTheme="minorEastAsia" w:hAnsiTheme="minorEastAsia" w:eastAsiaTheme="minorEastAsia" w:cstheme="minorEastAsia"/>
          <w:b/>
          <w:color w:val="auto"/>
          <w:sz w:val="36"/>
          <w:szCs w:val="20"/>
          <w:highlight w:val="none"/>
        </w:rPr>
        <w:t xml:space="preserve">第一部分 </w:t>
      </w:r>
      <w:r>
        <w:rPr>
          <w:rFonts w:hint="eastAsia" w:asciiTheme="minorEastAsia" w:hAnsiTheme="minorEastAsia" w:eastAsiaTheme="minorEastAsia" w:cstheme="minorEastAsia"/>
          <w:b/>
          <w:color w:val="auto"/>
          <w:sz w:val="36"/>
          <w:szCs w:val="20"/>
          <w:highlight w:val="none"/>
          <w:lang w:val="en-US" w:eastAsia="zh-CN"/>
        </w:rPr>
        <w:t xml:space="preserve"> </w:t>
      </w:r>
      <w:r>
        <w:rPr>
          <w:rFonts w:hint="eastAsia" w:asciiTheme="minorEastAsia" w:hAnsiTheme="minorEastAsia" w:eastAsiaTheme="minorEastAsia" w:cstheme="minorEastAsia"/>
          <w:b/>
          <w:color w:val="auto"/>
          <w:sz w:val="36"/>
          <w:szCs w:val="20"/>
          <w:highlight w:val="none"/>
        </w:rPr>
        <w:t>竞争性磋商公告</w:t>
      </w:r>
    </w:p>
    <w:p w14:paraId="09759A38">
      <w:pPr>
        <w:pBdr>
          <w:top w:val="single" w:color="auto" w:sz="4" w:space="1"/>
          <w:left w:val="single" w:color="auto" w:sz="4" w:space="4"/>
          <w:bottom w:val="single" w:color="auto" w:sz="4" w:space="1"/>
          <w:right w:val="single" w:color="auto" w:sz="4" w:space="4"/>
        </w:pBd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项目概况</w:t>
      </w:r>
    </w:p>
    <w:p w14:paraId="7A5C6FB5">
      <w:pPr>
        <w:pBdr>
          <w:top w:val="single" w:color="auto" w:sz="4" w:space="1"/>
          <w:left w:val="single" w:color="auto" w:sz="4" w:space="4"/>
          <w:bottom w:val="single" w:color="auto" w:sz="4" w:space="1"/>
          <w:right w:val="single" w:color="auto" w:sz="4" w:space="4"/>
        </w:pBdr>
        <w:shd w:val="clear"/>
        <w:spacing w:line="44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lang w:eastAsia="zh-CN"/>
        </w:rPr>
        <w:t>宁波市奉化区粮食购销有限公司2025年零星工程维修服务采购项目</w:t>
      </w:r>
      <w:r>
        <w:rPr>
          <w:rFonts w:hint="eastAsia" w:ascii="宋体" w:hAnsi="宋体" w:cs="宋体"/>
          <w:color w:val="auto"/>
          <w:szCs w:val="21"/>
          <w:highlight w:val="none"/>
        </w:rPr>
        <w:t>的潜在供应商应在</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color w:val="auto"/>
          <w:highlight w:val="none"/>
        </w:rPr>
        <w:fldChar w:fldCharType="begin"/>
      </w:r>
      <w:r>
        <w:rPr>
          <w:color w:val="auto"/>
          <w:highlight w:val="none"/>
        </w:rPr>
        <w:instrText xml:space="preserve"> HYPERLINK "https://www.zcygov.cn/）获取（下载）招标文件，并于2022年00月00日14点30分00秒" </w:instrText>
      </w:r>
      <w:r>
        <w:rPr>
          <w:color w:val="auto"/>
          <w:highlight w:val="none"/>
        </w:rPr>
        <w:fldChar w:fldCharType="separate"/>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）获取（下载）采购文件，并于202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年0</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28</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14</w:t>
      </w:r>
      <w:r>
        <w:rPr>
          <w:rFonts w:hint="eastAsia" w:ascii="宋体" w:hAnsi="宋体" w:cs="宋体"/>
          <w:color w:val="auto"/>
          <w:szCs w:val="21"/>
          <w:highlight w:val="none"/>
        </w:rPr>
        <w:t>点00分00秒</w:t>
      </w:r>
      <w:r>
        <w:rPr>
          <w:rFonts w:hint="eastAsia" w:ascii="宋体" w:hAnsi="宋体" w:cs="宋体"/>
          <w:color w:val="auto"/>
          <w:szCs w:val="21"/>
          <w:highlight w:val="none"/>
        </w:rPr>
        <w:fldChar w:fldCharType="end"/>
      </w:r>
      <w:r>
        <w:rPr>
          <w:rFonts w:hint="eastAsia" w:ascii="宋体" w:hAnsi="宋体" w:cs="宋体"/>
          <w:bCs/>
          <w:color w:val="auto"/>
          <w:szCs w:val="21"/>
          <w:highlight w:val="none"/>
        </w:rPr>
        <w:t>（北京时间）前</w:t>
      </w:r>
      <w:r>
        <w:rPr>
          <w:rFonts w:hint="eastAsia" w:ascii="宋体" w:hAnsi="宋体" w:cs="宋体"/>
          <w:color w:val="auto"/>
          <w:szCs w:val="21"/>
          <w:highlight w:val="none"/>
        </w:rPr>
        <w:t>递交（上传）响应文件。</w:t>
      </w:r>
    </w:p>
    <w:p w14:paraId="59A32F9E">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 xml:space="preserve">一、项目基本情况                                            </w:t>
      </w:r>
    </w:p>
    <w:p w14:paraId="11E498BB">
      <w:pPr>
        <w:shd w:val="clear"/>
        <w:spacing w:line="440" w:lineRule="exact"/>
        <w:ind w:firstLine="422" w:firstLineChars="200"/>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rPr>
        <w:t>项目编号：</w:t>
      </w:r>
      <w:r>
        <w:rPr>
          <w:rFonts w:hint="eastAsia" w:ascii="宋体" w:hAnsi="宋体" w:cs="宋体"/>
          <w:b/>
          <w:color w:val="auto"/>
          <w:szCs w:val="21"/>
          <w:highlight w:val="none"/>
          <w:lang w:eastAsia="zh-CN"/>
        </w:rPr>
        <w:t>FHGQZB(2025)121D</w:t>
      </w:r>
    </w:p>
    <w:p w14:paraId="615BEDCF">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项目名称：</w:t>
      </w:r>
      <w:r>
        <w:rPr>
          <w:rFonts w:hint="eastAsia" w:ascii="宋体" w:hAnsi="宋体" w:cs="宋体"/>
          <w:bCs/>
          <w:snapToGrid w:val="0"/>
          <w:color w:val="auto"/>
          <w:szCs w:val="21"/>
          <w:highlight w:val="none"/>
          <w:lang w:eastAsia="zh-CN"/>
        </w:rPr>
        <w:t>宁波市奉化区粮食购销有限公司2025年零星工程维修服务采购项目</w:t>
      </w:r>
      <w:r>
        <w:rPr>
          <w:rFonts w:hint="eastAsia" w:ascii="宋体" w:hAnsi="宋体" w:cs="宋体"/>
          <w:bCs/>
          <w:snapToGrid w:val="0"/>
          <w:color w:val="auto"/>
          <w:szCs w:val="21"/>
          <w:highlight w:val="none"/>
        </w:rPr>
        <w:t> </w:t>
      </w:r>
    </w:p>
    <w:p w14:paraId="5657C58F">
      <w:pPr>
        <w:shd w:val="clear"/>
        <w:spacing w:line="440" w:lineRule="exact"/>
        <w:ind w:firstLine="422" w:firstLineChars="200"/>
        <w:rPr>
          <w:rFonts w:ascii="宋体" w:hAnsi="宋体" w:cs="宋体"/>
          <w:bCs/>
          <w:snapToGrid w:val="0"/>
          <w:color w:val="auto"/>
          <w:szCs w:val="21"/>
          <w:highlight w:val="none"/>
        </w:rPr>
      </w:pPr>
      <w:r>
        <w:rPr>
          <w:rFonts w:hint="eastAsia" w:ascii="宋体" w:hAnsi="宋体" w:cs="宋体"/>
          <w:b/>
          <w:color w:val="auto"/>
          <w:szCs w:val="21"/>
          <w:highlight w:val="none"/>
        </w:rPr>
        <w:t>预算金额（元）：</w:t>
      </w:r>
      <w:r>
        <w:rPr>
          <w:rFonts w:hint="eastAsia" w:ascii="Times New Roman" w:hAnsi="Times New Roman" w:cs="Times New Roman"/>
          <w:color w:val="auto"/>
          <w:highlight w:val="none"/>
          <w:lang w:val="en-US" w:eastAsia="zh-CN"/>
        </w:rPr>
        <w:t>363000</w:t>
      </w:r>
      <w:r>
        <w:rPr>
          <w:rFonts w:hint="default" w:ascii="Times New Roman" w:hAnsi="Times New Roman" w:cs="Times New Roman"/>
          <w:color w:val="auto"/>
          <w:highlight w:val="none"/>
          <w:lang w:val="en-US" w:eastAsia="zh-CN"/>
        </w:rPr>
        <w:t>.00</w:t>
      </w:r>
    </w:p>
    <w:p w14:paraId="17A90701">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最高限价（元）：</w:t>
      </w:r>
      <w:r>
        <w:rPr>
          <w:rFonts w:hint="eastAsia" w:ascii="Times New Roman" w:hAnsi="Times New Roman" w:cs="Times New Roman"/>
          <w:color w:val="auto"/>
          <w:highlight w:val="none"/>
          <w:lang w:val="en-US" w:eastAsia="zh-CN"/>
        </w:rPr>
        <w:t>363000.00，</w:t>
      </w:r>
      <w:r>
        <w:rPr>
          <w:rFonts w:hint="eastAsia" w:ascii="Times New Roman" w:hAnsi="Times New Roman" w:eastAsia="宋体" w:cs="Times New Roman"/>
          <w:color w:val="auto"/>
          <w:highlight w:val="none"/>
          <w:lang w:val="en-US" w:eastAsia="zh-CN"/>
        </w:rPr>
        <w:t>最高综合折扣率95%</w:t>
      </w:r>
    </w:p>
    <w:p w14:paraId="092E41C9">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采购需求：</w:t>
      </w:r>
      <w:r>
        <w:rPr>
          <w:rFonts w:hint="eastAsia" w:hAnsi="宋体" w:cs="宋体"/>
          <w:bCs/>
          <w:color w:val="auto"/>
          <w:kern w:val="2"/>
          <w:sz w:val="21"/>
          <w:szCs w:val="21"/>
          <w:highlight w:val="none"/>
          <w:lang w:eastAsia="zh-CN"/>
        </w:rPr>
        <w:t>宁波市奉化区粮食购销有限公司2025年零星工程维修服务采购项目</w:t>
      </w:r>
      <w:r>
        <w:rPr>
          <w:rFonts w:hint="eastAsia" w:hAnsi="宋体" w:cs="宋体"/>
          <w:bCs/>
          <w:color w:val="auto"/>
          <w:kern w:val="2"/>
          <w:sz w:val="21"/>
          <w:szCs w:val="21"/>
          <w:highlight w:val="none"/>
        </w:rPr>
        <w:t>，详见采购文件第三部分采购需求。</w:t>
      </w:r>
    </w:p>
    <w:p w14:paraId="4FAFCA90">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标项名称：</w:t>
      </w:r>
      <w:r>
        <w:rPr>
          <w:rFonts w:hint="eastAsia" w:ascii="宋体" w:hAnsi="宋体" w:cs="宋体"/>
          <w:bCs/>
          <w:snapToGrid w:val="0"/>
          <w:color w:val="auto"/>
          <w:szCs w:val="21"/>
          <w:highlight w:val="none"/>
          <w:lang w:eastAsia="zh-CN"/>
        </w:rPr>
        <w:t>2025年零星工程维修服务采购项目</w:t>
      </w:r>
    </w:p>
    <w:p w14:paraId="2D950650">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数量：1</w:t>
      </w:r>
    </w:p>
    <w:p w14:paraId="4D3191B4">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预算金额（元）：363000.00</w:t>
      </w:r>
    </w:p>
    <w:p w14:paraId="09562F31">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简要规格描述或项目基本概况介绍、用途：零星工程维修服务采购</w:t>
      </w:r>
      <w:r>
        <w:rPr>
          <w:rFonts w:hint="eastAsia" w:ascii="宋体" w:hAnsi="宋体" w:cs="宋体"/>
          <w:bCs/>
          <w:snapToGrid w:val="0"/>
          <w:color w:val="auto"/>
          <w:szCs w:val="21"/>
          <w:highlight w:val="none"/>
          <w:lang w:val="en" w:eastAsia="zh-CN"/>
        </w:rPr>
        <w:t>，</w:t>
      </w:r>
      <w:r>
        <w:rPr>
          <w:rFonts w:hint="eastAsia" w:ascii="宋体" w:hAnsi="宋体" w:eastAsia="宋体" w:cs="宋体"/>
          <w:bCs/>
          <w:snapToGrid w:val="0"/>
          <w:color w:val="auto"/>
          <w:szCs w:val="21"/>
          <w:highlight w:val="none"/>
          <w:lang w:val="en"/>
        </w:rPr>
        <w:t>详见采购文件“第三部分 采购需求”</w:t>
      </w:r>
      <w:r>
        <w:rPr>
          <w:rFonts w:hint="eastAsia" w:ascii="宋体" w:hAnsi="宋体" w:cs="宋体"/>
          <w:bCs/>
          <w:snapToGrid w:val="0"/>
          <w:color w:val="auto"/>
          <w:szCs w:val="21"/>
          <w:highlight w:val="none"/>
          <w:lang w:val="en" w:eastAsia="zh-CN"/>
        </w:rPr>
        <w:t>。</w:t>
      </w:r>
    </w:p>
    <w:p w14:paraId="625657F5">
      <w:pPr>
        <w:shd w:val="clear"/>
        <w:spacing w:line="440" w:lineRule="exact"/>
        <w:ind w:firstLine="420" w:firstLineChars="200"/>
        <w:rPr>
          <w:rFonts w:hint="eastAsia" w:ascii="宋体" w:hAnsi="宋体" w:eastAsia="宋体" w:cs="宋体"/>
          <w:bCs/>
          <w:snapToGrid w:val="0"/>
          <w:color w:val="auto"/>
          <w:szCs w:val="21"/>
          <w:highlight w:val="none"/>
          <w:lang w:val="en-US" w:eastAsia="zh-CN"/>
        </w:rPr>
      </w:pPr>
      <w:r>
        <w:rPr>
          <w:rFonts w:hint="eastAsia" w:ascii="宋体" w:hAnsi="宋体" w:eastAsia="宋体" w:cs="宋体"/>
          <w:bCs/>
          <w:snapToGrid w:val="0"/>
          <w:color w:val="auto"/>
          <w:szCs w:val="21"/>
          <w:highlight w:val="none"/>
          <w:lang w:val="en"/>
        </w:rPr>
        <w:t>备注：</w:t>
      </w:r>
      <w:r>
        <w:rPr>
          <w:rFonts w:hint="eastAsia" w:ascii="宋体" w:hAnsi="宋体" w:cs="宋体"/>
          <w:bCs/>
          <w:snapToGrid w:val="0"/>
          <w:color w:val="auto"/>
          <w:szCs w:val="21"/>
          <w:highlight w:val="none"/>
          <w:lang w:val="en-US" w:eastAsia="zh-CN"/>
        </w:rPr>
        <w:t>/</w:t>
      </w:r>
    </w:p>
    <w:p w14:paraId="43EFECB2">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合同履约期限：自合同签订生效后开始至双方合同义务完全履行后截止。</w:t>
      </w:r>
    </w:p>
    <w:p w14:paraId="5EDB87DB">
      <w:pPr>
        <w:shd w:val="clear"/>
        <w:spacing w:line="440" w:lineRule="exact"/>
        <w:ind w:firstLine="420" w:firstLineChars="200"/>
        <w:rPr>
          <w:rFonts w:hint="eastAsia" w:ascii="宋体" w:hAnsi="宋体" w:eastAsia="宋体" w:cs="宋体"/>
          <w:bCs/>
          <w:snapToGrid w:val="0"/>
          <w:color w:val="auto"/>
          <w:szCs w:val="21"/>
          <w:highlight w:val="none"/>
          <w:lang w:val="en" w:eastAsia="zh-CN"/>
        </w:rPr>
      </w:pPr>
      <w:r>
        <w:rPr>
          <w:rFonts w:hint="eastAsia" w:ascii="宋体" w:hAnsi="宋体" w:eastAsia="宋体" w:cs="宋体"/>
          <w:bCs/>
          <w:snapToGrid w:val="0"/>
          <w:color w:val="auto"/>
          <w:szCs w:val="21"/>
          <w:highlight w:val="none"/>
          <w:lang w:val="en"/>
        </w:rPr>
        <w:t>本项目（否）接受联合体投标。</w:t>
      </w:r>
    </w:p>
    <w:p w14:paraId="6DCEE0E5">
      <w:pPr>
        <w:shd w:val="clear"/>
        <w:spacing w:line="440" w:lineRule="exact"/>
        <w:ind w:firstLine="420" w:firstLineChars="200"/>
        <w:rPr>
          <w:rFonts w:hint="eastAsia" w:ascii="宋体" w:hAnsi="宋体" w:eastAsia="宋体" w:cs="宋体"/>
          <w:bCs/>
          <w:snapToGrid w:val="0"/>
          <w:color w:val="auto"/>
          <w:szCs w:val="21"/>
          <w:highlight w:val="none"/>
          <w:lang w:val="en"/>
        </w:rPr>
      </w:pPr>
      <w:r>
        <w:rPr>
          <w:rFonts w:hint="eastAsia" w:ascii="宋体" w:hAnsi="宋体" w:eastAsia="宋体" w:cs="宋体"/>
          <w:bCs/>
          <w:snapToGrid w:val="0"/>
          <w:color w:val="auto"/>
          <w:szCs w:val="21"/>
          <w:highlight w:val="none"/>
          <w:lang w:val="en"/>
        </w:rPr>
        <w:t>合同履约期限：详见采购文件。</w:t>
      </w:r>
    </w:p>
    <w:p w14:paraId="1B08DC5A">
      <w:pPr>
        <w:pStyle w:val="8"/>
        <w:shd w:val="clear"/>
        <w:spacing w:line="440" w:lineRule="exact"/>
        <w:ind w:firstLine="422" w:firstLineChars="200"/>
        <w:rPr>
          <w:rFonts w:hAnsi="宋体" w:cs="宋体"/>
          <w:b/>
          <w:color w:val="auto"/>
          <w:sz w:val="21"/>
          <w:szCs w:val="21"/>
          <w:highlight w:val="none"/>
        </w:rPr>
      </w:pPr>
      <w:r>
        <w:rPr>
          <w:rFonts w:hint="eastAsia" w:hAnsi="宋体" w:cs="宋体"/>
          <w:b/>
          <w:color w:val="auto"/>
          <w:sz w:val="21"/>
          <w:szCs w:val="21"/>
          <w:highlight w:val="none"/>
        </w:rPr>
        <w:t>本项目接受联合体：</w:t>
      </w:r>
      <w:r>
        <w:rPr>
          <w:rFonts w:hint="eastAsia" w:hAnsi="宋体" w:cs="宋体"/>
          <w:color w:val="auto"/>
          <w:kern w:val="0"/>
          <w:sz w:val="21"/>
          <w:szCs w:val="21"/>
          <w:highlight w:val="none"/>
        </w:rPr>
        <w:t>☐</w:t>
      </w:r>
      <w:r>
        <w:rPr>
          <w:rFonts w:hint="eastAsia" w:hAnsi="宋体" w:cs="宋体"/>
          <w:b/>
          <w:color w:val="auto"/>
          <w:sz w:val="21"/>
          <w:szCs w:val="21"/>
          <w:highlight w:val="none"/>
        </w:rPr>
        <w:t>是，</w:t>
      </w:r>
      <w:r>
        <w:rPr>
          <w:rFonts w:hint="eastAsia" w:hAnsi="宋体" w:cs="宋体"/>
          <w:color w:val="auto"/>
          <w:kern w:val="0"/>
          <w:sz w:val="21"/>
          <w:szCs w:val="21"/>
          <w:highlight w:val="none"/>
        </w:rPr>
        <w:t xml:space="preserve"> </w:t>
      </w:r>
      <w:r>
        <w:rPr>
          <w:rFonts w:hint="eastAsia" w:hAnsi="宋体" w:cs="宋体"/>
          <w:color w:val="auto"/>
          <w:kern w:val="0"/>
          <w:sz w:val="21"/>
          <w:szCs w:val="21"/>
          <w:highlight w:val="none"/>
        </w:rPr>
        <w:sym w:font="Wingdings" w:char="F0FE"/>
      </w:r>
      <w:r>
        <w:rPr>
          <w:rFonts w:hint="eastAsia" w:hAnsi="宋体" w:cs="宋体"/>
          <w:b/>
          <w:color w:val="auto"/>
          <w:sz w:val="21"/>
          <w:szCs w:val="21"/>
          <w:highlight w:val="none"/>
        </w:rPr>
        <w:t>否</w:t>
      </w:r>
      <w:r>
        <w:rPr>
          <w:rFonts w:hint="eastAsia" w:hAnsi="宋体" w:cs="宋体"/>
          <w:color w:val="auto"/>
          <w:kern w:val="0"/>
          <w:sz w:val="21"/>
          <w:szCs w:val="21"/>
          <w:highlight w:val="none"/>
        </w:rPr>
        <w:t>。</w:t>
      </w:r>
    </w:p>
    <w:p w14:paraId="11339A77">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二、申请人的资格要求：</w:t>
      </w:r>
    </w:p>
    <w:p w14:paraId="1D6B374A">
      <w:pPr>
        <w:shd w:val="clear"/>
        <w:spacing w:line="440" w:lineRule="exact"/>
        <w:ind w:firstLine="480"/>
        <w:rPr>
          <w:rFonts w:ascii="宋体" w:hAnsi="宋体" w:cs="宋体"/>
          <w:snapToGrid w:val="0"/>
          <w:color w:val="auto"/>
          <w:kern w:val="28"/>
          <w:szCs w:val="21"/>
          <w:highlight w:val="none"/>
        </w:rPr>
      </w:pPr>
      <w:r>
        <w:rPr>
          <w:rFonts w:hint="eastAsia" w:ascii="宋体" w:hAnsi="宋体" w:cs="宋体"/>
          <w:snapToGrid w:val="0"/>
          <w:color w:val="auto"/>
          <w:kern w:val="28"/>
          <w:szCs w:val="21"/>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2571F159">
      <w:pPr>
        <w:shd w:val="clear"/>
        <w:spacing w:line="440" w:lineRule="exact"/>
        <w:rPr>
          <w:rFonts w:ascii="宋体" w:hAnsi="宋体" w:cs="宋体"/>
          <w:color w:val="auto"/>
          <w:szCs w:val="21"/>
          <w:highlight w:val="none"/>
        </w:rPr>
      </w:pPr>
      <w:r>
        <w:rPr>
          <w:rFonts w:hint="eastAsia" w:ascii="宋体" w:hAnsi="宋体" w:cs="宋体"/>
          <w:snapToGrid w:val="0"/>
          <w:color w:val="auto"/>
          <w:kern w:val="28"/>
          <w:szCs w:val="21"/>
          <w:highlight w:val="none"/>
        </w:rPr>
        <w:t xml:space="preserve">    2.落实政府采购政策需满足的资格要求：本项目为专门面向</w:t>
      </w:r>
      <w:r>
        <w:rPr>
          <w:rFonts w:hint="eastAsia" w:ascii="宋体" w:hAnsi="宋体" w:cs="宋体"/>
          <w:snapToGrid w:val="0"/>
          <w:color w:val="auto"/>
          <w:kern w:val="28"/>
          <w:szCs w:val="21"/>
          <w:highlight w:val="none"/>
          <w:lang w:val="en-US" w:eastAsia="zh-CN"/>
        </w:rPr>
        <w:t>小微</w:t>
      </w:r>
      <w:r>
        <w:rPr>
          <w:rFonts w:hint="eastAsia" w:ascii="宋体" w:hAnsi="宋体" w:cs="宋体"/>
          <w:snapToGrid w:val="0"/>
          <w:color w:val="auto"/>
          <w:kern w:val="28"/>
          <w:szCs w:val="21"/>
          <w:highlight w:val="none"/>
        </w:rPr>
        <w:t>企业采购：服务全部由符合政策要求的小型或微型企业承接，提供中小企业声明函（残疾人福利性企业、监狱企业视同小微企业）</w:t>
      </w:r>
      <w:r>
        <w:rPr>
          <w:rFonts w:hint="eastAsia" w:ascii="宋体" w:hAnsi="宋体" w:cs="宋体"/>
          <w:color w:val="auto"/>
          <w:szCs w:val="21"/>
          <w:highlight w:val="none"/>
        </w:rPr>
        <w:t>；</w:t>
      </w:r>
    </w:p>
    <w:p w14:paraId="296ACA1D">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3.本项目的特定资格要求：</w:t>
      </w:r>
    </w:p>
    <w:p w14:paraId="6A33C601">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3.1供应商须具备房屋建筑工程施工总承包三级及以上；</w:t>
      </w:r>
    </w:p>
    <w:p w14:paraId="619F1BB2">
      <w:pPr>
        <w:shd w:val="clear"/>
        <w:spacing w:line="440" w:lineRule="exact"/>
        <w:ind w:firstLine="420" w:firstLineChars="200"/>
        <w:rPr>
          <w:rFonts w:ascii="宋体" w:hAnsi="宋体" w:cs="宋体"/>
          <w:b/>
          <w:color w:val="auto"/>
          <w:szCs w:val="21"/>
          <w:highlight w:val="none"/>
        </w:rPr>
      </w:pPr>
      <w:r>
        <w:rPr>
          <w:rFonts w:hint="eastAsia" w:ascii="宋体" w:hAnsi="宋体" w:cs="宋体"/>
          <w:color w:val="auto"/>
          <w:szCs w:val="21"/>
          <w:highlight w:val="none"/>
        </w:rPr>
        <w:t>3.2供应商须具有有效的建筑施工企业安全生产许可证。</w:t>
      </w:r>
    </w:p>
    <w:p w14:paraId="3662CF3B">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 xml:space="preserve">三、获取采购文件 </w:t>
      </w:r>
    </w:p>
    <w:p w14:paraId="6F71889A">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时间：</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04</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17</w:t>
      </w:r>
      <w:r>
        <w:rPr>
          <w:rFonts w:hint="eastAsia" w:ascii="宋体" w:hAnsi="宋体" w:cs="宋体"/>
          <w:color w:val="auto"/>
          <w:szCs w:val="21"/>
          <w:highlight w:val="none"/>
          <w:u w:val="single"/>
        </w:rPr>
        <w:t>日</w:t>
      </w:r>
      <w:r>
        <w:rPr>
          <w:rFonts w:hint="eastAsia" w:ascii="宋体" w:hAnsi="宋体" w:cs="宋体"/>
          <w:color w:val="auto"/>
          <w:szCs w:val="21"/>
          <w:highlight w:val="none"/>
        </w:rPr>
        <w:t>至</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04</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24</w:t>
      </w:r>
      <w:r>
        <w:rPr>
          <w:rFonts w:hint="eastAsia" w:ascii="宋体" w:hAnsi="宋体" w:cs="宋体"/>
          <w:color w:val="auto"/>
          <w:szCs w:val="21"/>
          <w:highlight w:val="none"/>
          <w:u w:val="single"/>
        </w:rPr>
        <w:t>日</w:t>
      </w:r>
      <w:r>
        <w:rPr>
          <w:rFonts w:hint="eastAsia" w:ascii="宋体" w:hAnsi="宋体" w:cs="宋体"/>
          <w:color w:val="auto"/>
          <w:szCs w:val="21"/>
          <w:highlight w:val="none"/>
        </w:rPr>
        <w:t>，每天上午00：00至12：00，下午12：00至23：59（北京时间）。</w:t>
      </w:r>
    </w:p>
    <w:p w14:paraId="2E64E3BF">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地点（网址）：</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w:t>
      </w:r>
    </w:p>
    <w:p w14:paraId="02440EC9">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方式：</w:t>
      </w:r>
      <w:r>
        <w:rPr>
          <w:rFonts w:hint="eastAsia" w:ascii="宋体" w:hAnsi="宋体" w:cs="宋体"/>
          <w:color w:val="auto"/>
          <w:szCs w:val="21"/>
          <w:highlight w:val="none"/>
        </w:rPr>
        <w:t>供应商登录</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 xml:space="preserve">在线申请获取采购文件（进入“项目采购”应用，在获取采购文件菜单中选择项目，申请获取采购文件）。 </w:t>
      </w:r>
    </w:p>
    <w:p w14:paraId="12B381B4">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售价（元）：</w:t>
      </w:r>
      <w:r>
        <w:rPr>
          <w:rFonts w:hint="eastAsia" w:ascii="宋体" w:hAnsi="宋体" w:cs="宋体"/>
          <w:color w:val="auto"/>
          <w:szCs w:val="21"/>
          <w:highlight w:val="none"/>
        </w:rPr>
        <w:t xml:space="preserve">0 </w:t>
      </w:r>
      <w:r>
        <w:rPr>
          <w:rFonts w:hint="eastAsia" w:ascii="宋体" w:hAnsi="宋体" w:cs="宋体"/>
          <w:color w:val="auto"/>
          <w:szCs w:val="21"/>
          <w:highlight w:val="none"/>
        </w:rPr>
        <w:tab/>
      </w:r>
    </w:p>
    <w:p w14:paraId="6783D294">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四、首次提交响应文件截止时间、磋商时间和地点</w:t>
      </w:r>
    </w:p>
    <w:p w14:paraId="474D241B">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首次提交响应文件截止时间：</w:t>
      </w:r>
      <w:r>
        <w:rPr>
          <w:rFonts w:hint="eastAsia" w:ascii="宋体" w:hAnsi="宋体" w:cs="宋体"/>
          <w:color w:val="auto"/>
          <w:szCs w:val="21"/>
          <w:highlight w:val="none"/>
          <w:u w:val="single"/>
        </w:rPr>
        <w:t xml:space="preserve"> 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04</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28</w:t>
      </w:r>
      <w:r>
        <w:rPr>
          <w:rFonts w:hint="eastAsia" w:ascii="宋体" w:hAnsi="宋体" w:cs="宋体"/>
          <w:color w:val="auto"/>
          <w:szCs w:val="21"/>
          <w:highlight w:val="none"/>
          <w:u w:val="single"/>
        </w:rPr>
        <w:t>日</w:t>
      </w:r>
      <w:r>
        <w:rPr>
          <w:rFonts w:hint="eastAsia" w:ascii="宋体" w:hAnsi="宋体" w:cs="宋体"/>
          <w:color w:val="auto"/>
          <w:szCs w:val="21"/>
          <w:highlight w:val="none"/>
          <w:u w:val="single"/>
          <w:lang w:val="en-US" w:eastAsia="zh-CN"/>
        </w:rPr>
        <w:t>14</w:t>
      </w:r>
      <w:r>
        <w:rPr>
          <w:rFonts w:hint="eastAsia" w:ascii="宋体" w:hAnsi="宋体" w:cs="宋体"/>
          <w:color w:val="auto"/>
          <w:szCs w:val="21"/>
          <w:highlight w:val="none"/>
          <w:u w:val="single"/>
        </w:rPr>
        <w:t>点00分</w:t>
      </w:r>
      <w:r>
        <w:rPr>
          <w:rFonts w:hint="eastAsia" w:ascii="宋体" w:hAnsi="宋体" w:cs="宋体"/>
          <w:bCs/>
          <w:color w:val="auto"/>
          <w:szCs w:val="21"/>
          <w:highlight w:val="none"/>
          <w:u w:val="single"/>
        </w:rPr>
        <w:t xml:space="preserve"> </w:t>
      </w:r>
      <w:r>
        <w:rPr>
          <w:rFonts w:hint="eastAsia" w:ascii="宋体" w:hAnsi="宋体" w:cs="宋体"/>
          <w:color w:val="auto"/>
          <w:szCs w:val="21"/>
          <w:highlight w:val="none"/>
        </w:rPr>
        <w:t>（北京时间）。</w:t>
      </w:r>
    </w:p>
    <w:p w14:paraId="74A3D944">
      <w:pPr>
        <w:shd w:val="clear"/>
        <w:spacing w:line="44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提交响应文件地点（网址）：</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w:t>
      </w:r>
    </w:p>
    <w:p w14:paraId="41816F4F">
      <w:pPr>
        <w:shd w:val="clear"/>
        <w:spacing w:line="440" w:lineRule="exact"/>
        <w:ind w:firstLine="422" w:firstLineChars="200"/>
        <w:rPr>
          <w:rFonts w:ascii="宋体" w:hAnsi="宋体" w:cs="宋体"/>
          <w:bCs/>
          <w:color w:val="auto"/>
          <w:szCs w:val="21"/>
          <w:highlight w:val="none"/>
          <w:u w:val="single"/>
        </w:rPr>
      </w:pPr>
      <w:r>
        <w:rPr>
          <w:rFonts w:hint="eastAsia" w:ascii="宋体" w:hAnsi="宋体" w:cs="宋体"/>
          <w:b/>
          <w:color w:val="auto"/>
          <w:szCs w:val="21"/>
          <w:highlight w:val="none"/>
        </w:rPr>
        <w:t>首次提交响应文件开启时间：</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u w:val="single"/>
        </w:rPr>
        <w:t>年</w:t>
      </w:r>
      <w:r>
        <w:rPr>
          <w:rFonts w:hint="eastAsia" w:ascii="宋体" w:hAnsi="宋体" w:cs="宋体"/>
          <w:color w:val="auto"/>
          <w:szCs w:val="21"/>
          <w:highlight w:val="none"/>
          <w:u w:val="single"/>
          <w:lang w:val="en-US" w:eastAsia="zh-CN"/>
        </w:rPr>
        <w:t>04</w:t>
      </w:r>
      <w:r>
        <w:rPr>
          <w:rFonts w:hint="eastAsia" w:ascii="宋体" w:hAnsi="宋体" w:cs="宋体"/>
          <w:color w:val="auto"/>
          <w:szCs w:val="21"/>
          <w:highlight w:val="none"/>
          <w:u w:val="single"/>
        </w:rPr>
        <w:t>月</w:t>
      </w:r>
      <w:r>
        <w:rPr>
          <w:rFonts w:hint="eastAsia" w:ascii="宋体" w:hAnsi="宋体" w:cs="宋体"/>
          <w:color w:val="auto"/>
          <w:szCs w:val="21"/>
          <w:highlight w:val="none"/>
          <w:u w:val="single"/>
          <w:lang w:val="en-US" w:eastAsia="zh-CN"/>
        </w:rPr>
        <w:t>28</w:t>
      </w:r>
      <w:r>
        <w:rPr>
          <w:rFonts w:hint="eastAsia" w:ascii="宋体" w:hAnsi="宋体" w:cs="宋体"/>
          <w:color w:val="auto"/>
          <w:szCs w:val="21"/>
          <w:highlight w:val="none"/>
          <w:u w:val="single"/>
        </w:rPr>
        <w:t>日</w:t>
      </w:r>
      <w:r>
        <w:rPr>
          <w:rFonts w:hint="eastAsia" w:ascii="宋体" w:hAnsi="宋体" w:cs="宋体"/>
          <w:color w:val="auto"/>
          <w:szCs w:val="21"/>
          <w:highlight w:val="none"/>
          <w:u w:val="single"/>
          <w:lang w:val="en-US" w:eastAsia="zh-CN"/>
        </w:rPr>
        <w:t>14</w:t>
      </w:r>
      <w:r>
        <w:rPr>
          <w:rFonts w:hint="eastAsia" w:ascii="宋体" w:hAnsi="宋体" w:cs="宋体"/>
          <w:color w:val="auto"/>
          <w:szCs w:val="21"/>
          <w:highlight w:val="none"/>
          <w:u w:val="single"/>
        </w:rPr>
        <w:t>点00分</w:t>
      </w:r>
      <w:r>
        <w:rPr>
          <w:rFonts w:hint="eastAsia" w:ascii="宋体" w:hAnsi="宋体" w:cs="宋体"/>
          <w:bCs/>
          <w:color w:val="auto"/>
          <w:szCs w:val="21"/>
          <w:highlight w:val="none"/>
        </w:rPr>
        <w:t>。</w:t>
      </w:r>
    </w:p>
    <w:p w14:paraId="2A95D6A9">
      <w:pPr>
        <w:shd w:val="clear"/>
        <w:spacing w:line="440" w:lineRule="exact"/>
        <w:ind w:firstLine="422" w:firstLineChars="200"/>
        <w:rPr>
          <w:rFonts w:ascii="宋体" w:hAnsi="宋体" w:cs="宋体"/>
          <w:color w:val="auto"/>
          <w:szCs w:val="21"/>
          <w:highlight w:val="none"/>
        </w:rPr>
      </w:pPr>
      <w:r>
        <w:rPr>
          <w:rFonts w:hint="eastAsia" w:ascii="宋体" w:hAnsi="宋体" w:cs="宋体"/>
          <w:b/>
          <w:color w:val="auto"/>
          <w:szCs w:val="21"/>
          <w:highlight w:val="none"/>
        </w:rPr>
        <w:t>首次提交响应文件开启地点（网址）：</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w:t>
      </w:r>
    </w:p>
    <w:p w14:paraId="0CC7E464">
      <w:pPr>
        <w:shd w:val="clear"/>
        <w:spacing w:line="440" w:lineRule="exact"/>
        <w:ind w:firstLine="422" w:firstLineChars="200"/>
        <w:rPr>
          <w:rFonts w:ascii="宋体" w:hAnsi="宋体" w:cs="宋体"/>
          <w:b/>
          <w:color w:val="auto"/>
          <w:szCs w:val="21"/>
          <w:highlight w:val="none"/>
        </w:rPr>
      </w:pPr>
      <w:r>
        <w:rPr>
          <w:rFonts w:hint="eastAsia" w:ascii="宋体" w:hAnsi="宋体" w:cs="宋体"/>
          <w:b/>
          <w:color w:val="auto"/>
          <w:szCs w:val="21"/>
          <w:highlight w:val="none"/>
        </w:rPr>
        <w:t>首次提交响应文件开启地点（线下）：</w:t>
      </w:r>
      <w:r>
        <w:rPr>
          <w:rFonts w:hint="eastAsia" w:ascii="宋体" w:hAnsi="宋体" w:cs="宋体"/>
          <w:bCs/>
          <w:color w:val="auto"/>
          <w:szCs w:val="21"/>
          <w:highlight w:val="none"/>
        </w:rPr>
        <w:t>宁波市奉化区公共资源交易中心开标厅</w:t>
      </w:r>
      <w:r>
        <w:rPr>
          <w:rFonts w:hint="eastAsia" w:ascii="宋体" w:hAnsi="宋体" w:cs="宋体"/>
          <w:bCs/>
          <w:color w:val="auto"/>
          <w:szCs w:val="21"/>
          <w:highlight w:val="none"/>
          <w:lang w:val="en-US" w:eastAsia="zh-CN"/>
        </w:rPr>
        <w:t>五</w:t>
      </w:r>
      <w:r>
        <w:rPr>
          <w:rFonts w:hint="eastAsia" w:ascii="宋体" w:hAnsi="宋体" w:cs="宋体"/>
          <w:bCs/>
          <w:color w:val="auto"/>
          <w:szCs w:val="21"/>
          <w:highlight w:val="none"/>
        </w:rPr>
        <w:t>（宁波市奉化区大成东路277号4楼）</w:t>
      </w:r>
    </w:p>
    <w:p w14:paraId="6CAC42A8">
      <w:pPr>
        <w:shd w:val="clear"/>
        <w:spacing w:line="440" w:lineRule="exact"/>
        <w:rPr>
          <w:rFonts w:ascii="宋体" w:hAnsi="宋体" w:cs="宋体"/>
          <w:color w:val="auto"/>
          <w:szCs w:val="21"/>
          <w:highlight w:val="none"/>
        </w:rPr>
      </w:pPr>
      <w:r>
        <w:rPr>
          <w:rFonts w:hint="eastAsia" w:ascii="宋体" w:hAnsi="宋体" w:cs="宋体"/>
          <w:b/>
          <w:color w:val="auto"/>
          <w:szCs w:val="21"/>
          <w:highlight w:val="none"/>
        </w:rPr>
        <w:t xml:space="preserve">五、公告期限 </w:t>
      </w:r>
    </w:p>
    <w:p w14:paraId="104DAFCA">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自本公告发布之日起5个工作日。</w:t>
      </w:r>
    </w:p>
    <w:p w14:paraId="1B56BBEF">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六、其他补充事宜</w:t>
      </w:r>
    </w:p>
    <w:p w14:paraId="3AFF4D43">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.供应商认为采购文件使自己的权益受到损害的，可以自获取采购文件之日或者采购文件公告期限届满之日（公告期限届满后获取采购文件的，以公告期限届满之日为准）起</w:t>
      </w:r>
      <w:r>
        <w:rPr>
          <w:rFonts w:hint="eastAsia" w:ascii="宋体" w:hAnsi="宋体" w:cs="宋体"/>
          <w:color w:val="auto"/>
          <w:szCs w:val="21"/>
          <w:highlight w:val="none"/>
          <w:lang w:val="en-US" w:eastAsia="zh-CN"/>
        </w:rPr>
        <w:t>七</w:t>
      </w:r>
      <w:r>
        <w:rPr>
          <w:rFonts w:hint="eastAsia" w:ascii="宋体" w:hAnsi="宋体" w:cs="宋体"/>
          <w:color w:val="auto"/>
          <w:szCs w:val="21"/>
          <w:highlight w:val="none"/>
        </w:rPr>
        <w:t>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w:t>
      </w:r>
    </w:p>
    <w:p w14:paraId="11CCF998">
      <w:pPr>
        <w:keepNext w:val="0"/>
        <w:keepLines w:val="0"/>
        <w:pageBreakBefore w:val="0"/>
        <w:widowControl w:val="0"/>
        <w:shd w:val="clear"/>
        <w:kinsoku/>
        <w:wordWrap w:val="0"/>
        <w:overflowPunct/>
        <w:topLinePunct/>
        <w:autoSpaceDE/>
        <w:autoSpaceDN/>
        <w:bidi w:val="0"/>
        <w:adjustRightInd/>
        <w:snapToGrid/>
        <w:spacing w:line="440" w:lineRule="exact"/>
        <w:ind w:firstLine="420" w:firstLineChars="200"/>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2</w:t>
      </w:r>
      <w:bookmarkStart w:id="392" w:name="_GoBack"/>
      <w:bookmarkEnd w:id="392"/>
      <w:r>
        <w:rPr>
          <w:rFonts w:hint="eastAsia" w:ascii="宋体" w:hAnsi="宋体" w:cs="宋体"/>
          <w:color w:val="auto"/>
          <w:szCs w:val="21"/>
          <w:highlight w:val="none"/>
        </w:rPr>
        <w:t>.其他事项：（1）需要落实的政府采购政策：包括节约资源、保护环境、支持创新、促进中小企业发展等。详见采购文件的第二部分总则。</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w:t>
      </w:r>
      <w:r>
        <w:rPr>
          <w:rFonts w:hint="eastAsia" w:ascii="宋体" w:hAnsi="宋体" w:cs="宋体"/>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w:t>
      </w:r>
      <w:r>
        <w:rPr>
          <w:rFonts w:hint="eastAsia" w:ascii="宋体" w:hAnsi="宋体" w:cs="宋体"/>
          <w:color w:val="auto"/>
          <w:szCs w:val="21"/>
          <w:highlight w:val="none"/>
        </w:rPr>
        <w:t>电子交易的说明：①电子交易：本项目以数据电文形式，依托“</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w:t>
      </w:r>
      <w:r>
        <w:rPr>
          <w:rFonts w:hint="eastAsia" w:ascii="宋体" w:hAnsi="宋体" w:cs="宋体"/>
          <w:color w:val="auto"/>
          <w:szCs w:val="21"/>
          <w:highlight w:val="none"/>
          <w:lang w:eastAsia="zh-CN"/>
        </w:rPr>
        <w:t>（www.lecaiyun.com）</w:t>
      </w:r>
      <w:r>
        <w:rPr>
          <w:rFonts w:hint="eastAsia" w:ascii="宋体" w:hAnsi="宋体" w:cs="宋体"/>
          <w:color w:val="auto"/>
          <w:szCs w:val="21"/>
          <w:highlight w:val="none"/>
        </w:rPr>
        <w:t>”进行磋商活动，不接受纸质响应文件；②磋商准备：注册账号--点击“商家入驻”，进行政府采购供应商资料填写；申领CA数字证书---申领流程详见“浙江企业采购信息服务网-下载专区-电子交易客户端-CA驱动和申领流程”；安装“</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电子交易客户端”----前往“浙江企业采购信息服务网-下载专区-电子交易客户端（https://b.zhengcaiyun.cn/luban/category?parentId=550045&amp;childrenCode=qicaiCategory17&amp;utm=luban.luban-PC-39026.959-pc-websitegroup-navBar-front.8.ebdec73052c711ef9ade896d008b9248）””进行下载并安装；</w:t>
      </w:r>
      <w:r>
        <w:rPr>
          <w:rFonts w:hint="eastAsia" w:ascii="宋体" w:hAnsi="宋体" w:cs="宋体"/>
          <w:color w:val="auto"/>
          <w:kern w:val="0"/>
          <w:szCs w:val="21"/>
          <w:highlight w:val="none"/>
          <w:lang w:val="zh-CN"/>
        </w:rPr>
        <w:t>供应商</w:t>
      </w:r>
      <w:r>
        <w:rPr>
          <w:rFonts w:hint="eastAsia" w:ascii="宋体" w:hAnsi="宋体" w:cs="宋体"/>
          <w:color w:val="auto"/>
          <w:szCs w:val="21"/>
          <w:highlight w:val="none"/>
        </w:rPr>
        <w:t>在磋商前应确保成为浙江省政府采购网正式注册入库供应商，并完成CA数字证书办理。完成CA数字证书办理在资料齐全的情况下预计7个工作日左右，请各</w:t>
      </w:r>
      <w:r>
        <w:rPr>
          <w:rFonts w:hint="eastAsia" w:ascii="宋体" w:hAnsi="宋体" w:cs="宋体"/>
          <w:color w:val="auto"/>
          <w:kern w:val="0"/>
          <w:szCs w:val="21"/>
          <w:highlight w:val="none"/>
          <w:lang w:val="zh-CN"/>
        </w:rPr>
        <w:t>供应商</w:t>
      </w:r>
      <w:r>
        <w:rPr>
          <w:rFonts w:hint="eastAsia" w:ascii="宋体" w:hAnsi="宋体" w:cs="宋体"/>
          <w:color w:val="auto"/>
          <w:szCs w:val="21"/>
          <w:highlight w:val="none"/>
        </w:rPr>
        <w:t>合理预估时间，及时办理。③采购文件的获取：使用账号登录或者使用CA登录</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平台；进入“项目采购”应用，在获取采购文件菜单中选择项目，获取采购文件；④响应文件的制作：在“</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电子交易客户端”中完成“填写基本信息”、“导入响应文件”、“标书关联”、“标书检查”、“电子签名”、“生成电子标书”等操作；⑤采购人、采购代理机构将依托</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平台完成本项目的电子交易活动，平台不接受未按上述方式获取采购文件的供应商进行磋商响应活动； ⑥对未按上述方式获取采购文件的供应商对该文件提出的质疑，采购人或采购代理机构将不予处理；⑦不提供采购文件纸质版；⑧响应文件的解密：</w:t>
      </w:r>
      <w:r>
        <w:rPr>
          <w:rFonts w:hint="eastAsia" w:ascii="宋体" w:hAnsi="宋体" w:cs="宋体"/>
          <w:color w:val="auto"/>
          <w:kern w:val="0"/>
          <w:szCs w:val="21"/>
          <w:highlight w:val="none"/>
          <w:lang w:val="zh-CN"/>
        </w:rPr>
        <w:t>供应商</w:t>
      </w:r>
      <w:r>
        <w:rPr>
          <w:rFonts w:hint="eastAsia" w:ascii="宋体" w:hAnsi="宋体" w:cs="宋体"/>
          <w:color w:val="auto"/>
          <w:szCs w:val="21"/>
          <w:highlight w:val="none"/>
        </w:rPr>
        <w:t>按照平台提示和采购文件的规定在半小时内完成在线解密。⑨具体操作指南：详见</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平台“服务中心-帮助文档-项目采购-操作流程-电子招投标-政府采购项目电子交易管理操作指南-供应商”。</w:t>
      </w:r>
    </w:p>
    <w:p w14:paraId="13636A28">
      <w:pPr>
        <w:shd w:val="clear"/>
        <w:spacing w:line="440" w:lineRule="exact"/>
        <w:rPr>
          <w:rFonts w:ascii="宋体" w:hAnsi="宋体" w:cs="宋体"/>
          <w:b/>
          <w:color w:val="auto"/>
          <w:szCs w:val="21"/>
          <w:highlight w:val="none"/>
        </w:rPr>
      </w:pPr>
      <w:r>
        <w:rPr>
          <w:rFonts w:hint="eastAsia" w:ascii="宋体" w:hAnsi="宋体" w:cs="宋体"/>
          <w:b/>
          <w:color w:val="auto"/>
          <w:szCs w:val="21"/>
          <w:highlight w:val="none"/>
        </w:rPr>
        <w:t>七、对本次采购提出询问、质疑、投诉，请按以下方式联系</w:t>
      </w:r>
    </w:p>
    <w:p w14:paraId="761D6CA3">
      <w:pPr>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ascii="宋体" w:hAnsi="宋体" w:cs="宋体"/>
          <w:color w:val="auto"/>
          <w:szCs w:val="21"/>
          <w:highlight w:val="none"/>
        </w:rPr>
      </w:pPr>
      <w:r>
        <w:rPr>
          <w:rFonts w:hint="eastAsia" w:ascii="宋体" w:hAnsi="宋体" w:cs="宋体"/>
          <w:color w:val="auto"/>
          <w:szCs w:val="21"/>
          <w:highlight w:val="none"/>
        </w:rPr>
        <w:t xml:space="preserve">    1.采购人信息</w:t>
      </w:r>
    </w:p>
    <w:p w14:paraId="2A3BB4C9">
      <w:pPr>
        <w:shd w:val="clear"/>
        <w:spacing w:line="360" w:lineRule="auto"/>
        <w:ind w:firstLine="48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名 称：</w:t>
      </w:r>
      <w:r>
        <w:rPr>
          <w:rFonts w:hint="eastAsia" w:ascii="宋体" w:hAnsi="宋体" w:cs="宋体"/>
          <w:color w:val="auto"/>
          <w:szCs w:val="21"/>
          <w:highlight w:val="none"/>
          <w:lang w:eastAsia="zh-CN"/>
        </w:rPr>
        <w:t>宁波市奉化区粮食购销有限公司</w:t>
      </w:r>
    </w:p>
    <w:p w14:paraId="2C467038">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地 址：浙江省宁波市奉化区岳林街道新丰路66号</w:t>
      </w:r>
    </w:p>
    <w:p w14:paraId="47B9B3DC">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传 真：/</w:t>
      </w:r>
    </w:p>
    <w:p w14:paraId="258238AE">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项目联系人（询问）：印老师</w:t>
      </w:r>
    </w:p>
    <w:p w14:paraId="2C986F7A">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项目联系方式（询问）：0574-88977599</w:t>
      </w:r>
    </w:p>
    <w:p w14:paraId="2B175BB1">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质疑联系人：司徒老师</w:t>
      </w:r>
    </w:p>
    <w:p w14:paraId="6233017E">
      <w:pPr>
        <w:shd w:val="clear"/>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 xml:space="preserve">质疑联系方式：0574-88977599  </w:t>
      </w:r>
    </w:p>
    <w:p w14:paraId="31835E35">
      <w:pPr>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ascii="宋体" w:hAnsi="宋体" w:cs="宋体"/>
          <w:color w:val="auto"/>
          <w:szCs w:val="21"/>
          <w:highlight w:val="none"/>
        </w:rPr>
      </w:pPr>
      <w:r>
        <w:rPr>
          <w:rFonts w:hint="eastAsia" w:ascii="宋体" w:hAnsi="宋体" w:cs="宋体"/>
          <w:color w:val="auto"/>
          <w:szCs w:val="21"/>
          <w:highlight w:val="none"/>
        </w:rPr>
        <w:t xml:space="preserve">    2.采购</w:t>
      </w:r>
      <w:r>
        <w:rPr>
          <w:rFonts w:hint="eastAsia" w:ascii="宋体" w:hAnsi="宋体" w:eastAsia="宋体" w:cs="宋体"/>
          <w:color w:val="auto"/>
          <w:szCs w:val="21"/>
          <w:highlight w:val="none"/>
        </w:rPr>
        <w:t>代理</w:t>
      </w:r>
      <w:r>
        <w:rPr>
          <w:rFonts w:hint="eastAsia" w:ascii="宋体" w:hAnsi="宋体" w:cs="宋体"/>
          <w:color w:val="auto"/>
          <w:szCs w:val="21"/>
          <w:highlight w:val="none"/>
        </w:rPr>
        <w:t xml:space="preserve">机构信息            </w:t>
      </w:r>
    </w:p>
    <w:p w14:paraId="060A1885">
      <w:pPr>
        <w:shd w:val="clea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名 称：宁波名诚招标代理有限公司</w:t>
      </w:r>
    </w:p>
    <w:p w14:paraId="621B922A">
      <w:pPr>
        <w:shd w:val="clea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地 址：宁波市海曙区江汇城496号姚江时代14幢3楼           </w:t>
      </w:r>
    </w:p>
    <w:p w14:paraId="31A9FB75">
      <w:pPr>
        <w:shd w:val="clear"/>
        <w:spacing w:line="360" w:lineRule="auto"/>
        <w:ind w:firstLine="48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项目联系人（询问）：</w:t>
      </w:r>
      <w:r>
        <w:rPr>
          <w:rFonts w:hint="eastAsia" w:ascii="宋体" w:hAnsi="宋体" w:cs="宋体"/>
          <w:color w:val="auto"/>
          <w:szCs w:val="21"/>
          <w:highlight w:val="none"/>
          <w:lang w:val="en-US" w:eastAsia="zh-CN"/>
        </w:rPr>
        <w:t>郑菊琴、陈斌武</w:t>
      </w:r>
    </w:p>
    <w:p w14:paraId="1D163C70">
      <w:pPr>
        <w:shd w:val="clear"/>
        <w:spacing w:line="360" w:lineRule="auto"/>
        <w:ind w:firstLine="48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项目联系方式（询问）：0574-</w:t>
      </w:r>
      <w:r>
        <w:rPr>
          <w:rFonts w:hint="eastAsia" w:ascii="宋体" w:hAnsi="宋体" w:cs="宋体"/>
          <w:color w:val="auto"/>
          <w:szCs w:val="21"/>
          <w:highlight w:val="none"/>
          <w:lang w:val="en-US" w:eastAsia="zh-CN"/>
        </w:rPr>
        <w:t>28881328</w:t>
      </w:r>
    </w:p>
    <w:p w14:paraId="144AF5D7">
      <w:pPr>
        <w:shd w:val="clear"/>
        <w:spacing w:line="360" w:lineRule="auto"/>
        <w:ind w:firstLine="48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质疑联系人：方芳  </w:t>
      </w:r>
    </w:p>
    <w:p w14:paraId="1711BAAB">
      <w:pPr>
        <w:shd w:val="clear"/>
        <w:spacing w:line="360" w:lineRule="auto"/>
        <w:ind w:firstLine="48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质疑联系方式：0574-87101271</w:t>
      </w:r>
    </w:p>
    <w:p w14:paraId="68D29B2B">
      <w:pPr>
        <w:keepNext w:val="0"/>
        <w:keepLines w:val="0"/>
        <w:pageBreakBefore w:val="0"/>
        <w:widowControl w:val="0"/>
        <w:shd w:val="clear"/>
        <w:kinsoku/>
        <w:wordWrap/>
        <w:overflowPunct/>
        <w:topLinePunct w:val="0"/>
        <w:autoSpaceDE/>
        <w:autoSpaceDN/>
        <w:bidi w:val="0"/>
        <w:adjustRightInd/>
        <w:snapToGrid/>
        <w:spacing w:line="360" w:lineRule="auto"/>
        <w:textAlignment w:val="auto"/>
        <w:rPr>
          <w:rFonts w:ascii="宋体" w:hAnsi="宋体" w:cs="宋体"/>
          <w:color w:val="auto"/>
          <w:sz w:val="21"/>
          <w:highlight w:val="none"/>
        </w:rPr>
      </w:pPr>
      <w:r>
        <w:rPr>
          <w:rFonts w:hint="eastAsia" w:ascii="宋体" w:hAnsi="宋体" w:cs="宋体"/>
          <w:color w:val="auto"/>
          <w:sz w:val="21"/>
          <w:highlight w:val="none"/>
        </w:rPr>
        <w:t xml:space="preserve">    3.同级</w:t>
      </w:r>
      <w:r>
        <w:rPr>
          <w:rFonts w:hint="eastAsia" w:ascii="宋体" w:hAnsi="宋体" w:eastAsia="宋体" w:cs="宋体"/>
          <w:color w:val="auto"/>
          <w:szCs w:val="21"/>
          <w:highlight w:val="none"/>
        </w:rPr>
        <w:t>监督</w:t>
      </w:r>
      <w:r>
        <w:rPr>
          <w:rFonts w:hint="eastAsia" w:ascii="宋体" w:hAnsi="宋体" w:cs="宋体"/>
          <w:color w:val="auto"/>
          <w:sz w:val="21"/>
          <w:highlight w:val="none"/>
        </w:rPr>
        <w:t xml:space="preserve">管理部门            </w:t>
      </w:r>
    </w:p>
    <w:p w14:paraId="184DF037">
      <w:pPr>
        <w:shd w:val="clea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名 称：</w:t>
      </w:r>
      <w:r>
        <w:rPr>
          <w:rFonts w:hint="eastAsia" w:ascii="宋体" w:hAnsi="宋体" w:eastAsia="宋体" w:cs="宋体"/>
          <w:color w:val="auto"/>
          <w:szCs w:val="21"/>
          <w:highlight w:val="none"/>
          <w:lang w:val="en-US" w:eastAsia="zh-CN"/>
        </w:rPr>
        <w:t>宁波市奉化区发展和改革局粮食物资科</w:t>
      </w:r>
      <w:r>
        <w:rPr>
          <w:rFonts w:hint="eastAsia" w:ascii="宋体" w:hAnsi="宋体" w:cs="宋体"/>
          <w:bCs/>
          <w:color w:val="auto"/>
          <w:szCs w:val="21"/>
          <w:highlight w:val="none"/>
        </w:rPr>
        <w:t xml:space="preserve">  </w:t>
      </w:r>
    </w:p>
    <w:p w14:paraId="3CCD84FC">
      <w:pPr>
        <w:shd w:val="clear"/>
        <w:spacing w:line="440" w:lineRule="exact"/>
        <w:rPr>
          <w:rFonts w:ascii="宋体" w:hAnsi="宋体" w:cs="宋体"/>
          <w:color w:val="auto"/>
          <w:szCs w:val="21"/>
          <w:highlight w:val="none"/>
        </w:rPr>
      </w:pPr>
      <w:r>
        <w:rPr>
          <w:rFonts w:hint="eastAsia" w:ascii="宋体" w:hAnsi="宋体" w:cs="宋体"/>
          <w:color w:val="auto"/>
          <w:szCs w:val="21"/>
          <w:highlight w:val="none"/>
        </w:rPr>
        <w:t xml:space="preserve">    地 址：浙江省宁波市奉化区岳林街道新丰路66号</w:t>
      </w:r>
    </w:p>
    <w:p w14:paraId="50827150">
      <w:pPr>
        <w:shd w:val="clear"/>
        <w:spacing w:line="440" w:lineRule="exac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 xml:space="preserve">    联系人：</w:t>
      </w:r>
      <w:r>
        <w:rPr>
          <w:rFonts w:hint="eastAsia" w:ascii="宋体" w:hAnsi="宋体" w:cs="宋体"/>
          <w:bCs/>
          <w:color w:val="auto"/>
          <w:szCs w:val="21"/>
          <w:highlight w:val="none"/>
          <w:lang w:val="en-US" w:eastAsia="zh-CN"/>
        </w:rPr>
        <w:t>郑老师</w:t>
      </w:r>
    </w:p>
    <w:p w14:paraId="7C23AA9C">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监督投诉电话：</w:t>
      </w:r>
      <w:r>
        <w:rPr>
          <w:rFonts w:ascii="宋体" w:hAnsi="宋体" w:cs="宋体"/>
          <w:bCs/>
          <w:color w:val="auto"/>
          <w:szCs w:val="21"/>
          <w:highlight w:val="none"/>
        </w:rPr>
        <w:t>0574-</w:t>
      </w:r>
      <w:r>
        <w:rPr>
          <w:rFonts w:hint="eastAsia" w:ascii="宋体" w:hAnsi="宋体" w:cs="宋体"/>
          <w:bCs/>
          <w:color w:val="auto"/>
          <w:szCs w:val="21"/>
          <w:highlight w:val="none"/>
          <w:lang w:val="en-US" w:eastAsia="zh-CN"/>
        </w:rPr>
        <w:t>89294249</w:t>
      </w:r>
      <w:r>
        <w:rPr>
          <w:rFonts w:hint="eastAsia" w:ascii="宋体" w:hAnsi="宋体" w:cs="宋体"/>
          <w:color w:val="auto"/>
          <w:szCs w:val="21"/>
          <w:highlight w:val="none"/>
        </w:rPr>
        <w:t xml:space="preserve">    </w:t>
      </w:r>
    </w:p>
    <w:p w14:paraId="5ECEB8BE">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若对项目采购电子交易系统操作有疑问，可登录</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w:t>
      </w:r>
      <w:r>
        <w:rPr>
          <w:rFonts w:hint="eastAsia" w:ascii="宋体" w:hAnsi="宋体" w:cs="宋体"/>
          <w:color w:val="auto"/>
          <w:szCs w:val="21"/>
          <w:highlight w:val="none"/>
          <w:lang w:eastAsia="zh-CN"/>
        </w:rPr>
        <w:t>https：//www.lecaiyun.com/</w:t>
      </w:r>
      <w:r>
        <w:rPr>
          <w:rFonts w:hint="eastAsia" w:ascii="宋体" w:hAnsi="宋体" w:cs="宋体"/>
          <w:color w:val="auto"/>
          <w:szCs w:val="21"/>
          <w:highlight w:val="none"/>
        </w:rPr>
        <w:t>），点击右侧咨询小采，获取采小蜜智能服务管家帮助，或拨打</w:t>
      </w:r>
      <w:r>
        <w:rPr>
          <w:rFonts w:hint="eastAsia" w:ascii="宋体" w:hAnsi="宋体" w:cs="宋体"/>
          <w:color w:val="auto"/>
          <w:szCs w:val="21"/>
          <w:highlight w:val="none"/>
          <w:lang w:eastAsia="zh-CN"/>
        </w:rPr>
        <w:t>乐采云</w:t>
      </w:r>
      <w:r>
        <w:rPr>
          <w:rFonts w:hint="eastAsia" w:ascii="宋体" w:hAnsi="宋体" w:cs="宋体"/>
          <w:color w:val="auto"/>
          <w:szCs w:val="21"/>
          <w:highlight w:val="none"/>
        </w:rPr>
        <w:t>服务热线95763获取热线服务帮助。</w:t>
      </w:r>
    </w:p>
    <w:p w14:paraId="2CB457DB">
      <w:pPr>
        <w:shd w:val="clear"/>
        <w:spacing w:line="44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CA问题联系电话（人工）：汇信CA 400-888-4636；天谷CA 400-087-8198。</w:t>
      </w:r>
    </w:p>
    <w:p w14:paraId="7DD23001">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bookmarkStart w:id="6" w:name="_Hlt67893495"/>
      <w:bookmarkEnd w:id="6"/>
      <w:bookmarkStart w:id="7" w:name="_Toc91899869"/>
    </w:p>
    <w:bookmarkEnd w:id="7"/>
    <w:p w14:paraId="7B0C098A">
      <w:pPr>
        <w:shd w:val="clear"/>
        <w:spacing w:line="360" w:lineRule="auto"/>
        <w:jc w:val="center"/>
        <w:outlineLvl w:val="0"/>
        <w:rPr>
          <w:rFonts w:asciiTheme="minorEastAsia" w:hAnsiTheme="minorEastAsia" w:eastAsiaTheme="minorEastAsia" w:cstheme="minorEastAsia"/>
          <w:b/>
          <w:color w:val="auto"/>
          <w:sz w:val="36"/>
          <w:szCs w:val="20"/>
          <w:highlight w:val="none"/>
        </w:rPr>
      </w:pPr>
      <w:bookmarkStart w:id="8" w:name="第二部分"/>
      <w:bookmarkStart w:id="9" w:name="_Toc91899870"/>
      <w:bookmarkStart w:id="10" w:name="_Toc91899871"/>
      <w:r>
        <w:rPr>
          <w:rFonts w:hint="eastAsia" w:asciiTheme="minorEastAsia" w:hAnsiTheme="minorEastAsia" w:eastAsiaTheme="minorEastAsia" w:cstheme="minorEastAsia"/>
          <w:b/>
          <w:color w:val="auto"/>
          <w:sz w:val="36"/>
          <w:szCs w:val="20"/>
          <w:highlight w:val="none"/>
        </w:rPr>
        <w:t>第二部分</w:t>
      </w:r>
      <w:bookmarkEnd w:id="8"/>
      <w:r>
        <w:rPr>
          <w:rFonts w:hint="eastAsia" w:asciiTheme="minorEastAsia" w:hAnsiTheme="minorEastAsia" w:eastAsiaTheme="minorEastAsia" w:cstheme="minorEastAsia"/>
          <w:b/>
          <w:color w:val="auto"/>
          <w:sz w:val="36"/>
          <w:szCs w:val="20"/>
          <w:highlight w:val="none"/>
        </w:rPr>
        <w:t xml:space="preserve"> </w:t>
      </w:r>
      <w:r>
        <w:rPr>
          <w:rFonts w:hint="eastAsia" w:asciiTheme="minorEastAsia" w:hAnsiTheme="minorEastAsia" w:eastAsiaTheme="minorEastAsia" w:cstheme="minorEastAsia"/>
          <w:b/>
          <w:color w:val="auto"/>
          <w:sz w:val="36"/>
          <w:szCs w:val="20"/>
          <w:highlight w:val="none"/>
          <w:lang w:val="en-US" w:eastAsia="zh-CN"/>
        </w:rPr>
        <w:t xml:space="preserve"> </w:t>
      </w:r>
      <w:r>
        <w:rPr>
          <w:rFonts w:hint="eastAsia" w:asciiTheme="minorEastAsia" w:hAnsiTheme="minorEastAsia" w:eastAsiaTheme="minorEastAsia" w:cstheme="minorEastAsia"/>
          <w:b/>
          <w:color w:val="auto"/>
          <w:sz w:val="36"/>
          <w:szCs w:val="20"/>
          <w:highlight w:val="none"/>
        </w:rPr>
        <w:t>响应须知</w:t>
      </w:r>
      <w:bookmarkEnd w:id="9"/>
    </w:p>
    <w:p w14:paraId="6C6B2585">
      <w:pPr>
        <w:shd w:val="clear"/>
        <w:snapToGrid w:val="0"/>
        <w:spacing w:line="360" w:lineRule="auto"/>
        <w:jc w:val="center"/>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26"/>
        <w:tblW w:w="913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662"/>
      </w:tblGrid>
      <w:tr w14:paraId="348BE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348ADAF">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8794C5A">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事项</w:t>
            </w:r>
          </w:p>
        </w:tc>
        <w:tc>
          <w:tcPr>
            <w:tcW w:w="6662" w:type="dxa"/>
            <w:tcBorders>
              <w:top w:val="single" w:color="000000" w:sz="8" w:space="0"/>
              <w:left w:val="single" w:color="000000" w:sz="2" w:space="0"/>
              <w:bottom w:val="single" w:color="000000" w:sz="8" w:space="0"/>
              <w:right w:val="single" w:color="000000" w:sz="8" w:space="0"/>
            </w:tcBorders>
            <w:vAlign w:val="center"/>
          </w:tcPr>
          <w:p w14:paraId="7DA0D396">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本项目的特别规定</w:t>
            </w:r>
          </w:p>
        </w:tc>
      </w:tr>
      <w:tr w14:paraId="409163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3FD385F4">
            <w:pPr>
              <w:shd w:val="clear"/>
              <w:snapToGrid w:val="0"/>
              <w:spacing w:line="440" w:lineRule="exact"/>
              <w:jc w:val="center"/>
              <w:rPr>
                <w:rFonts w:ascii="宋体" w:hAnsi="宋体" w:cs="宋体"/>
                <w:color w:val="auto"/>
                <w:szCs w:val="21"/>
                <w:highlight w:val="none"/>
              </w:rPr>
            </w:pPr>
          </w:p>
          <w:p w14:paraId="1964DF56">
            <w:pPr>
              <w:shd w:val="clear"/>
              <w:snapToGrid w:val="0"/>
              <w:spacing w:line="440" w:lineRule="exact"/>
              <w:jc w:val="center"/>
              <w:rPr>
                <w:rFonts w:ascii="宋体" w:hAnsi="宋体" w:cs="宋体"/>
                <w:color w:val="auto"/>
                <w:szCs w:val="21"/>
                <w:highlight w:val="none"/>
              </w:rPr>
            </w:pPr>
          </w:p>
          <w:p w14:paraId="18F436AE">
            <w:pPr>
              <w:shd w:val="clear"/>
              <w:snapToGrid w:val="0"/>
              <w:spacing w:line="440" w:lineRule="exact"/>
              <w:jc w:val="center"/>
              <w:rPr>
                <w:rFonts w:ascii="宋体" w:hAnsi="宋体" w:cs="宋体"/>
                <w:color w:val="auto"/>
                <w:szCs w:val="21"/>
                <w:highlight w:val="none"/>
              </w:rPr>
            </w:pPr>
          </w:p>
          <w:p w14:paraId="02CF8F87">
            <w:pPr>
              <w:shd w:val="clear"/>
              <w:snapToGrid w:val="0"/>
              <w:spacing w:line="440" w:lineRule="exact"/>
              <w:jc w:val="center"/>
              <w:rPr>
                <w:rFonts w:ascii="宋体" w:hAnsi="宋体" w:cs="宋体"/>
                <w:color w:val="auto"/>
                <w:szCs w:val="21"/>
                <w:highlight w:val="none"/>
              </w:rPr>
            </w:pPr>
          </w:p>
          <w:p w14:paraId="55CCF05D">
            <w:pPr>
              <w:shd w:val="clear"/>
              <w:snapToGrid w:val="0"/>
              <w:spacing w:line="440" w:lineRule="exact"/>
              <w:jc w:val="center"/>
              <w:rPr>
                <w:rFonts w:ascii="宋体" w:hAnsi="宋体" w:cs="宋体"/>
                <w:color w:val="auto"/>
                <w:szCs w:val="21"/>
                <w:highlight w:val="none"/>
              </w:rPr>
            </w:pPr>
          </w:p>
          <w:p w14:paraId="462ED19A">
            <w:pPr>
              <w:shd w:val="clea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063F85">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报价要求</w:t>
            </w:r>
          </w:p>
        </w:tc>
        <w:tc>
          <w:tcPr>
            <w:tcW w:w="6662" w:type="dxa"/>
            <w:tcBorders>
              <w:top w:val="single" w:color="000000" w:sz="8" w:space="0"/>
              <w:left w:val="single" w:color="000000" w:sz="2" w:space="0"/>
              <w:bottom w:val="single" w:color="000000" w:sz="8" w:space="0"/>
              <w:right w:val="single" w:color="000000" w:sz="8" w:space="0"/>
            </w:tcBorders>
            <w:vAlign w:val="center"/>
          </w:tcPr>
          <w:p w14:paraId="149498F6">
            <w:pPr>
              <w:shd w:val="clear"/>
              <w:snapToGrid w:val="0"/>
              <w:spacing w:line="440" w:lineRule="exact"/>
              <w:jc w:val="left"/>
              <w:rPr>
                <w:rFonts w:ascii="宋体" w:hAnsi="宋体" w:cs="宋体"/>
                <w:b/>
                <w:color w:val="auto"/>
                <w:kern w:val="0"/>
                <w:szCs w:val="21"/>
                <w:highlight w:val="none"/>
                <w:lang w:val="zh-CN"/>
              </w:rPr>
            </w:pP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lang w:val="zh-CN"/>
              </w:rPr>
              <w:t>有关本项目实施所需的所有费用（含税费）均计入报价。</w:t>
            </w:r>
            <w:r>
              <w:rPr>
                <w:rFonts w:hint="eastAsia" w:ascii="宋体" w:hAnsi="宋体" w:cs="宋体"/>
                <w:color w:val="auto"/>
                <w:szCs w:val="21"/>
                <w:highlight w:val="none"/>
              </w:rPr>
              <w:t>报价一览表是报价的唯一载体</w:t>
            </w:r>
            <w:r>
              <w:rPr>
                <w:rFonts w:hint="eastAsia" w:ascii="宋体" w:hAnsi="宋体" w:cs="宋体"/>
                <w:color w:val="auto"/>
                <w:kern w:val="0"/>
                <w:szCs w:val="21"/>
                <w:highlight w:val="none"/>
                <w:lang w:val="zh-CN"/>
              </w:rPr>
              <w:t>。</w:t>
            </w:r>
            <w:r>
              <w:rPr>
                <w:rFonts w:hint="eastAsia" w:ascii="宋体" w:hAnsi="宋体" w:cs="宋体"/>
                <w:b/>
                <w:color w:val="auto"/>
                <w:kern w:val="0"/>
                <w:szCs w:val="21"/>
                <w:highlight w:val="none"/>
                <w:lang w:val="zh-CN"/>
              </w:rPr>
              <w:t>响应文件中价格采用综合折扣率报价</w:t>
            </w:r>
            <w:r>
              <w:rPr>
                <w:rFonts w:hint="eastAsia" w:ascii="宋体" w:hAnsi="宋体" w:cs="宋体"/>
                <w:color w:val="auto"/>
                <w:kern w:val="0"/>
                <w:szCs w:val="21"/>
                <w:highlight w:val="none"/>
                <w:lang w:val="zh-CN"/>
              </w:rPr>
              <w:t>。</w:t>
            </w:r>
          </w:p>
          <w:p w14:paraId="276DA35A">
            <w:pPr>
              <w:shd w:val="clear"/>
              <w:snapToGrid w:val="0"/>
              <w:spacing w:line="440" w:lineRule="exact"/>
              <w:jc w:val="left"/>
              <w:rPr>
                <w:rFonts w:ascii="宋体" w:hAnsi="宋体" w:cs="宋体"/>
                <w:b/>
                <w:color w:val="auto"/>
                <w:kern w:val="0"/>
                <w:szCs w:val="21"/>
                <w:highlight w:val="none"/>
                <w:lang w:val="zh-CN"/>
              </w:rPr>
            </w:pPr>
            <w:r>
              <w:rPr>
                <w:rFonts w:hint="eastAsia" w:ascii="宋体" w:hAnsi="宋体" w:cs="宋体"/>
                <w:b/>
                <w:color w:val="auto"/>
                <w:kern w:val="0"/>
                <w:szCs w:val="21"/>
                <w:highlight w:val="none"/>
                <w:lang w:val="zh-CN"/>
              </w:rPr>
              <w:t>响应报价出现下列情形的，响应无效：</w:t>
            </w:r>
          </w:p>
          <w:p w14:paraId="5F0753EF">
            <w:pPr>
              <w:shd w:val="clear"/>
              <w:snapToGrid w:val="0"/>
              <w:spacing w:line="440" w:lineRule="exact"/>
              <w:ind w:firstLine="422" w:firstLineChars="200"/>
              <w:jc w:val="left"/>
              <w:rPr>
                <w:rFonts w:ascii="宋体" w:hAnsi="宋体" w:cs="宋体"/>
                <w:b/>
                <w:color w:val="auto"/>
                <w:kern w:val="0"/>
                <w:szCs w:val="21"/>
                <w:highlight w:val="none"/>
                <w:lang w:val="zh-CN"/>
              </w:rPr>
            </w:pPr>
            <w:r>
              <w:rPr>
                <w:rFonts w:hint="eastAsia" w:ascii="宋体" w:hAnsi="宋体" w:cs="宋体"/>
                <w:b/>
                <w:color w:val="auto"/>
                <w:kern w:val="0"/>
                <w:szCs w:val="21"/>
                <w:highlight w:val="none"/>
                <w:lang w:val="zh-CN"/>
              </w:rPr>
              <w:t>响应文件出现不是唯一的、有选择性响应报价的；</w:t>
            </w:r>
          </w:p>
          <w:p w14:paraId="4AC7E09E">
            <w:pPr>
              <w:shd w:val="clear"/>
              <w:snapToGrid w:val="0"/>
              <w:spacing w:line="440" w:lineRule="exact"/>
              <w:ind w:firstLine="422" w:firstLineChars="200"/>
              <w:jc w:val="left"/>
              <w:rPr>
                <w:rFonts w:ascii="宋体" w:hAnsi="宋体" w:cs="宋体"/>
                <w:color w:val="auto"/>
                <w:kern w:val="0"/>
                <w:szCs w:val="21"/>
                <w:highlight w:val="none"/>
                <w:lang w:val="zh-CN"/>
              </w:rPr>
            </w:pPr>
            <w:r>
              <w:rPr>
                <w:rFonts w:hint="eastAsia" w:ascii="宋体" w:hAnsi="宋体" w:cs="宋体"/>
                <w:b/>
                <w:color w:val="auto"/>
                <w:kern w:val="0"/>
                <w:szCs w:val="21"/>
                <w:highlight w:val="none"/>
                <w:lang w:val="zh-CN"/>
              </w:rPr>
              <w:t>响应报价超过采购文件中规定的最高综合折扣率的；</w:t>
            </w:r>
          </w:p>
          <w:p w14:paraId="40B7DB35">
            <w:pPr>
              <w:shd w:val="clear"/>
              <w:spacing w:line="440" w:lineRule="exact"/>
              <w:ind w:firstLine="422" w:firstLineChars="200"/>
              <w:rPr>
                <w:rFonts w:hint="eastAsia" w:ascii="宋体" w:hAnsi="宋体" w:eastAsia="宋体" w:cs="宋体"/>
                <w:b/>
                <w:color w:val="auto"/>
                <w:szCs w:val="21"/>
                <w:highlight w:val="none"/>
                <w:lang w:eastAsia="zh-CN"/>
              </w:rPr>
            </w:pPr>
            <w:r>
              <w:rPr>
                <w:rFonts w:hint="eastAsia" w:ascii="宋体" w:hAnsi="宋体" w:cs="宋体"/>
                <w:b/>
                <w:color w:val="auto"/>
                <w:kern w:val="0"/>
                <w:szCs w:val="21"/>
                <w:highlight w:val="none"/>
              </w:rPr>
              <w:t>报价明显低于其他通过符合性审查供应商的报价，有可能影响服务质量或者不能诚信履约的，未能按要求提供书面说明或者提交相关证明材料证明其报价合理性的</w:t>
            </w:r>
            <w:r>
              <w:rPr>
                <w:rFonts w:hint="eastAsia" w:ascii="宋体" w:hAnsi="宋体" w:cs="宋体"/>
                <w:b/>
                <w:color w:val="auto"/>
                <w:szCs w:val="21"/>
                <w:highlight w:val="none"/>
                <w:lang w:eastAsia="zh-CN"/>
              </w:rPr>
              <w:t>；</w:t>
            </w:r>
          </w:p>
          <w:p w14:paraId="644257A1">
            <w:pPr>
              <w:shd w:val="clear"/>
              <w:spacing w:line="440" w:lineRule="exact"/>
              <w:ind w:firstLine="422" w:firstLineChars="200"/>
              <w:rPr>
                <w:rFonts w:hint="eastAsia" w:ascii="宋体" w:hAnsi="宋体" w:cs="宋体"/>
                <w:b/>
                <w:color w:val="auto"/>
                <w:szCs w:val="21"/>
                <w:highlight w:val="none"/>
              </w:rPr>
            </w:pPr>
            <w:r>
              <w:rPr>
                <w:rFonts w:hint="eastAsia" w:ascii="宋体" w:hAnsi="宋体" w:cs="宋体"/>
                <w:b/>
                <w:color w:val="auto"/>
                <w:kern w:val="0"/>
                <w:szCs w:val="21"/>
                <w:highlight w:val="none"/>
              </w:rPr>
              <w:t>供应商对根据修正原则修正后的报价不确认的</w:t>
            </w:r>
            <w:r>
              <w:rPr>
                <w:rFonts w:hint="eastAsia" w:ascii="宋体" w:hAnsi="宋体" w:cs="宋体"/>
                <w:b/>
                <w:color w:val="auto"/>
                <w:szCs w:val="21"/>
                <w:highlight w:val="none"/>
              </w:rPr>
              <w:t>。</w:t>
            </w:r>
          </w:p>
          <w:p w14:paraId="4732AC5E">
            <w:pPr>
              <w:shd w:val="clear"/>
              <w:spacing w:line="440" w:lineRule="exact"/>
              <w:rPr>
                <w:rFonts w:hint="eastAsia" w:ascii="宋体" w:hAnsi="宋体" w:eastAsia="宋体" w:cs="宋体"/>
                <w:color w:val="auto"/>
                <w:szCs w:val="21"/>
                <w:highlight w:val="none"/>
                <w:lang w:val="en-US" w:eastAsia="zh-Hans"/>
              </w:rPr>
            </w:pPr>
            <w:r>
              <w:rPr>
                <w:rFonts w:hint="eastAsia" w:ascii="宋体" w:hAnsi="宋体" w:eastAsia="宋体" w:cs="宋体"/>
                <w:color w:val="auto"/>
                <w:szCs w:val="21"/>
                <w:highlight w:val="none"/>
              </w:rPr>
              <w:t>2、本项目报价采用综合折扣率方式</w:t>
            </w:r>
            <w:r>
              <w:rPr>
                <w:rFonts w:hint="eastAsia" w:ascii="宋体" w:hAnsi="宋体" w:eastAsia="宋体" w:cs="宋体"/>
                <w:color w:val="auto"/>
                <w:szCs w:val="21"/>
                <w:highlight w:val="none"/>
                <w:lang w:val="en-US" w:eastAsia="zh-Hans"/>
              </w:rPr>
              <w:t>:</w:t>
            </w:r>
          </w:p>
          <w:p w14:paraId="6B000616">
            <w:pPr>
              <w:shd w:val="clear"/>
              <w:spacing w:line="440" w:lineRule="exact"/>
              <w:rPr>
                <w:rFonts w:hint="default" w:ascii="宋体" w:hAnsi="宋体" w:eastAsia="宋体" w:cs="宋体"/>
                <w:color w:val="auto"/>
                <w:szCs w:val="21"/>
                <w:highlight w:val="none"/>
                <w:lang w:eastAsia="zh-Hans"/>
              </w:rPr>
            </w:pPr>
            <w:r>
              <w:rPr>
                <w:rFonts w:hint="default" w:ascii="宋体" w:hAnsi="宋体" w:eastAsia="宋体" w:cs="宋体"/>
                <w:color w:val="auto"/>
                <w:szCs w:val="21"/>
                <w:highlight w:val="none"/>
              </w:rPr>
              <w:t>（1）单项工程预算在0.2万元（含）～1万元（不含）以内的项目</w:t>
            </w:r>
            <w:r>
              <w:rPr>
                <w:rFonts w:hint="eastAsia" w:ascii="宋体" w:hAnsi="宋体" w:eastAsia="宋体" w:cs="宋体"/>
                <w:color w:val="auto"/>
                <w:szCs w:val="21"/>
                <w:highlight w:val="none"/>
                <w:lang w:val="en-US" w:eastAsia="zh-Hans"/>
              </w:rPr>
              <w:t>结算时不下浮</w:t>
            </w:r>
            <w:r>
              <w:rPr>
                <w:rFonts w:hint="default" w:ascii="宋体" w:hAnsi="宋体" w:eastAsia="宋体" w:cs="宋体"/>
                <w:color w:val="auto"/>
                <w:szCs w:val="21"/>
                <w:highlight w:val="none"/>
                <w:lang w:eastAsia="zh-Hans"/>
              </w:rPr>
              <w:t>；</w:t>
            </w:r>
          </w:p>
          <w:p w14:paraId="7252594A">
            <w:pPr>
              <w:shd w:val="clear"/>
              <w:spacing w:line="440" w:lineRule="exact"/>
              <w:rPr>
                <w:rFonts w:hint="eastAsia" w:ascii="宋体" w:hAnsi="宋体" w:eastAsia="宋体" w:cs="宋体"/>
                <w:b/>
                <w:color w:val="auto"/>
                <w:szCs w:val="21"/>
                <w:highlight w:val="none"/>
                <w:lang w:eastAsia="zh-CN"/>
              </w:rPr>
            </w:pPr>
            <w:r>
              <w:rPr>
                <w:rFonts w:hint="default" w:ascii="宋体" w:hAnsi="宋体" w:eastAsia="宋体" w:cs="宋体"/>
                <w:color w:val="auto"/>
                <w:szCs w:val="21"/>
                <w:highlight w:val="none"/>
              </w:rPr>
              <w:t>（2）单项工程预算在1万元（含）-60万元（不含）的项目</w:t>
            </w:r>
            <w:r>
              <w:rPr>
                <w:rFonts w:hint="eastAsia" w:ascii="宋体" w:hAnsi="宋体" w:eastAsia="宋体" w:cs="宋体"/>
                <w:color w:val="auto"/>
                <w:szCs w:val="21"/>
                <w:highlight w:val="none"/>
                <w:lang w:val="en-US" w:eastAsia="zh-Hans"/>
              </w:rPr>
              <w:t>下浮率应≥</w:t>
            </w:r>
            <w:r>
              <w:rPr>
                <w:rFonts w:hint="default" w:ascii="宋体" w:hAnsi="宋体" w:eastAsia="宋体" w:cs="宋体"/>
                <w:color w:val="auto"/>
                <w:szCs w:val="21"/>
                <w:highlight w:val="none"/>
                <w:lang w:eastAsia="zh-Hans"/>
              </w:rPr>
              <w:t>5</w:t>
            </w:r>
            <w:r>
              <w:rPr>
                <w:rFonts w:hint="eastAsia" w:ascii="宋体" w:hAnsi="宋体" w:eastAsia="宋体" w:cs="宋体"/>
                <w:color w:val="auto"/>
                <w:szCs w:val="21"/>
                <w:highlight w:val="none"/>
                <w:lang w:val="en-US" w:eastAsia="zh-Hans"/>
              </w:rPr>
              <w:t>%</w:t>
            </w:r>
            <w:r>
              <w:rPr>
                <w:rFonts w:hint="eastAsia" w:ascii="宋体" w:hAnsi="宋体" w:eastAsia="宋体" w:cs="宋体"/>
                <w:color w:val="auto"/>
                <w:szCs w:val="21"/>
                <w:highlight w:val="none"/>
                <w:lang w:val="en-US" w:eastAsia="zh-CN"/>
              </w:rPr>
              <w:t>，即最高综合折扣率为95%</w:t>
            </w:r>
            <w:r>
              <w:rPr>
                <w:rFonts w:hint="default" w:ascii="宋体" w:hAnsi="宋体" w:eastAsia="宋体" w:cs="宋体"/>
                <w:color w:val="auto"/>
                <w:szCs w:val="21"/>
                <w:highlight w:val="none"/>
              </w:rPr>
              <w:t>。</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本文件所指：</w:t>
            </w:r>
            <w:r>
              <w:rPr>
                <w:rFonts w:hint="eastAsia" w:ascii="宋体" w:hAnsi="宋体" w:eastAsia="宋体" w:cs="宋体"/>
                <w:color w:val="auto"/>
                <w:szCs w:val="21"/>
                <w:highlight w:val="none"/>
                <w:lang w:val="en-US" w:eastAsia="zh-CN"/>
              </w:rPr>
              <w:t>综合折扣率</w:t>
            </w:r>
            <w:r>
              <w:rPr>
                <w:rFonts w:hint="eastAsia" w:ascii="宋体" w:hAnsi="宋体" w:cs="宋体"/>
                <w:color w:val="auto"/>
                <w:szCs w:val="21"/>
                <w:highlight w:val="none"/>
                <w:lang w:val="en-US" w:eastAsia="zh-CN"/>
              </w:rPr>
              <w:t>=1-下浮率</w:t>
            </w:r>
            <w:r>
              <w:rPr>
                <w:rFonts w:hint="eastAsia" w:ascii="宋体" w:hAnsi="宋体" w:cs="宋体"/>
                <w:color w:val="auto"/>
                <w:szCs w:val="21"/>
                <w:highlight w:val="none"/>
                <w:lang w:eastAsia="zh-CN"/>
              </w:rPr>
              <w:t>）</w:t>
            </w:r>
          </w:p>
        </w:tc>
      </w:tr>
      <w:tr w14:paraId="1987AB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B8BC13C">
            <w:pPr>
              <w:shd w:val="clea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256933D">
            <w:pPr>
              <w:shd w:val="clear"/>
              <w:snapToGrid w:val="0"/>
              <w:spacing w:line="440" w:lineRule="exact"/>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分包</w:t>
            </w:r>
          </w:p>
        </w:tc>
        <w:tc>
          <w:tcPr>
            <w:tcW w:w="6662" w:type="dxa"/>
            <w:tcBorders>
              <w:top w:val="single" w:color="000000" w:sz="8" w:space="0"/>
              <w:left w:val="single" w:color="000000" w:sz="2" w:space="0"/>
              <w:bottom w:val="single" w:color="000000" w:sz="8" w:space="0"/>
              <w:right w:val="single" w:color="000000" w:sz="8" w:space="0"/>
            </w:tcBorders>
            <w:vAlign w:val="center"/>
          </w:tcPr>
          <w:p w14:paraId="282E78A7">
            <w:pPr>
              <w:shd w:val="clear"/>
              <w:spacing w:line="440" w:lineRule="exact"/>
              <w:jc w:val="left"/>
              <w:rPr>
                <w:rFonts w:ascii="宋体" w:hAnsi="宋体" w:cs="宋体"/>
                <w:color w:val="auto"/>
                <w:szCs w:val="21"/>
                <w:highlight w:val="none"/>
              </w:rPr>
            </w:pPr>
            <w:r>
              <w:rPr>
                <w:rFonts w:hint="eastAsia" w:ascii="宋体" w:hAnsi="宋体" w:cs="宋体"/>
                <w:color w:val="auto"/>
                <w:szCs w:val="21"/>
                <w:highlight w:val="none"/>
              </w:rPr>
              <w:t>不同意分包。</w:t>
            </w:r>
          </w:p>
        </w:tc>
      </w:tr>
      <w:tr w14:paraId="26EBA1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A1246C4">
            <w:pPr>
              <w:shd w:val="clea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84291E5">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供应商应当提供的资格文件</w:t>
            </w:r>
          </w:p>
        </w:tc>
        <w:tc>
          <w:tcPr>
            <w:tcW w:w="6662" w:type="dxa"/>
            <w:tcBorders>
              <w:top w:val="single" w:color="000000" w:sz="8" w:space="0"/>
              <w:left w:val="single" w:color="000000" w:sz="2" w:space="0"/>
              <w:bottom w:val="single" w:color="000000" w:sz="8" w:space="0"/>
              <w:right w:val="single" w:color="000000" w:sz="8" w:space="0"/>
            </w:tcBorders>
            <w:vAlign w:val="center"/>
          </w:tcPr>
          <w:p w14:paraId="0670CAD1">
            <w:pPr>
              <w:shd w:val="clear"/>
              <w:spacing w:line="440" w:lineRule="exact"/>
              <w:rPr>
                <w:rFonts w:ascii="宋体" w:hAnsi="宋体" w:cs="宋体"/>
                <w:color w:val="auto"/>
                <w:szCs w:val="21"/>
                <w:highlight w:val="none"/>
              </w:rPr>
            </w:pPr>
            <w:r>
              <w:rPr>
                <w:rFonts w:hint="eastAsia" w:ascii="宋体" w:hAnsi="宋体" w:cs="宋体"/>
                <w:color w:val="auto"/>
                <w:szCs w:val="21"/>
                <w:highlight w:val="none"/>
              </w:rPr>
              <w:t>资格证明文件：见采购文件第二部分9.1。</w:t>
            </w:r>
          </w:p>
          <w:p w14:paraId="55EF5F7B">
            <w:pPr>
              <w:shd w:val="clear"/>
              <w:spacing w:line="440" w:lineRule="exact"/>
              <w:rPr>
                <w:rFonts w:ascii="宋体" w:hAnsi="宋体" w:cs="宋体"/>
                <w:color w:val="auto"/>
                <w:kern w:val="0"/>
                <w:szCs w:val="21"/>
                <w:highlight w:val="none"/>
              </w:rPr>
            </w:pPr>
            <w:r>
              <w:rPr>
                <w:rFonts w:hint="eastAsia" w:ascii="宋体" w:hAnsi="宋体" w:cs="宋体"/>
                <w:color w:val="auto"/>
                <w:szCs w:val="21"/>
                <w:highlight w:val="none"/>
              </w:rPr>
              <w:t>资格证明文件不全的或者不符合采购文件标明的资格要求的</w:t>
            </w:r>
            <w:r>
              <w:rPr>
                <w:rFonts w:hint="eastAsia" w:ascii="宋体" w:hAnsi="宋体" w:cs="宋体"/>
                <w:color w:val="auto"/>
                <w:szCs w:val="21"/>
                <w:highlight w:val="none"/>
                <w:lang w:val="zh-CN"/>
              </w:rPr>
              <w:t>，视为供应商不具备采购文件中规定的资格要求，响应无效。</w:t>
            </w:r>
          </w:p>
        </w:tc>
      </w:tr>
      <w:tr w14:paraId="0F2C0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2B9113C7">
            <w:pPr>
              <w:shd w:val="clear"/>
              <w:snapToGrid w:val="0"/>
              <w:spacing w:line="440" w:lineRule="exact"/>
              <w:ind w:firstLine="210" w:firstLineChars="100"/>
              <w:rPr>
                <w:rFonts w:ascii="宋体" w:hAnsi="宋体" w:cs="宋体"/>
                <w:color w:val="auto"/>
                <w:szCs w:val="21"/>
                <w:highlight w:val="none"/>
              </w:rPr>
            </w:pPr>
            <w:r>
              <w:rPr>
                <w:rFonts w:hint="eastAsia" w:ascii="宋体" w:hAnsi="宋体" w:cs="宋体"/>
                <w:color w:val="auto"/>
                <w:szCs w:val="21"/>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2B68486">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现场考察</w:t>
            </w:r>
          </w:p>
        </w:tc>
        <w:tc>
          <w:tcPr>
            <w:tcW w:w="6662" w:type="dxa"/>
            <w:tcBorders>
              <w:top w:val="single" w:color="000000" w:sz="8" w:space="0"/>
              <w:left w:val="single" w:color="000000" w:sz="2" w:space="0"/>
              <w:bottom w:val="single" w:color="000000" w:sz="8" w:space="0"/>
              <w:right w:val="single" w:color="000000" w:sz="8" w:space="0"/>
            </w:tcBorders>
            <w:vAlign w:val="center"/>
          </w:tcPr>
          <w:p w14:paraId="7243215E">
            <w:pPr>
              <w:shd w:val="clear"/>
              <w:spacing w:line="440" w:lineRule="exact"/>
              <w:rPr>
                <w:rFonts w:ascii="宋体" w:hAnsi="宋体" w:cs="宋体"/>
                <w:color w:val="auto"/>
                <w:szCs w:val="21"/>
                <w:highlight w:val="none"/>
              </w:rPr>
            </w:pPr>
            <w:r>
              <w:rPr>
                <w:rFonts w:hint="eastAsia" w:ascii="宋体" w:hAnsi="宋体" w:cs="宋体"/>
                <w:color w:val="auto"/>
                <w:szCs w:val="21"/>
                <w:highlight w:val="none"/>
              </w:rPr>
              <w:t>不组织</w:t>
            </w:r>
          </w:p>
        </w:tc>
      </w:tr>
      <w:tr w14:paraId="1133D6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FB2DCE2">
            <w:pPr>
              <w:shd w:val="clea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27AE7430">
            <w:pPr>
              <w:shd w:val="clear"/>
              <w:snapToGrid w:val="0"/>
              <w:spacing w:line="440" w:lineRule="exact"/>
              <w:jc w:val="center"/>
              <w:rPr>
                <w:rFonts w:ascii="宋体" w:hAnsi="宋体" w:cs="宋体"/>
                <w:bCs/>
                <w:color w:val="auto"/>
                <w:szCs w:val="21"/>
                <w:highlight w:val="none"/>
              </w:rPr>
            </w:pPr>
            <w:r>
              <w:rPr>
                <w:rFonts w:hint="eastAsia" w:ascii="宋体" w:hAnsi="宋体" w:cs="宋体"/>
                <w:b/>
                <w:color w:val="auto"/>
                <w:szCs w:val="21"/>
                <w:highlight w:val="none"/>
              </w:rPr>
              <w:t>方案讲解演示</w:t>
            </w:r>
          </w:p>
        </w:tc>
        <w:tc>
          <w:tcPr>
            <w:tcW w:w="6662" w:type="dxa"/>
            <w:tcBorders>
              <w:top w:val="single" w:color="000000" w:sz="8" w:space="0"/>
              <w:left w:val="single" w:color="000000" w:sz="2" w:space="0"/>
              <w:bottom w:val="single" w:color="000000" w:sz="8" w:space="0"/>
              <w:right w:val="single" w:color="000000" w:sz="8" w:space="0"/>
            </w:tcBorders>
            <w:vAlign w:val="center"/>
          </w:tcPr>
          <w:p w14:paraId="298E8B0C">
            <w:pPr>
              <w:shd w:val="clear"/>
              <w:spacing w:line="440" w:lineRule="exact"/>
              <w:rPr>
                <w:rFonts w:ascii="宋体" w:hAnsi="宋体" w:cs="宋体"/>
                <w:color w:val="auto"/>
                <w:szCs w:val="21"/>
                <w:highlight w:val="none"/>
              </w:rPr>
            </w:pPr>
            <w:r>
              <w:rPr>
                <w:rFonts w:hint="eastAsia" w:ascii="宋体" w:hAnsi="宋体" w:cs="宋体"/>
                <w:color w:val="auto"/>
                <w:szCs w:val="21"/>
                <w:highlight w:val="none"/>
              </w:rPr>
              <w:t>不组织。</w:t>
            </w:r>
          </w:p>
        </w:tc>
      </w:tr>
      <w:tr w14:paraId="3E115B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CB2D877">
            <w:pPr>
              <w:shd w:val="clear"/>
              <w:snapToGrid w:val="0"/>
              <w:spacing w:line="440" w:lineRule="exact"/>
              <w:jc w:val="center"/>
              <w:rPr>
                <w:rFonts w:ascii="宋体" w:hAnsi="宋体" w:cs="宋体"/>
                <w:color w:val="auto"/>
                <w:szCs w:val="21"/>
                <w:highlight w:val="none"/>
              </w:rPr>
            </w:pPr>
            <w:r>
              <w:rPr>
                <w:rFonts w:hint="eastAsia" w:ascii="宋体" w:hAnsi="宋体" w:cs="宋体"/>
                <w:color w:val="auto"/>
                <w:szCs w:val="21"/>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60274CB">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采购标的对应的中小企业划分标准所属行业</w:t>
            </w:r>
          </w:p>
        </w:tc>
        <w:tc>
          <w:tcPr>
            <w:tcW w:w="6662" w:type="dxa"/>
            <w:tcBorders>
              <w:top w:val="single" w:color="000000" w:sz="8" w:space="0"/>
              <w:left w:val="single" w:color="000000" w:sz="2" w:space="0"/>
              <w:bottom w:val="single" w:color="000000" w:sz="8" w:space="0"/>
              <w:right w:val="single" w:color="000000" w:sz="8" w:space="0"/>
            </w:tcBorders>
            <w:vAlign w:val="center"/>
          </w:tcPr>
          <w:p w14:paraId="7159828A">
            <w:pPr>
              <w:shd w:val="clear"/>
              <w:snapToGrid w:val="0"/>
              <w:spacing w:line="440" w:lineRule="exact"/>
              <w:rPr>
                <w:rFonts w:ascii="宋体" w:hAnsi="宋体" w:cs="宋体"/>
                <w:color w:val="auto"/>
                <w:kern w:val="0"/>
                <w:szCs w:val="21"/>
                <w:highlight w:val="none"/>
              </w:rPr>
            </w:pPr>
            <w:r>
              <w:rPr>
                <w:rFonts w:hint="eastAsia" w:ascii="宋体" w:hAnsi="宋体" w:cs="宋体"/>
                <w:color w:val="auto"/>
                <w:kern w:val="0"/>
                <w:szCs w:val="21"/>
                <w:highlight w:val="none"/>
              </w:rPr>
              <w:t>标的：</w:t>
            </w:r>
            <w:r>
              <w:rPr>
                <w:rFonts w:hint="eastAsia" w:ascii="宋体" w:hAnsi="宋体" w:cs="宋体"/>
                <w:bCs/>
                <w:snapToGrid w:val="0"/>
                <w:color w:val="auto"/>
                <w:szCs w:val="21"/>
                <w:highlight w:val="none"/>
                <w:u w:val="single"/>
                <w:lang w:eastAsia="zh-CN"/>
              </w:rPr>
              <w:t>零星工程维修</w:t>
            </w:r>
            <w:r>
              <w:rPr>
                <w:rFonts w:hint="eastAsia" w:ascii="宋体" w:hAnsi="宋体" w:cs="宋体"/>
                <w:color w:val="auto"/>
                <w:kern w:val="0"/>
                <w:szCs w:val="21"/>
                <w:highlight w:val="none"/>
              </w:rPr>
              <w:t>，属于</w:t>
            </w:r>
            <w:r>
              <w:rPr>
                <w:rFonts w:hint="eastAsia" w:ascii="宋体" w:hAnsi="宋体" w:cs="宋体"/>
                <w:color w:val="auto"/>
                <w:kern w:val="0"/>
                <w:szCs w:val="21"/>
                <w:highlight w:val="none"/>
                <w:u w:val="single"/>
              </w:rPr>
              <w:t>建筑</w:t>
            </w:r>
            <w:r>
              <w:rPr>
                <w:rFonts w:hint="eastAsia" w:ascii="宋体" w:hAnsi="宋体" w:cs="宋体"/>
                <w:color w:val="auto"/>
                <w:kern w:val="0"/>
                <w:szCs w:val="21"/>
                <w:highlight w:val="none"/>
              </w:rPr>
              <w:t>行业；</w:t>
            </w:r>
          </w:p>
        </w:tc>
      </w:tr>
      <w:tr w14:paraId="693F99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51C43C3">
            <w:pPr>
              <w:snapToGrid w:val="0"/>
              <w:spacing w:line="500" w:lineRule="exact"/>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61704A12">
            <w:pPr>
              <w:snapToGrid w:val="0"/>
              <w:spacing w:line="500" w:lineRule="exact"/>
              <w:jc w:val="center"/>
              <w:rPr>
                <w:rFonts w:hint="eastAsia" w:ascii="宋体" w:hAnsi="宋体" w:cs="宋体"/>
                <w:b/>
                <w:color w:val="auto"/>
                <w:szCs w:val="21"/>
                <w:highlight w:val="none"/>
              </w:rPr>
            </w:pPr>
            <w:r>
              <w:rPr>
                <w:rFonts w:hint="eastAsia" w:ascii="仿宋" w:hAnsi="仿宋" w:eastAsia="仿宋" w:cs="仿宋"/>
                <w:b/>
                <w:color w:val="auto"/>
                <w:sz w:val="24"/>
                <w:highlight w:val="none"/>
              </w:rPr>
              <w:t>履约保证金</w:t>
            </w:r>
          </w:p>
        </w:tc>
        <w:tc>
          <w:tcPr>
            <w:tcW w:w="6662" w:type="dxa"/>
            <w:tcBorders>
              <w:top w:val="single" w:color="000000" w:sz="8" w:space="0"/>
              <w:left w:val="single" w:color="000000" w:sz="2" w:space="0"/>
              <w:bottom w:val="single" w:color="000000" w:sz="8" w:space="0"/>
              <w:right w:val="single" w:color="000000" w:sz="8" w:space="0"/>
            </w:tcBorders>
            <w:vAlign w:val="center"/>
          </w:tcPr>
          <w:p w14:paraId="4204DB43">
            <w:pPr>
              <w:shd w:val="clea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金额：人民币</w:t>
            </w:r>
            <w:r>
              <w:rPr>
                <w:rFonts w:hint="eastAsia" w:ascii="宋体" w:hAnsi="宋体" w:cs="宋体"/>
                <w:color w:val="auto"/>
                <w:szCs w:val="21"/>
                <w:highlight w:val="none"/>
                <w:lang w:val="en-US" w:eastAsia="zh-CN"/>
              </w:rPr>
              <w:t>8</w:t>
            </w:r>
            <w:r>
              <w:rPr>
                <w:rFonts w:hint="eastAsia" w:ascii="宋体" w:hAnsi="宋体" w:eastAsia="宋体" w:cs="宋体"/>
                <w:color w:val="auto"/>
                <w:szCs w:val="21"/>
                <w:highlight w:val="none"/>
                <w:lang w:val="en-US" w:eastAsia="zh-CN"/>
              </w:rPr>
              <w:t>000</w:t>
            </w:r>
            <w:r>
              <w:rPr>
                <w:rFonts w:hint="eastAsia" w:ascii="宋体" w:hAnsi="宋体" w:eastAsia="宋体" w:cs="宋体"/>
                <w:color w:val="auto"/>
                <w:szCs w:val="21"/>
                <w:highlight w:val="none"/>
              </w:rPr>
              <w:t>元整；</w:t>
            </w:r>
          </w:p>
          <w:p w14:paraId="1A20395D">
            <w:pPr>
              <w:shd w:val="clea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形式：支票、汇票、本票或者金融机构、担保机构出具的保函等非现金形式提交；</w:t>
            </w:r>
          </w:p>
          <w:p w14:paraId="2F0D712A">
            <w:pPr>
              <w:shd w:val="clea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时间：在签订合同</w:t>
            </w:r>
            <w:r>
              <w:rPr>
                <w:rFonts w:hint="eastAsia" w:ascii="宋体" w:hAnsi="宋体" w:eastAsia="宋体" w:cs="宋体"/>
                <w:color w:val="auto"/>
                <w:szCs w:val="21"/>
                <w:highlight w:val="none"/>
                <w:lang w:val="en-US" w:eastAsia="zh-Hans"/>
              </w:rPr>
              <w:t>后</w:t>
            </w:r>
            <w:r>
              <w:rPr>
                <w:rFonts w:hint="default" w:ascii="宋体" w:hAnsi="宋体" w:eastAsia="宋体" w:cs="宋体"/>
                <w:color w:val="auto"/>
                <w:szCs w:val="21"/>
                <w:highlight w:val="none"/>
                <w:lang w:eastAsia="zh-Hans"/>
              </w:rPr>
              <w:t>15</w:t>
            </w:r>
            <w:r>
              <w:rPr>
                <w:rFonts w:hint="eastAsia" w:ascii="宋体" w:hAnsi="宋体" w:eastAsia="宋体" w:cs="宋体"/>
                <w:color w:val="auto"/>
                <w:szCs w:val="21"/>
                <w:highlight w:val="none"/>
                <w:lang w:val="en-US" w:eastAsia="zh-CN"/>
              </w:rPr>
              <w:t>个</w:t>
            </w:r>
            <w:r>
              <w:rPr>
                <w:rFonts w:hint="eastAsia" w:ascii="宋体" w:hAnsi="宋体" w:eastAsia="宋体" w:cs="宋体"/>
                <w:color w:val="auto"/>
                <w:szCs w:val="21"/>
                <w:highlight w:val="none"/>
                <w:lang w:val="en-US" w:eastAsia="zh-Hans"/>
              </w:rPr>
              <w:t>工作日内</w:t>
            </w:r>
            <w:r>
              <w:rPr>
                <w:rFonts w:hint="eastAsia" w:ascii="宋体" w:hAnsi="宋体" w:eastAsia="宋体" w:cs="宋体"/>
                <w:color w:val="auto"/>
                <w:szCs w:val="21"/>
                <w:highlight w:val="none"/>
              </w:rPr>
              <w:t>提交。</w:t>
            </w:r>
          </w:p>
          <w:p w14:paraId="7D92659C">
            <w:pPr>
              <w:shd w:val="clear"/>
              <w:spacing w:line="440" w:lineRule="exact"/>
              <w:rPr>
                <w:rFonts w:hint="eastAsia" w:ascii="宋体" w:hAnsi="宋体" w:cs="宋体"/>
                <w:color w:val="auto"/>
                <w:kern w:val="0"/>
                <w:szCs w:val="21"/>
                <w:highlight w:val="none"/>
              </w:rPr>
            </w:pPr>
            <w:r>
              <w:rPr>
                <w:rFonts w:hint="eastAsia" w:ascii="宋体" w:hAnsi="宋体" w:eastAsia="宋体" w:cs="宋体"/>
                <w:color w:val="auto"/>
                <w:szCs w:val="21"/>
                <w:highlight w:val="none"/>
                <w:lang w:val="en-US" w:eastAsia="zh-Hans"/>
              </w:rPr>
              <w:t>履约保证金的退还：如果</w:t>
            </w:r>
            <w:r>
              <w:rPr>
                <w:rFonts w:hint="eastAsia" w:ascii="宋体" w:hAnsi="宋体" w:eastAsia="宋体" w:cs="宋体"/>
                <w:color w:val="auto"/>
                <w:szCs w:val="21"/>
                <w:highlight w:val="none"/>
                <w:lang w:val="en-US" w:eastAsia="zh-CN"/>
              </w:rPr>
              <w:t>成交</w:t>
            </w:r>
            <w:r>
              <w:rPr>
                <w:rFonts w:hint="default" w:ascii="宋体" w:hAnsi="宋体" w:eastAsia="宋体" w:cs="宋体"/>
                <w:color w:val="auto"/>
                <w:szCs w:val="21"/>
                <w:highlight w:val="none"/>
                <w:lang w:eastAsia="zh-Hans"/>
              </w:rPr>
              <w:t>供应商</w:t>
            </w:r>
            <w:r>
              <w:rPr>
                <w:rFonts w:hint="eastAsia" w:ascii="宋体" w:hAnsi="宋体" w:eastAsia="宋体" w:cs="宋体"/>
                <w:color w:val="auto"/>
                <w:szCs w:val="21"/>
                <w:highlight w:val="none"/>
                <w:lang w:val="en-US" w:eastAsia="zh-Hans"/>
              </w:rPr>
              <w:t>不履行合同，履约保证金不予退还；如果</w:t>
            </w:r>
            <w:r>
              <w:rPr>
                <w:rFonts w:hint="eastAsia" w:ascii="宋体" w:hAnsi="宋体" w:eastAsia="宋体" w:cs="宋体"/>
                <w:color w:val="auto"/>
                <w:szCs w:val="21"/>
                <w:highlight w:val="none"/>
                <w:lang w:val="en-US" w:eastAsia="zh-CN"/>
              </w:rPr>
              <w:t>成交</w:t>
            </w:r>
            <w:r>
              <w:rPr>
                <w:rFonts w:hint="default" w:ascii="宋体" w:hAnsi="宋体" w:eastAsia="宋体" w:cs="宋体"/>
                <w:color w:val="auto"/>
                <w:szCs w:val="21"/>
                <w:highlight w:val="none"/>
                <w:lang w:eastAsia="zh-Hans"/>
              </w:rPr>
              <w:t>供应商</w:t>
            </w:r>
            <w:r>
              <w:rPr>
                <w:rFonts w:hint="eastAsia" w:ascii="宋体" w:hAnsi="宋体" w:eastAsia="宋体" w:cs="宋体"/>
                <w:color w:val="auto"/>
                <w:szCs w:val="21"/>
                <w:highlight w:val="none"/>
                <w:lang w:val="en-US" w:eastAsia="zh-Hans"/>
              </w:rPr>
              <w:t>未能按合同约定全面履行义务，那么</w:t>
            </w:r>
            <w:r>
              <w:rPr>
                <w:rFonts w:hint="eastAsia" w:ascii="宋体" w:hAnsi="宋体" w:eastAsia="宋体" w:cs="宋体"/>
                <w:color w:val="auto"/>
                <w:szCs w:val="21"/>
                <w:highlight w:val="none"/>
                <w:lang w:val="en-US" w:eastAsia="zh-CN"/>
              </w:rPr>
              <w:t>采购</w:t>
            </w:r>
            <w:r>
              <w:rPr>
                <w:rFonts w:hint="default" w:ascii="宋体" w:hAnsi="宋体" w:eastAsia="宋体" w:cs="宋体"/>
                <w:color w:val="auto"/>
                <w:szCs w:val="21"/>
                <w:highlight w:val="none"/>
                <w:lang w:eastAsia="zh-Hans"/>
              </w:rPr>
              <w:t>人</w:t>
            </w:r>
            <w:r>
              <w:rPr>
                <w:rFonts w:hint="eastAsia" w:ascii="宋体" w:hAnsi="宋体" w:eastAsia="宋体" w:cs="宋体"/>
                <w:color w:val="auto"/>
                <w:szCs w:val="21"/>
                <w:highlight w:val="none"/>
                <w:lang w:val="en-US" w:eastAsia="zh-Hans"/>
              </w:rPr>
              <w:t>有权从履约保证金中取得补偿或赔偿，同时不影响</w:t>
            </w:r>
            <w:r>
              <w:rPr>
                <w:rFonts w:hint="eastAsia" w:ascii="宋体" w:hAnsi="宋体" w:eastAsia="宋体" w:cs="宋体"/>
                <w:color w:val="auto"/>
                <w:szCs w:val="21"/>
                <w:highlight w:val="none"/>
                <w:lang w:val="en-US" w:eastAsia="zh-CN"/>
              </w:rPr>
              <w:t>采购</w:t>
            </w:r>
            <w:r>
              <w:rPr>
                <w:rFonts w:hint="default" w:ascii="宋体" w:hAnsi="宋体" w:eastAsia="宋体" w:cs="宋体"/>
                <w:color w:val="auto"/>
                <w:szCs w:val="21"/>
                <w:highlight w:val="none"/>
                <w:lang w:eastAsia="zh-Hans"/>
              </w:rPr>
              <w:t>人</w:t>
            </w:r>
            <w:r>
              <w:rPr>
                <w:rFonts w:hint="eastAsia" w:ascii="宋体" w:hAnsi="宋体" w:eastAsia="宋体" w:cs="宋体"/>
                <w:color w:val="auto"/>
                <w:szCs w:val="21"/>
                <w:highlight w:val="none"/>
                <w:lang w:val="en-US" w:eastAsia="zh-Hans"/>
              </w:rPr>
              <w:t>要求</w:t>
            </w:r>
            <w:r>
              <w:rPr>
                <w:rFonts w:hint="eastAsia" w:ascii="宋体" w:hAnsi="宋体" w:eastAsia="宋体" w:cs="宋体"/>
                <w:color w:val="auto"/>
                <w:szCs w:val="21"/>
                <w:highlight w:val="none"/>
                <w:lang w:val="en-US" w:eastAsia="zh-CN"/>
              </w:rPr>
              <w:t>成交</w:t>
            </w:r>
            <w:r>
              <w:rPr>
                <w:rFonts w:hint="default" w:ascii="宋体" w:hAnsi="宋体" w:eastAsia="宋体" w:cs="宋体"/>
                <w:color w:val="auto"/>
                <w:szCs w:val="21"/>
                <w:highlight w:val="none"/>
                <w:lang w:eastAsia="zh-Hans"/>
              </w:rPr>
              <w:t>供应商</w:t>
            </w:r>
            <w:r>
              <w:rPr>
                <w:rFonts w:hint="eastAsia" w:ascii="宋体" w:hAnsi="宋体" w:eastAsia="宋体" w:cs="宋体"/>
                <w:color w:val="auto"/>
                <w:szCs w:val="21"/>
                <w:highlight w:val="none"/>
                <w:lang w:val="en-US" w:eastAsia="zh-Hans"/>
              </w:rPr>
              <w:t>承担合同约定的超过履约保证金的违约责任的权利。</w:t>
            </w:r>
          </w:p>
        </w:tc>
      </w:tr>
      <w:tr w14:paraId="1D832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19BCB60">
            <w:pPr>
              <w:shd w:val="clear"/>
              <w:snapToGrid w:val="0"/>
              <w:spacing w:line="44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E9ACDC7">
            <w:pPr>
              <w:shd w:val="clear"/>
              <w:snapToGrid w:val="0"/>
              <w:spacing w:line="440" w:lineRule="exact"/>
              <w:jc w:val="center"/>
              <w:rPr>
                <w:rFonts w:ascii="宋体" w:hAnsi="宋体" w:cs="宋体"/>
                <w:b/>
                <w:color w:val="auto"/>
                <w:szCs w:val="21"/>
                <w:highlight w:val="none"/>
              </w:rPr>
            </w:pPr>
            <w:r>
              <w:rPr>
                <w:rFonts w:hint="eastAsia" w:ascii="宋体" w:hAnsi="宋体" w:cs="宋体"/>
                <w:b/>
                <w:color w:val="auto"/>
                <w:szCs w:val="21"/>
                <w:highlight w:val="none"/>
              </w:rPr>
              <w:t>代理服务费</w:t>
            </w:r>
          </w:p>
        </w:tc>
        <w:tc>
          <w:tcPr>
            <w:tcW w:w="6662" w:type="dxa"/>
            <w:tcBorders>
              <w:top w:val="single" w:color="000000" w:sz="8" w:space="0"/>
              <w:left w:val="single" w:color="000000" w:sz="2" w:space="0"/>
              <w:bottom w:val="single" w:color="000000" w:sz="8" w:space="0"/>
              <w:right w:val="single" w:color="000000" w:sz="8" w:space="0"/>
            </w:tcBorders>
            <w:vAlign w:val="center"/>
          </w:tcPr>
          <w:p w14:paraId="787CE80C">
            <w:pPr>
              <w:pStyle w:val="10"/>
              <w:spacing w:line="500" w:lineRule="exact"/>
              <w:jc w:val="left"/>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1、本项目</w:t>
            </w:r>
            <w:r>
              <w:rPr>
                <w:rFonts w:hint="eastAsia" w:hAnsi="宋体" w:cs="宋体"/>
                <w:snapToGrid/>
                <w:color w:val="auto"/>
                <w:kern w:val="2"/>
                <w:sz w:val="21"/>
                <w:szCs w:val="21"/>
                <w:highlight w:val="none"/>
                <w:lang w:val="en-US" w:eastAsia="zh-CN" w:bidi="ar-SA"/>
              </w:rPr>
              <w:t>招</w:t>
            </w:r>
            <w:r>
              <w:rPr>
                <w:rFonts w:hint="eastAsia" w:ascii="宋体" w:hAnsi="宋体" w:eastAsia="宋体" w:cs="宋体"/>
                <w:snapToGrid/>
                <w:color w:val="auto"/>
                <w:kern w:val="2"/>
                <w:sz w:val="21"/>
                <w:szCs w:val="21"/>
                <w:highlight w:val="none"/>
                <w:lang w:val="en-US" w:eastAsia="zh-CN" w:bidi="ar-SA"/>
              </w:rPr>
              <w:t>标代理服务费共</w:t>
            </w:r>
            <w:r>
              <w:rPr>
                <w:rFonts w:hint="eastAsia" w:hAnsi="宋体" w:cs="宋体"/>
                <w:snapToGrid/>
                <w:color w:val="auto"/>
                <w:kern w:val="2"/>
                <w:sz w:val="21"/>
                <w:szCs w:val="21"/>
                <w:highlight w:val="none"/>
                <w:lang w:val="en-US" w:eastAsia="zh-CN" w:bidi="ar-SA"/>
              </w:rPr>
              <w:t>5000</w:t>
            </w:r>
            <w:r>
              <w:rPr>
                <w:rFonts w:hint="eastAsia" w:ascii="宋体" w:hAnsi="宋体" w:eastAsia="宋体" w:cs="宋体"/>
                <w:snapToGrid/>
                <w:color w:val="auto"/>
                <w:kern w:val="2"/>
                <w:sz w:val="21"/>
                <w:szCs w:val="21"/>
                <w:highlight w:val="none"/>
                <w:lang w:val="en-US" w:eastAsia="zh-CN" w:bidi="ar-SA"/>
              </w:rPr>
              <w:t>元，由成交供应商承担，向采购代理机构支付招标代理服务费</w:t>
            </w:r>
            <w:r>
              <w:rPr>
                <w:rFonts w:hint="eastAsia" w:hAnsi="宋体" w:cs="宋体"/>
                <w:snapToGrid/>
                <w:color w:val="auto"/>
                <w:kern w:val="2"/>
                <w:sz w:val="21"/>
                <w:szCs w:val="21"/>
                <w:highlight w:val="none"/>
                <w:lang w:val="en-US" w:eastAsia="zh-CN" w:bidi="ar-SA"/>
              </w:rPr>
              <w:t>。</w:t>
            </w:r>
          </w:p>
          <w:p w14:paraId="1EBF7C10">
            <w:pPr>
              <w:spacing w:line="500" w:lineRule="exact"/>
              <w:jc w:val="left"/>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2、成交供应商在成交通知书时发出5个工作日内向本招标代理机构以现金、转账方式支付代理服务费。</w:t>
            </w:r>
          </w:p>
          <w:p w14:paraId="232958C4">
            <w:pPr>
              <w:spacing w:line="500" w:lineRule="exact"/>
              <w:jc w:val="left"/>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招标代理服务费汇入以下账户：</w:t>
            </w:r>
          </w:p>
          <w:p w14:paraId="63D6F7DC">
            <w:pPr>
              <w:spacing w:line="500" w:lineRule="exact"/>
              <w:jc w:val="left"/>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户名：宁波名诚招标代理有限公司</w:t>
            </w:r>
          </w:p>
          <w:p w14:paraId="04A727A2">
            <w:pPr>
              <w:shd w:val="clear"/>
              <w:spacing w:line="440" w:lineRule="exact"/>
              <w:rPr>
                <w:rFonts w:ascii="宋体" w:hAnsi="宋体" w:cs="宋体"/>
                <w:snapToGrid w:val="0"/>
                <w:color w:val="auto"/>
                <w:kern w:val="28"/>
                <w:szCs w:val="21"/>
                <w:highlight w:val="none"/>
              </w:rPr>
            </w:pPr>
            <w:r>
              <w:rPr>
                <w:rFonts w:hint="eastAsia" w:ascii="宋体" w:hAnsi="宋体" w:eastAsia="宋体" w:cs="宋体"/>
                <w:snapToGrid/>
                <w:color w:val="auto"/>
                <w:kern w:val="2"/>
                <w:sz w:val="21"/>
                <w:szCs w:val="21"/>
                <w:highlight w:val="none"/>
                <w:lang w:val="en-US" w:eastAsia="zh-CN" w:bidi="ar-SA"/>
              </w:rPr>
              <w:t xml:space="preserve">开户行：宁波银行海曙支行   </w:t>
            </w:r>
            <w:r>
              <w:rPr>
                <w:rFonts w:hint="eastAsia" w:ascii="宋体" w:hAnsi="宋体" w:cs="宋体"/>
                <w:snapToGrid/>
                <w:color w:val="auto"/>
                <w:kern w:val="2"/>
                <w:sz w:val="21"/>
                <w:szCs w:val="21"/>
                <w:highlight w:val="none"/>
                <w:lang w:val="en-US" w:eastAsia="zh-CN" w:bidi="ar-SA"/>
              </w:rPr>
              <w:t xml:space="preserve">  </w:t>
            </w:r>
            <w:r>
              <w:rPr>
                <w:rFonts w:hint="eastAsia" w:ascii="宋体" w:hAnsi="宋体" w:eastAsia="宋体" w:cs="宋体"/>
                <w:snapToGrid/>
                <w:color w:val="auto"/>
                <w:kern w:val="2"/>
                <w:sz w:val="21"/>
                <w:szCs w:val="21"/>
                <w:highlight w:val="none"/>
                <w:lang w:val="en-US" w:eastAsia="zh-CN" w:bidi="ar-SA"/>
              </w:rPr>
              <w:t xml:space="preserve"> 账户：20010122000443166</w:t>
            </w:r>
          </w:p>
        </w:tc>
      </w:tr>
    </w:tbl>
    <w:p w14:paraId="0083CF2C">
      <w:pPr>
        <w:shd w:val="clear"/>
        <w:snapToGrid w:val="0"/>
        <w:spacing w:line="360" w:lineRule="auto"/>
        <w:jc w:val="center"/>
        <w:rPr>
          <w:rFonts w:asciiTheme="minorEastAsia" w:hAnsiTheme="minorEastAsia" w:eastAsiaTheme="minorEastAsia" w:cstheme="minorEastAsia"/>
          <w:b/>
          <w:color w:val="auto"/>
          <w:sz w:val="32"/>
          <w:szCs w:val="20"/>
          <w:highlight w:val="none"/>
        </w:rPr>
      </w:pPr>
    </w:p>
    <w:p w14:paraId="36CBAB86">
      <w:pPr>
        <w:pStyle w:val="33"/>
        <w:shd w:val="clear"/>
        <w:rPr>
          <w:color w:val="auto"/>
          <w:highlight w:val="none"/>
        </w:rPr>
      </w:pPr>
      <w:r>
        <w:rPr>
          <w:color w:val="auto"/>
          <w:highlight w:val="none"/>
        </w:rPr>
        <w:br w:type="page"/>
      </w:r>
    </w:p>
    <w:bookmarkEnd w:id="10"/>
    <w:p w14:paraId="4E330F82">
      <w:pPr>
        <w:shd w:val="clear"/>
        <w:spacing w:line="360" w:lineRule="auto"/>
        <w:ind w:firstLine="3845" w:firstLineChars="1197"/>
        <w:outlineLvl w:val="0"/>
        <w:rPr>
          <w:rFonts w:asciiTheme="minorEastAsia" w:hAnsiTheme="minorEastAsia" w:eastAsiaTheme="minorEastAsia" w:cstheme="minorEastAsia"/>
          <w:b/>
          <w:color w:val="auto"/>
          <w:sz w:val="32"/>
          <w:szCs w:val="20"/>
          <w:highlight w:val="none"/>
        </w:rPr>
      </w:pPr>
      <w:bookmarkStart w:id="11" w:name="_Toc164416483"/>
      <w:bookmarkStart w:id="12" w:name="第三部分"/>
      <w:bookmarkStart w:id="13" w:name="第四部分"/>
      <w:r>
        <w:rPr>
          <w:rFonts w:hint="eastAsia" w:asciiTheme="minorEastAsia" w:hAnsiTheme="minorEastAsia" w:eastAsiaTheme="minorEastAsia" w:cstheme="minorEastAsia"/>
          <w:b/>
          <w:color w:val="auto"/>
          <w:sz w:val="32"/>
          <w:szCs w:val="20"/>
          <w:highlight w:val="none"/>
        </w:rPr>
        <w:t>一、总则</w:t>
      </w:r>
    </w:p>
    <w:p w14:paraId="4BA599B4">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适用范围</w:t>
      </w:r>
    </w:p>
    <w:p w14:paraId="6BC1E348">
      <w:pPr>
        <w:shd w:val="clear"/>
        <w:snapToGrid w:val="0"/>
        <w:spacing w:line="360" w:lineRule="auto"/>
        <w:ind w:firstLine="420" w:firstLineChars="20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本竞争性磋商文件适用于该项目的采购、响应、响应文件开启、资格审查及信用信息查询、评审、成交供应商确定、合同、验收等行为（法律、法规另有规定的，从其规定）。</w:t>
      </w:r>
    </w:p>
    <w:p w14:paraId="02EC4EF2">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定义</w:t>
      </w:r>
    </w:p>
    <w:p w14:paraId="543F1624">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2.1 “采购人”系指竞争性磋商公告中载明的本项目的采购人。</w:t>
      </w:r>
    </w:p>
    <w:p w14:paraId="551116D6">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2.2 “采购代理机构”系指竞争性磋商公告中载明的本项目的采购代理机构。</w:t>
      </w:r>
    </w:p>
    <w:p w14:paraId="6C320F0D">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2.3 “</w:t>
      </w:r>
      <w:r>
        <w:rPr>
          <w:rFonts w:hint="eastAsia" w:asciiTheme="minorEastAsia" w:hAnsiTheme="minorEastAsia" w:eastAsiaTheme="minorEastAsia" w:cstheme="minorEastAsia"/>
          <w:color w:val="auto"/>
          <w:szCs w:val="21"/>
          <w:highlight w:val="none"/>
          <w:lang w:val="zh-CN"/>
        </w:rPr>
        <w:t>供应商</w:t>
      </w:r>
      <w:r>
        <w:rPr>
          <w:rFonts w:hint="eastAsia" w:asciiTheme="minorEastAsia" w:hAnsiTheme="minorEastAsia" w:eastAsiaTheme="minorEastAsia" w:cstheme="minorEastAsia"/>
          <w:color w:val="auto"/>
          <w:szCs w:val="21"/>
          <w:highlight w:val="none"/>
        </w:rPr>
        <w:t>”系指是指响应采购、参加磋商竞争的法人、其他组织或者自然人。</w:t>
      </w:r>
    </w:p>
    <w:p w14:paraId="006AAC9A">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2.4 “负责人”系指法人企业的法定负责人，或其他组织为法律、行政法规规定代表单位行使职权的主要负责人，或自然人本人。</w:t>
      </w:r>
    </w:p>
    <w:p w14:paraId="1C521DDA">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2.5“电子签名”系指数据电文中以电子形式所含、所附用于识别签名人身份并表明签名人认可其中内容的数据；“公章”系指单位法定名称章。</w:t>
      </w:r>
    </w:p>
    <w:p w14:paraId="0490B4B0">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2.6“电子交易平台”是指本项目采购活动所依托的乐采云平台（https：//www.lecaiyun.com/）。</w:t>
      </w:r>
    </w:p>
    <w:p w14:paraId="3D6753F6">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2.7 “▲” 系指实质性要求条款，“</w:t>
      </w:r>
      <w:r>
        <w:rPr>
          <w:rFonts w:hint="eastAsia" w:asciiTheme="minorEastAsia" w:hAnsiTheme="minorEastAsia" w:eastAsiaTheme="minorEastAsia" w:cstheme="minorEastAsia"/>
          <w:color w:val="auto"/>
          <w:kern w:val="0"/>
          <w:szCs w:val="21"/>
          <w:highlight w:val="none"/>
        </w:rPr>
        <w:sym w:font="Wingdings" w:char="00FE"/>
      </w:r>
      <w:r>
        <w:rPr>
          <w:rFonts w:hint="eastAsia" w:asciiTheme="minorEastAsia" w:hAnsiTheme="minorEastAsia" w:eastAsiaTheme="minorEastAsia" w:cstheme="minorEastAsia"/>
          <w:color w:val="auto"/>
          <w:szCs w:val="21"/>
          <w:highlight w:val="none"/>
        </w:rPr>
        <w:t>” 系指适用本项目的要求，“</w:t>
      </w:r>
      <w:r>
        <w:rPr>
          <w:rFonts w:hint="eastAsia" w:asciiTheme="minorEastAsia" w:hAnsiTheme="minorEastAsia" w:eastAsiaTheme="minorEastAsia" w:cstheme="minorEastAsia"/>
          <w:color w:val="auto"/>
          <w:kern w:val="0"/>
          <w:szCs w:val="21"/>
          <w:highlight w:val="none"/>
        </w:rPr>
        <w:t>☐</w:t>
      </w:r>
      <w:r>
        <w:rPr>
          <w:rFonts w:hint="eastAsia" w:asciiTheme="minorEastAsia" w:hAnsiTheme="minorEastAsia" w:eastAsiaTheme="minorEastAsia" w:cstheme="minorEastAsia"/>
          <w:color w:val="auto"/>
          <w:szCs w:val="21"/>
          <w:highlight w:val="none"/>
        </w:rPr>
        <w:t>” 系指不适用本项目的要求。</w:t>
      </w:r>
    </w:p>
    <w:p w14:paraId="5342A56F">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采购项目需要落实的政府采购政策</w:t>
      </w:r>
    </w:p>
    <w:p w14:paraId="15FDD717">
      <w:pPr>
        <w:numPr>
          <w:ilvl w:val="1"/>
          <w:numId w:val="2"/>
        </w:num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本项目不允许采购进口产品。</w:t>
      </w:r>
    </w:p>
    <w:p w14:paraId="1C21EA52">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3.2 支持绿色发展</w:t>
      </w:r>
    </w:p>
    <w:p w14:paraId="5A6B87E4">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3.3支持中小企业发展</w:t>
      </w:r>
    </w:p>
    <w:p w14:paraId="2B1DB006">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9AD7778">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符合中小企业划分标准的个体工商户，在政府采购活动中视同中小企业。</w:t>
      </w:r>
    </w:p>
    <w:p w14:paraId="18A7F7A2">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Cs/>
          <w:color w:val="auto"/>
          <w:szCs w:val="21"/>
          <w:highlight w:val="none"/>
        </w:rPr>
        <w:t>3.3.2</w:t>
      </w:r>
      <w:r>
        <w:rPr>
          <w:rFonts w:hint="eastAsia" w:asciiTheme="minorEastAsia" w:hAnsiTheme="minorEastAsia" w:eastAsiaTheme="minorEastAsia" w:cstheme="minorEastAsia"/>
          <w:color w:val="auto"/>
          <w:kern w:val="0"/>
          <w:szCs w:val="21"/>
          <w:highlight w:val="none"/>
        </w:rPr>
        <w:t>在政府采购活动中，</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提供的货物、工程或者服务符合下列情形的，享受中小企业扶持政策：</w:t>
      </w:r>
    </w:p>
    <w:p w14:paraId="0153CE22">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3.3.2.1在货物采购项目中，货物由中小企业制造，即货物由中小企业生产且使用该中小企业商号或者注册商标；</w:t>
      </w:r>
    </w:p>
    <w:p w14:paraId="788B45C9">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3.3.2.2在工程采购项目中，工程由中小企业承建，即工程施工单位为中小企业；</w:t>
      </w:r>
    </w:p>
    <w:p w14:paraId="049D88F3">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3.3.2.3在服务采购项目中，服务由中小企业承接，即提供服务的人员为中小企业依照《中华人民共和国劳动合同法》订立劳动合同的从业人员。</w:t>
      </w:r>
    </w:p>
    <w:p w14:paraId="2A0E0C3F">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在货物采购项目中，</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提供的货物既有中小企业制造货物，也有大型企业制造货物的，不享受中小企业扶持政策。</w:t>
      </w:r>
    </w:p>
    <w:p w14:paraId="6C9A6129">
      <w:pPr>
        <w:widowControl/>
        <w:shd w:val="clear"/>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以联合体形式参加政府采购活动，联合体各方均为中小企业的，联合体视同中小企业。其中，联合体各方均为小微企业的，联合体视同小微企业。</w:t>
      </w:r>
    </w:p>
    <w:p w14:paraId="5529E347">
      <w:pPr>
        <w:shd w:val="clear"/>
        <w:spacing w:line="360" w:lineRule="auto"/>
        <w:ind w:firstLine="420" w:firstLineChars="200"/>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3.3.3对于未预留份额专门面向中小企业的政府采购货物或服务或工程项目，以及预留份额政府采购货物或服务项目中的非预留部分标项，对小型和微型企业的谈判报价给予10%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工程项目为 2%）的扣除，用扣除后的价格参加评审。组成联合体或者接受分包的小微企业与联合体内其他企业、分包企业之间存在直接控股、管理关系的，不享受价格扣除优惠政策。</w:t>
      </w:r>
      <w:r>
        <w:rPr>
          <w:rFonts w:hint="eastAsia" w:asciiTheme="minorEastAsia" w:hAnsiTheme="minorEastAsia" w:eastAsiaTheme="minorEastAsia" w:cstheme="minorEastAsia"/>
          <w:color w:val="auto"/>
          <w:szCs w:val="21"/>
          <w:highlight w:val="none"/>
          <w:lang w:eastAsia="zh-CN"/>
        </w:rPr>
        <w:t>【本项目为专门面向小微企业采购：服务全部由符合政策要求的小型或微型企业承接，提供中小企业声明函（残疾人福利性企业、监狱企业视同小微企业）】</w:t>
      </w:r>
    </w:p>
    <w:p w14:paraId="409B0458">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3.3.4符合《关于促进残疾人就业政府采购政策的通知》（财库〔2017〕141号）规定的条件并提供《残疾人福利性单位声明函》的残疾人福利性单位视同小型、微型企业；</w:t>
      </w:r>
    </w:p>
    <w:p w14:paraId="40C36EF6">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FB57C93">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3.3.6可享受中小企业扶持政策的</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应按照竞争性磋商文件格式要求提供《中小企业声明函》，</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提供的《中小企业声明函》与实际情况不符的，不享受中小企业扶持政策。声明内容不实的，属于提供虚假材料谋取中标、成交的，依法承担法律责任。</w:t>
      </w:r>
    </w:p>
    <w:p w14:paraId="52B6B43C">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3.3.7中小企业享受扶持政策获得政府采购合同的，小微企业不得将合同分包给大中型企业，中型企业不得将合同分包给大型企业。</w:t>
      </w:r>
    </w:p>
    <w:p w14:paraId="2F3DB7C1">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特别说明</w:t>
      </w:r>
    </w:p>
    <w:p w14:paraId="4B7C2390">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4.1关于分公司磋商响应</w:t>
      </w:r>
    </w:p>
    <w:p w14:paraId="47E6238B">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除银行、保险、石油石化、电力、电信等特殊行业外。法人的分支机构由于不能独立承担民事责任，不能以分支机构的身份参加政府采购，只能以法人身份参加。 </w:t>
      </w:r>
    </w:p>
    <w:p w14:paraId="0DB8ACDE">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4.2关于知识产权</w:t>
      </w:r>
    </w:p>
    <w:p w14:paraId="2C2FEA31">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4.2.1 </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必须保证，采购人在中华人民共和国境内使用磋商响应货物、资料、技术、服务或其任何一部分时，享有不受限制的无偿使用权，如有第三方向采购人提出侵犯其专利权、商标权或其它知识产权的主张，该责任应由</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承担。</w:t>
      </w:r>
    </w:p>
    <w:p w14:paraId="25CCF5BA">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4.2.2 磋商报价应包含所有应向所有权人支付的专利权、商标权或其它知识产权的一切相关费用。</w:t>
      </w:r>
    </w:p>
    <w:p w14:paraId="49A79A7C">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4.2.3 系统软件、通用软件必须是具有在中国境内的合法使用权或版权的正版软件，涉及到第三方提出侵权或知识产权的起诉及支付版税等费用由</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承担所有责任及费用。</w:t>
      </w:r>
    </w:p>
    <w:p w14:paraId="4A96CA24">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4.3</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的风险</w:t>
      </w:r>
    </w:p>
    <w:p w14:paraId="550560CC">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4.3.1 </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应详细阅读竞争性磋商文件中的全部内容和要求，按照竞争性磋商文件的要求提交响应文件，没有按照竞争性磋商文件要求提供响应文件和资料导致的风险由</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承担,并对所提供的全部资料的真实性承担法律责任。</w:t>
      </w:r>
    </w:p>
    <w:p w14:paraId="2DA49C57">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4.3.2 无论因何种原因导致本次采购活动终止致</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损失的，相关责任人均不承担任何责任。</w:t>
      </w:r>
    </w:p>
    <w:p w14:paraId="51B7DF96">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询问、质疑、投诉</w:t>
      </w:r>
    </w:p>
    <w:p w14:paraId="71DC97F0">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.1供应商询问</w:t>
      </w:r>
    </w:p>
    <w:p w14:paraId="747244C3">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6F00910">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.2供应商质疑</w:t>
      </w:r>
    </w:p>
    <w:p w14:paraId="6535CA29">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w:t>
      </w:r>
      <w:r>
        <w:rPr>
          <w:rFonts w:hint="eastAsia" w:asciiTheme="minorEastAsia" w:hAnsiTheme="minorEastAsia" w:eastAsiaTheme="minorEastAsia" w:cstheme="minorEastAsia"/>
          <w:color w:val="auto"/>
          <w:szCs w:val="21"/>
          <w:highlight w:val="none"/>
        </w:rPr>
        <w:t>.1提出质疑的供应商应当是参与所质疑项目采购活动的供应商。潜在供应商已依法获取其可质疑的竞争性磋商文件的，可以对该文件提出质疑。</w:t>
      </w:r>
    </w:p>
    <w:p w14:paraId="2DEDAEDA">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w:t>
      </w:r>
      <w:r>
        <w:rPr>
          <w:rFonts w:hint="eastAsia" w:asciiTheme="minorEastAsia" w:hAnsiTheme="minorEastAsia" w:eastAsiaTheme="minorEastAsia" w:cstheme="minorEastAsia"/>
          <w:color w:val="auto"/>
          <w:szCs w:val="21"/>
          <w:highlight w:val="none"/>
        </w:rPr>
        <w:t>.2供应商认为竞争性磋商文件、采购过程和成交结果使自己的权益受到损害的，可以在知道或者应知其权益受到损害之日起七个工作日内，以书面形式向采购人或者采购代理机构提出质疑，否则，采购人或者采购代理机构不予受理：</w:t>
      </w:r>
    </w:p>
    <w:p w14:paraId="7994A2D6">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5.2.2.1对竞争性磋商文件提出质疑的，质疑期限为供应商获得竞争性磋商文件之日或者竞争性磋商文件公告期限届满之日起计算。</w:t>
      </w:r>
    </w:p>
    <w:p w14:paraId="2A0A77B3">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5.2.2.2对采购过程提出质疑的，质疑期限为各采购程序环节结束之日起计算。</w:t>
      </w:r>
    </w:p>
    <w:p w14:paraId="4E031705">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5.2.2.3对采购结果提出质疑的，质疑期限自采购结果公告期限届满之日起计算。</w:t>
      </w:r>
    </w:p>
    <w:p w14:paraId="1BD259DC">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5.2.2.4对同一采购程序环节的质疑，供应商须一次性提出。</w:t>
      </w:r>
    </w:p>
    <w:p w14:paraId="58C89A2A">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w:t>
      </w:r>
      <w:r>
        <w:rPr>
          <w:rFonts w:hint="eastAsia" w:asciiTheme="minorEastAsia" w:hAnsiTheme="minorEastAsia" w:eastAsiaTheme="minorEastAsia" w:cstheme="minorEastAsia"/>
          <w:color w:val="auto"/>
          <w:szCs w:val="21"/>
          <w:highlight w:val="none"/>
        </w:rPr>
        <w:t>供应商提出质疑应当提交质疑函和必要的证明材料。质疑函应当包括下列内容：</w:t>
      </w:r>
    </w:p>
    <w:p w14:paraId="3DB87E2E">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.2.3.1供应商的姓名或者名称、地址、邮编、联系人及联系电话；</w:t>
      </w:r>
    </w:p>
    <w:p w14:paraId="1538174D">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.2.3.2质疑项目的名称、编号；</w:t>
      </w:r>
    </w:p>
    <w:p w14:paraId="0D59A8FE">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.2.3.3具体、明确的质疑事项和与质疑事项相关的请求；</w:t>
      </w:r>
    </w:p>
    <w:p w14:paraId="045C2328">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.2.3.4事实依据；</w:t>
      </w:r>
    </w:p>
    <w:p w14:paraId="4EDFAA29">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.2.3.5必要的法律依据；</w:t>
      </w:r>
    </w:p>
    <w:p w14:paraId="740E7305">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.2.3.6提出质疑的日期。</w:t>
      </w:r>
    </w:p>
    <w:p w14:paraId="41FD9062">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5.2.3.7对竞争性磋商文件提出质疑的需要提供在</w:t>
      </w:r>
      <w:r>
        <w:rPr>
          <w:rFonts w:hint="eastAsia" w:asciiTheme="minorEastAsia" w:hAnsiTheme="minorEastAsia" w:eastAsiaTheme="minorEastAsia" w:cstheme="minorEastAsia"/>
          <w:color w:val="auto"/>
          <w:szCs w:val="21"/>
          <w:highlight w:val="none"/>
          <w:lang w:eastAsia="zh-CN"/>
        </w:rPr>
        <w:t>乐采云</w:t>
      </w:r>
      <w:r>
        <w:rPr>
          <w:rFonts w:hint="eastAsia" w:asciiTheme="minorEastAsia" w:hAnsiTheme="minorEastAsia" w:eastAsiaTheme="minorEastAsia" w:cstheme="minorEastAsia"/>
          <w:color w:val="auto"/>
          <w:szCs w:val="21"/>
          <w:highlight w:val="none"/>
        </w:rPr>
        <w:t>平台获取竞争性磋商文件的截图。</w:t>
      </w:r>
    </w:p>
    <w:p w14:paraId="110FC255">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17792B8C">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质疑函范本请到浙浙江企业采购信息服务网下载专区下载。</w:t>
      </w:r>
    </w:p>
    <w:p w14:paraId="5B1E58C7">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w:t>
      </w:r>
      <w:r>
        <w:rPr>
          <w:rFonts w:hint="eastAsia" w:asciiTheme="minorEastAsia" w:hAnsiTheme="minorEastAsia" w:eastAsiaTheme="minorEastAsia" w:cstheme="minorEastAsia"/>
          <w:color w:val="auto"/>
          <w:szCs w:val="21"/>
          <w:highlight w:val="none"/>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69F79992">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.2</w:t>
      </w:r>
      <w:r>
        <w:rPr>
          <w:rFonts w:hint="eastAsia" w:asciiTheme="minorEastAsia" w:hAnsiTheme="minorEastAsia" w:eastAsiaTheme="minorEastAsia" w:cstheme="minorEastAsia"/>
          <w:color w:val="auto"/>
          <w:szCs w:val="21"/>
          <w:highlight w:val="none"/>
        </w:rPr>
        <w:t>.5询问或者质疑事项可能影响采购结果的，采购人应当暂停签订合同，已经签订合同的，应当中止履行合同。</w:t>
      </w:r>
    </w:p>
    <w:p w14:paraId="33FC5CEA">
      <w:pPr>
        <w:shd w:val="clear"/>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5</w:t>
      </w:r>
      <w:r>
        <w:rPr>
          <w:rFonts w:hint="eastAsia" w:asciiTheme="minorEastAsia" w:hAnsiTheme="minorEastAsia" w:eastAsiaTheme="minorEastAsia" w:cstheme="minorEastAsia"/>
          <w:color w:val="auto"/>
          <w:szCs w:val="21"/>
          <w:highlight w:val="none"/>
          <w:lang w:val="zh-CN"/>
        </w:rPr>
        <w:t>.3供应商投诉</w:t>
      </w:r>
    </w:p>
    <w:p w14:paraId="632EC741">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5.3.1质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0E5DBCD5">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5.3.</w:t>
      </w:r>
      <w:r>
        <w:rPr>
          <w:rFonts w:hint="eastAsia" w:asciiTheme="minorEastAsia" w:hAnsiTheme="minorEastAsia" w:eastAsiaTheme="minorEastAsia" w:cstheme="minorEastAsia"/>
          <w:color w:val="auto"/>
          <w:szCs w:val="21"/>
          <w:highlight w:val="none"/>
          <w:lang w:val="zh-CN"/>
        </w:rPr>
        <w:t>2</w:t>
      </w:r>
      <w:r>
        <w:rPr>
          <w:rFonts w:hint="eastAsia" w:asciiTheme="minorEastAsia" w:hAnsiTheme="minorEastAsia" w:eastAsiaTheme="minorEastAsia" w:cstheme="minorEastAsia"/>
          <w:color w:val="auto"/>
          <w:szCs w:val="21"/>
          <w:highlight w:val="none"/>
        </w:rPr>
        <w:t>供应商投诉的事项不得超出已质疑事项的范围，基于质疑答复内容提出的投诉事项除外。</w:t>
      </w:r>
    </w:p>
    <w:p w14:paraId="249DFF9F">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5.3.3供应商投诉应当有明确的请求和必要的证明材料。</w:t>
      </w:r>
    </w:p>
    <w:p w14:paraId="6797E44A">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5.3.4以联合体形式参加采购活动的，其投诉应当由组成联合体的所有供应商共同提出。</w:t>
      </w:r>
    </w:p>
    <w:p w14:paraId="74E8ACEA">
      <w:pPr>
        <w:shd w:val="clear"/>
        <w:spacing w:line="360" w:lineRule="auto"/>
        <w:ind w:firstLine="420" w:firstLineChars="200"/>
        <w:rPr>
          <w:color w:val="auto"/>
          <w:highlight w:val="none"/>
        </w:rPr>
      </w:pPr>
      <w:r>
        <w:rPr>
          <w:rFonts w:hint="eastAsia" w:asciiTheme="minorEastAsia" w:hAnsiTheme="minorEastAsia" w:eastAsiaTheme="minorEastAsia" w:cstheme="minorEastAsia"/>
          <w:color w:val="auto"/>
          <w:szCs w:val="21"/>
          <w:highlight w:val="none"/>
        </w:rPr>
        <w:t>5.3.5投诉人对</w:t>
      </w:r>
      <w:r>
        <w:rPr>
          <w:rFonts w:hint="eastAsia"/>
          <w:color w:val="auto"/>
          <w:highlight w:val="none"/>
        </w:rPr>
        <w:t>监督管理部门的投诉处理决定</w:t>
      </w:r>
      <w:r>
        <w:rPr>
          <w:rFonts w:hint="eastAsia" w:asciiTheme="minorEastAsia" w:hAnsiTheme="minorEastAsia" w:eastAsiaTheme="minorEastAsia" w:cstheme="minorEastAsia"/>
          <w:color w:val="auto"/>
          <w:szCs w:val="21"/>
          <w:highlight w:val="none"/>
        </w:rPr>
        <w:t>不服</w:t>
      </w:r>
      <w:r>
        <w:rPr>
          <w:rFonts w:hint="eastAsia"/>
          <w:color w:val="auto"/>
          <w:highlight w:val="none"/>
        </w:rPr>
        <w:t>或监督管理部门逾期未作处理的，可以向区国资管理中心反映。供应商或相关利害关系人在</w:t>
      </w:r>
      <w:r>
        <w:rPr>
          <w:rFonts w:hint="eastAsia" w:asciiTheme="minorEastAsia" w:hAnsiTheme="minorEastAsia" w:eastAsiaTheme="minorEastAsia" w:cstheme="minorEastAsia"/>
          <w:color w:val="auto"/>
          <w:szCs w:val="21"/>
          <w:highlight w:val="none"/>
        </w:rPr>
        <w:t>采购过程</w:t>
      </w:r>
      <w:r>
        <w:rPr>
          <w:rFonts w:hint="eastAsia"/>
          <w:color w:val="auto"/>
          <w:highlight w:val="none"/>
        </w:rPr>
        <w:t>中发现涉及违法违纪行为或造成国有资产损失的，可以向纪检监察部门和区国资管理中心</w:t>
      </w:r>
      <w:r>
        <w:rPr>
          <w:rFonts w:hint="eastAsia" w:asciiTheme="minorEastAsia" w:hAnsiTheme="minorEastAsia" w:eastAsiaTheme="minorEastAsia" w:cstheme="minorEastAsia"/>
          <w:color w:val="auto"/>
          <w:szCs w:val="21"/>
          <w:highlight w:val="none"/>
        </w:rPr>
        <w:t>反映</w:t>
      </w:r>
      <w:r>
        <w:rPr>
          <w:rFonts w:hint="eastAsia"/>
          <w:color w:val="auto"/>
          <w:highlight w:val="none"/>
        </w:rPr>
        <w:t>。举报违法行为，应提供有效线索和证明材料。</w:t>
      </w:r>
    </w:p>
    <w:p w14:paraId="2020FDAF">
      <w:pPr>
        <w:shd w:val="clear"/>
        <w:spacing w:line="360" w:lineRule="auto"/>
        <w:ind w:firstLine="420" w:firstLineChars="200"/>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color w:val="auto"/>
          <w:szCs w:val="21"/>
          <w:highlight w:val="none"/>
        </w:rPr>
        <w:t>投诉书范本请到浙江企业采购信息服务网下载专区下载。</w:t>
      </w:r>
    </w:p>
    <w:p w14:paraId="7A08A2B1">
      <w:pPr>
        <w:shd w:val="clear"/>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br w:type="page"/>
      </w:r>
    </w:p>
    <w:p w14:paraId="65B22891">
      <w:pPr>
        <w:shd w:val="clear"/>
        <w:spacing w:line="360" w:lineRule="auto"/>
        <w:jc w:val="center"/>
        <w:outlineLvl w:val="0"/>
        <w:rPr>
          <w:rFonts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二、竞争性磋商文件的构成、澄清、修改</w:t>
      </w:r>
    </w:p>
    <w:p w14:paraId="3F06A4FF">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竞争性磋商文件的构成</w:t>
      </w:r>
    </w:p>
    <w:p w14:paraId="3EB2A072">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 竞争性磋商文件包括下列文件</w:t>
      </w:r>
      <w:r>
        <w:rPr>
          <w:rFonts w:hint="eastAsia" w:asciiTheme="minorEastAsia" w:hAnsiTheme="minorEastAsia" w:eastAsiaTheme="minorEastAsia" w:cstheme="minorEastAsia"/>
          <w:bCs/>
          <w:color w:val="auto"/>
          <w:highlight w:val="none"/>
        </w:rPr>
        <w:t>及附件</w:t>
      </w:r>
      <w:r>
        <w:rPr>
          <w:rFonts w:hint="eastAsia" w:asciiTheme="minorEastAsia" w:hAnsiTheme="minorEastAsia" w:eastAsiaTheme="minorEastAsia" w:cstheme="minorEastAsia"/>
          <w:b/>
          <w:bCs/>
          <w:color w:val="auto"/>
          <w:highlight w:val="none"/>
        </w:rPr>
        <w:t>：</w:t>
      </w:r>
    </w:p>
    <w:p w14:paraId="5A41C703">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6.1.1 竞争性磋商公告；</w:t>
      </w:r>
    </w:p>
    <w:p w14:paraId="524E81A6">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6.1.2 </w:t>
      </w:r>
      <w:r>
        <w:rPr>
          <w:rFonts w:hint="eastAsia" w:asciiTheme="minorEastAsia" w:hAnsiTheme="minorEastAsia" w:eastAsiaTheme="minorEastAsia" w:cstheme="minorEastAsia"/>
          <w:color w:val="auto"/>
          <w:highlight w:val="none"/>
          <w:lang w:val="zh-CN"/>
        </w:rPr>
        <w:t>响应</w:t>
      </w:r>
      <w:r>
        <w:rPr>
          <w:rFonts w:hint="eastAsia" w:asciiTheme="minorEastAsia" w:hAnsiTheme="minorEastAsia" w:eastAsiaTheme="minorEastAsia" w:cstheme="minorEastAsia"/>
          <w:color w:val="auto"/>
          <w:highlight w:val="none"/>
        </w:rPr>
        <w:t>须知；</w:t>
      </w:r>
    </w:p>
    <w:p w14:paraId="5AD138F9">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6.1.3 采购需求；</w:t>
      </w:r>
    </w:p>
    <w:p w14:paraId="1449B8C2">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6.1.4 评审办法；</w:t>
      </w:r>
    </w:p>
    <w:p w14:paraId="73BDF589">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6.1.5 拟签订的合同文本；</w:t>
      </w:r>
    </w:p>
    <w:p w14:paraId="6A37B4E6">
      <w:pPr>
        <w:pStyle w:val="15"/>
        <w:shd w:val="clear"/>
        <w:spacing w:line="360" w:lineRule="auto"/>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6.1.6 应提交的有关格式范例。</w:t>
      </w:r>
    </w:p>
    <w:p w14:paraId="2B090DEE">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6.2与本项目有关的</w:t>
      </w:r>
      <w:r>
        <w:rPr>
          <w:rFonts w:hint="eastAsia" w:asciiTheme="minorEastAsia" w:hAnsiTheme="minorEastAsia" w:eastAsiaTheme="minorEastAsia" w:cstheme="minorEastAsia"/>
          <w:bCs/>
          <w:color w:val="auto"/>
          <w:szCs w:val="21"/>
          <w:highlight w:val="none"/>
        </w:rPr>
        <w:t>澄清或者修改的内容为</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bCs/>
          <w:color w:val="auto"/>
          <w:szCs w:val="21"/>
          <w:highlight w:val="none"/>
        </w:rPr>
        <w:t>文件的组成部分</w:t>
      </w:r>
      <w:r>
        <w:rPr>
          <w:rFonts w:hint="eastAsia" w:asciiTheme="minorEastAsia" w:hAnsiTheme="minorEastAsia" w:eastAsiaTheme="minorEastAsia" w:cstheme="minorEastAsia"/>
          <w:color w:val="auto"/>
          <w:szCs w:val="21"/>
          <w:highlight w:val="none"/>
        </w:rPr>
        <w:t>。</w:t>
      </w:r>
    </w:p>
    <w:p w14:paraId="1C82D71E">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竞争性磋商文件的澄清、修改</w:t>
      </w:r>
    </w:p>
    <w:p w14:paraId="0B00877D">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7.1 采购人对竞争性磋商文件进行必要的澄清或者修改的，在采购信息发布网站上发布更正公告。澄清或者修改的内容可能影响响应文件编制的，更正公告在响应截止时间至少5日前发出；不足5日的，顺延提交响应文件截止时间。</w:t>
      </w:r>
    </w:p>
    <w:p w14:paraId="34F90764">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7.2 更正公告为竞争性磋商文件的组成部分，一经在网站发布，视同已通知所有竞争性磋商文件的收受人，不再采用其它方式传达相关信息, 若因未能及时了解到上述网站上发布的相关信息而导致的一切后果自行承担。</w:t>
      </w:r>
    </w:p>
    <w:p w14:paraId="40B3115B">
      <w:pPr>
        <w:shd w:val="clear"/>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7.3 如更正公告有重新发布电子竞争性磋商文件的，</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应下载最新发布的电子竞争性磋商文件制作响应文件。</w:t>
      </w:r>
    </w:p>
    <w:p w14:paraId="6AAADB88">
      <w:pPr>
        <w:shd w:val="clear"/>
        <w:spacing w:line="360" w:lineRule="auto"/>
        <w:ind w:firstLine="420"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7.4 已获取竞争性磋商文件的潜在</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，若有问题需要澄清，应于响应截止时间前，以书面形式向采购代理机构提出。</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在规定的时间内未对竞争性磋商文件提出疑问、质疑或要求澄清的，将视其为无异议。对竞争性磋商文件中描述有歧义或前后不一致的地方，磋商小组有权进行评判，但对同一条款的评判应适用于每个</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w:t>
      </w:r>
    </w:p>
    <w:p w14:paraId="3765BEC6">
      <w:pPr>
        <w:shd w:val="clear"/>
        <w:spacing w:line="360" w:lineRule="auto"/>
        <w:jc w:val="center"/>
        <w:outlineLvl w:val="0"/>
        <w:rPr>
          <w:rFonts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br w:type="page"/>
      </w:r>
      <w:r>
        <w:rPr>
          <w:rFonts w:hint="eastAsia" w:asciiTheme="minorEastAsia" w:hAnsiTheme="minorEastAsia" w:eastAsiaTheme="minorEastAsia" w:cstheme="minorEastAsia"/>
          <w:b/>
          <w:color w:val="auto"/>
          <w:sz w:val="30"/>
          <w:szCs w:val="20"/>
          <w:highlight w:val="none"/>
        </w:rPr>
        <w:t>三、响应</w:t>
      </w:r>
    </w:p>
    <w:p w14:paraId="020F15CD">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响应文件的语言</w:t>
      </w:r>
    </w:p>
    <w:p w14:paraId="580E4782">
      <w:pPr>
        <w:shd w:val="clear"/>
        <w:autoSpaceDE w:val="0"/>
        <w:autoSpaceDN w:val="0"/>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响应文件及</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szCs w:val="21"/>
          <w:highlight w:val="none"/>
        </w:rPr>
        <w:t>与采购有关的来往通知、函件和文件均应使用中文。</w:t>
      </w:r>
    </w:p>
    <w:p w14:paraId="6B6A0F60">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响应文件的组成</w:t>
      </w:r>
    </w:p>
    <w:p w14:paraId="28A36455">
      <w:pPr>
        <w:shd w:val="clear"/>
        <w:snapToGrid w:val="0"/>
        <w:spacing w:line="360" w:lineRule="auto"/>
        <w:ind w:firstLine="422" w:firstLineChars="200"/>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9.1 资格文件：</w:t>
      </w:r>
    </w:p>
    <w:p w14:paraId="562F9269">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9.1.1有效的企业法人营业执照（或事业法人登记证）、其他组织（个体工商户）的营业执照或者民办非企业单位登记证书；</w:t>
      </w:r>
    </w:p>
    <w:p w14:paraId="2F79DAEC">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9.1.2符合参加采购活动应当具备的一般条件的承诺函(格式见第六部分)；</w:t>
      </w:r>
    </w:p>
    <w:p w14:paraId="6EC8ADB7">
      <w:pPr>
        <w:shd w:val="clear"/>
        <w:snapToGrid w:val="0"/>
        <w:spacing w:line="360" w:lineRule="auto"/>
        <w:ind w:firstLine="420" w:firstLineChars="200"/>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9.1.3本项目的特定资格要求</w:t>
      </w:r>
      <w:r>
        <w:rPr>
          <w:rFonts w:hint="eastAsia" w:asciiTheme="minorEastAsia" w:hAnsiTheme="minorEastAsia" w:eastAsiaTheme="minorEastAsia" w:cstheme="minorEastAsia"/>
          <w:color w:val="auto"/>
          <w:szCs w:val="21"/>
          <w:highlight w:val="none"/>
          <w:lang w:eastAsia="zh-CN"/>
        </w:rPr>
        <w:t>：</w:t>
      </w:r>
      <w:r>
        <w:rPr>
          <w:rFonts w:hint="eastAsia" w:asciiTheme="minorEastAsia" w:hAnsiTheme="minorEastAsia" w:eastAsiaTheme="minorEastAsia" w:cstheme="minorEastAsia"/>
          <w:color w:val="auto"/>
          <w:szCs w:val="21"/>
          <w:highlight w:val="none"/>
          <w:lang w:val="en-US" w:eastAsia="zh-Hans"/>
        </w:rPr>
        <w:t>提供有</w:t>
      </w:r>
      <w:r>
        <w:rPr>
          <w:rFonts w:hint="eastAsia" w:asciiTheme="minorEastAsia" w:hAnsiTheme="minorEastAsia" w:eastAsiaTheme="minorEastAsia" w:cstheme="minorEastAsia"/>
          <w:color w:val="auto"/>
          <w:szCs w:val="21"/>
          <w:highlight w:val="none"/>
        </w:rPr>
        <w:t>效的房屋建筑工程施工总承包三级及以上资质证书及安全生产许可证复印件</w:t>
      </w:r>
      <w:r>
        <w:rPr>
          <w:rFonts w:hint="eastAsia" w:asciiTheme="minorEastAsia" w:hAnsiTheme="minorEastAsia" w:eastAsiaTheme="minorEastAsia" w:cstheme="minorEastAsia"/>
          <w:color w:val="auto"/>
          <w:szCs w:val="21"/>
          <w:highlight w:val="none"/>
          <w:lang w:eastAsia="zh-CN"/>
        </w:rPr>
        <w:t>；</w:t>
      </w:r>
    </w:p>
    <w:p w14:paraId="4FB7AFB7">
      <w:pPr>
        <w:shd w:val="clear"/>
        <w:snapToGrid w:val="0"/>
        <w:spacing w:line="360" w:lineRule="auto"/>
        <w:ind w:firstLine="420" w:firstLineChars="200"/>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9.1.4中小企业声明函（</w:t>
      </w:r>
      <w:r>
        <w:rPr>
          <w:rFonts w:hint="eastAsia" w:asciiTheme="minorEastAsia" w:hAnsiTheme="minorEastAsia" w:eastAsiaTheme="minorEastAsia" w:cstheme="minorEastAsia"/>
          <w:color w:val="auto"/>
          <w:szCs w:val="21"/>
          <w:highlight w:val="none"/>
          <w:lang w:val="en-US" w:eastAsia="zh-CN"/>
        </w:rPr>
        <w:t>或</w:t>
      </w:r>
      <w:r>
        <w:rPr>
          <w:rFonts w:hint="eastAsia" w:asciiTheme="minorEastAsia" w:hAnsiTheme="minorEastAsia" w:eastAsiaTheme="minorEastAsia" w:cstheme="minorEastAsia"/>
          <w:color w:val="auto"/>
          <w:szCs w:val="21"/>
          <w:highlight w:val="none"/>
        </w:rPr>
        <w:t>残疾人福利性单位声明函</w:t>
      </w:r>
      <w:r>
        <w:rPr>
          <w:rFonts w:hint="eastAsia" w:asciiTheme="minorEastAsia" w:hAnsiTheme="minorEastAsia" w:eastAsiaTheme="minorEastAsia" w:cstheme="minorEastAsia"/>
          <w:color w:val="auto"/>
          <w:szCs w:val="21"/>
          <w:highlight w:val="none"/>
          <w:lang w:eastAsia="zh-CN"/>
        </w:rPr>
        <w:t>、</w:t>
      </w:r>
      <w:r>
        <w:rPr>
          <w:rFonts w:hint="eastAsia" w:asciiTheme="minorEastAsia" w:hAnsiTheme="minorEastAsia" w:eastAsiaTheme="minorEastAsia" w:cstheme="minorEastAsia"/>
          <w:color w:val="auto"/>
          <w:szCs w:val="21"/>
          <w:highlight w:val="none"/>
          <w:lang w:val="en-US" w:eastAsia="zh-CN"/>
        </w:rPr>
        <w:t>或监狱企业的证明文件</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eastAsia="zh-CN"/>
        </w:rPr>
        <w:t>。</w:t>
      </w:r>
    </w:p>
    <w:p w14:paraId="4F07917F">
      <w:pPr>
        <w:shd w:val="clear"/>
        <w:snapToGrid w:val="0"/>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9.1.</w:t>
      </w:r>
      <w:r>
        <w:rPr>
          <w:rFonts w:hint="eastAsia" w:asciiTheme="minorEastAsia" w:hAnsiTheme="minorEastAsia" w:eastAsiaTheme="minorEastAsia" w:cstheme="minorEastAsia"/>
          <w:color w:val="auto"/>
          <w:szCs w:val="21"/>
          <w:highlight w:val="none"/>
          <w:lang w:val="en-US" w:eastAsia="zh-CN"/>
        </w:rPr>
        <w:t>5</w:t>
      </w:r>
      <w:r>
        <w:rPr>
          <w:rFonts w:hint="eastAsia" w:asciiTheme="minorEastAsia" w:hAnsiTheme="minorEastAsia" w:eastAsiaTheme="minorEastAsia" w:cstheme="minorEastAsia"/>
          <w:color w:val="auto"/>
          <w:szCs w:val="21"/>
          <w:highlight w:val="none"/>
        </w:rPr>
        <w:t>其他资料（如有）。</w:t>
      </w:r>
    </w:p>
    <w:p w14:paraId="05EEB6C8">
      <w:pPr>
        <w:shd w:val="clear"/>
        <w:snapToGrid w:val="0"/>
        <w:spacing w:line="360" w:lineRule="auto"/>
        <w:ind w:firstLine="422" w:firstLineChars="200"/>
        <w:rPr>
          <w:rFonts w:asciiTheme="minorEastAsia" w:hAnsiTheme="minorEastAsia" w:eastAsiaTheme="minorEastAsia" w:cstheme="minorEastAsia"/>
          <w:b/>
          <w:bCs/>
          <w:color w:val="auto"/>
          <w:szCs w:val="21"/>
          <w:highlight w:val="none"/>
          <w:lang w:val="zh-CN"/>
        </w:rPr>
      </w:pPr>
      <w:r>
        <w:rPr>
          <w:rFonts w:hint="eastAsia" w:asciiTheme="minorEastAsia" w:hAnsiTheme="minorEastAsia" w:eastAsiaTheme="minorEastAsia" w:cstheme="minorEastAsia"/>
          <w:b/>
          <w:bCs/>
          <w:color w:val="auto"/>
          <w:szCs w:val="21"/>
          <w:highlight w:val="none"/>
        </w:rPr>
        <w:t>9</w:t>
      </w:r>
      <w:r>
        <w:rPr>
          <w:rFonts w:hint="eastAsia" w:asciiTheme="minorEastAsia" w:hAnsiTheme="minorEastAsia" w:eastAsiaTheme="minorEastAsia" w:cstheme="minorEastAsia"/>
          <w:b/>
          <w:bCs/>
          <w:color w:val="auto"/>
          <w:szCs w:val="21"/>
          <w:highlight w:val="none"/>
          <w:lang w:val="zh-CN"/>
        </w:rPr>
        <w:t>.</w:t>
      </w:r>
      <w:r>
        <w:rPr>
          <w:rFonts w:hint="eastAsia" w:asciiTheme="minorEastAsia" w:hAnsiTheme="minorEastAsia" w:eastAsiaTheme="minorEastAsia" w:cstheme="minorEastAsia"/>
          <w:b/>
          <w:bCs/>
          <w:color w:val="auto"/>
          <w:szCs w:val="21"/>
          <w:highlight w:val="none"/>
        </w:rPr>
        <w:t>2</w:t>
      </w:r>
      <w:r>
        <w:rPr>
          <w:rFonts w:hint="eastAsia" w:asciiTheme="minorEastAsia" w:hAnsiTheme="minorEastAsia" w:eastAsiaTheme="minorEastAsia" w:cstheme="minorEastAsia"/>
          <w:b/>
          <w:bCs/>
          <w:color w:val="auto"/>
          <w:szCs w:val="21"/>
          <w:highlight w:val="none"/>
          <w:lang w:val="zh-CN"/>
        </w:rPr>
        <w:t xml:space="preserve"> </w:t>
      </w:r>
      <w:r>
        <w:rPr>
          <w:rFonts w:hint="eastAsia" w:asciiTheme="minorEastAsia" w:hAnsiTheme="minorEastAsia" w:eastAsiaTheme="minorEastAsia" w:cstheme="minorEastAsia"/>
          <w:b/>
          <w:bCs/>
          <w:color w:val="auto"/>
          <w:szCs w:val="21"/>
          <w:highlight w:val="none"/>
        </w:rPr>
        <w:t>商务技术</w:t>
      </w:r>
      <w:r>
        <w:rPr>
          <w:rFonts w:hint="eastAsia" w:asciiTheme="minorEastAsia" w:hAnsiTheme="minorEastAsia" w:eastAsiaTheme="minorEastAsia" w:cstheme="minorEastAsia"/>
          <w:b/>
          <w:bCs/>
          <w:color w:val="auto"/>
          <w:szCs w:val="21"/>
          <w:highlight w:val="none"/>
          <w:lang w:val="zh-CN"/>
        </w:rPr>
        <w:t>文件：</w:t>
      </w:r>
    </w:p>
    <w:p w14:paraId="3A07DAFA">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9.2.1 评分索引表；</w:t>
      </w:r>
    </w:p>
    <w:p w14:paraId="11816B28">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9.2.2符合性自查表；</w:t>
      </w:r>
    </w:p>
    <w:p w14:paraId="2213654E">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9.2.3磋商函；</w:t>
      </w:r>
      <w:r>
        <w:rPr>
          <w:rFonts w:hint="eastAsia" w:asciiTheme="minorEastAsia" w:hAnsiTheme="minorEastAsia" w:eastAsiaTheme="minorEastAsia" w:cstheme="minorEastAsia"/>
          <w:color w:val="auto"/>
          <w:szCs w:val="21"/>
          <w:highlight w:val="none"/>
          <w:lang w:val="zh-CN"/>
        </w:rPr>
        <w:t xml:space="preserve"> </w:t>
      </w:r>
    </w:p>
    <w:p w14:paraId="2FB55431">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9.2.4 授权委托书或法定代表人（单位负责人、自然人本人）身份证明；</w:t>
      </w:r>
    </w:p>
    <w:p w14:paraId="74E7320D">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9.2.5 供应商情况表；</w:t>
      </w:r>
    </w:p>
    <w:p w14:paraId="40CD7ED7">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9.2.6 距采购人最近或者能为本项目提供最优服务的网点情况表；</w:t>
      </w:r>
    </w:p>
    <w:p w14:paraId="142CBC81">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w:t>
      </w:r>
      <w:r>
        <w:rPr>
          <w:rFonts w:hint="eastAsia" w:asciiTheme="minorEastAsia" w:hAnsiTheme="minorEastAsia" w:eastAsiaTheme="minorEastAsia" w:cstheme="minorEastAsia"/>
          <w:color w:val="auto"/>
          <w:szCs w:val="21"/>
          <w:highlight w:val="none"/>
          <w:lang w:val="zh-CN"/>
        </w:rPr>
        <w:t>.</w:t>
      </w:r>
      <w:r>
        <w:rPr>
          <w:rFonts w:hint="eastAsia"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lang w:val="zh-CN"/>
        </w:rPr>
        <w:t>.</w:t>
      </w:r>
      <w:r>
        <w:rPr>
          <w:rFonts w:hint="eastAsia" w:asciiTheme="minorEastAsia" w:hAnsiTheme="minorEastAsia" w:eastAsiaTheme="minorEastAsia" w:cstheme="minorEastAsia"/>
          <w:color w:val="auto"/>
          <w:szCs w:val="21"/>
          <w:highlight w:val="none"/>
        </w:rPr>
        <w:t>7 评标标准相应的商务技术资料；</w:t>
      </w:r>
    </w:p>
    <w:p w14:paraId="3A805B5F">
      <w:pPr>
        <w:shd w:val="clear"/>
        <w:snapToGrid w:val="0"/>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9.2.8 商务响应表；</w:t>
      </w:r>
    </w:p>
    <w:p w14:paraId="0EE0F998">
      <w:pPr>
        <w:shd w:val="clear"/>
        <w:snapToGrid w:val="0"/>
        <w:spacing w:line="360" w:lineRule="auto"/>
        <w:ind w:firstLine="420" w:firstLineChars="20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9.2.9 技术响应表；</w:t>
      </w:r>
    </w:p>
    <w:p w14:paraId="51475684">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9.2.10 同类业绩情况一览表；</w:t>
      </w:r>
    </w:p>
    <w:p w14:paraId="2A1CE857">
      <w:pPr>
        <w:shd w:val="clear"/>
        <w:snapToGrid w:val="0"/>
        <w:spacing w:line="360" w:lineRule="auto"/>
        <w:ind w:firstLine="420" w:firstLineChars="20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rPr>
        <w:t>9.2.11</w:t>
      </w:r>
      <w:r>
        <w:rPr>
          <w:rFonts w:hint="eastAsia" w:asciiTheme="minorEastAsia" w:hAnsiTheme="minorEastAsia" w:eastAsiaTheme="minorEastAsia" w:cstheme="minorEastAsia"/>
          <w:color w:val="auto"/>
          <w:szCs w:val="21"/>
          <w:highlight w:val="none"/>
          <w:lang w:val="zh-CN"/>
        </w:rPr>
        <w:t>政府采购供应商廉洁自律承诺书；</w:t>
      </w:r>
    </w:p>
    <w:p w14:paraId="06883A82">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9.2.12其他资料（如有）。</w:t>
      </w:r>
    </w:p>
    <w:p w14:paraId="4BCE1F65">
      <w:pPr>
        <w:shd w:val="clear"/>
        <w:snapToGrid w:val="0"/>
        <w:spacing w:line="360" w:lineRule="auto"/>
        <w:ind w:firstLine="422" w:firstLineChars="200"/>
        <w:rPr>
          <w:rFonts w:asciiTheme="minorEastAsia" w:hAnsiTheme="minorEastAsia" w:eastAsiaTheme="minorEastAsia" w:cstheme="minorEastAsia"/>
          <w:b/>
          <w:bCs/>
          <w:color w:val="auto"/>
          <w:szCs w:val="21"/>
          <w:highlight w:val="none"/>
          <w:u w:val="single"/>
          <w:lang w:val="zh-CN"/>
        </w:rPr>
      </w:pPr>
      <w:r>
        <w:rPr>
          <w:rFonts w:hint="eastAsia" w:asciiTheme="minorEastAsia" w:hAnsiTheme="minorEastAsia" w:eastAsiaTheme="minorEastAsia" w:cstheme="minorEastAsia"/>
          <w:b/>
          <w:bCs/>
          <w:color w:val="auto"/>
          <w:kern w:val="0"/>
          <w:szCs w:val="21"/>
          <w:highlight w:val="none"/>
        </w:rPr>
        <w:t>9</w:t>
      </w:r>
      <w:r>
        <w:rPr>
          <w:rFonts w:hint="eastAsia" w:asciiTheme="minorEastAsia" w:hAnsiTheme="minorEastAsia" w:eastAsiaTheme="minorEastAsia" w:cstheme="minorEastAsia"/>
          <w:b/>
          <w:bCs/>
          <w:color w:val="auto"/>
          <w:kern w:val="0"/>
          <w:szCs w:val="21"/>
          <w:highlight w:val="none"/>
          <w:lang w:val="zh-CN"/>
        </w:rPr>
        <w:t>.</w:t>
      </w:r>
      <w:r>
        <w:rPr>
          <w:rFonts w:hint="eastAsia" w:asciiTheme="minorEastAsia" w:hAnsiTheme="minorEastAsia" w:eastAsiaTheme="minorEastAsia" w:cstheme="minorEastAsia"/>
          <w:b/>
          <w:bCs/>
          <w:color w:val="auto"/>
          <w:kern w:val="0"/>
          <w:szCs w:val="21"/>
          <w:highlight w:val="none"/>
        </w:rPr>
        <w:t xml:space="preserve">3 </w:t>
      </w:r>
      <w:r>
        <w:rPr>
          <w:rFonts w:hint="eastAsia" w:asciiTheme="minorEastAsia" w:hAnsiTheme="minorEastAsia" w:eastAsiaTheme="minorEastAsia" w:cstheme="minorEastAsia"/>
          <w:b/>
          <w:bCs/>
          <w:color w:val="auto"/>
          <w:szCs w:val="21"/>
          <w:highlight w:val="none"/>
        </w:rPr>
        <w:t xml:space="preserve">报价文件： </w:t>
      </w:r>
    </w:p>
    <w:p w14:paraId="24DF6EA3">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9.3.1 报价一览表；</w:t>
      </w:r>
    </w:p>
    <w:p w14:paraId="4E1F048E">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9.3.</w:t>
      </w:r>
      <w:r>
        <w:rPr>
          <w:rFonts w:hint="eastAsia" w:asciiTheme="minorEastAsia" w:hAnsiTheme="minorEastAsia" w:eastAsiaTheme="minorEastAsia" w:cstheme="minorEastAsia"/>
          <w:color w:val="auto"/>
          <w:szCs w:val="21"/>
          <w:highlight w:val="none"/>
          <w:lang w:val="en-US" w:eastAsia="zh-CN"/>
        </w:rPr>
        <w:t>2</w:t>
      </w:r>
      <w:r>
        <w:rPr>
          <w:rFonts w:hint="eastAsia" w:asciiTheme="minorEastAsia" w:hAnsiTheme="minorEastAsia" w:eastAsiaTheme="minorEastAsia" w:cstheme="minorEastAsia"/>
          <w:color w:val="auto"/>
          <w:szCs w:val="21"/>
          <w:highlight w:val="none"/>
        </w:rPr>
        <w:t>政府采购统计基础信息表；</w:t>
      </w:r>
    </w:p>
    <w:p w14:paraId="4FED5823">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9.3.</w:t>
      </w:r>
      <w:r>
        <w:rPr>
          <w:rFonts w:hint="eastAsia" w:asciiTheme="minorEastAsia" w:hAnsiTheme="minorEastAsia" w:eastAsiaTheme="minorEastAsia" w:cstheme="minorEastAsia"/>
          <w:color w:val="auto"/>
          <w:szCs w:val="21"/>
          <w:highlight w:val="none"/>
          <w:lang w:val="en-US" w:eastAsia="zh-CN"/>
        </w:rPr>
        <w:t>3</w:t>
      </w:r>
      <w:r>
        <w:rPr>
          <w:rFonts w:hint="eastAsia" w:asciiTheme="minorEastAsia" w:hAnsiTheme="minorEastAsia" w:eastAsiaTheme="minorEastAsia" w:cstheme="minorEastAsia"/>
          <w:color w:val="auto"/>
          <w:szCs w:val="21"/>
          <w:highlight w:val="none"/>
        </w:rPr>
        <w:t>其他资料（如有）。</w:t>
      </w:r>
    </w:p>
    <w:p w14:paraId="43F5C5C3">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响应文件的编制</w:t>
      </w:r>
    </w:p>
    <w:p w14:paraId="5BBB5232">
      <w:pPr>
        <w:shd w:val="clear"/>
        <w:spacing w:line="360" w:lineRule="auto"/>
        <w:ind w:firstLine="420"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kern w:val="0"/>
          <w:szCs w:val="21"/>
          <w:highlight w:val="none"/>
          <w:lang w:val="zh-CN"/>
        </w:rPr>
        <w:t>1</w:t>
      </w:r>
      <w:r>
        <w:rPr>
          <w:rFonts w:hint="eastAsia" w:asciiTheme="minorEastAsia" w:hAnsiTheme="minorEastAsia" w:eastAsiaTheme="minorEastAsia" w:cstheme="minorEastAsia"/>
          <w:color w:val="auto"/>
          <w:kern w:val="0"/>
          <w:szCs w:val="21"/>
          <w:highlight w:val="none"/>
        </w:rPr>
        <w:t>0</w:t>
      </w:r>
      <w:r>
        <w:rPr>
          <w:rFonts w:hint="eastAsia" w:asciiTheme="minorEastAsia" w:hAnsiTheme="minorEastAsia" w:eastAsiaTheme="minorEastAsia" w:cstheme="minorEastAsia"/>
          <w:color w:val="auto"/>
          <w:kern w:val="0"/>
          <w:szCs w:val="21"/>
          <w:highlight w:val="none"/>
          <w:lang w:val="zh-CN"/>
        </w:rPr>
        <w:t>.1响应文件分为资格文件、商务技术文件、报价文件三部分。各供应商在编制响应文件时请按照竞争性磋商文件第六部分规定的格式进行。</w:t>
      </w:r>
      <w:r>
        <w:rPr>
          <w:rFonts w:hint="eastAsia" w:asciiTheme="minorEastAsia" w:hAnsiTheme="minorEastAsia" w:eastAsiaTheme="minorEastAsia" w:cstheme="minorEastAsia"/>
          <w:color w:val="auto"/>
          <w:kern w:val="0"/>
          <w:szCs w:val="21"/>
          <w:highlight w:val="none"/>
        </w:rPr>
        <w:t>未有规定格式的资料，</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应自行编制，但至少须包含9.响应文件组成中的内容。</w:t>
      </w:r>
      <w:r>
        <w:rPr>
          <w:rFonts w:hint="eastAsia" w:asciiTheme="minorEastAsia" w:hAnsiTheme="minorEastAsia" w:eastAsiaTheme="minorEastAsia" w:cstheme="minorEastAsia"/>
          <w:color w:val="auto"/>
          <w:kern w:val="0"/>
          <w:szCs w:val="21"/>
          <w:highlight w:val="none"/>
          <w:lang w:val="zh-CN"/>
        </w:rPr>
        <w:t>混乱的编排导致响应文件被误读或磋商小组查找不到有效文件是供应商的风险。</w:t>
      </w:r>
    </w:p>
    <w:p w14:paraId="67326C1F">
      <w:pPr>
        <w:shd w:val="clear"/>
        <w:spacing w:line="360" w:lineRule="auto"/>
        <w:ind w:firstLine="420" w:firstLineChars="200"/>
        <w:rPr>
          <w:rFonts w:asciiTheme="minorEastAsia" w:hAnsiTheme="minorEastAsia" w:eastAsiaTheme="minorEastAsia" w:cstheme="minorEastAsia"/>
          <w:color w:val="auto"/>
          <w:kern w:val="0"/>
          <w:szCs w:val="21"/>
          <w:highlight w:val="none"/>
          <w:lang w:val="zh-CN"/>
        </w:rPr>
      </w:pPr>
      <w:r>
        <w:rPr>
          <w:rFonts w:hint="eastAsia" w:asciiTheme="minorEastAsia" w:hAnsiTheme="minorEastAsia" w:eastAsiaTheme="minorEastAsia" w:cstheme="minorEastAsia"/>
          <w:color w:val="auto"/>
          <w:kern w:val="0"/>
          <w:szCs w:val="21"/>
          <w:highlight w:val="none"/>
          <w:lang w:val="zh-CN"/>
        </w:rPr>
        <w:t>10.2供应商进行电子投标应安装客户端软件—“乐采云乐采云电子交易客户端”（下载地址：https://b.zhengcaiyun.cn/luban/category?parentId=550045&amp;childrenCode=qicaiCategory17&amp;utm=luban.luban-PC-39026.959-pc-websitegroup-navBar-front.8.ebdec73052c711ef9ade896d008b9248），并按照招标文件和电子交易平台的要求编制并加密投标文件。供应商未按规定加密的投标文件，电子交易平台将拒收并提示。</w:t>
      </w:r>
    </w:p>
    <w:p w14:paraId="6266B42A">
      <w:pPr>
        <w:shd w:val="clear"/>
        <w:spacing w:line="360" w:lineRule="auto"/>
        <w:ind w:firstLine="420" w:firstLineChars="200"/>
        <w:rPr>
          <w:rFonts w:asciiTheme="minorEastAsia" w:hAnsiTheme="minorEastAsia" w:eastAsiaTheme="minorEastAsia" w:cstheme="minorEastAsia"/>
          <w:color w:val="auto"/>
          <w:kern w:val="0"/>
          <w:szCs w:val="21"/>
          <w:highlight w:val="none"/>
          <w:lang w:val="zh-CN"/>
        </w:rPr>
      </w:pPr>
      <w:r>
        <w:rPr>
          <w:rFonts w:hint="eastAsia" w:asciiTheme="minorEastAsia" w:hAnsiTheme="minorEastAsia" w:eastAsiaTheme="minorEastAsia" w:cstheme="minorEastAsia"/>
          <w:color w:val="auto"/>
          <w:kern w:val="0"/>
          <w:szCs w:val="21"/>
          <w:highlight w:val="none"/>
          <w:lang w:val="zh-CN"/>
        </w:rPr>
        <w:t>1</w:t>
      </w:r>
      <w:r>
        <w:rPr>
          <w:rFonts w:hint="eastAsia" w:asciiTheme="minorEastAsia" w:hAnsiTheme="minorEastAsia" w:eastAsiaTheme="minorEastAsia" w:cstheme="minorEastAsia"/>
          <w:color w:val="auto"/>
          <w:kern w:val="0"/>
          <w:szCs w:val="21"/>
          <w:highlight w:val="none"/>
        </w:rPr>
        <w:t>0</w:t>
      </w:r>
      <w:r>
        <w:rPr>
          <w:rFonts w:hint="eastAsia" w:asciiTheme="minorEastAsia" w:hAnsiTheme="minorEastAsia" w:eastAsiaTheme="minorEastAsia" w:cstheme="minorEastAsia"/>
          <w:color w:val="auto"/>
          <w:kern w:val="0"/>
          <w:szCs w:val="21"/>
          <w:highlight w:val="none"/>
          <w:lang w:val="zh-CN"/>
        </w:rPr>
        <w:t>.3使用“乐采云电子交易客户端”需要提前申领CA数字证书，申领流程请自行前往“浙江企业采购信息服务网-下载专区-电子交易客户端-CA驱动和申领流程”进行查阅。</w:t>
      </w:r>
    </w:p>
    <w:p w14:paraId="6B033F2D">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投响应文件的签署、盖章</w:t>
      </w:r>
    </w:p>
    <w:p w14:paraId="19B648B4">
      <w:pPr>
        <w:pStyle w:val="50"/>
        <w:shd w:val="clear"/>
        <w:snapToGrid w:val="0"/>
        <w:spacing w:before="0"/>
        <w:ind w:firstLine="420"/>
        <w:rPr>
          <w:rFonts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color w:val="auto"/>
          <w:sz w:val="21"/>
          <w:szCs w:val="21"/>
          <w:highlight w:val="none"/>
        </w:rPr>
        <w:t>11.1响应文件按照竞争性磋商文件第六部分格式要求进行签署、盖章。</w:t>
      </w:r>
      <w:r>
        <w:rPr>
          <w:rFonts w:hint="eastAsia" w:asciiTheme="minorEastAsia" w:hAnsiTheme="minorEastAsia" w:eastAsiaTheme="minorEastAsia" w:cstheme="minorEastAsia"/>
          <w:b/>
          <w:color w:val="auto"/>
          <w:sz w:val="21"/>
          <w:szCs w:val="21"/>
          <w:highlight w:val="none"/>
        </w:rPr>
        <w:t>▲供应商的响应文件未按照竞争性磋商文件要求签署、盖章的，其响应无效</w:t>
      </w:r>
      <w:r>
        <w:rPr>
          <w:rFonts w:hint="eastAsia" w:asciiTheme="minorEastAsia" w:hAnsiTheme="minorEastAsia" w:eastAsiaTheme="minorEastAsia" w:cstheme="minorEastAsia"/>
          <w:color w:val="auto"/>
          <w:sz w:val="21"/>
          <w:szCs w:val="21"/>
          <w:highlight w:val="none"/>
        </w:rPr>
        <w:t>。</w:t>
      </w:r>
    </w:p>
    <w:p w14:paraId="075AC639">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11.2为确保网上操作合法、有效和安全，</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应当在响应截止时间前完成在“政府采购云平台”的身份认证，确保在电子投标过程中能够对相关数据电文进行加密和使用电子签名。</w:t>
      </w:r>
    </w:p>
    <w:p w14:paraId="6BC67645">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11.3竞争性磋商文件对响应文件签署、盖章的要求适用于电子签名。</w:t>
      </w:r>
    </w:p>
    <w:p w14:paraId="15808ACF">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响应文件的提交、补充、修改、撤回</w:t>
      </w:r>
    </w:p>
    <w:p w14:paraId="1B03192D">
      <w:pPr>
        <w:pStyle w:val="50"/>
        <w:shd w:val="clear"/>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12.1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09A9587">
      <w:pPr>
        <w:pStyle w:val="50"/>
        <w:shd w:val="clear"/>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12.2电子交易平台收到响应文件，将妥善保存并即时向供应商发出确认回执通知。在响应截止时间前，除供应商补充、修改或者撤回响应文件外，任何单位和个人不得解密或提取响应文件。</w:t>
      </w:r>
    </w:p>
    <w:p w14:paraId="5A3EE0D3">
      <w:pPr>
        <w:pStyle w:val="50"/>
        <w:shd w:val="clear"/>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12.3采购人、采购代理机构可以视情况延长响应文件提交的截止时间。在上述情况下，采购代理机构与</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以前在响应截止期方面的全部权利、责任和义务，将适用于延长至新的响应截止期。</w:t>
      </w:r>
    </w:p>
    <w:p w14:paraId="695D8FD1">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响应有效期</w:t>
      </w:r>
    </w:p>
    <w:p w14:paraId="79A7F0C5">
      <w:pPr>
        <w:shd w:val="clear"/>
        <w:spacing w:line="360" w:lineRule="auto"/>
        <w:ind w:firstLine="420" w:firstLineChars="200"/>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响应有效期为从提交响应文件的截止之日起90天。▲</w:t>
      </w:r>
      <w:r>
        <w:rPr>
          <w:rFonts w:hint="eastAsia" w:asciiTheme="minorEastAsia" w:hAnsiTheme="minorEastAsia" w:eastAsiaTheme="minorEastAsia" w:cstheme="minorEastAsia"/>
          <w:b/>
          <w:color w:val="auto"/>
          <w:szCs w:val="21"/>
          <w:highlight w:val="none"/>
        </w:rPr>
        <w:t>供应商的响应文件中承诺的响应有效期少于竞争性磋商文件中载明的响应有效期的，响应无效。</w:t>
      </w:r>
    </w:p>
    <w:p w14:paraId="3782F900">
      <w:pPr>
        <w:pStyle w:val="50"/>
        <w:shd w:val="clear"/>
        <w:spacing w:before="0"/>
        <w:ind w:firstLine="0" w:firstLineChars="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四、响应文件开启、资格审查与信用信息查询</w:t>
      </w:r>
    </w:p>
    <w:p w14:paraId="25E8A69A">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 xml:space="preserve">响应文件开启 </w:t>
      </w:r>
    </w:p>
    <w:p w14:paraId="3BDDB307">
      <w:pPr>
        <w:pStyle w:val="45"/>
        <w:shd w:val="clear"/>
        <w:spacing w:before="0" w:line="360" w:lineRule="auto"/>
        <w:ind w:left="0" w:firstLine="420" w:firstLineChars="200"/>
        <w:contextualSpacing/>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14.1采购代理机构按照竞争性磋商文件规定的时间通过电子交易平台组织响应文件开启，所有</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均应当准时在线参加。</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不足3家的，不得开启响应文件。</w:t>
      </w:r>
    </w:p>
    <w:p w14:paraId="27384BA1">
      <w:pPr>
        <w:pStyle w:val="45"/>
        <w:shd w:val="clear"/>
        <w:spacing w:before="0" w:line="360" w:lineRule="auto"/>
        <w:ind w:left="0" w:firstLine="210" w:firstLineChars="100"/>
        <w:contextualSpacing/>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14.2开启响应文件时，电子交易平台按响应文件开启时间自动提取所有响应文件。采购代理机构依托电子交易平台发起开始解密指令，</w:t>
      </w:r>
      <w:r>
        <w:rPr>
          <w:rFonts w:hint="eastAsia" w:asciiTheme="minorEastAsia" w:hAnsiTheme="minorEastAsia" w:eastAsiaTheme="minorEastAsia" w:cstheme="minorEastAsia"/>
          <w:color w:val="auto"/>
          <w:sz w:val="21"/>
          <w:szCs w:val="21"/>
          <w:highlight w:val="none"/>
          <w:lang w:val="zh-CN"/>
        </w:rPr>
        <w:t>供应商</w:t>
      </w:r>
      <w:r>
        <w:rPr>
          <w:rFonts w:hint="eastAsia" w:asciiTheme="minorEastAsia" w:hAnsiTheme="minorEastAsia" w:eastAsiaTheme="minorEastAsia" w:cstheme="minorEastAsia"/>
          <w:color w:val="auto"/>
          <w:sz w:val="21"/>
          <w:szCs w:val="21"/>
          <w:highlight w:val="none"/>
        </w:rPr>
        <w:t>按照平台提示和竞争性磋商文件的规定在半小时内完成在线解密。</w:t>
      </w:r>
    </w:p>
    <w:p w14:paraId="5DA65A28">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资格审查</w:t>
      </w:r>
    </w:p>
    <w:p w14:paraId="66268A40">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15.1</w:t>
      </w:r>
      <w:r>
        <w:rPr>
          <w:rFonts w:hint="eastAsia" w:asciiTheme="minorEastAsia" w:hAnsiTheme="minorEastAsia" w:eastAsiaTheme="minorEastAsia" w:cstheme="minorEastAsia"/>
          <w:color w:val="auto"/>
          <w:sz w:val="21"/>
          <w:szCs w:val="21"/>
          <w:highlight w:val="none"/>
        </w:rPr>
        <w:t>响应文件开启</w:t>
      </w:r>
      <w:r>
        <w:rPr>
          <w:rFonts w:hint="eastAsia" w:asciiTheme="minorEastAsia" w:hAnsiTheme="minorEastAsia" w:eastAsiaTheme="minorEastAsia" w:cstheme="minorEastAsia"/>
          <w:color w:val="auto"/>
          <w:kern w:val="0"/>
          <w:sz w:val="21"/>
          <w:szCs w:val="21"/>
          <w:highlight w:val="none"/>
        </w:rPr>
        <w:t>后，采购人或采购代理机构依据法律法规和</w:t>
      </w:r>
      <w:r>
        <w:rPr>
          <w:rFonts w:hint="eastAsia" w:asciiTheme="minorEastAsia" w:hAnsiTheme="minorEastAsia" w:eastAsiaTheme="minorEastAsia" w:cstheme="minorEastAsia"/>
          <w:color w:val="auto"/>
          <w:sz w:val="21"/>
          <w:szCs w:val="21"/>
          <w:highlight w:val="none"/>
        </w:rPr>
        <w:t>竞争性磋商</w:t>
      </w:r>
      <w:r>
        <w:rPr>
          <w:rFonts w:hint="eastAsia" w:asciiTheme="minorEastAsia" w:hAnsiTheme="minorEastAsia" w:eastAsiaTheme="minorEastAsia" w:cstheme="minorEastAsia"/>
          <w:color w:val="auto"/>
          <w:kern w:val="0"/>
          <w:sz w:val="21"/>
          <w:szCs w:val="21"/>
          <w:highlight w:val="none"/>
        </w:rPr>
        <w:t>文件的规定，对供应商的资格条件进行审查。</w:t>
      </w:r>
    </w:p>
    <w:p w14:paraId="584F368D">
      <w:pPr>
        <w:pStyle w:val="50"/>
        <w:shd w:val="clear"/>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15.</w:t>
      </w:r>
      <w:r>
        <w:rPr>
          <w:rFonts w:hint="eastAsia" w:asciiTheme="minorEastAsia" w:hAnsiTheme="minorEastAsia" w:eastAsiaTheme="minorEastAsia" w:cstheme="minorEastAsia"/>
          <w:color w:val="auto"/>
          <w:sz w:val="21"/>
          <w:szCs w:val="21"/>
          <w:highlight w:val="none"/>
        </w:rPr>
        <w:t>2对未通过资格审查的供应商，采购人或采购代理机构告知其未通过的原因。</w:t>
      </w:r>
    </w:p>
    <w:p w14:paraId="3EF18BA3">
      <w:pPr>
        <w:pStyle w:val="50"/>
        <w:shd w:val="clear"/>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15.</w:t>
      </w:r>
      <w:r>
        <w:rPr>
          <w:rFonts w:hint="eastAsia" w:asciiTheme="minorEastAsia" w:hAnsiTheme="minorEastAsia" w:eastAsiaTheme="minorEastAsia" w:cstheme="minorEastAsia"/>
          <w:color w:val="auto"/>
          <w:sz w:val="21"/>
          <w:szCs w:val="21"/>
          <w:highlight w:val="none"/>
        </w:rPr>
        <w:t>3合格供应商不足3家的，不再评审，但符合《政府采购竞争性磋商采购方式管理暂行办法》第二十一条第三款和《财政部关于政府采购竞争性磋商采购方式管理暂行办法有关问题的补充通知》规定的情形，采购活动可以继续进行。</w:t>
      </w:r>
    </w:p>
    <w:p w14:paraId="7862AF30">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信用信息查询</w:t>
      </w:r>
    </w:p>
    <w:p w14:paraId="3C93403B">
      <w:pPr>
        <w:pStyle w:val="50"/>
        <w:shd w:val="clear"/>
        <w:spacing w:before="0"/>
        <w:ind w:firstLine="495" w:firstLineChars="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16.1信用信息查询渠道及截止时间：采购代理机构将通过“信用中国”网站(www.creditchina.gov.cn)、中国政府采购网(www.ccgp.gov.cn)渠道查询供应商响应截止时间当天的信用记录。</w:t>
      </w:r>
    </w:p>
    <w:p w14:paraId="795BFB92">
      <w:pPr>
        <w:pStyle w:val="50"/>
        <w:shd w:val="clear"/>
        <w:spacing w:before="0"/>
        <w:ind w:firstLine="495" w:firstLineChars="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16.2信用信息的使用规则：经查询列入失信被执行人名单、重大税收违法案件当事人名单、政府采购严重违法失信行为记录名单的</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将被拒绝参与采购活动。</w:t>
      </w:r>
    </w:p>
    <w:p w14:paraId="309BDDB4">
      <w:pPr>
        <w:shd w:val="clear"/>
        <w:snapToGrid w:val="0"/>
        <w:spacing w:line="360" w:lineRule="auto"/>
        <w:jc w:val="center"/>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五、评审</w:t>
      </w:r>
    </w:p>
    <w:p w14:paraId="64F7FAC4">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bookmarkStart w:id="14" w:name="_Toc91899903"/>
      <w:r>
        <w:rPr>
          <w:rFonts w:hint="eastAsia" w:asciiTheme="minorEastAsia" w:hAnsiTheme="minorEastAsia" w:eastAsiaTheme="minorEastAsia" w:cstheme="minorEastAsia"/>
          <w:b/>
          <w:color w:val="auto"/>
          <w:szCs w:val="21"/>
          <w:highlight w:val="none"/>
        </w:rPr>
        <w:t>磋商小组</w:t>
      </w:r>
    </w:p>
    <w:p w14:paraId="2F24B6AA">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17.1 本次采购依法组建磋商小组。磋商小组由采购人代表和评审专家组成，评审专家从专家库随机抽取。</w:t>
      </w:r>
    </w:p>
    <w:p w14:paraId="5F48D4F8">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17.2 评审原则。磋商小组必须遵循公平、公正、客观、科学的原则和规定的程序进行评审；评审依据为竞争性磋商文件和响应文件；评审人员应独立评审，不得带有任何倾向性和启发性影响他人评审；任何单位和个人不得干扰、影响评标的正常进行；磋商小组及有关工作人员不得私下与供应商接触，不得向外界透露任何与评审有关的内容。</w:t>
      </w:r>
    </w:p>
    <w:p w14:paraId="2CC1B5B2">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 评审专家有下列情形之一的，应主动提出回避，采购当事人也可以要求该评审专家回避：</w:t>
      </w:r>
    </w:p>
    <w:p w14:paraId="6D0AB140">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17.3.1 参加采购活动前3年内与供应商存在劳动关系；</w:t>
      </w:r>
    </w:p>
    <w:p w14:paraId="19779875">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17.3.2 参加采购活动前3年内担任供应商的董事、监事；</w:t>
      </w:r>
    </w:p>
    <w:p w14:paraId="45978C24">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17.3.3 参加采购活动前3年内是供应商的控股股东或者实际控制人；</w:t>
      </w:r>
    </w:p>
    <w:p w14:paraId="5E40BC42">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17.3.4 与供应商的法定代表人或者负责人有夫妻、直系血亲、三代以内旁系血亲或者近姻亲关系；</w:t>
      </w:r>
    </w:p>
    <w:p w14:paraId="660628FA">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17.3.5 与供应商有其他可能影响采购活动公平、公正进行的关系。</w:t>
      </w:r>
    </w:p>
    <w:p w14:paraId="720906C1">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17.3.6 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5A4C9F73">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17.4 磋商小组判断响应文件的有效性、合格性和响应情况，仅依据供应商所递交一切文件的真实表述，不受与本项目无直接关联的外部信息、传言而影响自身的专业判断。</w:t>
      </w:r>
    </w:p>
    <w:p w14:paraId="7C47A910">
      <w:pPr>
        <w:pStyle w:val="50"/>
        <w:shd w:val="clear"/>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1C055B54">
      <w:pPr>
        <w:shd w:val="clear"/>
        <w:spacing w:line="360" w:lineRule="auto"/>
        <w:rPr>
          <w:rFonts w:asciiTheme="minorEastAsia" w:hAnsiTheme="minorEastAsia" w:eastAsiaTheme="minorEastAsia" w:cstheme="minorEastAsia"/>
          <w:b/>
          <w:color w:val="auto"/>
          <w:sz w:val="24"/>
          <w:highlight w:val="none"/>
        </w:rPr>
      </w:pPr>
    </w:p>
    <w:p w14:paraId="1CF7CF06">
      <w:pPr>
        <w:shd w:val="clear"/>
        <w:snapToGrid w:val="0"/>
        <w:spacing w:line="360" w:lineRule="auto"/>
        <w:jc w:val="center"/>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六、成交</w:t>
      </w:r>
    </w:p>
    <w:p w14:paraId="4E3AE23C">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确定成交供应商</w:t>
      </w:r>
    </w:p>
    <w:p w14:paraId="320B40E7">
      <w:pPr>
        <w:pStyle w:val="50"/>
        <w:shd w:val="clear"/>
        <w:spacing w:before="0"/>
        <w:ind w:firstLine="420"/>
        <w:rPr>
          <w:rFonts w:hint="eastAsia"/>
          <w:color w:val="auto"/>
          <w:kern w:val="0"/>
          <w:sz w:val="21"/>
          <w:szCs w:val="21"/>
          <w:highlight w:val="none"/>
        </w:rPr>
      </w:pPr>
      <w:r>
        <w:rPr>
          <w:rFonts w:hint="eastAsia"/>
          <w:color w:val="auto"/>
          <w:kern w:val="0"/>
          <w:sz w:val="21"/>
          <w:szCs w:val="21"/>
          <w:highlight w:val="none"/>
        </w:rPr>
        <w:t>采购人授权磋商小组直接确定排序第一的供应商为成交供应商。</w:t>
      </w:r>
    </w:p>
    <w:p w14:paraId="05073082">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成交通知与成交结果公告</w:t>
      </w:r>
    </w:p>
    <w:p w14:paraId="160492B1">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19.1自成交供应商确定之日起2个工作日内，采购代理机构通过电子交易平台向成交供应商发出成交通知书，同时编制发布采购结果公告。采购代理机构也可以以纸质形式进行成交通知。</w:t>
      </w:r>
    </w:p>
    <w:p w14:paraId="741BEC89">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19.2成交结果公告内容包括采购人及其委托的采购代理机构的名称、地址、联系方式，项目名称和项目编号，成交人名称、地址和成交金额，主要成交标的的名称、规格型号、数量、单价、服务要求，开标记录、成交公告期限以及评审专家名单</w:t>
      </w:r>
      <w:r>
        <w:rPr>
          <w:rFonts w:hint="eastAsia" w:asciiTheme="minorEastAsia" w:hAnsiTheme="minorEastAsia" w:eastAsiaTheme="minorEastAsia" w:cstheme="minorEastAsia"/>
          <w:b/>
          <w:bCs/>
          <w:color w:val="auto"/>
          <w:kern w:val="0"/>
          <w:sz w:val="21"/>
          <w:szCs w:val="21"/>
          <w:highlight w:val="none"/>
        </w:rPr>
        <w:t>。</w:t>
      </w:r>
    </w:p>
    <w:p w14:paraId="376BD993">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19.3公告期限为1个工作日。</w:t>
      </w:r>
    </w:p>
    <w:p w14:paraId="09523B40">
      <w:pPr>
        <w:shd w:val="clear"/>
        <w:snapToGrid w:val="0"/>
        <w:spacing w:line="360" w:lineRule="auto"/>
        <w:rPr>
          <w:rFonts w:asciiTheme="minorEastAsia" w:hAnsiTheme="minorEastAsia" w:eastAsiaTheme="minorEastAsia" w:cstheme="minorEastAsia"/>
          <w:b/>
          <w:color w:val="auto"/>
          <w:sz w:val="32"/>
          <w:highlight w:val="none"/>
        </w:rPr>
      </w:pPr>
    </w:p>
    <w:p w14:paraId="39158B6F">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12660844">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合同授予</w:t>
      </w:r>
    </w:p>
    <w:p w14:paraId="1E87D734">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合同主要条款详见第五部分拟签订的合同文本。</w:t>
      </w:r>
    </w:p>
    <w:p w14:paraId="6B0735E1">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合同的签订</w:t>
      </w:r>
    </w:p>
    <w:p w14:paraId="61806C56">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21.1 采购人与成交供应商应当通过电子交易平台在成交通知书发出之日起三十日内，按照竞争性磋商文件及成交供应商的响应文件确定的事项签订采购合同，并在合同签订之日起</w:t>
      </w:r>
      <w:r>
        <w:rPr>
          <w:rFonts w:hint="eastAsia" w:asciiTheme="minorEastAsia" w:hAnsiTheme="minorEastAsia" w:eastAsiaTheme="minorEastAsia" w:cstheme="minorEastAsia"/>
          <w:color w:val="auto"/>
          <w:kern w:val="0"/>
          <w:sz w:val="21"/>
          <w:szCs w:val="21"/>
          <w:highlight w:val="none"/>
          <w:lang w:val="en-US" w:eastAsia="zh-CN"/>
        </w:rPr>
        <w:t>二</w:t>
      </w:r>
      <w:r>
        <w:rPr>
          <w:rFonts w:hint="eastAsia" w:asciiTheme="minorEastAsia" w:hAnsiTheme="minorEastAsia" w:eastAsiaTheme="minorEastAsia" w:cstheme="minorEastAsia"/>
          <w:color w:val="auto"/>
          <w:kern w:val="0"/>
          <w:sz w:val="21"/>
          <w:szCs w:val="21"/>
          <w:highlight w:val="none"/>
        </w:rPr>
        <w:t>个工作日内依法发布合同公告。</w:t>
      </w:r>
    </w:p>
    <w:p w14:paraId="544AAF73">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zh-CN"/>
        </w:rPr>
        <w:t>2</w:t>
      </w:r>
      <w:r>
        <w:rPr>
          <w:rFonts w:hint="eastAsia" w:asciiTheme="minorEastAsia" w:hAnsiTheme="minorEastAsia" w:eastAsiaTheme="minorEastAsia" w:cstheme="minorEastAsia"/>
          <w:color w:val="auto"/>
          <w:kern w:val="0"/>
          <w:sz w:val="21"/>
          <w:szCs w:val="21"/>
          <w:highlight w:val="none"/>
        </w:rPr>
        <w:t>1</w:t>
      </w:r>
      <w:r>
        <w:rPr>
          <w:rFonts w:hint="eastAsia" w:asciiTheme="minorEastAsia" w:hAnsiTheme="minorEastAsia" w:eastAsiaTheme="minorEastAsia" w:cstheme="minorEastAsia"/>
          <w:color w:val="auto"/>
          <w:kern w:val="0"/>
          <w:sz w:val="21"/>
          <w:szCs w:val="21"/>
          <w:highlight w:val="none"/>
          <w:lang w:val="zh-CN"/>
        </w:rPr>
        <w:t>.2成交供应商按规定的日期、时间、地点，由法定代表人或其授权代表与采购人代表签订合同。如成交人为联合体的，由联合体成员各方法定代表人或其授权代表与采购人代表签订合同。</w:t>
      </w:r>
    </w:p>
    <w:p w14:paraId="7EE3D3FE">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21.3如签订合同并生效后，供应商无故拒绝或延期，除按照合同条款处理外，列入不良行为记录名单，并给予通报。</w:t>
      </w:r>
    </w:p>
    <w:p w14:paraId="035872BF">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21.4</w:t>
      </w:r>
      <w:r>
        <w:rPr>
          <w:rFonts w:hint="eastAsia" w:asciiTheme="minorEastAsia" w:hAnsiTheme="minorEastAsia" w:eastAsiaTheme="minorEastAsia" w:cstheme="minorEastAsia"/>
          <w:color w:val="auto"/>
          <w:kern w:val="0"/>
          <w:sz w:val="21"/>
          <w:szCs w:val="21"/>
          <w:highlight w:val="none"/>
          <w:lang w:val="zh-CN"/>
        </w:rPr>
        <w:t>成交</w:t>
      </w:r>
      <w:r>
        <w:rPr>
          <w:rFonts w:hint="eastAsia" w:asciiTheme="minorEastAsia" w:hAnsiTheme="minorEastAsia" w:eastAsiaTheme="minorEastAsia" w:cstheme="minorEastAsia"/>
          <w:color w:val="auto"/>
          <w:kern w:val="0"/>
          <w:sz w:val="21"/>
          <w:szCs w:val="21"/>
          <w:highlight w:val="none"/>
        </w:rPr>
        <w:t>供应商拒绝与采购人签订合同的，列入不良行为记录名单，采购人、采购代理机构重新开展采购活动。</w:t>
      </w:r>
    </w:p>
    <w:p w14:paraId="3784E3B0">
      <w:pPr>
        <w:pStyle w:val="50"/>
        <w:shd w:val="clear"/>
        <w:spacing w:before="0"/>
        <w:ind w:firstLine="420"/>
        <w:rPr>
          <w:rFonts w:asciiTheme="minorEastAsia" w:hAnsiTheme="minorEastAsia" w:eastAsiaTheme="minorEastAsia" w:cstheme="minorEastAsia"/>
          <w:color w:val="auto"/>
          <w:kern w:val="0"/>
          <w:sz w:val="21"/>
          <w:szCs w:val="21"/>
          <w:highlight w:val="none"/>
        </w:rPr>
      </w:pPr>
    </w:p>
    <w:p w14:paraId="6F6E3C4B">
      <w:pPr>
        <w:shd w:val="clear"/>
        <w:snapToGrid w:val="0"/>
        <w:spacing w:line="360" w:lineRule="auto"/>
        <w:ind w:firstLine="3357" w:firstLineChars="1045"/>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57BFCC99">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电子交易活动的中止</w:t>
      </w:r>
    </w:p>
    <w:p w14:paraId="05811F31">
      <w:pPr>
        <w:shd w:val="clear"/>
        <w:tabs>
          <w:tab w:val="left" w:pos="0"/>
        </w:tabs>
        <w:spacing w:line="360" w:lineRule="auto"/>
        <w:ind w:firstLine="48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采购过程中出现以下情形，导致电子交易平台无法正常运行，或者无法保证电子交易的公平、公正和安全时，采购代理机构可中止电子交易活动：</w:t>
      </w:r>
    </w:p>
    <w:p w14:paraId="45242269">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22.1电子交易平台发生故障而无法登录访问的； </w:t>
      </w:r>
    </w:p>
    <w:p w14:paraId="3DB2C478">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22.2电子交易平台应用或数据库出现错误，不能进行正常操作的；</w:t>
      </w:r>
    </w:p>
    <w:p w14:paraId="2DED7ADB">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22.3电子交易平台发现严重安全漏洞，有潜在泄密危险的；</w:t>
      </w:r>
    </w:p>
    <w:p w14:paraId="29071079">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22.4病毒发作导致不能进行正常操作的； </w:t>
      </w:r>
    </w:p>
    <w:p w14:paraId="31FC0444">
      <w:pPr>
        <w:pStyle w:val="50"/>
        <w:shd w:val="clear"/>
        <w:snapToGrid w:val="0"/>
        <w:spacing w:before="0"/>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22.5其他无法保证电子交易的公平、公正和安全的情况。</w:t>
      </w:r>
    </w:p>
    <w:p w14:paraId="1BA4914B">
      <w:pPr>
        <w:shd w:val="clear"/>
        <w:snapToGrid w:val="0"/>
        <w:spacing w:line="360" w:lineRule="auto"/>
        <w:rPr>
          <w:rFonts w:asciiTheme="minorEastAsia" w:hAnsiTheme="minorEastAsia" w:eastAsiaTheme="minorEastAsia" w:cstheme="minorEastAsia"/>
          <w:b/>
          <w:color w:val="auto"/>
          <w:sz w:val="32"/>
          <w:highlight w:val="none"/>
        </w:rPr>
      </w:pPr>
    </w:p>
    <w:p w14:paraId="0E863D69">
      <w:pPr>
        <w:shd w:val="clear"/>
        <w:snapToGrid w:val="0"/>
        <w:spacing w:line="360" w:lineRule="auto"/>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2BF3A654">
      <w:pPr>
        <w:numPr>
          <w:ilvl w:val="0"/>
          <w:numId w:val="1"/>
        </w:numPr>
        <w:shd w:val="clea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验收</w:t>
      </w:r>
    </w:p>
    <w:bookmarkEnd w:id="11"/>
    <w:bookmarkEnd w:id="12"/>
    <w:bookmarkEnd w:id="14"/>
    <w:p w14:paraId="240FA300">
      <w:pPr>
        <w:shd w:val="clear"/>
        <w:tabs>
          <w:tab w:val="left" w:pos="0"/>
        </w:tabs>
        <w:spacing w:line="360" w:lineRule="auto"/>
        <w:ind w:firstLine="48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23.1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A8843BE">
      <w:pPr>
        <w:shd w:val="clear"/>
        <w:tabs>
          <w:tab w:val="left" w:pos="0"/>
        </w:tabs>
        <w:spacing w:line="360" w:lineRule="auto"/>
        <w:ind w:firstLine="48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23.2严格按照采购合同开展履约验收。采购人成立验收小组（为社会公众提供的公共服务项目验收时，验收小组成员必须包含部分服务对象），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2FBDF07">
      <w:pPr>
        <w:shd w:val="clear"/>
        <w:tabs>
          <w:tab w:val="left" w:pos="0"/>
        </w:tabs>
        <w:spacing w:line="360" w:lineRule="auto"/>
        <w:ind w:firstLine="48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23.3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r>
        <w:rPr>
          <w:rFonts w:hint="eastAsia" w:asciiTheme="minorEastAsia" w:hAnsiTheme="minorEastAsia" w:eastAsiaTheme="minorEastAsia" w:cstheme="minorEastAsia"/>
          <w:color w:val="auto"/>
          <w:kern w:val="0"/>
          <w:szCs w:val="21"/>
          <w:highlight w:val="none"/>
        </w:rPr>
        <w:br w:type="page"/>
      </w:r>
    </w:p>
    <w:p w14:paraId="61F288B5">
      <w:pPr>
        <w:shd w:val="clear"/>
        <w:spacing w:line="360" w:lineRule="auto"/>
        <w:jc w:val="center"/>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第三部分  采购需求</w:t>
      </w:r>
    </w:p>
    <w:p w14:paraId="6D7247E4">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b/>
          <w:bCs/>
          <w:color w:val="auto"/>
          <w:sz w:val="21"/>
          <w:szCs w:val="21"/>
          <w:highlight w:val="none"/>
          <w:lang w:val="en-US" w:eastAsia="zh-Hans"/>
        </w:rPr>
      </w:pPr>
      <w:bookmarkStart w:id="15" w:name="_Hlk128151554"/>
      <w:r>
        <w:rPr>
          <w:rFonts w:hint="eastAsia" w:ascii="Times New Roman" w:hAnsi="Times New Roman" w:cs="Times New Roman"/>
          <w:b/>
          <w:bCs/>
          <w:color w:val="auto"/>
          <w:sz w:val="21"/>
          <w:szCs w:val="21"/>
          <w:highlight w:val="none"/>
          <w:lang w:val="en-US" w:eastAsia="zh-CN"/>
        </w:rPr>
        <w:t>一</w:t>
      </w:r>
      <w:r>
        <w:rPr>
          <w:rFonts w:hint="default" w:ascii="Times New Roman" w:hAnsi="Times New Roman" w:eastAsia="宋体" w:cs="Times New Roman"/>
          <w:b/>
          <w:bCs/>
          <w:color w:val="auto"/>
          <w:sz w:val="21"/>
          <w:szCs w:val="21"/>
          <w:highlight w:val="none"/>
          <w:lang w:eastAsia="zh-Hans"/>
        </w:rPr>
        <w:t>、</w:t>
      </w:r>
      <w:r>
        <w:rPr>
          <w:rFonts w:hint="default" w:ascii="Times New Roman" w:hAnsi="Times New Roman" w:eastAsia="宋体" w:cs="Times New Roman"/>
          <w:b/>
          <w:bCs/>
          <w:color w:val="auto"/>
          <w:sz w:val="21"/>
          <w:szCs w:val="21"/>
          <w:highlight w:val="none"/>
          <w:lang w:val="en-US" w:eastAsia="zh-Hans"/>
        </w:rPr>
        <w:t>采购需求</w:t>
      </w:r>
    </w:p>
    <w:tbl>
      <w:tblPr>
        <w:tblStyle w:val="26"/>
        <w:tblW w:w="922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10"/>
        <w:gridCol w:w="7010"/>
      </w:tblGrid>
      <w:tr w14:paraId="13629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1F65DE7B">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lang w:val="en-US" w:eastAsia="zh-Hans"/>
              </w:rPr>
              <w:t>采购内容</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3BE3E2A2">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服务范围内“2000元（含）～区招标限额以下”的房屋（含附属设施）维修及其他零星工程维修改造等项目的维修任务（除特殊项目或区交管办通过公开招标方式建立区招标限额以下的施工参建单位预选名录库外）。</w:t>
            </w:r>
          </w:p>
          <w:p w14:paraId="4E768A75">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注：目前以《宁波市奉化区小型建设工程项目交易管理办法（修订版）》和《宁波市奉化区微型建设工程项目发包管理办法（修订版）》奉资交管办【2023】2号确认的区招标限额为准，如合同实施期间政策文件有调整的按照最新标准执行。</w:t>
            </w:r>
          </w:p>
        </w:tc>
      </w:tr>
      <w:tr w14:paraId="734FC7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1E860495">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项目服务范围</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1A645938">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rPr>
              <w:t>具体根据</w:t>
            </w:r>
            <w:r>
              <w:rPr>
                <w:rFonts w:hint="default" w:ascii="Times New Roman" w:hAnsi="Times New Roman" w:eastAsia="宋体" w:cs="Times New Roman"/>
                <w:color w:val="auto"/>
                <w:sz w:val="21"/>
                <w:szCs w:val="21"/>
                <w:highlight w:val="none"/>
                <w:lang w:val="en-US" w:eastAsia="zh-Hans"/>
              </w:rPr>
              <w:t>项目</w:t>
            </w:r>
            <w:r>
              <w:rPr>
                <w:rFonts w:hint="default" w:ascii="Times New Roman" w:hAnsi="Times New Roman" w:eastAsia="宋体" w:cs="Times New Roman"/>
                <w:color w:val="auto"/>
                <w:sz w:val="21"/>
                <w:szCs w:val="21"/>
                <w:highlight w:val="none"/>
              </w:rPr>
              <w:t>实际情况确定</w:t>
            </w:r>
            <w:r>
              <w:rPr>
                <w:rFonts w:hint="default" w:ascii="Times New Roman" w:hAnsi="Times New Roman" w:eastAsia="宋体" w:cs="Times New Roman"/>
                <w:color w:val="auto"/>
                <w:sz w:val="21"/>
                <w:szCs w:val="21"/>
                <w:highlight w:val="none"/>
                <w:lang w:eastAsia="zh-CN"/>
              </w:rPr>
              <w:t>。</w:t>
            </w:r>
          </w:p>
        </w:tc>
      </w:tr>
      <w:tr w14:paraId="69045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75B3BD47">
            <w:pPr>
              <w:keepNext w:val="0"/>
              <w:keepLines w:val="0"/>
              <w:pageBreakBefore w:val="0"/>
              <w:widowControl w:val="0"/>
              <w:numPr>
                <w:ilvl w:val="0"/>
                <w:numId w:val="3"/>
              </w:numPr>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年度施工任务量</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2C9402E6">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年度零星维修任务量根据实际情况而定。</w:t>
            </w:r>
          </w:p>
          <w:p w14:paraId="578EF2C8">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须无条件承接采购人</w:t>
            </w:r>
            <w:r>
              <w:rPr>
                <w:rFonts w:hint="eastAsia" w:ascii="Times New Roman" w:hAnsi="Times New Roman" w:cs="Times New Roman"/>
                <w:color w:val="auto"/>
                <w:sz w:val="21"/>
                <w:szCs w:val="21"/>
                <w:highlight w:val="none"/>
                <w:lang w:eastAsia="zh-CN"/>
              </w:rPr>
              <w:t>所委托的零星维修工程任务</w:t>
            </w:r>
            <w:r>
              <w:rPr>
                <w:rFonts w:hint="default" w:ascii="Times New Roman" w:hAnsi="Times New Roman" w:eastAsia="宋体" w:cs="Times New Roman"/>
                <w:color w:val="auto"/>
                <w:sz w:val="21"/>
                <w:szCs w:val="21"/>
                <w:highlight w:val="none"/>
              </w:rPr>
              <w:t>，不得以任何理由拒绝、推脱。</w:t>
            </w:r>
          </w:p>
        </w:tc>
      </w:tr>
      <w:tr w14:paraId="595BE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5"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63753010">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4、</w:t>
            </w:r>
            <w:r>
              <w:rPr>
                <w:rFonts w:hint="default" w:ascii="Times New Roman" w:hAnsi="Times New Roman" w:eastAsia="宋体" w:cs="Times New Roman"/>
                <w:color w:val="auto"/>
                <w:sz w:val="21"/>
                <w:szCs w:val="21"/>
                <w:highlight w:val="none"/>
              </w:rPr>
              <w:t>零星维修中的施工质量要求</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3C9E16EC">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符合国家、浙江省、宁波市验收规范（从高）一次性验收合格标准要求。</w:t>
            </w:r>
          </w:p>
        </w:tc>
      </w:tr>
      <w:tr w14:paraId="4D0F4F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67A666CB">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工期/服务期限要求</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16CA0EE2">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符合单个项目工期要求，具体由采购人根据具体项目情况确定。</w:t>
            </w:r>
          </w:p>
        </w:tc>
      </w:tr>
      <w:tr w14:paraId="3D664B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5801A103">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6、</w:t>
            </w:r>
            <w:r>
              <w:rPr>
                <w:rFonts w:hint="default" w:ascii="Times New Roman" w:hAnsi="Times New Roman" w:eastAsia="宋体" w:cs="Times New Roman"/>
                <w:color w:val="auto"/>
                <w:sz w:val="21"/>
                <w:szCs w:val="21"/>
                <w:highlight w:val="none"/>
              </w:rPr>
              <w:t>作业的人员及服务机构要求</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14B8F114">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1</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项目负责人：服务期间需明确项目负责人，未经采购人同意不得更换项目负责人。</w:t>
            </w:r>
          </w:p>
          <w:p w14:paraId="438354CA">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2</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其他人员：</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须配备专业作业人员进行作业，具体根据项目实际情况确定。</w:t>
            </w:r>
          </w:p>
          <w:p w14:paraId="02368B7C">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3</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Hans"/>
              </w:rPr>
              <w:t>成交后</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rPr>
              <w:t>在</w:t>
            </w:r>
            <w:r>
              <w:rPr>
                <w:rFonts w:hint="default" w:ascii="Times New Roman" w:hAnsi="Times New Roman" w:eastAsia="宋体" w:cs="Times New Roman"/>
                <w:color w:val="auto"/>
                <w:sz w:val="21"/>
                <w:szCs w:val="21"/>
                <w:highlight w:val="none"/>
                <w:lang w:val="en-US" w:eastAsia="zh-Hans"/>
              </w:rPr>
              <w:t>奉化</w:t>
            </w:r>
            <w:r>
              <w:rPr>
                <w:rFonts w:hint="default" w:ascii="Times New Roman" w:hAnsi="Times New Roman" w:eastAsia="宋体" w:cs="Times New Roman"/>
                <w:color w:val="auto"/>
                <w:sz w:val="21"/>
                <w:szCs w:val="21"/>
                <w:highlight w:val="none"/>
              </w:rPr>
              <w:t>需设置有固定的服务机构。</w:t>
            </w:r>
          </w:p>
        </w:tc>
      </w:tr>
      <w:tr w14:paraId="5B1B7A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6BDDB159">
            <w:pPr>
              <w:keepNext w:val="0"/>
              <w:keepLines w:val="0"/>
              <w:pageBreakBefore w:val="0"/>
              <w:widowControl w:val="0"/>
              <w:kinsoku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Hans"/>
              </w:rPr>
            </w:pPr>
            <w:r>
              <w:rPr>
                <w:rFonts w:hint="eastAsia" w:ascii="Times New Roman" w:hAnsi="Times New Roman" w:cs="Times New Roman"/>
                <w:color w:val="auto"/>
                <w:sz w:val="21"/>
                <w:szCs w:val="21"/>
                <w:highlight w:val="none"/>
                <w:lang w:val="en-US" w:eastAsia="zh-CN"/>
              </w:rPr>
              <w:t>7、</w:t>
            </w:r>
            <w:r>
              <w:rPr>
                <w:rFonts w:hint="eastAsia" w:asciiTheme="minorEastAsia" w:hAnsiTheme="minorEastAsia" w:eastAsiaTheme="minorEastAsia" w:cstheme="minorEastAsia"/>
                <w:color w:val="auto"/>
                <w:szCs w:val="21"/>
                <w:highlight w:val="none"/>
              </w:rPr>
              <w:t>▲</w:t>
            </w:r>
            <w:r>
              <w:rPr>
                <w:rFonts w:hint="default" w:ascii="Times New Roman" w:hAnsi="Times New Roman" w:eastAsia="宋体" w:cs="Times New Roman"/>
                <w:color w:val="auto"/>
                <w:sz w:val="21"/>
                <w:szCs w:val="21"/>
                <w:highlight w:val="none"/>
              </w:rPr>
              <w:t>零星维修中的施工单项合同价款确定</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65AF0C33">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情形一</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单项工程预算在</w:t>
            </w:r>
            <w:r>
              <w:rPr>
                <w:rFonts w:hint="default" w:ascii="Times New Roman" w:hAnsi="Times New Roman" w:eastAsia="宋体" w:cs="Times New Roman"/>
                <w:color w:val="auto"/>
                <w:sz w:val="21"/>
                <w:szCs w:val="21"/>
                <w:highlight w:val="none"/>
                <w:lang w:eastAsia="zh-Hans"/>
              </w:rPr>
              <w:t>0</w:t>
            </w:r>
            <w:r>
              <w:rPr>
                <w:rFonts w:hint="default" w:ascii="Times New Roman" w:hAnsi="Times New Roman" w:eastAsia="宋体" w:cs="Times New Roman"/>
                <w:color w:val="auto"/>
                <w:sz w:val="21"/>
                <w:szCs w:val="21"/>
                <w:highlight w:val="none"/>
                <w:lang w:val="en-US" w:eastAsia="zh-Hans"/>
              </w:rPr>
              <w:t>.</w:t>
            </w:r>
            <w:r>
              <w:rPr>
                <w:rFonts w:hint="default" w:ascii="Times New Roman" w:hAnsi="Times New Roman" w:eastAsia="宋体" w:cs="Times New Roman"/>
                <w:color w:val="auto"/>
                <w:sz w:val="21"/>
                <w:szCs w:val="21"/>
                <w:highlight w:val="none"/>
                <w:lang w:eastAsia="zh-Hans"/>
              </w:rPr>
              <w:t>2</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含</w:t>
            </w: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不含</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以内的项目</w:t>
            </w:r>
          </w:p>
          <w:p w14:paraId="78244F15">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rPr>
              <w:t>结算依据：</w:t>
            </w:r>
            <w:r>
              <w:rPr>
                <w:rFonts w:hint="default" w:ascii="Times New Roman" w:hAnsi="Times New Roman" w:eastAsia="宋体" w:cs="Times New Roman"/>
                <w:color w:val="auto"/>
                <w:sz w:val="21"/>
                <w:szCs w:val="21"/>
                <w:highlight w:val="none"/>
                <w:lang w:val="en-US" w:eastAsia="zh-Hans"/>
              </w:rPr>
              <w:t>按照“项目费用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人工</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材料</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其他费用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除人工</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材料外</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为完成项目涉及的一切费用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进行结算</w:t>
            </w:r>
            <w:r>
              <w:rPr>
                <w:rFonts w:hint="default" w:ascii="Times New Roman" w:hAnsi="Times New Roman" w:eastAsia="宋体" w:cs="Times New Roman"/>
                <w:color w:val="auto"/>
                <w:sz w:val="21"/>
                <w:szCs w:val="21"/>
                <w:highlight w:val="none"/>
                <w:lang w:eastAsia="zh-Hans"/>
              </w:rPr>
              <w:t>。</w:t>
            </w:r>
          </w:p>
          <w:p w14:paraId="160593F7">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Hans"/>
              </w:rPr>
              <w:t>注</w:t>
            </w:r>
            <w:r>
              <w:rPr>
                <w:rFonts w:hint="default" w:ascii="Times New Roman" w:hAnsi="Times New Roman" w:eastAsia="宋体" w:cs="Times New Roman"/>
                <w:color w:val="auto"/>
                <w:sz w:val="21"/>
                <w:szCs w:val="21"/>
                <w:highlight w:val="none"/>
                <w:lang w:eastAsia="zh-Hans"/>
              </w:rPr>
              <w:t>：①人工单价按照技术工按450元/工、普工按300元/工计取，上述人工费包含工资、奖金、加班费及福利补贴、保险、通讯、交通费等；②最终结算价以采购人委托的第三方咨询公司出具的审定价为准，不下浮，即最终结算价款＝审定价。</w:t>
            </w:r>
          </w:p>
          <w:p w14:paraId="234BB493">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p>
          <w:p w14:paraId="7AD378A6">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情形二</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单项工程预算在</w:t>
            </w: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含</w:t>
            </w:r>
            <w:r>
              <w:rPr>
                <w:rFonts w:hint="default" w:ascii="Times New Roman" w:hAnsi="Times New Roman" w:eastAsia="宋体" w:cs="Times New Roman"/>
                <w:color w:val="auto"/>
                <w:sz w:val="21"/>
                <w:szCs w:val="21"/>
                <w:highlight w:val="none"/>
                <w:lang w:eastAsia="zh-Hans"/>
              </w:rPr>
              <w:t>）-60</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不含</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的项目</w:t>
            </w:r>
          </w:p>
          <w:p w14:paraId="258690C6">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1</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结算依据：</w:t>
            </w:r>
          </w:p>
          <w:p w14:paraId="52159407">
            <w:pPr>
              <w:keepNext w:val="0"/>
              <w:keepLines w:val="0"/>
              <w:pageBreakBefore w:val="0"/>
              <w:widowControl w:val="0"/>
              <w:wordWrap/>
              <w:overflowPunct/>
              <w:topLinePunct w:val="0"/>
              <w:autoSpaceDE/>
              <w:autoSpaceDN/>
              <w:bidi w:val="0"/>
              <w:adjustRightInd/>
              <w:snapToGrid/>
              <w:spacing w:line="400" w:lineRule="exact"/>
              <w:ind w:firstLine="413" w:firstLineChars="197"/>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施工图（</w:t>
            </w:r>
            <w:r>
              <w:rPr>
                <w:rFonts w:hint="default" w:ascii="Times New Roman" w:hAnsi="Times New Roman" w:eastAsia="宋体" w:cs="Times New Roman"/>
                <w:color w:val="auto"/>
                <w:sz w:val="21"/>
                <w:szCs w:val="21"/>
                <w:highlight w:val="none"/>
                <w:lang w:val="en-US" w:eastAsia="zh-Hans"/>
              </w:rPr>
              <w:t>如有</w:t>
            </w:r>
            <w:r>
              <w:rPr>
                <w:rFonts w:hint="default" w:ascii="Times New Roman" w:hAnsi="Times New Roman" w:eastAsia="宋体" w:cs="Times New Roman"/>
                <w:color w:val="auto"/>
                <w:sz w:val="21"/>
                <w:szCs w:val="21"/>
                <w:highlight w:val="none"/>
              </w:rPr>
              <w:t>）、《建设工程工程量计价规范GB50500-2013》、《房屋建筑与装饰工程工程量计算规范GB50854-2013》、《通用安装工程工程量计算规范 GB 50856-2013 》、《市政工程工程量计算规范 GB 50857-2013》、《园林绿化工程工程量计算规范 GB 50858-2013》）、《建筑工程建筑面积计算规范》（GB/T50353-2013）、《浙江省房屋建筑与装饰工程预算定额》（2018版）、《浙江省市政工程预算定额》(2018版)、《浙江省通用安装工程预算定额》（2018版）、《浙江省园林绿化及仿古建筑工程预算定额》(2018版)、《浙江省建设工程计价规则》（2018版）、《浙江省建设工程施工机械台班费用定额》（2018版）及有关的补充定额等。</w:t>
            </w:r>
          </w:p>
          <w:p w14:paraId="0051E978">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 xml:space="preserve">   注：</w:t>
            </w:r>
            <w:r>
              <w:rPr>
                <w:rFonts w:hint="default" w:ascii="Times New Roman" w:hAnsi="Times New Roman" w:eastAsia="宋体" w:cs="Times New Roman"/>
                <w:color w:val="auto"/>
                <w:sz w:val="21"/>
                <w:szCs w:val="21"/>
                <w:highlight w:val="none"/>
              </w:rPr>
              <w:fldChar w:fldCharType="begin"/>
            </w:r>
            <w:r>
              <w:rPr>
                <w:rFonts w:hint="default" w:ascii="Times New Roman" w:hAnsi="Times New Roman" w:eastAsia="宋体" w:cs="Times New Roman"/>
                <w:color w:val="auto"/>
                <w:sz w:val="21"/>
                <w:szCs w:val="21"/>
                <w:highlight w:val="none"/>
              </w:rPr>
              <w:instrText xml:space="preserve"> = 1 \* GB3 </w:instrText>
            </w:r>
            <w:r>
              <w:rPr>
                <w:rFonts w:hint="default" w:ascii="Times New Roman" w:hAnsi="Times New Roman" w:eastAsia="宋体" w:cs="Times New Roman"/>
                <w:color w:val="auto"/>
                <w:sz w:val="21"/>
                <w:szCs w:val="21"/>
                <w:highlight w:val="none"/>
              </w:rPr>
              <w:fldChar w:fldCharType="separate"/>
            </w:r>
            <w:r>
              <w:rPr>
                <w:rFonts w:hint="default" w:ascii="Times New Roman" w:hAnsi="Times New Roman" w:eastAsia="宋体" w:cs="Times New Roman"/>
                <w:color w:val="auto"/>
                <w:sz w:val="21"/>
                <w:szCs w:val="21"/>
                <w:highlight w:val="none"/>
              </w:rPr>
              <w:t>①</w:t>
            </w:r>
            <w:r>
              <w:rPr>
                <w:rFonts w:hint="default" w:ascii="Times New Roman" w:hAnsi="Times New Roman" w:eastAsia="宋体" w:cs="Times New Roman"/>
                <w:color w:val="auto"/>
                <w:sz w:val="21"/>
                <w:szCs w:val="21"/>
                <w:highlight w:val="none"/>
              </w:rPr>
              <w:fldChar w:fldCharType="end"/>
            </w:r>
            <w:r>
              <w:rPr>
                <w:rFonts w:hint="default" w:ascii="Times New Roman" w:hAnsi="Times New Roman" w:eastAsia="宋体" w:cs="Times New Roman"/>
                <w:color w:val="auto"/>
                <w:sz w:val="21"/>
                <w:szCs w:val="21"/>
                <w:highlight w:val="none"/>
              </w:rPr>
              <w:t xml:space="preserve"> 在单项工程开工前，若有新的文件或定额出台按最新的文件或定额执行；</w:t>
            </w:r>
            <w:r>
              <w:rPr>
                <w:rFonts w:hint="default" w:ascii="Times New Roman" w:hAnsi="Times New Roman" w:eastAsia="宋体" w:cs="Times New Roman"/>
                <w:color w:val="auto"/>
                <w:sz w:val="21"/>
                <w:szCs w:val="21"/>
                <w:highlight w:val="none"/>
              </w:rPr>
              <w:fldChar w:fldCharType="begin"/>
            </w:r>
            <w:r>
              <w:rPr>
                <w:rFonts w:hint="default" w:ascii="Times New Roman" w:hAnsi="Times New Roman" w:eastAsia="宋体" w:cs="Times New Roman"/>
                <w:color w:val="auto"/>
                <w:sz w:val="21"/>
                <w:szCs w:val="21"/>
                <w:highlight w:val="none"/>
              </w:rPr>
              <w:instrText xml:space="preserve"> = 2 \* GB3 </w:instrText>
            </w:r>
            <w:r>
              <w:rPr>
                <w:rFonts w:hint="default" w:ascii="Times New Roman" w:hAnsi="Times New Roman" w:eastAsia="宋体" w:cs="Times New Roman"/>
                <w:color w:val="auto"/>
                <w:sz w:val="21"/>
                <w:szCs w:val="21"/>
                <w:highlight w:val="none"/>
              </w:rPr>
              <w:fldChar w:fldCharType="separate"/>
            </w:r>
            <w:r>
              <w:rPr>
                <w:rFonts w:hint="default" w:ascii="Times New Roman" w:hAnsi="Times New Roman" w:eastAsia="宋体" w:cs="Times New Roman"/>
                <w:color w:val="auto"/>
                <w:sz w:val="21"/>
                <w:szCs w:val="21"/>
                <w:highlight w:val="none"/>
              </w:rPr>
              <w:t>②</w:t>
            </w:r>
            <w:r>
              <w:rPr>
                <w:rFonts w:hint="default" w:ascii="Times New Roman" w:hAnsi="Times New Roman" w:eastAsia="宋体" w:cs="Times New Roman"/>
                <w:color w:val="auto"/>
                <w:sz w:val="21"/>
                <w:szCs w:val="21"/>
                <w:highlight w:val="none"/>
              </w:rPr>
              <w:fldChar w:fldCharType="end"/>
            </w:r>
            <w:r>
              <w:rPr>
                <w:rFonts w:hint="default" w:ascii="Times New Roman" w:hAnsi="Times New Roman" w:eastAsia="宋体" w:cs="Times New Roman"/>
                <w:color w:val="auto"/>
                <w:sz w:val="21"/>
                <w:szCs w:val="21"/>
                <w:highlight w:val="none"/>
              </w:rPr>
              <w:t xml:space="preserve"> 如安全文明施工有特殊要求可按实结算。</w:t>
            </w:r>
          </w:p>
          <w:p w14:paraId="617344BF">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2</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人工价格：按开工日当月的月刊《宁波建设工程造价信息》综合版。</w:t>
            </w:r>
          </w:p>
          <w:p w14:paraId="0B18E2C5">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3</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材料价格：材料价格根据《宁波建设工程造价信息》（按开工日当月的月刊，综合版）市区除税价格，《宁波建设工程造价信息》没有的参照《浙江造价信息》（按开工日当月的期数）除税价格，无信息价的材料按市场价计入，以上材料价格均采用除税价计入。</w:t>
            </w:r>
          </w:p>
          <w:p w14:paraId="288124D1">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4</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取费：根据各单项工程而定；</w:t>
            </w:r>
          </w:p>
          <w:p w14:paraId="7249BE40">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5</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审定价由采购人委托的第三方公司出具；</w:t>
            </w:r>
          </w:p>
          <w:p w14:paraId="29298E7E">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6</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综合折扣率</w:t>
            </w:r>
            <w:r>
              <w:rPr>
                <w:rFonts w:hint="default" w:ascii="Times New Roman" w:hAnsi="Times New Roman" w:eastAsia="宋体" w:cs="Times New Roman"/>
                <w:color w:val="auto"/>
                <w:sz w:val="21"/>
                <w:szCs w:val="21"/>
                <w:highlight w:val="none"/>
              </w:rPr>
              <w:t>按承包人投标</w:t>
            </w:r>
            <w:r>
              <w:rPr>
                <w:rFonts w:hint="default" w:ascii="Times New Roman" w:hAnsi="Times New Roman" w:eastAsia="宋体" w:cs="Times New Roman"/>
                <w:color w:val="auto"/>
                <w:sz w:val="21"/>
                <w:szCs w:val="21"/>
                <w:highlight w:val="none"/>
                <w:lang w:val="en-US" w:eastAsia="zh-CN"/>
              </w:rPr>
              <w:t>响应</w:t>
            </w:r>
            <w:r>
              <w:rPr>
                <w:rFonts w:hint="default" w:ascii="Times New Roman" w:hAnsi="Times New Roman" w:eastAsia="宋体" w:cs="Times New Roman"/>
                <w:color w:val="auto"/>
                <w:sz w:val="21"/>
                <w:szCs w:val="21"/>
                <w:highlight w:val="none"/>
              </w:rPr>
              <w:t>时承诺的</w:t>
            </w:r>
            <w:r>
              <w:rPr>
                <w:rFonts w:hint="default" w:ascii="Times New Roman" w:hAnsi="Times New Roman" w:eastAsia="宋体" w:cs="Times New Roman"/>
                <w:color w:val="auto"/>
                <w:sz w:val="21"/>
                <w:szCs w:val="21"/>
                <w:highlight w:val="none"/>
                <w:lang w:val="en-US" w:eastAsia="zh-CN"/>
              </w:rPr>
              <w:t>综合折扣率</w:t>
            </w:r>
            <w:r>
              <w:rPr>
                <w:rFonts w:hint="default" w:ascii="Times New Roman" w:hAnsi="Times New Roman" w:eastAsia="宋体" w:cs="Times New Roman"/>
                <w:color w:val="auto"/>
                <w:sz w:val="21"/>
                <w:szCs w:val="21"/>
                <w:highlight w:val="none"/>
              </w:rPr>
              <w:t>执行；</w:t>
            </w:r>
          </w:p>
          <w:p w14:paraId="6ED11F00">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0" w:leftChars="0" w:firstLine="0" w:firstLineChars="0"/>
              <w:jc w:val="lef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eastAsia="zh-CN"/>
              </w:rPr>
              <w:t>（</w:t>
            </w:r>
            <w:r>
              <w:rPr>
                <w:rFonts w:hint="eastAsia" w:ascii="Times New Roman" w:hAnsi="Times New Roman" w:cs="Times New Roman"/>
                <w:color w:val="auto"/>
                <w:sz w:val="21"/>
                <w:szCs w:val="21"/>
                <w:highlight w:val="none"/>
                <w:lang w:val="en-US" w:eastAsia="zh-CN"/>
              </w:rPr>
              <w:t>7</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最终结算价款＝审定价×</w:t>
            </w:r>
            <w:r>
              <w:rPr>
                <w:rFonts w:hint="default" w:ascii="Times New Roman" w:hAnsi="Times New Roman" w:eastAsia="宋体" w:cs="Times New Roman"/>
                <w:color w:val="auto"/>
                <w:sz w:val="21"/>
                <w:szCs w:val="21"/>
                <w:highlight w:val="none"/>
                <w:lang w:val="en-US" w:eastAsia="zh-CN"/>
              </w:rPr>
              <w:t>综合折扣率</w:t>
            </w:r>
          </w:p>
          <w:p w14:paraId="30D7B173">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注：</w:t>
            </w:r>
            <w:r>
              <w:rPr>
                <w:rFonts w:hint="default" w:ascii="Times New Roman" w:hAnsi="Times New Roman" w:eastAsia="宋体" w:cs="Times New Roman"/>
                <w:color w:val="auto"/>
                <w:sz w:val="21"/>
                <w:szCs w:val="21"/>
                <w:highlight w:val="none"/>
                <w:lang w:val="en-US" w:eastAsia="zh-Hans"/>
              </w:rPr>
              <w:t>两种情形的</w:t>
            </w:r>
            <w:r>
              <w:rPr>
                <w:rFonts w:hint="default" w:ascii="Times New Roman" w:hAnsi="Times New Roman" w:eastAsia="宋体" w:cs="Times New Roman"/>
                <w:color w:val="auto"/>
                <w:sz w:val="21"/>
                <w:szCs w:val="21"/>
                <w:highlight w:val="none"/>
              </w:rPr>
              <w:t>零星工程以派发的“工程任务单”为准，</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须无条件接受。</w:t>
            </w:r>
          </w:p>
        </w:tc>
      </w:tr>
      <w:tr w14:paraId="562619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8" w:hRule="atLeast"/>
          <w:jc w:val="center"/>
        </w:trPr>
        <w:tc>
          <w:tcPr>
            <w:tcW w:w="2210" w:type="dxa"/>
            <w:tcBorders>
              <w:top w:val="single" w:color="auto" w:sz="4" w:space="0"/>
              <w:left w:val="single" w:color="auto" w:sz="4" w:space="0"/>
              <w:bottom w:val="single" w:color="auto" w:sz="4" w:space="0"/>
              <w:right w:val="single" w:color="auto" w:sz="4" w:space="0"/>
            </w:tcBorders>
            <w:noWrap w:val="0"/>
            <w:vAlign w:val="center"/>
          </w:tcPr>
          <w:p w14:paraId="20404374">
            <w:pPr>
              <w:keepNext w:val="0"/>
              <w:keepLines w:val="0"/>
              <w:pageBreakBefore w:val="0"/>
              <w:widowControl w:val="0"/>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8、</w:t>
            </w:r>
            <w:r>
              <w:rPr>
                <w:rFonts w:hint="eastAsia" w:asciiTheme="minorEastAsia" w:hAnsiTheme="minorEastAsia" w:eastAsiaTheme="minorEastAsia" w:cstheme="minorEastAsia"/>
                <w:color w:val="auto"/>
                <w:szCs w:val="21"/>
                <w:highlight w:val="none"/>
              </w:rPr>
              <w:t>▲</w:t>
            </w:r>
            <w:r>
              <w:rPr>
                <w:rFonts w:hint="default" w:ascii="Times New Roman" w:hAnsi="Times New Roman" w:eastAsia="宋体" w:cs="Times New Roman"/>
                <w:color w:val="auto"/>
                <w:sz w:val="21"/>
                <w:szCs w:val="21"/>
                <w:highlight w:val="none"/>
              </w:rPr>
              <w:t>工程付款方式</w:t>
            </w:r>
          </w:p>
        </w:tc>
        <w:tc>
          <w:tcPr>
            <w:tcW w:w="7010" w:type="dxa"/>
            <w:tcBorders>
              <w:top w:val="single" w:color="auto" w:sz="4" w:space="0"/>
              <w:left w:val="single" w:color="auto" w:sz="4" w:space="0"/>
              <w:bottom w:val="single" w:color="auto" w:sz="4" w:space="0"/>
              <w:right w:val="single" w:color="auto" w:sz="4" w:space="0"/>
            </w:tcBorders>
            <w:noWrap w:val="0"/>
            <w:vAlign w:val="center"/>
          </w:tcPr>
          <w:p w14:paraId="6A9E433B">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每季度或多个项目费用累加超过</w:t>
            </w:r>
            <w:r>
              <w:rPr>
                <w:rFonts w:hint="default" w:ascii="Times New Roman" w:hAnsi="Times New Roman" w:eastAsia="宋体" w:cs="Times New Roman"/>
                <w:color w:val="auto"/>
                <w:sz w:val="21"/>
                <w:szCs w:val="21"/>
                <w:highlight w:val="none"/>
                <w:lang w:eastAsia="zh-Hans"/>
              </w:rPr>
              <w:t>5</w:t>
            </w:r>
            <w:r>
              <w:rPr>
                <w:rFonts w:hint="default" w:ascii="Times New Roman" w:hAnsi="Times New Roman" w:eastAsia="宋体" w:cs="Times New Roman"/>
                <w:color w:val="auto"/>
                <w:sz w:val="21"/>
                <w:szCs w:val="21"/>
                <w:highlight w:val="none"/>
                <w:lang w:val="en-US" w:eastAsia="zh-Hans"/>
              </w:rPr>
              <w:t>万元以上后</w:t>
            </w:r>
            <w:r>
              <w:rPr>
                <w:rFonts w:hint="default" w:ascii="Times New Roman" w:hAnsi="Times New Roman" w:eastAsia="宋体" w:cs="Times New Roman"/>
                <w:color w:val="auto"/>
                <w:sz w:val="21"/>
                <w:szCs w:val="21"/>
                <w:highlight w:val="none"/>
              </w:rPr>
              <w:t>结算一次，</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将已完成项目进行汇总，并提交审计所需的完整资料（</w:t>
            </w:r>
            <w:r>
              <w:rPr>
                <w:rFonts w:hint="default" w:ascii="Times New Roman" w:hAnsi="Times New Roman" w:eastAsia="宋体" w:cs="Times New Roman"/>
                <w:color w:val="auto"/>
                <w:sz w:val="21"/>
                <w:szCs w:val="21"/>
                <w:highlight w:val="none"/>
                <w:lang w:val="en-US" w:eastAsia="zh-Hans"/>
              </w:rPr>
              <w:t>例</w:t>
            </w:r>
            <w:r>
              <w:rPr>
                <w:rFonts w:hint="default" w:ascii="Times New Roman" w:hAnsi="Times New Roman" w:eastAsia="宋体" w:cs="Times New Roman"/>
                <w:color w:val="auto"/>
                <w:sz w:val="21"/>
                <w:szCs w:val="21"/>
                <w:highlight w:val="none"/>
              </w:rPr>
              <w:t>如开竣工报告、联系单及隐蔽工程的照片、预算书、结算书、竣工图纸、材料报验单等资料，具体以审计单位要求为准），经审计后，结清项目款项。</w:t>
            </w:r>
          </w:p>
        </w:tc>
      </w:tr>
    </w:tbl>
    <w:p w14:paraId="0BD6A974">
      <w:pPr>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p>
    <w:p w14:paraId="142A9D6B">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b/>
          <w:bCs/>
          <w:color w:val="auto"/>
          <w:sz w:val="21"/>
          <w:szCs w:val="21"/>
          <w:highlight w:val="none"/>
          <w:lang w:val="en-US" w:eastAsia="zh-Hans"/>
        </w:rPr>
      </w:pPr>
      <w:r>
        <w:rPr>
          <w:rFonts w:hint="eastAsia" w:ascii="Times New Roman" w:hAnsi="Times New Roman" w:cs="Times New Roman"/>
          <w:b/>
          <w:bCs/>
          <w:color w:val="auto"/>
          <w:sz w:val="21"/>
          <w:szCs w:val="21"/>
          <w:highlight w:val="none"/>
          <w:lang w:val="en-US" w:eastAsia="zh-CN"/>
        </w:rPr>
        <w:t>二</w:t>
      </w:r>
      <w:r>
        <w:rPr>
          <w:rFonts w:hint="default" w:ascii="Times New Roman" w:hAnsi="Times New Roman" w:eastAsia="宋体" w:cs="Times New Roman"/>
          <w:b/>
          <w:bCs/>
          <w:color w:val="auto"/>
          <w:sz w:val="21"/>
          <w:szCs w:val="21"/>
          <w:highlight w:val="none"/>
          <w:lang w:eastAsia="zh-Hans"/>
        </w:rPr>
        <w:t>、</w:t>
      </w:r>
      <w:r>
        <w:rPr>
          <w:rFonts w:hint="default" w:ascii="Times New Roman" w:hAnsi="Times New Roman" w:eastAsia="宋体" w:cs="Times New Roman"/>
          <w:b/>
          <w:bCs/>
          <w:color w:val="auto"/>
          <w:sz w:val="21"/>
          <w:szCs w:val="21"/>
          <w:highlight w:val="none"/>
          <w:lang w:val="en-US" w:eastAsia="zh-Hans"/>
        </w:rPr>
        <w:t>违约责任</w:t>
      </w:r>
    </w:p>
    <w:tbl>
      <w:tblPr>
        <w:tblStyle w:val="26"/>
        <w:tblW w:w="9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7978"/>
      </w:tblGrid>
      <w:tr w14:paraId="700DD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101" w:type="dxa"/>
            <w:noWrap w:val="0"/>
            <w:vAlign w:val="center"/>
          </w:tcPr>
          <w:p w14:paraId="7D274044">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序号</w:t>
            </w:r>
          </w:p>
        </w:tc>
        <w:tc>
          <w:tcPr>
            <w:tcW w:w="7978" w:type="dxa"/>
            <w:noWrap w:val="0"/>
            <w:vAlign w:val="center"/>
          </w:tcPr>
          <w:p w14:paraId="59FEF042">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违约责任</w:t>
            </w:r>
          </w:p>
        </w:tc>
      </w:tr>
      <w:tr w14:paraId="519C3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101" w:type="dxa"/>
            <w:noWrap w:val="0"/>
            <w:vAlign w:val="center"/>
          </w:tcPr>
          <w:p w14:paraId="01DD2379">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7978" w:type="dxa"/>
            <w:noWrap w:val="0"/>
            <w:vAlign w:val="center"/>
          </w:tcPr>
          <w:p w14:paraId="245A4AEB">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单项合同工期/服务期限违约：</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不能按合同约定的时间完成验收的，</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应承担违约责任，其违约赔偿金额为1000元/天，累计限额为合同价的5%。如造成</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损失超过违约金的，超出部分由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承担赔偿责任。</w:t>
            </w:r>
          </w:p>
        </w:tc>
      </w:tr>
      <w:tr w14:paraId="3097A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101" w:type="dxa"/>
            <w:noWrap w:val="0"/>
            <w:vAlign w:val="center"/>
          </w:tcPr>
          <w:p w14:paraId="47717E51">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p>
        </w:tc>
        <w:tc>
          <w:tcPr>
            <w:tcW w:w="7978" w:type="dxa"/>
            <w:noWrap w:val="0"/>
            <w:vAlign w:val="center"/>
          </w:tcPr>
          <w:p w14:paraId="092650D1">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零星维修中的施工单项合同质量违约：未达到国家、浙江省、宁波市验收规范（从高）一次性验收合格标准要求，</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应向</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支付合同价的5%的违约金，如造成</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损失超过违约金的，超出部分由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承担赔偿责任。承担质量违约金的同时，不免除</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质量返工或整改的责任，直至工程达到合格标准。</w:t>
            </w:r>
          </w:p>
        </w:tc>
      </w:tr>
      <w:tr w14:paraId="6A468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101" w:type="dxa"/>
            <w:noWrap w:val="0"/>
            <w:vAlign w:val="center"/>
          </w:tcPr>
          <w:p w14:paraId="42B3A95B">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w:t>
            </w:r>
          </w:p>
        </w:tc>
        <w:tc>
          <w:tcPr>
            <w:tcW w:w="7978" w:type="dxa"/>
            <w:noWrap w:val="0"/>
            <w:vAlign w:val="center"/>
          </w:tcPr>
          <w:p w14:paraId="6868E119">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eastAsia"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单项合同人员违约：未履行项目负责人到场承诺，应承担违约责任，违约金限额为合同价的5%；若该项违约情节严重的，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有权解除或终止本合同，由此造成的各项损失均由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w:t>
            </w:r>
            <w:r>
              <w:rPr>
                <w:rFonts w:hint="eastAsia" w:ascii="Times New Roman" w:hAnsi="Times New Roman" w:cs="Times New Roman"/>
                <w:color w:val="auto"/>
                <w:sz w:val="21"/>
                <w:szCs w:val="21"/>
                <w:highlight w:val="none"/>
                <w:lang w:eastAsia="zh-CN"/>
              </w:rPr>
              <w:t>。</w:t>
            </w:r>
          </w:p>
        </w:tc>
      </w:tr>
      <w:tr w14:paraId="08EEB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1101" w:type="dxa"/>
            <w:noWrap w:val="0"/>
            <w:vAlign w:val="center"/>
          </w:tcPr>
          <w:p w14:paraId="2D7A9153">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w:t>
            </w:r>
          </w:p>
        </w:tc>
        <w:tc>
          <w:tcPr>
            <w:tcW w:w="7978" w:type="dxa"/>
            <w:noWrap w:val="0"/>
            <w:vAlign w:val="center"/>
          </w:tcPr>
          <w:p w14:paraId="2FBD3302">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单项合同其他违约责任：</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原因未履行安全文明作业承诺，</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应承担的违约金为合同价的5%，如果在该项目施工过程中发生一般事故及以上，</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除承担合同价的5％的安全事故承诺违约金外，并承担一切费用及责任。</w:t>
            </w:r>
          </w:p>
        </w:tc>
      </w:tr>
      <w:tr w14:paraId="79E72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01" w:type="dxa"/>
            <w:noWrap w:val="0"/>
            <w:vAlign w:val="center"/>
          </w:tcPr>
          <w:p w14:paraId="7C0FC3D3">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w:t>
            </w:r>
          </w:p>
        </w:tc>
        <w:tc>
          <w:tcPr>
            <w:tcW w:w="7978" w:type="dxa"/>
            <w:noWrap w:val="0"/>
            <w:vAlign w:val="center"/>
          </w:tcPr>
          <w:p w14:paraId="636BB7CC">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应承担作业违约责任，其违约金累计为合同价的5%。</w:t>
            </w:r>
          </w:p>
        </w:tc>
      </w:tr>
      <w:tr w14:paraId="107EE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101" w:type="dxa"/>
            <w:noWrap w:val="0"/>
            <w:vAlign w:val="center"/>
          </w:tcPr>
          <w:p w14:paraId="2C51806A">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w:t>
            </w:r>
          </w:p>
        </w:tc>
        <w:tc>
          <w:tcPr>
            <w:tcW w:w="7978" w:type="dxa"/>
            <w:noWrap w:val="0"/>
            <w:vAlign w:val="center"/>
          </w:tcPr>
          <w:p w14:paraId="0568F640">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必须无条件的服从</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在服务期间的工作分配与安排，接到</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分配的任务后</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须无条件实施维修任务，</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不得以任何理由拒绝推脱，并须按要求完成作业。如有无故拖延实施进度或无理由不承建</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委托的任务的，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有权终止合同，由此给</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造成的损失均由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w:t>
            </w:r>
          </w:p>
        </w:tc>
      </w:tr>
      <w:tr w14:paraId="65C0B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101" w:type="dxa"/>
            <w:noWrap w:val="0"/>
            <w:vAlign w:val="center"/>
          </w:tcPr>
          <w:p w14:paraId="765C59C4">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w:t>
            </w:r>
          </w:p>
        </w:tc>
        <w:tc>
          <w:tcPr>
            <w:tcW w:w="7978" w:type="dxa"/>
            <w:noWrap w:val="0"/>
            <w:vAlign w:val="center"/>
          </w:tcPr>
          <w:p w14:paraId="24BD152C">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如服务期间，</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履约无法满足</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要求的，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有权解除合同。</w:t>
            </w:r>
          </w:p>
        </w:tc>
      </w:tr>
    </w:tbl>
    <w:p w14:paraId="2CC88ED6">
      <w:pPr>
        <w:pStyle w:val="25"/>
        <w:keepNext w:val="0"/>
        <w:keepLines w:val="0"/>
        <w:pageBreakBefore w:val="0"/>
        <w:widowControl w:val="0"/>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Hans"/>
        </w:rPr>
      </w:pPr>
    </w:p>
    <w:p w14:paraId="35F4F6A1">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b/>
          <w:bCs/>
          <w:color w:val="auto"/>
          <w:sz w:val="21"/>
          <w:szCs w:val="21"/>
          <w:highlight w:val="none"/>
          <w:lang w:val="en-US" w:eastAsia="zh-Hans"/>
        </w:rPr>
      </w:pPr>
      <w:r>
        <w:rPr>
          <w:rFonts w:hint="eastAsia" w:ascii="Times New Roman" w:hAnsi="Times New Roman" w:cs="Times New Roman"/>
          <w:b/>
          <w:bCs/>
          <w:color w:val="auto"/>
          <w:sz w:val="21"/>
          <w:szCs w:val="21"/>
          <w:highlight w:val="none"/>
          <w:lang w:val="en-US" w:eastAsia="zh-CN"/>
        </w:rPr>
        <w:t>三</w:t>
      </w:r>
      <w:r>
        <w:rPr>
          <w:rFonts w:hint="default" w:ascii="Times New Roman" w:hAnsi="Times New Roman" w:eastAsia="宋体" w:cs="Times New Roman"/>
          <w:b/>
          <w:bCs/>
          <w:color w:val="auto"/>
          <w:sz w:val="21"/>
          <w:szCs w:val="21"/>
          <w:highlight w:val="none"/>
          <w:lang w:eastAsia="zh-Hans"/>
        </w:rPr>
        <w:t>、</w:t>
      </w:r>
      <w:r>
        <w:rPr>
          <w:rFonts w:hint="default" w:ascii="Times New Roman" w:hAnsi="Times New Roman" w:eastAsia="宋体" w:cs="Times New Roman"/>
          <w:b/>
          <w:bCs/>
          <w:color w:val="auto"/>
          <w:sz w:val="21"/>
          <w:szCs w:val="21"/>
          <w:highlight w:val="none"/>
          <w:lang w:val="en-US" w:eastAsia="zh-Hans"/>
        </w:rPr>
        <w:t>其他要求</w:t>
      </w:r>
    </w:p>
    <w:tbl>
      <w:tblPr>
        <w:tblStyle w:val="26"/>
        <w:tblW w:w="90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7978"/>
      </w:tblGrid>
      <w:tr w14:paraId="6A950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101" w:type="dxa"/>
            <w:noWrap w:val="0"/>
            <w:vAlign w:val="center"/>
          </w:tcPr>
          <w:p w14:paraId="73085F43">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序号</w:t>
            </w:r>
          </w:p>
        </w:tc>
        <w:tc>
          <w:tcPr>
            <w:tcW w:w="7978" w:type="dxa"/>
            <w:noWrap w:val="0"/>
            <w:vAlign w:val="center"/>
          </w:tcPr>
          <w:p w14:paraId="0739B6AC">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eastAsia" w:ascii="Times New Roman" w:hAnsi="Times New Roman" w:eastAsia="宋体" w:cs="Times New Roman"/>
                <w:color w:val="auto"/>
                <w:sz w:val="21"/>
                <w:szCs w:val="21"/>
                <w:highlight w:val="none"/>
                <w:lang w:eastAsia="zh-CN"/>
              </w:rPr>
            </w:pPr>
            <w:r>
              <w:rPr>
                <w:rFonts w:hint="eastAsia" w:ascii="Times New Roman" w:hAnsi="Times New Roman" w:cs="Times New Roman"/>
                <w:color w:val="auto"/>
                <w:sz w:val="21"/>
                <w:szCs w:val="21"/>
                <w:highlight w:val="none"/>
                <w:lang w:val="en-US" w:eastAsia="zh-CN"/>
              </w:rPr>
              <w:t>内容</w:t>
            </w:r>
          </w:p>
        </w:tc>
      </w:tr>
      <w:tr w14:paraId="4BB4D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101" w:type="dxa"/>
            <w:noWrap w:val="0"/>
            <w:vAlign w:val="center"/>
          </w:tcPr>
          <w:p w14:paraId="00134679">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7978" w:type="dxa"/>
            <w:noWrap w:val="0"/>
            <w:vAlign w:val="center"/>
          </w:tcPr>
          <w:p w14:paraId="30607EB6">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针对不同维修项目，接到</w:t>
            </w:r>
            <w:r>
              <w:rPr>
                <w:rFonts w:hint="default" w:ascii="Times New Roman" w:hAnsi="Times New Roman" w:eastAsia="宋体" w:cs="Times New Roman"/>
                <w:color w:val="auto"/>
                <w:sz w:val="21"/>
                <w:szCs w:val="21"/>
                <w:highlight w:val="none"/>
                <w:lang w:val="en-US" w:eastAsia="zh-CN"/>
              </w:rPr>
              <w:t>采购人</w:t>
            </w:r>
            <w:r>
              <w:rPr>
                <w:rFonts w:hint="default" w:ascii="Times New Roman" w:hAnsi="Times New Roman" w:eastAsia="宋体" w:cs="Times New Roman"/>
                <w:color w:val="auto"/>
                <w:sz w:val="21"/>
                <w:szCs w:val="21"/>
                <w:highlight w:val="none"/>
              </w:rPr>
              <w:t>通知后，</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需及时做好每项工程施工日期安排、材料</w:t>
            </w:r>
            <w:r>
              <w:rPr>
                <w:rFonts w:hint="default" w:ascii="Times New Roman" w:hAnsi="Times New Roman" w:eastAsia="宋体" w:cs="Times New Roman"/>
                <w:color w:val="auto"/>
                <w:sz w:val="21"/>
                <w:szCs w:val="21"/>
                <w:highlight w:val="none"/>
                <w:lang w:val="en-US" w:eastAsia="zh-Hans"/>
              </w:rPr>
              <w:t>及</w:t>
            </w:r>
            <w:r>
              <w:rPr>
                <w:rFonts w:hint="default" w:ascii="Times New Roman" w:hAnsi="Times New Roman" w:eastAsia="宋体" w:cs="Times New Roman"/>
                <w:color w:val="auto"/>
                <w:sz w:val="21"/>
                <w:szCs w:val="21"/>
                <w:highlight w:val="none"/>
              </w:rPr>
              <w:t>施工方案等报送，</w:t>
            </w:r>
            <w:r>
              <w:rPr>
                <w:rFonts w:hint="eastAsia" w:ascii="Times New Roman" w:hAnsi="Times New Roman" w:cs="Times New Roman"/>
                <w:color w:val="auto"/>
                <w:sz w:val="21"/>
                <w:szCs w:val="21"/>
                <w:highlight w:val="none"/>
                <w:lang w:val="en-US" w:eastAsia="zh-CN"/>
              </w:rPr>
              <w:t>经采购人确认后方可实施，</w:t>
            </w:r>
            <w:r>
              <w:rPr>
                <w:rFonts w:hint="default" w:ascii="Times New Roman" w:hAnsi="Times New Roman" w:eastAsia="宋体" w:cs="Times New Roman"/>
                <w:color w:val="auto"/>
                <w:sz w:val="21"/>
                <w:szCs w:val="21"/>
                <w:highlight w:val="none"/>
              </w:rPr>
              <w:t>在</w:t>
            </w:r>
            <w:r>
              <w:rPr>
                <w:rFonts w:hint="default" w:ascii="Times New Roman" w:hAnsi="Times New Roman" w:eastAsia="宋体" w:cs="Times New Roman"/>
                <w:color w:val="auto"/>
                <w:sz w:val="21"/>
                <w:szCs w:val="21"/>
                <w:highlight w:val="none"/>
                <w:lang w:val="en-US" w:eastAsia="zh-CN"/>
              </w:rPr>
              <w:t>采购人</w:t>
            </w:r>
            <w:r>
              <w:rPr>
                <w:rFonts w:hint="default" w:ascii="Times New Roman" w:hAnsi="Times New Roman" w:eastAsia="宋体" w:cs="Times New Roman"/>
                <w:color w:val="auto"/>
                <w:sz w:val="21"/>
                <w:szCs w:val="21"/>
                <w:highlight w:val="none"/>
              </w:rPr>
              <w:t>规定的竣工日内必须无条件完成整个项目的竣工及验收，并及时做好验收整改，保证项目在规定的时间内顺利完成。</w:t>
            </w:r>
          </w:p>
        </w:tc>
      </w:tr>
      <w:tr w14:paraId="02E22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101" w:type="dxa"/>
            <w:noWrap w:val="0"/>
            <w:vAlign w:val="center"/>
          </w:tcPr>
          <w:p w14:paraId="70C10835">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p>
        </w:tc>
        <w:tc>
          <w:tcPr>
            <w:tcW w:w="7978" w:type="dxa"/>
            <w:noWrap w:val="0"/>
            <w:vAlign w:val="center"/>
          </w:tcPr>
          <w:p w14:paraId="521A189F">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供应商须保证施工使用材料的安全性和可靠性。本项目所有施工使用的材料、设备、工具应符合环保、消防、文保等要求。</w:t>
            </w:r>
          </w:p>
        </w:tc>
      </w:tr>
      <w:tr w14:paraId="17294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101" w:type="dxa"/>
            <w:noWrap w:val="0"/>
            <w:vAlign w:val="center"/>
          </w:tcPr>
          <w:p w14:paraId="787C0529">
            <w:pPr>
              <w:keepNext w:val="0"/>
              <w:keepLines w:val="0"/>
              <w:pageBreakBefore w:val="0"/>
              <w:widowControl w:val="0"/>
              <w:kinsoku w:val="0"/>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w:t>
            </w:r>
          </w:p>
        </w:tc>
        <w:tc>
          <w:tcPr>
            <w:tcW w:w="7978" w:type="dxa"/>
            <w:noWrap w:val="0"/>
            <w:vAlign w:val="center"/>
          </w:tcPr>
          <w:p w14:paraId="788DFB8A">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须严格按照国家法律规定安全生产、文明施工、保障现场安全、杜绝火灾坠物等事故发生。</w:t>
            </w:r>
          </w:p>
          <w:p w14:paraId="12CF1B2F">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必须为全体作业员工购买社保或人身意外保险，必须重视安全生产工作，确保全年不出生产责任事故。如</w:t>
            </w:r>
            <w:r>
              <w:rPr>
                <w:rFonts w:hint="default" w:ascii="Times New Roman" w:hAnsi="Times New Roman" w:eastAsia="宋体" w:cs="Times New Roman"/>
                <w:color w:val="auto"/>
                <w:sz w:val="21"/>
                <w:szCs w:val="21"/>
                <w:highlight w:val="none"/>
                <w:lang w:val="en-US" w:eastAsia="zh-Hans"/>
              </w:rPr>
              <w:t>因</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lang w:val="en-US" w:eastAsia="zh-Hans"/>
              </w:rPr>
              <w:t>原因</w:t>
            </w:r>
            <w:r>
              <w:rPr>
                <w:rFonts w:hint="default" w:ascii="Times New Roman" w:hAnsi="Times New Roman" w:eastAsia="宋体" w:cs="Times New Roman"/>
                <w:color w:val="auto"/>
                <w:sz w:val="21"/>
                <w:szCs w:val="21"/>
                <w:highlight w:val="none"/>
              </w:rPr>
              <w:t>发生安全生产责任事故或交通事故，由</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承担一切责任及损失。</w:t>
            </w:r>
          </w:p>
        </w:tc>
      </w:tr>
    </w:tbl>
    <w:p w14:paraId="5753830C">
      <w:pPr>
        <w:tabs>
          <w:tab w:val="left" w:pos="0"/>
        </w:tabs>
        <w:adjustRightInd w:val="0"/>
        <w:spacing w:line="360" w:lineRule="auto"/>
        <w:ind w:firstLine="480" w:firstLineChars="200"/>
        <w:rPr>
          <w:rFonts w:hint="eastAsia" w:ascii="仿宋" w:hAnsi="仿宋" w:eastAsia="仿宋" w:cs="仿宋"/>
          <w:color w:val="auto"/>
          <w:kern w:val="0"/>
          <w:sz w:val="24"/>
          <w:highlight w:val="none"/>
        </w:rPr>
      </w:pPr>
    </w:p>
    <w:p w14:paraId="22F7B2BB">
      <w:pPr>
        <w:shd w:val="clear"/>
        <w:spacing w:beforeLines="50" w:line="360" w:lineRule="auto"/>
        <w:ind w:firstLine="420" w:firstLineChars="200"/>
        <w:rPr>
          <w:rFonts w:ascii="宋体" w:hAnsi="宋体" w:cs="宋体"/>
          <w:bCs/>
          <w:color w:val="auto"/>
          <w:szCs w:val="21"/>
          <w:highlight w:val="none"/>
        </w:rPr>
      </w:pPr>
    </w:p>
    <w:bookmarkEnd w:id="15"/>
    <w:p w14:paraId="661B763C">
      <w:pPr>
        <w:shd w:val="clear"/>
        <w:spacing w:line="360" w:lineRule="auto"/>
        <w:jc w:val="center"/>
        <w:outlineLvl w:val="0"/>
        <w:rPr>
          <w:rFonts w:asciiTheme="minorEastAsia" w:hAnsiTheme="minorEastAsia" w:eastAsiaTheme="minorEastAsia" w:cstheme="minorEastAsia"/>
          <w:b/>
          <w:color w:val="auto"/>
          <w:sz w:val="36"/>
          <w:szCs w:val="36"/>
          <w:highlight w:val="none"/>
        </w:rPr>
      </w:pPr>
      <w:r>
        <w:rPr>
          <w:rFonts w:asciiTheme="minorEastAsia" w:hAnsiTheme="minorEastAsia" w:eastAsiaTheme="minorEastAsia" w:cstheme="minorEastAsia"/>
          <w:b/>
          <w:color w:val="auto"/>
          <w:sz w:val="36"/>
          <w:szCs w:val="36"/>
          <w:highlight w:val="none"/>
        </w:rPr>
        <w:br w:type="page"/>
      </w:r>
      <w:r>
        <w:rPr>
          <w:rFonts w:hint="eastAsia" w:asciiTheme="minorEastAsia" w:hAnsiTheme="minorEastAsia" w:eastAsiaTheme="minorEastAsia" w:cstheme="minorEastAsia"/>
          <w:b/>
          <w:color w:val="auto"/>
          <w:sz w:val="36"/>
          <w:szCs w:val="36"/>
          <w:highlight w:val="none"/>
        </w:rPr>
        <w:t xml:space="preserve">第四部分  </w:t>
      </w:r>
      <w:bookmarkStart w:id="16" w:name="_Toc184313266"/>
      <w:bookmarkEnd w:id="16"/>
      <w:bookmarkStart w:id="17" w:name="_Toc184312116"/>
      <w:bookmarkEnd w:id="17"/>
      <w:bookmarkStart w:id="18" w:name="_Toc184308085"/>
      <w:bookmarkEnd w:id="18"/>
      <w:bookmarkStart w:id="19" w:name="_Toc184310288"/>
      <w:bookmarkEnd w:id="19"/>
      <w:bookmarkStart w:id="20" w:name="_Toc184314472"/>
      <w:bookmarkEnd w:id="20"/>
      <w:bookmarkStart w:id="21" w:name="_Toc184312138"/>
      <w:bookmarkEnd w:id="21"/>
      <w:bookmarkStart w:id="22" w:name="_Toc184310344"/>
      <w:bookmarkEnd w:id="22"/>
      <w:bookmarkStart w:id="23" w:name="_Toc184313268"/>
      <w:bookmarkEnd w:id="23"/>
      <w:bookmarkStart w:id="24" w:name="_Toc184312099"/>
      <w:bookmarkEnd w:id="24"/>
      <w:bookmarkStart w:id="25" w:name="_Toc184310274"/>
      <w:bookmarkEnd w:id="25"/>
      <w:bookmarkStart w:id="26" w:name="_Toc184314459"/>
      <w:bookmarkEnd w:id="26"/>
      <w:bookmarkStart w:id="27" w:name="_Toc184312096"/>
      <w:bookmarkEnd w:id="27"/>
      <w:bookmarkStart w:id="28" w:name="_Toc184312120"/>
      <w:bookmarkEnd w:id="28"/>
      <w:bookmarkStart w:id="29" w:name="_Toc184312117"/>
      <w:bookmarkEnd w:id="29"/>
      <w:bookmarkStart w:id="30" w:name="_Toc184312129"/>
      <w:bookmarkEnd w:id="30"/>
      <w:bookmarkStart w:id="31" w:name="_Toc184310315"/>
      <w:bookmarkEnd w:id="31"/>
      <w:bookmarkStart w:id="32" w:name="_Toc184314450"/>
      <w:bookmarkEnd w:id="32"/>
      <w:bookmarkStart w:id="33" w:name="_Toc184312088"/>
      <w:bookmarkEnd w:id="33"/>
      <w:bookmarkStart w:id="34" w:name="_Toc184312132"/>
      <w:bookmarkEnd w:id="34"/>
      <w:bookmarkStart w:id="35" w:name="_Toc184312110"/>
      <w:bookmarkEnd w:id="35"/>
      <w:bookmarkStart w:id="36" w:name="_Toc184314451"/>
      <w:bookmarkEnd w:id="36"/>
      <w:bookmarkStart w:id="37" w:name="_Toc184308090"/>
      <w:bookmarkEnd w:id="37"/>
      <w:bookmarkStart w:id="38" w:name="_Toc184310341"/>
      <w:bookmarkEnd w:id="38"/>
      <w:bookmarkStart w:id="39" w:name="_Toc184310304"/>
      <w:bookmarkEnd w:id="39"/>
      <w:bookmarkStart w:id="40" w:name="_Toc184313309"/>
      <w:bookmarkEnd w:id="40"/>
      <w:bookmarkStart w:id="41" w:name="_Toc184310324"/>
      <w:bookmarkEnd w:id="41"/>
      <w:bookmarkStart w:id="42" w:name="_Toc184313299"/>
      <w:bookmarkEnd w:id="42"/>
      <w:bookmarkStart w:id="43" w:name="_Toc184308056"/>
      <w:bookmarkEnd w:id="43"/>
      <w:bookmarkStart w:id="44" w:name="_Toc184312123"/>
      <w:bookmarkEnd w:id="44"/>
      <w:bookmarkStart w:id="45" w:name="_Toc184308054"/>
      <w:bookmarkEnd w:id="45"/>
      <w:bookmarkStart w:id="46" w:name="_Toc184310303"/>
      <w:bookmarkEnd w:id="46"/>
      <w:bookmarkStart w:id="47" w:name="_Toc184314471"/>
      <w:bookmarkEnd w:id="47"/>
      <w:bookmarkStart w:id="48" w:name="_Toc184308042"/>
      <w:bookmarkEnd w:id="48"/>
      <w:bookmarkStart w:id="49" w:name="_Toc184313305"/>
      <w:bookmarkEnd w:id="49"/>
      <w:bookmarkStart w:id="50" w:name="_Toc184308088"/>
      <w:bookmarkEnd w:id="50"/>
      <w:bookmarkStart w:id="51" w:name="_Toc184308039"/>
      <w:bookmarkEnd w:id="51"/>
      <w:bookmarkStart w:id="52" w:name="_Toc184308084"/>
      <w:bookmarkEnd w:id="52"/>
      <w:bookmarkStart w:id="53" w:name="_Toc184312112"/>
      <w:bookmarkEnd w:id="53"/>
      <w:bookmarkStart w:id="54" w:name="_Toc184310273"/>
      <w:bookmarkEnd w:id="54"/>
      <w:bookmarkStart w:id="55" w:name="_Toc184310275"/>
      <w:bookmarkEnd w:id="55"/>
      <w:bookmarkStart w:id="56" w:name="_Toc184310311"/>
      <w:bookmarkEnd w:id="56"/>
      <w:bookmarkStart w:id="57" w:name="_Toc184314465"/>
      <w:bookmarkEnd w:id="57"/>
      <w:bookmarkStart w:id="58" w:name="_Toc184312072"/>
      <w:bookmarkEnd w:id="58"/>
      <w:bookmarkStart w:id="59" w:name="_Toc184308079"/>
      <w:bookmarkEnd w:id="59"/>
      <w:bookmarkStart w:id="60" w:name="_Toc184310337"/>
      <w:bookmarkEnd w:id="60"/>
      <w:bookmarkStart w:id="61" w:name="_Toc184314469"/>
      <w:bookmarkEnd w:id="61"/>
      <w:bookmarkStart w:id="62" w:name="_Toc184312084"/>
      <w:bookmarkEnd w:id="62"/>
      <w:bookmarkStart w:id="63" w:name="_Toc184308075"/>
      <w:bookmarkEnd w:id="63"/>
      <w:bookmarkStart w:id="64" w:name="_Toc184312136"/>
      <w:bookmarkEnd w:id="64"/>
      <w:bookmarkStart w:id="65" w:name="_Toc184308077"/>
      <w:bookmarkEnd w:id="65"/>
      <w:bookmarkStart w:id="66" w:name="_Toc184310318"/>
      <w:bookmarkEnd w:id="66"/>
      <w:bookmarkStart w:id="67" w:name="_Toc184314467"/>
      <w:bookmarkEnd w:id="67"/>
      <w:bookmarkStart w:id="68" w:name="_Toc184308074"/>
      <w:bookmarkEnd w:id="68"/>
      <w:bookmarkStart w:id="69" w:name="_Toc184314470"/>
      <w:bookmarkEnd w:id="69"/>
      <w:bookmarkStart w:id="70" w:name="_Toc184310307"/>
      <w:bookmarkEnd w:id="70"/>
      <w:bookmarkStart w:id="71" w:name="_Toc184312095"/>
      <w:bookmarkEnd w:id="71"/>
      <w:bookmarkStart w:id="72" w:name="_Toc184313293"/>
      <w:bookmarkEnd w:id="72"/>
      <w:bookmarkStart w:id="73" w:name="_Toc184312122"/>
      <w:bookmarkEnd w:id="73"/>
      <w:bookmarkStart w:id="74" w:name="_Toc184312073"/>
      <w:bookmarkEnd w:id="74"/>
      <w:bookmarkStart w:id="75" w:name="_Toc184308070"/>
      <w:bookmarkEnd w:id="75"/>
      <w:bookmarkStart w:id="76" w:name="_Toc184312107"/>
      <w:bookmarkEnd w:id="76"/>
      <w:bookmarkStart w:id="77" w:name="_Toc184312104"/>
      <w:bookmarkEnd w:id="77"/>
      <w:bookmarkStart w:id="78" w:name="_Toc184312074"/>
      <w:bookmarkEnd w:id="78"/>
      <w:bookmarkStart w:id="79" w:name="_Toc184314430"/>
      <w:bookmarkEnd w:id="79"/>
      <w:bookmarkStart w:id="80" w:name="_Toc184314473"/>
      <w:bookmarkEnd w:id="80"/>
      <w:bookmarkStart w:id="81" w:name="_Toc184310335"/>
      <w:bookmarkEnd w:id="81"/>
      <w:bookmarkStart w:id="82" w:name="_Toc184312103"/>
      <w:bookmarkEnd w:id="82"/>
      <w:bookmarkStart w:id="83" w:name="_Toc184310299"/>
      <w:bookmarkEnd w:id="83"/>
      <w:bookmarkStart w:id="84" w:name="_Toc184310330"/>
      <w:bookmarkEnd w:id="84"/>
      <w:bookmarkStart w:id="85" w:name="_Toc184312118"/>
      <w:bookmarkEnd w:id="85"/>
      <w:bookmarkStart w:id="86" w:name="_Toc184314428"/>
      <w:bookmarkEnd w:id="86"/>
      <w:bookmarkStart w:id="87" w:name="_Toc184308103"/>
      <w:bookmarkEnd w:id="87"/>
      <w:bookmarkStart w:id="88" w:name="_Toc184314445"/>
      <w:bookmarkEnd w:id="88"/>
      <w:bookmarkStart w:id="89" w:name="_Toc184313301"/>
      <w:bookmarkEnd w:id="89"/>
      <w:bookmarkStart w:id="90" w:name="_Toc184312090"/>
      <w:bookmarkEnd w:id="90"/>
      <w:bookmarkStart w:id="91" w:name="_Toc184314423"/>
      <w:bookmarkEnd w:id="91"/>
      <w:bookmarkStart w:id="92" w:name="_Toc184308068"/>
      <w:bookmarkEnd w:id="92"/>
      <w:bookmarkStart w:id="93" w:name="_Toc184314412"/>
      <w:bookmarkEnd w:id="93"/>
      <w:bookmarkStart w:id="94" w:name="_Toc184313300"/>
      <w:bookmarkEnd w:id="94"/>
      <w:bookmarkStart w:id="95" w:name="_Toc184312078"/>
      <w:bookmarkEnd w:id="95"/>
      <w:bookmarkStart w:id="96" w:name="_Toc184312086"/>
      <w:bookmarkEnd w:id="96"/>
      <w:bookmarkStart w:id="97" w:name="_Toc184314437"/>
      <w:bookmarkEnd w:id="97"/>
      <w:bookmarkStart w:id="98" w:name="_Toc184313283"/>
      <w:bookmarkEnd w:id="98"/>
      <w:bookmarkStart w:id="99" w:name="_Toc184313259"/>
      <w:bookmarkEnd w:id="99"/>
      <w:bookmarkStart w:id="100" w:name="_Toc184308095"/>
      <w:bookmarkEnd w:id="100"/>
      <w:bookmarkStart w:id="101" w:name="_Toc184314419"/>
      <w:bookmarkEnd w:id="101"/>
      <w:bookmarkStart w:id="102" w:name="_Toc184312067"/>
      <w:bookmarkEnd w:id="102"/>
      <w:bookmarkStart w:id="103" w:name="_Toc184308072"/>
      <w:bookmarkEnd w:id="103"/>
      <w:bookmarkStart w:id="104" w:name="_Toc184314453"/>
      <w:bookmarkEnd w:id="104"/>
      <w:bookmarkStart w:id="105" w:name="_Toc184313260"/>
      <w:bookmarkEnd w:id="105"/>
      <w:bookmarkStart w:id="106" w:name="_Toc184314478"/>
      <w:bookmarkEnd w:id="106"/>
      <w:bookmarkStart w:id="107" w:name="_Toc184314462"/>
      <w:bookmarkEnd w:id="107"/>
      <w:bookmarkStart w:id="108" w:name="_Toc184308049"/>
      <w:bookmarkEnd w:id="108"/>
      <w:bookmarkStart w:id="109" w:name="_Toc184308045"/>
      <w:bookmarkEnd w:id="109"/>
      <w:bookmarkStart w:id="110" w:name="_Toc184308067"/>
      <w:bookmarkEnd w:id="110"/>
      <w:bookmarkStart w:id="111" w:name="_Toc184308052"/>
      <w:bookmarkEnd w:id="111"/>
      <w:bookmarkStart w:id="112" w:name="_Toc184312081"/>
      <w:bookmarkEnd w:id="112"/>
      <w:bookmarkStart w:id="113" w:name="_Toc184310329"/>
      <w:bookmarkEnd w:id="113"/>
      <w:bookmarkStart w:id="114" w:name="_Toc184313288"/>
      <w:bookmarkEnd w:id="114"/>
      <w:bookmarkStart w:id="115" w:name="_Toc184312134"/>
      <w:bookmarkEnd w:id="115"/>
      <w:bookmarkStart w:id="116" w:name="_Toc184314477"/>
      <w:bookmarkEnd w:id="116"/>
      <w:bookmarkStart w:id="117" w:name="_Toc184313292"/>
      <w:bookmarkEnd w:id="117"/>
      <w:bookmarkStart w:id="118" w:name="_Toc184314474"/>
      <w:bookmarkEnd w:id="118"/>
      <w:bookmarkStart w:id="119" w:name="_Toc184312121"/>
      <w:bookmarkEnd w:id="119"/>
      <w:bookmarkStart w:id="120" w:name="_Toc184312091"/>
      <w:bookmarkEnd w:id="120"/>
      <w:bookmarkStart w:id="121" w:name="_Toc184310340"/>
      <w:bookmarkEnd w:id="121"/>
      <w:bookmarkStart w:id="122" w:name="_Toc184314410"/>
      <w:bookmarkEnd w:id="122"/>
      <w:bookmarkStart w:id="123" w:name="_Toc184312113"/>
      <w:bookmarkEnd w:id="123"/>
      <w:bookmarkStart w:id="124" w:name="_Toc184310334"/>
      <w:bookmarkEnd w:id="124"/>
      <w:bookmarkStart w:id="125" w:name="_Toc184313243"/>
      <w:bookmarkEnd w:id="125"/>
      <w:bookmarkStart w:id="126" w:name="_Toc184308062"/>
      <w:bookmarkEnd w:id="126"/>
      <w:bookmarkStart w:id="127" w:name="_Toc184308060"/>
      <w:bookmarkEnd w:id="127"/>
      <w:bookmarkStart w:id="128" w:name="_Toc184310281"/>
      <w:bookmarkEnd w:id="128"/>
      <w:bookmarkStart w:id="129" w:name="_Toc184308089"/>
      <w:bookmarkEnd w:id="129"/>
      <w:bookmarkStart w:id="130" w:name="_Toc184310280"/>
      <w:bookmarkEnd w:id="130"/>
      <w:bookmarkStart w:id="131" w:name="_Toc184312119"/>
      <w:bookmarkEnd w:id="131"/>
      <w:bookmarkStart w:id="132" w:name="_Toc184310310"/>
      <w:bookmarkEnd w:id="132"/>
      <w:bookmarkStart w:id="133" w:name="_Toc184314435"/>
      <w:bookmarkEnd w:id="133"/>
      <w:bookmarkStart w:id="134" w:name="_Toc184310327"/>
      <w:bookmarkEnd w:id="134"/>
      <w:bookmarkStart w:id="135" w:name="_Toc184314455"/>
      <w:bookmarkEnd w:id="135"/>
      <w:bookmarkStart w:id="136" w:name="_Toc184312068"/>
      <w:bookmarkEnd w:id="136"/>
      <w:bookmarkStart w:id="137" w:name="_Toc184314431"/>
      <w:bookmarkEnd w:id="137"/>
      <w:bookmarkStart w:id="138" w:name="_Toc184308105"/>
      <w:bookmarkEnd w:id="138"/>
      <w:bookmarkStart w:id="139" w:name="_Toc184314464"/>
      <w:bookmarkEnd w:id="139"/>
      <w:bookmarkStart w:id="140" w:name="_Toc184313270"/>
      <w:bookmarkEnd w:id="140"/>
      <w:bookmarkStart w:id="141" w:name="_Toc184313271"/>
      <w:bookmarkEnd w:id="141"/>
      <w:bookmarkStart w:id="142" w:name="_Toc184312139"/>
      <w:bookmarkEnd w:id="142"/>
      <w:bookmarkStart w:id="143" w:name="_Toc184312128"/>
      <w:bookmarkEnd w:id="143"/>
      <w:bookmarkStart w:id="144" w:name="_Toc184310285"/>
      <w:bookmarkEnd w:id="144"/>
      <w:bookmarkStart w:id="145" w:name="_Toc184308053"/>
      <w:bookmarkEnd w:id="145"/>
      <w:bookmarkStart w:id="146" w:name="_Toc184310308"/>
      <w:bookmarkEnd w:id="146"/>
      <w:bookmarkStart w:id="147" w:name="_Toc184313303"/>
      <w:bookmarkEnd w:id="147"/>
      <w:bookmarkStart w:id="148" w:name="_Toc184314424"/>
      <w:bookmarkEnd w:id="148"/>
      <w:bookmarkStart w:id="149" w:name="_Toc184314433"/>
      <w:bookmarkEnd w:id="149"/>
      <w:bookmarkStart w:id="150" w:name="_Toc184310300"/>
      <w:bookmarkEnd w:id="150"/>
      <w:bookmarkStart w:id="151" w:name="_Toc184314421"/>
      <w:bookmarkEnd w:id="151"/>
      <w:bookmarkStart w:id="152" w:name="_Toc184308057"/>
      <w:bookmarkEnd w:id="152"/>
      <w:bookmarkStart w:id="153" w:name="_Toc184313296"/>
      <w:bookmarkEnd w:id="153"/>
      <w:bookmarkStart w:id="154" w:name="_Toc184313267"/>
      <w:bookmarkEnd w:id="154"/>
      <w:bookmarkStart w:id="155" w:name="_Toc184313294"/>
      <w:bookmarkEnd w:id="155"/>
      <w:bookmarkStart w:id="156" w:name="_Toc184313304"/>
      <w:bookmarkEnd w:id="156"/>
      <w:bookmarkStart w:id="157" w:name="_Toc184310296"/>
      <w:bookmarkEnd w:id="157"/>
      <w:bookmarkStart w:id="158" w:name="_Toc184312085"/>
      <w:bookmarkEnd w:id="158"/>
      <w:bookmarkStart w:id="159" w:name="_Toc184313306"/>
      <w:bookmarkEnd w:id="159"/>
      <w:bookmarkStart w:id="160" w:name="_Toc184312083"/>
      <w:bookmarkEnd w:id="160"/>
      <w:bookmarkStart w:id="161" w:name="_Toc184312126"/>
      <w:bookmarkEnd w:id="161"/>
      <w:bookmarkStart w:id="162" w:name="_Toc184312092"/>
      <w:bookmarkEnd w:id="162"/>
      <w:bookmarkStart w:id="163" w:name="_Toc184312069"/>
      <w:bookmarkEnd w:id="163"/>
      <w:bookmarkStart w:id="164" w:name="_Toc184314468"/>
      <w:bookmarkEnd w:id="164"/>
      <w:bookmarkStart w:id="165" w:name="_Toc184312130"/>
      <w:bookmarkEnd w:id="165"/>
      <w:bookmarkStart w:id="166" w:name="_Toc184313291"/>
      <w:bookmarkEnd w:id="166"/>
      <w:bookmarkStart w:id="167" w:name="_Toc184314427"/>
      <w:bookmarkEnd w:id="167"/>
      <w:bookmarkStart w:id="168" w:name="_Toc184312125"/>
      <w:bookmarkEnd w:id="168"/>
      <w:bookmarkStart w:id="169" w:name="_Toc184310293"/>
      <w:bookmarkEnd w:id="169"/>
      <w:bookmarkStart w:id="170" w:name="_Toc184310326"/>
      <w:bookmarkEnd w:id="170"/>
      <w:bookmarkStart w:id="171" w:name="_Toc184313269"/>
      <w:bookmarkEnd w:id="171"/>
      <w:bookmarkStart w:id="172" w:name="_Toc184314479"/>
      <w:bookmarkEnd w:id="172"/>
      <w:bookmarkStart w:id="173" w:name="_Toc184308055"/>
      <w:bookmarkEnd w:id="173"/>
      <w:bookmarkStart w:id="174" w:name="_Toc184310272"/>
      <w:bookmarkEnd w:id="174"/>
      <w:bookmarkStart w:id="175" w:name="_Toc184312102"/>
      <w:bookmarkEnd w:id="175"/>
      <w:bookmarkStart w:id="176" w:name="_Toc184308097"/>
      <w:bookmarkEnd w:id="176"/>
      <w:bookmarkStart w:id="177" w:name="_Toc184314436"/>
      <w:bookmarkEnd w:id="177"/>
      <w:bookmarkStart w:id="178" w:name="_Toc184310328"/>
      <w:bookmarkEnd w:id="178"/>
      <w:bookmarkStart w:id="179" w:name="_Toc184314441"/>
      <w:bookmarkEnd w:id="179"/>
      <w:bookmarkStart w:id="180" w:name="_Toc184308046"/>
      <w:bookmarkEnd w:id="180"/>
      <w:bookmarkStart w:id="181" w:name="_Toc184308101"/>
      <w:bookmarkEnd w:id="181"/>
      <w:bookmarkStart w:id="182" w:name="_Toc184312070"/>
      <w:bookmarkEnd w:id="182"/>
      <w:bookmarkStart w:id="183" w:name="_Toc184313272"/>
      <w:bookmarkEnd w:id="183"/>
      <w:bookmarkStart w:id="184" w:name="_Toc184314452"/>
      <w:bookmarkEnd w:id="184"/>
      <w:bookmarkStart w:id="185" w:name="_Toc184313308"/>
      <w:bookmarkEnd w:id="185"/>
      <w:bookmarkStart w:id="186" w:name="_Toc184314414"/>
      <w:bookmarkEnd w:id="186"/>
      <w:bookmarkStart w:id="187" w:name="_Toc184308048"/>
      <w:bookmarkEnd w:id="187"/>
      <w:bookmarkStart w:id="188" w:name="_Toc184312100"/>
      <w:bookmarkEnd w:id="188"/>
      <w:bookmarkStart w:id="189" w:name="_Toc184313247"/>
      <w:bookmarkEnd w:id="189"/>
      <w:bookmarkStart w:id="190" w:name="_Toc184314442"/>
      <w:bookmarkEnd w:id="190"/>
      <w:bookmarkStart w:id="191" w:name="_Toc184313285"/>
      <w:bookmarkEnd w:id="191"/>
      <w:bookmarkStart w:id="192" w:name="_Toc184314456"/>
      <w:bookmarkEnd w:id="192"/>
      <w:bookmarkStart w:id="193" w:name="_Toc184314463"/>
      <w:bookmarkEnd w:id="193"/>
      <w:bookmarkStart w:id="194" w:name="_Toc184314447"/>
      <w:bookmarkEnd w:id="194"/>
      <w:bookmarkStart w:id="195" w:name="_Toc184310313"/>
      <w:bookmarkEnd w:id="195"/>
      <w:bookmarkStart w:id="196" w:name="_Toc184312106"/>
      <w:bookmarkEnd w:id="196"/>
      <w:bookmarkStart w:id="197" w:name="_Toc184312094"/>
      <w:bookmarkEnd w:id="197"/>
      <w:bookmarkStart w:id="198" w:name="_Toc184308040"/>
      <w:bookmarkEnd w:id="198"/>
      <w:bookmarkStart w:id="199" w:name="_Toc184308066"/>
      <w:bookmarkEnd w:id="199"/>
      <w:bookmarkStart w:id="200" w:name="_Toc184310295"/>
      <w:bookmarkEnd w:id="200"/>
      <w:bookmarkStart w:id="201" w:name="_Toc184310325"/>
      <w:bookmarkEnd w:id="201"/>
      <w:bookmarkStart w:id="202" w:name="_Toc184314429"/>
      <w:bookmarkEnd w:id="202"/>
      <w:bookmarkStart w:id="203" w:name="_Toc184308069"/>
      <w:bookmarkEnd w:id="203"/>
      <w:bookmarkStart w:id="204" w:name="_Toc184313242"/>
      <w:bookmarkEnd w:id="204"/>
      <w:bookmarkStart w:id="205" w:name="_Toc184308038"/>
      <w:bookmarkEnd w:id="205"/>
      <w:bookmarkStart w:id="206" w:name="_Toc184312087"/>
      <w:bookmarkEnd w:id="206"/>
      <w:bookmarkStart w:id="207" w:name="_Toc184314440"/>
      <w:bookmarkEnd w:id="207"/>
      <w:bookmarkStart w:id="208" w:name="_Toc184312108"/>
      <w:bookmarkEnd w:id="208"/>
      <w:bookmarkStart w:id="209" w:name="_Toc184310305"/>
      <w:bookmarkEnd w:id="209"/>
      <w:bookmarkStart w:id="210" w:name="_Toc184313261"/>
      <w:bookmarkEnd w:id="210"/>
      <w:bookmarkStart w:id="211" w:name="_Toc184313245"/>
      <w:bookmarkEnd w:id="211"/>
      <w:bookmarkStart w:id="212" w:name="_Toc184312111"/>
      <w:bookmarkEnd w:id="212"/>
      <w:bookmarkStart w:id="213" w:name="_Toc184313264"/>
      <w:bookmarkEnd w:id="213"/>
      <w:bookmarkStart w:id="214" w:name="_Toc184308078"/>
      <w:bookmarkEnd w:id="214"/>
      <w:bookmarkStart w:id="215" w:name="_Toc184314413"/>
      <w:bookmarkEnd w:id="215"/>
      <w:bookmarkStart w:id="216" w:name="_Toc184314476"/>
      <w:bookmarkEnd w:id="216"/>
      <w:bookmarkStart w:id="217" w:name="_Toc184310306"/>
      <w:bookmarkEnd w:id="217"/>
      <w:bookmarkStart w:id="218" w:name="_Toc184314466"/>
      <w:bookmarkEnd w:id="218"/>
      <w:bookmarkStart w:id="219" w:name="_Toc184308094"/>
      <w:bookmarkEnd w:id="219"/>
      <w:bookmarkStart w:id="220" w:name="_Toc184310287"/>
      <w:bookmarkEnd w:id="220"/>
      <w:bookmarkStart w:id="221" w:name="_Toc184314454"/>
      <w:bookmarkEnd w:id="221"/>
      <w:bookmarkStart w:id="222" w:name="_Toc184313279"/>
      <w:bookmarkEnd w:id="222"/>
      <w:bookmarkStart w:id="223" w:name="_Toc184313241"/>
      <w:bookmarkEnd w:id="223"/>
      <w:bookmarkStart w:id="224" w:name="_Toc184310323"/>
      <w:bookmarkEnd w:id="224"/>
      <w:bookmarkStart w:id="225" w:name="_Toc184310276"/>
      <w:bookmarkEnd w:id="225"/>
      <w:bookmarkStart w:id="226" w:name="_Toc184308051"/>
      <w:bookmarkEnd w:id="226"/>
      <w:bookmarkStart w:id="227" w:name="_Toc184312124"/>
      <w:bookmarkEnd w:id="227"/>
      <w:bookmarkStart w:id="228" w:name="_Toc184308047"/>
      <w:bookmarkEnd w:id="228"/>
      <w:bookmarkStart w:id="229" w:name="_Toc184312109"/>
      <w:bookmarkEnd w:id="229"/>
      <w:bookmarkStart w:id="230" w:name="_Toc184310342"/>
      <w:bookmarkEnd w:id="230"/>
      <w:bookmarkStart w:id="231" w:name="_Toc184310286"/>
      <w:bookmarkEnd w:id="231"/>
      <w:bookmarkStart w:id="232" w:name="_Toc184308086"/>
      <w:bookmarkEnd w:id="232"/>
      <w:bookmarkStart w:id="233" w:name="_Toc184312098"/>
      <w:bookmarkEnd w:id="233"/>
      <w:bookmarkStart w:id="234" w:name="_Toc184308099"/>
      <w:bookmarkEnd w:id="234"/>
      <w:bookmarkStart w:id="235" w:name="_Toc184310343"/>
      <w:bookmarkEnd w:id="235"/>
      <w:bookmarkStart w:id="236" w:name="_Toc184314422"/>
      <w:bookmarkEnd w:id="236"/>
      <w:bookmarkStart w:id="237" w:name="_Toc184308043"/>
      <w:bookmarkEnd w:id="237"/>
      <w:bookmarkStart w:id="238" w:name="_Toc184313251"/>
      <w:bookmarkEnd w:id="238"/>
      <w:bookmarkStart w:id="239" w:name="_Toc184312137"/>
      <w:bookmarkEnd w:id="239"/>
      <w:bookmarkStart w:id="240" w:name="_Toc184310277"/>
      <w:bookmarkEnd w:id="240"/>
      <w:bookmarkStart w:id="241" w:name="_Toc184308064"/>
      <w:bookmarkEnd w:id="241"/>
      <w:bookmarkStart w:id="242" w:name="_Toc184308104"/>
      <w:bookmarkEnd w:id="242"/>
      <w:bookmarkStart w:id="243" w:name="_Toc184313265"/>
      <w:bookmarkEnd w:id="243"/>
      <w:bookmarkStart w:id="244" w:name="_Toc184313289"/>
      <w:bookmarkEnd w:id="244"/>
      <w:bookmarkStart w:id="245" w:name="_Toc184308081"/>
      <w:bookmarkEnd w:id="245"/>
      <w:bookmarkStart w:id="246" w:name="_Toc184310289"/>
      <w:bookmarkEnd w:id="246"/>
      <w:bookmarkStart w:id="247" w:name="_Toc184313302"/>
      <w:bookmarkEnd w:id="247"/>
      <w:bookmarkStart w:id="248" w:name="_Toc184310314"/>
      <w:bookmarkEnd w:id="248"/>
      <w:bookmarkStart w:id="249" w:name="_Toc184313249"/>
      <w:bookmarkEnd w:id="249"/>
      <w:bookmarkStart w:id="250" w:name="_Toc184314426"/>
      <w:bookmarkEnd w:id="250"/>
      <w:bookmarkStart w:id="251" w:name="_Toc184314481"/>
      <w:bookmarkEnd w:id="251"/>
      <w:bookmarkStart w:id="252" w:name="_Toc184313239"/>
      <w:bookmarkEnd w:id="252"/>
      <w:bookmarkStart w:id="253" w:name="_Toc184314418"/>
      <w:bookmarkEnd w:id="253"/>
      <w:bookmarkStart w:id="254" w:name="_Toc184314480"/>
      <w:bookmarkEnd w:id="254"/>
      <w:bookmarkStart w:id="255" w:name="_Toc184308083"/>
      <w:bookmarkEnd w:id="255"/>
      <w:bookmarkStart w:id="256" w:name="_Toc184310283"/>
      <w:bookmarkEnd w:id="256"/>
      <w:bookmarkStart w:id="257" w:name="_Toc184308080"/>
      <w:bookmarkEnd w:id="257"/>
      <w:bookmarkStart w:id="258" w:name="_Toc184308037"/>
      <w:bookmarkEnd w:id="258"/>
      <w:bookmarkStart w:id="259" w:name="_Toc184313282"/>
      <w:bookmarkEnd w:id="259"/>
      <w:bookmarkStart w:id="260" w:name="_Toc184313254"/>
      <w:bookmarkEnd w:id="260"/>
      <w:bookmarkStart w:id="261" w:name="_Toc184310322"/>
      <w:bookmarkEnd w:id="261"/>
      <w:bookmarkStart w:id="262" w:name="_Toc184312071"/>
      <w:bookmarkEnd w:id="262"/>
      <w:bookmarkStart w:id="263" w:name="_Toc184313298"/>
      <w:bookmarkEnd w:id="263"/>
      <w:bookmarkStart w:id="264" w:name="_Toc184314432"/>
      <w:bookmarkEnd w:id="264"/>
      <w:bookmarkStart w:id="265" w:name="_Toc184310297"/>
      <w:bookmarkEnd w:id="265"/>
      <w:bookmarkStart w:id="266" w:name="_Toc184312077"/>
      <w:bookmarkEnd w:id="266"/>
      <w:bookmarkStart w:id="267" w:name="_Toc184310290"/>
      <w:bookmarkEnd w:id="267"/>
      <w:bookmarkStart w:id="268" w:name="_Toc184310302"/>
      <w:bookmarkEnd w:id="268"/>
      <w:bookmarkStart w:id="269" w:name="_Toc184310292"/>
      <w:bookmarkEnd w:id="269"/>
      <w:bookmarkStart w:id="270" w:name="_Toc184314444"/>
      <w:bookmarkEnd w:id="270"/>
      <w:bookmarkStart w:id="271" w:name="_Toc184308098"/>
      <w:bookmarkEnd w:id="271"/>
      <w:bookmarkStart w:id="272" w:name="_Toc184312135"/>
      <w:bookmarkEnd w:id="272"/>
      <w:bookmarkStart w:id="273" w:name="_Toc184314434"/>
      <w:bookmarkEnd w:id="273"/>
      <w:bookmarkStart w:id="274" w:name="_Toc184313276"/>
      <w:bookmarkEnd w:id="274"/>
      <w:bookmarkStart w:id="275" w:name="_Toc184313238"/>
      <w:bookmarkEnd w:id="275"/>
      <w:bookmarkStart w:id="276" w:name="_Toc184314438"/>
      <w:bookmarkEnd w:id="276"/>
      <w:bookmarkStart w:id="277" w:name="_Toc184314416"/>
      <w:bookmarkEnd w:id="277"/>
      <w:bookmarkStart w:id="278" w:name="_Toc184313286"/>
      <w:bookmarkEnd w:id="278"/>
      <w:bookmarkStart w:id="279" w:name="_Toc184310339"/>
      <w:bookmarkEnd w:id="279"/>
      <w:bookmarkStart w:id="280" w:name="_Toc184313277"/>
      <w:bookmarkEnd w:id="280"/>
      <w:bookmarkStart w:id="281" w:name="_Toc184310316"/>
      <w:bookmarkEnd w:id="281"/>
      <w:bookmarkStart w:id="282" w:name="_Toc184310320"/>
      <w:bookmarkEnd w:id="282"/>
      <w:bookmarkStart w:id="283" w:name="_Toc184310317"/>
      <w:bookmarkEnd w:id="283"/>
      <w:bookmarkStart w:id="284" w:name="_Toc184308106"/>
      <w:bookmarkEnd w:id="284"/>
      <w:bookmarkStart w:id="285" w:name="_Toc184313278"/>
      <w:bookmarkEnd w:id="285"/>
      <w:bookmarkStart w:id="286" w:name="_Toc184308076"/>
      <w:bookmarkEnd w:id="286"/>
      <w:bookmarkStart w:id="287" w:name="_Toc184312115"/>
      <w:bookmarkEnd w:id="287"/>
      <w:bookmarkStart w:id="288" w:name="_Toc184308102"/>
      <w:bookmarkEnd w:id="288"/>
      <w:bookmarkStart w:id="289" w:name="_Toc184310298"/>
      <w:bookmarkEnd w:id="289"/>
      <w:bookmarkStart w:id="290" w:name="_Toc184314457"/>
      <w:bookmarkEnd w:id="290"/>
      <w:bookmarkStart w:id="291" w:name="_Toc184308041"/>
      <w:bookmarkEnd w:id="291"/>
      <w:bookmarkStart w:id="292" w:name="_Toc184312133"/>
      <w:bookmarkEnd w:id="292"/>
      <w:bookmarkStart w:id="293" w:name="_Toc184310301"/>
      <w:bookmarkEnd w:id="293"/>
      <w:bookmarkStart w:id="294" w:name="_Toc184308059"/>
      <w:bookmarkEnd w:id="294"/>
      <w:bookmarkStart w:id="295" w:name="_Toc184312101"/>
      <w:bookmarkEnd w:id="295"/>
      <w:bookmarkStart w:id="296" w:name="_Toc184313275"/>
      <w:bookmarkEnd w:id="296"/>
      <w:bookmarkStart w:id="297" w:name="_Toc184313253"/>
      <w:bookmarkEnd w:id="297"/>
      <w:bookmarkStart w:id="298" w:name="_Toc184313252"/>
      <w:bookmarkEnd w:id="298"/>
      <w:bookmarkStart w:id="299" w:name="_Toc184313273"/>
      <w:bookmarkEnd w:id="299"/>
      <w:bookmarkStart w:id="300" w:name="_Toc184313274"/>
      <w:bookmarkEnd w:id="300"/>
      <w:bookmarkStart w:id="301" w:name="_Toc184312093"/>
      <w:bookmarkEnd w:id="301"/>
      <w:bookmarkStart w:id="302" w:name="_Toc184310294"/>
      <w:bookmarkEnd w:id="302"/>
      <w:bookmarkStart w:id="303" w:name="_Toc184308107"/>
      <w:bookmarkEnd w:id="303"/>
      <w:bookmarkStart w:id="304" w:name="_Toc184310278"/>
      <w:bookmarkEnd w:id="304"/>
      <w:bookmarkStart w:id="305" w:name="_Toc184313295"/>
      <w:bookmarkEnd w:id="305"/>
      <w:bookmarkStart w:id="306" w:name="_Toc184313290"/>
      <w:bookmarkEnd w:id="306"/>
      <w:bookmarkStart w:id="307" w:name="_Toc184313280"/>
      <w:bookmarkEnd w:id="307"/>
      <w:bookmarkStart w:id="308" w:name="_Toc184310331"/>
      <w:bookmarkEnd w:id="308"/>
      <w:bookmarkStart w:id="309" w:name="_Toc184312114"/>
      <w:bookmarkEnd w:id="309"/>
      <w:bookmarkStart w:id="310" w:name="_Toc184313240"/>
      <w:bookmarkEnd w:id="310"/>
      <w:bookmarkStart w:id="311" w:name="_Toc184314443"/>
      <w:bookmarkEnd w:id="311"/>
      <w:bookmarkStart w:id="312" w:name="_Toc184313250"/>
      <w:bookmarkEnd w:id="312"/>
      <w:bookmarkStart w:id="313" w:name="_Toc184314460"/>
      <w:bookmarkEnd w:id="313"/>
      <w:bookmarkStart w:id="314" w:name="_Toc184314417"/>
      <w:bookmarkEnd w:id="314"/>
      <w:bookmarkStart w:id="315" w:name="_Toc184314446"/>
      <w:bookmarkEnd w:id="315"/>
      <w:bookmarkStart w:id="316" w:name="_Toc184314482"/>
      <w:bookmarkEnd w:id="316"/>
      <w:bookmarkStart w:id="317" w:name="_Toc184310291"/>
      <w:bookmarkEnd w:id="317"/>
      <w:bookmarkStart w:id="318" w:name="_Toc184308108"/>
      <w:bookmarkEnd w:id="318"/>
      <w:bookmarkStart w:id="319" w:name="_Toc184313281"/>
      <w:bookmarkEnd w:id="319"/>
      <w:bookmarkStart w:id="320" w:name="_Toc184313262"/>
      <w:bookmarkEnd w:id="320"/>
      <w:bookmarkStart w:id="321" w:name="_Toc184313310"/>
      <w:bookmarkEnd w:id="321"/>
      <w:bookmarkStart w:id="322" w:name="_Toc184313255"/>
      <w:bookmarkEnd w:id="322"/>
      <w:bookmarkStart w:id="323" w:name="_Toc184308096"/>
      <w:bookmarkEnd w:id="323"/>
      <w:bookmarkStart w:id="324" w:name="_Toc184310338"/>
      <w:bookmarkEnd w:id="324"/>
      <w:bookmarkStart w:id="325" w:name="_Toc184312080"/>
      <w:bookmarkEnd w:id="325"/>
      <w:bookmarkStart w:id="326" w:name="_Toc184310279"/>
      <w:bookmarkEnd w:id="326"/>
      <w:bookmarkStart w:id="327" w:name="_Toc184308050"/>
      <w:bookmarkEnd w:id="327"/>
      <w:bookmarkStart w:id="328" w:name="_Toc184312131"/>
      <w:bookmarkEnd w:id="328"/>
      <w:bookmarkStart w:id="329" w:name="_Toc184312105"/>
      <w:bookmarkEnd w:id="329"/>
      <w:bookmarkStart w:id="330" w:name="_Toc184308063"/>
      <w:bookmarkEnd w:id="330"/>
      <w:bookmarkStart w:id="331" w:name="_Toc184310336"/>
      <w:bookmarkEnd w:id="331"/>
      <w:bookmarkStart w:id="332" w:name="_Toc184312127"/>
      <w:bookmarkEnd w:id="332"/>
      <w:bookmarkStart w:id="333" w:name="_Toc184308065"/>
      <w:bookmarkEnd w:id="333"/>
      <w:bookmarkStart w:id="334" w:name="_Toc184308092"/>
      <w:bookmarkEnd w:id="334"/>
      <w:bookmarkStart w:id="335" w:name="_Toc184310332"/>
      <w:bookmarkEnd w:id="335"/>
      <w:bookmarkStart w:id="336" w:name="_Toc184314411"/>
      <w:bookmarkEnd w:id="336"/>
      <w:bookmarkStart w:id="337" w:name="_Toc184312075"/>
      <w:bookmarkEnd w:id="337"/>
      <w:bookmarkStart w:id="338" w:name="_Toc184310319"/>
      <w:bookmarkEnd w:id="338"/>
      <w:bookmarkStart w:id="339" w:name="_Toc184313244"/>
      <w:bookmarkEnd w:id="339"/>
      <w:bookmarkStart w:id="340" w:name="_Toc184314439"/>
      <w:bookmarkEnd w:id="340"/>
      <w:bookmarkStart w:id="341" w:name="_Toc184313256"/>
      <w:bookmarkEnd w:id="341"/>
      <w:bookmarkStart w:id="342" w:name="_Toc184308082"/>
      <w:bookmarkEnd w:id="342"/>
      <w:bookmarkStart w:id="343" w:name="_Toc184310333"/>
      <w:bookmarkEnd w:id="343"/>
      <w:bookmarkStart w:id="344" w:name="_Toc184314475"/>
      <w:bookmarkEnd w:id="344"/>
      <w:bookmarkStart w:id="345" w:name="_Toc184308036"/>
      <w:bookmarkEnd w:id="345"/>
      <w:bookmarkStart w:id="346" w:name="_Toc184308073"/>
      <w:bookmarkEnd w:id="346"/>
      <w:bookmarkStart w:id="347" w:name="_Toc184313246"/>
      <w:bookmarkEnd w:id="347"/>
      <w:bookmarkStart w:id="348" w:name="_Toc184310321"/>
      <w:bookmarkEnd w:id="348"/>
      <w:bookmarkStart w:id="349" w:name="_Toc184310312"/>
      <w:bookmarkEnd w:id="349"/>
      <w:bookmarkStart w:id="350" w:name="_Toc184313284"/>
      <w:bookmarkEnd w:id="350"/>
      <w:bookmarkStart w:id="351" w:name="_Toc184314425"/>
      <w:bookmarkEnd w:id="351"/>
      <w:bookmarkStart w:id="352" w:name="_Toc184313307"/>
      <w:bookmarkEnd w:id="352"/>
      <w:bookmarkStart w:id="353" w:name="_Toc184308093"/>
      <w:bookmarkEnd w:id="353"/>
      <w:bookmarkStart w:id="354" w:name="_Toc184310309"/>
      <w:bookmarkEnd w:id="354"/>
      <w:bookmarkStart w:id="355" w:name="_Toc184314415"/>
      <w:bookmarkEnd w:id="355"/>
      <w:bookmarkStart w:id="356" w:name="_Toc184308071"/>
      <w:bookmarkEnd w:id="356"/>
      <w:bookmarkStart w:id="357" w:name="_Toc184313257"/>
      <w:bookmarkEnd w:id="357"/>
      <w:bookmarkStart w:id="358" w:name="_Toc184312097"/>
      <w:bookmarkEnd w:id="358"/>
      <w:bookmarkStart w:id="359" w:name="_Toc184312089"/>
      <w:bookmarkEnd w:id="359"/>
      <w:bookmarkStart w:id="360" w:name="_Toc184314458"/>
      <w:bookmarkEnd w:id="360"/>
      <w:bookmarkStart w:id="361" w:name="_Toc184308087"/>
      <w:bookmarkEnd w:id="361"/>
      <w:bookmarkStart w:id="362" w:name="_Toc184308061"/>
      <w:bookmarkEnd w:id="362"/>
      <w:bookmarkStart w:id="363" w:name="_Toc184308100"/>
      <w:bookmarkEnd w:id="363"/>
      <w:bookmarkStart w:id="364" w:name="_Toc184313287"/>
      <w:bookmarkEnd w:id="364"/>
      <w:bookmarkStart w:id="365" w:name="_Toc184313248"/>
      <w:bookmarkEnd w:id="365"/>
      <w:bookmarkStart w:id="366" w:name="_Toc184312076"/>
      <w:bookmarkEnd w:id="366"/>
      <w:bookmarkStart w:id="367" w:name="_Toc184308058"/>
      <w:bookmarkEnd w:id="367"/>
      <w:bookmarkStart w:id="368" w:name="_Toc184308044"/>
      <w:bookmarkEnd w:id="368"/>
      <w:bookmarkStart w:id="369" w:name="_Toc184310284"/>
      <w:bookmarkEnd w:id="369"/>
      <w:bookmarkStart w:id="370" w:name="_Toc184313263"/>
      <w:bookmarkEnd w:id="370"/>
      <w:bookmarkStart w:id="371" w:name="_Toc184314449"/>
      <w:bookmarkEnd w:id="371"/>
      <w:bookmarkStart w:id="372" w:name="_Toc184313297"/>
      <w:bookmarkEnd w:id="372"/>
      <w:bookmarkStart w:id="373" w:name="_Toc184314448"/>
      <w:bookmarkEnd w:id="373"/>
      <w:bookmarkStart w:id="374" w:name="_Toc184308091"/>
      <w:bookmarkEnd w:id="374"/>
      <w:bookmarkStart w:id="375" w:name="_Toc184314420"/>
      <w:bookmarkEnd w:id="375"/>
      <w:bookmarkStart w:id="376" w:name="_Toc184314461"/>
      <w:bookmarkEnd w:id="376"/>
      <w:bookmarkStart w:id="377" w:name="_Toc184310282"/>
      <w:bookmarkEnd w:id="377"/>
      <w:bookmarkStart w:id="378" w:name="_Toc184312082"/>
      <w:bookmarkEnd w:id="378"/>
      <w:bookmarkStart w:id="379" w:name="_Toc184313258"/>
      <w:bookmarkEnd w:id="379"/>
      <w:bookmarkStart w:id="380" w:name="_Toc184312079"/>
      <w:bookmarkEnd w:id="380"/>
      <w:r>
        <w:rPr>
          <w:rFonts w:hint="eastAsia" w:asciiTheme="minorEastAsia" w:hAnsiTheme="minorEastAsia" w:eastAsiaTheme="minorEastAsia" w:cstheme="minorEastAsia"/>
          <w:b/>
          <w:color w:val="auto"/>
          <w:sz w:val="36"/>
          <w:szCs w:val="36"/>
          <w:highlight w:val="none"/>
        </w:rPr>
        <w:t>评审办法</w:t>
      </w:r>
    </w:p>
    <w:p w14:paraId="540B1C4F">
      <w:pPr>
        <w:shd w:val="clear"/>
        <w:snapToGrid w:val="0"/>
        <w:spacing w:line="360" w:lineRule="auto"/>
        <w:jc w:val="center"/>
        <w:rPr>
          <w:rFonts w:asciiTheme="minorEastAsia" w:hAnsiTheme="minorEastAsia" w:eastAsiaTheme="minorEastAsia" w:cstheme="minorEastAsia"/>
          <w:color w:val="auto"/>
          <w:sz w:val="28"/>
          <w:highlight w:val="none"/>
        </w:rPr>
      </w:pPr>
      <w:r>
        <w:rPr>
          <w:rFonts w:hint="eastAsia" w:asciiTheme="minorEastAsia" w:hAnsiTheme="minorEastAsia" w:eastAsiaTheme="minorEastAsia" w:cstheme="minorEastAsia"/>
          <w:b/>
          <w:color w:val="auto"/>
          <w:sz w:val="32"/>
          <w:szCs w:val="20"/>
          <w:highlight w:val="none"/>
        </w:rPr>
        <w:t>评审办法前附表</w:t>
      </w:r>
    </w:p>
    <w:tbl>
      <w:tblPr>
        <w:tblStyle w:val="26"/>
        <w:tblW w:w="9885" w:type="dxa"/>
        <w:tblInd w:w="-4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1181"/>
        <w:gridCol w:w="7371"/>
        <w:gridCol w:w="709"/>
      </w:tblGrid>
      <w:tr w14:paraId="1AEE4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1805" w:type="dxa"/>
            <w:gridSpan w:val="2"/>
            <w:noWrap w:val="0"/>
            <w:vAlign w:val="center"/>
          </w:tcPr>
          <w:p w14:paraId="010DE57D">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评分项</w:t>
            </w:r>
          </w:p>
        </w:tc>
        <w:tc>
          <w:tcPr>
            <w:tcW w:w="7371" w:type="dxa"/>
            <w:noWrap w:val="0"/>
            <w:vAlign w:val="center"/>
          </w:tcPr>
          <w:p w14:paraId="7F4F2E54">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评分标准</w:t>
            </w:r>
          </w:p>
        </w:tc>
        <w:tc>
          <w:tcPr>
            <w:tcW w:w="709" w:type="dxa"/>
            <w:noWrap w:val="0"/>
            <w:vAlign w:val="center"/>
          </w:tcPr>
          <w:p w14:paraId="1B2E44B2">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分值</w:t>
            </w:r>
          </w:p>
        </w:tc>
      </w:tr>
      <w:tr w14:paraId="103B4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624" w:type="dxa"/>
            <w:vMerge w:val="restart"/>
            <w:noWrap w:val="0"/>
            <w:tcMar>
              <w:top w:w="28" w:type="dxa"/>
              <w:left w:w="28" w:type="dxa"/>
              <w:bottom w:w="28" w:type="dxa"/>
              <w:right w:w="28" w:type="dxa"/>
            </w:tcMar>
            <w:vAlign w:val="center"/>
          </w:tcPr>
          <w:p w14:paraId="27E6BCF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资信</w:t>
            </w:r>
          </w:p>
          <w:p w14:paraId="383D6AFC">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技术</w:t>
            </w:r>
          </w:p>
          <w:p w14:paraId="3C54E64E">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65</w:t>
            </w:r>
            <w:r>
              <w:rPr>
                <w:rFonts w:hint="default" w:ascii="Times New Roman" w:hAnsi="Times New Roman" w:eastAsia="宋体" w:cs="Times New Roman"/>
                <w:color w:val="auto"/>
                <w:sz w:val="21"/>
                <w:szCs w:val="21"/>
                <w:highlight w:val="none"/>
              </w:rPr>
              <w:t>分</w:t>
            </w:r>
          </w:p>
        </w:tc>
        <w:tc>
          <w:tcPr>
            <w:tcW w:w="1181" w:type="dxa"/>
            <w:noWrap w:val="0"/>
            <w:vAlign w:val="center"/>
          </w:tcPr>
          <w:p w14:paraId="782BC3D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采购需求响应</w:t>
            </w:r>
          </w:p>
        </w:tc>
        <w:tc>
          <w:tcPr>
            <w:tcW w:w="7371" w:type="dxa"/>
            <w:noWrap w:val="0"/>
            <w:vAlign w:val="center"/>
          </w:tcPr>
          <w:p w14:paraId="6FE98F25">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根据供应商对第三部分</w:t>
            </w:r>
            <w:r>
              <w:rPr>
                <w:rFonts w:hint="eastAsia" w:ascii="Times New Roman" w:hAnsi="Times New Roman" w:cs="Times New Roman"/>
                <w:color w:val="auto"/>
                <w:sz w:val="21"/>
                <w:szCs w:val="21"/>
                <w:highlight w:val="none"/>
                <w:lang w:val="en-US" w:eastAsia="zh-CN"/>
              </w:rPr>
              <w:t xml:space="preserve"> </w:t>
            </w:r>
            <w:r>
              <w:rPr>
                <w:rFonts w:hint="default" w:ascii="Times New Roman" w:hAnsi="Times New Roman" w:eastAsia="宋体" w:cs="Times New Roman"/>
                <w:color w:val="auto"/>
                <w:sz w:val="21"/>
                <w:szCs w:val="21"/>
                <w:highlight w:val="none"/>
                <w:lang w:val="en-US" w:eastAsia="zh-CN"/>
              </w:rPr>
              <w:t>采购需求的响应情况进行评议。完全满足的得满分 15 分，</w:t>
            </w:r>
            <w:r>
              <w:rPr>
                <w:rFonts w:hint="eastAsia" w:cs="宋体"/>
                <w:color w:val="auto"/>
                <w:szCs w:val="21"/>
                <w:highlight w:val="none"/>
              </w:rPr>
              <w:t>非实质性要求的</w:t>
            </w:r>
            <w:r>
              <w:rPr>
                <w:rFonts w:hint="default" w:ascii="Times New Roman" w:hAnsi="Times New Roman" w:eastAsia="宋体" w:cs="Times New Roman"/>
                <w:color w:val="auto"/>
                <w:sz w:val="21"/>
                <w:szCs w:val="21"/>
                <w:highlight w:val="none"/>
                <w:lang w:val="en-US" w:eastAsia="zh-CN"/>
              </w:rPr>
              <w:t>每负偏离 1 条扣 1.5 分，</w:t>
            </w:r>
            <w:r>
              <w:rPr>
                <w:rFonts w:hint="eastAsia" w:ascii="Times New Roman" w:hAnsi="Times New Roman" w:cs="Times New Roman"/>
                <w:color w:val="auto"/>
                <w:sz w:val="21"/>
                <w:szCs w:val="21"/>
                <w:highlight w:val="none"/>
                <w:lang w:val="en-US" w:eastAsia="zh-CN"/>
              </w:rPr>
              <w:t>扣分达到15分</w:t>
            </w:r>
            <w:r>
              <w:rPr>
                <w:rFonts w:hint="default" w:ascii="Times New Roman" w:hAnsi="Times New Roman" w:eastAsia="宋体" w:cs="Times New Roman"/>
                <w:color w:val="auto"/>
                <w:sz w:val="21"/>
                <w:szCs w:val="21"/>
                <w:highlight w:val="none"/>
                <w:lang w:val="en-US" w:eastAsia="zh-CN"/>
              </w:rPr>
              <w:t>时作无效标处理。各部分内容的最小序号为 1 条需求条款</w:t>
            </w:r>
            <w:r>
              <w:rPr>
                <w:rFonts w:hint="eastAsia" w:ascii="Times New Roman" w:hAnsi="Times New Roman" w:cs="Times New Roman"/>
                <w:color w:val="auto"/>
                <w:sz w:val="21"/>
                <w:szCs w:val="21"/>
                <w:highlight w:val="none"/>
                <w:lang w:val="en-US" w:eastAsia="zh-CN"/>
              </w:rPr>
              <w:t>，</w:t>
            </w:r>
            <w:r>
              <w:rPr>
                <w:rFonts w:hint="eastAsia" w:cs="宋体"/>
                <w:color w:val="auto"/>
                <w:szCs w:val="21"/>
                <w:highlight w:val="none"/>
              </w:rPr>
              <w:t>标▲条款的有任一负偏离的作无效响应文件处理。</w:t>
            </w:r>
          </w:p>
        </w:tc>
        <w:tc>
          <w:tcPr>
            <w:tcW w:w="709" w:type="dxa"/>
            <w:noWrap w:val="0"/>
            <w:vAlign w:val="center"/>
          </w:tcPr>
          <w:p w14:paraId="2D4C3F7E">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r>
      <w:tr w14:paraId="1501E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tcMar>
              <w:top w:w="28" w:type="dxa"/>
              <w:left w:w="28" w:type="dxa"/>
              <w:bottom w:w="28" w:type="dxa"/>
              <w:right w:w="28" w:type="dxa"/>
            </w:tcMar>
            <w:vAlign w:val="center"/>
          </w:tcPr>
          <w:p w14:paraId="7B42C9E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Hans"/>
              </w:rPr>
            </w:pPr>
          </w:p>
        </w:tc>
        <w:tc>
          <w:tcPr>
            <w:tcW w:w="1181" w:type="dxa"/>
            <w:noWrap w:val="0"/>
            <w:vAlign w:val="center"/>
          </w:tcPr>
          <w:p w14:paraId="19A9FA8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维修技术方案</w:t>
            </w:r>
          </w:p>
        </w:tc>
        <w:tc>
          <w:tcPr>
            <w:tcW w:w="7371" w:type="dxa"/>
            <w:noWrap w:val="0"/>
            <w:vAlign w:val="center"/>
          </w:tcPr>
          <w:p w14:paraId="2943FFED">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Hans"/>
              </w:rPr>
              <w:t>针对</w:t>
            </w:r>
            <w:r>
              <w:rPr>
                <w:rFonts w:hint="default" w:ascii="Times New Roman" w:hAnsi="Times New Roman" w:eastAsia="宋体" w:cs="Times New Roman"/>
                <w:color w:val="auto"/>
                <w:sz w:val="21"/>
                <w:szCs w:val="21"/>
                <w:highlight w:val="none"/>
                <w:lang w:val="en-US" w:eastAsia="zh-CN"/>
              </w:rPr>
              <w:t>本项目常见的维修</w:t>
            </w:r>
            <w:r>
              <w:rPr>
                <w:rFonts w:hint="eastAsia" w:ascii="Times New Roman" w:hAnsi="Times New Roman" w:cs="Times New Roman"/>
                <w:color w:val="auto"/>
                <w:sz w:val="21"/>
                <w:szCs w:val="21"/>
                <w:highlight w:val="none"/>
                <w:lang w:val="en-US" w:eastAsia="zh-CN"/>
              </w:rPr>
              <w:t>案例</w:t>
            </w:r>
            <w:r>
              <w:rPr>
                <w:rFonts w:hint="default" w:ascii="Times New Roman" w:hAnsi="Times New Roman" w:eastAsia="宋体" w:cs="Times New Roman"/>
                <w:color w:val="auto"/>
                <w:sz w:val="21"/>
                <w:szCs w:val="21"/>
                <w:highlight w:val="none"/>
                <w:lang w:val="en-US" w:eastAsia="zh-CN"/>
              </w:rPr>
              <w:t>问题的技术方案</w:t>
            </w:r>
            <w:r>
              <w:rPr>
                <w:rFonts w:hint="default" w:ascii="Times New Roman" w:hAnsi="Times New Roman" w:eastAsia="宋体" w:cs="Times New Roman"/>
                <w:color w:val="auto"/>
                <w:sz w:val="21"/>
                <w:szCs w:val="21"/>
                <w:highlight w:val="none"/>
                <w:lang w:eastAsia="zh-CN"/>
              </w:rPr>
              <w:t>：</w:t>
            </w:r>
          </w:p>
          <w:p w14:paraId="27586055">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墙面脱落、开缝</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提供维修技术方案</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方案完整全面</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工序流程规范的</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CN"/>
              </w:rPr>
              <w:t>每符合一项得1分，最多得</w:t>
            </w:r>
            <w:r>
              <w:rPr>
                <w:rFonts w:hint="default" w:ascii="Times New Roman" w:hAnsi="Times New Roman" w:eastAsia="宋体" w:cs="Times New Roman"/>
                <w:color w:val="auto"/>
                <w:sz w:val="21"/>
                <w:szCs w:val="21"/>
                <w:highlight w:val="none"/>
                <w:lang w:eastAsia="zh-CN"/>
              </w:rPr>
              <w:t>3</w:t>
            </w:r>
            <w:r>
              <w:rPr>
                <w:rFonts w:hint="default" w:ascii="Times New Roman" w:hAnsi="Times New Roman" w:eastAsia="宋体" w:cs="Times New Roman"/>
                <w:color w:val="auto"/>
                <w:sz w:val="21"/>
                <w:szCs w:val="21"/>
                <w:highlight w:val="none"/>
                <w:lang w:val="en-US" w:eastAsia="zh-CN"/>
              </w:rPr>
              <w:t>分。</w:t>
            </w:r>
          </w:p>
          <w:p w14:paraId="1DFE8A55">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lang w:eastAsia="zh-CN"/>
              </w:rPr>
              <w:t>2、</w:t>
            </w:r>
            <w:r>
              <w:rPr>
                <w:rFonts w:hint="default" w:ascii="Times New Roman" w:hAnsi="Times New Roman" w:eastAsia="宋体" w:cs="Times New Roman"/>
                <w:color w:val="auto"/>
                <w:sz w:val="21"/>
                <w:szCs w:val="21"/>
                <w:highlight w:val="none"/>
                <w:lang w:val="en-US" w:eastAsia="zh-Hans"/>
              </w:rPr>
              <w:t>台阶</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铺砖损坏</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提供维修技术方案、方案完整全面、工序流程规范的；</w:t>
            </w:r>
            <w:r>
              <w:rPr>
                <w:rFonts w:hint="default" w:ascii="Times New Roman" w:hAnsi="Times New Roman" w:eastAsia="宋体" w:cs="Times New Roman"/>
                <w:color w:val="auto"/>
                <w:sz w:val="21"/>
                <w:szCs w:val="21"/>
                <w:highlight w:val="none"/>
                <w:lang w:val="en-US" w:eastAsia="zh-CN"/>
              </w:rPr>
              <w:t>每符合一项得1分，最多得3分。</w:t>
            </w:r>
          </w:p>
          <w:p w14:paraId="7C30F6CF">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lang w:eastAsia="zh-Hans"/>
              </w:rPr>
              <w:t>3、</w:t>
            </w:r>
            <w:r>
              <w:rPr>
                <w:rFonts w:hint="default" w:ascii="Times New Roman" w:hAnsi="Times New Roman" w:eastAsia="宋体" w:cs="Times New Roman"/>
                <w:color w:val="auto"/>
                <w:sz w:val="21"/>
                <w:szCs w:val="21"/>
                <w:highlight w:val="none"/>
                <w:lang w:val="en-US" w:eastAsia="zh-Hans"/>
              </w:rPr>
              <w:t>门锁</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灯具损坏</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提供维修技术方案、方案完整全面、工序流程规范的；</w:t>
            </w:r>
            <w:r>
              <w:rPr>
                <w:rFonts w:hint="default" w:ascii="Times New Roman" w:hAnsi="Times New Roman" w:eastAsia="宋体" w:cs="Times New Roman"/>
                <w:color w:val="auto"/>
                <w:sz w:val="21"/>
                <w:szCs w:val="21"/>
                <w:highlight w:val="none"/>
                <w:lang w:val="en-US" w:eastAsia="zh-CN"/>
              </w:rPr>
              <w:t>每符合一项得1分，最多得3分。</w:t>
            </w:r>
          </w:p>
        </w:tc>
        <w:tc>
          <w:tcPr>
            <w:tcW w:w="709" w:type="dxa"/>
            <w:noWrap w:val="0"/>
            <w:vAlign w:val="center"/>
          </w:tcPr>
          <w:p w14:paraId="0F9F12B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9</w:t>
            </w:r>
          </w:p>
        </w:tc>
      </w:tr>
      <w:tr w14:paraId="62623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28ED1134">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vMerge w:val="restart"/>
            <w:noWrap w:val="0"/>
            <w:vAlign w:val="center"/>
          </w:tcPr>
          <w:p w14:paraId="543830CC">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重点、难点分析及解决</w:t>
            </w:r>
          </w:p>
        </w:tc>
        <w:tc>
          <w:tcPr>
            <w:tcW w:w="7371" w:type="dxa"/>
            <w:noWrap w:val="0"/>
            <w:vAlign w:val="center"/>
          </w:tcPr>
          <w:p w14:paraId="3639E2CA">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投标人有针对本项目的重、难点问题分析的得 1 分；</w:t>
            </w:r>
          </w:p>
        </w:tc>
        <w:tc>
          <w:tcPr>
            <w:tcW w:w="709" w:type="dxa"/>
            <w:noWrap w:val="0"/>
            <w:vAlign w:val="center"/>
          </w:tcPr>
          <w:p w14:paraId="54DE8119">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1</w:t>
            </w:r>
          </w:p>
        </w:tc>
      </w:tr>
      <w:tr w14:paraId="21073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157D087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vMerge w:val="continue"/>
            <w:noWrap w:val="0"/>
            <w:vAlign w:val="center"/>
          </w:tcPr>
          <w:p w14:paraId="07FEDA5C">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7371" w:type="dxa"/>
            <w:noWrap w:val="0"/>
            <w:vAlign w:val="center"/>
          </w:tcPr>
          <w:p w14:paraId="02C5D56D">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投标人针对本项目的重点、难点问题的解决方案重点突出切合实际可行，方案内容齐全针对性强，有利于本项目实施且保障措施到位的，每具备一项得 2 分，共 6 分。</w:t>
            </w:r>
          </w:p>
        </w:tc>
        <w:tc>
          <w:tcPr>
            <w:tcW w:w="709" w:type="dxa"/>
            <w:noWrap w:val="0"/>
            <w:vAlign w:val="center"/>
          </w:tcPr>
          <w:p w14:paraId="6594E7F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6</w:t>
            </w:r>
          </w:p>
        </w:tc>
      </w:tr>
      <w:tr w14:paraId="235CF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32DC4B4A">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5E13BC6A">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质量保障措施</w:t>
            </w:r>
          </w:p>
        </w:tc>
        <w:tc>
          <w:tcPr>
            <w:tcW w:w="7371" w:type="dxa"/>
            <w:noWrap w:val="0"/>
            <w:vAlign w:val="center"/>
          </w:tcPr>
          <w:p w14:paraId="5C917B04">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根据投标人针对本项目提供的质量保证措施进行评议； </w:t>
            </w:r>
          </w:p>
          <w:p w14:paraId="5C804DEA">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1、提供质量保证措施的得 1 分； </w:t>
            </w:r>
          </w:p>
          <w:p w14:paraId="194E58A3">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2、质量保证措施多种、措施针对本项目制定具有针对性有利于本项目实施且保障到位的，每具备一项得 2 分，最多得 4 分。</w:t>
            </w:r>
          </w:p>
        </w:tc>
        <w:tc>
          <w:tcPr>
            <w:tcW w:w="709" w:type="dxa"/>
            <w:noWrap w:val="0"/>
            <w:vAlign w:val="center"/>
          </w:tcPr>
          <w:p w14:paraId="50DB1052">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5</w:t>
            </w:r>
          </w:p>
        </w:tc>
      </w:tr>
      <w:tr w14:paraId="0924E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76E09B7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6653D8D0">
            <w:pPr>
              <w:pStyle w:val="2"/>
              <w:keepNext w:val="0"/>
              <w:keepLines w:val="0"/>
              <w:pageBreakBefore w:val="0"/>
              <w:kinsoku/>
              <w:wordWrap/>
              <w:overflowPunct/>
              <w:topLinePunct w:val="0"/>
              <w:autoSpaceDE/>
              <w:autoSpaceDN/>
              <w:bidi w:val="0"/>
              <w:adjustRightInd/>
              <w:snapToGrid/>
              <w:spacing w:line="400" w:lineRule="exact"/>
              <w:ind w:firstLine="0" w:firstLineChars="0"/>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进度安排</w:t>
            </w:r>
          </w:p>
        </w:tc>
        <w:tc>
          <w:tcPr>
            <w:tcW w:w="7371" w:type="dxa"/>
            <w:noWrap w:val="0"/>
            <w:vAlign w:val="center"/>
          </w:tcPr>
          <w:p w14:paraId="0688A27F">
            <w:pPr>
              <w:pStyle w:val="2"/>
              <w:keepNext w:val="0"/>
              <w:keepLines w:val="0"/>
              <w:pageBreakBefore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投标人</w:t>
            </w:r>
            <w:r>
              <w:rPr>
                <w:rFonts w:hint="default" w:ascii="Times New Roman" w:hAnsi="Times New Roman" w:eastAsia="宋体" w:cs="Times New Roman"/>
                <w:color w:val="auto"/>
                <w:sz w:val="21"/>
                <w:szCs w:val="21"/>
                <w:highlight w:val="none"/>
                <w:lang w:val="en-US" w:eastAsia="zh-CN"/>
              </w:rPr>
              <w:t>提供</w:t>
            </w:r>
            <w:r>
              <w:rPr>
                <w:rFonts w:hint="default" w:ascii="Times New Roman" w:hAnsi="Times New Roman" w:eastAsia="宋体" w:cs="Times New Roman"/>
                <w:color w:val="auto"/>
                <w:sz w:val="21"/>
                <w:szCs w:val="21"/>
                <w:highlight w:val="none"/>
              </w:rPr>
              <w:t>针对本项目各阶段工作安排及计划方案的得</w:t>
            </w:r>
            <w:r>
              <w:rPr>
                <w:rFonts w:hint="default" w:ascii="Times New Roman" w:hAnsi="Times New Roman" w:eastAsia="宋体"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p>
          <w:p w14:paraId="7175B9E1">
            <w:pPr>
              <w:pStyle w:val="2"/>
              <w:keepNext w:val="0"/>
              <w:keepLines w:val="0"/>
              <w:pageBreakBefore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项目进度安排计划清晰</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步骤明确，时间节点</w:t>
            </w:r>
            <w:r>
              <w:rPr>
                <w:rFonts w:hint="default" w:ascii="Times New Roman" w:hAnsi="Times New Roman" w:eastAsia="宋体" w:cs="Times New Roman"/>
                <w:color w:val="auto"/>
                <w:sz w:val="21"/>
                <w:szCs w:val="21"/>
                <w:highlight w:val="none"/>
                <w:lang w:val="en-US" w:eastAsia="zh-CN"/>
              </w:rPr>
              <w:t>安排</w:t>
            </w:r>
            <w:r>
              <w:rPr>
                <w:rFonts w:hint="default" w:ascii="Times New Roman" w:hAnsi="Times New Roman" w:eastAsia="宋体" w:cs="Times New Roman"/>
                <w:color w:val="auto"/>
                <w:sz w:val="21"/>
                <w:szCs w:val="21"/>
                <w:highlight w:val="none"/>
              </w:rPr>
              <w:t>紧凑，</w:t>
            </w:r>
            <w:r>
              <w:rPr>
                <w:rFonts w:hint="default" w:ascii="Times New Roman" w:hAnsi="Times New Roman" w:eastAsia="宋体" w:cs="Times New Roman"/>
                <w:color w:val="auto"/>
                <w:sz w:val="21"/>
                <w:szCs w:val="21"/>
                <w:highlight w:val="none"/>
                <w:lang w:val="en-US" w:eastAsia="zh-CN"/>
              </w:rPr>
              <w:t>进度安排针对本项目制定，</w:t>
            </w:r>
            <w:r>
              <w:rPr>
                <w:rFonts w:hint="default" w:ascii="Times New Roman" w:hAnsi="Times New Roman" w:eastAsia="宋体" w:cs="Times New Roman"/>
                <w:color w:val="auto"/>
                <w:sz w:val="21"/>
                <w:szCs w:val="21"/>
                <w:highlight w:val="none"/>
              </w:rPr>
              <w:t>每</w:t>
            </w:r>
            <w:r>
              <w:rPr>
                <w:rFonts w:hint="default" w:ascii="Times New Roman" w:hAnsi="Times New Roman" w:eastAsia="宋体" w:cs="Times New Roman"/>
                <w:color w:val="auto"/>
                <w:sz w:val="21"/>
                <w:szCs w:val="21"/>
                <w:highlight w:val="none"/>
                <w:lang w:val="en-US" w:eastAsia="zh-CN"/>
              </w:rPr>
              <w:t>符合</w:t>
            </w:r>
            <w:r>
              <w:rPr>
                <w:rFonts w:hint="default" w:ascii="Times New Roman" w:hAnsi="Times New Roman" w:eastAsia="宋体" w:cs="Times New Roman"/>
                <w:color w:val="auto"/>
                <w:sz w:val="21"/>
                <w:szCs w:val="21"/>
                <w:highlight w:val="none"/>
              </w:rPr>
              <w:t>一项得</w:t>
            </w:r>
            <w:r>
              <w:rPr>
                <w:rFonts w:hint="default" w:ascii="Times New Roman" w:hAnsi="Times New Roman" w:eastAsia="宋体"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最多得4分。</w:t>
            </w:r>
          </w:p>
        </w:tc>
        <w:tc>
          <w:tcPr>
            <w:tcW w:w="709" w:type="dxa"/>
            <w:noWrap w:val="0"/>
            <w:vAlign w:val="center"/>
          </w:tcPr>
          <w:p w14:paraId="2D0AF23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5</w:t>
            </w:r>
          </w:p>
        </w:tc>
      </w:tr>
      <w:tr w14:paraId="53319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5DCC4DC3">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7B5CF9C9">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安全保障措施</w:t>
            </w:r>
          </w:p>
        </w:tc>
        <w:tc>
          <w:tcPr>
            <w:tcW w:w="7371" w:type="dxa"/>
            <w:noWrap w:val="0"/>
            <w:vAlign w:val="center"/>
          </w:tcPr>
          <w:p w14:paraId="5FC57AAE">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根据投标人提供的针对本项目的安全保障措施进行评议： </w:t>
            </w:r>
          </w:p>
          <w:p w14:paraId="422C078B">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1、提供安全保障措施的得 1 分； </w:t>
            </w:r>
          </w:p>
          <w:p w14:paraId="1CAAFE26">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2、安全保障职责分明、组织框架明确</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措施针对本项目制定具有针对性</w:t>
            </w:r>
            <w:r>
              <w:rPr>
                <w:rFonts w:hint="default" w:ascii="Times New Roman" w:hAnsi="Times New Roman" w:eastAsia="宋体" w:cs="Times New Roman"/>
                <w:color w:val="auto"/>
                <w:sz w:val="21"/>
                <w:szCs w:val="21"/>
                <w:highlight w:val="none"/>
                <w:lang w:val="en-US" w:eastAsia="zh-Hans"/>
              </w:rPr>
              <w:t>且</w:t>
            </w:r>
            <w:r>
              <w:rPr>
                <w:rFonts w:hint="default" w:ascii="Times New Roman" w:hAnsi="Times New Roman" w:eastAsia="宋体" w:cs="Times New Roman"/>
                <w:color w:val="auto"/>
                <w:sz w:val="21"/>
                <w:szCs w:val="21"/>
                <w:highlight w:val="none"/>
                <w:lang w:val="en-US" w:eastAsia="zh-CN"/>
              </w:rPr>
              <w:t>有利于本项目实施且保障到位的</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 xml:space="preserve">每具备一项得 2 分，最多 得 4 分。 </w:t>
            </w:r>
          </w:p>
        </w:tc>
        <w:tc>
          <w:tcPr>
            <w:tcW w:w="709" w:type="dxa"/>
            <w:noWrap w:val="0"/>
            <w:vAlign w:val="center"/>
          </w:tcPr>
          <w:p w14:paraId="06970847">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5</w:t>
            </w:r>
          </w:p>
        </w:tc>
      </w:tr>
      <w:tr w14:paraId="1E2AC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66FE417C">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5BACA6FB">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Hans"/>
              </w:rPr>
              <w:t>应急</w:t>
            </w:r>
            <w:r>
              <w:rPr>
                <w:rFonts w:hint="default" w:ascii="Times New Roman" w:hAnsi="Times New Roman" w:eastAsia="宋体" w:cs="Times New Roman"/>
                <w:color w:val="auto"/>
                <w:sz w:val="21"/>
                <w:szCs w:val="21"/>
                <w:highlight w:val="none"/>
                <w:lang w:val="en-US" w:eastAsia="zh-CN"/>
              </w:rPr>
              <w:t>保障措施</w:t>
            </w:r>
          </w:p>
        </w:tc>
        <w:tc>
          <w:tcPr>
            <w:tcW w:w="7371" w:type="dxa"/>
            <w:noWrap w:val="0"/>
            <w:vAlign w:val="center"/>
          </w:tcPr>
          <w:p w14:paraId="31954AC8">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根据投标人提供的针对本项目的</w:t>
            </w:r>
            <w:r>
              <w:rPr>
                <w:rFonts w:hint="default" w:ascii="Times New Roman" w:hAnsi="Times New Roman" w:eastAsia="宋体" w:cs="Times New Roman"/>
                <w:color w:val="auto"/>
                <w:sz w:val="21"/>
                <w:szCs w:val="21"/>
                <w:highlight w:val="none"/>
                <w:lang w:val="en-US" w:eastAsia="zh-Hans"/>
              </w:rPr>
              <w:t>应急</w:t>
            </w:r>
            <w:r>
              <w:rPr>
                <w:rFonts w:hint="default" w:ascii="Times New Roman" w:hAnsi="Times New Roman" w:eastAsia="宋体" w:cs="Times New Roman"/>
                <w:color w:val="auto"/>
                <w:sz w:val="21"/>
                <w:szCs w:val="21"/>
                <w:highlight w:val="none"/>
                <w:lang w:val="en-US" w:eastAsia="zh-CN"/>
              </w:rPr>
              <w:t xml:space="preserve">保障措施进行评议： </w:t>
            </w:r>
          </w:p>
          <w:p w14:paraId="72FD570F">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1、提供</w:t>
            </w:r>
            <w:r>
              <w:rPr>
                <w:rFonts w:hint="default" w:ascii="Times New Roman" w:hAnsi="Times New Roman" w:eastAsia="宋体" w:cs="Times New Roman"/>
                <w:color w:val="auto"/>
                <w:sz w:val="21"/>
                <w:szCs w:val="21"/>
                <w:highlight w:val="none"/>
                <w:lang w:val="en-US" w:eastAsia="zh-Hans"/>
              </w:rPr>
              <w:t>应急</w:t>
            </w:r>
            <w:r>
              <w:rPr>
                <w:rFonts w:hint="default" w:ascii="Times New Roman" w:hAnsi="Times New Roman" w:eastAsia="宋体" w:cs="Times New Roman"/>
                <w:color w:val="auto"/>
                <w:sz w:val="21"/>
                <w:szCs w:val="21"/>
                <w:highlight w:val="none"/>
                <w:lang w:val="en-US" w:eastAsia="zh-CN"/>
              </w:rPr>
              <w:t xml:space="preserve">保障措施的得 1 分； </w:t>
            </w:r>
          </w:p>
          <w:p w14:paraId="37B5923E">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lang w:val="en-US" w:eastAsia="zh-Hans"/>
              </w:rPr>
              <w:t>应急</w:t>
            </w:r>
            <w:r>
              <w:rPr>
                <w:rFonts w:hint="default" w:ascii="Times New Roman" w:hAnsi="Times New Roman" w:eastAsia="宋体" w:cs="Times New Roman"/>
                <w:color w:val="auto"/>
                <w:sz w:val="21"/>
                <w:szCs w:val="21"/>
                <w:highlight w:val="none"/>
                <w:lang w:val="en-US" w:eastAsia="zh-CN"/>
              </w:rPr>
              <w:t>保障</w:t>
            </w:r>
            <w:r>
              <w:rPr>
                <w:rFonts w:hint="default" w:ascii="Times New Roman" w:hAnsi="Times New Roman" w:eastAsia="宋体" w:cs="Times New Roman"/>
                <w:color w:val="auto"/>
                <w:sz w:val="21"/>
                <w:szCs w:val="21"/>
                <w:highlight w:val="none"/>
                <w:lang w:val="en-US" w:eastAsia="zh-Hans"/>
              </w:rPr>
              <w:t>措施分工明确</w:t>
            </w:r>
            <w:r>
              <w:rPr>
                <w:rFonts w:hint="eastAsia" w:ascii="Times New Roman" w:hAnsi="Times New Roman"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措施针对本项目制定具有针对性有利于本项目实施且保障到位的</w:t>
            </w:r>
            <w:r>
              <w:rPr>
                <w:rFonts w:hint="eastAsia" w:ascii="Times New Roman" w:hAnsi="Times New Roman"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 xml:space="preserve">每具备一项得 2 分，最多得 4 分。 </w:t>
            </w:r>
          </w:p>
        </w:tc>
        <w:tc>
          <w:tcPr>
            <w:tcW w:w="709" w:type="dxa"/>
            <w:noWrap w:val="0"/>
            <w:vAlign w:val="center"/>
          </w:tcPr>
          <w:p w14:paraId="5410AEE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5</w:t>
            </w:r>
          </w:p>
        </w:tc>
      </w:tr>
      <w:tr w14:paraId="3111D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center"/>
          </w:tcPr>
          <w:p w14:paraId="7EEF6E12">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2E58F30C">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售后</w:t>
            </w:r>
            <w:r>
              <w:rPr>
                <w:rFonts w:hint="default" w:ascii="Times New Roman" w:hAnsi="Times New Roman" w:eastAsia="宋体" w:cs="Times New Roman"/>
                <w:color w:val="auto"/>
                <w:sz w:val="21"/>
                <w:szCs w:val="21"/>
                <w:highlight w:val="none"/>
              </w:rPr>
              <w:t>服务</w:t>
            </w:r>
          </w:p>
        </w:tc>
        <w:tc>
          <w:tcPr>
            <w:tcW w:w="7371" w:type="dxa"/>
            <w:noWrap w:val="0"/>
            <w:vAlign w:val="center"/>
          </w:tcPr>
          <w:p w14:paraId="77081394">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1、设有利于</w:t>
            </w:r>
            <w:r>
              <w:rPr>
                <w:rFonts w:hint="eastAsia" w:ascii="Times New Roman" w:hAnsi="Times New Roman" w:cs="Times New Roman"/>
                <w:color w:val="auto"/>
                <w:sz w:val="21"/>
                <w:szCs w:val="21"/>
                <w:highlight w:val="none"/>
                <w:lang w:val="en-US" w:eastAsia="zh-CN"/>
              </w:rPr>
              <w:t>采购</w:t>
            </w:r>
            <w:r>
              <w:rPr>
                <w:rFonts w:hint="default" w:ascii="Times New Roman" w:hAnsi="Times New Roman" w:eastAsia="宋体" w:cs="Times New Roman"/>
                <w:color w:val="auto"/>
                <w:sz w:val="21"/>
                <w:szCs w:val="21"/>
                <w:highlight w:val="none"/>
                <w:lang w:eastAsia="zh-CN"/>
              </w:rPr>
              <w:t>人</w:t>
            </w:r>
            <w:r>
              <w:rPr>
                <w:rFonts w:hint="default" w:ascii="Times New Roman" w:hAnsi="Times New Roman" w:eastAsia="宋体" w:cs="Times New Roman"/>
                <w:color w:val="auto"/>
                <w:sz w:val="21"/>
                <w:szCs w:val="21"/>
                <w:highlight w:val="none"/>
                <w:lang w:val="en-US" w:eastAsia="zh-CN"/>
              </w:rPr>
              <w:t xml:space="preserve">的售后服务机构及组织构架的得 </w:t>
            </w:r>
            <w:r>
              <w:rPr>
                <w:rFonts w:hint="eastAsia" w:ascii="Times New Roman" w:hAnsi="Times New Roman" w:cs="Times New Roman"/>
                <w:color w:val="auto"/>
                <w:sz w:val="21"/>
                <w:szCs w:val="21"/>
                <w:highlight w:val="none"/>
                <w:lang w:val="en-US" w:eastAsia="zh-CN"/>
              </w:rPr>
              <w:t>1.5</w:t>
            </w:r>
            <w:r>
              <w:rPr>
                <w:rFonts w:hint="default" w:ascii="Times New Roman" w:hAnsi="Times New Roman" w:eastAsia="宋体" w:cs="Times New Roman"/>
                <w:color w:val="auto"/>
                <w:sz w:val="21"/>
                <w:szCs w:val="21"/>
                <w:highlight w:val="none"/>
                <w:lang w:val="en-US" w:eastAsia="zh-CN"/>
              </w:rPr>
              <w:t xml:space="preserve"> 分； </w:t>
            </w:r>
          </w:p>
          <w:p w14:paraId="64B83CF4">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2、具有针对性措施的得 </w:t>
            </w:r>
            <w:r>
              <w:rPr>
                <w:rFonts w:hint="eastAsia" w:ascii="Times New Roman" w:hAnsi="Times New Roman" w:cs="Times New Roman"/>
                <w:color w:val="auto"/>
                <w:sz w:val="21"/>
                <w:szCs w:val="21"/>
                <w:highlight w:val="none"/>
                <w:lang w:val="en-US" w:eastAsia="zh-CN"/>
              </w:rPr>
              <w:t>1.5</w:t>
            </w:r>
            <w:r>
              <w:rPr>
                <w:rFonts w:hint="default" w:ascii="Times New Roman" w:hAnsi="Times New Roman" w:eastAsia="宋体" w:cs="Times New Roman"/>
                <w:color w:val="auto"/>
                <w:sz w:val="21"/>
                <w:szCs w:val="21"/>
                <w:highlight w:val="none"/>
                <w:lang w:val="en-US" w:eastAsia="zh-CN"/>
              </w:rPr>
              <w:t xml:space="preserve"> 分； </w:t>
            </w:r>
          </w:p>
          <w:p w14:paraId="3885766B">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 xml:space="preserve">3、距离服务地点近（30 分钟内到达）的，得 </w:t>
            </w:r>
            <w:r>
              <w:rPr>
                <w:rFonts w:hint="eastAsia" w:ascii="Times New Roman" w:hAnsi="Times New Roman"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lang w:val="en-US" w:eastAsia="zh-CN"/>
              </w:rPr>
              <w:t xml:space="preserve"> 分；距离服务地点距离远（30 分钟以上 60 分钟以内到达）的，得 1 分；其他不得分。（投标文件中提供证明材料</w:t>
            </w:r>
            <w:r>
              <w:rPr>
                <w:rFonts w:hint="default" w:ascii="Times New Roman" w:hAnsi="Times New Roman" w:eastAsia="宋体" w:cs="Times New Roman"/>
                <w:color w:val="auto"/>
                <w:sz w:val="21"/>
                <w:szCs w:val="21"/>
                <w:highlight w:val="none"/>
                <w:lang w:eastAsia="zh-CN"/>
              </w:rPr>
              <w:t>）</w:t>
            </w:r>
          </w:p>
        </w:tc>
        <w:tc>
          <w:tcPr>
            <w:tcW w:w="709" w:type="dxa"/>
            <w:noWrap w:val="0"/>
            <w:vAlign w:val="center"/>
          </w:tcPr>
          <w:p w14:paraId="2AA3D003">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6</w:t>
            </w:r>
          </w:p>
        </w:tc>
      </w:tr>
      <w:tr w14:paraId="2B93E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top"/>
          </w:tcPr>
          <w:p w14:paraId="6CCFC672">
            <w:pPr>
              <w:keepNext w:val="0"/>
              <w:keepLines w:val="0"/>
              <w:pageBreakBefore w:val="0"/>
              <w:kinsoku/>
              <w:wordWrap/>
              <w:overflowPunct/>
              <w:topLinePunct w:val="0"/>
              <w:autoSpaceDE/>
              <w:autoSpaceDN/>
              <w:bidi w:val="0"/>
              <w:adjustRightInd/>
              <w:snapToGrid/>
              <w:spacing w:line="400" w:lineRule="exact"/>
              <w:ind w:firstLine="105" w:firstLineChars="50"/>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688AA46C">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人员配备</w:t>
            </w:r>
          </w:p>
          <w:p w14:paraId="6FD25923">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情况</w:t>
            </w:r>
          </w:p>
        </w:tc>
        <w:tc>
          <w:tcPr>
            <w:tcW w:w="7371" w:type="dxa"/>
            <w:noWrap w:val="0"/>
            <w:vAlign w:val="center"/>
          </w:tcPr>
          <w:p w14:paraId="5508E2C5">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评委对人员配备（项目</w:t>
            </w:r>
            <w:r>
              <w:rPr>
                <w:rFonts w:hint="default" w:ascii="Times New Roman" w:hAnsi="Times New Roman" w:eastAsia="宋体" w:cs="Times New Roman"/>
                <w:color w:val="auto"/>
                <w:sz w:val="21"/>
                <w:szCs w:val="21"/>
                <w:highlight w:val="none"/>
                <w:lang w:val="en-US" w:eastAsia="zh-Hans"/>
              </w:rPr>
              <w:t>负责人</w:t>
            </w:r>
            <w:r>
              <w:rPr>
                <w:rFonts w:hint="default" w:ascii="Times New Roman" w:hAnsi="Times New Roman" w:eastAsia="宋体" w:cs="Times New Roman"/>
                <w:color w:val="auto"/>
                <w:sz w:val="21"/>
                <w:szCs w:val="21"/>
                <w:highlight w:val="none"/>
                <w:lang w:val="en-US" w:eastAsia="zh-CN"/>
              </w:rPr>
              <w:t>除外）进行评议：①拟派项目人员配备齐整优于需求的</w:t>
            </w:r>
            <w:r>
              <w:rPr>
                <w:rFonts w:hint="eastAsia" w:ascii="Times New Roman" w:hAnsi="Times New Roman" w:cs="Times New Roman"/>
                <w:color w:val="auto"/>
                <w:sz w:val="21"/>
                <w:szCs w:val="21"/>
                <w:highlight w:val="none"/>
                <w:lang w:val="en-US" w:eastAsia="zh-CN"/>
              </w:rPr>
              <w:t>得1.5分</w:t>
            </w:r>
            <w:r>
              <w:rPr>
                <w:rFonts w:hint="default" w:ascii="Times New Roman" w:hAnsi="Times New Roman" w:eastAsia="宋体" w:cs="Times New Roman"/>
                <w:color w:val="auto"/>
                <w:sz w:val="21"/>
                <w:szCs w:val="21"/>
                <w:highlight w:val="none"/>
                <w:lang w:val="en-US" w:eastAsia="zh-CN"/>
              </w:rPr>
              <w:t>；②工作经验丰富的</w:t>
            </w:r>
            <w:r>
              <w:rPr>
                <w:rFonts w:hint="eastAsia" w:ascii="Times New Roman" w:hAnsi="Times New Roman" w:cs="Times New Roman"/>
                <w:color w:val="auto"/>
                <w:sz w:val="21"/>
                <w:szCs w:val="21"/>
                <w:highlight w:val="none"/>
                <w:lang w:val="en-US" w:eastAsia="zh-CN"/>
              </w:rPr>
              <w:t>得1分</w:t>
            </w:r>
            <w:r>
              <w:rPr>
                <w:rFonts w:hint="default" w:ascii="Times New Roman" w:hAnsi="Times New Roman" w:eastAsia="宋体" w:cs="Times New Roman"/>
                <w:color w:val="auto"/>
                <w:sz w:val="21"/>
                <w:szCs w:val="21"/>
                <w:highlight w:val="none"/>
                <w:lang w:val="en-US" w:eastAsia="zh-CN"/>
              </w:rPr>
              <w:t>；③工作内容分配合理的</w:t>
            </w:r>
            <w:r>
              <w:rPr>
                <w:rFonts w:hint="eastAsia" w:ascii="Times New Roman" w:hAnsi="Times New Roman" w:cs="Times New Roman"/>
                <w:color w:val="auto"/>
                <w:sz w:val="21"/>
                <w:szCs w:val="21"/>
                <w:highlight w:val="none"/>
                <w:lang w:val="en-US" w:eastAsia="zh-CN"/>
              </w:rPr>
              <w:t>得1.5分；</w:t>
            </w:r>
            <w:r>
              <w:rPr>
                <w:rFonts w:hint="default" w:ascii="Times New Roman" w:hAnsi="Times New Roman" w:eastAsia="宋体" w:cs="Times New Roman"/>
                <w:color w:val="auto"/>
                <w:sz w:val="21"/>
                <w:szCs w:val="21"/>
                <w:highlight w:val="none"/>
                <w:lang w:val="en-US" w:eastAsia="zh-CN"/>
              </w:rPr>
              <w:t>④岗位设置明确的</w:t>
            </w:r>
            <w:r>
              <w:rPr>
                <w:rFonts w:hint="eastAsia" w:ascii="Times New Roman" w:hAnsi="Times New Roman" w:cs="Times New Roman"/>
                <w:color w:val="auto"/>
                <w:sz w:val="21"/>
                <w:szCs w:val="21"/>
                <w:highlight w:val="none"/>
                <w:lang w:val="en-US" w:eastAsia="zh-CN"/>
              </w:rPr>
              <w:t>得1分。上述四项不具备的均</w:t>
            </w:r>
            <w:r>
              <w:rPr>
                <w:rFonts w:hint="default" w:ascii="Times New Roman" w:hAnsi="Times New Roman" w:eastAsia="宋体" w:cs="Times New Roman"/>
                <w:color w:val="auto"/>
                <w:sz w:val="21"/>
                <w:szCs w:val="21"/>
                <w:highlight w:val="none"/>
                <w:lang w:val="en-US" w:eastAsia="zh-CN"/>
              </w:rPr>
              <w:t>不得分。</w:t>
            </w:r>
          </w:p>
          <w:p w14:paraId="5798BE6E">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注：投标文件中提供</w:t>
            </w:r>
            <w:r>
              <w:rPr>
                <w:rFonts w:hint="eastAsia" w:ascii="Times New Roman" w:hAnsi="Times New Roman" w:cs="Times New Roman"/>
                <w:color w:val="auto"/>
                <w:sz w:val="21"/>
                <w:szCs w:val="21"/>
                <w:highlight w:val="none"/>
                <w:lang w:val="en-US" w:eastAsia="zh-CN"/>
              </w:rPr>
              <w:t>供应商</w:t>
            </w:r>
            <w:r>
              <w:rPr>
                <w:rFonts w:hint="default" w:ascii="Times New Roman" w:hAnsi="Times New Roman" w:eastAsia="宋体" w:cs="Times New Roman"/>
                <w:color w:val="auto"/>
                <w:sz w:val="21"/>
                <w:szCs w:val="21"/>
                <w:highlight w:val="none"/>
                <w:lang w:val="en-US" w:eastAsia="zh-CN"/>
              </w:rPr>
              <w:t>近三个月（2024年</w:t>
            </w:r>
            <w:r>
              <w:rPr>
                <w:rFonts w:hint="eastAsia" w:ascii="Times New Roman" w:hAnsi="Times New Roman" w:cs="Times New Roman"/>
                <w:color w:val="auto"/>
                <w:sz w:val="21"/>
                <w:szCs w:val="21"/>
                <w:highlight w:val="none"/>
                <w:lang w:val="en-US" w:eastAsia="zh-CN"/>
              </w:rPr>
              <w:t>12</w:t>
            </w:r>
            <w:r>
              <w:rPr>
                <w:rFonts w:hint="default" w:ascii="Times New Roman" w:hAnsi="Times New Roman" w:eastAsia="宋体" w:cs="Times New Roman"/>
                <w:color w:val="auto"/>
                <w:sz w:val="21"/>
                <w:szCs w:val="21"/>
                <w:highlight w:val="none"/>
                <w:lang w:val="en-US" w:eastAsia="zh-CN"/>
              </w:rPr>
              <w:t>月、</w:t>
            </w:r>
            <w:r>
              <w:rPr>
                <w:rFonts w:hint="eastAsia" w:ascii="Times New Roman" w:hAnsi="Times New Roman" w:cs="Times New Roman"/>
                <w:color w:val="auto"/>
                <w:sz w:val="21"/>
                <w:szCs w:val="21"/>
                <w:highlight w:val="none"/>
                <w:lang w:val="en-US" w:eastAsia="zh-CN"/>
              </w:rPr>
              <w:t>2025年0</w:t>
            </w:r>
            <w:r>
              <w:rPr>
                <w:rFonts w:hint="default" w:ascii="Times New Roman" w:hAnsi="Times New Roman" w:eastAsia="宋体" w:cs="Times New Roman"/>
                <w:color w:val="auto"/>
                <w:sz w:val="21"/>
                <w:szCs w:val="21"/>
                <w:highlight w:val="none"/>
                <w:lang w:val="en-US" w:eastAsia="zh-CN"/>
              </w:rPr>
              <w:t>1月、</w:t>
            </w:r>
            <w:r>
              <w:rPr>
                <w:rFonts w:hint="eastAsia" w:ascii="Times New Roman" w:hAnsi="Times New Roman" w:cs="Times New Roman"/>
                <w:color w:val="auto"/>
                <w:sz w:val="21"/>
                <w:szCs w:val="21"/>
                <w:highlight w:val="none"/>
                <w:lang w:val="en-US" w:eastAsia="zh-CN"/>
              </w:rPr>
              <w:t>0</w:t>
            </w:r>
            <w:r>
              <w:rPr>
                <w:rFonts w:hint="default" w:ascii="Times New Roman" w:hAnsi="Times New Roman" w:eastAsia="宋体" w:cs="Times New Roman"/>
                <w:color w:val="auto"/>
                <w:sz w:val="21"/>
                <w:szCs w:val="21"/>
                <w:highlight w:val="none"/>
                <w:lang w:val="en-US" w:eastAsia="zh-CN"/>
              </w:rPr>
              <w:t>2月）为相关人员缴纳社保的证明材料并加盖公章及各类证书扫描件等相关证明材料，未提供的不得分。</w:t>
            </w:r>
          </w:p>
        </w:tc>
        <w:tc>
          <w:tcPr>
            <w:tcW w:w="709" w:type="dxa"/>
            <w:noWrap w:val="0"/>
            <w:vAlign w:val="center"/>
          </w:tcPr>
          <w:p w14:paraId="6C6DCC1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Times New Roman" w:hAnsi="Times New Roman" w:eastAsia="宋体" w:cs="Times New Roman"/>
                <w:color w:val="auto"/>
                <w:sz w:val="21"/>
                <w:szCs w:val="21"/>
                <w:highlight w:val="none"/>
                <w:lang w:eastAsia="zh-CN"/>
              </w:rPr>
            </w:pPr>
            <w:r>
              <w:rPr>
                <w:rFonts w:hint="eastAsia" w:ascii="Times New Roman" w:hAnsi="Times New Roman" w:cs="Times New Roman"/>
                <w:color w:val="auto"/>
                <w:sz w:val="21"/>
                <w:szCs w:val="21"/>
                <w:highlight w:val="none"/>
                <w:lang w:val="en-US" w:eastAsia="zh-CN"/>
              </w:rPr>
              <w:t>5</w:t>
            </w:r>
          </w:p>
        </w:tc>
      </w:tr>
      <w:tr w14:paraId="738D9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top"/>
          </w:tcPr>
          <w:p w14:paraId="09D04ED0">
            <w:pPr>
              <w:keepNext w:val="0"/>
              <w:keepLines w:val="0"/>
              <w:pageBreakBefore w:val="0"/>
              <w:kinsoku/>
              <w:wordWrap/>
              <w:overflowPunct/>
              <w:topLinePunct w:val="0"/>
              <w:autoSpaceDE/>
              <w:autoSpaceDN/>
              <w:bidi w:val="0"/>
              <w:adjustRightInd/>
              <w:snapToGrid/>
              <w:spacing w:line="400" w:lineRule="exact"/>
              <w:ind w:firstLine="105" w:firstLineChars="50"/>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090651BC">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业绩</w:t>
            </w:r>
          </w:p>
        </w:tc>
        <w:tc>
          <w:tcPr>
            <w:tcW w:w="7371" w:type="dxa"/>
            <w:noWrap w:val="0"/>
            <w:vAlign w:val="center"/>
          </w:tcPr>
          <w:p w14:paraId="740E6604">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自202</w:t>
            </w:r>
            <w:r>
              <w:rPr>
                <w:rFonts w:hint="eastAsia" w:ascii="Times New Roman" w:hAnsi="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年01月01日以来（以合同签订日期为准），</w:t>
            </w:r>
            <w:r>
              <w:rPr>
                <w:rFonts w:hint="eastAsia" w:ascii="Times New Roman" w:hAnsi="Times New Roman" w:cs="Times New Roman"/>
                <w:color w:val="auto"/>
                <w:sz w:val="21"/>
                <w:szCs w:val="21"/>
                <w:highlight w:val="none"/>
                <w:lang w:val="en-US" w:eastAsia="zh-CN"/>
              </w:rPr>
              <w:t>供应商</w:t>
            </w:r>
            <w:r>
              <w:rPr>
                <w:rFonts w:hint="default" w:ascii="Times New Roman" w:hAnsi="Times New Roman" w:eastAsia="宋体" w:cs="Times New Roman"/>
                <w:color w:val="auto"/>
                <w:sz w:val="21"/>
                <w:szCs w:val="21"/>
                <w:highlight w:val="none"/>
              </w:rPr>
              <w:t>具有</w:t>
            </w:r>
            <w:r>
              <w:rPr>
                <w:rFonts w:hint="default" w:ascii="Times New Roman" w:hAnsi="Times New Roman" w:eastAsia="宋体" w:cs="Times New Roman"/>
                <w:color w:val="auto"/>
                <w:sz w:val="21"/>
                <w:szCs w:val="21"/>
                <w:highlight w:val="none"/>
                <w:lang w:val="en-US" w:eastAsia="zh-Hans"/>
              </w:rPr>
              <w:t>房屋建筑设备设施维修业绩</w:t>
            </w:r>
            <w:r>
              <w:rPr>
                <w:rFonts w:hint="default" w:ascii="Times New Roman" w:hAnsi="Times New Roman" w:eastAsia="宋体" w:cs="Times New Roman"/>
                <w:color w:val="auto"/>
                <w:sz w:val="21"/>
                <w:szCs w:val="21"/>
                <w:highlight w:val="none"/>
              </w:rPr>
              <w:t>的每个得1分，最多得2分。</w:t>
            </w:r>
          </w:p>
          <w:p w14:paraId="7E18BA0F">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注：响应文件中提供合同复印件并加盖公章。</w:t>
            </w:r>
          </w:p>
        </w:tc>
        <w:tc>
          <w:tcPr>
            <w:tcW w:w="709" w:type="dxa"/>
            <w:noWrap w:val="0"/>
            <w:vAlign w:val="center"/>
          </w:tcPr>
          <w:p w14:paraId="1DB232D2">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w:t>
            </w:r>
          </w:p>
        </w:tc>
      </w:tr>
      <w:tr w14:paraId="54F2F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4" w:type="dxa"/>
            <w:vMerge w:val="continue"/>
            <w:noWrap w:val="0"/>
            <w:vAlign w:val="top"/>
          </w:tcPr>
          <w:p w14:paraId="4CF5E11A">
            <w:pPr>
              <w:keepNext w:val="0"/>
              <w:keepLines w:val="0"/>
              <w:pageBreakBefore w:val="0"/>
              <w:kinsoku/>
              <w:wordWrap/>
              <w:overflowPunct/>
              <w:topLinePunct w:val="0"/>
              <w:autoSpaceDE/>
              <w:autoSpaceDN/>
              <w:bidi w:val="0"/>
              <w:adjustRightInd/>
              <w:snapToGrid/>
              <w:spacing w:line="400" w:lineRule="exact"/>
              <w:ind w:firstLine="105" w:firstLineChars="50"/>
              <w:textAlignment w:val="auto"/>
              <w:rPr>
                <w:rFonts w:hint="default" w:ascii="Times New Roman" w:hAnsi="Times New Roman" w:eastAsia="宋体" w:cs="Times New Roman"/>
                <w:color w:val="auto"/>
                <w:sz w:val="21"/>
                <w:szCs w:val="21"/>
                <w:highlight w:val="none"/>
              </w:rPr>
            </w:pPr>
          </w:p>
        </w:tc>
        <w:tc>
          <w:tcPr>
            <w:tcW w:w="1181" w:type="dxa"/>
            <w:noWrap w:val="0"/>
            <w:vAlign w:val="center"/>
          </w:tcPr>
          <w:p w14:paraId="7503D195">
            <w:pPr>
              <w:keepNext w:val="0"/>
              <w:keepLines w:val="0"/>
              <w:pageBreakBefore w:val="0"/>
              <w:tabs>
                <w:tab w:val="right" w:pos="4959"/>
              </w:tabs>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政策加分</w:t>
            </w:r>
          </w:p>
        </w:tc>
        <w:tc>
          <w:tcPr>
            <w:tcW w:w="7371" w:type="dxa"/>
            <w:noWrap w:val="0"/>
            <w:vAlign w:val="center"/>
          </w:tcPr>
          <w:p w14:paraId="2F306839">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投标人是国家认定的少数民族地区企业的加1分。</w:t>
            </w:r>
          </w:p>
        </w:tc>
        <w:tc>
          <w:tcPr>
            <w:tcW w:w="709" w:type="dxa"/>
            <w:noWrap w:val="0"/>
            <w:vAlign w:val="center"/>
          </w:tcPr>
          <w:p w14:paraId="290A261E">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r>
      <w:tr w14:paraId="6ADE1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624" w:type="dxa"/>
            <w:noWrap w:val="0"/>
            <w:vAlign w:val="center"/>
          </w:tcPr>
          <w:p w14:paraId="29C9E73C">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价格</w:t>
            </w:r>
            <w:r>
              <w:rPr>
                <w:rFonts w:hint="default" w:ascii="Times New Roman" w:hAnsi="Times New Roman" w:eastAsia="宋体" w:cs="Times New Roman"/>
                <w:color w:val="auto"/>
                <w:sz w:val="21"/>
                <w:szCs w:val="21"/>
                <w:highlight w:val="none"/>
                <w:lang w:val="en-US" w:eastAsia="zh-CN"/>
              </w:rPr>
              <w:t>35</w:t>
            </w:r>
            <w:r>
              <w:rPr>
                <w:rFonts w:hint="default" w:ascii="Times New Roman" w:hAnsi="Times New Roman" w:eastAsia="宋体" w:cs="Times New Roman"/>
                <w:color w:val="auto"/>
                <w:sz w:val="21"/>
                <w:szCs w:val="21"/>
                <w:highlight w:val="none"/>
                <w:lang w:val="en-US" w:eastAsia="zh-Hans"/>
              </w:rPr>
              <w:t>分</w:t>
            </w:r>
          </w:p>
        </w:tc>
        <w:tc>
          <w:tcPr>
            <w:tcW w:w="8552" w:type="dxa"/>
            <w:gridSpan w:val="2"/>
            <w:noWrap w:val="0"/>
            <w:vAlign w:val="center"/>
          </w:tcPr>
          <w:p w14:paraId="0E824352">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满足磋商文件要求且参与评审的最终综合折扣率最低的价格为磋商基准价，其价格分为满分。其他供应商的价格分统一按照下列公式计算：</w:t>
            </w:r>
          </w:p>
          <w:p w14:paraId="0F0E94FC">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参与评审价格=投标价格</w:t>
            </w:r>
          </w:p>
          <w:p w14:paraId="34064330">
            <w:pPr>
              <w:keepNext w:val="0"/>
              <w:keepLines w:val="0"/>
              <w:pageBreakBefore w:val="0"/>
              <w:tabs>
                <w:tab w:val="right" w:pos="4959"/>
              </w:tabs>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 xml:space="preserve">磋商报价得分=（磋商基准价/参与评审的最终综合折扣率）×价格权值×100 </w:t>
            </w:r>
          </w:p>
        </w:tc>
        <w:tc>
          <w:tcPr>
            <w:tcW w:w="709" w:type="dxa"/>
            <w:noWrap w:val="0"/>
            <w:vAlign w:val="center"/>
          </w:tcPr>
          <w:p w14:paraId="1F635071">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35</w:t>
            </w:r>
          </w:p>
        </w:tc>
      </w:tr>
      <w:tr w14:paraId="2F3A4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9176" w:type="dxa"/>
            <w:gridSpan w:val="3"/>
            <w:noWrap w:val="0"/>
            <w:vAlign w:val="center"/>
          </w:tcPr>
          <w:p w14:paraId="6C7520D6">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 xml:space="preserve">总分（100分） </w:t>
            </w:r>
          </w:p>
        </w:tc>
        <w:tc>
          <w:tcPr>
            <w:tcW w:w="709" w:type="dxa"/>
            <w:noWrap w:val="0"/>
            <w:vAlign w:val="center"/>
          </w:tcPr>
          <w:p w14:paraId="0AA8D33C">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宋体" w:cs="Times New Roman"/>
                <w:color w:val="auto"/>
                <w:sz w:val="21"/>
                <w:szCs w:val="21"/>
                <w:highlight w:val="none"/>
              </w:rPr>
            </w:pPr>
          </w:p>
        </w:tc>
      </w:tr>
    </w:tbl>
    <w:p w14:paraId="7841A754">
      <w:pPr>
        <w:shd w:val="clear"/>
        <w:snapToGrid w:val="0"/>
        <w:spacing w:line="440" w:lineRule="exact"/>
        <w:ind w:firstLine="422" w:firstLineChars="200"/>
        <w:rPr>
          <w:rFonts w:asciiTheme="minorEastAsia" w:hAnsiTheme="minorEastAsia" w:eastAsiaTheme="minorEastAsia" w:cstheme="minorEastAsia"/>
          <w:b/>
          <w:color w:val="auto"/>
          <w:kern w:val="0"/>
          <w:szCs w:val="21"/>
          <w:highlight w:val="none"/>
          <w:lang w:val="zh-CN"/>
        </w:rPr>
      </w:pPr>
      <w:r>
        <w:rPr>
          <w:rFonts w:hint="eastAsia" w:asciiTheme="minorEastAsia" w:hAnsiTheme="minorEastAsia" w:eastAsiaTheme="minorEastAsia" w:cstheme="minorEastAsia"/>
          <w:b/>
          <w:color w:val="auto"/>
          <w:szCs w:val="21"/>
          <w:highlight w:val="none"/>
        </w:rPr>
        <w:t>备注：</w:t>
      </w:r>
      <w:r>
        <w:rPr>
          <w:rFonts w:hint="eastAsia" w:asciiTheme="minorEastAsia" w:hAnsiTheme="minorEastAsia" w:eastAsiaTheme="minorEastAsia" w:cstheme="minorEastAsia"/>
          <w:color w:val="auto"/>
          <w:kern w:val="0"/>
          <w:szCs w:val="21"/>
          <w:highlight w:val="none"/>
          <w:lang w:val="zh-CN"/>
        </w:rPr>
        <w:t>供应商编制响应文件（商务技术文件部分）时，建议按此目录（序号和内容）提供评标标准相应的商务技术资料。</w:t>
      </w:r>
    </w:p>
    <w:p w14:paraId="699F2F39">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一、评审方法</w:t>
      </w:r>
    </w:p>
    <w:bookmarkEnd w:id="13"/>
    <w:p w14:paraId="2DE16BC8">
      <w:pPr>
        <w:shd w:val="clear"/>
        <w:spacing w:line="360" w:lineRule="auto"/>
        <w:ind w:firstLine="413" w:firstLineChars="196"/>
        <w:rPr>
          <w:rFonts w:asciiTheme="minorEastAsia" w:hAnsiTheme="minorEastAsia" w:eastAsiaTheme="minorEastAsia" w:cstheme="minorEastAsia"/>
          <w:color w:val="auto"/>
          <w:kern w:val="0"/>
          <w:szCs w:val="21"/>
          <w:highlight w:val="none"/>
        </w:rPr>
      </w:pPr>
      <w:bookmarkStart w:id="381" w:name="第五部分"/>
      <w:bookmarkStart w:id="382" w:name="_Toc86217003"/>
      <w:r>
        <w:rPr>
          <w:rFonts w:hint="eastAsia" w:asciiTheme="minorEastAsia" w:hAnsiTheme="minorEastAsia" w:eastAsiaTheme="minorEastAsia" w:cstheme="minorEastAsia"/>
          <w:b/>
          <w:color w:val="auto"/>
          <w:kern w:val="0"/>
          <w:szCs w:val="21"/>
          <w:highlight w:val="none"/>
        </w:rPr>
        <w:t>1.本项目采用综合评分法。</w:t>
      </w:r>
      <w:r>
        <w:rPr>
          <w:rFonts w:hint="eastAsia" w:asciiTheme="minorEastAsia" w:hAnsiTheme="minorEastAsia" w:eastAsiaTheme="minorEastAsia" w:cstheme="minorEastAsia"/>
          <w:color w:val="auto"/>
          <w:kern w:val="0"/>
          <w:szCs w:val="21"/>
          <w:highlight w:val="none"/>
        </w:rPr>
        <w:t>综合评分法，是指响应文件满足</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文件全部实质性要求，且按照评审因素的量化指标评审得分最高的</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为成交候选供应商的评标方法。</w:t>
      </w:r>
    </w:p>
    <w:p w14:paraId="6EFEBB9E">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二、评审标准</w:t>
      </w:r>
    </w:p>
    <w:p w14:paraId="735E14CE">
      <w:pPr>
        <w:shd w:val="clear"/>
        <w:spacing w:line="360" w:lineRule="auto"/>
        <w:ind w:firstLine="413" w:firstLineChars="196"/>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2.</w:t>
      </w:r>
      <w:r>
        <w:rPr>
          <w:rFonts w:hint="eastAsia" w:asciiTheme="minorEastAsia" w:hAnsiTheme="minorEastAsia" w:eastAsiaTheme="minorEastAsia" w:cstheme="minorEastAsia"/>
          <w:color w:val="auto"/>
          <w:szCs w:val="21"/>
          <w:highlight w:val="none"/>
        </w:rPr>
        <w:t xml:space="preserve"> </w:t>
      </w:r>
      <w:r>
        <w:rPr>
          <w:rFonts w:hint="eastAsia" w:asciiTheme="minorEastAsia" w:hAnsiTheme="minorEastAsia" w:eastAsiaTheme="minorEastAsia" w:cstheme="minorEastAsia"/>
          <w:b/>
          <w:color w:val="auto"/>
          <w:szCs w:val="21"/>
          <w:highlight w:val="none"/>
        </w:rPr>
        <w:t>评审标准：</w:t>
      </w:r>
      <w:r>
        <w:rPr>
          <w:rFonts w:hint="eastAsia" w:asciiTheme="minorEastAsia" w:hAnsiTheme="minorEastAsia" w:eastAsiaTheme="minorEastAsia" w:cstheme="minorEastAsia"/>
          <w:color w:val="auto"/>
          <w:kern w:val="0"/>
          <w:szCs w:val="21"/>
          <w:highlight w:val="none"/>
        </w:rPr>
        <w:t>见评审办法前附表。</w:t>
      </w:r>
    </w:p>
    <w:p w14:paraId="1E0C6BA3">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三、评审程序</w:t>
      </w:r>
    </w:p>
    <w:p w14:paraId="0879058F">
      <w:pPr>
        <w:shd w:val="clear"/>
        <w:spacing w:line="360" w:lineRule="auto"/>
        <w:ind w:firstLine="422"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kern w:val="0"/>
          <w:szCs w:val="21"/>
          <w:highlight w:val="none"/>
        </w:rPr>
        <w:t>3.1 符合性审查。</w:t>
      </w:r>
      <w:r>
        <w:rPr>
          <w:rFonts w:hint="eastAsia" w:asciiTheme="minorEastAsia" w:hAnsiTheme="minorEastAsia" w:eastAsiaTheme="minorEastAsia" w:cstheme="minorEastAsia"/>
          <w:color w:val="auto"/>
          <w:kern w:val="0"/>
          <w:szCs w:val="21"/>
          <w:highlight w:val="none"/>
        </w:rPr>
        <w:t>磋商小组应当对符合资格的</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的响应文件进行符合性审查，以确定其是否满足</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文件的实质性要求。不满足</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文件的实质性要求的，响应无效。</w:t>
      </w:r>
    </w:p>
    <w:p w14:paraId="144748A8">
      <w:pPr>
        <w:shd w:val="clear"/>
        <w:spacing w:line="360" w:lineRule="auto"/>
        <w:ind w:firstLine="422" w:firstLineChars="200"/>
        <w:rPr>
          <w:rFonts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color w:val="auto"/>
          <w:kern w:val="0"/>
          <w:szCs w:val="21"/>
          <w:highlight w:val="none"/>
        </w:rPr>
        <w:t>3.2磋商</w:t>
      </w:r>
    </w:p>
    <w:p w14:paraId="737D5D7E">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3.2.1磋商小组所有成员应集中与单一供应商分别进行磋商，并给予所有有效供应商平等的磋商机会。在磋商过程中，如有需要，可以对采购文件的“</w:t>
      </w:r>
      <w:r>
        <w:rPr>
          <w:rFonts w:hint="eastAsia" w:asciiTheme="minorEastAsia" w:hAnsiTheme="minorEastAsia" w:eastAsiaTheme="minorEastAsia" w:cstheme="minorEastAsia"/>
          <w:b/>
          <w:bCs/>
          <w:color w:val="auto"/>
          <w:kern w:val="0"/>
          <w:szCs w:val="21"/>
          <w:highlight w:val="none"/>
        </w:rPr>
        <w:t>项目需求的技术、服务条款”以及“合同条款”进行实质性变动</w:t>
      </w:r>
      <w:r>
        <w:rPr>
          <w:rFonts w:hint="eastAsia" w:asciiTheme="minorEastAsia" w:hAnsiTheme="minorEastAsia" w:eastAsiaTheme="minorEastAsia" w:cstheme="minorEastAsia"/>
          <w:color w:val="auto"/>
          <w:kern w:val="0"/>
          <w:szCs w:val="21"/>
          <w:highlight w:val="none"/>
        </w:rPr>
        <w:t>，如有实质性变动需经采购人代表现场签字确认，磋商小组将采购文件变更通知在线发给各有效供应商，供应商根据变更通知的要求作响应文件的补充文件，该补充文件是响应文件的组成部分，具有相应的法律效力。</w:t>
      </w:r>
    </w:p>
    <w:p w14:paraId="505A0FDB">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3.2.2</w:t>
      </w:r>
      <w:r>
        <w:rPr>
          <w:rFonts w:hint="eastAsia" w:asciiTheme="minorEastAsia" w:hAnsiTheme="minorEastAsia" w:eastAsiaTheme="minorEastAsia" w:cstheme="minorEastAsia"/>
          <w:b/>
          <w:bCs/>
          <w:color w:val="auto"/>
          <w:kern w:val="0"/>
          <w:szCs w:val="21"/>
          <w:highlight w:val="none"/>
        </w:rPr>
        <w:t>各有效供应商在规定时间内在线提交第二次报价（即最终报价），磋商小组以第二次报价（即最终报价）作为价格评议的标准</w:t>
      </w:r>
      <w:r>
        <w:rPr>
          <w:rFonts w:hint="eastAsia" w:asciiTheme="minorEastAsia" w:hAnsiTheme="minorEastAsia" w:eastAsiaTheme="minorEastAsia" w:cstheme="minorEastAsia"/>
          <w:color w:val="auto"/>
          <w:kern w:val="0"/>
          <w:szCs w:val="21"/>
          <w:highlight w:val="none"/>
        </w:rPr>
        <w:t>。未</w:t>
      </w:r>
      <w:r>
        <w:rPr>
          <w:rFonts w:hint="eastAsia" w:asciiTheme="minorEastAsia" w:hAnsiTheme="minorEastAsia" w:eastAsiaTheme="minorEastAsia" w:cstheme="minorEastAsia"/>
          <w:b/>
          <w:bCs/>
          <w:color w:val="auto"/>
          <w:kern w:val="0"/>
          <w:szCs w:val="21"/>
          <w:highlight w:val="none"/>
        </w:rPr>
        <w:t>在规定时间内在线提交第二次报价（即最终报价）视为无效响应文件。</w:t>
      </w:r>
      <w:r>
        <w:rPr>
          <w:rFonts w:hint="eastAsia" w:asciiTheme="minorEastAsia" w:hAnsiTheme="minorEastAsia" w:eastAsiaTheme="minorEastAsia" w:cstheme="minorEastAsia"/>
          <w:color w:val="auto"/>
          <w:kern w:val="0"/>
          <w:szCs w:val="21"/>
          <w:highlight w:val="none"/>
        </w:rPr>
        <w:t>已提交响应文件的供应商，在提交最终报价之前，可以根据磋商情况退出磋商。</w:t>
      </w:r>
    </w:p>
    <w:p w14:paraId="1FFA086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3.2.3经磋商确定最终采购需求和提交最后报价的供应商后，由磋商小组采用综合评分法对提交最后报价的供应商的响应文件和最后报价进行综合评分。</w:t>
      </w:r>
    </w:p>
    <w:p w14:paraId="662A3139">
      <w:pPr>
        <w:shd w:val="clear"/>
        <w:spacing w:line="360" w:lineRule="auto"/>
        <w:ind w:firstLine="422"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kern w:val="0"/>
          <w:szCs w:val="21"/>
          <w:highlight w:val="none"/>
        </w:rPr>
        <w:t>3.3 商务技术评审。</w:t>
      </w:r>
      <w:r>
        <w:rPr>
          <w:rFonts w:hint="eastAsia" w:asciiTheme="minorEastAsia" w:hAnsiTheme="minorEastAsia" w:eastAsiaTheme="minorEastAsia" w:cstheme="minorEastAsia"/>
          <w:color w:val="auto"/>
          <w:kern w:val="0"/>
          <w:szCs w:val="21"/>
          <w:highlight w:val="none"/>
        </w:rPr>
        <w:t>磋商小组应当按照</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文件中规定的评标方法和标准，对符合性审查合格的响应文件进行商务和技术评估。</w:t>
      </w:r>
    </w:p>
    <w:p w14:paraId="43F3AC66">
      <w:pPr>
        <w:shd w:val="clear"/>
        <w:spacing w:line="360" w:lineRule="auto"/>
        <w:ind w:firstLine="422"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kern w:val="0"/>
          <w:szCs w:val="21"/>
          <w:highlight w:val="none"/>
        </w:rPr>
        <w:t>3.4 汇总商务技术得分。</w:t>
      </w:r>
      <w:r>
        <w:rPr>
          <w:rFonts w:hint="eastAsia" w:asciiTheme="minorEastAsia" w:hAnsiTheme="minorEastAsia" w:eastAsiaTheme="minorEastAsia" w:cstheme="minorEastAsia"/>
          <w:color w:val="auto"/>
          <w:kern w:val="0"/>
          <w:szCs w:val="21"/>
          <w:highlight w:val="none"/>
        </w:rPr>
        <w:t>磋商小组各成员应当独立对每个</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的商务和技术文件进行评价，并汇总商务技术得分情况。</w:t>
      </w:r>
    </w:p>
    <w:p w14:paraId="44795D53">
      <w:pPr>
        <w:shd w:val="clear"/>
        <w:spacing w:line="360" w:lineRule="auto"/>
        <w:ind w:firstLine="422" w:firstLineChars="200"/>
        <w:rPr>
          <w:rFonts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color w:val="auto"/>
          <w:kern w:val="0"/>
          <w:szCs w:val="21"/>
          <w:highlight w:val="none"/>
        </w:rPr>
        <w:t>3.5 报价评审。</w:t>
      </w:r>
    </w:p>
    <w:p w14:paraId="2E89D7C8">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磋商小组对供应商提交的报价进行评审。</w:t>
      </w:r>
    </w:p>
    <w:p w14:paraId="27DBFCD0">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3.5.1响应文件报价出现前后不一致的，按照下列规定修正：</w:t>
      </w:r>
    </w:p>
    <w:p w14:paraId="4E1991D9">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3.5.1.1电子交易平台生成的开标记录表(报价表)内容与响应文件中报价一览表(报价表)不一致的，以响应文件中报价一览表(报价表)为准；</w:t>
      </w:r>
    </w:p>
    <w:p w14:paraId="6601F739">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3.5.1.2响应文件中报价一览表(报价表)内容与响应文件中相应内容不一致的，以报价一览表(报价表)为准；</w:t>
      </w:r>
    </w:p>
    <w:p w14:paraId="4563B173">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3.5.1.3 大写金额和小写金额不一致的，以大写金额为准;</w:t>
      </w:r>
    </w:p>
    <w:p w14:paraId="4C5D3598">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3.5.1.4 单价金额小数点或者百分比有明显错位的，以报价一览表的总价为准，并修改单价;</w:t>
      </w:r>
    </w:p>
    <w:p w14:paraId="6C27E5C8">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3.5.1.5同时出现两种以上不一致的，按照3.5.1规定的顺序修正。修正后的报价经</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确认后产生约束力。</w:t>
      </w:r>
    </w:p>
    <w:p w14:paraId="60886E30">
      <w:pPr>
        <w:shd w:val="clear"/>
        <w:snapToGrid w:val="0"/>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3.5.2响应文件出现不是唯一的、有选择性磋商报价的，响应无效。</w:t>
      </w:r>
    </w:p>
    <w:p w14:paraId="21EFF398">
      <w:pPr>
        <w:shd w:val="clear"/>
        <w:snapToGrid w:val="0"/>
        <w:spacing w:line="360" w:lineRule="auto"/>
        <w:ind w:firstLine="420" w:firstLineChars="200"/>
        <w:jc w:val="left"/>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3.5.3磋商报价超过</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文件中规定的预算金额或者最高限价的，响应无效。</w:t>
      </w:r>
    </w:p>
    <w:p w14:paraId="1D722028">
      <w:pPr>
        <w:pStyle w:val="50"/>
        <w:shd w:val="clear"/>
        <w:spacing w:before="0"/>
        <w:ind w:firstLine="420"/>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3.5.4磋商小组认为</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的报价明显低于其他通过符合性审查</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的报价，有可能影响产品质量或者不能诚信履约的，应当要求其在30分钟内提供书面说明，必要时提交相关证明材料;</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不能证明其报价合理性的，磋商小组应当将其作为无效响应处理。</w:t>
      </w:r>
    </w:p>
    <w:p w14:paraId="71646663">
      <w:pPr>
        <w:shd w:val="clear"/>
        <w:spacing w:line="360" w:lineRule="auto"/>
        <w:ind w:firstLine="422" w:firstLineChars="200"/>
        <w:rPr>
          <w:rFonts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b/>
          <w:color w:val="auto"/>
          <w:kern w:val="0"/>
          <w:szCs w:val="21"/>
          <w:highlight w:val="none"/>
        </w:rPr>
        <w:t>3.6</w:t>
      </w:r>
      <w:r>
        <w:rPr>
          <w:rFonts w:hint="eastAsia" w:asciiTheme="minorEastAsia" w:hAnsiTheme="minorEastAsia" w:eastAsiaTheme="minorEastAsia" w:cstheme="minorEastAsia"/>
          <w:b/>
          <w:bCs/>
          <w:color w:val="auto"/>
          <w:kern w:val="0"/>
          <w:szCs w:val="21"/>
          <w:highlight w:val="none"/>
        </w:rPr>
        <w:t>综合评议。</w:t>
      </w:r>
      <w:r>
        <w:rPr>
          <w:rFonts w:hint="eastAsia" w:asciiTheme="minorEastAsia" w:hAnsiTheme="minorEastAsia" w:eastAsiaTheme="minorEastAsia" w:cstheme="minorEastAsia"/>
          <w:color w:val="auto"/>
          <w:kern w:val="0"/>
          <w:szCs w:val="21"/>
          <w:highlight w:val="none"/>
        </w:rPr>
        <w:t>评分汇总（汇总各评委的评分，计算所有评委评出的总分的算术平均值作为供应商的综合得分）；按综合得分从高到低排序。</w:t>
      </w:r>
    </w:p>
    <w:p w14:paraId="6ECB1712">
      <w:pPr>
        <w:shd w:val="clear"/>
        <w:spacing w:line="360" w:lineRule="auto"/>
        <w:ind w:firstLine="422"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kern w:val="0"/>
          <w:szCs w:val="21"/>
          <w:highlight w:val="none"/>
        </w:rPr>
        <w:t>3.7</w:t>
      </w:r>
      <w:r>
        <w:rPr>
          <w:rFonts w:hint="eastAsia" w:asciiTheme="minorEastAsia" w:hAnsiTheme="minorEastAsia" w:eastAsiaTheme="minorEastAsia" w:cstheme="minorEastAsia"/>
          <w:b/>
          <w:bCs/>
          <w:color w:val="auto"/>
          <w:kern w:val="0"/>
          <w:szCs w:val="21"/>
          <w:highlight w:val="none"/>
        </w:rPr>
        <w:t>磋商小组根据综合评分情况</w:t>
      </w:r>
      <w:r>
        <w:rPr>
          <w:rFonts w:hint="eastAsia" w:asciiTheme="minorEastAsia" w:hAnsiTheme="minorEastAsia" w:eastAsiaTheme="minorEastAsia" w:cstheme="minorEastAsia"/>
          <w:color w:val="auto"/>
          <w:kern w:val="0"/>
          <w:szCs w:val="21"/>
          <w:highlight w:val="none"/>
        </w:rPr>
        <w:t>，按照评审得分由高到低顺序推荐3名成交候选供应商。评审得分相同的，按照最后报价由低到高的顺序推荐。评审得分且最后报价相同的，按照技术指标优劣顺序推荐。</w:t>
      </w:r>
    </w:p>
    <w:p w14:paraId="7440CE94">
      <w:pPr>
        <w:shd w:val="clear"/>
        <w:spacing w:line="360" w:lineRule="auto"/>
        <w:ind w:firstLine="422"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kern w:val="0"/>
          <w:szCs w:val="21"/>
          <w:highlight w:val="none"/>
        </w:rPr>
        <w:t>3.8编写评标报告。</w:t>
      </w:r>
      <w:r>
        <w:rPr>
          <w:rFonts w:hint="eastAsia" w:asciiTheme="minorEastAsia" w:hAnsiTheme="minorEastAsia" w:eastAsiaTheme="minorEastAsia" w:cstheme="minorEastAsia"/>
          <w:color w:val="auto"/>
          <w:kern w:val="0"/>
          <w:szCs w:val="21"/>
          <w:highlight w:val="none"/>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0C9A044">
      <w:pPr>
        <w:shd w:val="clear"/>
        <w:snapToGrid w:val="0"/>
        <w:spacing w:line="360" w:lineRule="auto"/>
        <w:ind w:left="120" w:leftChars="57" w:firstLine="482" w:firstLineChars="150"/>
        <w:jc w:val="center"/>
        <w:rPr>
          <w:rFonts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四、评审中的其他事项</w:t>
      </w:r>
    </w:p>
    <w:p w14:paraId="7147A13A">
      <w:pPr>
        <w:pStyle w:val="50"/>
        <w:shd w:val="clear"/>
        <w:spacing w:before="0"/>
        <w:ind w:firstLine="422"/>
        <w:rPr>
          <w:rFonts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4.1响应澄清、说明或者补正。</w:t>
      </w:r>
      <w:r>
        <w:rPr>
          <w:rFonts w:hint="eastAsia" w:asciiTheme="minorEastAsia" w:hAnsiTheme="minorEastAsia" w:eastAsiaTheme="minorEastAsia" w:cstheme="minorEastAsia"/>
          <w:color w:val="auto"/>
          <w:kern w:val="0"/>
          <w:sz w:val="21"/>
          <w:szCs w:val="21"/>
          <w:highlight w:val="none"/>
        </w:rPr>
        <w:t>对于响应文件中含义不明确、同类问题表述不一致或者有明显文字和计算错误的内容需要</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作出必要的澄清、说明或者补正的，磋商小组和</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通过电子交易平台交换数据电文，</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提交使用电子签名的相关数据电文或通过平台上传加盖公章的扫描件。给予</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提交澄清、说明或补正的时间不得少于半小时，</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已经明确表示澄清说明或补正完毕的除外。</w:t>
      </w:r>
      <w:r>
        <w:rPr>
          <w:rFonts w:hint="eastAsia" w:asciiTheme="minorEastAsia" w:hAnsiTheme="minorEastAsia" w:eastAsiaTheme="minorEastAsia" w:cstheme="minorEastAsia"/>
          <w:color w:val="auto"/>
          <w:kern w:val="0"/>
          <w:sz w:val="21"/>
          <w:szCs w:val="21"/>
          <w:highlight w:val="none"/>
          <w:lang w:val="zh-CN"/>
        </w:rPr>
        <w:t>供应商</w:t>
      </w:r>
      <w:r>
        <w:rPr>
          <w:rFonts w:hint="eastAsia" w:asciiTheme="minorEastAsia" w:hAnsiTheme="minorEastAsia" w:eastAsiaTheme="minorEastAsia" w:cstheme="minorEastAsia"/>
          <w:color w:val="auto"/>
          <w:kern w:val="0"/>
          <w:sz w:val="21"/>
          <w:szCs w:val="21"/>
          <w:highlight w:val="none"/>
        </w:rPr>
        <w:t>的澄清、说明或者补正不得超出响应文件的范围或者改变响应文件的实质性内容。</w:t>
      </w:r>
    </w:p>
    <w:p w14:paraId="53482B97">
      <w:pPr>
        <w:pStyle w:val="13"/>
        <w:shd w:val="clear"/>
        <w:spacing w:line="360" w:lineRule="auto"/>
        <w:ind w:firstLine="422"/>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4.2响应无效的情形。</w:t>
      </w:r>
    </w:p>
    <w:p w14:paraId="408AC899">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4.2.1 没有响应</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文件实质性要求的响应将被视为无效响应。</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不得通过修正或撤销不合要求的偏离或保留从而使其磋商响应成为实质上响应的磋商，但经磋商小组认定属于</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疏忽、笔误所造成的差错，可允许其在评标结束之前进行修改或者补正（可以是复印件、传真件等，原件必须加盖单位公章）。修改或者补正响应文件必须以书面形式进行，并应在成交结果公告之前查核原件。限期内不补正或经补正后仍不符合</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文件要求的，应认定其响应无效。</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修改、补正响应文件后，不影响磋商小组对其响应文件所作的评价和评分结果。</w:t>
      </w:r>
    </w:p>
    <w:p w14:paraId="76CA1AC8">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4.2.2 在电子开评标时，如发现下列情形之一的，将被视为无效响应文件：</w:t>
      </w:r>
    </w:p>
    <w:p w14:paraId="2E83610C">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4.2.2.1电子投标文件解密失败的；</w:t>
      </w:r>
    </w:p>
    <w:p w14:paraId="44085221">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4.2.2.2响应文件未按</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文件要求加密、签字、盖章的；</w:t>
      </w:r>
    </w:p>
    <w:p w14:paraId="1AB12C79">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 在资格审查、符合性审查和商务评审时，如发现下列情形之一的，将被视为无效响应文件：</w:t>
      </w:r>
    </w:p>
    <w:p w14:paraId="4D7AB6C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4.2.3.1 资格证明文件不全的或者不符合</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文件标明的资格要求的；</w:t>
      </w:r>
    </w:p>
    <w:p w14:paraId="6323A240">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4.2.3.2 响应文件未按</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文件要求签署、盖章的；</w:t>
      </w:r>
    </w:p>
    <w:p w14:paraId="78C9CE5A">
      <w:pPr>
        <w:shd w:val="clear"/>
        <w:spacing w:line="360" w:lineRule="auto"/>
        <w:ind w:firstLine="420" w:firstLineChars="200"/>
        <w:rPr>
          <w:rFonts w:hint="eastAsia" w:asciiTheme="minorEastAsia" w:hAnsiTheme="minorEastAsia" w:eastAsiaTheme="minorEastAsia" w:cstheme="minorEastAsia"/>
          <w:color w:val="auto"/>
          <w:kern w:val="0"/>
          <w:szCs w:val="21"/>
          <w:highlight w:val="none"/>
          <w:lang w:eastAsia="zh-CN"/>
        </w:rPr>
      </w:pPr>
      <w:r>
        <w:rPr>
          <w:rFonts w:hint="eastAsia" w:asciiTheme="minorEastAsia" w:hAnsiTheme="minorEastAsia" w:eastAsiaTheme="minorEastAsia" w:cstheme="minorEastAsia"/>
          <w:color w:val="auto"/>
          <w:kern w:val="0"/>
          <w:szCs w:val="21"/>
          <w:highlight w:val="none"/>
        </w:rPr>
        <w:t>4.2.3.3 响应代表人未能出具身份证明或身份证明与法定代表授权委托书不符的</w:t>
      </w:r>
      <w:r>
        <w:rPr>
          <w:rFonts w:hint="eastAsia" w:asciiTheme="minorEastAsia" w:hAnsiTheme="minorEastAsia" w:eastAsiaTheme="minorEastAsia" w:cstheme="minorEastAsia"/>
          <w:color w:val="auto"/>
          <w:kern w:val="0"/>
          <w:szCs w:val="21"/>
          <w:highlight w:val="none"/>
          <w:lang w:eastAsia="zh-CN"/>
        </w:rPr>
        <w:t>；</w:t>
      </w:r>
    </w:p>
    <w:p w14:paraId="5DE4BC9F">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4.2.3.4 响应文件格式不规范、项目不齐全或者内容虚假的；</w:t>
      </w:r>
    </w:p>
    <w:p w14:paraId="6BF8E5D4">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4.2.3.5 响应文件的实质性内容未使用中文表述、意思表述不明确、前后矛盾或者使用计量单位不符合</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文件要求的（经磋商小组认定并允许其当场更正的笔误除外）；</w:t>
      </w:r>
    </w:p>
    <w:p w14:paraId="2129EA3E">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4.2.3.6 响应有效期、交货时间、质保期等商务条款不能满足</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文件要求的；</w:t>
      </w:r>
    </w:p>
    <w:p w14:paraId="72314494">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4.2.3.7 带“▲”的条款不能满足</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文件要求、未实质性响应</w:t>
      </w:r>
      <w:r>
        <w:rPr>
          <w:rFonts w:hint="eastAsia" w:asciiTheme="minorEastAsia" w:hAnsiTheme="minorEastAsia" w:eastAsiaTheme="minorEastAsia" w:cstheme="minorEastAsia"/>
          <w:color w:val="auto"/>
          <w:szCs w:val="21"/>
          <w:highlight w:val="none"/>
        </w:rPr>
        <w:t>竞争性磋商</w:t>
      </w:r>
      <w:r>
        <w:rPr>
          <w:rFonts w:hint="eastAsia" w:asciiTheme="minorEastAsia" w:hAnsiTheme="minorEastAsia" w:eastAsiaTheme="minorEastAsia" w:cstheme="minorEastAsia"/>
          <w:color w:val="auto"/>
          <w:kern w:val="0"/>
          <w:szCs w:val="21"/>
          <w:highlight w:val="none"/>
        </w:rPr>
        <w:t>文件要求或者响应文件有采购人不能接受的附加条件的；</w:t>
      </w:r>
    </w:p>
    <w:p w14:paraId="03D87A2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4.2.3.8 单位负责人为同一人或者存在直接控股、管理关系的不同供应商参加同一合同项下的采购活动的；</w:t>
      </w:r>
    </w:p>
    <w:p w14:paraId="71A2AB1F">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4.2.3.9 为采购项目提供整体设计、规范编制或者项目管理、监理、检测等服务的供应商参加该采购项目的其他采购活动的；</w:t>
      </w:r>
    </w:p>
    <w:p w14:paraId="3C2319F4">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4.2.3.10 商务技术文件中出现本项目磋商报价或单价的。</w:t>
      </w:r>
    </w:p>
    <w:p w14:paraId="520BDEC6">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4.3.在技术评审时，如发现下列情形之一的，将被视为无效响应文件：</w:t>
      </w:r>
    </w:p>
    <w:p w14:paraId="43F9BD6E">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4.3.1未提供或未如实提供磋商货物的技术参数，或者响应文件标明的响应或偏离与事实不符或虚假响应的；</w:t>
      </w:r>
    </w:p>
    <w:p w14:paraId="54F020F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4.3.2 明显不符合竞争性磋商文件要求的规格型号、质量标准，或者与竞争性磋商文件中标“▲”的技术指标、主要功能项目发生实质性偏离的；</w:t>
      </w:r>
    </w:p>
    <w:p w14:paraId="2897CEDE">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4.3.3 允许偏离的技术、性能指标或辅助功能项目发生负偏离达</w:t>
      </w:r>
      <w:r>
        <w:rPr>
          <w:rFonts w:hint="eastAsia" w:asciiTheme="minorEastAsia" w:hAnsiTheme="minorEastAsia" w:eastAsiaTheme="minorEastAsia" w:cstheme="minorEastAsia"/>
          <w:color w:val="auto"/>
          <w:kern w:val="0"/>
          <w:szCs w:val="21"/>
          <w:highlight w:val="none"/>
          <w:lang w:val="en-US" w:eastAsia="zh-CN"/>
        </w:rPr>
        <w:t>11条</w:t>
      </w:r>
      <w:r>
        <w:rPr>
          <w:rFonts w:hint="eastAsia" w:asciiTheme="minorEastAsia" w:hAnsiTheme="minorEastAsia" w:eastAsiaTheme="minorEastAsia" w:cstheme="minorEastAsia"/>
          <w:color w:val="auto"/>
          <w:kern w:val="0"/>
          <w:szCs w:val="21"/>
          <w:highlight w:val="none"/>
        </w:rPr>
        <w:t>（含）以上的；</w:t>
      </w:r>
    </w:p>
    <w:p w14:paraId="3685B470">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4.3.4 技术方案不明确，存在一个或一个以上备选（替代）技术方案的；</w:t>
      </w:r>
    </w:p>
    <w:p w14:paraId="19DD120A">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4.3.5 与其他参加本次磋商</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的响应文件（技术文件）的文字表述内容差错相同2处以上的；</w:t>
      </w:r>
    </w:p>
    <w:p w14:paraId="1139334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4.3.6 采购人拟采购的产品属于政府强制采购的节能产品品目清单范围的，</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未按竞争性磋商文件要求提供国家确定的认证机构出具的、处于有效期之内的节能产品认证证书的。</w:t>
      </w:r>
    </w:p>
    <w:p w14:paraId="52A9FEAD">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 在报价评审时，如发现下列情形之一的，响应文件将被视为无效：</w:t>
      </w:r>
    </w:p>
    <w:p w14:paraId="6DB8797A">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4.4.1 未采用人民币报价或者未按照竞争性磋商文件标明的币种报价的；</w:t>
      </w:r>
    </w:p>
    <w:p w14:paraId="5AB09915">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4.4.2 报价超过</w:t>
      </w:r>
      <w:r>
        <w:rPr>
          <w:rFonts w:hint="eastAsia" w:ascii="宋体" w:hAnsi="宋体" w:cs="宋体"/>
          <w:bCs/>
          <w:snapToGrid w:val="0"/>
          <w:color w:val="auto"/>
          <w:szCs w:val="21"/>
          <w:highlight w:val="none"/>
        </w:rPr>
        <w:t>最高综合折扣率的</w:t>
      </w:r>
      <w:r>
        <w:rPr>
          <w:rFonts w:hint="eastAsia" w:asciiTheme="minorEastAsia" w:hAnsiTheme="minorEastAsia" w:eastAsiaTheme="minorEastAsia" w:cstheme="minorEastAsia"/>
          <w:color w:val="auto"/>
          <w:kern w:val="0"/>
          <w:szCs w:val="21"/>
          <w:highlight w:val="none"/>
        </w:rPr>
        <w:t>；</w:t>
      </w:r>
    </w:p>
    <w:p w14:paraId="110A5113">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4.4.3 磋商报价具有选择性的；</w:t>
      </w:r>
    </w:p>
    <w:p w14:paraId="60146F58">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4.4.4 磋商报价中出现缺项、漏项或被磋商小组认定为有可能影响产品质量或者不能诚信履约的且不能在合理的时间内证明其报价合理性的；</w:t>
      </w:r>
    </w:p>
    <w:p w14:paraId="47F7A994">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4.4.5供应商对根据修正原则修正后的报价不确认的。</w:t>
      </w:r>
    </w:p>
    <w:p w14:paraId="50560BCA">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4.5其他无效情形：</w:t>
      </w:r>
    </w:p>
    <w:p w14:paraId="06ED6BAA">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4.5.1 不同</w:t>
      </w:r>
      <w:r>
        <w:rPr>
          <w:rFonts w:hint="eastAsia" w:asciiTheme="minorEastAsia" w:hAnsiTheme="minorEastAsia" w:eastAsiaTheme="minorEastAsia" w:cstheme="minorEastAsia"/>
          <w:color w:val="auto"/>
          <w:kern w:val="0"/>
          <w:szCs w:val="21"/>
          <w:highlight w:val="none"/>
          <w:lang w:val="zh-CN"/>
        </w:rPr>
        <w:t>供应商</w:t>
      </w:r>
      <w:r>
        <w:rPr>
          <w:rFonts w:hint="eastAsia" w:asciiTheme="minorEastAsia" w:hAnsiTheme="minorEastAsia" w:eastAsiaTheme="minorEastAsia" w:cstheme="minorEastAsia"/>
          <w:color w:val="auto"/>
          <w:kern w:val="0"/>
          <w:szCs w:val="21"/>
          <w:highlight w:val="none"/>
        </w:rPr>
        <w:t>的响应文件出自同一终端设备或在相同Internet主机分配地址（相同IP地址）进行网上报名、磋商的；</w:t>
      </w:r>
    </w:p>
    <w:p w14:paraId="3E174894">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4.5.2 法律、法规、规章（适用本市的）及省级以上规范性文件（适用本市的）规定的其他无效情形。</w:t>
      </w:r>
    </w:p>
    <w:p w14:paraId="7CEFAEF0">
      <w:pPr>
        <w:shd w:val="clear"/>
        <w:spacing w:line="360" w:lineRule="auto"/>
        <w:ind w:firstLine="422"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b/>
          <w:color w:val="auto"/>
          <w:szCs w:val="21"/>
          <w:highlight w:val="none"/>
        </w:rPr>
        <w:t>5.采购终止的情形。</w:t>
      </w:r>
      <w:r>
        <w:rPr>
          <w:rFonts w:hint="eastAsia" w:asciiTheme="minorEastAsia" w:hAnsiTheme="minorEastAsia" w:eastAsiaTheme="minorEastAsia" w:cstheme="minorEastAsia"/>
          <w:color w:val="auto"/>
          <w:kern w:val="0"/>
          <w:szCs w:val="21"/>
          <w:highlight w:val="none"/>
        </w:rPr>
        <w:t>在本项目磋商采购中，出现下列情形之一的，应当终止竞争性磋商采购活动，发布项目终止公告并说明原因，重新开展采购活动：</w:t>
      </w:r>
    </w:p>
    <w:p w14:paraId="4BB735B6">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5.1因情况变化，不再符合规定的竞争性磋商采购方式适用情形的；</w:t>
      </w:r>
    </w:p>
    <w:p w14:paraId="10C10190">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5.2出现影响采购公正的违法、违规行为的；</w:t>
      </w:r>
    </w:p>
    <w:p w14:paraId="0E74DA95">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5.3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59C140C2">
      <w:pPr>
        <w:shd w:val="clear"/>
        <w:spacing w:line="360" w:lineRule="auto"/>
        <w:ind w:firstLine="420" w:firstLineChars="200"/>
        <w:rPr>
          <w:rFonts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5.4电子交易平台无法正常运行，无法保证电子交易的公平、公正和安全的情况。</w:t>
      </w:r>
    </w:p>
    <w:p w14:paraId="0FC9CF0C">
      <w:pPr>
        <w:pStyle w:val="13"/>
        <w:shd w:val="clear"/>
        <w:snapToGrid w:val="0"/>
        <w:spacing w:line="360" w:lineRule="auto"/>
        <w:ind w:firstLine="422"/>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sz w:val="21"/>
          <w:szCs w:val="21"/>
          <w:highlight w:val="none"/>
        </w:rPr>
        <w:t>6.修改竞争性磋商文件，重新组织采购活动。</w:t>
      </w:r>
      <w:r>
        <w:rPr>
          <w:rFonts w:hint="eastAsia" w:asciiTheme="minorEastAsia" w:hAnsiTheme="minorEastAsia" w:eastAsiaTheme="minorEastAsia" w:cstheme="minorEastAsia"/>
          <w:color w:val="auto"/>
          <w:sz w:val="21"/>
          <w:szCs w:val="21"/>
          <w:highlight w:val="none"/>
        </w:rPr>
        <w:t>磋商小组发现竞争性磋商文件存在歧义、重大缺陷导致评标工作无法进行，或者竞争性磋商文件内容违反国家有关强制性规定的，将停止评标工作，并与采购人、采购代理机构沟通并作书面记录。采购人、采购代理机构确认后，将修改竞争性磋商文件，重新组织采购活动。</w:t>
      </w:r>
    </w:p>
    <w:p w14:paraId="2B99D18E">
      <w:pPr>
        <w:pStyle w:val="13"/>
        <w:shd w:val="clear"/>
        <w:adjustRightInd w:val="0"/>
        <w:snapToGrid w:val="0"/>
        <w:spacing w:line="360" w:lineRule="auto"/>
        <w:ind w:firstLine="422"/>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color w:val="auto"/>
          <w:kern w:val="0"/>
          <w:sz w:val="21"/>
          <w:szCs w:val="21"/>
          <w:highlight w:val="none"/>
        </w:rPr>
        <w:t>7.重新开展采购。</w:t>
      </w:r>
      <w:r>
        <w:rPr>
          <w:rFonts w:hint="eastAsia" w:asciiTheme="minorEastAsia" w:hAnsiTheme="minorEastAsia" w:eastAsiaTheme="minorEastAsia" w:cstheme="minorEastAsia"/>
          <w:color w:val="auto"/>
          <w:sz w:val="21"/>
          <w:szCs w:val="21"/>
          <w:highlight w:val="none"/>
        </w:rPr>
        <w:t>有政府采购法第七十一条、第七十二条规定的违法行为之一，影响或者可能影响中标、成交结果的，依照下列规定处理：</w:t>
      </w:r>
    </w:p>
    <w:p w14:paraId="53B63730">
      <w:pPr>
        <w:pStyle w:val="13"/>
        <w:shd w:val="clear"/>
        <w:adjustRightInd w:val="0"/>
        <w:snapToGrid w:val="0"/>
        <w:spacing w:line="360" w:lineRule="auto"/>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7.1未确定成交或者成交人的，终止本次采购活动，重新开展采购活动。</w:t>
      </w:r>
    </w:p>
    <w:p w14:paraId="641E37F2">
      <w:pPr>
        <w:pStyle w:val="13"/>
        <w:shd w:val="clear"/>
        <w:adjustRightInd w:val="0"/>
        <w:snapToGrid w:val="0"/>
        <w:spacing w:line="360" w:lineRule="auto"/>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7.2已确定成交或者成交人但尚未签订采购合同的，成交或者成交结果无效，重新开展采购活动。</w:t>
      </w:r>
    </w:p>
    <w:p w14:paraId="0A031BCD">
      <w:pPr>
        <w:pStyle w:val="13"/>
        <w:shd w:val="clear"/>
        <w:adjustRightInd w:val="0"/>
        <w:snapToGrid w:val="0"/>
        <w:spacing w:line="360" w:lineRule="auto"/>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7.3采购合同已签订但尚未履行的，撤销合同，重新开展采购活动。</w:t>
      </w:r>
    </w:p>
    <w:p w14:paraId="26CDF3EC">
      <w:pPr>
        <w:pStyle w:val="13"/>
        <w:shd w:val="clear"/>
        <w:adjustRightInd w:val="0"/>
        <w:snapToGrid w:val="0"/>
        <w:spacing w:line="360" w:lineRule="auto"/>
        <w:ind w:firstLine="42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7.4采购合同已经履行，给采购人、供应商造成损失的，由责任人承担赔偿责任。</w:t>
      </w:r>
    </w:p>
    <w:p w14:paraId="411ED276">
      <w:pPr>
        <w:pStyle w:val="13"/>
        <w:shd w:val="clear"/>
        <w:adjustRightInd w:val="0"/>
        <w:snapToGrid w:val="0"/>
        <w:spacing w:line="360" w:lineRule="auto"/>
        <w:ind w:firstLine="42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21"/>
          <w:szCs w:val="21"/>
          <w:highlight w:val="none"/>
        </w:rPr>
        <w:t>7.5采购当事人有其他违反采购法</w:t>
      </w:r>
      <w:r>
        <w:rPr>
          <w:rFonts w:hint="eastAsia" w:asciiTheme="minorEastAsia" w:hAnsiTheme="minorEastAsia" w:eastAsiaTheme="minorEastAsia" w:cstheme="minorEastAsia"/>
          <w:color w:val="auto"/>
          <w:kern w:val="0"/>
          <w:sz w:val="21"/>
          <w:szCs w:val="21"/>
          <w:highlight w:val="none"/>
        </w:rPr>
        <w:t>或者政府采购法实施条例等法律法规规定</w:t>
      </w:r>
      <w:r>
        <w:rPr>
          <w:rFonts w:hint="eastAsia" w:asciiTheme="minorEastAsia" w:hAnsiTheme="minorEastAsia" w:eastAsiaTheme="minorEastAsia" w:cstheme="minorEastAsia"/>
          <w:color w:val="auto"/>
          <w:sz w:val="21"/>
          <w:szCs w:val="21"/>
          <w:highlight w:val="none"/>
        </w:rPr>
        <w:t>的行为，经改正后仍然影响或者可能影响中标、成交结果或者依法被认定为中标、成交无效的，依照7.1-7.4规定处理。</w:t>
      </w:r>
    </w:p>
    <w:p w14:paraId="1F71371C">
      <w:pPr>
        <w:shd w:val="clear"/>
        <w:spacing w:line="360" w:lineRule="auto"/>
        <w:ind w:left="0" w:leftChars="0" w:hanging="3" w:firstLineChars="0"/>
        <w:jc w:val="center"/>
        <w:outlineLvl w:val="0"/>
        <w:rPr>
          <w:rFonts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r>
        <w:rPr>
          <w:rFonts w:hint="eastAsia" w:asciiTheme="minorEastAsia" w:hAnsiTheme="minorEastAsia" w:eastAsiaTheme="minorEastAsia" w:cstheme="minorEastAsia"/>
          <w:b/>
          <w:color w:val="auto"/>
          <w:sz w:val="36"/>
          <w:szCs w:val="36"/>
          <w:highlight w:val="none"/>
          <w:lang w:val="en-US" w:eastAsia="zh-CN"/>
        </w:rPr>
        <w:t xml:space="preserve">第五部分 </w:t>
      </w:r>
      <w:r>
        <w:rPr>
          <w:rFonts w:hint="eastAsia" w:asciiTheme="minorEastAsia" w:hAnsiTheme="minorEastAsia" w:eastAsiaTheme="minorEastAsia" w:cstheme="minorEastAsia"/>
          <w:b/>
          <w:color w:val="auto"/>
          <w:kern w:val="2"/>
          <w:sz w:val="36"/>
          <w:szCs w:val="20"/>
          <w:highlight w:val="none"/>
          <w:lang w:val="en-US" w:eastAsia="zh-CN" w:bidi="ar-SA"/>
        </w:rPr>
        <w:t xml:space="preserve"> 合同文本</w:t>
      </w:r>
    </w:p>
    <w:p w14:paraId="5477B0B1">
      <w:pPr>
        <w:pStyle w:val="51"/>
        <w:shd w:val="clear"/>
        <w:ind w:left="0" w:leftChars="0" w:firstLine="0" w:firstLineChars="0"/>
        <w:rPr>
          <w:rFonts w:asciiTheme="minorEastAsia" w:hAnsiTheme="minorEastAsia" w:eastAsiaTheme="minorEastAsia" w:cstheme="minorEastAsia"/>
          <w:color w:val="auto"/>
          <w:szCs w:val="24"/>
          <w:highlight w:val="none"/>
        </w:rPr>
      </w:pPr>
    </w:p>
    <w:p w14:paraId="627CB82F">
      <w:pPr>
        <w:pStyle w:val="51"/>
        <w:shd w:val="clear"/>
        <w:rPr>
          <w:rFonts w:asciiTheme="minorEastAsia" w:hAnsiTheme="minorEastAsia" w:eastAsiaTheme="minorEastAsia" w:cstheme="minorEastAsia"/>
          <w:color w:val="auto"/>
          <w:szCs w:val="24"/>
          <w:highlight w:val="none"/>
        </w:rPr>
      </w:pPr>
    </w:p>
    <w:p w14:paraId="2833E904">
      <w:pPr>
        <w:pStyle w:val="51"/>
        <w:shd w:val="clear"/>
        <w:ind w:left="0" w:leftChars="0" w:firstLine="0" w:firstLineChars="0"/>
        <w:rPr>
          <w:rFonts w:asciiTheme="minorEastAsia" w:hAnsiTheme="minorEastAsia" w:eastAsiaTheme="minorEastAsia" w:cstheme="minorEastAsia"/>
          <w:color w:val="auto"/>
          <w:szCs w:val="24"/>
          <w:highlight w:val="none"/>
        </w:rPr>
      </w:pPr>
    </w:p>
    <w:p w14:paraId="1139638F">
      <w:pPr>
        <w:shd w:val="clear"/>
        <w:spacing w:before="120" w:line="360" w:lineRule="auto"/>
        <w:rPr>
          <w:rFonts w:asciiTheme="minorEastAsia" w:hAnsiTheme="minorEastAsia" w:eastAsiaTheme="minorEastAsia" w:cstheme="minorEastAsia"/>
          <w:color w:val="auto"/>
          <w:sz w:val="24"/>
          <w:highlight w:val="none"/>
        </w:rPr>
      </w:pPr>
    </w:p>
    <w:p w14:paraId="4E8D14E8">
      <w:pPr>
        <w:shd w:val="clear"/>
        <w:spacing w:before="120" w:line="360" w:lineRule="auto"/>
        <w:ind w:left="960" w:firstLine="720" w:firstLineChars="300"/>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项目名称：</w:t>
      </w:r>
      <w:r>
        <w:rPr>
          <w:rFonts w:hint="eastAsia" w:asciiTheme="minorEastAsia" w:hAnsiTheme="minorEastAsia" w:eastAsiaTheme="minorEastAsia" w:cstheme="minorEastAsia"/>
          <w:color w:val="auto"/>
          <w:sz w:val="24"/>
          <w:highlight w:val="none"/>
          <w:u w:val="single"/>
          <w:lang w:eastAsia="zh-CN"/>
        </w:rPr>
        <w:t>宁波市奉化区粮食购销有限公司2025年零星工程维修服务采购项目</w:t>
      </w:r>
      <w:r>
        <w:rPr>
          <w:rFonts w:hint="eastAsia" w:asciiTheme="minorEastAsia" w:hAnsiTheme="minorEastAsia" w:eastAsiaTheme="minorEastAsia" w:cstheme="minorEastAsia"/>
          <w:color w:val="auto"/>
          <w:sz w:val="24"/>
          <w:highlight w:val="none"/>
          <w:u w:val="single"/>
        </w:rPr>
        <w:t> </w:t>
      </w:r>
    </w:p>
    <w:p w14:paraId="23E6716D">
      <w:pPr>
        <w:pStyle w:val="43"/>
        <w:shd w:val="clear"/>
        <w:spacing w:before="120"/>
        <w:rPr>
          <w:rFonts w:asciiTheme="minorEastAsia" w:hAnsiTheme="minorEastAsia" w:eastAsiaTheme="minorEastAsia" w:cstheme="minorEastAsia"/>
          <w:color w:val="auto"/>
          <w:szCs w:val="24"/>
          <w:highlight w:val="none"/>
        </w:rPr>
      </w:pPr>
    </w:p>
    <w:p w14:paraId="731446B9">
      <w:pPr>
        <w:pStyle w:val="43"/>
        <w:shd w:val="clear"/>
        <w:spacing w:before="120"/>
        <w:rPr>
          <w:rFonts w:asciiTheme="minorEastAsia" w:hAnsiTheme="minorEastAsia" w:eastAsiaTheme="minorEastAsia" w:cstheme="minorEastAsia"/>
          <w:color w:val="auto"/>
          <w:szCs w:val="24"/>
          <w:highlight w:val="none"/>
        </w:rPr>
      </w:pPr>
    </w:p>
    <w:p w14:paraId="4ED77E08">
      <w:pPr>
        <w:shd w:val="clear"/>
        <w:spacing w:line="360" w:lineRule="auto"/>
        <w:rPr>
          <w:rFonts w:asciiTheme="minorEastAsia" w:hAnsiTheme="minorEastAsia" w:eastAsiaTheme="minorEastAsia" w:cstheme="minorEastAsia"/>
          <w:color w:val="auto"/>
          <w:sz w:val="24"/>
          <w:highlight w:val="none"/>
        </w:rPr>
      </w:pPr>
    </w:p>
    <w:p w14:paraId="46B55615">
      <w:pPr>
        <w:shd w:val="clear"/>
        <w:spacing w:before="120" w:line="600" w:lineRule="auto"/>
        <w:ind w:left="960" w:firstLine="720" w:firstLineChars="300"/>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甲方：</w:t>
      </w:r>
      <w:r>
        <w:rPr>
          <w:rFonts w:hint="eastAsia" w:asciiTheme="minorEastAsia" w:hAnsiTheme="minorEastAsia" w:eastAsiaTheme="minorEastAsia" w:cstheme="minorEastAsia"/>
          <w:color w:val="auto"/>
          <w:sz w:val="24"/>
          <w:highlight w:val="none"/>
          <w:u w:val="single"/>
        </w:rPr>
        <w:t xml:space="preserve">                                   </w:t>
      </w:r>
    </w:p>
    <w:p w14:paraId="16162FE8">
      <w:pPr>
        <w:shd w:val="clear"/>
        <w:spacing w:before="120" w:line="600" w:lineRule="auto"/>
        <w:ind w:left="960" w:firstLine="720" w:firstLineChars="3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乙方：</w:t>
      </w:r>
      <w:r>
        <w:rPr>
          <w:rFonts w:hint="eastAsia" w:asciiTheme="minorEastAsia" w:hAnsiTheme="minorEastAsia" w:eastAsiaTheme="minorEastAsia" w:cstheme="minorEastAsia"/>
          <w:color w:val="auto"/>
          <w:sz w:val="24"/>
          <w:highlight w:val="none"/>
          <w:u w:val="single"/>
        </w:rPr>
        <w:t xml:space="preserve">                                       </w:t>
      </w:r>
    </w:p>
    <w:p w14:paraId="34673E32">
      <w:pPr>
        <w:shd w:val="clea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签订地：</w:t>
      </w:r>
      <w:r>
        <w:rPr>
          <w:rFonts w:hint="eastAsia" w:asciiTheme="minorEastAsia" w:hAnsiTheme="minorEastAsia" w:eastAsiaTheme="minorEastAsia" w:cstheme="minorEastAsia"/>
          <w:color w:val="auto"/>
          <w:sz w:val="24"/>
          <w:highlight w:val="none"/>
          <w:u w:val="single"/>
        </w:rPr>
        <w:t xml:space="preserve">                                     </w:t>
      </w:r>
    </w:p>
    <w:p w14:paraId="7E8B886C">
      <w:pPr>
        <w:shd w:val="clear"/>
        <w:spacing w:before="120" w:line="600" w:lineRule="auto"/>
        <w:ind w:firstLine="1680" w:firstLineChars="7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签订日期：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月</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日</w:t>
      </w:r>
    </w:p>
    <w:p w14:paraId="4A645221">
      <w:pPr>
        <w:rPr>
          <w:rFonts w:hint="eastAsia"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sz w:val="24"/>
          <w:highlight w:val="none"/>
          <w:u w:val="single"/>
          <w:lang w:val="zh-CN"/>
        </w:rPr>
        <w:br w:type="page"/>
      </w:r>
    </w:p>
    <w:p w14:paraId="6C8EA87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color w:val="auto"/>
          <w:sz w:val="21"/>
          <w:szCs w:val="21"/>
          <w:highlight w:val="none"/>
          <w:lang w:val="zh-CN"/>
        </w:rPr>
      </w:pP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lang w:val="zh-CN"/>
        </w:rPr>
        <w:t>年</w:t>
      </w: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lang w:val="zh-CN"/>
        </w:rPr>
        <w:t>月</w:t>
      </w: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lang w:val="zh-CN"/>
        </w:rPr>
        <w:t>日，</w:t>
      </w: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u w:val="single"/>
          <w:lang w:val="en-US" w:eastAsia="zh-CN"/>
        </w:rPr>
        <w:t>采购</w:t>
      </w:r>
      <w:r>
        <w:rPr>
          <w:rFonts w:hint="default" w:ascii="Times New Roman" w:hAnsi="Times New Roman" w:eastAsia="宋体" w:cs="Times New Roman"/>
          <w:color w:val="auto"/>
          <w:sz w:val="21"/>
          <w:szCs w:val="21"/>
          <w:highlight w:val="none"/>
          <w:u w:val="single"/>
          <w:lang w:val="zh-CN"/>
        </w:rPr>
        <w:t xml:space="preserve">人）   </w:t>
      </w:r>
      <w:r>
        <w:rPr>
          <w:rFonts w:hint="default" w:ascii="Times New Roman" w:hAnsi="Times New Roman" w:eastAsia="宋体" w:cs="Times New Roman"/>
          <w:color w:val="auto"/>
          <w:sz w:val="21"/>
          <w:szCs w:val="21"/>
          <w:highlight w:val="none"/>
          <w:lang w:val="zh-CN"/>
        </w:rPr>
        <w:t>以</w:t>
      </w: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u w:val="single"/>
          <w:lang w:val="en-US" w:eastAsia="zh-CN"/>
        </w:rPr>
        <w:t>竞争性磋商</w:t>
      </w:r>
      <w:r>
        <w:rPr>
          <w:rFonts w:hint="default" w:ascii="Times New Roman" w:hAnsi="Times New Roman" w:eastAsia="宋体" w:cs="Times New Roman"/>
          <w:color w:val="auto"/>
          <w:sz w:val="21"/>
          <w:szCs w:val="21"/>
          <w:highlight w:val="none"/>
          <w:u w:val="single"/>
          <w:lang w:val="zh-CN"/>
        </w:rPr>
        <w:t xml:space="preserve">采购方式 </w:t>
      </w:r>
      <w:r>
        <w:rPr>
          <w:rFonts w:hint="default" w:ascii="Times New Roman" w:hAnsi="Times New Roman" w:eastAsia="宋体" w:cs="Times New Roman"/>
          <w:color w:val="auto"/>
          <w:sz w:val="21"/>
          <w:szCs w:val="21"/>
          <w:highlight w:val="none"/>
          <w:lang w:val="zh-CN"/>
        </w:rPr>
        <w:t>对</w:t>
      </w:r>
      <w:r>
        <w:rPr>
          <w:rFonts w:hint="default" w:ascii="Times New Roman" w:hAnsi="Times New Roman" w:eastAsia="宋体" w:cs="Times New Roman"/>
          <w:color w:val="auto"/>
          <w:sz w:val="21"/>
          <w:szCs w:val="21"/>
          <w:highlight w:val="none"/>
          <w:u w:val="single"/>
          <w:lang w:val="zh-CN"/>
        </w:rPr>
        <w:t xml:space="preserve"> </w:t>
      </w:r>
      <w:r>
        <w:rPr>
          <w:rFonts w:hint="eastAsia" w:ascii="Times New Roman" w:hAnsi="Times New Roman" w:cs="Times New Roman"/>
          <w:color w:val="auto"/>
          <w:sz w:val="21"/>
          <w:szCs w:val="21"/>
          <w:highlight w:val="none"/>
          <w:u w:val="single"/>
          <w:lang w:val="zh-CN"/>
        </w:rPr>
        <w:t>宁波市奉化区粮食购销有限公司2025年零星工程维修服务采购项目</w:t>
      </w:r>
      <w:r>
        <w:rPr>
          <w:rFonts w:hint="default" w:ascii="Times New Roman" w:hAnsi="Times New Roman" w:eastAsia="宋体" w:cs="Times New Roman"/>
          <w:color w:val="auto"/>
          <w:sz w:val="21"/>
          <w:szCs w:val="21"/>
          <w:highlight w:val="none"/>
          <w:u w:val="single"/>
          <w:lang w:val="zh-CN"/>
        </w:rPr>
        <w:t>（项目编号：</w:t>
      </w:r>
      <w:r>
        <w:rPr>
          <w:rFonts w:hint="eastAsia" w:ascii="Times New Roman" w:hAnsi="Times New Roman" w:cs="Times New Roman"/>
          <w:color w:val="auto"/>
          <w:sz w:val="21"/>
          <w:szCs w:val="21"/>
          <w:highlight w:val="none"/>
          <w:u w:val="single"/>
          <w:lang w:val="zh-CN"/>
        </w:rPr>
        <w:t>FHGQZB(2025)121D</w:t>
      </w:r>
      <w:r>
        <w:rPr>
          <w:rFonts w:hint="default" w:ascii="Times New Roman" w:hAnsi="Times New Roman" w:eastAsia="宋体" w:cs="Times New Roman"/>
          <w:color w:val="auto"/>
          <w:sz w:val="21"/>
          <w:szCs w:val="21"/>
          <w:highlight w:val="none"/>
          <w:u w:val="single"/>
          <w:lang w:val="zh-CN"/>
        </w:rPr>
        <w:t>）</w:t>
      </w:r>
      <w:r>
        <w:rPr>
          <w:rFonts w:hint="default" w:ascii="Times New Roman" w:hAnsi="Times New Roman" w:eastAsia="宋体" w:cs="Times New Roman"/>
          <w:color w:val="auto"/>
          <w:sz w:val="21"/>
          <w:szCs w:val="21"/>
          <w:highlight w:val="none"/>
          <w:lang w:val="zh-CN"/>
        </w:rPr>
        <w:t>进行了采购。经</w:t>
      </w:r>
      <w:r>
        <w:rPr>
          <w:rFonts w:hint="default" w:ascii="Times New Roman" w:hAnsi="Times New Roman" w:eastAsia="宋体" w:cs="Times New Roman"/>
          <w:color w:val="auto"/>
          <w:sz w:val="21"/>
          <w:szCs w:val="21"/>
          <w:highlight w:val="none"/>
          <w:u w:val="single"/>
          <w:lang w:val="zh-CN"/>
        </w:rPr>
        <w:t xml:space="preserve">  （相关评定主体名称）  </w:t>
      </w:r>
      <w:r>
        <w:rPr>
          <w:rFonts w:hint="default" w:ascii="Times New Roman" w:hAnsi="Times New Roman" w:eastAsia="宋体" w:cs="Times New Roman"/>
          <w:color w:val="auto"/>
          <w:sz w:val="21"/>
          <w:szCs w:val="21"/>
          <w:highlight w:val="none"/>
          <w:lang w:val="zh-CN"/>
        </w:rPr>
        <w:t>评定，</w:t>
      </w:r>
      <w:r>
        <w:rPr>
          <w:rFonts w:hint="default" w:ascii="Times New Roman" w:hAnsi="Times New Roman" w:eastAsia="宋体" w:cs="Times New Roman"/>
          <w:color w:val="auto"/>
          <w:sz w:val="21"/>
          <w:szCs w:val="21"/>
          <w:highlight w:val="none"/>
          <w:lang w:val="en-US" w:eastAsia="zh-CN"/>
        </w:rPr>
        <w:t>标项</w:t>
      </w:r>
      <w:r>
        <w:rPr>
          <w:rFonts w:hint="default" w:ascii="Times New Roman" w:hAnsi="Times New Roman" w:eastAsia="宋体" w:cs="Times New Roman"/>
          <w:color w:val="auto"/>
          <w:sz w:val="21"/>
          <w:szCs w:val="21"/>
          <w:highlight w:val="none"/>
          <w:u w:val="single"/>
          <w:lang w:val="en-US" w:eastAsia="zh-CN"/>
        </w:rPr>
        <w:t xml:space="preserve">    </w:t>
      </w:r>
      <w:r>
        <w:rPr>
          <w:rFonts w:hint="default" w:ascii="Times New Roman" w:hAnsi="Times New Roman" w:eastAsia="宋体" w:cs="Times New Roman"/>
          <w:color w:val="auto"/>
          <w:sz w:val="21"/>
          <w:szCs w:val="21"/>
          <w:highlight w:val="none"/>
          <w:lang w:val="en-US" w:eastAsia="zh-CN"/>
        </w:rPr>
        <w:t>的</w:t>
      </w:r>
      <w:r>
        <w:rPr>
          <w:rFonts w:hint="default" w:ascii="Times New Roman" w:hAnsi="Times New Roman" w:eastAsia="宋体" w:cs="Times New Roman"/>
          <w:color w:val="auto"/>
          <w:sz w:val="21"/>
          <w:szCs w:val="21"/>
          <w:highlight w:val="none"/>
          <w:u w:val="single"/>
          <w:lang w:val="zh-CN"/>
        </w:rPr>
        <w:t xml:space="preserve">   （</w:t>
      </w:r>
      <w:r>
        <w:rPr>
          <w:rFonts w:hint="default" w:ascii="Times New Roman" w:hAnsi="Times New Roman" w:eastAsia="宋体" w:cs="Times New Roman"/>
          <w:color w:val="auto"/>
          <w:sz w:val="21"/>
          <w:szCs w:val="21"/>
          <w:highlight w:val="none"/>
          <w:u w:val="single"/>
          <w:lang w:val="en-US" w:eastAsia="zh-CN"/>
        </w:rPr>
        <w:t>成交</w:t>
      </w:r>
      <w:r>
        <w:rPr>
          <w:rFonts w:hint="default" w:ascii="Times New Roman" w:hAnsi="Times New Roman" w:eastAsia="宋体" w:cs="Times New Roman"/>
          <w:color w:val="auto"/>
          <w:sz w:val="21"/>
          <w:szCs w:val="21"/>
          <w:highlight w:val="none"/>
          <w:u w:val="single"/>
          <w:lang w:val="zh-CN"/>
        </w:rPr>
        <w:t>供应商名称）</w:t>
      </w:r>
      <w:r>
        <w:rPr>
          <w:rFonts w:hint="default" w:ascii="Times New Roman" w:hAnsi="Times New Roman" w:eastAsia="宋体" w:cs="Times New Roman"/>
          <w:color w:val="auto"/>
          <w:sz w:val="21"/>
          <w:szCs w:val="21"/>
          <w:highlight w:val="none"/>
          <w:lang w:val="zh-CN"/>
        </w:rPr>
        <w:t>为该项目</w:t>
      </w:r>
      <w:r>
        <w:rPr>
          <w:rFonts w:hint="default" w:ascii="Times New Roman" w:hAnsi="Times New Roman" w:eastAsia="宋体" w:cs="Times New Roman"/>
          <w:color w:val="auto"/>
          <w:sz w:val="21"/>
          <w:szCs w:val="21"/>
          <w:highlight w:val="none"/>
          <w:lang w:val="en-US" w:eastAsia="zh-CN"/>
        </w:rPr>
        <w:t>成交</w:t>
      </w:r>
      <w:r>
        <w:rPr>
          <w:rFonts w:hint="default" w:ascii="Times New Roman" w:hAnsi="Times New Roman" w:eastAsia="宋体" w:cs="Times New Roman"/>
          <w:color w:val="auto"/>
          <w:sz w:val="21"/>
          <w:szCs w:val="21"/>
          <w:highlight w:val="none"/>
          <w:lang w:val="zh-CN"/>
        </w:rPr>
        <w:t>供应商。现于</w:t>
      </w:r>
      <w:r>
        <w:rPr>
          <w:rFonts w:hint="default" w:ascii="Times New Roman" w:hAnsi="Times New Roman" w:eastAsia="宋体" w:cs="Times New Roman"/>
          <w:color w:val="auto"/>
          <w:sz w:val="21"/>
          <w:szCs w:val="21"/>
          <w:highlight w:val="none"/>
          <w:lang w:val="en-US" w:eastAsia="zh-CN"/>
        </w:rPr>
        <w:t>成交</w:t>
      </w:r>
      <w:r>
        <w:rPr>
          <w:rFonts w:hint="default" w:ascii="Times New Roman" w:hAnsi="Times New Roman" w:eastAsia="宋体" w:cs="Times New Roman"/>
          <w:color w:val="auto"/>
          <w:sz w:val="21"/>
          <w:szCs w:val="21"/>
          <w:highlight w:val="none"/>
          <w:lang w:val="zh-CN"/>
        </w:rPr>
        <w:t>通知书发出之日起三十日内，按照</w:t>
      </w:r>
      <w:r>
        <w:rPr>
          <w:rFonts w:hint="default" w:ascii="Times New Roman" w:hAnsi="Times New Roman" w:eastAsia="宋体" w:cs="Times New Roman"/>
          <w:color w:val="auto"/>
          <w:sz w:val="21"/>
          <w:szCs w:val="21"/>
          <w:highlight w:val="none"/>
          <w:lang w:val="en-US" w:eastAsia="zh-CN"/>
        </w:rPr>
        <w:t>采购</w:t>
      </w:r>
      <w:r>
        <w:rPr>
          <w:rFonts w:hint="default" w:ascii="Times New Roman" w:hAnsi="Times New Roman" w:eastAsia="宋体" w:cs="Times New Roman"/>
          <w:color w:val="auto"/>
          <w:sz w:val="21"/>
          <w:szCs w:val="21"/>
          <w:highlight w:val="none"/>
          <w:lang w:val="zh-CN"/>
        </w:rPr>
        <w:t>文件确定的事项签订本协议。</w:t>
      </w:r>
    </w:p>
    <w:p w14:paraId="754F943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color w:val="auto"/>
          <w:sz w:val="21"/>
          <w:szCs w:val="21"/>
          <w:highlight w:val="none"/>
          <w:lang w:val="zh-CN"/>
        </w:rPr>
        <w:t>根据《中华人民共和国民法典》等相关法律法规之规定，按照平等、自愿、公平、诚实信用的原则，经</w:t>
      </w:r>
      <w:r>
        <w:rPr>
          <w:rFonts w:hint="default" w:ascii="Times New Roman" w:hAnsi="Times New Roman" w:eastAsia="宋体" w:cs="Times New Roman"/>
          <w:color w:val="auto"/>
          <w:sz w:val="21"/>
          <w:szCs w:val="21"/>
          <w:highlight w:val="none"/>
          <w:u w:val="single"/>
        </w:rPr>
        <w:t xml:space="preserve">   （</w:t>
      </w:r>
      <w:r>
        <w:rPr>
          <w:rFonts w:hint="default" w:ascii="Times New Roman" w:hAnsi="Times New Roman" w:eastAsia="宋体" w:cs="Times New Roman"/>
          <w:color w:val="auto"/>
          <w:sz w:val="21"/>
          <w:szCs w:val="21"/>
          <w:highlight w:val="none"/>
          <w:u w:val="single"/>
          <w:lang w:val="en-US" w:eastAsia="zh-CN"/>
        </w:rPr>
        <w:t>采购</w:t>
      </w:r>
      <w:r>
        <w:rPr>
          <w:rFonts w:hint="default" w:ascii="Times New Roman" w:hAnsi="Times New Roman" w:eastAsia="宋体" w:cs="Times New Roman"/>
          <w:color w:val="auto"/>
          <w:sz w:val="21"/>
          <w:szCs w:val="21"/>
          <w:highlight w:val="none"/>
          <w:u w:val="single"/>
        </w:rPr>
        <w:t xml:space="preserve">人）   </w:t>
      </w:r>
      <w:r>
        <w:rPr>
          <w:rFonts w:hint="default" w:ascii="Times New Roman" w:hAnsi="Times New Roman" w:eastAsia="宋体" w:cs="Times New Roman"/>
          <w:color w:val="auto"/>
          <w:sz w:val="21"/>
          <w:szCs w:val="21"/>
          <w:highlight w:val="none"/>
          <w:lang w:val="zh-CN"/>
        </w:rPr>
        <w:t>(以下简称：甲方)和</w:t>
      </w:r>
      <w:r>
        <w:rPr>
          <w:rFonts w:hint="default" w:ascii="Times New Roman" w:hAnsi="Times New Roman" w:eastAsia="宋体" w:cs="Times New Roman"/>
          <w:color w:val="auto"/>
          <w:sz w:val="21"/>
          <w:szCs w:val="21"/>
          <w:highlight w:val="none"/>
          <w:u w:val="single"/>
        </w:rPr>
        <w:t xml:space="preserve">   （</w:t>
      </w:r>
      <w:r>
        <w:rPr>
          <w:rFonts w:hint="default" w:ascii="Times New Roman" w:hAnsi="Times New Roman" w:eastAsia="宋体" w:cs="Times New Roman"/>
          <w:color w:val="auto"/>
          <w:sz w:val="21"/>
          <w:szCs w:val="21"/>
          <w:highlight w:val="none"/>
          <w:u w:val="single"/>
          <w:lang w:val="en-US" w:eastAsia="zh-CN"/>
        </w:rPr>
        <w:t>成交</w:t>
      </w:r>
      <w:r>
        <w:rPr>
          <w:rFonts w:hint="default" w:ascii="Times New Roman" w:hAnsi="Times New Roman" w:eastAsia="宋体" w:cs="Times New Roman"/>
          <w:color w:val="auto"/>
          <w:sz w:val="21"/>
          <w:szCs w:val="21"/>
          <w:highlight w:val="none"/>
          <w:u w:val="single"/>
        </w:rPr>
        <w:t xml:space="preserve">供应商名称）   </w:t>
      </w:r>
      <w:r>
        <w:rPr>
          <w:rFonts w:hint="default" w:ascii="Times New Roman" w:hAnsi="Times New Roman" w:eastAsia="宋体" w:cs="Times New Roman"/>
          <w:color w:val="auto"/>
          <w:sz w:val="21"/>
          <w:szCs w:val="21"/>
          <w:highlight w:val="none"/>
          <w:lang w:val="zh-CN"/>
        </w:rPr>
        <w:t>(以下简称：乙方)协商一致，约定以下协议</w:t>
      </w:r>
      <w:r>
        <w:rPr>
          <w:rFonts w:hint="default" w:ascii="Times New Roman" w:hAnsi="Times New Roman" w:eastAsia="宋体" w:cs="Times New Roman"/>
          <w:color w:val="auto"/>
          <w:sz w:val="21"/>
          <w:szCs w:val="21"/>
          <w:highlight w:val="none"/>
        </w:rPr>
        <w:t>条款，以兹共同遵守、全面履行。</w:t>
      </w:r>
    </w:p>
    <w:p w14:paraId="55E93A96">
      <w:pPr>
        <w:pStyle w:val="15"/>
        <w:keepNext w:val="0"/>
        <w:keepLines w:val="0"/>
        <w:pageBreakBefore w:val="0"/>
        <w:widowControl w:val="0"/>
        <w:numPr>
          <w:ilvl w:val="0"/>
          <w:numId w:val="4"/>
        </w:numPr>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color w:val="auto"/>
          <w:sz w:val="21"/>
          <w:szCs w:val="21"/>
          <w:highlight w:val="none"/>
        </w:rPr>
        <w:t>服务范围及服务内容</w:t>
      </w:r>
    </w:p>
    <w:p w14:paraId="20B4F362">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1.1服务范围：</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5"/>
        <w:gridCol w:w="5208"/>
        <w:gridCol w:w="2363"/>
      </w:tblGrid>
      <w:tr w14:paraId="76CC3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269" w:type="dxa"/>
            <w:vAlign w:val="center"/>
          </w:tcPr>
          <w:p w14:paraId="5A9C6BC1">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标项</w:t>
            </w:r>
          </w:p>
        </w:tc>
        <w:tc>
          <w:tcPr>
            <w:tcW w:w="5349" w:type="dxa"/>
            <w:vAlign w:val="center"/>
          </w:tcPr>
          <w:p w14:paraId="52AECCAB">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区域</w:t>
            </w:r>
          </w:p>
        </w:tc>
        <w:tc>
          <w:tcPr>
            <w:tcW w:w="2420" w:type="dxa"/>
            <w:vAlign w:val="center"/>
          </w:tcPr>
          <w:p w14:paraId="252B25E8">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预算</w:t>
            </w:r>
          </w:p>
        </w:tc>
      </w:tr>
      <w:tr w14:paraId="64FFC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269" w:type="dxa"/>
            <w:vAlign w:val="center"/>
          </w:tcPr>
          <w:p w14:paraId="08788994">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CN"/>
              </w:rPr>
            </w:pPr>
          </w:p>
        </w:tc>
        <w:tc>
          <w:tcPr>
            <w:tcW w:w="5349" w:type="dxa"/>
            <w:vAlign w:val="center"/>
          </w:tcPr>
          <w:p w14:paraId="5BBDCE62">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CN"/>
              </w:rPr>
            </w:pPr>
          </w:p>
        </w:tc>
        <w:tc>
          <w:tcPr>
            <w:tcW w:w="2420" w:type="dxa"/>
            <w:vAlign w:val="center"/>
          </w:tcPr>
          <w:p w14:paraId="02F408DD">
            <w:pPr>
              <w:pStyle w:val="10"/>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宋体" w:cs="Times New Roman"/>
                <w:color w:val="auto"/>
                <w:sz w:val="21"/>
                <w:szCs w:val="21"/>
                <w:highlight w:val="none"/>
                <w:lang w:val="en-US" w:eastAsia="zh-Hans"/>
              </w:rPr>
            </w:pPr>
          </w:p>
        </w:tc>
      </w:tr>
    </w:tbl>
    <w:p w14:paraId="441215E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注：</w:t>
      </w:r>
      <w:r>
        <w:rPr>
          <w:rFonts w:hint="default" w:ascii="Times New Roman" w:hAnsi="Times New Roman" w:eastAsia="宋体" w:cs="Times New Roman"/>
          <w:color w:val="auto"/>
          <w:sz w:val="21"/>
          <w:szCs w:val="21"/>
          <w:highlight w:val="none"/>
        </w:rPr>
        <w:t>具体根据</w:t>
      </w:r>
      <w:r>
        <w:rPr>
          <w:rFonts w:hint="default" w:ascii="Times New Roman" w:hAnsi="Times New Roman" w:eastAsia="宋体" w:cs="Times New Roman"/>
          <w:color w:val="auto"/>
          <w:sz w:val="21"/>
          <w:szCs w:val="21"/>
          <w:highlight w:val="none"/>
          <w:lang w:val="en-US" w:eastAsia="zh-Hans"/>
        </w:rPr>
        <w:t>项目</w:t>
      </w:r>
      <w:r>
        <w:rPr>
          <w:rFonts w:hint="default" w:ascii="Times New Roman" w:hAnsi="Times New Roman" w:eastAsia="宋体" w:cs="Times New Roman"/>
          <w:color w:val="auto"/>
          <w:sz w:val="21"/>
          <w:szCs w:val="21"/>
          <w:highlight w:val="none"/>
        </w:rPr>
        <w:t>实际情况确定</w:t>
      </w:r>
      <w:r>
        <w:rPr>
          <w:rFonts w:hint="eastAsia" w:ascii="Times New Roman" w:hAnsi="Times New Roman" w:eastAsia="宋体" w:cs="Times New Roman"/>
          <w:color w:val="auto"/>
          <w:sz w:val="21"/>
          <w:szCs w:val="21"/>
          <w:highlight w:val="none"/>
          <w:lang w:eastAsia="zh-CN"/>
        </w:rPr>
        <w:t>。</w:t>
      </w:r>
    </w:p>
    <w:p w14:paraId="66E2D050">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1.2服务内容：服务范围内“2000元（含）～区招标限额以下”的房屋（含附属设施）维修及其他零星工程维修改造等项目的维修任务（除特殊项目或区交管办通过公开招标方式建立区招标限额以下的施工参建单位预选名录库外）。</w:t>
      </w:r>
    </w:p>
    <w:p w14:paraId="7FFD94E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注：目前以《宁波市奉化区小型建设工程项目交易管理办法（修订版）》和《宁波市奉化区微型建设工程项目发包管理办法（修订版）》奉资交管办【2023】2号确认的区招标限额为准，如合同实施期间政策文件有调整的按照最新标准执行。</w:t>
      </w:r>
    </w:p>
    <w:p w14:paraId="6CBE65B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1.3</w:t>
      </w:r>
      <w:r>
        <w:rPr>
          <w:rFonts w:hint="default" w:ascii="Times New Roman" w:hAnsi="Times New Roman" w:eastAsia="宋体" w:cs="Times New Roman"/>
          <w:color w:val="auto"/>
          <w:sz w:val="21"/>
          <w:szCs w:val="21"/>
          <w:highlight w:val="none"/>
        </w:rPr>
        <w:t>零星维修中的施工质量要求</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符合国家、浙江省、宁波市验收规范（从高）一次性验收合格标准要求。</w:t>
      </w:r>
    </w:p>
    <w:p w14:paraId="5D977B31">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1.4</w:t>
      </w:r>
      <w:r>
        <w:rPr>
          <w:rFonts w:hint="default" w:ascii="Times New Roman" w:hAnsi="Times New Roman" w:eastAsia="宋体" w:cs="Times New Roman"/>
          <w:color w:val="auto"/>
          <w:sz w:val="21"/>
          <w:szCs w:val="21"/>
          <w:highlight w:val="none"/>
        </w:rPr>
        <w:t>工期要求</w:t>
      </w:r>
      <w:r>
        <w:rPr>
          <w:rFonts w:hint="eastAsia" w:ascii="Times New Roman" w:hAnsi="Times New Roman"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符合单个项目工期要求，具体由</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根据具体项目情况确定。</w:t>
      </w:r>
    </w:p>
    <w:p w14:paraId="4C94E25A">
      <w:pPr>
        <w:pStyle w:val="15"/>
        <w:keepNext w:val="0"/>
        <w:keepLines w:val="0"/>
        <w:pageBreakBefore w:val="0"/>
        <w:widowControl w:val="0"/>
        <w:numPr>
          <w:ilvl w:val="0"/>
          <w:numId w:val="4"/>
        </w:numPr>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服务期限</w:t>
      </w:r>
    </w:p>
    <w:p w14:paraId="1812032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u w:val="single"/>
        </w:rPr>
      </w:pPr>
      <w:r>
        <w:rPr>
          <w:rFonts w:hint="default" w:ascii="Times New Roman" w:hAnsi="Times New Roman" w:eastAsia="宋体" w:cs="Times New Roman"/>
          <w:bCs/>
          <w:color w:val="auto"/>
          <w:sz w:val="21"/>
          <w:szCs w:val="21"/>
          <w:highlight w:val="none"/>
          <w:u w:val="single"/>
        </w:rPr>
        <w:t>20</w:t>
      </w:r>
      <w:r>
        <w:rPr>
          <w:rFonts w:hint="eastAsia" w:ascii="Times New Roman" w:hAnsi="Times New Roman" w:cs="Times New Roman"/>
          <w:bCs/>
          <w:color w:val="auto"/>
          <w:sz w:val="21"/>
          <w:szCs w:val="21"/>
          <w:highlight w:val="none"/>
          <w:u w:val="single"/>
          <w:lang w:val="en-US" w:eastAsia="zh-CN"/>
        </w:rPr>
        <w:t>25</w:t>
      </w:r>
      <w:r>
        <w:rPr>
          <w:rFonts w:hint="default" w:ascii="Times New Roman" w:hAnsi="Times New Roman" w:eastAsia="宋体" w:cs="Times New Roman"/>
          <w:bCs/>
          <w:color w:val="auto"/>
          <w:sz w:val="21"/>
          <w:szCs w:val="21"/>
          <w:highlight w:val="none"/>
        </w:rPr>
        <w:t>年</w:t>
      </w:r>
      <w:r>
        <w:rPr>
          <w:rFonts w:hint="default" w:ascii="Times New Roman" w:hAnsi="Times New Roman" w:eastAsia="宋体" w:cs="Times New Roman"/>
          <w:bCs/>
          <w:color w:val="auto"/>
          <w:sz w:val="21"/>
          <w:szCs w:val="21"/>
          <w:highlight w:val="none"/>
          <w:u w:val="single"/>
        </w:rPr>
        <w:t xml:space="preserve">   </w:t>
      </w:r>
      <w:r>
        <w:rPr>
          <w:rFonts w:hint="default" w:ascii="Times New Roman" w:hAnsi="Times New Roman" w:eastAsia="宋体" w:cs="Times New Roman"/>
          <w:bCs/>
          <w:color w:val="auto"/>
          <w:sz w:val="21"/>
          <w:szCs w:val="21"/>
          <w:highlight w:val="none"/>
        </w:rPr>
        <w:t>月</w:t>
      </w:r>
      <w:r>
        <w:rPr>
          <w:rFonts w:hint="default" w:ascii="Times New Roman" w:hAnsi="Times New Roman" w:eastAsia="宋体" w:cs="Times New Roman"/>
          <w:bCs/>
          <w:color w:val="auto"/>
          <w:sz w:val="21"/>
          <w:szCs w:val="21"/>
          <w:highlight w:val="none"/>
          <w:u w:val="single"/>
        </w:rPr>
        <w:t xml:space="preserve">  </w:t>
      </w:r>
      <w:r>
        <w:rPr>
          <w:rFonts w:hint="default" w:ascii="Times New Roman" w:hAnsi="Times New Roman" w:eastAsia="宋体" w:cs="Times New Roman"/>
          <w:bCs/>
          <w:color w:val="auto"/>
          <w:sz w:val="21"/>
          <w:szCs w:val="21"/>
          <w:highlight w:val="none"/>
        </w:rPr>
        <w:t>日至</w:t>
      </w:r>
      <w:r>
        <w:rPr>
          <w:rFonts w:hint="eastAsia" w:ascii="Times New Roman" w:hAnsi="Times New Roman" w:cs="Times New Roman"/>
          <w:bCs/>
          <w:color w:val="auto"/>
          <w:sz w:val="21"/>
          <w:szCs w:val="21"/>
          <w:highlight w:val="none"/>
          <w:u w:val="single"/>
          <w:lang w:val="en-US" w:eastAsia="zh-CN"/>
        </w:rPr>
        <w:t>2026</w:t>
      </w:r>
      <w:r>
        <w:rPr>
          <w:rFonts w:hint="default" w:ascii="Times New Roman" w:hAnsi="Times New Roman" w:eastAsia="宋体" w:cs="Times New Roman"/>
          <w:bCs/>
          <w:color w:val="auto"/>
          <w:sz w:val="21"/>
          <w:szCs w:val="21"/>
          <w:highlight w:val="none"/>
        </w:rPr>
        <w:t>年</w:t>
      </w:r>
      <w:r>
        <w:rPr>
          <w:rFonts w:hint="default" w:ascii="Times New Roman" w:hAnsi="Times New Roman" w:eastAsia="宋体" w:cs="Times New Roman"/>
          <w:bCs/>
          <w:color w:val="auto"/>
          <w:sz w:val="21"/>
          <w:szCs w:val="21"/>
          <w:highlight w:val="none"/>
          <w:u w:val="single"/>
        </w:rPr>
        <w:t xml:space="preserve">   </w:t>
      </w:r>
      <w:r>
        <w:rPr>
          <w:rFonts w:hint="default" w:ascii="Times New Roman" w:hAnsi="Times New Roman" w:eastAsia="宋体" w:cs="Times New Roman"/>
          <w:bCs/>
          <w:color w:val="auto"/>
          <w:sz w:val="21"/>
          <w:szCs w:val="21"/>
          <w:highlight w:val="none"/>
        </w:rPr>
        <w:t>月</w:t>
      </w:r>
      <w:r>
        <w:rPr>
          <w:rFonts w:hint="default" w:ascii="Times New Roman" w:hAnsi="Times New Roman" w:eastAsia="宋体" w:cs="Times New Roman"/>
          <w:bCs/>
          <w:color w:val="auto"/>
          <w:sz w:val="21"/>
          <w:szCs w:val="21"/>
          <w:highlight w:val="none"/>
          <w:u w:val="single"/>
        </w:rPr>
        <w:t xml:space="preserve">    </w:t>
      </w:r>
      <w:r>
        <w:rPr>
          <w:rFonts w:hint="default" w:ascii="Times New Roman" w:hAnsi="Times New Roman" w:eastAsia="宋体" w:cs="Times New Roman"/>
          <w:bCs/>
          <w:color w:val="auto"/>
          <w:sz w:val="21"/>
          <w:szCs w:val="21"/>
          <w:highlight w:val="none"/>
        </w:rPr>
        <w:t>日止。</w:t>
      </w:r>
    </w:p>
    <w:p w14:paraId="122ED2FF">
      <w:pPr>
        <w:keepNext w:val="0"/>
        <w:keepLines w:val="0"/>
        <w:pageBreakBefore w:val="0"/>
        <w:widowControl w:val="0"/>
        <w:numPr>
          <w:ilvl w:val="0"/>
          <w:numId w:val="4"/>
        </w:numPr>
        <w:kinsoku/>
        <w:wordWrap/>
        <w:overflowPunct/>
        <w:topLinePunct w:val="0"/>
        <w:autoSpaceDE/>
        <w:autoSpaceDN/>
        <w:bidi w:val="0"/>
        <w:adjustRightInd/>
        <w:snapToGrid w:val="0"/>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任务量</w:t>
      </w:r>
    </w:p>
    <w:p w14:paraId="2FB600B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年度零星维修任务量根据实际情况而定。</w:t>
      </w:r>
    </w:p>
    <w:p w14:paraId="414425D1">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2、乙方</w:t>
      </w:r>
      <w:r>
        <w:rPr>
          <w:rFonts w:hint="default" w:ascii="Times New Roman" w:hAnsi="Times New Roman" w:eastAsia="宋体" w:cs="Times New Roman"/>
          <w:color w:val="auto"/>
          <w:sz w:val="21"/>
          <w:szCs w:val="21"/>
          <w:highlight w:val="none"/>
        </w:rPr>
        <w:t>须无条件承接</w:t>
      </w:r>
      <w:r>
        <w:rPr>
          <w:rFonts w:hint="eastAsia" w:ascii="Times New Roman" w:hAnsi="Times New Roman" w:cs="Times New Roman"/>
          <w:color w:val="auto"/>
          <w:sz w:val="21"/>
          <w:szCs w:val="21"/>
          <w:highlight w:val="none"/>
          <w:lang w:val="en-US" w:eastAsia="zh-CN"/>
        </w:rPr>
        <w:t>甲方</w:t>
      </w:r>
      <w:r>
        <w:rPr>
          <w:rFonts w:hint="eastAsia" w:ascii="Times New Roman" w:hAnsi="Times New Roman" w:cs="Times New Roman"/>
          <w:color w:val="auto"/>
          <w:sz w:val="21"/>
          <w:szCs w:val="21"/>
          <w:highlight w:val="none"/>
          <w:lang w:eastAsia="zh-CN"/>
        </w:rPr>
        <w:t>所委托的零星维修工程任务</w:t>
      </w:r>
      <w:r>
        <w:rPr>
          <w:rFonts w:hint="default" w:ascii="Times New Roman" w:hAnsi="Times New Roman" w:eastAsia="宋体" w:cs="Times New Roman"/>
          <w:color w:val="auto"/>
          <w:sz w:val="21"/>
          <w:szCs w:val="21"/>
          <w:highlight w:val="none"/>
        </w:rPr>
        <w:t>，不得以任何理由拒绝、推脱。</w:t>
      </w:r>
    </w:p>
    <w:p w14:paraId="15240F69">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四、合同金额</w:t>
      </w:r>
    </w:p>
    <w:p w14:paraId="2D783EB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4.1 招标年度施工</w:t>
      </w:r>
      <w:r>
        <w:rPr>
          <w:rFonts w:hint="eastAsia" w:ascii="Times New Roman" w:hAnsi="Times New Roman" w:cs="Times New Roman"/>
          <w:color w:val="auto"/>
          <w:sz w:val="21"/>
          <w:szCs w:val="21"/>
          <w:highlight w:val="none"/>
          <w:lang w:val="en-US" w:eastAsia="zh-CN"/>
        </w:rPr>
        <w:t>成交综合折扣率</w:t>
      </w:r>
      <w:r>
        <w:rPr>
          <w:rFonts w:hint="default" w:ascii="Times New Roman" w:hAnsi="Times New Roman" w:eastAsia="宋体" w:cs="Times New Roman"/>
          <w:color w:val="auto"/>
          <w:sz w:val="21"/>
          <w:szCs w:val="21"/>
          <w:highlight w:val="none"/>
        </w:rPr>
        <w:t>为</w:t>
      </w:r>
      <w:r>
        <w:rPr>
          <w:rFonts w:hint="default" w:ascii="Times New Roman" w:hAnsi="Times New Roman" w:eastAsia="宋体" w:cs="Times New Roman"/>
          <w:color w:val="auto"/>
          <w:sz w:val="21"/>
          <w:szCs w:val="21"/>
          <w:highlight w:val="none"/>
          <w:u w:val="single"/>
        </w:rPr>
        <w:t xml:space="preserve">       </w:t>
      </w:r>
      <w:r>
        <w:rPr>
          <w:rFonts w:hint="eastAsia" w:ascii="Times New Roman" w:hAnsi="Times New Roman" w:cs="Times New Roman"/>
          <w:color w:val="auto"/>
          <w:sz w:val="21"/>
          <w:szCs w:val="21"/>
          <w:highlight w:val="none"/>
          <w:u w:val="none"/>
          <w:lang w:eastAsia="zh-CN"/>
        </w:rPr>
        <w:t>，</w:t>
      </w:r>
      <w:r>
        <w:rPr>
          <w:rFonts w:hint="eastAsia" w:ascii="Times New Roman" w:hAnsi="Times New Roman" w:cs="Times New Roman"/>
          <w:color w:val="auto"/>
          <w:sz w:val="21"/>
          <w:szCs w:val="21"/>
          <w:highlight w:val="none"/>
          <w:u w:val="single"/>
          <w:lang w:val="en-US" w:eastAsia="zh-CN"/>
        </w:rPr>
        <w:t xml:space="preserve">即下浮率为      </w:t>
      </w:r>
      <w:r>
        <w:rPr>
          <w:rFonts w:hint="default" w:ascii="Times New Roman" w:hAnsi="Times New Roman" w:eastAsia="宋体" w:cs="Times New Roman"/>
          <w:color w:val="auto"/>
          <w:sz w:val="21"/>
          <w:szCs w:val="21"/>
          <w:highlight w:val="none"/>
        </w:rPr>
        <w:t>。</w:t>
      </w:r>
    </w:p>
    <w:p w14:paraId="465A770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4.2 单项维修价确定：</w:t>
      </w:r>
    </w:p>
    <w:p w14:paraId="5074FF9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情形一</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单项工程预算在</w:t>
      </w:r>
      <w:r>
        <w:rPr>
          <w:rFonts w:hint="default" w:ascii="Times New Roman" w:hAnsi="Times New Roman" w:eastAsia="宋体" w:cs="Times New Roman"/>
          <w:color w:val="auto"/>
          <w:sz w:val="21"/>
          <w:szCs w:val="21"/>
          <w:highlight w:val="none"/>
          <w:lang w:eastAsia="zh-Hans"/>
        </w:rPr>
        <w:t>0</w:t>
      </w:r>
      <w:r>
        <w:rPr>
          <w:rFonts w:hint="default" w:ascii="Times New Roman" w:hAnsi="Times New Roman" w:eastAsia="宋体" w:cs="Times New Roman"/>
          <w:color w:val="auto"/>
          <w:sz w:val="21"/>
          <w:szCs w:val="21"/>
          <w:highlight w:val="none"/>
          <w:lang w:val="en-US" w:eastAsia="zh-Hans"/>
        </w:rPr>
        <w:t>.</w:t>
      </w:r>
      <w:r>
        <w:rPr>
          <w:rFonts w:hint="default" w:ascii="Times New Roman" w:hAnsi="Times New Roman" w:eastAsia="宋体" w:cs="Times New Roman"/>
          <w:color w:val="auto"/>
          <w:sz w:val="21"/>
          <w:szCs w:val="21"/>
          <w:highlight w:val="none"/>
          <w:lang w:eastAsia="zh-Hans"/>
        </w:rPr>
        <w:t>2</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含</w:t>
      </w: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不含</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以内的项目</w:t>
      </w:r>
    </w:p>
    <w:p w14:paraId="0871CEE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rPr>
        <w:t>结算依据：</w:t>
      </w:r>
      <w:r>
        <w:rPr>
          <w:rFonts w:hint="default" w:ascii="Times New Roman" w:hAnsi="Times New Roman" w:eastAsia="宋体" w:cs="Times New Roman"/>
          <w:color w:val="auto"/>
          <w:sz w:val="21"/>
          <w:szCs w:val="21"/>
          <w:highlight w:val="none"/>
          <w:lang w:val="en-US" w:eastAsia="zh-Hans"/>
        </w:rPr>
        <w:t>按照“项目费用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人工</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材料</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其他费用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除人工</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材料外</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为完成项目涉及的一切费用</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进行结算</w:t>
      </w:r>
      <w:r>
        <w:rPr>
          <w:rFonts w:hint="default" w:ascii="Times New Roman" w:hAnsi="Times New Roman" w:eastAsia="宋体" w:cs="Times New Roman"/>
          <w:color w:val="auto"/>
          <w:sz w:val="21"/>
          <w:szCs w:val="21"/>
          <w:highlight w:val="none"/>
          <w:lang w:eastAsia="zh-Hans"/>
        </w:rPr>
        <w:t>。</w:t>
      </w:r>
    </w:p>
    <w:p w14:paraId="2E807DC7">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eastAsia="zh-Hans"/>
        </w:rPr>
      </w:pPr>
      <w:r>
        <w:rPr>
          <w:rFonts w:hint="default" w:ascii="Times New Roman" w:hAnsi="Times New Roman" w:eastAsia="宋体" w:cs="Times New Roman"/>
          <w:color w:val="auto"/>
          <w:sz w:val="21"/>
          <w:szCs w:val="21"/>
          <w:highlight w:val="none"/>
          <w:lang w:val="en-US" w:eastAsia="zh-Hans"/>
        </w:rPr>
        <w:t>注</w:t>
      </w: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人工单价</w:t>
      </w:r>
      <w:r>
        <w:rPr>
          <w:rFonts w:hint="default" w:ascii="Times New Roman" w:hAnsi="Times New Roman" w:eastAsia="宋体" w:cs="Times New Roman"/>
          <w:color w:val="auto"/>
          <w:sz w:val="21"/>
          <w:szCs w:val="21"/>
          <w:highlight w:val="none"/>
        </w:rPr>
        <w:t>按照技术工按</w:t>
      </w:r>
      <w:r>
        <w:rPr>
          <w:rFonts w:hint="default" w:ascii="Times New Roman" w:hAnsi="Times New Roman" w:eastAsia="宋体" w:cs="Times New Roman"/>
          <w:color w:val="auto"/>
          <w:sz w:val="21"/>
          <w:szCs w:val="21"/>
          <w:highlight w:val="none"/>
          <w:lang w:val="en-US" w:eastAsia="zh-CN"/>
        </w:rPr>
        <w:t>4</w:t>
      </w:r>
      <w:r>
        <w:rPr>
          <w:rFonts w:hint="default" w:ascii="Times New Roman" w:hAnsi="Times New Roman" w:eastAsia="宋体" w:cs="Times New Roman"/>
          <w:color w:val="auto"/>
          <w:sz w:val="21"/>
          <w:szCs w:val="21"/>
          <w:highlight w:val="none"/>
        </w:rPr>
        <w:t>50元/工、普工按</w:t>
      </w:r>
      <w:r>
        <w:rPr>
          <w:rFonts w:hint="default" w:ascii="Times New Roman" w:hAnsi="Times New Roman" w:eastAsia="宋体" w:cs="Times New Roman"/>
          <w:color w:val="auto"/>
          <w:sz w:val="21"/>
          <w:szCs w:val="21"/>
          <w:highlight w:val="none"/>
          <w:lang w:val="en-US" w:eastAsia="zh-CN"/>
        </w:rPr>
        <w:t>30</w:t>
      </w:r>
      <w:r>
        <w:rPr>
          <w:rFonts w:hint="default" w:ascii="Times New Roman" w:hAnsi="Times New Roman" w:eastAsia="宋体" w:cs="Times New Roman"/>
          <w:color w:val="auto"/>
          <w:sz w:val="21"/>
          <w:szCs w:val="21"/>
          <w:highlight w:val="none"/>
        </w:rPr>
        <w:t>0元/工计取</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上述人工费包含工资、奖金、加班费及福利补贴、保险、通讯、交通费等</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rPr>
        <w:t>（2）</w:t>
      </w:r>
      <w:r>
        <w:rPr>
          <w:rFonts w:hint="default" w:ascii="Times New Roman" w:hAnsi="Times New Roman" w:eastAsia="宋体" w:cs="Times New Roman"/>
          <w:color w:val="auto"/>
          <w:sz w:val="21"/>
          <w:szCs w:val="21"/>
          <w:highlight w:val="none"/>
          <w:lang w:val="en-US" w:eastAsia="zh-Hans"/>
        </w:rPr>
        <w:t>最终结算价以</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委托的第三方</w:t>
      </w:r>
      <w:r>
        <w:rPr>
          <w:rFonts w:hint="default" w:ascii="Times New Roman" w:hAnsi="Times New Roman" w:eastAsia="宋体" w:cs="Times New Roman"/>
          <w:color w:val="auto"/>
          <w:sz w:val="21"/>
          <w:szCs w:val="21"/>
          <w:highlight w:val="none"/>
          <w:lang w:val="en-US" w:eastAsia="zh-Hans"/>
        </w:rPr>
        <w:t>咨询</w:t>
      </w:r>
      <w:r>
        <w:rPr>
          <w:rFonts w:hint="default" w:ascii="Times New Roman" w:hAnsi="Times New Roman" w:eastAsia="宋体" w:cs="Times New Roman"/>
          <w:color w:val="auto"/>
          <w:sz w:val="21"/>
          <w:szCs w:val="21"/>
          <w:highlight w:val="none"/>
        </w:rPr>
        <w:t>公司出具</w:t>
      </w:r>
      <w:r>
        <w:rPr>
          <w:rFonts w:hint="default" w:ascii="Times New Roman" w:hAnsi="Times New Roman" w:eastAsia="宋体" w:cs="Times New Roman"/>
          <w:color w:val="auto"/>
          <w:sz w:val="21"/>
          <w:szCs w:val="21"/>
          <w:highlight w:val="none"/>
          <w:lang w:val="en-US" w:eastAsia="zh-Hans"/>
        </w:rPr>
        <w:t>的</w:t>
      </w:r>
      <w:r>
        <w:rPr>
          <w:rFonts w:hint="default" w:ascii="Times New Roman" w:hAnsi="Times New Roman" w:eastAsia="宋体" w:cs="Times New Roman"/>
          <w:color w:val="auto"/>
          <w:sz w:val="21"/>
          <w:szCs w:val="21"/>
          <w:highlight w:val="none"/>
        </w:rPr>
        <w:t>审定价</w:t>
      </w:r>
      <w:r>
        <w:rPr>
          <w:rFonts w:hint="default" w:ascii="Times New Roman" w:hAnsi="Times New Roman" w:eastAsia="宋体" w:cs="Times New Roman"/>
          <w:color w:val="auto"/>
          <w:sz w:val="21"/>
          <w:szCs w:val="21"/>
          <w:highlight w:val="none"/>
          <w:lang w:val="en-US" w:eastAsia="zh-Hans"/>
        </w:rPr>
        <w:t>为准</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不下浮</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即</w:t>
      </w:r>
      <w:r>
        <w:rPr>
          <w:rFonts w:hint="default" w:ascii="Times New Roman" w:hAnsi="Times New Roman" w:eastAsia="宋体" w:cs="Times New Roman"/>
          <w:color w:val="auto"/>
          <w:sz w:val="21"/>
          <w:szCs w:val="21"/>
          <w:highlight w:val="none"/>
        </w:rPr>
        <w:t>最终结算价款＝审定价</w:t>
      </w:r>
      <w:r>
        <w:rPr>
          <w:rFonts w:hint="default" w:ascii="Times New Roman" w:hAnsi="Times New Roman" w:eastAsia="宋体" w:cs="Times New Roman"/>
          <w:color w:val="auto"/>
          <w:sz w:val="21"/>
          <w:szCs w:val="21"/>
          <w:highlight w:val="none"/>
          <w:lang w:eastAsia="zh-Hans"/>
        </w:rPr>
        <w:t>。</w:t>
      </w:r>
    </w:p>
    <w:p w14:paraId="601FEA3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p>
    <w:p w14:paraId="2AB47D58">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val="en-US" w:eastAsia="zh-Hans"/>
        </w:rPr>
      </w:pPr>
      <w:r>
        <w:rPr>
          <w:rFonts w:hint="default" w:ascii="Times New Roman" w:hAnsi="Times New Roman" w:eastAsia="宋体" w:cs="Times New Roman"/>
          <w:color w:val="auto"/>
          <w:sz w:val="21"/>
          <w:szCs w:val="21"/>
          <w:highlight w:val="none"/>
          <w:lang w:val="en-US" w:eastAsia="zh-Hans"/>
        </w:rPr>
        <w:t>情形二</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单项工程预算在</w:t>
      </w:r>
      <w:r>
        <w:rPr>
          <w:rFonts w:hint="default" w:ascii="Times New Roman" w:hAnsi="Times New Roman" w:eastAsia="宋体" w:cs="Times New Roman"/>
          <w:color w:val="auto"/>
          <w:sz w:val="21"/>
          <w:szCs w:val="21"/>
          <w:highlight w:val="none"/>
          <w:lang w:eastAsia="zh-Hans"/>
        </w:rPr>
        <w:t>1</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含</w:t>
      </w:r>
      <w:r>
        <w:rPr>
          <w:rFonts w:hint="default" w:ascii="Times New Roman" w:hAnsi="Times New Roman" w:eastAsia="宋体" w:cs="Times New Roman"/>
          <w:color w:val="auto"/>
          <w:sz w:val="21"/>
          <w:szCs w:val="21"/>
          <w:highlight w:val="none"/>
          <w:lang w:eastAsia="zh-Hans"/>
        </w:rPr>
        <w:t>）-60</w:t>
      </w:r>
      <w:r>
        <w:rPr>
          <w:rFonts w:hint="default" w:ascii="Times New Roman" w:hAnsi="Times New Roman" w:eastAsia="宋体" w:cs="Times New Roman"/>
          <w:color w:val="auto"/>
          <w:sz w:val="21"/>
          <w:szCs w:val="21"/>
          <w:highlight w:val="none"/>
          <w:lang w:val="en-US" w:eastAsia="zh-Hans"/>
        </w:rPr>
        <w:t>万元</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不含</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lang w:val="en-US" w:eastAsia="zh-Hans"/>
        </w:rPr>
        <w:t>的项目</w:t>
      </w:r>
    </w:p>
    <w:p w14:paraId="1C275C3A">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1、结算依据：</w:t>
      </w:r>
    </w:p>
    <w:p w14:paraId="1FA2717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施工图（如有）、《建设工程工程量计价规范GB50500-2013》、《房屋建筑与装饰工程工程量计算规范GB50854-2013》、《通用安装工程工程量计算规范 GB 50856-2013 》、《市政工程工程量计算规范 GB 50857-2013》、《园林绿化工程工程量计算规范 GB 50858-2013》）、《建筑工程建筑面积计算规范》（GB/T50353-2013）、《浙江省房屋建筑与装饰工程预算定额》（2018版）、《浙江省市政工程预算定额》(2018版)、《浙江省通用安装工程预算定额》（2018版）、《浙江省园林绿化及仿古建筑工程预算定额》(2018版)、《浙江省建设工程计价规则》（2018版）、《浙江省建设工程施工机械台班费用定额》（2018版）及有关的补充定额等。</w:t>
      </w:r>
    </w:p>
    <w:p w14:paraId="463B4EA8">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 xml:space="preserve">   注：</w:t>
      </w:r>
      <w:r>
        <w:rPr>
          <w:rFonts w:hint="default" w:ascii="Times New Roman" w:hAnsi="Times New Roman" w:eastAsia="宋体" w:cs="Times New Roman"/>
          <w:color w:val="auto"/>
          <w:sz w:val="21"/>
          <w:szCs w:val="21"/>
          <w:highlight w:val="none"/>
        </w:rPr>
        <w:fldChar w:fldCharType="begin"/>
      </w:r>
      <w:r>
        <w:rPr>
          <w:rFonts w:hint="default" w:ascii="Times New Roman" w:hAnsi="Times New Roman" w:eastAsia="宋体" w:cs="Times New Roman"/>
          <w:color w:val="auto"/>
          <w:sz w:val="21"/>
          <w:szCs w:val="21"/>
          <w:highlight w:val="none"/>
        </w:rPr>
        <w:instrText xml:space="preserve"> = 1 \* GB3 </w:instrText>
      </w:r>
      <w:r>
        <w:rPr>
          <w:rFonts w:hint="default" w:ascii="Times New Roman" w:hAnsi="Times New Roman" w:eastAsia="宋体" w:cs="Times New Roman"/>
          <w:color w:val="auto"/>
          <w:sz w:val="21"/>
          <w:szCs w:val="21"/>
          <w:highlight w:val="none"/>
        </w:rPr>
        <w:fldChar w:fldCharType="separate"/>
      </w:r>
      <w:r>
        <w:rPr>
          <w:rFonts w:hint="default" w:ascii="Times New Roman" w:hAnsi="Times New Roman" w:eastAsia="宋体" w:cs="Times New Roman"/>
          <w:color w:val="auto"/>
          <w:sz w:val="21"/>
          <w:szCs w:val="21"/>
          <w:highlight w:val="none"/>
        </w:rPr>
        <w:t>①</w:t>
      </w:r>
      <w:r>
        <w:rPr>
          <w:rFonts w:hint="default" w:ascii="Times New Roman" w:hAnsi="Times New Roman" w:eastAsia="宋体" w:cs="Times New Roman"/>
          <w:color w:val="auto"/>
          <w:sz w:val="21"/>
          <w:szCs w:val="21"/>
          <w:highlight w:val="none"/>
        </w:rPr>
        <w:fldChar w:fldCharType="end"/>
      </w:r>
      <w:r>
        <w:rPr>
          <w:rFonts w:hint="default" w:ascii="Times New Roman" w:hAnsi="Times New Roman" w:eastAsia="宋体" w:cs="Times New Roman"/>
          <w:color w:val="auto"/>
          <w:sz w:val="21"/>
          <w:szCs w:val="21"/>
          <w:highlight w:val="none"/>
        </w:rPr>
        <w:t xml:space="preserve"> 在单项工程开工前，若有新的文件或定额出台按最新的文件或定额执行；</w:t>
      </w:r>
      <w:r>
        <w:rPr>
          <w:rFonts w:hint="default" w:ascii="Times New Roman" w:hAnsi="Times New Roman" w:eastAsia="宋体" w:cs="Times New Roman"/>
          <w:color w:val="auto"/>
          <w:sz w:val="21"/>
          <w:szCs w:val="21"/>
          <w:highlight w:val="none"/>
        </w:rPr>
        <w:fldChar w:fldCharType="begin"/>
      </w:r>
      <w:r>
        <w:rPr>
          <w:rFonts w:hint="default" w:ascii="Times New Roman" w:hAnsi="Times New Roman" w:eastAsia="宋体" w:cs="Times New Roman"/>
          <w:color w:val="auto"/>
          <w:sz w:val="21"/>
          <w:szCs w:val="21"/>
          <w:highlight w:val="none"/>
        </w:rPr>
        <w:instrText xml:space="preserve"> = 2 \* GB3 </w:instrText>
      </w:r>
      <w:r>
        <w:rPr>
          <w:rFonts w:hint="default" w:ascii="Times New Roman" w:hAnsi="Times New Roman" w:eastAsia="宋体" w:cs="Times New Roman"/>
          <w:color w:val="auto"/>
          <w:sz w:val="21"/>
          <w:szCs w:val="21"/>
          <w:highlight w:val="none"/>
        </w:rPr>
        <w:fldChar w:fldCharType="separate"/>
      </w:r>
      <w:r>
        <w:rPr>
          <w:rFonts w:hint="default" w:ascii="Times New Roman" w:hAnsi="Times New Roman" w:eastAsia="宋体" w:cs="Times New Roman"/>
          <w:color w:val="auto"/>
          <w:sz w:val="21"/>
          <w:szCs w:val="21"/>
          <w:highlight w:val="none"/>
        </w:rPr>
        <w:t>②</w:t>
      </w:r>
      <w:r>
        <w:rPr>
          <w:rFonts w:hint="default" w:ascii="Times New Roman" w:hAnsi="Times New Roman" w:eastAsia="宋体" w:cs="Times New Roman"/>
          <w:color w:val="auto"/>
          <w:sz w:val="21"/>
          <w:szCs w:val="21"/>
          <w:highlight w:val="none"/>
        </w:rPr>
        <w:fldChar w:fldCharType="end"/>
      </w:r>
      <w:r>
        <w:rPr>
          <w:rFonts w:hint="default" w:ascii="Times New Roman" w:hAnsi="Times New Roman" w:eastAsia="宋体" w:cs="Times New Roman"/>
          <w:color w:val="auto"/>
          <w:sz w:val="21"/>
          <w:szCs w:val="21"/>
          <w:highlight w:val="none"/>
        </w:rPr>
        <w:t xml:space="preserve"> 如安全文明施工有特殊要求可按实结算。</w:t>
      </w:r>
    </w:p>
    <w:p w14:paraId="09E744E2">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2、人工价格：按开工日当月的月刊《宁波建设工程造价信息》综合版。</w:t>
      </w:r>
    </w:p>
    <w:p w14:paraId="1B3A15C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3、材料价格：材料价格根据《宁波建设工程造价信息》（按开工日当月的月刊，综合版）市区除税价格，《宁波建设工程造价信息》没有的参照《浙江造价信息》（按开工日当月的期数）除税价格，无信息价的材料按市场价计入，以上材料价格均采用除税价计入。</w:t>
      </w:r>
    </w:p>
    <w:p w14:paraId="7966DB9F">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4、取费：根据各单项工程而定；</w:t>
      </w:r>
    </w:p>
    <w:p w14:paraId="47C4A57F">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5、审定价由</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委托的第三方公司出具；</w:t>
      </w:r>
    </w:p>
    <w:p w14:paraId="7A30455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6、</w:t>
      </w:r>
      <w:r>
        <w:rPr>
          <w:rFonts w:hint="eastAsia" w:ascii="Times New Roman" w:hAnsi="Times New Roman" w:eastAsia="宋体" w:cs="Times New Roman"/>
          <w:color w:val="auto"/>
          <w:sz w:val="21"/>
          <w:szCs w:val="21"/>
          <w:highlight w:val="none"/>
          <w:lang w:val="en-US" w:eastAsia="zh-CN"/>
        </w:rPr>
        <w:t>综合折扣率</w:t>
      </w:r>
      <w:r>
        <w:rPr>
          <w:rFonts w:hint="default" w:ascii="Times New Roman" w:hAnsi="Times New Roman" w:eastAsia="宋体" w:cs="Times New Roman"/>
          <w:color w:val="auto"/>
          <w:sz w:val="21"/>
          <w:szCs w:val="21"/>
          <w:highlight w:val="none"/>
        </w:rPr>
        <w:t>按</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投标</w:t>
      </w:r>
      <w:r>
        <w:rPr>
          <w:rFonts w:hint="eastAsia" w:ascii="Times New Roman" w:hAnsi="Times New Roman" w:eastAsia="宋体" w:cs="Times New Roman"/>
          <w:color w:val="auto"/>
          <w:sz w:val="21"/>
          <w:szCs w:val="21"/>
          <w:highlight w:val="none"/>
          <w:lang w:val="en-US" w:eastAsia="zh-CN"/>
        </w:rPr>
        <w:t>响应</w:t>
      </w:r>
      <w:r>
        <w:rPr>
          <w:rFonts w:hint="default" w:ascii="Times New Roman" w:hAnsi="Times New Roman" w:eastAsia="宋体" w:cs="Times New Roman"/>
          <w:color w:val="auto"/>
          <w:sz w:val="21"/>
          <w:szCs w:val="21"/>
          <w:highlight w:val="none"/>
        </w:rPr>
        <w:t>时承诺的</w:t>
      </w:r>
      <w:r>
        <w:rPr>
          <w:rFonts w:hint="eastAsia" w:ascii="Times New Roman" w:hAnsi="Times New Roman" w:eastAsia="宋体" w:cs="Times New Roman"/>
          <w:color w:val="auto"/>
          <w:sz w:val="21"/>
          <w:szCs w:val="21"/>
          <w:highlight w:val="none"/>
          <w:lang w:val="en-US" w:eastAsia="zh-CN"/>
        </w:rPr>
        <w:t>综合折扣率</w:t>
      </w:r>
      <w:r>
        <w:rPr>
          <w:rFonts w:hint="default" w:ascii="Times New Roman" w:hAnsi="Times New Roman" w:eastAsia="宋体" w:cs="Times New Roman"/>
          <w:color w:val="auto"/>
          <w:sz w:val="21"/>
          <w:szCs w:val="21"/>
          <w:highlight w:val="none"/>
        </w:rPr>
        <w:t>执行；</w:t>
      </w:r>
    </w:p>
    <w:p w14:paraId="6829C20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7、最终结算价款＝审定价×</w:t>
      </w:r>
      <w:r>
        <w:rPr>
          <w:rFonts w:hint="eastAsia" w:ascii="Times New Roman" w:hAnsi="Times New Roman" w:eastAsia="宋体" w:cs="Times New Roman"/>
          <w:color w:val="auto"/>
          <w:sz w:val="21"/>
          <w:szCs w:val="21"/>
          <w:highlight w:val="none"/>
          <w:lang w:val="en-US" w:eastAsia="zh-CN"/>
        </w:rPr>
        <w:t>综合折扣率</w:t>
      </w:r>
    </w:p>
    <w:p w14:paraId="75F7BD0F">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注：</w:t>
      </w:r>
      <w:r>
        <w:rPr>
          <w:rFonts w:hint="default" w:ascii="Times New Roman" w:hAnsi="Times New Roman" w:eastAsia="宋体" w:cs="Times New Roman"/>
          <w:color w:val="auto"/>
          <w:sz w:val="21"/>
          <w:szCs w:val="21"/>
          <w:highlight w:val="none"/>
          <w:lang w:val="en-US" w:eastAsia="zh-Hans"/>
        </w:rPr>
        <w:t>两种情形的</w:t>
      </w:r>
      <w:r>
        <w:rPr>
          <w:rFonts w:hint="default" w:ascii="Times New Roman" w:hAnsi="Times New Roman" w:eastAsia="宋体" w:cs="Times New Roman"/>
          <w:color w:val="auto"/>
          <w:sz w:val="21"/>
          <w:szCs w:val="21"/>
          <w:highlight w:val="none"/>
        </w:rPr>
        <w:t>零星工程以派发的“工程任务单”为准，</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须无条件接受。</w:t>
      </w:r>
    </w:p>
    <w:p w14:paraId="68053A12">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五、技术资料</w:t>
      </w:r>
    </w:p>
    <w:p w14:paraId="69BB7DC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5.1 乙方应按单项合同约定的时间向甲方提供有关技术资料。</w:t>
      </w:r>
    </w:p>
    <w:p w14:paraId="323F4C9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5.2 没有甲方事先书面同意，乙方不得将由甲方提供的有关合同或任何合同条文、方案或其他资料提供给与履行本合同无关的任何其他人。即使向履行本合同有关的人员提供，也应注意保密并限于履行合同的必需范围。乙方的保密义务不因本协议终止、解除而终止。</w:t>
      </w:r>
    </w:p>
    <w:p w14:paraId="5612033F">
      <w:pPr>
        <w:pStyle w:val="15"/>
        <w:keepNext w:val="0"/>
        <w:keepLines w:val="0"/>
        <w:pageBreakBefore w:val="0"/>
        <w:widowControl w:val="0"/>
        <w:kinsoku/>
        <w:wordWrap/>
        <w:overflowPunct/>
        <w:topLinePunct w:val="0"/>
        <w:autoSpaceDE/>
        <w:autoSpaceDN/>
        <w:bidi w:val="0"/>
        <w:adjustRightInd/>
        <w:spacing w:line="360" w:lineRule="auto"/>
        <w:textAlignment w:val="auto"/>
        <w:rPr>
          <w:rFonts w:hint="eastAsia"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六、</w:t>
      </w:r>
      <w:bookmarkStart w:id="383" w:name="_Toc101784462"/>
      <w:r>
        <w:rPr>
          <w:rFonts w:hint="eastAsia" w:ascii="Times New Roman" w:hAnsi="Times New Roman" w:eastAsia="宋体" w:cs="Times New Roman"/>
          <w:b/>
          <w:color w:val="auto"/>
          <w:sz w:val="21"/>
          <w:szCs w:val="21"/>
          <w:highlight w:val="none"/>
          <w:lang w:val="en-US" w:eastAsia="zh-CN"/>
        </w:rPr>
        <w:t>合同</w:t>
      </w:r>
      <w:r>
        <w:rPr>
          <w:rFonts w:hint="eastAsia" w:ascii="Times New Roman" w:hAnsi="Times New Roman" w:eastAsia="宋体" w:cs="Times New Roman"/>
          <w:b/>
          <w:color w:val="auto"/>
          <w:sz w:val="21"/>
          <w:szCs w:val="21"/>
          <w:highlight w:val="none"/>
        </w:rPr>
        <w:t>组成部分</w:t>
      </w:r>
      <w:bookmarkEnd w:id="383"/>
    </w:p>
    <w:p w14:paraId="14026BA3">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rPr>
        <w:t>下列文件为本</w:t>
      </w:r>
      <w:r>
        <w:rPr>
          <w:rFonts w:hint="eastAsia" w:ascii="Times New Roman" w:hAnsi="Times New Roman" w:eastAsia="宋体" w:cs="Times New Roman"/>
          <w:color w:val="auto"/>
          <w:sz w:val="21"/>
          <w:szCs w:val="21"/>
          <w:highlight w:val="none"/>
          <w:lang w:val="en-US" w:eastAsia="zh-CN"/>
        </w:rPr>
        <w:t>合同</w:t>
      </w:r>
      <w:r>
        <w:rPr>
          <w:rFonts w:hint="eastAsia" w:ascii="Times New Roman" w:hAnsi="Times New Roman" w:eastAsia="宋体" w:cs="Times New Roman"/>
          <w:color w:val="auto"/>
          <w:sz w:val="21"/>
          <w:szCs w:val="21"/>
          <w:highlight w:val="none"/>
        </w:rPr>
        <w:t>的组成部分，并构成一个整体，需综合解释、相互补充。如果下列文件内容出现不一致的情形，那么在保证按照</w:t>
      </w:r>
      <w:r>
        <w:rPr>
          <w:rFonts w:hint="eastAsia" w:ascii="Times New Roman" w:hAnsi="Times New Roman" w:eastAsia="宋体" w:cs="Times New Roman"/>
          <w:color w:val="auto"/>
          <w:sz w:val="21"/>
          <w:szCs w:val="21"/>
          <w:highlight w:val="none"/>
          <w:lang w:val="en-US" w:eastAsia="zh-CN"/>
        </w:rPr>
        <w:t>采购</w:t>
      </w:r>
      <w:r>
        <w:rPr>
          <w:rFonts w:hint="eastAsia" w:ascii="Times New Roman" w:hAnsi="Times New Roman" w:eastAsia="宋体" w:cs="Times New Roman"/>
          <w:color w:val="auto"/>
          <w:sz w:val="21"/>
          <w:szCs w:val="21"/>
          <w:highlight w:val="none"/>
        </w:rPr>
        <w:t>文件确定的事项的前提下，组成本</w:t>
      </w:r>
      <w:r>
        <w:rPr>
          <w:rFonts w:hint="eastAsia" w:ascii="Times New Roman" w:hAnsi="Times New Roman" w:eastAsia="宋体" w:cs="Times New Roman"/>
          <w:color w:val="auto"/>
          <w:sz w:val="21"/>
          <w:szCs w:val="21"/>
          <w:highlight w:val="none"/>
          <w:lang w:val="en-US" w:eastAsia="zh-CN"/>
        </w:rPr>
        <w:t>合同</w:t>
      </w:r>
      <w:r>
        <w:rPr>
          <w:rFonts w:hint="eastAsia" w:ascii="Times New Roman" w:hAnsi="Times New Roman" w:eastAsia="宋体" w:cs="Times New Roman"/>
          <w:color w:val="auto"/>
          <w:sz w:val="21"/>
          <w:szCs w:val="21"/>
          <w:highlight w:val="none"/>
        </w:rPr>
        <w:t>的多个文件的优先适用顺序如下：</w:t>
      </w:r>
    </w:p>
    <w:p w14:paraId="56A171D3">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rPr>
        <w:t>.1 本</w:t>
      </w:r>
      <w:r>
        <w:rPr>
          <w:rFonts w:hint="eastAsia" w:ascii="Times New Roman" w:hAnsi="Times New Roman" w:eastAsia="宋体" w:cs="Times New Roman"/>
          <w:color w:val="auto"/>
          <w:sz w:val="21"/>
          <w:szCs w:val="21"/>
          <w:highlight w:val="none"/>
          <w:lang w:val="en-US" w:eastAsia="zh-CN"/>
        </w:rPr>
        <w:t>合同</w:t>
      </w:r>
      <w:r>
        <w:rPr>
          <w:rFonts w:hint="eastAsia" w:ascii="Times New Roman" w:hAnsi="Times New Roman" w:eastAsia="宋体" w:cs="Times New Roman"/>
          <w:color w:val="auto"/>
          <w:sz w:val="21"/>
          <w:szCs w:val="21"/>
          <w:highlight w:val="none"/>
        </w:rPr>
        <w:t>及其附件、补充协议、变更协议；</w:t>
      </w:r>
    </w:p>
    <w:p w14:paraId="6CB297E3">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rPr>
        <w:t xml:space="preserve">.2 </w:t>
      </w:r>
      <w:r>
        <w:rPr>
          <w:rFonts w:hint="eastAsia" w:ascii="Times New Roman" w:hAnsi="Times New Roman" w:eastAsia="宋体" w:cs="Times New Roman"/>
          <w:color w:val="auto"/>
          <w:sz w:val="21"/>
          <w:szCs w:val="21"/>
          <w:highlight w:val="none"/>
          <w:lang w:val="en-US" w:eastAsia="zh-CN"/>
        </w:rPr>
        <w:t>成交</w:t>
      </w:r>
      <w:r>
        <w:rPr>
          <w:rFonts w:hint="eastAsia" w:ascii="Times New Roman" w:hAnsi="Times New Roman" w:eastAsia="宋体" w:cs="Times New Roman"/>
          <w:color w:val="auto"/>
          <w:sz w:val="21"/>
          <w:szCs w:val="21"/>
          <w:highlight w:val="none"/>
        </w:rPr>
        <w:t>通知书；</w:t>
      </w:r>
    </w:p>
    <w:p w14:paraId="4F7D553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3</w:t>
      </w:r>
      <w:r>
        <w:rPr>
          <w:rFonts w:hint="eastAsia" w:ascii="Times New Roman" w:hAnsi="Times New Roman" w:eastAsia="宋体" w:cs="Times New Roman"/>
          <w:color w:val="auto"/>
          <w:sz w:val="21"/>
          <w:szCs w:val="21"/>
          <w:highlight w:val="none"/>
        </w:rPr>
        <w:t xml:space="preserve"> </w:t>
      </w:r>
      <w:r>
        <w:rPr>
          <w:rFonts w:hint="eastAsia" w:ascii="Times New Roman" w:hAnsi="Times New Roman" w:eastAsia="宋体" w:cs="Times New Roman"/>
          <w:color w:val="auto"/>
          <w:sz w:val="21"/>
          <w:szCs w:val="21"/>
          <w:highlight w:val="none"/>
          <w:lang w:val="en-US" w:eastAsia="zh-CN"/>
        </w:rPr>
        <w:t>采购</w:t>
      </w:r>
      <w:r>
        <w:rPr>
          <w:rFonts w:hint="eastAsia" w:ascii="Times New Roman" w:hAnsi="Times New Roman" w:eastAsia="宋体" w:cs="Times New Roman"/>
          <w:color w:val="auto"/>
          <w:sz w:val="21"/>
          <w:szCs w:val="21"/>
          <w:highlight w:val="none"/>
        </w:rPr>
        <w:t>文件（含澄清或者修改文件）；</w:t>
      </w:r>
    </w:p>
    <w:p w14:paraId="40DA0D87">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rPr>
        <w:t>.</w:t>
      </w:r>
      <w:r>
        <w:rPr>
          <w:rFonts w:hint="eastAsia" w:ascii="Times New Roman" w:hAnsi="Times New Roman" w:eastAsia="宋体" w:cs="Times New Roman"/>
          <w:color w:val="auto"/>
          <w:sz w:val="21"/>
          <w:szCs w:val="21"/>
          <w:highlight w:val="none"/>
          <w:lang w:val="en-US" w:eastAsia="zh-CN"/>
        </w:rPr>
        <w:t>4</w:t>
      </w:r>
      <w:r>
        <w:rPr>
          <w:rFonts w:hint="eastAsia" w:ascii="Times New Roman" w:hAnsi="Times New Roman" w:eastAsia="宋体" w:cs="Times New Roman"/>
          <w:color w:val="auto"/>
          <w:sz w:val="21"/>
          <w:szCs w:val="21"/>
          <w:highlight w:val="none"/>
        </w:rPr>
        <w:t xml:space="preserve"> 响应文件（含澄清或者说明文件）；</w:t>
      </w:r>
    </w:p>
    <w:p w14:paraId="01F794D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b/>
          <w:bCs/>
          <w:color w:val="auto"/>
          <w:sz w:val="21"/>
          <w:szCs w:val="21"/>
          <w:highlight w:val="none"/>
          <w:lang w:eastAsia="zh-CN"/>
        </w:rPr>
      </w:pPr>
      <w:r>
        <w:rPr>
          <w:rFonts w:hint="eastAsia" w:ascii="Times New Roman" w:hAnsi="Times New Roman" w:eastAsia="宋体" w:cs="Times New Roman"/>
          <w:color w:val="auto"/>
          <w:sz w:val="21"/>
          <w:szCs w:val="21"/>
          <w:highlight w:val="none"/>
          <w:lang w:val="en-US" w:eastAsia="zh-CN"/>
        </w:rPr>
        <w:t>6</w:t>
      </w:r>
      <w:r>
        <w:rPr>
          <w:rFonts w:hint="eastAsia" w:ascii="Times New Roman" w:hAnsi="Times New Roman" w:eastAsia="宋体" w:cs="Times New Roman"/>
          <w:color w:val="auto"/>
          <w:sz w:val="21"/>
          <w:szCs w:val="21"/>
          <w:highlight w:val="none"/>
        </w:rPr>
        <w:t>.5 其他相关文件。</w:t>
      </w:r>
    </w:p>
    <w:p w14:paraId="33937E21">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七、履约保证金</w:t>
      </w:r>
    </w:p>
    <w:p w14:paraId="555CB68C">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bCs/>
          <w:color w:val="auto"/>
          <w:sz w:val="21"/>
          <w:szCs w:val="21"/>
          <w:highlight w:val="none"/>
        </w:rPr>
      </w:pPr>
      <w:r>
        <w:rPr>
          <w:rFonts w:hint="eastAsia" w:ascii="Times New Roman" w:hAnsi="Times New Roman" w:eastAsia="宋体" w:cs="Times New Roman"/>
          <w:bCs/>
          <w:color w:val="auto"/>
          <w:sz w:val="21"/>
          <w:szCs w:val="21"/>
          <w:highlight w:val="none"/>
          <w:lang w:val="en-US" w:eastAsia="zh-CN"/>
        </w:rPr>
        <w:t>1、</w:t>
      </w:r>
      <w:r>
        <w:rPr>
          <w:rFonts w:hint="eastAsia" w:ascii="Times New Roman" w:hAnsi="Times New Roman" w:eastAsia="宋体" w:cs="Times New Roman"/>
          <w:bCs/>
          <w:color w:val="auto"/>
          <w:sz w:val="21"/>
          <w:szCs w:val="21"/>
          <w:highlight w:val="none"/>
        </w:rPr>
        <w:t>金额：人民币</w:t>
      </w:r>
      <w:r>
        <w:rPr>
          <w:rFonts w:hint="eastAsia" w:ascii="Times New Roman" w:hAnsi="Times New Roman" w:cs="Times New Roman"/>
          <w:bCs/>
          <w:color w:val="auto"/>
          <w:sz w:val="21"/>
          <w:szCs w:val="21"/>
          <w:highlight w:val="none"/>
          <w:u w:val="single"/>
          <w:lang w:val="en-US" w:eastAsia="zh-CN"/>
        </w:rPr>
        <w:t xml:space="preserve">      </w:t>
      </w:r>
      <w:r>
        <w:rPr>
          <w:rFonts w:hint="eastAsia" w:ascii="Times New Roman" w:hAnsi="Times New Roman" w:eastAsia="宋体" w:cs="Times New Roman"/>
          <w:bCs/>
          <w:color w:val="auto"/>
          <w:sz w:val="21"/>
          <w:szCs w:val="21"/>
          <w:highlight w:val="none"/>
        </w:rPr>
        <w:t>元整；</w:t>
      </w:r>
    </w:p>
    <w:p w14:paraId="19CCC607">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bCs/>
          <w:color w:val="auto"/>
          <w:sz w:val="21"/>
          <w:szCs w:val="21"/>
          <w:highlight w:val="none"/>
        </w:rPr>
      </w:pPr>
      <w:r>
        <w:rPr>
          <w:rFonts w:hint="eastAsia" w:ascii="Times New Roman" w:hAnsi="Times New Roman" w:eastAsia="宋体" w:cs="Times New Roman"/>
          <w:bCs/>
          <w:color w:val="auto"/>
          <w:sz w:val="21"/>
          <w:szCs w:val="21"/>
          <w:highlight w:val="none"/>
          <w:lang w:val="en-US" w:eastAsia="zh-CN"/>
        </w:rPr>
        <w:t>2、</w:t>
      </w:r>
      <w:r>
        <w:rPr>
          <w:rFonts w:hint="eastAsia" w:ascii="Times New Roman" w:hAnsi="Times New Roman" w:eastAsia="宋体" w:cs="Times New Roman"/>
          <w:bCs/>
          <w:color w:val="auto"/>
          <w:sz w:val="21"/>
          <w:szCs w:val="21"/>
          <w:highlight w:val="none"/>
        </w:rPr>
        <w:t>形式：</w:t>
      </w:r>
      <w:r>
        <w:rPr>
          <w:rFonts w:hint="eastAsia" w:ascii="Times New Roman" w:hAnsi="Times New Roman" w:eastAsia="宋体" w:cs="Times New Roman"/>
          <w:bCs/>
          <w:color w:val="auto"/>
          <w:sz w:val="21"/>
          <w:szCs w:val="21"/>
          <w:highlight w:val="none"/>
          <w:u w:val="single"/>
          <w:lang w:val="en-US" w:eastAsia="zh-CN"/>
        </w:rPr>
        <w:t xml:space="preserve">                </w:t>
      </w:r>
      <w:r>
        <w:rPr>
          <w:rFonts w:hint="eastAsia" w:ascii="Times New Roman" w:hAnsi="Times New Roman" w:eastAsia="宋体" w:cs="Times New Roman"/>
          <w:bCs/>
          <w:color w:val="auto"/>
          <w:sz w:val="21"/>
          <w:szCs w:val="21"/>
          <w:highlight w:val="none"/>
        </w:rPr>
        <w:t>；</w:t>
      </w:r>
    </w:p>
    <w:p w14:paraId="69A2522A">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bCs/>
          <w:color w:val="auto"/>
          <w:sz w:val="21"/>
          <w:szCs w:val="21"/>
          <w:highlight w:val="none"/>
        </w:rPr>
      </w:pPr>
      <w:r>
        <w:rPr>
          <w:rFonts w:hint="eastAsia" w:ascii="Times New Roman" w:hAnsi="Times New Roman" w:eastAsia="宋体" w:cs="Times New Roman"/>
          <w:bCs/>
          <w:color w:val="auto"/>
          <w:sz w:val="21"/>
          <w:szCs w:val="21"/>
          <w:highlight w:val="none"/>
          <w:lang w:val="en-US" w:eastAsia="zh-CN"/>
        </w:rPr>
        <w:t>3、</w:t>
      </w:r>
      <w:r>
        <w:rPr>
          <w:rFonts w:hint="eastAsia" w:ascii="Times New Roman" w:hAnsi="Times New Roman" w:eastAsia="宋体" w:cs="Times New Roman"/>
          <w:bCs/>
          <w:color w:val="auto"/>
          <w:sz w:val="21"/>
          <w:szCs w:val="21"/>
          <w:highlight w:val="none"/>
        </w:rPr>
        <w:t>时间：在签订合同</w:t>
      </w:r>
      <w:r>
        <w:rPr>
          <w:rFonts w:hint="eastAsia" w:ascii="Times New Roman" w:hAnsi="Times New Roman" w:eastAsia="宋体" w:cs="Times New Roman"/>
          <w:bCs/>
          <w:color w:val="auto"/>
          <w:sz w:val="21"/>
          <w:szCs w:val="21"/>
          <w:highlight w:val="none"/>
          <w:lang w:val="en-US" w:eastAsia="zh-Hans"/>
        </w:rPr>
        <w:t>后</w:t>
      </w:r>
      <w:r>
        <w:rPr>
          <w:rFonts w:hint="default" w:ascii="Times New Roman" w:hAnsi="Times New Roman" w:eastAsia="宋体" w:cs="Times New Roman"/>
          <w:bCs/>
          <w:color w:val="auto"/>
          <w:sz w:val="21"/>
          <w:szCs w:val="21"/>
          <w:highlight w:val="none"/>
          <w:lang w:eastAsia="zh-Hans"/>
        </w:rPr>
        <w:t>15</w:t>
      </w:r>
      <w:r>
        <w:rPr>
          <w:rFonts w:hint="eastAsia" w:ascii="Times New Roman" w:hAnsi="Times New Roman" w:eastAsia="宋体" w:cs="Times New Roman"/>
          <w:bCs/>
          <w:color w:val="auto"/>
          <w:sz w:val="21"/>
          <w:szCs w:val="21"/>
          <w:highlight w:val="none"/>
          <w:lang w:val="en-US" w:eastAsia="zh-CN"/>
        </w:rPr>
        <w:t>个</w:t>
      </w:r>
      <w:r>
        <w:rPr>
          <w:rFonts w:hint="eastAsia" w:ascii="Times New Roman" w:hAnsi="Times New Roman" w:eastAsia="宋体" w:cs="Times New Roman"/>
          <w:bCs/>
          <w:color w:val="auto"/>
          <w:sz w:val="21"/>
          <w:szCs w:val="21"/>
          <w:highlight w:val="none"/>
          <w:lang w:val="en-US" w:eastAsia="zh-Hans"/>
        </w:rPr>
        <w:t>工作日内</w:t>
      </w:r>
      <w:r>
        <w:rPr>
          <w:rFonts w:hint="eastAsia" w:ascii="Times New Roman" w:hAnsi="Times New Roman" w:eastAsia="宋体" w:cs="Times New Roman"/>
          <w:bCs/>
          <w:color w:val="auto"/>
          <w:sz w:val="21"/>
          <w:szCs w:val="21"/>
          <w:highlight w:val="none"/>
        </w:rPr>
        <w:t>提交。</w:t>
      </w:r>
    </w:p>
    <w:p w14:paraId="73F8900A">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eastAsia" w:ascii="Times New Roman" w:hAnsi="Times New Roman" w:eastAsia="宋体" w:cs="Times New Roman"/>
          <w:bCs/>
          <w:color w:val="auto"/>
          <w:sz w:val="21"/>
          <w:szCs w:val="21"/>
          <w:highlight w:val="none"/>
          <w:lang w:val="en-US" w:eastAsia="zh-CN"/>
        </w:rPr>
        <w:t>4、</w:t>
      </w:r>
      <w:r>
        <w:rPr>
          <w:rFonts w:hint="eastAsia" w:ascii="Times New Roman" w:hAnsi="Times New Roman" w:eastAsia="宋体" w:cs="Times New Roman"/>
          <w:bCs/>
          <w:color w:val="auto"/>
          <w:sz w:val="21"/>
          <w:szCs w:val="21"/>
          <w:highlight w:val="none"/>
          <w:lang w:val="en-US" w:eastAsia="zh-Hans"/>
        </w:rPr>
        <w:t>履约保证金的退还：如果</w:t>
      </w:r>
      <w:r>
        <w:rPr>
          <w:rFonts w:hint="eastAsia" w:ascii="Times New Roman" w:hAnsi="Times New Roman" w:eastAsia="宋体" w:cs="Times New Roman"/>
          <w:bCs/>
          <w:color w:val="auto"/>
          <w:sz w:val="21"/>
          <w:szCs w:val="21"/>
          <w:highlight w:val="none"/>
          <w:lang w:val="en-US" w:eastAsia="zh-CN"/>
        </w:rPr>
        <w:t>乙方</w:t>
      </w:r>
      <w:r>
        <w:rPr>
          <w:rFonts w:hint="eastAsia" w:ascii="Times New Roman" w:hAnsi="Times New Roman" w:eastAsia="宋体" w:cs="Times New Roman"/>
          <w:bCs/>
          <w:color w:val="auto"/>
          <w:sz w:val="21"/>
          <w:szCs w:val="21"/>
          <w:highlight w:val="none"/>
          <w:lang w:val="en-US" w:eastAsia="zh-Hans"/>
        </w:rPr>
        <w:t>不履行合同，履约保证金不予退还；如果</w:t>
      </w:r>
      <w:r>
        <w:rPr>
          <w:rFonts w:hint="eastAsia" w:ascii="Times New Roman" w:hAnsi="Times New Roman" w:eastAsia="宋体" w:cs="Times New Roman"/>
          <w:bCs/>
          <w:color w:val="auto"/>
          <w:sz w:val="21"/>
          <w:szCs w:val="21"/>
          <w:highlight w:val="none"/>
          <w:lang w:val="en-US" w:eastAsia="zh-CN"/>
        </w:rPr>
        <w:t>乙方</w:t>
      </w:r>
      <w:r>
        <w:rPr>
          <w:rFonts w:hint="eastAsia" w:ascii="Times New Roman" w:hAnsi="Times New Roman" w:eastAsia="宋体" w:cs="Times New Roman"/>
          <w:bCs/>
          <w:color w:val="auto"/>
          <w:sz w:val="21"/>
          <w:szCs w:val="21"/>
          <w:highlight w:val="none"/>
          <w:lang w:val="en-US" w:eastAsia="zh-Hans"/>
        </w:rPr>
        <w:t>未能按合同约定全面履行义务，那么</w:t>
      </w:r>
      <w:r>
        <w:rPr>
          <w:rFonts w:hint="eastAsia" w:ascii="Times New Roman" w:hAnsi="Times New Roman" w:eastAsia="宋体" w:cs="Times New Roman"/>
          <w:bCs/>
          <w:color w:val="auto"/>
          <w:sz w:val="21"/>
          <w:szCs w:val="21"/>
          <w:highlight w:val="none"/>
          <w:lang w:val="en-US" w:eastAsia="zh-CN"/>
        </w:rPr>
        <w:t>甲方</w:t>
      </w:r>
      <w:r>
        <w:rPr>
          <w:rFonts w:hint="eastAsia" w:ascii="Times New Roman" w:hAnsi="Times New Roman" w:eastAsia="宋体" w:cs="Times New Roman"/>
          <w:bCs/>
          <w:color w:val="auto"/>
          <w:sz w:val="21"/>
          <w:szCs w:val="21"/>
          <w:highlight w:val="none"/>
          <w:lang w:val="en-US" w:eastAsia="zh-Hans"/>
        </w:rPr>
        <w:t>有权从履约保证金中取得补偿或赔偿，同时不影响</w:t>
      </w:r>
      <w:r>
        <w:rPr>
          <w:rFonts w:hint="eastAsia" w:ascii="Times New Roman" w:hAnsi="Times New Roman" w:eastAsia="宋体" w:cs="Times New Roman"/>
          <w:bCs/>
          <w:color w:val="auto"/>
          <w:sz w:val="21"/>
          <w:szCs w:val="21"/>
          <w:highlight w:val="none"/>
          <w:lang w:val="en-US" w:eastAsia="zh-CN"/>
        </w:rPr>
        <w:t>甲方</w:t>
      </w:r>
      <w:r>
        <w:rPr>
          <w:rFonts w:hint="eastAsia" w:ascii="Times New Roman" w:hAnsi="Times New Roman" w:eastAsia="宋体" w:cs="Times New Roman"/>
          <w:bCs/>
          <w:color w:val="auto"/>
          <w:sz w:val="21"/>
          <w:szCs w:val="21"/>
          <w:highlight w:val="none"/>
          <w:lang w:val="en-US" w:eastAsia="zh-Hans"/>
        </w:rPr>
        <w:t>要求</w:t>
      </w:r>
      <w:r>
        <w:rPr>
          <w:rFonts w:hint="eastAsia" w:ascii="Times New Roman" w:hAnsi="Times New Roman" w:eastAsia="宋体" w:cs="Times New Roman"/>
          <w:bCs/>
          <w:color w:val="auto"/>
          <w:sz w:val="21"/>
          <w:szCs w:val="21"/>
          <w:highlight w:val="none"/>
          <w:lang w:val="en-US" w:eastAsia="zh-CN"/>
        </w:rPr>
        <w:t>乙方</w:t>
      </w:r>
      <w:r>
        <w:rPr>
          <w:rFonts w:hint="eastAsia" w:ascii="Times New Roman" w:hAnsi="Times New Roman" w:eastAsia="宋体" w:cs="Times New Roman"/>
          <w:bCs/>
          <w:color w:val="auto"/>
          <w:sz w:val="21"/>
          <w:szCs w:val="21"/>
          <w:highlight w:val="none"/>
          <w:lang w:val="en-US" w:eastAsia="zh-Hans"/>
        </w:rPr>
        <w:t>承担合同约定的超过履约保证金的违约责任的权利。</w:t>
      </w:r>
    </w:p>
    <w:p w14:paraId="11C98399">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八、转包或分包</w:t>
      </w:r>
    </w:p>
    <w:p w14:paraId="3662C08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8.1本合同范围的服务内容，应由乙方直接完成并承担后续服务，不得转让他人供应；</w:t>
      </w:r>
    </w:p>
    <w:p w14:paraId="387B514B">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8.2 除非得到甲方的书面同意，乙方不得部分分包给他人</w:t>
      </w:r>
      <w:r>
        <w:rPr>
          <w:rFonts w:hint="eastAsia" w:ascii="Times New Roman" w:hAnsi="Times New Roman" w:cs="Times New Roman"/>
          <w:color w:val="auto"/>
          <w:sz w:val="21"/>
          <w:szCs w:val="21"/>
          <w:highlight w:val="none"/>
          <w:lang w:eastAsia="zh-CN"/>
        </w:rPr>
        <w:t>；</w:t>
      </w:r>
    </w:p>
    <w:p w14:paraId="7761AFF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8.3如有转让和未经甲方同意的分包行为，甲方有权单方解除本合同及单项合同，并要求乙方承担造成合同解除的全部责任及损失。</w:t>
      </w:r>
    </w:p>
    <w:p w14:paraId="28D5EF87">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color w:val="auto"/>
          <w:sz w:val="21"/>
          <w:szCs w:val="21"/>
          <w:highlight w:val="none"/>
        </w:rPr>
        <w:t>九、服务要求</w:t>
      </w:r>
    </w:p>
    <w:p w14:paraId="5F26F9A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9.1 服务要求：满足单项工程服务要求</w:t>
      </w:r>
      <w:r>
        <w:rPr>
          <w:rFonts w:hint="eastAsia" w:ascii="Times New Roman" w:hAnsi="Times New Roman" w:cs="Times New Roman"/>
          <w:color w:val="auto"/>
          <w:sz w:val="21"/>
          <w:szCs w:val="21"/>
          <w:highlight w:val="none"/>
          <w:lang w:eastAsia="zh-CN"/>
        </w:rPr>
        <w:t>。</w:t>
      </w:r>
    </w:p>
    <w:p w14:paraId="492B93F5">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十、合同履行时间、履行方式及履行地点</w:t>
      </w:r>
    </w:p>
    <w:p w14:paraId="45E97E1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 xml:space="preserve">10.1 </w:t>
      </w:r>
      <w:r>
        <w:rPr>
          <w:rFonts w:hint="default" w:ascii="Times New Roman" w:hAnsi="Times New Roman" w:eastAsia="宋体" w:cs="Times New Roman"/>
          <w:color w:val="auto"/>
          <w:sz w:val="21"/>
          <w:szCs w:val="21"/>
          <w:highlight w:val="none"/>
        </w:rPr>
        <w:t>履行时间</w:t>
      </w:r>
      <w:r>
        <w:rPr>
          <w:rFonts w:hint="default" w:ascii="Times New Roman" w:hAnsi="Times New Roman" w:eastAsia="宋体" w:cs="Times New Roman"/>
          <w:bCs/>
          <w:color w:val="auto"/>
          <w:sz w:val="21"/>
          <w:szCs w:val="21"/>
          <w:highlight w:val="none"/>
        </w:rPr>
        <w:t>：符合单个项目工期要求，具体根据甲方需求确定。</w:t>
      </w:r>
    </w:p>
    <w:p w14:paraId="742674D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 xml:space="preserve">10.2 </w:t>
      </w:r>
      <w:r>
        <w:rPr>
          <w:rFonts w:hint="default" w:ascii="Times New Roman" w:hAnsi="Times New Roman" w:eastAsia="宋体" w:cs="Times New Roman"/>
          <w:color w:val="auto"/>
          <w:sz w:val="21"/>
          <w:szCs w:val="21"/>
          <w:highlight w:val="none"/>
        </w:rPr>
        <w:t>履行方式</w:t>
      </w:r>
      <w:r>
        <w:rPr>
          <w:rFonts w:hint="default" w:ascii="Times New Roman" w:hAnsi="Times New Roman" w:eastAsia="宋体" w:cs="Times New Roman"/>
          <w:bCs/>
          <w:color w:val="auto"/>
          <w:sz w:val="21"/>
          <w:szCs w:val="21"/>
          <w:highlight w:val="none"/>
        </w:rPr>
        <w:t>：根据实际情况定；</w:t>
      </w:r>
    </w:p>
    <w:p w14:paraId="7CF4AB5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 xml:space="preserve">10.3 </w:t>
      </w:r>
      <w:r>
        <w:rPr>
          <w:rFonts w:hint="default" w:ascii="Times New Roman" w:hAnsi="Times New Roman" w:eastAsia="宋体" w:cs="Times New Roman"/>
          <w:color w:val="auto"/>
          <w:sz w:val="21"/>
          <w:szCs w:val="21"/>
          <w:highlight w:val="none"/>
        </w:rPr>
        <w:t>履行地点</w:t>
      </w:r>
      <w:r>
        <w:rPr>
          <w:rFonts w:hint="default" w:ascii="Times New Roman" w:hAnsi="Times New Roman" w:eastAsia="宋体" w:cs="Times New Roman"/>
          <w:bCs/>
          <w:color w:val="auto"/>
          <w:sz w:val="21"/>
          <w:szCs w:val="21"/>
          <w:highlight w:val="none"/>
        </w:rPr>
        <w:t>：甲方指定或认可地点。</w:t>
      </w:r>
    </w:p>
    <w:p w14:paraId="7358776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10.4 单项维修验收：单项维修完工后</w:t>
      </w:r>
      <w:r>
        <w:rPr>
          <w:rFonts w:hint="eastAsia" w:ascii="Times New Roman" w:hAnsi="Times New Roman" w:cs="Times New Roman"/>
          <w:bCs/>
          <w:color w:val="auto"/>
          <w:sz w:val="21"/>
          <w:szCs w:val="21"/>
          <w:highlight w:val="none"/>
          <w:lang w:val="en-US" w:eastAsia="zh-CN"/>
        </w:rPr>
        <w:t>进行验收</w:t>
      </w:r>
      <w:r>
        <w:rPr>
          <w:rFonts w:hint="default" w:ascii="Times New Roman" w:hAnsi="Times New Roman" w:eastAsia="宋体" w:cs="Times New Roman"/>
          <w:bCs/>
          <w:color w:val="auto"/>
          <w:sz w:val="21"/>
          <w:szCs w:val="21"/>
          <w:highlight w:val="none"/>
        </w:rPr>
        <w:t>。</w:t>
      </w:r>
    </w:p>
    <w:p w14:paraId="2D406D03">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十一、款项支付</w:t>
      </w:r>
    </w:p>
    <w:p w14:paraId="67D7C4E7">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Cs/>
          <w:color w:val="auto"/>
          <w:sz w:val="21"/>
          <w:szCs w:val="21"/>
          <w:highlight w:val="none"/>
        </w:rPr>
        <w:t>每季度或多个项目费用累加超过5万元以上后结算一次，成交供应商将已完成项目进行汇总，并提交审计所需的完整资料（例如开竣工报告、联系单及隐蔽工程的照片、预算书、结算书、竣工图纸、材料报验单等资料，具体以审计单位要求为准），经审计后，结清项目款项。</w:t>
      </w:r>
    </w:p>
    <w:p w14:paraId="2DEE9C4B">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十二、税</w:t>
      </w:r>
    </w:p>
    <w:p w14:paraId="23589DD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12.1本合同执行中相关的一切税费均由乙方负担。</w:t>
      </w:r>
    </w:p>
    <w:p w14:paraId="188DD430">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color w:val="auto"/>
          <w:sz w:val="21"/>
          <w:szCs w:val="21"/>
          <w:highlight w:val="none"/>
        </w:rPr>
        <w:t>十三、质量保证及后续服务</w:t>
      </w:r>
    </w:p>
    <w:p w14:paraId="01900FF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13.1 乙方应按招标文件规定向甲方提供服务。</w:t>
      </w:r>
    </w:p>
    <w:p w14:paraId="37D7CE9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13.2 在服务质量保证期内，乙方应对出现的质量及安全问题负责处理解决并承担一切费用。</w:t>
      </w:r>
    </w:p>
    <w:p w14:paraId="333F6B5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13.3单项维修的质保期为：</w:t>
      </w:r>
      <w:r>
        <w:rPr>
          <w:rFonts w:hint="eastAsia" w:ascii="Times New Roman" w:hAnsi="Times New Roman" w:cs="Times New Roman"/>
          <w:color w:val="auto"/>
          <w:sz w:val="21"/>
          <w:szCs w:val="21"/>
          <w:highlight w:val="none"/>
          <w:lang w:val="en-US" w:eastAsia="zh-CN"/>
        </w:rPr>
        <w:t>具体根据单项工程实际情况确定</w:t>
      </w:r>
      <w:r>
        <w:rPr>
          <w:rFonts w:hint="default" w:ascii="Times New Roman" w:hAnsi="Times New Roman" w:eastAsia="宋体" w:cs="Times New Roman"/>
          <w:color w:val="auto"/>
          <w:sz w:val="21"/>
          <w:szCs w:val="21"/>
          <w:highlight w:val="none"/>
        </w:rPr>
        <w:t>。</w:t>
      </w:r>
    </w:p>
    <w:p w14:paraId="7E6C6E58">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十四、违约责任</w:t>
      </w:r>
    </w:p>
    <w:p w14:paraId="3CACD3EA">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14.1 单项合同工期/服务期限违约：</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不能按合同约定的时间完成验收的，</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应承担违约责任，其违约赔偿金额为1000元/天，累计限额为合同价的5%。如造成</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损失超过违约金的，超出部分由</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承担赔偿责任。</w:t>
      </w:r>
    </w:p>
    <w:p w14:paraId="48A9491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14.2 零星维修中的施工单项合同质量违约：未达到国家、浙江省、宁波市验收规范（从高）一次性验收合格标准要求，</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应向</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支付合同价的5%的违约金，如造成</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损失超过违约金的，超出部分由</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承担赔偿责任。承担质量违约金的同时，不免除</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质量返工或整改的责任，直至工程达到合格标准。</w:t>
      </w:r>
    </w:p>
    <w:p w14:paraId="65823DA8">
      <w:pPr>
        <w:keepNext w:val="0"/>
        <w:keepLines w:val="0"/>
        <w:pageBreakBefore w:val="0"/>
        <w:widowControl w:val="0"/>
        <w:kinsoku/>
        <w:wordWrap/>
        <w:overflowPunct/>
        <w:topLinePunct w:val="0"/>
        <w:autoSpaceDE/>
        <w:autoSpaceDN/>
        <w:bidi w:val="0"/>
        <w:adjustRightInd/>
        <w:spacing w:line="360" w:lineRule="auto"/>
        <w:ind w:firstLine="424" w:firstLineChars="202"/>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14.3 单项合同人员违约：未履行项目负责人到场承诺，应承担违约责任，违约金限额为合同价的5%；若该项违约情节严重的，</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有权解除或终止本合同，由此造成的各项损失均由</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承担。</w:t>
      </w:r>
    </w:p>
    <w:p w14:paraId="43075D6C">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14.4 单项合同其他违约责任：因</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原因未履行安全文明作业承诺，</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应承担的违约金为合同价的5%，如果在该项目施工过程中发生一般事故及以上，</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除承担合同价的5％的安全事故承诺违约金外，并承担一切费用及责任。</w:t>
      </w:r>
    </w:p>
    <w:p w14:paraId="0A66573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 xml:space="preserve">14.5 </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应承担作业违约责任，其违约金累计为合同价的5%。</w:t>
      </w:r>
    </w:p>
    <w:p w14:paraId="65705D1A">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 xml:space="preserve">14.6 </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必须无条件的服从</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在服务期间的工作分配与安排，接到</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分配的任务后</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须无条件实施维修任务，</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不得以任何理由拒绝推脱，并须按要求完成作业。如有无故拖延实施进度或无理由不承建</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委托的任务的，</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有权终止合同，由此给</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造成的损失均由</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承担。</w:t>
      </w:r>
    </w:p>
    <w:p w14:paraId="5DDD62D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14.7 如服务期间，</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履约无法满足</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要求的，</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有权解除合同。</w:t>
      </w:r>
    </w:p>
    <w:p w14:paraId="014D9BA4">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 xml:space="preserve">14.8 </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须严格按照国家法律规定安全生产、文明施工、保障现场安全、杜绝火灾坠物等事故发生。</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必须为全体作业员工</w:t>
      </w:r>
      <w:r>
        <w:rPr>
          <w:rFonts w:hint="eastAsia" w:ascii="Times New Roman" w:hAnsi="Times New Roman" w:cs="Times New Roman"/>
          <w:color w:val="auto"/>
          <w:sz w:val="21"/>
          <w:szCs w:val="21"/>
          <w:highlight w:val="none"/>
          <w:lang w:val="en-US" w:eastAsia="zh-CN"/>
        </w:rPr>
        <w:t>按规定</w:t>
      </w:r>
      <w:r>
        <w:rPr>
          <w:rFonts w:hint="default" w:ascii="Times New Roman" w:hAnsi="Times New Roman" w:eastAsia="宋体" w:cs="Times New Roman"/>
          <w:color w:val="auto"/>
          <w:sz w:val="21"/>
          <w:szCs w:val="21"/>
          <w:highlight w:val="none"/>
        </w:rPr>
        <w:t>购买社保</w:t>
      </w:r>
      <w:r>
        <w:rPr>
          <w:rFonts w:hint="eastAsia" w:ascii="Times New Roman" w:hAnsi="Times New Roman" w:cs="Times New Roman"/>
          <w:color w:val="auto"/>
          <w:sz w:val="21"/>
          <w:szCs w:val="21"/>
          <w:highlight w:val="none"/>
          <w:lang w:val="en-US" w:eastAsia="zh-CN"/>
        </w:rPr>
        <w:t>及</w:t>
      </w:r>
      <w:r>
        <w:rPr>
          <w:rFonts w:hint="default" w:ascii="Times New Roman" w:hAnsi="Times New Roman" w:eastAsia="宋体" w:cs="Times New Roman"/>
          <w:color w:val="auto"/>
          <w:sz w:val="21"/>
          <w:szCs w:val="21"/>
          <w:highlight w:val="none"/>
        </w:rPr>
        <w:t>人身意外保险，必须重视安全生产工作，确保全年不出生产责任事故。如因</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原因发生安全生产责任事故或交通事故，由</w:t>
      </w:r>
      <w:r>
        <w:rPr>
          <w:rFonts w:hint="eastAsia" w:ascii="Times New Roman" w:hAnsi="Times New Roman"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承担一切责任及损失。</w:t>
      </w:r>
    </w:p>
    <w:p w14:paraId="753733B3">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 xml:space="preserve">14.9 </w:t>
      </w:r>
      <w:r>
        <w:rPr>
          <w:rFonts w:hint="default" w:ascii="Times New Roman" w:hAnsi="Times New Roman" w:eastAsia="宋体" w:cs="Times New Roman"/>
          <w:color w:val="auto"/>
          <w:sz w:val="21"/>
          <w:szCs w:val="21"/>
          <w:highlight w:val="none"/>
        </w:rPr>
        <w:t>针对不同维修项目，接到</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通知后，</w:t>
      </w:r>
      <w:r>
        <w:rPr>
          <w:rFonts w:hint="eastAsia" w:ascii="Times New Roman" w:hAnsi="Times New Roman" w:eastAsia="宋体" w:cs="Times New Roman"/>
          <w:color w:val="auto"/>
          <w:sz w:val="21"/>
          <w:szCs w:val="21"/>
          <w:highlight w:val="none"/>
          <w:lang w:val="en-US" w:eastAsia="zh-CN"/>
        </w:rPr>
        <w:t>乙方</w:t>
      </w:r>
      <w:r>
        <w:rPr>
          <w:rFonts w:hint="default" w:ascii="Times New Roman" w:hAnsi="Times New Roman" w:eastAsia="宋体" w:cs="Times New Roman"/>
          <w:color w:val="auto"/>
          <w:sz w:val="21"/>
          <w:szCs w:val="21"/>
          <w:highlight w:val="none"/>
        </w:rPr>
        <w:t>需及时做好每项工程施工日期安排、材料</w:t>
      </w:r>
      <w:r>
        <w:rPr>
          <w:rFonts w:hint="default" w:ascii="Times New Roman" w:hAnsi="Times New Roman" w:eastAsia="宋体" w:cs="Times New Roman"/>
          <w:color w:val="auto"/>
          <w:sz w:val="21"/>
          <w:szCs w:val="21"/>
          <w:highlight w:val="none"/>
          <w:lang w:val="en-US" w:eastAsia="zh-Hans"/>
        </w:rPr>
        <w:t>及</w:t>
      </w:r>
      <w:r>
        <w:rPr>
          <w:rFonts w:hint="default" w:ascii="Times New Roman" w:hAnsi="Times New Roman" w:eastAsia="宋体" w:cs="Times New Roman"/>
          <w:color w:val="auto"/>
          <w:sz w:val="21"/>
          <w:szCs w:val="21"/>
          <w:highlight w:val="none"/>
        </w:rPr>
        <w:t>施工方案等报送，经</w:t>
      </w:r>
      <w:r>
        <w:rPr>
          <w:rFonts w:hint="eastAsia" w:ascii="Times New Roman" w:hAnsi="Times New Roman"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确认后方可实施，在</w:t>
      </w:r>
      <w:r>
        <w:rPr>
          <w:rFonts w:hint="eastAsia" w:ascii="Times New Roman" w:hAnsi="Times New Roman" w:eastAsia="宋体" w:cs="Times New Roman"/>
          <w:color w:val="auto"/>
          <w:sz w:val="21"/>
          <w:szCs w:val="21"/>
          <w:highlight w:val="none"/>
          <w:lang w:val="en-US" w:eastAsia="zh-CN"/>
        </w:rPr>
        <w:t>甲方</w:t>
      </w:r>
      <w:r>
        <w:rPr>
          <w:rFonts w:hint="default" w:ascii="Times New Roman" w:hAnsi="Times New Roman" w:eastAsia="宋体" w:cs="Times New Roman"/>
          <w:color w:val="auto"/>
          <w:sz w:val="21"/>
          <w:szCs w:val="21"/>
          <w:highlight w:val="none"/>
        </w:rPr>
        <w:t>规定的竣工日内必须无条件完成整个项目的竣工及验收，并及时做好验收整改，保证项目在规定的时间内顺利完成。</w:t>
      </w:r>
    </w:p>
    <w:p w14:paraId="056CC8F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14.10 乙方须保证施工使用材料的安全性和可靠性。本项目所有施工使用的材料、设备、工具应符合环保、消防、文保等要求。</w:t>
      </w:r>
    </w:p>
    <w:p w14:paraId="05E43D8F">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十五、不可抗力事件处理及合同终止</w:t>
      </w:r>
    </w:p>
    <w:p w14:paraId="7714D136">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15.1 在合同有效期内，任何一方因不可抗力事件导致不能履行合同，则合同履行期可延长，其延长期与不可抗力影响期相同。</w:t>
      </w:r>
    </w:p>
    <w:p w14:paraId="435F01B5">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15.2 不可抗力事件发生后，应立即通知对方，并寄送有关权威机构出具的证明。</w:t>
      </w:r>
    </w:p>
    <w:p w14:paraId="7B5E549E">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15.3 不可抗力事件延续120天以上，双方应通过友好协商，确定是否继续履行合同。</w:t>
      </w:r>
    </w:p>
    <w:p w14:paraId="2F7E9B12">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15.4 合同终止：合同期限内，实际支付金额达到本项目采购预算或到服务期限的，以先达者为准。</w:t>
      </w:r>
    </w:p>
    <w:p w14:paraId="6AB8CDB5">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十六、诉讼</w:t>
      </w:r>
    </w:p>
    <w:p w14:paraId="2D7F2473">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16.1 双方在执行合同中所发生的一切争议，应通过协商解决。如协商不成，可</w:t>
      </w:r>
      <w:r>
        <w:rPr>
          <w:rFonts w:hint="default" w:ascii="Times New Roman" w:hAnsi="Times New Roman" w:eastAsia="宋体" w:cs="Times New Roman"/>
          <w:color w:val="auto"/>
          <w:sz w:val="21"/>
          <w:szCs w:val="21"/>
          <w:highlight w:val="none"/>
          <w:lang w:eastAsia="zh-CN"/>
        </w:rPr>
        <w:t>向宁波市北仑区人民</w:t>
      </w:r>
      <w:r>
        <w:rPr>
          <w:rFonts w:hint="default" w:ascii="Times New Roman" w:hAnsi="Times New Roman" w:eastAsia="宋体" w:cs="Times New Roman"/>
          <w:color w:val="auto"/>
          <w:sz w:val="21"/>
          <w:szCs w:val="21"/>
          <w:highlight w:val="none"/>
        </w:rPr>
        <w:t>法院起诉。</w:t>
      </w:r>
    </w:p>
    <w:p w14:paraId="254F7EAB">
      <w:pPr>
        <w:pStyle w:val="15"/>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十七、合同生效及其它</w:t>
      </w:r>
    </w:p>
    <w:p w14:paraId="3337ECA9">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17.1 合同经双方法定代表人或授权委托代理人签字并加盖单位公章</w:t>
      </w:r>
      <w:r>
        <w:rPr>
          <w:rFonts w:hint="default" w:ascii="Times New Roman" w:hAnsi="Times New Roman" w:eastAsia="宋体" w:cs="Times New Roman"/>
          <w:color w:val="auto"/>
          <w:sz w:val="21"/>
          <w:szCs w:val="21"/>
          <w:highlight w:val="none"/>
          <w:lang w:eastAsia="zh-CN"/>
        </w:rPr>
        <w:t>，且乙方提交了合格的履约担保</w:t>
      </w:r>
      <w:r>
        <w:rPr>
          <w:rFonts w:hint="default" w:ascii="Times New Roman" w:hAnsi="Times New Roman" w:eastAsia="宋体" w:cs="Times New Roman"/>
          <w:color w:val="auto"/>
          <w:sz w:val="21"/>
          <w:szCs w:val="21"/>
          <w:highlight w:val="none"/>
        </w:rPr>
        <w:t>后生效。</w:t>
      </w:r>
    </w:p>
    <w:p w14:paraId="6C7EFE72">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17.2 合同执行中涉及资金和采购内容修改或补充的，须签订书面补充协议作为主合同不可分割的一部分。</w:t>
      </w:r>
    </w:p>
    <w:p w14:paraId="04F7BBBD">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17.3 本合同未尽事宜，遵照《</w:t>
      </w:r>
      <w:r>
        <w:rPr>
          <w:rFonts w:hint="eastAsia" w:ascii="Times New Roman" w:hAnsi="Times New Roman" w:cs="Times New Roman"/>
          <w:color w:val="auto"/>
          <w:sz w:val="21"/>
          <w:szCs w:val="21"/>
          <w:highlight w:val="none"/>
          <w:lang w:val="en-US" w:eastAsia="zh-CN"/>
        </w:rPr>
        <w:t>中华人民共和国</w:t>
      </w:r>
      <w:r>
        <w:rPr>
          <w:rFonts w:hint="default" w:ascii="Times New Roman" w:hAnsi="Times New Roman" w:eastAsia="宋体" w:cs="Times New Roman"/>
          <w:color w:val="auto"/>
          <w:sz w:val="21"/>
          <w:szCs w:val="21"/>
          <w:highlight w:val="none"/>
        </w:rPr>
        <w:t>民法典》有关条文执行。</w:t>
      </w:r>
    </w:p>
    <w:p w14:paraId="7CC463F4">
      <w:pPr>
        <w:pStyle w:val="15"/>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17.4 本合同正本一式</w:t>
      </w:r>
      <w:r>
        <w:rPr>
          <w:rFonts w:hint="default" w:ascii="Times New Roman" w:hAnsi="Times New Roman" w:eastAsia="宋体" w:cs="Times New Roman"/>
          <w:color w:val="auto"/>
          <w:sz w:val="21"/>
          <w:szCs w:val="21"/>
          <w:highlight w:val="none"/>
          <w:u w:val="single"/>
        </w:rPr>
        <w:t xml:space="preserve">    </w:t>
      </w:r>
      <w:r>
        <w:rPr>
          <w:rFonts w:hint="default" w:ascii="Times New Roman" w:hAnsi="Times New Roman" w:eastAsia="宋体" w:cs="Times New Roman"/>
          <w:color w:val="auto"/>
          <w:sz w:val="21"/>
          <w:szCs w:val="21"/>
          <w:highlight w:val="none"/>
        </w:rPr>
        <w:t>份，具有同等法律效力，甲乙双方各执</w:t>
      </w:r>
      <w:r>
        <w:rPr>
          <w:rFonts w:hint="default" w:ascii="Times New Roman" w:hAnsi="Times New Roman" w:eastAsia="宋体" w:cs="Times New Roman"/>
          <w:color w:val="auto"/>
          <w:sz w:val="21"/>
          <w:szCs w:val="21"/>
          <w:highlight w:val="none"/>
          <w:u w:val="single"/>
        </w:rPr>
        <w:t xml:space="preserve">    </w:t>
      </w:r>
      <w:r>
        <w:rPr>
          <w:rFonts w:hint="default" w:ascii="Times New Roman" w:hAnsi="Times New Roman" w:eastAsia="宋体" w:cs="Times New Roman"/>
          <w:color w:val="auto"/>
          <w:sz w:val="21"/>
          <w:szCs w:val="21"/>
          <w:highlight w:val="none"/>
        </w:rPr>
        <w:t>份。</w:t>
      </w:r>
    </w:p>
    <w:p w14:paraId="592B5820">
      <w:pPr>
        <w:pStyle w:val="15"/>
        <w:keepNext w:val="0"/>
        <w:keepLines w:val="0"/>
        <w:pageBreakBefore w:val="0"/>
        <w:widowControl w:val="0"/>
        <w:kinsoku/>
        <w:wordWrap/>
        <w:overflowPunct/>
        <w:topLinePunct w:val="0"/>
        <w:autoSpaceDE/>
        <w:autoSpaceDN/>
        <w:bidi w:val="0"/>
        <w:adjustRightInd/>
        <w:snapToGrid w:val="0"/>
        <w:spacing w:line="360" w:lineRule="auto"/>
        <w:ind w:left="753" w:leftChars="170" w:hanging="396" w:hangingChars="189"/>
        <w:textAlignment w:val="auto"/>
        <w:rPr>
          <w:rFonts w:hint="default" w:ascii="Times New Roman" w:hAnsi="Times New Roman" w:eastAsia="宋体" w:cs="Times New Roman"/>
          <w:color w:val="auto"/>
          <w:sz w:val="21"/>
          <w:szCs w:val="21"/>
          <w:highlight w:val="none"/>
        </w:rPr>
      </w:pPr>
    </w:p>
    <w:p w14:paraId="6BCE8375">
      <w:pPr>
        <w:pStyle w:val="15"/>
        <w:keepNext w:val="0"/>
        <w:keepLines w:val="0"/>
        <w:pageBreakBefore w:val="0"/>
        <w:widowControl w:val="0"/>
        <w:kinsoku/>
        <w:wordWrap/>
        <w:overflowPunct/>
        <w:topLinePunct w:val="0"/>
        <w:autoSpaceDE/>
        <w:autoSpaceDN/>
        <w:bidi w:val="0"/>
        <w:adjustRightInd/>
        <w:snapToGrid w:val="0"/>
        <w:spacing w:line="360" w:lineRule="auto"/>
        <w:ind w:left="753" w:leftChars="170" w:hanging="396" w:hangingChars="189"/>
        <w:textAlignment w:val="auto"/>
        <w:rPr>
          <w:rFonts w:hint="default" w:ascii="Times New Roman" w:hAnsi="Times New Roman" w:eastAsia="宋体" w:cs="Times New Roman"/>
          <w:color w:val="auto"/>
          <w:sz w:val="21"/>
          <w:szCs w:val="21"/>
          <w:highlight w:val="none"/>
        </w:rPr>
      </w:pPr>
    </w:p>
    <w:p w14:paraId="322A18EF">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甲  方（公章）：                                        乙   方（公章）：</w:t>
      </w:r>
      <w:r>
        <w:rPr>
          <w:rFonts w:hint="default" w:ascii="Times New Roman" w:hAnsi="Times New Roman" w:eastAsia="宋体" w:cs="Times New Roman"/>
          <w:color w:val="auto"/>
          <w:sz w:val="21"/>
          <w:szCs w:val="21"/>
          <w:highlight w:val="none"/>
        </w:rPr>
        <w:br w:type="textWrapping"/>
      </w:r>
      <w:r>
        <w:rPr>
          <w:rFonts w:hint="default" w:ascii="Times New Roman" w:hAnsi="Times New Roman" w:eastAsia="宋体" w:cs="Times New Roman"/>
          <w:color w:val="auto"/>
          <w:sz w:val="21"/>
          <w:szCs w:val="21"/>
          <w:highlight w:val="none"/>
        </w:rPr>
        <w:t>地  址：                                                地   址：</w:t>
      </w:r>
    </w:p>
    <w:p w14:paraId="22F8FE4A">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法定代表人：                                            法定代表人：</w:t>
      </w:r>
    </w:p>
    <w:p w14:paraId="3F21DF7A">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委托代理人：                                            委托代理人：</w:t>
      </w:r>
    </w:p>
    <w:p w14:paraId="49A4847E">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电    话：                                              电    话：</w:t>
      </w:r>
    </w:p>
    <w:p w14:paraId="1AA01907">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传    真：                                              传    真：</w:t>
      </w:r>
    </w:p>
    <w:p w14:paraId="6406E4BF">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开户银行：                                              开户银行：</w:t>
      </w:r>
    </w:p>
    <w:p w14:paraId="199D0B29">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帐    号：                                              帐    号：</w:t>
      </w:r>
    </w:p>
    <w:p w14:paraId="3F67A297">
      <w:pPr>
        <w:keepNext w:val="0"/>
        <w:keepLines w:val="0"/>
        <w:pageBreakBefore w:val="0"/>
        <w:widowControl w:val="0"/>
        <w:kinsoku/>
        <w:wordWrap/>
        <w:overflowPunct/>
        <w:topLinePunct w:val="0"/>
        <w:autoSpaceDE/>
        <w:autoSpaceDN/>
        <w:bidi w:val="0"/>
        <w:adjustRightInd/>
        <w:spacing w:line="360" w:lineRule="auto"/>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邮政编码：                                              邮政编码：</w:t>
      </w:r>
    </w:p>
    <w:p w14:paraId="0F895474">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br w:type="page"/>
      </w:r>
    </w:p>
    <w:p w14:paraId="776C6F73">
      <w:pPr>
        <w:pStyle w:val="15"/>
        <w:snapToGrid w:val="0"/>
        <w:spacing w:line="360" w:lineRule="auto"/>
        <w:contextualSpacing/>
        <w:rPr>
          <w:rFonts w:hint="eastAsia" w:ascii="宋体" w:hAnsi="宋体" w:eastAsia="宋体" w:cs="宋体"/>
          <w:color w:val="auto"/>
          <w:sz w:val="21"/>
          <w:szCs w:val="21"/>
          <w:highlight w:val="none"/>
          <w:lang w:eastAsia="zh-CN"/>
        </w:rPr>
      </w:pPr>
      <w:r>
        <w:rPr>
          <w:rFonts w:hint="eastAsia" w:ascii="宋体" w:hAnsi="宋体" w:eastAsia="宋体" w:cs="宋体"/>
          <w:b/>
          <w:bCs/>
          <w:color w:val="auto"/>
          <w:highlight w:val="none"/>
          <w:lang w:eastAsia="zh-CN"/>
        </w:rPr>
        <w:t>附件一</w:t>
      </w:r>
    </w:p>
    <w:tbl>
      <w:tblPr>
        <w:tblStyle w:val="26"/>
        <w:tblW w:w="9561" w:type="dxa"/>
        <w:jc w:val="center"/>
        <w:tblLayout w:type="fixed"/>
        <w:tblCellMar>
          <w:top w:w="0" w:type="dxa"/>
          <w:left w:w="108" w:type="dxa"/>
          <w:bottom w:w="0" w:type="dxa"/>
          <w:right w:w="108" w:type="dxa"/>
        </w:tblCellMar>
      </w:tblPr>
      <w:tblGrid>
        <w:gridCol w:w="2443"/>
        <w:gridCol w:w="1687"/>
        <w:gridCol w:w="1318"/>
        <w:gridCol w:w="1134"/>
        <w:gridCol w:w="2979"/>
      </w:tblGrid>
      <w:tr w14:paraId="3F69F3DE">
        <w:tblPrEx>
          <w:tblCellMar>
            <w:top w:w="0" w:type="dxa"/>
            <w:left w:w="108" w:type="dxa"/>
            <w:bottom w:w="0" w:type="dxa"/>
            <w:right w:w="108" w:type="dxa"/>
          </w:tblCellMar>
        </w:tblPrEx>
        <w:trPr>
          <w:trHeight w:val="625" w:hRule="atLeast"/>
          <w:jc w:val="center"/>
        </w:trPr>
        <w:tc>
          <w:tcPr>
            <w:tcW w:w="9561" w:type="dxa"/>
            <w:gridSpan w:val="5"/>
            <w:noWrap w:val="0"/>
            <w:vAlign w:val="center"/>
          </w:tcPr>
          <w:p w14:paraId="6493DA05">
            <w:pPr>
              <w:widowControl/>
              <w:jc w:val="center"/>
              <w:rPr>
                <w:rFonts w:hint="eastAsia" w:ascii="宋体" w:hAnsi="宋体" w:eastAsia="宋体" w:cs="宋体"/>
                <w:b/>
                <w:bCs/>
                <w:color w:val="auto"/>
                <w:kern w:val="0"/>
                <w:sz w:val="36"/>
                <w:szCs w:val="36"/>
                <w:highlight w:val="none"/>
              </w:rPr>
            </w:pPr>
            <w:r>
              <w:rPr>
                <w:rFonts w:hint="eastAsia" w:ascii="宋体" w:hAnsi="宋体" w:cs="宋体"/>
                <w:b/>
                <w:bCs/>
                <w:color w:val="auto"/>
                <w:kern w:val="0"/>
                <w:sz w:val="36"/>
                <w:szCs w:val="36"/>
                <w:highlight w:val="none"/>
                <w:shd w:val="clear" w:color="auto" w:fill="auto"/>
                <w:lang w:val="en-US" w:eastAsia="zh-CN"/>
              </w:rPr>
              <w:t>单个</w:t>
            </w:r>
            <w:r>
              <w:rPr>
                <w:rFonts w:hint="eastAsia" w:ascii="宋体" w:hAnsi="宋体" w:eastAsia="宋体" w:cs="宋体"/>
                <w:b/>
                <w:bCs/>
                <w:color w:val="auto"/>
                <w:kern w:val="0"/>
                <w:sz w:val="36"/>
                <w:szCs w:val="36"/>
                <w:highlight w:val="none"/>
                <w:shd w:val="clear" w:color="auto" w:fill="auto"/>
              </w:rPr>
              <w:t>工程任务单</w:t>
            </w:r>
          </w:p>
        </w:tc>
      </w:tr>
      <w:tr w14:paraId="34D7BFF1">
        <w:tblPrEx>
          <w:tblCellMar>
            <w:top w:w="0" w:type="dxa"/>
            <w:left w:w="108" w:type="dxa"/>
            <w:bottom w:w="0" w:type="dxa"/>
            <w:right w:w="108" w:type="dxa"/>
          </w:tblCellMar>
        </w:tblPrEx>
        <w:trPr>
          <w:trHeight w:val="209" w:hRule="atLeast"/>
          <w:jc w:val="center"/>
        </w:trPr>
        <w:tc>
          <w:tcPr>
            <w:tcW w:w="4130" w:type="dxa"/>
            <w:gridSpan w:val="2"/>
            <w:noWrap w:val="0"/>
            <w:vAlign w:val="bottom"/>
          </w:tcPr>
          <w:p w14:paraId="715ED2C3">
            <w:pPr>
              <w:widowControl/>
              <w:jc w:val="center"/>
              <w:rPr>
                <w:rFonts w:hint="eastAsia" w:ascii="宋体" w:hAnsi="宋体" w:eastAsia="宋体" w:cs="宋体"/>
                <w:b/>
                <w:bCs/>
                <w:color w:val="auto"/>
                <w:kern w:val="0"/>
                <w:sz w:val="24"/>
                <w:highlight w:val="none"/>
              </w:rPr>
            </w:pPr>
          </w:p>
        </w:tc>
        <w:tc>
          <w:tcPr>
            <w:tcW w:w="5431" w:type="dxa"/>
            <w:gridSpan w:val="3"/>
            <w:noWrap w:val="0"/>
            <w:vAlign w:val="bottom"/>
          </w:tcPr>
          <w:p w14:paraId="424E4846">
            <w:pPr>
              <w:widowControl/>
              <w:spacing w:line="0" w:lineRule="atLeast"/>
              <w:jc w:val="right"/>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（202</w:t>
            </w:r>
            <w:r>
              <w:rPr>
                <w:rFonts w:hint="eastAsia" w:ascii="宋体" w:hAnsi="宋体" w:cs="宋体"/>
                <w:b/>
                <w:bCs/>
                <w:color w:val="auto"/>
                <w:kern w:val="0"/>
                <w:sz w:val="22"/>
                <w:szCs w:val="22"/>
                <w:highlight w:val="none"/>
                <w:lang w:val="en-US" w:eastAsia="zh-CN"/>
              </w:rPr>
              <w:t>5</w:t>
            </w:r>
            <w:r>
              <w:rPr>
                <w:rFonts w:hint="eastAsia" w:ascii="宋体" w:hAnsi="宋体" w:eastAsia="宋体" w:cs="宋体"/>
                <w:b/>
                <w:bCs/>
                <w:color w:val="auto"/>
                <w:kern w:val="0"/>
                <w:sz w:val="22"/>
                <w:szCs w:val="22"/>
                <w:highlight w:val="none"/>
              </w:rPr>
              <w:t>）--        号</w:t>
            </w:r>
          </w:p>
        </w:tc>
      </w:tr>
      <w:tr w14:paraId="12E2F1F7">
        <w:tblPrEx>
          <w:tblCellMar>
            <w:top w:w="0" w:type="dxa"/>
            <w:left w:w="108" w:type="dxa"/>
            <w:bottom w:w="0" w:type="dxa"/>
            <w:right w:w="108" w:type="dxa"/>
          </w:tblCellMar>
        </w:tblPrEx>
        <w:trPr>
          <w:trHeight w:val="624" w:hRule="atLeast"/>
          <w:jc w:val="center"/>
        </w:trPr>
        <w:tc>
          <w:tcPr>
            <w:tcW w:w="2443" w:type="dxa"/>
            <w:tcBorders>
              <w:top w:val="single" w:color="auto" w:sz="4" w:space="0"/>
              <w:left w:val="single" w:color="auto" w:sz="4" w:space="0"/>
              <w:bottom w:val="single" w:color="auto" w:sz="4" w:space="0"/>
              <w:right w:val="single" w:color="auto" w:sz="4" w:space="0"/>
            </w:tcBorders>
            <w:noWrap w:val="0"/>
            <w:vAlign w:val="center"/>
          </w:tcPr>
          <w:p w14:paraId="39CD3B30">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项 目 名 称</w:t>
            </w:r>
          </w:p>
        </w:tc>
        <w:tc>
          <w:tcPr>
            <w:tcW w:w="7118" w:type="dxa"/>
            <w:gridSpan w:val="4"/>
            <w:tcBorders>
              <w:top w:val="single" w:color="auto" w:sz="4" w:space="0"/>
              <w:left w:val="nil"/>
              <w:bottom w:val="single" w:color="auto" w:sz="4" w:space="0"/>
              <w:right w:val="single" w:color="auto" w:sz="4" w:space="0"/>
            </w:tcBorders>
            <w:noWrap w:val="0"/>
            <w:vAlign w:val="center"/>
          </w:tcPr>
          <w:p w14:paraId="55F529B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sz w:val="28"/>
                <w:szCs w:val="28"/>
                <w:highlight w:val="none"/>
                <w:u w:val="none"/>
                <w:lang w:val="en-US" w:eastAsia="zh-CN"/>
              </w:rPr>
              <w:t xml:space="preserve"> </w:t>
            </w:r>
          </w:p>
        </w:tc>
      </w:tr>
      <w:tr w14:paraId="0935844A">
        <w:tblPrEx>
          <w:tblCellMar>
            <w:top w:w="0" w:type="dxa"/>
            <w:left w:w="108" w:type="dxa"/>
            <w:bottom w:w="0" w:type="dxa"/>
            <w:right w:w="108" w:type="dxa"/>
          </w:tblCellMar>
        </w:tblPrEx>
        <w:trPr>
          <w:trHeight w:val="624" w:hRule="atLeast"/>
          <w:jc w:val="center"/>
        </w:trPr>
        <w:tc>
          <w:tcPr>
            <w:tcW w:w="2443" w:type="dxa"/>
            <w:tcBorders>
              <w:top w:val="single" w:color="auto" w:sz="4" w:space="0"/>
              <w:left w:val="single" w:color="auto" w:sz="4" w:space="0"/>
              <w:bottom w:val="single" w:color="auto" w:sz="4" w:space="0"/>
              <w:right w:val="single" w:color="auto" w:sz="4" w:space="0"/>
            </w:tcBorders>
            <w:noWrap w:val="0"/>
            <w:vAlign w:val="center"/>
          </w:tcPr>
          <w:p w14:paraId="48312C15">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委托</w:t>
            </w:r>
            <w:r>
              <w:rPr>
                <w:rFonts w:hint="eastAsia" w:ascii="宋体" w:hAnsi="宋体" w:eastAsia="宋体" w:cs="宋体"/>
                <w:color w:val="auto"/>
                <w:kern w:val="0"/>
                <w:sz w:val="22"/>
                <w:szCs w:val="22"/>
                <w:highlight w:val="none"/>
                <w:lang w:val="en-US" w:eastAsia="zh-CN"/>
              </w:rPr>
              <w:t>部门</w:t>
            </w:r>
            <w:r>
              <w:rPr>
                <w:rFonts w:hint="eastAsia" w:ascii="宋体" w:hAnsi="宋体" w:eastAsia="宋体" w:cs="宋体"/>
                <w:color w:val="auto"/>
                <w:kern w:val="0"/>
                <w:sz w:val="22"/>
                <w:szCs w:val="22"/>
                <w:highlight w:val="none"/>
              </w:rPr>
              <w:t>名称</w:t>
            </w:r>
          </w:p>
        </w:tc>
        <w:tc>
          <w:tcPr>
            <w:tcW w:w="7118" w:type="dxa"/>
            <w:gridSpan w:val="4"/>
            <w:tcBorders>
              <w:top w:val="single" w:color="auto" w:sz="4" w:space="0"/>
              <w:left w:val="nil"/>
              <w:bottom w:val="single" w:color="auto" w:sz="4" w:space="0"/>
              <w:right w:val="single" w:color="auto" w:sz="4" w:space="0"/>
            </w:tcBorders>
            <w:noWrap w:val="0"/>
            <w:vAlign w:val="center"/>
          </w:tcPr>
          <w:p w14:paraId="5A2CF808">
            <w:pPr>
              <w:widowControl/>
              <w:jc w:val="center"/>
              <w:rPr>
                <w:rFonts w:hint="eastAsia" w:ascii="宋体" w:hAnsi="宋体" w:eastAsia="宋体" w:cs="宋体"/>
                <w:color w:val="auto"/>
                <w:kern w:val="0"/>
                <w:sz w:val="22"/>
                <w:szCs w:val="22"/>
                <w:highlight w:val="none"/>
              </w:rPr>
            </w:pPr>
          </w:p>
        </w:tc>
      </w:tr>
      <w:tr w14:paraId="7D0D6905">
        <w:tblPrEx>
          <w:tblCellMar>
            <w:top w:w="0" w:type="dxa"/>
            <w:left w:w="108" w:type="dxa"/>
            <w:bottom w:w="0" w:type="dxa"/>
            <w:right w:w="108" w:type="dxa"/>
          </w:tblCellMar>
        </w:tblPrEx>
        <w:trPr>
          <w:trHeight w:val="624" w:hRule="atLeast"/>
          <w:jc w:val="center"/>
        </w:trPr>
        <w:tc>
          <w:tcPr>
            <w:tcW w:w="2443" w:type="dxa"/>
            <w:tcBorders>
              <w:top w:val="single" w:color="auto" w:sz="4" w:space="0"/>
              <w:left w:val="single" w:color="auto" w:sz="4" w:space="0"/>
              <w:bottom w:val="single" w:color="auto" w:sz="4" w:space="0"/>
              <w:right w:val="single" w:color="auto" w:sz="4" w:space="0"/>
            </w:tcBorders>
            <w:noWrap w:val="0"/>
            <w:vAlign w:val="center"/>
          </w:tcPr>
          <w:p w14:paraId="040A745F">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施工单位名称</w:t>
            </w:r>
          </w:p>
        </w:tc>
        <w:tc>
          <w:tcPr>
            <w:tcW w:w="7118" w:type="dxa"/>
            <w:gridSpan w:val="4"/>
            <w:tcBorders>
              <w:top w:val="single" w:color="auto" w:sz="4" w:space="0"/>
              <w:left w:val="nil"/>
              <w:bottom w:val="single" w:color="auto" w:sz="4" w:space="0"/>
              <w:right w:val="single" w:color="auto" w:sz="4" w:space="0"/>
            </w:tcBorders>
            <w:noWrap w:val="0"/>
            <w:vAlign w:val="center"/>
          </w:tcPr>
          <w:p w14:paraId="5E46C1B4">
            <w:pPr>
              <w:widowControl/>
              <w:jc w:val="center"/>
              <w:rPr>
                <w:rFonts w:hint="eastAsia" w:ascii="宋体" w:hAnsi="宋体" w:eastAsia="宋体" w:cs="宋体"/>
                <w:color w:val="auto"/>
                <w:kern w:val="0"/>
                <w:sz w:val="22"/>
                <w:szCs w:val="22"/>
                <w:highlight w:val="none"/>
              </w:rPr>
            </w:pPr>
          </w:p>
        </w:tc>
      </w:tr>
      <w:tr w14:paraId="2BD95902">
        <w:tblPrEx>
          <w:tblCellMar>
            <w:top w:w="0" w:type="dxa"/>
            <w:left w:w="108" w:type="dxa"/>
            <w:bottom w:w="0" w:type="dxa"/>
            <w:right w:w="108" w:type="dxa"/>
          </w:tblCellMar>
        </w:tblPrEx>
        <w:trPr>
          <w:trHeight w:val="624" w:hRule="atLeast"/>
          <w:jc w:val="center"/>
        </w:trPr>
        <w:tc>
          <w:tcPr>
            <w:tcW w:w="2443" w:type="dxa"/>
            <w:tcBorders>
              <w:top w:val="single" w:color="auto" w:sz="4" w:space="0"/>
              <w:left w:val="single" w:color="auto" w:sz="4" w:space="0"/>
              <w:bottom w:val="single" w:color="auto" w:sz="4" w:space="0"/>
              <w:right w:val="single" w:color="auto" w:sz="4" w:space="0"/>
            </w:tcBorders>
            <w:noWrap w:val="0"/>
            <w:vAlign w:val="center"/>
          </w:tcPr>
          <w:p w14:paraId="18F9DDF0">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预算</w:t>
            </w:r>
          </w:p>
        </w:tc>
        <w:tc>
          <w:tcPr>
            <w:tcW w:w="3005" w:type="dxa"/>
            <w:gridSpan w:val="2"/>
            <w:tcBorders>
              <w:top w:val="single" w:color="auto" w:sz="4" w:space="0"/>
              <w:left w:val="nil"/>
              <w:bottom w:val="single" w:color="auto" w:sz="4" w:space="0"/>
              <w:right w:val="single" w:color="auto" w:sz="4" w:space="0"/>
            </w:tcBorders>
            <w:noWrap w:val="0"/>
            <w:vAlign w:val="center"/>
          </w:tcPr>
          <w:p w14:paraId="0AA18E77">
            <w:pPr>
              <w:widowControl/>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 xml:space="preserve">    元</w:t>
            </w:r>
          </w:p>
        </w:tc>
        <w:tc>
          <w:tcPr>
            <w:tcW w:w="1134" w:type="dxa"/>
            <w:tcBorders>
              <w:top w:val="single" w:color="auto" w:sz="4" w:space="0"/>
              <w:left w:val="nil"/>
              <w:bottom w:val="single" w:color="auto" w:sz="4" w:space="0"/>
              <w:right w:val="single" w:color="auto" w:sz="4" w:space="0"/>
            </w:tcBorders>
            <w:noWrap w:val="0"/>
            <w:vAlign w:val="center"/>
          </w:tcPr>
          <w:p w14:paraId="2BD7BEA3">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设计</w:t>
            </w:r>
          </w:p>
        </w:tc>
        <w:tc>
          <w:tcPr>
            <w:tcW w:w="2979" w:type="dxa"/>
            <w:tcBorders>
              <w:top w:val="single" w:color="auto" w:sz="4" w:space="0"/>
              <w:left w:val="nil"/>
              <w:bottom w:val="single" w:color="auto" w:sz="4" w:space="0"/>
              <w:right w:val="single" w:color="auto" w:sz="4" w:space="0"/>
            </w:tcBorders>
            <w:noWrap w:val="0"/>
            <w:vAlign w:val="center"/>
          </w:tcPr>
          <w:p w14:paraId="1652B8D4">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sz w:val="24"/>
                <w:szCs w:val="28"/>
                <w:highlight w:val="none"/>
              </w:rPr>
              <w:sym w:font="Wingdings 2" w:char="00A3"/>
            </w:r>
            <w:r>
              <w:rPr>
                <w:rFonts w:hint="eastAsia" w:ascii="宋体" w:hAnsi="宋体" w:eastAsia="宋体" w:cs="宋体"/>
                <w:color w:val="auto"/>
                <w:kern w:val="0"/>
                <w:sz w:val="22"/>
                <w:szCs w:val="22"/>
                <w:highlight w:val="none"/>
              </w:rPr>
              <w:t xml:space="preserve">有    </w:t>
            </w:r>
            <w:r>
              <w:rPr>
                <w:rFonts w:hint="eastAsia" w:ascii="宋体" w:hAnsi="宋体" w:eastAsia="宋体" w:cs="宋体"/>
                <w:color w:val="auto"/>
                <w:sz w:val="24"/>
                <w:szCs w:val="28"/>
                <w:highlight w:val="none"/>
              </w:rPr>
              <w:sym w:font="Wingdings 2" w:char="00A3"/>
            </w:r>
            <w:r>
              <w:rPr>
                <w:rFonts w:hint="eastAsia" w:ascii="宋体" w:hAnsi="宋体" w:eastAsia="宋体" w:cs="宋体"/>
                <w:color w:val="auto"/>
                <w:kern w:val="0"/>
                <w:sz w:val="22"/>
                <w:szCs w:val="22"/>
                <w:highlight w:val="none"/>
              </w:rPr>
              <w:t>无</w:t>
            </w:r>
          </w:p>
        </w:tc>
      </w:tr>
      <w:tr w14:paraId="29D118DF">
        <w:tblPrEx>
          <w:tblCellMar>
            <w:top w:w="0" w:type="dxa"/>
            <w:left w:w="108" w:type="dxa"/>
            <w:bottom w:w="0" w:type="dxa"/>
            <w:right w:w="108" w:type="dxa"/>
          </w:tblCellMar>
        </w:tblPrEx>
        <w:trPr>
          <w:trHeight w:val="1788" w:hRule="atLeast"/>
          <w:jc w:val="center"/>
        </w:trPr>
        <w:tc>
          <w:tcPr>
            <w:tcW w:w="2443" w:type="dxa"/>
            <w:tcBorders>
              <w:top w:val="single" w:color="auto" w:sz="4" w:space="0"/>
              <w:left w:val="single" w:color="auto" w:sz="4" w:space="0"/>
              <w:bottom w:val="single" w:color="auto" w:sz="4" w:space="0"/>
              <w:right w:val="single" w:color="auto" w:sz="4" w:space="0"/>
            </w:tcBorders>
            <w:noWrap w:val="0"/>
            <w:vAlign w:val="center"/>
          </w:tcPr>
          <w:p w14:paraId="15125E8C">
            <w:pPr>
              <w:widowControl/>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项目概况</w:t>
            </w:r>
          </w:p>
        </w:tc>
        <w:tc>
          <w:tcPr>
            <w:tcW w:w="7118" w:type="dxa"/>
            <w:gridSpan w:val="4"/>
            <w:tcBorders>
              <w:top w:val="single" w:color="auto" w:sz="4" w:space="0"/>
              <w:left w:val="nil"/>
              <w:bottom w:val="single" w:color="auto" w:sz="4" w:space="0"/>
              <w:right w:val="single" w:color="auto" w:sz="4" w:space="0"/>
            </w:tcBorders>
            <w:noWrap w:val="0"/>
            <w:vAlign w:val="top"/>
          </w:tcPr>
          <w:p w14:paraId="55463CD5">
            <w:pPr>
              <w:widowControl/>
              <w:numPr>
                <w:ilvl w:val="0"/>
                <w:numId w:val="5"/>
              </w:num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项目规模：</w:t>
            </w:r>
          </w:p>
          <w:p w14:paraId="3C27F557">
            <w:pPr>
              <w:widowControl/>
              <w:numPr>
                <w:ilvl w:val="0"/>
                <w:numId w:val="5"/>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建设地点：</w:t>
            </w:r>
          </w:p>
          <w:p w14:paraId="79CC3AED">
            <w:pPr>
              <w:widowControl/>
              <w:numPr>
                <w:ilvl w:val="0"/>
                <w:numId w:val="5"/>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计划工期：</w:t>
            </w:r>
          </w:p>
          <w:p w14:paraId="13663095">
            <w:pPr>
              <w:widowControl/>
              <w:numPr>
                <w:ilvl w:val="0"/>
                <w:numId w:val="5"/>
              </w:numPr>
              <w:spacing w:line="360" w:lineRule="auto"/>
              <w:rPr>
                <w:rFonts w:hint="eastAsia" w:ascii="宋体" w:hAnsi="宋体" w:eastAsia="宋体" w:cs="宋体"/>
                <w:color w:val="auto"/>
                <w:kern w:val="0"/>
                <w:sz w:val="22"/>
                <w:szCs w:val="22"/>
                <w:highlight w:val="none"/>
              </w:rPr>
            </w:pPr>
            <w:r>
              <w:rPr>
                <w:rFonts w:hint="eastAsia" w:ascii="宋体" w:hAnsi="宋体" w:eastAsia="宋体" w:cs="宋体"/>
                <w:color w:val="auto"/>
                <w:sz w:val="24"/>
                <w:highlight w:val="none"/>
              </w:rPr>
              <w:t>其他说明：</w:t>
            </w:r>
          </w:p>
        </w:tc>
      </w:tr>
      <w:tr w14:paraId="636F4383">
        <w:tblPrEx>
          <w:tblCellMar>
            <w:top w:w="0" w:type="dxa"/>
            <w:left w:w="108" w:type="dxa"/>
            <w:bottom w:w="0" w:type="dxa"/>
            <w:right w:w="108" w:type="dxa"/>
          </w:tblCellMar>
        </w:tblPrEx>
        <w:trPr>
          <w:trHeight w:val="2367" w:hRule="atLeast"/>
          <w:jc w:val="center"/>
        </w:trPr>
        <w:tc>
          <w:tcPr>
            <w:tcW w:w="9561" w:type="dxa"/>
            <w:gridSpan w:val="5"/>
            <w:tcBorders>
              <w:top w:val="single" w:color="auto" w:sz="4" w:space="0"/>
              <w:left w:val="single" w:color="auto" w:sz="4" w:space="0"/>
              <w:bottom w:val="single" w:color="auto" w:sz="4" w:space="0"/>
              <w:right w:val="single" w:color="000000" w:sz="4" w:space="0"/>
            </w:tcBorders>
            <w:noWrap w:val="0"/>
            <w:vAlign w:val="top"/>
          </w:tcPr>
          <w:p w14:paraId="61C190BB">
            <w:pPr>
              <w:widowControl/>
              <w:spacing w:before="120" w:beforeLines="5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委托单位：</w:t>
            </w:r>
          </w:p>
          <w:p w14:paraId="25903ADE">
            <w:pPr>
              <w:widowControl/>
              <w:rPr>
                <w:rFonts w:hint="eastAsia" w:ascii="宋体" w:hAnsi="宋体" w:eastAsia="宋体" w:cs="宋体"/>
                <w:color w:val="auto"/>
                <w:kern w:val="0"/>
                <w:sz w:val="24"/>
                <w:highlight w:val="none"/>
              </w:rPr>
            </w:pPr>
          </w:p>
          <w:p w14:paraId="660A31A3">
            <w:pPr>
              <w:pStyle w:val="25"/>
              <w:rPr>
                <w:rFonts w:hint="eastAsia"/>
                <w:color w:val="auto"/>
                <w:highlight w:val="none"/>
              </w:rPr>
            </w:pPr>
          </w:p>
          <w:p w14:paraId="5069CD6D">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项目负责人</w:t>
            </w:r>
            <w:r>
              <w:rPr>
                <w:rFonts w:hint="eastAsia" w:ascii="宋体" w:hAnsi="宋体" w:eastAsia="宋体" w:cs="宋体"/>
                <w:color w:val="auto"/>
                <w:kern w:val="0"/>
                <w:sz w:val="18"/>
                <w:szCs w:val="18"/>
                <w:highlight w:val="none"/>
              </w:rPr>
              <w:t>（签字）</w:t>
            </w:r>
            <w:r>
              <w:rPr>
                <w:rFonts w:hint="eastAsia" w:ascii="宋体" w:hAnsi="宋体" w:eastAsia="宋体" w:cs="宋体"/>
                <w:color w:val="auto"/>
                <w:kern w:val="0"/>
                <w:sz w:val="24"/>
                <w:highlight w:val="none"/>
              </w:rPr>
              <w:t>：</w:t>
            </w:r>
          </w:p>
          <w:p w14:paraId="1E668BBD">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委托单位</w:t>
            </w:r>
            <w:r>
              <w:rPr>
                <w:rFonts w:hint="eastAsia" w:ascii="宋体" w:hAnsi="宋体" w:eastAsia="宋体" w:cs="宋体"/>
                <w:color w:val="auto"/>
                <w:kern w:val="0"/>
                <w:sz w:val="18"/>
                <w:szCs w:val="18"/>
                <w:highlight w:val="none"/>
              </w:rPr>
              <w:t>（盖章）</w:t>
            </w:r>
            <w:r>
              <w:rPr>
                <w:rFonts w:hint="eastAsia" w:ascii="宋体" w:hAnsi="宋体" w:eastAsia="宋体" w:cs="宋体"/>
                <w:color w:val="auto"/>
                <w:kern w:val="0"/>
                <w:sz w:val="24"/>
                <w:highlight w:val="none"/>
              </w:rPr>
              <w:t>：</w:t>
            </w:r>
          </w:p>
          <w:p w14:paraId="04BC591A">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日期：</w:t>
            </w:r>
          </w:p>
        </w:tc>
      </w:tr>
      <w:tr w14:paraId="765786BE">
        <w:tblPrEx>
          <w:tblCellMar>
            <w:top w:w="0" w:type="dxa"/>
            <w:left w:w="108" w:type="dxa"/>
            <w:bottom w:w="0" w:type="dxa"/>
            <w:right w:w="108" w:type="dxa"/>
          </w:tblCellMar>
        </w:tblPrEx>
        <w:trPr>
          <w:trHeight w:val="2390" w:hRule="atLeast"/>
          <w:jc w:val="center"/>
        </w:trPr>
        <w:tc>
          <w:tcPr>
            <w:tcW w:w="9561" w:type="dxa"/>
            <w:gridSpan w:val="5"/>
            <w:tcBorders>
              <w:top w:val="single" w:color="auto" w:sz="4" w:space="0"/>
              <w:left w:val="single" w:color="auto" w:sz="4" w:space="0"/>
              <w:bottom w:val="single" w:color="auto" w:sz="4" w:space="0"/>
              <w:right w:val="single" w:color="000000" w:sz="4" w:space="0"/>
            </w:tcBorders>
            <w:noWrap w:val="0"/>
            <w:vAlign w:val="top"/>
          </w:tcPr>
          <w:p w14:paraId="69E1F69D">
            <w:pPr>
              <w:widowControl/>
              <w:spacing w:before="120" w:beforeLines="50"/>
              <w:rPr>
                <w:rFonts w:hint="eastAsia" w:ascii="宋体" w:hAnsi="宋体" w:eastAsia="宋体" w:cs="宋体"/>
                <w:color w:val="auto"/>
                <w:kern w:val="0"/>
                <w:sz w:val="24"/>
                <w:highlight w:val="none"/>
              </w:rPr>
            </w:pPr>
            <w:r>
              <w:rPr>
                <w:rFonts w:hint="eastAsia" w:ascii="宋体" w:hAnsi="宋体" w:eastAsia="宋体" w:cs="宋体"/>
                <w:color w:val="auto"/>
                <w:kern w:val="0"/>
                <w:sz w:val="22"/>
                <w:szCs w:val="22"/>
                <w:highlight w:val="none"/>
              </w:rPr>
              <w:t>施工单位：</w:t>
            </w:r>
          </w:p>
          <w:p w14:paraId="5A0980AE">
            <w:pPr>
              <w:pStyle w:val="25"/>
              <w:rPr>
                <w:rFonts w:hint="eastAsia"/>
                <w:color w:val="auto"/>
                <w:highlight w:val="none"/>
              </w:rPr>
            </w:pPr>
          </w:p>
          <w:p w14:paraId="263A6557">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项目经理</w:t>
            </w:r>
            <w:r>
              <w:rPr>
                <w:rFonts w:hint="eastAsia" w:ascii="宋体" w:hAnsi="宋体" w:eastAsia="宋体" w:cs="宋体"/>
                <w:color w:val="auto"/>
                <w:kern w:val="0"/>
                <w:sz w:val="18"/>
                <w:szCs w:val="18"/>
                <w:highlight w:val="none"/>
              </w:rPr>
              <w:t>（签字）</w:t>
            </w:r>
            <w:r>
              <w:rPr>
                <w:rFonts w:hint="eastAsia" w:ascii="宋体" w:hAnsi="宋体" w:eastAsia="宋体" w:cs="宋体"/>
                <w:color w:val="auto"/>
                <w:kern w:val="0"/>
                <w:sz w:val="24"/>
                <w:highlight w:val="none"/>
              </w:rPr>
              <w:t>：</w:t>
            </w:r>
          </w:p>
          <w:p w14:paraId="6C138229">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施工单位</w:t>
            </w:r>
            <w:r>
              <w:rPr>
                <w:rFonts w:hint="eastAsia" w:ascii="宋体" w:hAnsi="宋体" w:eastAsia="宋体" w:cs="宋体"/>
                <w:color w:val="auto"/>
                <w:kern w:val="0"/>
                <w:sz w:val="18"/>
                <w:szCs w:val="18"/>
                <w:highlight w:val="none"/>
              </w:rPr>
              <w:t>（盖章）</w:t>
            </w:r>
            <w:r>
              <w:rPr>
                <w:rFonts w:hint="eastAsia" w:ascii="宋体" w:hAnsi="宋体" w:eastAsia="宋体" w:cs="宋体"/>
                <w:color w:val="auto"/>
                <w:kern w:val="0"/>
                <w:sz w:val="24"/>
                <w:highlight w:val="none"/>
              </w:rPr>
              <w:t>：</w:t>
            </w:r>
          </w:p>
          <w:p w14:paraId="57EAB4E4">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日期：</w:t>
            </w:r>
          </w:p>
        </w:tc>
      </w:tr>
      <w:tr w14:paraId="5CD60DF5">
        <w:tblPrEx>
          <w:tblCellMar>
            <w:top w:w="0" w:type="dxa"/>
            <w:left w:w="108" w:type="dxa"/>
            <w:bottom w:w="0" w:type="dxa"/>
            <w:right w:w="108" w:type="dxa"/>
          </w:tblCellMar>
        </w:tblPrEx>
        <w:trPr>
          <w:trHeight w:val="2062" w:hRule="atLeast"/>
          <w:jc w:val="center"/>
        </w:trPr>
        <w:tc>
          <w:tcPr>
            <w:tcW w:w="9561" w:type="dxa"/>
            <w:gridSpan w:val="5"/>
            <w:tcBorders>
              <w:top w:val="single" w:color="auto" w:sz="4" w:space="0"/>
              <w:left w:val="single" w:color="auto" w:sz="4" w:space="0"/>
              <w:bottom w:val="single" w:color="auto" w:sz="4" w:space="0"/>
              <w:right w:val="single" w:color="000000" w:sz="4" w:space="0"/>
            </w:tcBorders>
            <w:noWrap w:val="0"/>
            <w:vAlign w:val="top"/>
          </w:tcPr>
          <w:p w14:paraId="638D89CA">
            <w:pPr>
              <w:widowControl/>
              <w:spacing w:before="120" w:beforeLines="50"/>
              <w:rPr>
                <w:rFonts w:hint="eastAsia" w:ascii="宋体" w:hAnsi="宋体" w:eastAsia="宋体" w:cs="宋体"/>
                <w:color w:val="auto"/>
                <w:kern w:val="0"/>
                <w:sz w:val="24"/>
                <w:highlight w:val="none"/>
              </w:rPr>
            </w:pPr>
            <w:r>
              <w:rPr>
                <w:rFonts w:hint="eastAsia" w:ascii="宋体" w:hAnsi="宋体" w:eastAsia="宋体" w:cs="宋体"/>
                <w:color w:val="auto"/>
                <w:kern w:val="0"/>
                <w:sz w:val="22"/>
                <w:szCs w:val="22"/>
                <w:highlight w:val="none"/>
                <w:lang w:val="en-US" w:eastAsia="zh-CN"/>
              </w:rPr>
              <w:t>实施</w:t>
            </w:r>
            <w:r>
              <w:rPr>
                <w:rFonts w:hint="eastAsia" w:ascii="宋体" w:hAnsi="宋体" w:eastAsia="宋体" w:cs="宋体"/>
                <w:color w:val="auto"/>
                <w:kern w:val="0"/>
                <w:sz w:val="22"/>
                <w:szCs w:val="22"/>
                <w:highlight w:val="none"/>
              </w:rPr>
              <w:t>单位：</w:t>
            </w:r>
          </w:p>
          <w:p w14:paraId="62EDB512">
            <w:pPr>
              <w:widowControl/>
              <w:rPr>
                <w:rFonts w:hint="eastAsia" w:ascii="宋体" w:hAnsi="宋体" w:eastAsia="宋体" w:cs="宋体"/>
                <w:color w:val="auto"/>
                <w:kern w:val="0"/>
                <w:sz w:val="24"/>
                <w:highlight w:val="none"/>
              </w:rPr>
            </w:pPr>
          </w:p>
          <w:p w14:paraId="17A0513B">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项目</w:t>
            </w:r>
            <w:r>
              <w:rPr>
                <w:rFonts w:hint="eastAsia" w:ascii="宋体" w:hAnsi="宋体" w:eastAsia="宋体" w:cs="宋体"/>
                <w:color w:val="auto"/>
                <w:kern w:val="0"/>
                <w:sz w:val="24"/>
                <w:highlight w:val="none"/>
                <w:lang w:val="en-US" w:eastAsia="zh-CN"/>
              </w:rPr>
              <w:t>经理</w:t>
            </w:r>
            <w:r>
              <w:rPr>
                <w:rFonts w:hint="eastAsia" w:ascii="宋体" w:hAnsi="宋体" w:eastAsia="宋体" w:cs="宋体"/>
                <w:color w:val="auto"/>
                <w:kern w:val="0"/>
                <w:sz w:val="18"/>
                <w:szCs w:val="18"/>
                <w:highlight w:val="none"/>
              </w:rPr>
              <w:t>（签字）</w:t>
            </w:r>
            <w:r>
              <w:rPr>
                <w:rFonts w:hint="eastAsia" w:ascii="宋体" w:hAnsi="宋体" w:eastAsia="宋体" w:cs="宋体"/>
                <w:color w:val="auto"/>
                <w:kern w:val="0"/>
                <w:sz w:val="24"/>
                <w:highlight w:val="none"/>
              </w:rPr>
              <w:t>：</w:t>
            </w:r>
          </w:p>
          <w:p w14:paraId="4B6140AC">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en-US" w:eastAsia="zh-CN"/>
              </w:rPr>
              <w:t>实施</w:t>
            </w:r>
            <w:r>
              <w:rPr>
                <w:rFonts w:hint="eastAsia" w:ascii="宋体" w:hAnsi="宋体" w:eastAsia="宋体" w:cs="宋体"/>
                <w:color w:val="auto"/>
                <w:kern w:val="0"/>
                <w:sz w:val="24"/>
                <w:highlight w:val="none"/>
              </w:rPr>
              <w:t>单位</w:t>
            </w:r>
            <w:r>
              <w:rPr>
                <w:rFonts w:hint="eastAsia" w:ascii="宋体" w:hAnsi="宋体" w:eastAsia="宋体" w:cs="宋体"/>
                <w:color w:val="auto"/>
                <w:kern w:val="0"/>
                <w:sz w:val="18"/>
                <w:szCs w:val="18"/>
                <w:highlight w:val="none"/>
              </w:rPr>
              <w:t>（盖章）</w:t>
            </w:r>
            <w:r>
              <w:rPr>
                <w:rFonts w:hint="eastAsia" w:ascii="宋体" w:hAnsi="宋体" w:eastAsia="宋体" w:cs="宋体"/>
                <w:color w:val="auto"/>
                <w:kern w:val="0"/>
                <w:sz w:val="24"/>
                <w:highlight w:val="none"/>
              </w:rPr>
              <w:t>：</w:t>
            </w:r>
          </w:p>
          <w:p w14:paraId="486DE0DD">
            <w:pPr>
              <w:widowControl/>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日期：</w:t>
            </w:r>
          </w:p>
        </w:tc>
      </w:tr>
    </w:tbl>
    <w:p w14:paraId="615A16A0">
      <w:pPr>
        <w:keepNext w:val="0"/>
        <w:keepLines w:val="0"/>
        <w:pageBreakBefore w:val="0"/>
        <w:widowControl w:val="0"/>
        <w:kinsoku/>
        <w:wordWrap/>
        <w:overflowPunct/>
        <w:topLinePunct w:val="0"/>
        <w:autoSpaceDE/>
        <w:autoSpaceDN/>
        <w:bidi w:val="0"/>
        <w:adjustRightInd/>
        <w:spacing w:line="360" w:lineRule="auto"/>
        <w:ind w:right="-218" w:rightChars="-104"/>
        <w:textAlignment w:val="auto"/>
        <w:rPr>
          <w:rFonts w:hint="eastAsia" w:ascii="宋体" w:hAnsi="宋体" w:eastAsia="宋体" w:cs="宋体"/>
          <w:b/>
          <w:bCs/>
          <w:color w:val="auto"/>
          <w:highlight w:val="none"/>
          <w:lang w:eastAsia="zh-CN"/>
        </w:rPr>
      </w:pPr>
      <w:r>
        <w:rPr>
          <w:rFonts w:hint="eastAsia" w:ascii="宋体" w:hAnsi="宋体" w:eastAsia="宋体" w:cs="宋体"/>
          <w:color w:val="auto"/>
          <w:highlight w:val="none"/>
        </w:rPr>
        <w:t>说明：</w:t>
      </w:r>
      <w:r>
        <w:rPr>
          <w:rFonts w:hint="eastAsia" w:ascii="宋体" w:hAnsi="宋体" w:cs="宋体"/>
          <w:color w:val="auto"/>
          <w:highlight w:val="none"/>
          <w:lang w:eastAsia="zh-CN"/>
        </w:rPr>
        <w:t>（</w:t>
      </w:r>
      <w:r>
        <w:rPr>
          <w:rFonts w:hint="eastAsia" w:ascii="宋体" w:hAnsi="宋体" w:cs="宋体"/>
          <w:color w:val="auto"/>
          <w:highlight w:val="none"/>
          <w:lang w:val="en-US" w:eastAsia="zh-CN"/>
        </w:rPr>
        <w:t>1</w:t>
      </w:r>
      <w:r>
        <w:rPr>
          <w:rFonts w:hint="eastAsia" w:ascii="宋体" w:hAnsi="宋体" w:cs="宋体"/>
          <w:color w:val="auto"/>
          <w:highlight w:val="none"/>
          <w:lang w:eastAsia="zh-CN"/>
        </w:rPr>
        <w:t>）</w:t>
      </w:r>
      <w:r>
        <w:rPr>
          <w:rFonts w:hint="eastAsia" w:ascii="宋体" w:hAnsi="宋体" w:eastAsia="宋体" w:cs="宋体"/>
          <w:color w:val="auto"/>
          <w:highlight w:val="none"/>
        </w:rPr>
        <w:t>本表一式</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rPr>
        <w:t>份，委托单位</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rPr>
        <w:t>份、施工单位</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rPr>
        <w:t>份</w:t>
      </w:r>
      <w:r>
        <w:rPr>
          <w:rFonts w:hint="eastAsia" w:ascii="宋体" w:hAnsi="宋体" w:cs="宋体"/>
          <w:color w:val="auto"/>
          <w:highlight w:val="none"/>
          <w:lang w:eastAsia="zh-CN"/>
        </w:rPr>
        <w:t>；（</w:t>
      </w:r>
      <w:r>
        <w:rPr>
          <w:rFonts w:hint="eastAsia" w:ascii="宋体" w:hAnsi="宋体" w:cs="宋体"/>
          <w:color w:val="auto"/>
          <w:highlight w:val="none"/>
          <w:lang w:val="en-US" w:eastAsia="zh-CN"/>
        </w:rPr>
        <w:t>2</w:t>
      </w:r>
      <w:r>
        <w:rPr>
          <w:rFonts w:hint="eastAsia" w:ascii="宋体" w:hAnsi="宋体" w:cs="宋体"/>
          <w:color w:val="auto"/>
          <w:highlight w:val="none"/>
          <w:lang w:eastAsia="zh-CN"/>
        </w:rPr>
        <w:t>）</w:t>
      </w:r>
      <w:r>
        <w:rPr>
          <w:rFonts w:hint="eastAsia" w:ascii="宋体" w:hAnsi="宋体" w:cs="宋体"/>
          <w:color w:val="auto"/>
          <w:highlight w:val="none"/>
          <w:lang w:val="en-US" w:eastAsia="zh-CN"/>
        </w:rPr>
        <w:t>甲方可根据实际需求进行调整。</w:t>
      </w:r>
      <w:r>
        <w:rPr>
          <w:rFonts w:hint="eastAsia" w:ascii="宋体" w:hAnsi="宋体" w:eastAsia="宋体" w:cs="宋体"/>
          <w:color w:val="auto"/>
          <w:highlight w:val="none"/>
        </w:rPr>
        <w:br w:type="page"/>
      </w:r>
      <w:r>
        <w:rPr>
          <w:rFonts w:hint="eastAsia" w:ascii="宋体" w:hAnsi="宋体" w:eastAsia="宋体" w:cs="宋体"/>
          <w:b/>
          <w:bCs/>
          <w:color w:val="auto"/>
          <w:highlight w:val="none"/>
        </w:rPr>
        <w:t>附件</w:t>
      </w:r>
      <w:r>
        <w:rPr>
          <w:rFonts w:hint="eastAsia" w:ascii="宋体" w:hAnsi="宋体" w:eastAsia="宋体" w:cs="宋体"/>
          <w:b/>
          <w:bCs/>
          <w:color w:val="auto"/>
          <w:highlight w:val="none"/>
          <w:lang w:eastAsia="zh-CN"/>
        </w:rPr>
        <w:t>二</w:t>
      </w:r>
    </w:p>
    <w:p w14:paraId="36F2DF22">
      <w:pPr>
        <w:pStyle w:val="4"/>
        <w:bidi w:val="0"/>
        <w:jc w:val="center"/>
        <w:rPr>
          <w:rFonts w:hint="default" w:ascii="Times New Roman" w:hAnsi="Times New Roman" w:cs="Times New Roman" w:eastAsiaTheme="minorEastAsia"/>
          <w:color w:val="auto"/>
          <w:sz w:val="28"/>
          <w:szCs w:val="28"/>
          <w:highlight w:val="none"/>
        </w:rPr>
      </w:pPr>
      <w:bookmarkStart w:id="384" w:name="_Toc281228677"/>
      <w:r>
        <w:rPr>
          <w:rFonts w:hint="default" w:ascii="Times New Roman" w:hAnsi="Times New Roman" w:cs="Times New Roman" w:eastAsiaTheme="minorEastAsia"/>
          <w:color w:val="auto"/>
          <w:sz w:val="28"/>
          <w:szCs w:val="28"/>
          <w:highlight w:val="none"/>
        </w:rPr>
        <w:t>施工合同</w:t>
      </w:r>
      <w:bookmarkEnd w:id="384"/>
    </w:p>
    <w:p w14:paraId="4E19DE82">
      <w:pPr>
        <w:bidi w:val="0"/>
        <w:jc w:val="center"/>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具体以签订时为准</w:t>
      </w:r>
      <w:r>
        <w:rPr>
          <w:rFonts w:hint="eastAsia"/>
          <w:color w:val="auto"/>
          <w:highlight w:val="none"/>
          <w:lang w:eastAsia="zh-CN"/>
        </w:rPr>
        <w:t>）</w:t>
      </w:r>
    </w:p>
    <w:p w14:paraId="1BB472D2">
      <w:pPr>
        <w:keepNext w:val="0"/>
        <w:keepLines w:val="0"/>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发包方（以下简称甲方）：</w:t>
      </w:r>
      <w:r>
        <w:rPr>
          <w:rFonts w:hint="eastAsia" w:asciiTheme="minorEastAsia" w:hAnsiTheme="minorEastAsia" w:eastAsiaTheme="minorEastAsia" w:cstheme="minorEastAsia"/>
          <w:i w:val="0"/>
          <w:iCs w:val="0"/>
          <w:color w:val="auto"/>
          <w:sz w:val="21"/>
          <w:szCs w:val="21"/>
          <w:highlight w:val="none"/>
          <w:u w:val="single"/>
        </w:rPr>
        <w:t xml:space="preserve">宁波市奉化区粮食购销有限公司   </w:t>
      </w:r>
    </w:p>
    <w:p w14:paraId="0E4F8333">
      <w:pPr>
        <w:keepNext w:val="0"/>
        <w:keepLines w:val="0"/>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i w:val="0"/>
          <w:iCs w:val="0"/>
          <w:color w:val="auto"/>
          <w:sz w:val="21"/>
          <w:szCs w:val="21"/>
          <w:highlight w:val="none"/>
          <w:u w:val="single"/>
        </w:rPr>
      </w:pPr>
      <w:r>
        <w:rPr>
          <w:rFonts w:hint="eastAsia" w:asciiTheme="minorEastAsia" w:hAnsiTheme="minorEastAsia" w:eastAsiaTheme="minorEastAsia" w:cstheme="minorEastAsia"/>
          <w:i w:val="0"/>
          <w:iCs w:val="0"/>
          <w:color w:val="auto"/>
          <w:sz w:val="21"/>
          <w:szCs w:val="21"/>
          <w:highlight w:val="none"/>
        </w:rPr>
        <w:t>承包方（以下简称乙方）：</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u w:val="single"/>
        </w:rPr>
        <w:t xml:space="preserve">          </w:t>
      </w:r>
    </w:p>
    <w:p w14:paraId="1F4C50D1">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依照《中华人民共和国</w:t>
      </w:r>
      <w:r>
        <w:rPr>
          <w:rFonts w:hint="eastAsia" w:asciiTheme="minorEastAsia" w:hAnsiTheme="minorEastAsia" w:eastAsiaTheme="minorEastAsia" w:cstheme="minorEastAsia"/>
          <w:i w:val="0"/>
          <w:iCs w:val="0"/>
          <w:color w:val="auto"/>
          <w:sz w:val="21"/>
          <w:szCs w:val="21"/>
          <w:highlight w:val="none"/>
          <w:lang w:val="en-US" w:eastAsia="zh-CN"/>
        </w:rPr>
        <w:t>民法典</w:t>
      </w:r>
      <w:r>
        <w:rPr>
          <w:rFonts w:hint="eastAsia" w:asciiTheme="minorEastAsia" w:hAnsiTheme="minorEastAsia" w:eastAsiaTheme="minorEastAsia" w:cstheme="minorEastAsia"/>
          <w:i w:val="0"/>
          <w:iCs w:val="0"/>
          <w:color w:val="auto"/>
          <w:sz w:val="21"/>
          <w:szCs w:val="21"/>
          <w:highlight w:val="none"/>
        </w:rPr>
        <w:t>》及《中华人民共和国建筑法》，为明确双方职责和权益，确保工程质量、安全生产，经双方协商，特签订合同如下：</w:t>
      </w:r>
    </w:p>
    <w:p w14:paraId="7D7D24DF">
      <w:pPr>
        <w:keepNext w:val="0"/>
        <w:keepLines w:val="0"/>
        <w:pageBreakBefore w:val="0"/>
        <w:widowControl w:val="0"/>
        <w:kinsoku/>
        <w:wordWrap/>
        <w:overflowPunct/>
        <w:topLinePunct w:val="0"/>
        <w:autoSpaceDE/>
        <w:autoSpaceDN/>
        <w:bidi w:val="0"/>
        <w:snapToGrid/>
        <w:spacing w:line="360" w:lineRule="auto"/>
        <w:ind w:left="2031" w:leftChars="267" w:hanging="1470" w:hangingChars="700"/>
        <w:textAlignment w:val="auto"/>
        <w:rPr>
          <w:rFonts w:hint="default" w:asciiTheme="minorEastAsia" w:hAnsiTheme="minorEastAsia" w:eastAsiaTheme="minorEastAsia" w:cstheme="minorEastAsia"/>
          <w:i w:val="0"/>
          <w:iCs w:val="0"/>
          <w:color w:val="auto"/>
          <w:sz w:val="21"/>
          <w:szCs w:val="21"/>
          <w:highlight w:val="none"/>
          <w:u w:val="single"/>
          <w:lang w:val="en-US" w:eastAsia="zh-CN"/>
        </w:rPr>
      </w:pPr>
      <w:r>
        <w:rPr>
          <w:rFonts w:hint="eastAsia" w:asciiTheme="minorEastAsia" w:hAnsiTheme="minorEastAsia" w:eastAsiaTheme="minorEastAsia" w:cstheme="minorEastAsia"/>
          <w:i w:val="0"/>
          <w:iCs w:val="0"/>
          <w:color w:val="auto"/>
          <w:sz w:val="21"/>
          <w:szCs w:val="21"/>
          <w:highlight w:val="none"/>
        </w:rPr>
        <w:t>一、工程名称：</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p>
    <w:p w14:paraId="7F788B28">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default" w:asciiTheme="minorEastAsia" w:hAnsiTheme="minorEastAsia" w:eastAsiaTheme="minorEastAsia" w:cstheme="minorEastAsia"/>
          <w:i w:val="0"/>
          <w:iCs w:val="0"/>
          <w:color w:val="auto"/>
          <w:sz w:val="21"/>
          <w:szCs w:val="21"/>
          <w:highlight w:val="none"/>
          <w:u w:val="single"/>
          <w:lang w:val="en-US" w:eastAsia="zh-CN"/>
        </w:rPr>
      </w:pPr>
      <w:r>
        <w:rPr>
          <w:rFonts w:hint="eastAsia" w:asciiTheme="minorEastAsia" w:hAnsiTheme="minorEastAsia" w:eastAsiaTheme="minorEastAsia" w:cstheme="minorEastAsia"/>
          <w:i w:val="0"/>
          <w:iCs w:val="0"/>
          <w:color w:val="auto"/>
          <w:sz w:val="21"/>
          <w:szCs w:val="21"/>
          <w:highlight w:val="none"/>
        </w:rPr>
        <w:t>二、工程地点：</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p>
    <w:p w14:paraId="76FD562B">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default"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rPr>
        <w:t>三、主要工程项目及工程量：</w:t>
      </w:r>
      <w:r>
        <w:rPr>
          <w:rFonts w:hint="eastAsia" w:asciiTheme="minorEastAsia" w:hAnsiTheme="minorEastAsia" w:eastAsiaTheme="minorEastAsia" w:cstheme="minorEastAsia"/>
          <w:i w:val="0"/>
          <w:iCs w:val="0"/>
          <w:color w:val="auto"/>
          <w:sz w:val="21"/>
          <w:szCs w:val="21"/>
          <w:highlight w:val="none"/>
          <w:lang w:val="en-US" w:eastAsia="zh-CN"/>
        </w:rPr>
        <w:t>按工程造价咨询报告书</w:t>
      </w:r>
    </w:p>
    <w:p w14:paraId="06473A80">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lang w:eastAsia="zh-CN"/>
        </w:rPr>
      </w:pPr>
      <w:r>
        <w:rPr>
          <w:rFonts w:hint="eastAsia" w:asciiTheme="minorEastAsia" w:hAnsiTheme="minorEastAsia" w:eastAsiaTheme="minorEastAsia" w:cstheme="minorEastAsia"/>
          <w:i w:val="0"/>
          <w:iCs w:val="0"/>
          <w:color w:val="auto"/>
          <w:sz w:val="21"/>
          <w:szCs w:val="21"/>
          <w:highlight w:val="none"/>
        </w:rPr>
        <w:t>四、工程暂定价为</w:t>
      </w:r>
      <w:r>
        <w:rPr>
          <w:rFonts w:hint="eastAsia" w:asciiTheme="minorEastAsia" w:hAnsiTheme="minorEastAsia" w:eastAsiaTheme="minorEastAsia" w:cstheme="minorEastAsia"/>
          <w:i w:val="0"/>
          <w:iCs w:val="0"/>
          <w:color w:val="auto"/>
          <w:sz w:val="21"/>
          <w:szCs w:val="21"/>
          <w:highlight w:val="none"/>
          <w:u w:val="single"/>
        </w:rPr>
        <w:t xml:space="preserve"> </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rPr>
        <w:t>元（</w:t>
      </w:r>
      <w:r>
        <w:rPr>
          <w:rFonts w:hint="eastAsia" w:asciiTheme="minorEastAsia" w:hAnsiTheme="minorEastAsia" w:eastAsiaTheme="minorEastAsia" w:cstheme="minorEastAsia"/>
          <w:i w:val="0"/>
          <w:iCs w:val="0"/>
          <w:color w:val="auto"/>
          <w:sz w:val="21"/>
          <w:szCs w:val="21"/>
          <w:highlight w:val="none"/>
          <w:lang w:val="en-US" w:eastAsia="zh-CN"/>
        </w:rPr>
        <w:t>按预算价</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元</w:t>
      </w:r>
      <w:r>
        <w:rPr>
          <w:rFonts w:hint="eastAsia" w:asciiTheme="minorEastAsia" w:hAnsiTheme="minorEastAsia" w:eastAsiaTheme="minorEastAsia" w:cstheme="minorEastAsia"/>
          <w:i w:val="0"/>
          <w:iCs w:val="0"/>
          <w:color w:val="auto"/>
          <w:sz w:val="21"/>
          <w:szCs w:val="21"/>
          <w:highlight w:val="none"/>
        </w:rPr>
        <w:t>下浮率</w:t>
      </w:r>
      <w:r>
        <w:rPr>
          <w:rFonts w:hint="eastAsia" w:asciiTheme="minorEastAsia" w:hAnsiTheme="minorEastAsia" w:eastAsiaTheme="minorEastAsia" w:cstheme="minorEastAsia"/>
          <w:i w:val="0"/>
          <w:iCs w:val="0"/>
          <w:color w:val="auto"/>
          <w:sz w:val="21"/>
          <w:szCs w:val="21"/>
          <w:highlight w:val="none"/>
          <w:u w:val="single"/>
        </w:rPr>
        <w:t xml:space="preserve"> </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u w:val="single"/>
        </w:rPr>
        <w:t>%</w:t>
      </w:r>
      <w:r>
        <w:rPr>
          <w:rFonts w:hint="eastAsia" w:asciiTheme="minorEastAsia" w:hAnsiTheme="minorEastAsia" w:eastAsiaTheme="minorEastAsia" w:cstheme="minorEastAsia"/>
          <w:i w:val="0"/>
          <w:iCs w:val="0"/>
          <w:color w:val="auto"/>
          <w:sz w:val="21"/>
          <w:szCs w:val="21"/>
          <w:highlight w:val="none"/>
          <w:u w:val="single"/>
          <w:lang w:val="en-US" w:eastAsia="zh-CN"/>
        </w:rPr>
        <w:t>计算</w:t>
      </w:r>
      <w:r>
        <w:rPr>
          <w:rFonts w:hint="eastAsia" w:asciiTheme="minorEastAsia" w:hAnsiTheme="minorEastAsia" w:eastAsiaTheme="minorEastAsia" w:cstheme="minorEastAsia"/>
          <w:i w:val="0"/>
          <w:iCs w:val="0"/>
          <w:color w:val="auto"/>
          <w:sz w:val="21"/>
          <w:szCs w:val="21"/>
          <w:highlight w:val="none"/>
        </w:rPr>
        <w:t>）</w:t>
      </w:r>
      <w:r>
        <w:rPr>
          <w:rFonts w:hint="eastAsia" w:asciiTheme="minorEastAsia" w:hAnsiTheme="minorEastAsia" w:eastAsiaTheme="minorEastAsia" w:cstheme="minorEastAsia"/>
          <w:i w:val="0"/>
          <w:iCs w:val="0"/>
          <w:color w:val="auto"/>
          <w:sz w:val="21"/>
          <w:szCs w:val="21"/>
          <w:highlight w:val="none"/>
          <w:lang w:eastAsia="zh-CN"/>
        </w:rPr>
        <w:t>。</w:t>
      </w:r>
    </w:p>
    <w:p w14:paraId="2C728A37">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五、承包形式：本工程采用</w:t>
      </w:r>
      <w:r>
        <w:rPr>
          <w:rFonts w:hint="eastAsia" w:asciiTheme="minorEastAsia" w:hAnsiTheme="minorEastAsia" w:eastAsiaTheme="minorEastAsia" w:cstheme="minorEastAsia"/>
          <w:i w:val="0"/>
          <w:iCs w:val="0"/>
          <w:color w:val="auto"/>
          <w:sz w:val="21"/>
          <w:szCs w:val="21"/>
          <w:highlight w:val="none"/>
          <w:lang w:val="en-US" w:eastAsia="zh-CN"/>
        </w:rPr>
        <w:t>固定综合单价</w:t>
      </w:r>
      <w:r>
        <w:rPr>
          <w:rFonts w:hint="eastAsia" w:asciiTheme="minorEastAsia" w:hAnsiTheme="minorEastAsia" w:eastAsiaTheme="minorEastAsia" w:cstheme="minorEastAsia"/>
          <w:i w:val="0"/>
          <w:iCs w:val="0"/>
          <w:color w:val="auto"/>
          <w:sz w:val="21"/>
          <w:szCs w:val="21"/>
          <w:highlight w:val="none"/>
        </w:rPr>
        <w:t>承包，工程量按实结算，变更项目凭项目联系单，并依据中标下浮率结算。</w:t>
      </w:r>
    </w:p>
    <w:p w14:paraId="1D905CC7">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六、施工工期</w:t>
      </w:r>
    </w:p>
    <w:p w14:paraId="6C542665">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1、工期为</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rPr>
        <w:t>日历天，自开工令发出之日起计算。</w:t>
      </w:r>
    </w:p>
    <w:p w14:paraId="3362D7C5">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2、施工期间如遇人力不可抗拒原因，方可另行协商，按实际情况延长工期。</w:t>
      </w:r>
    </w:p>
    <w:p w14:paraId="14156051">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lang w:val="en-US" w:eastAsia="zh-CN"/>
        </w:rPr>
        <w:t>3、延误合同工期违约金每日按合同价款的</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lang w:val="en-US" w:eastAsia="zh-CN"/>
        </w:rPr>
        <w:t>%计算。</w:t>
      </w:r>
    </w:p>
    <w:p w14:paraId="082002DB">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七、工程质量和验收</w:t>
      </w:r>
    </w:p>
    <w:p w14:paraId="0F06EE2A">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l、按</w:t>
      </w:r>
      <w:r>
        <w:rPr>
          <w:rFonts w:hint="eastAsia" w:asciiTheme="minorEastAsia" w:hAnsiTheme="minorEastAsia" w:eastAsiaTheme="minorEastAsia" w:cstheme="minorEastAsia"/>
          <w:i w:val="0"/>
          <w:iCs w:val="0"/>
          <w:color w:val="auto"/>
          <w:sz w:val="21"/>
          <w:szCs w:val="21"/>
          <w:highlight w:val="none"/>
          <w:lang w:val="en-US" w:eastAsia="zh-CN"/>
        </w:rPr>
        <w:t>施工合同</w:t>
      </w:r>
      <w:r>
        <w:rPr>
          <w:rFonts w:hint="eastAsia" w:asciiTheme="minorEastAsia" w:hAnsiTheme="minorEastAsia" w:eastAsiaTheme="minorEastAsia" w:cstheme="minorEastAsia"/>
          <w:i w:val="0"/>
          <w:iCs w:val="0"/>
          <w:color w:val="auto"/>
          <w:sz w:val="21"/>
          <w:szCs w:val="21"/>
          <w:highlight w:val="none"/>
        </w:rPr>
        <w:t>所明确的工程内容、质量要求进行施工和质量评定，工程质量确保合格。</w:t>
      </w:r>
    </w:p>
    <w:p w14:paraId="161C5DEF">
      <w:pPr>
        <w:keepNext w:val="0"/>
        <w:keepLines w:val="0"/>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 xml:space="preserve">    2、</w:t>
      </w:r>
      <w:r>
        <w:rPr>
          <w:rFonts w:hint="eastAsia" w:asciiTheme="minorEastAsia" w:hAnsiTheme="minorEastAsia" w:eastAsiaTheme="minorEastAsia" w:cstheme="minorEastAsia"/>
          <w:bCs/>
          <w:i w:val="0"/>
          <w:iCs w:val="0"/>
          <w:color w:val="auto"/>
          <w:sz w:val="21"/>
          <w:szCs w:val="21"/>
          <w:highlight w:val="none"/>
        </w:rPr>
        <w:t>工程完工后，发包方</w:t>
      </w:r>
      <w:r>
        <w:rPr>
          <w:rFonts w:hint="eastAsia" w:asciiTheme="minorEastAsia" w:hAnsiTheme="minorEastAsia" w:eastAsiaTheme="minorEastAsia" w:cstheme="minorEastAsia"/>
          <w:bCs/>
          <w:i w:val="0"/>
          <w:iCs w:val="0"/>
          <w:color w:val="auto"/>
          <w:sz w:val="21"/>
          <w:szCs w:val="21"/>
          <w:highlight w:val="none"/>
          <w:lang w:val="en-US" w:eastAsia="zh-CN"/>
        </w:rPr>
        <w:t>或</w:t>
      </w:r>
      <w:r>
        <w:rPr>
          <w:rFonts w:hint="eastAsia" w:asciiTheme="minorEastAsia" w:hAnsiTheme="minorEastAsia" w:eastAsiaTheme="minorEastAsia" w:cstheme="minorEastAsia"/>
          <w:bCs/>
          <w:i w:val="0"/>
          <w:iCs w:val="0"/>
          <w:color w:val="auto"/>
          <w:sz w:val="21"/>
          <w:szCs w:val="21"/>
          <w:highlight w:val="none"/>
        </w:rPr>
        <w:t>委托第三方有资质的单位</w:t>
      </w:r>
      <w:r>
        <w:rPr>
          <w:rFonts w:hint="eastAsia" w:asciiTheme="minorEastAsia" w:hAnsiTheme="minorEastAsia" w:eastAsiaTheme="minorEastAsia" w:cstheme="minorEastAsia"/>
          <w:i w:val="0"/>
          <w:iCs w:val="0"/>
          <w:color w:val="auto"/>
          <w:sz w:val="21"/>
          <w:szCs w:val="21"/>
          <w:highlight w:val="none"/>
        </w:rPr>
        <w:t>按国家有关质量标准</w:t>
      </w:r>
      <w:r>
        <w:rPr>
          <w:rFonts w:hint="eastAsia" w:asciiTheme="minorEastAsia" w:hAnsiTheme="minorEastAsia" w:eastAsiaTheme="minorEastAsia" w:cstheme="minorEastAsia"/>
          <w:bCs/>
          <w:i w:val="0"/>
          <w:iCs w:val="0"/>
          <w:color w:val="auto"/>
          <w:sz w:val="21"/>
          <w:szCs w:val="21"/>
          <w:highlight w:val="none"/>
        </w:rPr>
        <w:t>进行工程验收。</w:t>
      </w:r>
    </w:p>
    <w:p w14:paraId="39C6A75C">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八、材料采购</w:t>
      </w:r>
    </w:p>
    <w:p w14:paraId="7FCEE054">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l、工程所需材料由承包方采购，主要材料必须有生产许可证、质量合格证书，并需经甲方现场管理员的认可。</w:t>
      </w:r>
    </w:p>
    <w:p w14:paraId="5EC237CF">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lang w:val="en-US" w:eastAsia="zh-CN"/>
        </w:rPr>
        <w:t>2、施工期间材料价格不随市场价浮动而调整。</w:t>
      </w:r>
    </w:p>
    <w:p w14:paraId="362D601C">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九、安全措施</w:t>
      </w:r>
    </w:p>
    <w:p w14:paraId="574F8B43">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l、承包方在抓好工程质量、施工进度的前提下，要时刻教育施工班组遵守施工操作规范，制订施工安全措施，做到安全施工。</w:t>
      </w:r>
    </w:p>
    <w:p w14:paraId="70BB9282">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2、承包方必须为其施工人员投保建设人员工伤保险，费用自负。施工期间发生一切工伤事故，发包方概不负责。</w:t>
      </w:r>
    </w:p>
    <w:p w14:paraId="10C14079">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lang w:val="en-US" w:eastAsia="zh-CN"/>
        </w:rPr>
        <w:t>十</w:t>
      </w:r>
      <w:r>
        <w:rPr>
          <w:rFonts w:hint="eastAsia" w:asciiTheme="minorEastAsia" w:hAnsiTheme="minorEastAsia" w:eastAsiaTheme="minorEastAsia" w:cstheme="minorEastAsia"/>
          <w:i w:val="0"/>
          <w:iCs w:val="0"/>
          <w:color w:val="auto"/>
          <w:sz w:val="21"/>
          <w:szCs w:val="21"/>
          <w:highlight w:val="none"/>
        </w:rPr>
        <w:t>、工程款支付</w:t>
      </w:r>
    </w:p>
    <w:p w14:paraId="1ADD82BC">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十</w:t>
      </w:r>
      <w:r>
        <w:rPr>
          <w:rFonts w:hint="eastAsia" w:asciiTheme="minorEastAsia" w:hAnsiTheme="minorEastAsia" w:eastAsiaTheme="minorEastAsia" w:cstheme="minorEastAsia"/>
          <w:i w:val="0"/>
          <w:iCs w:val="0"/>
          <w:color w:val="auto"/>
          <w:sz w:val="21"/>
          <w:szCs w:val="21"/>
          <w:highlight w:val="none"/>
          <w:lang w:val="en-US" w:eastAsia="zh-CN"/>
        </w:rPr>
        <w:t>一</w:t>
      </w:r>
      <w:r>
        <w:rPr>
          <w:rFonts w:hint="eastAsia" w:asciiTheme="minorEastAsia" w:hAnsiTheme="minorEastAsia" w:eastAsiaTheme="minorEastAsia" w:cstheme="minorEastAsia"/>
          <w:i w:val="0"/>
          <w:iCs w:val="0"/>
          <w:color w:val="auto"/>
          <w:sz w:val="21"/>
          <w:szCs w:val="21"/>
          <w:highlight w:val="none"/>
        </w:rPr>
        <w:t>、工程结算</w:t>
      </w:r>
    </w:p>
    <w:p w14:paraId="3AC0B5E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1、工程量的调整：</w:t>
      </w:r>
    </w:p>
    <w:p w14:paraId="310B5C32">
      <w:pPr>
        <w:keepNext w:val="0"/>
        <w:keepLines w:val="0"/>
        <w:pageBreakBefore w:val="0"/>
        <w:widowControl w:val="0"/>
        <w:kinsoku/>
        <w:wordWrap/>
        <w:overflowPunct/>
        <w:topLinePunct w:val="0"/>
        <w:autoSpaceDE/>
        <w:autoSpaceDN/>
        <w:bidi w:val="0"/>
        <w:adjustRightInd/>
        <w:snapToGrid/>
        <w:spacing w:line="360" w:lineRule="auto"/>
        <w:ind w:left="-42" w:leftChars="-20"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发生下列情况之一的，项目的工程量均应按实调整：</w:t>
      </w:r>
    </w:p>
    <w:p w14:paraId="149F7A7A">
      <w:pPr>
        <w:keepNext w:val="0"/>
        <w:keepLines w:val="0"/>
        <w:pageBreakBefore w:val="0"/>
        <w:widowControl w:val="0"/>
        <w:kinsoku/>
        <w:wordWrap/>
        <w:overflowPunct/>
        <w:topLinePunct w:val="0"/>
        <w:autoSpaceDE/>
        <w:autoSpaceDN/>
        <w:bidi w:val="0"/>
        <w:adjustRightInd/>
        <w:snapToGrid/>
        <w:spacing w:line="360" w:lineRule="auto"/>
        <w:ind w:left="-42" w:leftChars="-20"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（1）发包人提供的工程量清单的项目或数量有误；</w:t>
      </w:r>
    </w:p>
    <w:p w14:paraId="6BA7A22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（2）非承包人原因的变更引起的工程量变化；</w:t>
      </w:r>
    </w:p>
    <w:p w14:paraId="52E68D0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（3）发包人及监理人签证引起的工程量调整；</w:t>
      </w:r>
    </w:p>
    <w:p w14:paraId="3F8154E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（4）招标文件中的暂定工程量部分。</w:t>
      </w:r>
    </w:p>
    <w:p w14:paraId="7FF9F7E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变更的工程量应根据变更设计图纸、变更联系单，按有关工程量计算规则计算确定，经发包人或其委托的咨询单位工程师确认，并报财政或审计部门审定。</w:t>
      </w:r>
    </w:p>
    <w:p w14:paraId="2E3D50E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rPr>
        <w:t>2、单价的确定</w:t>
      </w:r>
    </w:p>
    <w:p w14:paraId="5993B57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（1）</w:t>
      </w:r>
      <w:r>
        <w:rPr>
          <w:rFonts w:hint="eastAsia" w:asciiTheme="minorEastAsia" w:hAnsiTheme="minorEastAsia" w:eastAsiaTheme="minorEastAsia" w:cstheme="minorEastAsia"/>
          <w:bCs/>
          <w:i w:val="0"/>
          <w:iCs w:val="0"/>
          <w:color w:val="auto"/>
          <w:kern w:val="0"/>
          <w:sz w:val="21"/>
          <w:szCs w:val="21"/>
          <w:highlight w:val="none"/>
        </w:rPr>
        <w:t>合同中有适用变更工作的子目的,</w:t>
      </w:r>
      <w:r>
        <w:rPr>
          <w:rFonts w:hint="eastAsia" w:asciiTheme="minorEastAsia" w:hAnsiTheme="minorEastAsia" w:eastAsiaTheme="minorEastAsia" w:cstheme="minorEastAsia"/>
          <w:i w:val="0"/>
          <w:iCs w:val="0"/>
          <w:color w:val="auto"/>
          <w:sz w:val="21"/>
          <w:szCs w:val="21"/>
          <w:highlight w:val="none"/>
        </w:rPr>
        <w:t xml:space="preserve"> 应参照合同中适用子目的单价</w:t>
      </w:r>
      <w:r>
        <w:rPr>
          <w:rFonts w:hint="eastAsia" w:asciiTheme="minorEastAsia" w:hAnsiTheme="minorEastAsia" w:eastAsiaTheme="minorEastAsia" w:cstheme="minorEastAsia"/>
          <w:i w:val="0"/>
          <w:iCs w:val="0"/>
          <w:color w:val="auto"/>
          <w:sz w:val="21"/>
          <w:szCs w:val="21"/>
          <w:highlight w:val="none"/>
          <w:lang w:val="en-US" w:eastAsia="zh-CN"/>
        </w:rPr>
        <w:t>(下浮13.2%后的单价）</w:t>
      </w:r>
      <w:r>
        <w:rPr>
          <w:rFonts w:hint="eastAsia" w:asciiTheme="minorEastAsia" w:hAnsiTheme="minorEastAsia" w:eastAsiaTheme="minorEastAsia" w:cstheme="minorEastAsia"/>
          <w:i w:val="0"/>
          <w:iCs w:val="0"/>
          <w:color w:val="auto"/>
          <w:sz w:val="21"/>
          <w:szCs w:val="21"/>
          <w:highlight w:val="none"/>
        </w:rPr>
        <w:t>。</w:t>
      </w:r>
    </w:p>
    <w:p w14:paraId="0281694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（2）合同中有类似变更工作的子目的，应</w:t>
      </w:r>
      <w:r>
        <w:rPr>
          <w:rFonts w:hint="eastAsia" w:asciiTheme="minorEastAsia" w:hAnsiTheme="minorEastAsia" w:eastAsiaTheme="minorEastAsia" w:cstheme="minorEastAsia"/>
          <w:bCs/>
          <w:i w:val="0"/>
          <w:iCs w:val="0"/>
          <w:color w:val="auto"/>
          <w:kern w:val="0"/>
          <w:sz w:val="21"/>
          <w:szCs w:val="21"/>
          <w:highlight w:val="none"/>
        </w:rPr>
        <w:t>参照合同中类似子目的单价</w:t>
      </w:r>
      <w:r>
        <w:rPr>
          <w:rFonts w:hint="eastAsia" w:asciiTheme="minorEastAsia" w:hAnsiTheme="minorEastAsia" w:eastAsiaTheme="minorEastAsia" w:cstheme="minorEastAsia"/>
          <w:i w:val="0"/>
          <w:iCs w:val="0"/>
          <w:color w:val="auto"/>
          <w:sz w:val="21"/>
          <w:szCs w:val="21"/>
          <w:highlight w:val="none"/>
          <w:lang w:val="en-US" w:eastAsia="zh-CN"/>
        </w:rPr>
        <w:t>(下浮13.2%后的单价）</w:t>
      </w:r>
      <w:r>
        <w:rPr>
          <w:rFonts w:hint="eastAsia" w:asciiTheme="minorEastAsia" w:hAnsiTheme="minorEastAsia" w:eastAsiaTheme="minorEastAsia" w:cstheme="minorEastAsia"/>
          <w:bCs/>
          <w:i w:val="0"/>
          <w:iCs w:val="0"/>
          <w:color w:val="auto"/>
          <w:kern w:val="0"/>
          <w:sz w:val="21"/>
          <w:szCs w:val="21"/>
          <w:highlight w:val="none"/>
        </w:rPr>
        <w:t>。</w:t>
      </w:r>
    </w:p>
    <w:p w14:paraId="1628DB9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（3）合同中没有类似变更工作子目单价的，由承包人根据合同中的“计价依据”提出适当的单价，经监理人及发包人认可，并按下浮率</w:t>
      </w:r>
      <w:r>
        <w:rPr>
          <w:rFonts w:hint="eastAsia" w:asciiTheme="minorEastAsia" w:hAnsiTheme="minorEastAsia" w:eastAsiaTheme="minorEastAsia" w:cstheme="minorEastAsia"/>
          <w:i w:val="0"/>
          <w:iCs w:val="0"/>
          <w:color w:val="auto"/>
          <w:sz w:val="21"/>
          <w:szCs w:val="21"/>
          <w:highlight w:val="none"/>
          <w:lang w:val="en-US" w:eastAsia="zh-CN"/>
        </w:rPr>
        <w:t>13.2%</w:t>
      </w:r>
      <w:r>
        <w:rPr>
          <w:rFonts w:hint="eastAsia" w:asciiTheme="minorEastAsia" w:hAnsiTheme="minorEastAsia" w:eastAsiaTheme="minorEastAsia" w:cstheme="minorEastAsia"/>
          <w:i w:val="0"/>
          <w:iCs w:val="0"/>
          <w:color w:val="auto"/>
          <w:sz w:val="21"/>
          <w:szCs w:val="21"/>
          <w:highlight w:val="none"/>
        </w:rPr>
        <w:t>进行下浮，经发包人或其委托的咨询单位工程师确认，并报财政或审计部门审定。</w:t>
      </w:r>
    </w:p>
    <w:p w14:paraId="733B1B3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4）凡合价金额占合同总价2%以上的分部分项清单项目，其工程量增加或减少超过本项目工程数量15%及以上时，或合价金额占合同造价不到2%的分部分项清单项目，但其工程量增加或减少超过本项目工程数量25%及以上时，其增加部分工程量或减少后剩余部分工程量的相应单价由承包人参照投标时的报价分析表对原单价重新组价，经发包人或其委托的咨询单位工程师确认，并报财政或审计部门审定，作为结算的依据。</w:t>
      </w:r>
    </w:p>
    <w:p w14:paraId="2E46E779">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b w:val="0"/>
          <w:bCs w:val="0"/>
          <w:i w:val="0"/>
          <w:iCs w:val="0"/>
          <w:color w:val="auto"/>
          <w:sz w:val="21"/>
          <w:szCs w:val="21"/>
          <w:highlight w:val="none"/>
          <w:lang w:val="en-US" w:eastAsia="zh-CN"/>
        </w:rPr>
        <w:t>3、暂定价部分结算时按发包人的签证价并结合中标下浮率按实结算，并经第三方审计部门审定</w:t>
      </w:r>
      <w:r>
        <w:rPr>
          <w:rFonts w:hint="eastAsia" w:asciiTheme="minorEastAsia" w:hAnsiTheme="minorEastAsia" w:eastAsiaTheme="minorEastAsia" w:cstheme="minorEastAsia"/>
          <w:i w:val="0"/>
          <w:iCs w:val="0"/>
          <w:color w:val="auto"/>
          <w:sz w:val="21"/>
          <w:szCs w:val="21"/>
          <w:highlight w:val="none"/>
          <w:lang w:val="en-US" w:eastAsia="zh-CN"/>
        </w:rPr>
        <w:t>。</w:t>
      </w:r>
    </w:p>
    <w:p w14:paraId="5DC1B031">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十</w:t>
      </w:r>
      <w:r>
        <w:rPr>
          <w:rFonts w:hint="eastAsia" w:asciiTheme="minorEastAsia" w:hAnsiTheme="minorEastAsia" w:eastAsiaTheme="minorEastAsia" w:cstheme="minorEastAsia"/>
          <w:i w:val="0"/>
          <w:iCs w:val="0"/>
          <w:color w:val="auto"/>
          <w:sz w:val="21"/>
          <w:szCs w:val="21"/>
          <w:highlight w:val="none"/>
          <w:lang w:val="en-US" w:eastAsia="zh-CN"/>
        </w:rPr>
        <w:t>二</w:t>
      </w:r>
      <w:r>
        <w:rPr>
          <w:rFonts w:hint="eastAsia" w:asciiTheme="minorEastAsia" w:hAnsiTheme="minorEastAsia" w:eastAsiaTheme="minorEastAsia" w:cstheme="minorEastAsia"/>
          <w:i w:val="0"/>
          <w:iCs w:val="0"/>
          <w:color w:val="auto"/>
          <w:sz w:val="21"/>
          <w:szCs w:val="21"/>
          <w:highlight w:val="none"/>
        </w:rPr>
        <w:t>、质保期：</w:t>
      </w:r>
      <w:r>
        <w:rPr>
          <w:rFonts w:hint="eastAsia" w:asciiTheme="minorEastAsia" w:hAnsiTheme="minorEastAsia" w:eastAsiaTheme="minorEastAsia" w:cstheme="minorEastAsia"/>
          <w:b/>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rPr>
        <w:t>年，</w:t>
      </w:r>
      <w:r>
        <w:rPr>
          <w:rFonts w:hint="eastAsia" w:asciiTheme="minorEastAsia" w:hAnsiTheme="minorEastAsia" w:eastAsiaTheme="minorEastAsia" w:cstheme="minorEastAsia"/>
          <w:i w:val="0"/>
          <w:iCs w:val="0"/>
          <w:color w:val="auto"/>
          <w:sz w:val="21"/>
          <w:szCs w:val="21"/>
          <w:highlight w:val="none"/>
          <w:lang w:val="en-US" w:eastAsia="zh-CN"/>
        </w:rPr>
        <w:t>自工程项目验收合格之日起计算。</w:t>
      </w:r>
      <w:r>
        <w:rPr>
          <w:rFonts w:hint="eastAsia" w:asciiTheme="minorEastAsia" w:hAnsiTheme="minorEastAsia" w:eastAsiaTheme="minorEastAsia" w:cstheme="minorEastAsia"/>
          <w:i w:val="0"/>
          <w:iCs w:val="0"/>
          <w:color w:val="auto"/>
          <w:sz w:val="21"/>
          <w:szCs w:val="21"/>
          <w:highlight w:val="none"/>
        </w:rPr>
        <w:t>质量保修金期满后无息退还。在保修范围内和保修期限内发生质量问题的，承包人应当履行保修义务，并对造成的损失承担赔偿责任。承包人未履行保修义务或未依法承担赔偿责任，相应的款项先在质量保修金中予以扣减，不足部分由承包人继续承担责任。</w:t>
      </w:r>
    </w:p>
    <w:p w14:paraId="1C43AC31">
      <w:pPr>
        <w:keepNext w:val="0"/>
        <w:keepLines w:val="0"/>
        <w:pageBreakBefore w:val="0"/>
        <w:widowControl w:val="0"/>
        <w:kinsoku/>
        <w:wordWrap/>
        <w:overflowPunct/>
        <w:topLinePunct w:val="0"/>
        <w:autoSpaceDE/>
        <w:autoSpaceDN/>
        <w:bidi w:val="0"/>
        <w:snapToGrid/>
        <w:spacing w:line="360" w:lineRule="auto"/>
        <w:ind w:firstLine="441" w:firstLineChars="210"/>
        <w:jc w:val="left"/>
        <w:textAlignment w:val="auto"/>
        <w:rPr>
          <w:rFonts w:hint="eastAsia" w:asciiTheme="minorEastAsia" w:hAnsiTheme="minorEastAsia" w:eastAsiaTheme="minorEastAsia" w:cstheme="minorEastAsia"/>
          <w:i w:val="0"/>
          <w:iCs w:val="0"/>
          <w:color w:val="auto"/>
          <w:kern w:val="0"/>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rPr>
        <w:t>十</w:t>
      </w:r>
      <w:r>
        <w:rPr>
          <w:rFonts w:hint="eastAsia" w:asciiTheme="minorEastAsia" w:hAnsiTheme="minorEastAsia" w:eastAsiaTheme="minorEastAsia" w:cstheme="minorEastAsia"/>
          <w:i w:val="0"/>
          <w:iCs w:val="0"/>
          <w:color w:val="auto"/>
          <w:sz w:val="21"/>
          <w:szCs w:val="21"/>
          <w:highlight w:val="none"/>
          <w:lang w:val="en-US" w:eastAsia="zh-CN"/>
        </w:rPr>
        <w:t>三</w:t>
      </w:r>
      <w:r>
        <w:rPr>
          <w:rFonts w:hint="eastAsia" w:asciiTheme="minorEastAsia" w:hAnsiTheme="minorEastAsia" w:eastAsiaTheme="minorEastAsia" w:cstheme="minorEastAsia"/>
          <w:i w:val="0"/>
          <w:iCs w:val="0"/>
          <w:color w:val="auto"/>
          <w:sz w:val="21"/>
          <w:szCs w:val="21"/>
          <w:highlight w:val="none"/>
        </w:rPr>
        <w:t>、</w:t>
      </w:r>
      <w:r>
        <w:rPr>
          <w:rFonts w:hint="eastAsia" w:asciiTheme="minorEastAsia" w:hAnsiTheme="minorEastAsia" w:eastAsiaTheme="minorEastAsia" w:cstheme="minorEastAsia"/>
          <w:i w:val="0"/>
          <w:iCs w:val="0"/>
          <w:color w:val="auto"/>
          <w:kern w:val="0"/>
          <w:sz w:val="21"/>
          <w:szCs w:val="21"/>
          <w:highlight w:val="none"/>
        </w:rPr>
        <w:t>履约担保</w:t>
      </w:r>
      <w:r>
        <w:rPr>
          <w:rFonts w:hint="eastAsia" w:asciiTheme="minorEastAsia" w:hAnsiTheme="minorEastAsia" w:eastAsiaTheme="minorEastAsia" w:cstheme="minorEastAsia"/>
          <w:i w:val="0"/>
          <w:iCs w:val="0"/>
          <w:color w:val="auto"/>
          <w:kern w:val="0"/>
          <w:sz w:val="21"/>
          <w:szCs w:val="21"/>
          <w:highlight w:val="none"/>
          <w:lang w:val="en-US" w:eastAsia="zh-CN"/>
        </w:rPr>
        <w:t>金</w:t>
      </w:r>
    </w:p>
    <w:p w14:paraId="3B1D865B">
      <w:pPr>
        <w:keepNext w:val="0"/>
        <w:keepLines w:val="0"/>
        <w:pageBreakBefore w:val="0"/>
        <w:widowControl w:val="0"/>
        <w:kinsoku/>
        <w:wordWrap/>
        <w:overflowPunct/>
        <w:topLinePunct w:val="0"/>
        <w:autoSpaceDE/>
        <w:autoSpaceDN/>
        <w:bidi w:val="0"/>
        <w:snapToGrid/>
        <w:spacing w:line="360" w:lineRule="auto"/>
        <w:ind w:firstLine="441" w:firstLineChars="210"/>
        <w:jc w:val="left"/>
        <w:textAlignment w:val="auto"/>
        <w:rPr>
          <w:rFonts w:hint="eastAsia" w:asciiTheme="minorEastAsia" w:hAnsiTheme="minorEastAsia" w:eastAsiaTheme="minorEastAsia" w:cstheme="minorEastAsia"/>
          <w:i w:val="0"/>
          <w:iCs w:val="0"/>
          <w:color w:val="auto"/>
          <w:kern w:val="0"/>
          <w:sz w:val="21"/>
          <w:szCs w:val="21"/>
          <w:highlight w:val="none"/>
        </w:rPr>
      </w:pPr>
      <w:r>
        <w:rPr>
          <w:rFonts w:hint="eastAsia" w:asciiTheme="minorEastAsia" w:hAnsiTheme="minorEastAsia" w:eastAsiaTheme="minorEastAsia" w:cstheme="minorEastAsia"/>
          <w:i w:val="0"/>
          <w:iCs w:val="0"/>
          <w:color w:val="auto"/>
          <w:kern w:val="0"/>
          <w:sz w:val="21"/>
          <w:szCs w:val="21"/>
          <w:highlight w:val="none"/>
        </w:rPr>
        <w:t>（1）承包人提供的履约担保形式为</w:t>
      </w:r>
      <w:r>
        <w:rPr>
          <w:rFonts w:hint="eastAsia" w:asciiTheme="minorEastAsia" w:hAnsiTheme="minorEastAsia" w:eastAsiaTheme="minorEastAsia" w:cstheme="minorEastAsia"/>
          <w:i w:val="0"/>
          <w:iCs w:val="0"/>
          <w:color w:val="auto"/>
          <w:kern w:val="0"/>
          <w:sz w:val="21"/>
          <w:szCs w:val="21"/>
          <w:highlight w:val="none"/>
          <w:u w:val="single"/>
        </w:rPr>
        <w:t xml:space="preserve"> </w:t>
      </w:r>
      <w:r>
        <w:rPr>
          <w:rFonts w:hint="eastAsia" w:asciiTheme="minorEastAsia" w:hAnsiTheme="minorEastAsia" w:eastAsiaTheme="minorEastAsia" w:cstheme="minorEastAsia"/>
          <w:i w:val="0"/>
          <w:iCs w:val="0"/>
          <w:color w:val="auto"/>
          <w:kern w:val="0"/>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kern w:val="0"/>
          <w:sz w:val="21"/>
          <w:szCs w:val="21"/>
          <w:highlight w:val="none"/>
        </w:rPr>
        <w:t>。</w:t>
      </w:r>
    </w:p>
    <w:p w14:paraId="6DC7A636">
      <w:pPr>
        <w:keepNext w:val="0"/>
        <w:keepLines w:val="0"/>
        <w:pageBreakBefore w:val="0"/>
        <w:widowControl w:val="0"/>
        <w:kinsoku/>
        <w:wordWrap/>
        <w:overflowPunct/>
        <w:topLinePunct w:val="0"/>
        <w:autoSpaceDE/>
        <w:autoSpaceDN/>
        <w:bidi w:val="0"/>
        <w:snapToGrid/>
        <w:spacing w:line="360" w:lineRule="auto"/>
        <w:ind w:firstLine="441" w:firstLineChars="210"/>
        <w:jc w:val="left"/>
        <w:textAlignment w:val="auto"/>
        <w:rPr>
          <w:rFonts w:hint="eastAsia" w:asciiTheme="minorEastAsia" w:hAnsiTheme="minorEastAsia" w:eastAsiaTheme="minorEastAsia" w:cstheme="minorEastAsia"/>
          <w:i w:val="0"/>
          <w:iCs w:val="0"/>
          <w:color w:val="auto"/>
          <w:kern w:val="0"/>
          <w:sz w:val="21"/>
          <w:szCs w:val="21"/>
          <w:highlight w:val="none"/>
        </w:rPr>
      </w:pPr>
      <w:r>
        <w:rPr>
          <w:rFonts w:hint="eastAsia" w:asciiTheme="minorEastAsia" w:hAnsiTheme="minorEastAsia" w:eastAsiaTheme="minorEastAsia" w:cstheme="minorEastAsia"/>
          <w:i w:val="0"/>
          <w:iCs w:val="0"/>
          <w:color w:val="auto"/>
          <w:kern w:val="0"/>
          <w:sz w:val="21"/>
          <w:szCs w:val="21"/>
          <w:highlight w:val="none"/>
        </w:rPr>
        <w:t>（2）本合同履约担保金额为签约合同价的</w:t>
      </w:r>
      <w:r>
        <w:rPr>
          <w:rFonts w:hint="eastAsia" w:asciiTheme="minorEastAsia" w:hAnsiTheme="minorEastAsia" w:eastAsiaTheme="minorEastAsia" w:cstheme="minorEastAsia"/>
          <w:i w:val="0"/>
          <w:iCs w:val="0"/>
          <w:color w:val="auto"/>
          <w:kern w:val="0"/>
          <w:sz w:val="21"/>
          <w:szCs w:val="21"/>
          <w:highlight w:val="none"/>
          <w:u w:val="single"/>
        </w:rPr>
        <w:t xml:space="preserve"> </w:t>
      </w:r>
      <w:r>
        <w:rPr>
          <w:rFonts w:hint="eastAsia" w:asciiTheme="minorEastAsia" w:hAnsiTheme="minorEastAsia" w:eastAsiaTheme="minorEastAsia" w:cstheme="minorEastAsia"/>
          <w:i w:val="0"/>
          <w:iCs w:val="0"/>
          <w:color w:val="auto"/>
          <w:kern w:val="0"/>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kern w:val="0"/>
          <w:sz w:val="21"/>
          <w:szCs w:val="21"/>
          <w:highlight w:val="none"/>
          <w:u w:val="single"/>
        </w:rPr>
        <w:t xml:space="preserve"> </w:t>
      </w:r>
      <w:r>
        <w:rPr>
          <w:rFonts w:hint="eastAsia" w:asciiTheme="minorEastAsia" w:hAnsiTheme="minorEastAsia" w:eastAsiaTheme="minorEastAsia" w:cstheme="minorEastAsia"/>
          <w:i w:val="0"/>
          <w:iCs w:val="0"/>
          <w:color w:val="auto"/>
          <w:kern w:val="0"/>
          <w:sz w:val="21"/>
          <w:szCs w:val="21"/>
          <w:highlight w:val="none"/>
        </w:rPr>
        <w:t>。</w:t>
      </w:r>
    </w:p>
    <w:p w14:paraId="4F844BF7">
      <w:pPr>
        <w:keepNext w:val="0"/>
        <w:keepLines w:val="0"/>
        <w:pageBreakBefore w:val="0"/>
        <w:widowControl w:val="0"/>
        <w:kinsoku/>
        <w:wordWrap/>
        <w:overflowPunct/>
        <w:topLinePunct w:val="0"/>
        <w:autoSpaceDE/>
        <w:autoSpaceDN/>
        <w:bidi w:val="0"/>
        <w:snapToGrid/>
        <w:spacing w:line="360" w:lineRule="auto"/>
        <w:ind w:firstLine="441" w:firstLineChars="210"/>
        <w:jc w:val="left"/>
        <w:textAlignment w:val="auto"/>
        <w:rPr>
          <w:rFonts w:hint="eastAsia" w:asciiTheme="minorEastAsia" w:hAnsiTheme="minorEastAsia" w:eastAsiaTheme="minorEastAsia" w:cstheme="minorEastAsia"/>
          <w:i w:val="0"/>
          <w:iCs w:val="0"/>
          <w:color w:val="auto"/>
          <w:kern w:val="0"/>
          <w:sz w:val="21"/>
          <w:szCs w:val="21"/>
          <w:highlight w:val="none"/>
        </w:rPr>
      </w:pPr>
      <w:r>
        <w:rPr>
          <w:rFonts w:hint="eastAsia" w:asciiTheme="minorEastAsia" w:hAnsiTheme="minorEastAsia" w:eastAsiaTheme="minorEastAsia" w:cstheme="minorEastAsia"/>
          <w:i w:val="0"/>
          <w:iCs w:val="0"/>
          <w:color w:val="auto"/>
          <w:kern w:val="0"/>
          <w:sz w:val="21"/>
          <w:szCs w:val="21"/>
          <w:highlight w:val="none"/>
        </w:rPr>
        <w:t>（3）承包人与履约担保有关的任何利息或其它类似的费用或者收益由承包人承担；因承包人原因或其他承包人应承担责任的事由导致工期延长的，继续提供履约担保所增加的费用由承包人承担；非承包人原因导致工期延长的，继续提供履约担保所增加的费用由发包人承担。</w:t>
      </w:r>
    </w:p>
    <w:p w14:paraId="33E9FAC6">
      <w:pPr>
        <w:keepNext w:val="0"/>
        <w:keepLines w:val="0"/>
        <w:pageBreakBefore w:val="0"/>
        <w:widowControl w:val="0"/>
        <w:kinsoku/>
        <w:wordWrap/>
        <w:overflowPunct/>
        <w:topLinePunct w:val="0"/>
        <w:autoSpaceDE/>
        <w:autoSpaceDN/>
        <w:bidi w:val="0"/>
        <w:snapToGrid/>
        <w:spacing w:line="360" w:lineRule="auto"/>
        <w:ind w:firstLine="441" w:firstLineChars="210"/>
        <w:jc w:val="left"/>
        <w:textAlignment w:val="auto"/>
        <w:rPr>
          <w:rFonts w:hint="eastAsia" w:asciiTheme="minorEastAsia" w:hAnsiTheme="minorEastAsia" w:eastAsiaTheme="minorEastAsia" w:cstheme="minorEastAsia"/>
          <w:i w:val="0"/>
          <w:iCs w:val="0"/>
          <w:color w:val="auto"/>
          <w:kern w:val="0"/>
          <w:sz w:val="21"/>
          <w:szCs w:val="21"/>
          <w:highlight w:val="none"/>
        </w:rPr>
      </w:pPr>
      <w:r>
        <w:rPr>
          <w:rFonts w:hint="eastAsia" w:asciiTheme="minorEastAsia" w:hAnsiTheme="minorEastAsia" w:eastAsiaTheme="minorEastAsia" w:cstheme="minorEastAsia"/>
          <w:i w:val="0"/>
          <w:iCs w:val="0"/>
          <w:color w:val="auto"/>
          <w:kern w:val="0"/>
          <w:sz w:val="21"/>
          <w:szCs w:val="21"/>
          <w:highlight w:val="none"/>
        </w:rPr>
        <w:t>（4）履约担保</w:t>
      </w:r>
      <w:r>
        <w:rPr>
          <w:rFonts w:hint="eastAsia" w:asciiTheme="minorEastAsia" w:hAnsiTheme="minorEastAsia" w:eastAsiaTheme="minorEastAsia" w:cstheme="minorEastAsia"/>
          <w:i w:val="0"/>
          <w:iCs w:val="0"/>
          <w:color w:val="auto"/>
          <w:kern w:val="0"/>
          <w:sz w:val="21"/>
          <w:szCs w:val="21"/>
          <w:highlight w:val="none"/>
          <w:lang w:val="en-US" w:eastAsia="zh-CN"/>
        </w:rPr>
        <w:t>金</w:t>
      </w:r>
      <w:r>
        <w:rPr>
          <w:rFonts w:hint="eastAsia" w:asciiTheme="minorEastAsia" w:hAnsiTheme="minorEastAsia" w:eastAsiaTheme="minorEastAsia" w:cstheme="minorEastAsia"/>
          <w:i w:val="0"/>
          <w:iCs w:val="0"/>
          <w:color w:val="auto"/>
          <w:kern w:val="0"/>
          <w:sz w:val="21"/>
          <w:szCs w:val="21"/>
          <w:highlight w:val="none"/>
        </w:rPr>
        <w:t>归还时间：工程竣工验收合格后。</w:t>
      </w:r>
    </w:p>
    <w:p w14:paraId="4D87C71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jc w:val="left"/>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kern w:val="0"/>
          <w:sz w:val="21"/>
          <w:szCs w:val="21"/>
          <w:highlight w:val="none"/>
        </w:rPr>
        <w:t>（5）</w:t>
      </w:r>
      <w:r>
        <w:rPr>
          <w:rFonts w:hint="eastAsia" w:asciiTheme="minorEastAsia" w:hAnsiTheme="minorEastAsia" w:eastAsiaTheme="minorEastAsia" w:cstheme="minorEastAsia"/>
          <w:i w:val="0"/>
          <w:iCs w:val="0"/>
          <w:color w:val="auto"/>
          <w:sz w:val="21"/>
          <w:szCs w:val="21"/>
          <w:highlight w:val="none"/>
          <w:lang w:eastAsia="zh-CN" w:bidi="ar"/>
        </w:rPr>
        <w:t>未达到工程质量验收标准违约金限额合同价款的</w:t>
      </w:r>
      <w:r>
        <w:rPr>
          <w:rFonts w:hint="eastAsia" w:asciiTheme="minorEastAsia" w:hAnsiTheme="minorEastAsia" w:eastAsiaTheme="minorEastAsia" w:cstheme="minorEastAsia"/>
          <w:i w:val="0"/>
          <w:iCs w:val="0"/>
          <w:color w:val="auto"/>
          <w:sz w:val="21"/>
          <w:szCs w:val="21"/>
          <w:highlight w:val="none"/>
          <w:u w:val="single"/>
          <w:lang w:val="en-US" w:eastAsia="zh-CN" w:bidi="ar"/>
        </w:rPr>
        <w:t xml:space="preserve">           </w:t>
      </w:r>
      <w:r>
        <w:rPr>
          <w:rFonts w:hint="eastAsia" w:asciiTheme="minorEastAsia" w:hAnsiTheme="minorEastAsia" w:eastAsiaTheme="minorEastAsia" w:cstheme="minorEastAsia"/>
          <w:i w:val="0"/>
          <w:iCs w:val="0"/>
          <w:color w:val="auto"/>
          <w:sz w:val="21"/>
          <w:szCs w:val="21"/>
          <w:highlight w:val="none"/>
          <w:u w:val="single"/>
          <w:lang w:eastAsia="zh-CN" w:bidi="ar"/>
        </w:rPr>
        <w:t>%</w:t>
      </w:r>
      <w:r>
        <w:rPr>
          <w:rFonts w:hint="eastAsia" w:asciiTheme="minorEastAsia" w:hAnsiTheme="minorEastAsia" w:eastAsiaTheme="minorEastAsia" w:cstheme="minorEastAsia"/>
          <w:i w:val="0"/>
          <w:iCs w:val="0"/>
          <w:color w:val="auto"/>
          <w:kern w:val="0"/>
          <w:sz w:val="21"/>
          <w:szCs w:val="21"/>
          <w:highlight w:val="none"/>
        </w:rPr>
        <w:t>。</w:t>
      </w:r>
    </w:p>
    <w:p w14:paraId="0BDEA078">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lang w:val="en-US" w:eastAsia="zh-CN"/>
        </w:rPr>
        <w:t>十四</w:t>
      </w:r>
      <w:r>
        <w:rPr>
          <w:rFonts w:hint="eastAsia" w:asciiTheme="minorEastAsia" w:hAnsiTheme="minorEastAsia" w:eastAsiaTheme="minorEastAsia" w:cstheme="minorEastAsia"/>
          <w:i w:val="0"/>
          <w:iCs w:val="0"/>
          <w:color w:val="auto"/>
          <w:sz w:val="21"/>
          <w:szCs w:val="21"/>
          <w:highlight w:val="none"/>
        </w:rPr>
        <w:t>、结算计价依据：</w:t>
      </w:r>
    </w:p>
    <w:p w14:paraId="04473FE8">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339682A8">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十</w:t>
      </w:r>
      <w:r>
        <w:rPr>
          <w:rFonts w:hint="eastAsia" w:asciiTheme="minorEastAsia" w:hAnsiTheme="minorEastAsia" w:eastAsiaTheme="minorEastAsia" w:cstheme="minorEastAsia"/>
          <w:i w:val="0"/>
          <w:iCs w:val="0"/>
          <w:color w:val="auto"/>
          <w:sz w:val="21"/>
          <w:szCs w:val="21"/>
          <w:highlight w:val="none"/>
          <w:lang w:val="en-US" w:eastAsia="zh-CN"/>
        </w:rPr>
        <w:t>五</w:t>
      </w:r>
      <w:r>
        <w:rPr>
          <w:rFonts w:hint="eastAsia" w:asciiTheme="minorEastAsia" w:hAnsiTheme="minorEastAsia" w:eastAsiaTheme="minorEastAsia" w:cstheme="minorEastAsia"/>
          <w:i w:val="0"/>
          <w:iCs w:val="0"/>
          <w:color w:val="auto"/>
          <w:sz w:val="21"/>
          <w:szCs w:val="21"/>
          <w:highlight w:val="none"/>
        </w:rPr>
        <w:t>、本合同未尽事项由双方协商解决。</w:t>
      </w:r>
    </w:p>
    <w:p w14:paraId="6D95185F">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十</w:t>
      </w:r>
      <w:r>
        <w:rPr>
          <w:rFonts w:hint="eastAsia" w:asciiTheme="minorEastAsia" w:hAnsiTheme="minorEastAsia" w:eastAsiaTheme="minorEastAsia" w:cstheme="minorEastAsia"/>
          <w:i w:val="0"/>
          <w:iCs w:val="0"/>
          <w:color w:val="auto"/>
          <w:sz w:val="21"/>
          <w:szCs w:val="21"/>
          <w:highlight w:val="none"/>
          <w:lang w:val="en-US" w:eastAsia="zh-CN"/>
        </w:rPr>
        <w:t>六</w:t>
      </w:r>
      <w:r>
        <w:rPr>
          <w:rFonts w:hint="eastAsia" w:asciiTheme="minorEastAsia" w:hAnsiTheme="minorEastAsia" w:eastAsiaTheme="minorEastAsia" w:cstheme="minorEastAsia"/>
          <w:i w:val="0"/>
          <w:iCs w:val="0"/>
          <w:color w:val="auto"/>
          <w:sz w:val="21"/>
          <w:szCs w:val="21"/>
          <w:highlight w:val="none"/>
        </w:rPr>
        <w:t>、本合同一式</w:t>
      </w:r>
      <w:r>
        <w:rPr>
          <w:rFonts w:hint="eastAsia" w:asciiTheme="minorEastAsia" w:hAnsiTheme="minorEastAsia" w:eastAsiaTheme="minorEastAsia" w:cstheme="minorEastAsia"/>
          <w:i w:val="0"/>
          <w:iCs w:val="0"/>
          <w:color w:val="auto"/>
          <w:sz w:val="21"/>
          <w:szCs w:val="21"/>
          <w:highlight w:val="none"/>
          <w:lang w:val="en-US" w:eastAsia="zh-CN"/>
        </w:rPr>
        <w:t>四</w:t>
      </w:r>
      <w:r>
        <w:rPr>
          <w:rFonts w:hint="eastAsia" w:asciiTheme="minorEastAsia" w:hAnsiTheme="minorEastAsia" w:eastAsiaTheme="minorEastAsia" w:cstheme="minorEastAsia"/>
          <w:i w:val="0"/>
          <w:iCs w:val="0"/>
          <w:color w:val="auto"/>
          <w:sz w:val="21"/>
          <w:szCs w:val="21"/>
          <w:highlight w:val="none"/>
        </w:rPr>
        <w:t>份，甲、乙双方各执二份。</w:t>
      </w:r>
    </w:p>
    <w:p w14:paraId="6F553912">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2AEA78E4">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689CF254">
      <w:pPr>
        <w:keepLines w:val="0"/>
        <w:pageBreakBefore w:val="0"/>
        <w:widowControl w:val="0"/>
        <w:kinsoku/>
        <w:wordWrap/>
        <w:overflowPunct/>
        <w:topLinePunct w:val="0"/>
        <w:autoSpaceDE/>
        <w:autoSpaceDN/>
        <w:bidi w:val="0"/>
        <w:snapToGrid/>
        <w:spacing w:line="360" w:lineRule="auto"/>
        <w:textAlignment w:val="auto"/>
        <w:rPr>
          <w:rFonts w:hint="eastAsia"/>
          <w:i w:val="0"/>
          <w:iCs w:val="0"/>
          <w:color w:val="auto"/>
          <w:sz w:val="21"/>
          <w:szCs w:val="21"/>
          <w:highlight w:val="none"/>
        </w:rPr>
      </w:pPr>
    </w:p>
    <w:p w14:paraId="680B2146">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u w:val="single"/>
        </w:rPr>
      </w:pPr>
      <w:r>
        <w:rPr>
          <w:rFonts w:hint="eastAsia" w:asciiTheme="minorEastAsia" w:hAnsiTheme="minorEastAsia" w:eastAsiaTheme="minorEastAsia" w:cstheme="minorEastAsia"/>
          <w:i w:val="0"/>
          <w:iCs w:val="0"/>
          <w:color w:val="auto"/>
          <w:sz w:val="21"/>
          <w:szCs w:val="21"/>
          <w:highlight w:val="none"/>
        </w:rPr>
        <w:t>甲方：</w:t>
      </w:r>
      <w:r>
        <w:rPr>
          <w:rFonts w:hint="eastAsia" w:asciiTheme="minorEastAsia" w:hAnsiTheme="minorEastAsia" w:eastAsiaTheme="minorEastAsia" w:cstheme="minorEastAsia"/>
          <w:i w:val="0"/>
          <w:iCs w:val="0"/>
          <w:color w:val="auto"/>
          <w:sz w:val="21"/>
          <w:szCs w:val="21"/>
          <w:highlight w:val="none"/>
          <w:u w:val="single"/>
        </w:rPr>
        <w:t>奉化区粮食购销有限公司</w:t>
      </w:r>
      <w:r>
        <w:rPr>
          <w:rFonts w:hint="eastAsia" w:asciiTheme="minorEastAsia" w:hAnsiTheme="minorEastAsia" w:eastAsiaTheme="minorEastAsia" w:cstheme="minorEastAsia"/>
          <w:i w:val="0"/>
          <w:iCs w:val="0"/>
          <w:color w:val="auto"/>
          <w:sz w:val="21"/>
          <w:szCs w:val="21"/>
          <w:highlight w:val="none"/>
          <w:lang w:val="en-US" w:eastAsia="zh-CN"/>
        </w:rPr>
        <w:t xml:space="preserve">   </w:t>
      </w:r>
      <w:r>
        <w:rPr>
          <w:rFonts w:hint="eastAsia" w:asciiTheme="minorEastAsia" w:hAnsiTheme="minorEastAsia" w:eastAsiaTheme="minorEastAsia" w:cstheme="minorEastAsia"/>
          <w:i w:val="0"/>
          <w:iCs w:val="0"/>
          <w:color w:val="auto"/>
          <w:sz w:val="21"/>
          <w:szCs w:val="21"/>
          <w:highlight w:val="none"/>
        </w:rPr>
        <w:t>乙方</w:t>
      </w:r>
      <w:r>
        <w:rPr>
          <w:rFonts w:hint="eastAsia" w:asciiTheme="minorEastAsia" w:hAnsiTheme="minorEastAsia" w:eastAsiaTheme="minorEastAsia" w:cstheme="minorEastAsia"/>
          <w:i w:val="0"/>
          <w:iCs w:val="0"/>
          <w:color w:val="auto"/>
          <w:sz w:val="21"/>
          <w:szCs w:val="21"/>
          <w:highlight w:val="none"/>
          <w:lang w:eastAsia="zh-CN"/>
        </w:rPr>
        <w:t>：</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z w:val="21"/>
          <w:szCs w:val="21"/>
          <w:highlight w:val="none"/>
          <w:u w:val="single"/>
        </w:rPr>
        <w:t xml:space="preserve">  </w:t>
      </w:r>
    </w:p>
    <w:p w14:paraId="0716C6AB">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rPr>
      </w:pPr>
    </w:p>
    <w:p w14:paraId="67D4557A">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rPr>
      </w:pPr>
    </w:p>
    <w:p w14:paraId="72DCCD95">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法定代表人(签字)：             法定代表人(签字)：</w:t>
      </w:r>
    </w:p>
    <w:p w14:paraId="7F5E54B0">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rPr>
      </w:pPr>
    </w:p>
    <w:p w14:paraId="189EB913">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rPr>
      </w:pPr>
    </w:p>
    <w:p w14:paraId="27BC1CFF">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i w:val="0"/>
          <w:iCs w:val="0"/>
          <w:color w:val="auto"/>
          <w:sz w:val="21"/>
          <w:szCs w:val="21"/>
          <w:highlight w:val="none"/>
        </w:rPr>
      </w:pPr>
    </w:p>
    <w:p w14:paraId="3FBF7BBF">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Theme="minorEastAsia" w:hAnsiTheme="minorEastAsia" w:eastAsiaTheme="minorEastAsia" w:cstheme="minorEastAsia"/>
          <w:i w:val="0"/>
          <w:iCs w:val="0"/>
          <w:color w:val="auto"/>
          <w:sz w:val="21"/>
          <w:szCs w:val="21"/>
          <w:highlight w:val="none"/>
          <w:lang w:eastAsia="zh-CN"/>
        </w:rPr>
      </w:pPr>
      <w:r>
        <w:rPr>
          <w:rFonts w:hint="eastAsia" w:asciiTheme="minorEastAsia" w:hAnsiTheme="minorEastAsia" w:eastAsiaTheme="minorEastAsia" w:cstheme="minorEastAsia"/>
          <w:i w:val="0"/>
          <w:iCs w:val="0"/>
          <w:color w:val="auto"/>
          <w:sz w:val="21"/>
          <w:szCs w:val="21"/>
          <w:highlight w:val="none"/>
        </w:rPr>
        <w:t xml:space="preserve">                         本合同签订日期：    年  月  日</w:t>
      </w:r>
      <w:bookmarkStart w:id="385" w:name="_Toc281228678"/>
    </w:p>
    <w:p w14:paraId="07E91120">
      <w:pPr>
        <w:keepLines w:val="0"/>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p>
    <w:p w14:paraId="5C24BC4D">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50650FCA">
      <w:pPr>
        <w:keepLines w:val="0"/>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p>
    <w:p w14:paraId="2AB29B2A">
      <w:pPr>
        <w:pStyle w:val="3"/>
        <w:keepLines w:val="0"/>
        <w:pageBreakBefore w:val="0"/>
        <w:widowControl w:val="0"/>
        <w:kinsoku/>
        <w:wordWrap/>
        <w:overflowPunct/>
        <w:topLinePunct w:val="0"/>
        <w:autoSpaceDE/>
        <w:autoSpaceDN/>
        <w:bidi w:val="0"/>
        <w:snapToGrid/>
        <w:spacing w:line="360" w:lineRule="auto"/>
        <w:jc w:val="both"/>
        <w:textAlignment w:val="auto"/>
        <w:rPr>
          <w:rFonts w:hint="eastAsia"/>
          <w:i w:val="0"/>
          <w:iCs w:val="0"/>
          <w:color w:val="auto"/>
          <w:sz w:val="21"/>
          <w:szCs w:val="21"/>
          <w:highlight w:val="none"/>
        </w:rPr>
        <w:sectPr>
          <w:footerReference r:id="rId4" w:type="default"/>
          <w:pgSz w:w="11906" w:h="16838"/>
          <w:pgMar w:top="1240" w:right="1706" w:bottom="1440" w:left="1600" w:header="851" w:footer="992" w:gutter="0"/>
          <w:pgNumType w:start="1"/>
          <w:cols w:space="720" w:num="1"/>
          <w:docGrid w:type="lines" w:linePitch="312" w:charSpace="0"/>
        </w:sectPr>
      </w:pPr>
    </w:p>
    <w:p w14:paraId="4A7A13C1">
      <w:pPr>
        <w:jc w:val="left"/>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附件</w:t>
      </w:r>
      <w:r>
        <w:rPr>
          <w:rFonts w:hint="eastAsia" w:ascii="宋体" w:hAnsi="宋体" w:cs="宋体"/>
          <w:b/>
          <w:bCs/>
          <w:color w:val="auto"/>
          <w:highlight w:val="none"/>
          <w:lang w:val="en-US" w:eastAsia="zh-CN"/>
        </w:rPr>
        <w:t>三</w:t>
      </w:r>
    </w:p>
    <w:p w14:paraId="2051BFF6">
      <w:pPr>
        <w:pStyle w:val="4"/>
        <w:bidi w:val="0"/>
        <w:jc w:val="center"/>
        <w:rPr>
          <w:rFonts w:hint="eastAsia" w:ascii="Times New Roman" w:hAnsi="Times New Roman" w:cs="Times New Roman" w:eastAsiaTheme="minorEastAsia"/>
          <w:color w:val="auto"/>
          <w:sz w:val="28"/>
          <w:szCs w:val="28"/>
          <w:highlight w:val="none"/>
        </w:rPr>
      </w:pPr>
      <w:r>
        <w:rPr>
          <w:rFonts w:hint="eastAsia" w:ascii="Times New Roman" w:hAnsi="Times New Roman" w:cs="Times New Roman" w:eastAsiaTheme="minorEastAsia"/>
          <w:color w:val="auto"/>
          <w:sz w:val="28"/>
          <w:szCs w:val="28"/>
          <w:highlight w:val="none"/>
        </w:rPr>
        <w:t>安全生产合同</w:t>
      </w:r>
      <w:bookmarkEnd w:id="385"/>
    </w:p>
    <w:p w14:paraId="708B47AC">
      <w:pPr>
        <w:bidi w:val="0"/>
        <w:jc w:val="center"/>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具体以签订时为准</w:t>
      </w:r>
      <w:r>
        <w:rPr>
          <w:rFonts w:hint="eastAsia"/>
          <w:color w:val="auto"/>
          <w:highlight w:val="none"/>
          <w:lang w:eastAsia="zh-CN"/>
        </w:rPr>
        <w:t>）</w:t>
      </w:r>
    </w:p>
    <w:p w14:paraId="06BCD4D5">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bCs/>
          <w:i w:val="0"/>
          <w:iCs w:val="0"/>
          <w:color w:val="auto"/>
          <w:sz w:val="21"/>
          <w:szCs w:val="21"/>
          <w:highlight w:val="none"/>
        </w:rPr>
      </w:pPr>
      <w:r>
        <w:rPr>
          <w:rFonts w:hint="eastAsia" w:ascii="宋体" w:hAnsi="宋体"/>
          <w:i w:val="0"/>
          <w:iCs w:val="0"/>
          <w:color w:val="auto"/>
          <w:sz w:val="21"/>
          <w:szCs w:val="21"/>
          <w:highlight w:val="none"/>
        </w:rPr>
        <w:t>为在</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宋体" w:hAnsi="宋体"/>
          <w:i w:val="0"/>
          <w:iCs w:val="0"/>
          <w:color w:val="auto"/>
          <w:sz w:val="21"/>
          <w:szCs w:val="21"/>
          <w:highlight w:val="none"/>
        </w:rPr>
        <w:t>施工合同的实施过程中创造安全、高效的施工环境，切实搞好本项目的安全管理工作，本项目业主</w:t>
      </w:r>
      <w:r>
        <w:rPr>
          <w:rFonts w:hint="eastAsia" w:ascii="宋体" w:hAnsi="宋体"/>
          <w:bCs/>
          <w:i w:val="0"/>
          <w:iCs w:val="0"/>
          <w:color w:val="auto"/>
          <w:sz w:val="21"/>
          <w:szCs w:val="21"/>
          <w:highlight w:val="none"/>
        </w:rPr>
        <w:t xml:space="preserve"> </w:t>
      </w:r>
      <w:r>
        <w:rPr>
          <w:rFonts w:hint="eastAsia" w:ascii="宋体" w:hAnsi="宋体"/>
          <w:i w:val="0"/>
          <w:iCs w:val="0"/>
          <w:color w:val="auto"/>
          <w:sz w:val="21"/>
          <w:szCs w:val="21"/>
          <w:highlight w:val="none"/>
          <w:u w:val="single"/>
        </w:rPr>
        <w:t>奉化区粮食购销有限公司</w:t>
      </w:r>
      <w:r>
        <w:rPr>
          <w:rFonts w:hint="eastAsia" w:ascii="宋体" w:hAnsi="宋体"/>
          <w:i w:val="0"/>
          <w:iCs w:val="0"/>
          <w:color w:val="auto"/>
          <w:sz w:val="21"/>
          <w:szCs w:val="21"/>
          <w:highlight w:val="none"/>
        </w:rPr>
        <w:t>（以下</w:t>
      </w:r>
      <w:r>
        <w:rPr>
          <w:rFonts w:hint="eastAsia" w:ascii="宋体" w:hAnsi="宋体"/>
          <w:i w:val="0"/>
          <w:iCs w:val="0"/>
          <w:color w:val="auto"/>
          <w:spacing w:val="-2"/>
          <w:kern w:val="28"/>
          <w:sz w:val="21"/>
          <w:szCs w:val="21"/>
          <w:highlight w:val="none"/>
        </w:rPr>
        <w:t xml:space="preserve">简称“甲方”）与承包人 </w:t>
      </w:r>
      <w:r>
        <w:rPr>
          <w:rFonts w:hint="eastAsia" w:ascii="宋体" w:hAnsi="宋体"/>
          <w:i w:val="0"/>
          <w:iCs w:val="0"/>
          <w:color w:val="auto"/>
          <w:spacing w:val="-2"/>
          <w:kern w:val="28"/>
          <w:sz w:val="21"/>
          <w:szCs w:val="21"/>
          <w:highlight w:val="none"/>
          <w:u w:val="single"/>
          <w:lang w:val="en-US" w:eastAsia="zh-CN"/>
        </w:rPr>
        <w:t xml:space="preserve">                 </w:t>
      </w:r>
      <w:r>
        <w:rPr>
          <w:rFonts w:hint="eastAsia" w:ascii="宋体" w:hAnsi="宋体"/>
          <w:i w:val="0"/>
          <w:iCs w:val="0"/>
          <w:color w:val="auto"/>
          <w:sz w:val="21"/>
          <w:szCs w:val="21"/>
          <w:highlight w:val="none"/>
        </w:rPr>
        <w:t>（以下简称“乙方”）特此签订安全生产合同：</w:t>
      </w:r>
    </w:p>
    <w:p w14:paraId="6F7B135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一、甲方职责</w:t>
      </w:r>
    </w:p>
    <w:p w14:paraId="08C7DB44">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1．严格遵守国家有关安全生产的法律法规，认真执行工程承包合同中的有关安全要求。</w:t>
      </w:r>
    </w:p>
    <w:p w14:paraId="6FD41025">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2．按照“安全第一、预防为主”和坚持“管生产必须管安全”的原则进行安全生产管理，做到生产与安全工作同时计划、布置、检查、总结和评比。</w:t>
      </w:r>
    </w:p>
    <w:p w14:paraId="3E7E86E0">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3．重要的安全设施必须坚持与主体工程“三同时”的原则，即：同时设计、审批，同时施工，同时验收，投入使用。</w:t>
      </w:r>
    </w:p>
    <w:p w14:paraId="30B16FC6">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4．定期召开安全生产调度会，及时传达中央及地方有关安全生产的精神。</w:t>
      </w:r>
    </w:p>
    <w:p w14:paraId="489206F4">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5．组织对乙方施工现场安全生产检查，监督乙方及时处理发现的各种安全隐患。</w:t>
      </w:r>
    </w:p>
    <w:p w14:paraId="52811698">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二、乙方职责</w:t>
      </w:r>
    </w:p>
    <w:p w14:paraId="75DC2A55">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1．严格遵守国家有关安全生产的法律法规、发改委及电力部颁发的《水电水利工程施工通用安全技术规程》（DL/T 5370-2007）有关安全生产的规定，认真执行工程承包合同中的有关安全要求。</w:t>
      </w:r>
    </w:p>
    <w:p w14:paraId="43584522">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2．坚持“安全第一、预防为主”和“管生产必须管安全”的原则，加强安全生产宣传教育，增强全员安全生产意识，建立健全各项安全生产的管理制度，配备专职及兼职安全检查人员，有组织有领导地开展安全生产活动。各级领导、工程技术人员、生产管理人员和具体操作人员，必须熟悉和遵守本条款的各项规定，做到生产与安全工作同时计算、布置、检查、总结和评比。</w:t>
      </w:r>
    </w:p>
    <w:p w14:paraId="53719B1E">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3．建立健全安全生产责任制。从派往项目实施的项目负责人到生产工人（包括临时雇请的民工）的安全生产管理系统必须做到纵向到底，一环不漏；各职能部门、人员的安全生产责任制做到横向到边，人人有责。项目负责人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1B0613C6">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4．乙方在任何时候都应采取各种合理的预防措施，防止其员工发生任何违法、违禁、暴力或妨碍治安的行为。</w:t>
      </w:r>
    </w:p>
    <w:p w14:paraId="1C4607D1">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5．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船艇架驶、爆破、潜水、瓦斯检验等特殊工种的人员，经过专业培训，获得《安全操作合格证》后，方准持证上岗。施工现场如出现特种作业无证操作现象时，项目负责人必须承担管理责任。</w:t>
      </w:r>
    </w:p>
    <w:p w14:paraId="34AE73A9">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6．对于易燃易爆的材料除应专门妥善保管之外，还应配备有足够的消防设施，所有施工人员都应熟悉消防设备的性能和使用方法；乙方不得将任何种类的爆炸物给予、易货或以其他方式转让给任何其他人，或允许、容忍上述同样行为。</w:t>
      </w:r>
    </w:p>
    <w:p w14:paraId="23336DF7">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7．操作人员上岗，必须按规定穿戴防护用品。施工负责人和安全检查员应随时检查劳动防护用品的穿戴情况，不按规定穿戴防护用品的人员不得上岗。</w:t>
      </w:r>
    </w:p>
    <w:p w14:paraId="581C47D9">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8．所有施工机具设备和高空作业的设备均应定期检查，并有安全员的签字记录，保证其经常处于完好状态；不合格的机具、设备和劳动保护用品严禁使用。</w:t>
      </w:r>
    </w:p>
    <w:p w14:paraId="7D003E9F">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9．施工中采用新技术、新工艺、新设备、新材料时，必须制定相应的安全技术措施，施工现场必须具有相关的安全标志牌。</w:t>
      </w:r>
    </w:p>
    <w:p w14:paraId="501CC631">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10．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63307835">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三、违约责任</w:t>
      </w:r>
    </w:p>
    <w:p w14:paraId="0B7FFC5E">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如因甲方或乙方违约造成安全事故，将依法追究责任。</w:t>
      </w:r>
    </w:p>
    <w:p w14:paraId="32B33A9D">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承包人应严格按照施工安全操作规程及有关规定施工，若违反《工程安全施工合同》条款，被安检站处罚并下达了停工令的，自下达停工日起至解令复工为止，发包人将扣除承包人安全履约金</w:t>
      </w:r>
      <w:r>
        <w:rPr>
          <w:rFonts w:hint="eastAsia" w:ascii="宋体" w:hAnsi="宋体"/>
          <w:i w:val="0"/>
          <w:iCs w:val="0"/>
          <w:color w:val="auto"/>
          <w:sz w:val="21"/>
          <w:szCs w:val="21"/>
          <w:highlight w:val="none"/>
          <w:u w:val="single"/>
          <w:lang w:val="en-US" w:eastAsia="zh-CN"/>
        </w:rPr>
        <w:t xml:space="preserve">    </w:t>
      </w:r>
      <w:r>
        <w:rPr>
          <w:rFonts w:hint="eastAsia" w:ascii="宋体" w:hAnsi="宋体"/>
          <w:i w:val="0"/>
          <w:iCs w:val="0"/>
          <w:color w:val="auto"/>
          <w:sz w:val="21"/>
          <w:szCs w:val="21"/>
          <w:highlight w:val="none"/>
        </w:rPr>
        <w:t xml:space="preserve"> 元/天，扣完履约金为止。若违反《工程安全施工合同》条款，被监理人员发现一条，扣安全履约金</w:t>
      </w:r>
      <w:r>
        <w:rPr>
          <w:rFonts w:hint="eastAsia" w:ascii="宋体" w:hAnsi="宋体"/>
          <w:i w:val="0"/>
          <w:iCs w:val="0"/>
          <w:color w:val="auto"/>
          <w:sz w:val="21"/>
          <w:szCs w:val="21"/>
          <w:highlight w:val="none"/>
          <w:u w:val="single"/>
          <w:lang w:val="en-US" w:eastAsia="zh-CN"/>
        </w:rPr>
        <w:t xml:space="preserve">     </w:t>
      </w:r>
      <w:r>
        <w:rPr>
          <w:rFonts w:hint="eastAsia" w:ascii="宋体" w:hAnsi="宋体"/>
          <w:i w:val="0"/>
          <w:iCs w:val="0"/>
          <w:color w:val="auto"/>
          <w:sz w:val="21"/>
          <w:szCs w:val="21"/>
          <w:highlight w:val="none"/>
        </w:rPr>
        <w:t>元/条，扣完履约金为止。</w:t>
      </w:r>
    </w:p>
    <w:p w14:paraId="361F5693">
      <w:pPr>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本合同一式</w:t>
      </w:r>
      <w:r>
        <w:rPr>
          <w:rFonts w:hint="eastAsia" w:ascii="宋体" w:hAnsi="宋体"/>
          <w:i w:val="0"/>
          <w:iCs w:val="0"/>
          <w:color w:val="auto"/>
          <w:sz w:val="21"/>
          <w:szCs w:val="21"/>
          <w:highlight w:val="none"/>
          <w:lang w:val="en-US" w:eastAsia="zh-CN"/>
        </w:rPr>
        <w:t>四</w:t>
      </w:r>
      <w:r>
        <w:rPr>
          <w:rFonts w:hint="eastAsia" w:ascii="宋体" w:hAnsi="宋体"/>
          <w:i w:val="0"/>
          <w:iCs w:val="0"/>
          <w:color w:val="auto"/>
          <w:sz w:val="21"/>
          <w:szCs w:val="21"/>
          <w:highlight w:val="none"/>
        </w:rPr>
        <w:t>份，合同双方各执</w:t>
      </w:r>
      <w:r>
        <w:rPr>
          <w:rFonts w:hint="eastAsia" w:ascii="宋体" w:hAnsi="宋体"/>
          <w:i w:val="0"/>
          <w:iCs w:val="0"/>
          <w:color w:val="auto"/>
          <w:sz w:val="21"/>
          <w:szCs w:val="21"/>
          <w:highlight w:val="none"/>
          <w:lang w:val="en-US" w:eastAsia="zh-CN"/>
        </w:rPr>
        <w:t>二</w:t>
      </w:r>
      <w:r>
        <w:rPr>
          <w:rFonts w:hint="eastAsia" w:ascii="宋体" w:hAnsi="宋体"/>
          <w:i w:val="0"/>
          <w:iCs w:val="0"/>
          <w:color w:val="auto"/>
          <w:sz w:val="21"/>
          <w:szCs w:val="21"/>
          <w:highlight w:val="none"/>
        </w:rPr>
        <w:t>份。由双方法定代表人或其授权的代理人签署与加盖公章后生效，全部工程竣工验收后失效。</w:t>
      </w:r>
    </w:p>
    <w:p w14:paraId="50FE3FF4">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i w:val="0"/>
          <w:iCs w:val="0"/>
          <w:color w:val="auto"/>
          <w:sz w:val="21"/>
          <w:szCs w:val="21"/>
          <w:highlight w:val="none"/>
          <w:u w:val="single"/>
        </w:rPr>
      </w:pPr>
      <w:r>
        <w:rPr>
          <w:rFonts w:hint="eastAsia" w:ascii="宋体" w:hAnsi="宋体"/>
          <w:b/>
          <w:i w:val="0"/>
          <w:iCs w:val="0"/>
          <w:color w:val="auto"/>
          <w:sz w:val="21"/>
          <w:szCs w:val="21"/>
          <w:highlight w:val="none"/>
        </w:rPr>
        <w:t>甲方</w:t>
      </w:r>
      <w:r>
        <w:rPr>
          <w:rFonts w:hint="eastAsia" w:ascii="宋体" w:hAnsi="宋体"/>
          <w:i w:val="0"/>
          <w:iCs w:val="0"/>
          <w:color w:val="auto"/>
          <w:sz w:val="21"/>
          <w:szCs w:val="21"/>
          <w:highlight w:val="none"/>
        </w:rPr>
        <w:t>：</w:t>
      </w:r>
      <w:r>
        <w:rPr>
          <w:rFonts w:hint="eastAsia" w:ascii="宋体" w:hAnsi="宋体"/>
          <w:i w:val="0"/>
          <w:iCs w:val="0"/>
          <w:color w:val="auto"/>
          <w:sz w:val="21"/>
          <w:szCs w:val="21"/>
          <w:highlight w:val="none"/>
          <w:u w:val="single"/>
        </w:rPr>
        <w:t>奉化区粮食购销有限公司</w:t>
      </w:r>
      <w:r>
        <w:rPr>
          <w:rFonts w:hint="eastAsia" w:ascii="宋体" w:hAnsi="宋体"/>
          <w:i w:val="0"/>
          <w:iCs w:val="0"/>
          <w:color w:val="auto"/>
          <w:sz w:val="21"/>
          <w:szCs w:val="21"/>
          <w:highlight w:val="none"/>
          <w:u w:val="single"/>
          <w:lang w:val="en-US" w:eastAsia="zh-CN"/>
        </w:rPr>
        <w:t xml:space="preserve"> </w:t>
      </w:r>
      <w:r>
        <w:rPr>
          <w:rFonts w:hint="eastAsia" w:ascii="宋体" w:hAnsi="宋体"/>
          <w:i w:val="0"/>
          <w:iCs w:val="0"/>
          <w:color w:val="auto"/>
          <w:sz w:val="21"/>
          <w:szCs w:val="21"/>
          <w:highlight w:val="none"/>
        </w:rPr>
        <w:tab/>
      </w:r>
      <w:r>
        <w:rPr>
          <w:rFonts w:hint="eastAsia" w:ascii="宋体" w:hAnsi="宋体"/>
          <w:b/>
          <w:i w:val="0"/>
          <w:iCs w:val="0"/>
          <w:color w:val="auto"/>
          <w:sz w:val="21"/>
          <w:szCs w:val="21"/>
          <w:highlight w:val="none"/>
        </w:rPr>
        <w:t>乙方</w:t>
      </w:r>
      <w:r>
        <w:rPr>
          <w:rFonts w:hint="eastAsia" w:ascii="宋体" w:hAnsi="宋体"/>
          <w:i w:val="0"/>
          <w:iCs w:val="0"/>
          <w:color w:val="auto"/>
          <w:sz w:val="21"/>
          <w:szCs w:val="21"/>
          <w:highlight w:val="none"/>
        </w:rPr>
        <w:t>：</w:t>
      </w:r>
      <w:r>
        <w:rPr>
          <w:rFonts w:hint="eastAsia" w:ascii="宋体" w:hAnsi="宋体"/>
          <w:i w:val="0"/>
          <w:iCs w:val="0"/>
          <w:color w:val="auto"/>
          <w:spacing w:val="-2"/>
          <w:kern w:val="28"/>
          <w:sz w:val="21"/>
          <w:szCs w:val="21"/>
          <w:highlight w:val="none"/>
          <w:u w:val="single"/>
          <w:lang w:val="en-US" w:eastAsia="zh-CN"/>
        </w:rPr>
        <w:t xml:space="preserve">                   </w:t>
      </w:r>
      <w:r>
        <w:rPr>
          <w:rFonts w:hint="eastAsia" w:ascii="宋体" w:hAnsi="宋体"/>
          <w:i w:val="0"/>
          <w:iCs w:val="0"/>
          <w:color w:val="auto"/>
          <w:sz w:val="21"/>
          <w:szCs w:val="21"/>
          <w:highlight w:val="none"/>
          <w:u w:val="single"/>
          <w:lang w:val="en-US" w:eastAsia="zh-CN"/>
        </w:rPr>
        <w:t xml:space="preserve"> </w:t>
      </w:r>
      <w:r>
        <w:rPr>
          <w:rFonts w:hint="eastAsia" w:ascii="宋体" w:hAnsi="宋体"/>
          <w:i w:val="0"/>
          <w:iCs w:val="0"/>
          <w:color w:val="auto"/>
          <w:sz w:val="21"/>
          <w:szCs w:val="21"/>
          <w:highlight w:val="none"/>
          <w:u w:val="single"/>
        </w:rPr>
        <w:t xml:space="preserve">           </w:t>
      </w:r>
    </w:p>
    <w:p w14:paraId="6AA8A337">
      <w:pPr>
        <w:keepNext w:val="0"/>
        <w:keepLines w:val="0"/>
        <w:pageBreakBefore w:val="0"/>
        <w:widowControl w:val="0"/>
        <w:kinsoku/>
        <w:wordWrap/>
        <w:overflowPunct/>
        <w:topLinePunct w:val="0"/>
        <w:autoSpaceDE/>
        <w:autoSpaceDN/>
        <w:bidi w:val="0"/>
        <w:adjustRightInd/>
        <w:snapToGrid/>
        <w:spacing w:line="460" w:lineRule="exact"/>
        <w:ind w:firstLine="210" w:firstLineChars="10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法定代表人：</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 xml:space="preserve">    </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法定代表人：</w:t>
      </w:r>
    </w:p>
    <w:p w14:paraId="1D5CA049">
      <w:pPr>
        <w:keepNext w:val="0"/>
        <w:keepLines w:val="0"/>
        <w:pageBreakBefore w:val="0"/>
        <w:widowControl w:val="0"/>
        <w:kinsoku/>
        <w:wordWrap/>
        <w:overflowPunct/>
        <w:topLinePunct w:val="0"/>
        <w:autoSpaceDE/>
        <w:autoSpaceDN/>
        <w:bidi w:val="0"/>
        <w:adjustRightInd/>
        <w:snapToGrid/>
        <w:spacing w:line="460" w:lineRule="exact"/>
        <w:ind w:firstLine="210" w:firstLineChars="10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 xml:space="preserve">或其授权的代理人：             或其授权的代理人：   </w:t>
      </w:r>
    </w:p>
    <w:p w14:paraId="2EDE6A72">
      <w:pPr>
        <w:keepNext w:val="0"/>
        <w:keepLines w:val="0"/>
        <w:pageBreakBefore w:val="0"/>
        <w:widowControl w:val="0"/>
        <w:kinsoku/>
        <w:wordWrap/>
        <w:overflowPunct/>
        <w:topLinePunct w:val="0"/>
        <w:autoSpaceDE/>
        <w:autoSpaceDN/>
        <w:bidi w:val="0"/>
        <w:adjustRightInd/>
        <w:snapToGrid/>
        <w:spacing w:line="460" w:lineRule="exact"/>
        <w:ind w:left="239" w:leftChars="114"/>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地 址：</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 xml:space="preserve">            地 址：</w:t>
      </w:r>
    </w:p>
    <w:p w14:paraId="6A68FB46">
      <w:pPr>
        <w:keepNext w:val="0"/>
        <w:keepLines w:val="0"/>
        <w:pageBreakBefore w:val="0"/>
        <w:widowControl w:val="0"/>
        <w:kinsoku/>
        <w:wordWrap/>
        <w:overflowPunct/>
        <w:topLinePunct w:val="0"/>
        <w:autoSpaceDE/>
        <w:autoSpaceDN/>
        <w:bidi w:val="0"/>
        <w:adjustRightInd/>
        <w:snapToGrid/>
        <w:spacing w:line="460" w:lineRule="exact"/>
        <w:ind w:firstLine="210" w:firstLineChars="100"/>
        <w:textAlignment w:val="auto"/>
        <w:rPr>
          <w:rFonts w:hint="eastAsia" w:ascii="宋体" w:hAnsi="宋体"/>
          <w:i w:val="0"/>
          <w:iCs w:val="0"/>
          <w:color w:val="auto"/>
          <w:sz w:val="21"/>
          <w:szCs w:val="21"/>
          <w:highlight w:val="none"/>
        </w:rPr>
      </w:pPr>
      <w:r>
        <w:rPr>
          <w:rFonts w:hint="eastAsia" w:ascii="宋体" w:hAnsi="宋体"/>
          <w:i w:val="0"/>
          <w:iCs w:val="0"/>
          <w:color w:val="auto"/>
          <w:sz w:val="21"/>
          <w:szCs w:val="21"/>
          <w:highlight w:val="none"/>
        </w:rPr>
        <w:t>电 话：</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 xml:space="preserve">         </w:t>
      </w:r>
      <w:r>
        <w:rPr>
          <w:rFonts w:hint="eastAsia" w:ascii="宋体" w:hAnsi="宋体"/>
          <w:i w:val="0"/>
          <w:iCs w:val="0"/>
          <w:color w:val="auto"/>
          <w:sz w:val="21"/>
          <w:szCs w:val="21"/>
          <w:highlight w:val="none"/>
          <w:lang w:val="en-US" w:eastAsia="zh-CN"/>
        </w:rPr>
        <w:t xml:space="preserve">   </w:t>
      </w:r>
      <w:r>
        <w:rPr>
          <w:rFonts w:hint="eastAsia" w:ascii="宋体" w:hAnsi="宋体"/>
          <w:i w:val="0"/>
          <w:iCs w:val="0"/>
          <w:color w:val="auto"/>
          <w:sz w:val="21"/>
          <w:szCs w:val="21"/>
          <w:highlight w:val="none"/>
        </w:rPr>
        <w:t>电 话：</w:t>
      </w:r>
    </w:p>
    <w:p w14:paraId="1D342D00">
      <w:pPr>
        <w:keepNext w:val="0"/>
        <w:keepLines w:val="0"/>
        <w:pageBreakBefore w:val="0"/>
        <w:widowControl w:val="0"/>
        <w:kinsoku/>
        <w:wordWrap/>
        <w:overflowPunct/>
        <w:topLinePunct w:val="0"/>
        <w:autoSpaceDE/>
        <w:autoSpaceDN/>
        <w:bidi w:val="0"/>
        <w:adjustRightInd/>
        <w:snapToGrid/>
        <w:spacing w:line="460" w:lineRule="exact"/>
        <w:ind w:firstLine="210" w:firstLineChars="100"/>
        <w:textAlignment w:val="auto"/>
        <w:rPr>
          <w:rFonts w:hint="eastAsia" w:asciiTheme="majorEastAsia" w:hAnsiTheme="majorEastAsia" w:eastAsiaTheme="majorEastAsia" w:cstheme="majorEastAsia"/>
          <w:i w:val="0"/>
          <w:iCs w:val="0"/>
          <w:color w:val="auto"/>
          <w:sz w:val="21"/>
          <w:szCs w:val="21"/>
          <w:highlight w:val="none"/>
        </w:rPr>
        <w:sectPr>
          <w:footerReference r:id="rId5" w:type="default"/>
          <w:pgSz w:w="11906" w:h="16838"/>
          <w:pgMar w:top="1240" w:right="1706" w:bottom="1440" w:left="1600" w:header="851" w:footer="992" w:gutter="0"/>
          <w:cols w:space="720" w:num="1"/>
          <w:docGrid w:type="lines" w:linePitch="312" w:charSpace="0"/>
        </w:sectPr>
      </w:pPr>
      <w:r>
        <w:rPr>
          <w:rFonts w:hint="eastAsia" w:ascii="宋体" w:hAnsi="宋体"/>
          <w:i w:val="0"/>
          <w:iCs w:val="0"/>
          <w:color w:val="auto"/>
          <w:sz w:val="21"/>
          <w:szCs w:val="21"/>
          <w:highlight w:val="none"/>
        </w:rPr>
        <w:t>日 期：</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 xml:space="preserve">     </w:t>
      </w:r>
      <w:r>
        <w:rPr>
          <w:rFonts w:hint="eastAsia" w:ascii="宋体" w:hAnsi="宋体"/>
          <w:i w:val="0"/>
          <w:iCs w:val="0"/>
          <w:color w:val="auto"/>
          <w:sz w:val="21"/>
          <w:szCs w:val="21"/>
          <w:highlight w:val="none"/>
        </w:rPr>
        <w:tab/>
      </w:r>
      <w:r>
        <w:rPr>
          <w:rFonts w:hint="eastAsia" w:ascii="宋体" w:hAnsi="宋体"/>
          <w:i w:val="0"/>
          <w:iCs w:val="0"/>
          <w:color w:val="auto"/>
          <w:sz w:val="21"/>
          <w:szCs w:val="21"/>
          <w:highlight w:val="none"/>
        </w:rPr>
        <w:t xml:space="preserve">           </w:t>
      </w:r>
      <w:r>
        <w:rPr>
          <w:rFonts w:hint="eastAsia" w:ascii="宋体" w:hAnsi="宋体"/>
          <w:i w:val="0"/>
          <w:iCs w:val="0"/>
          <w:color w:val="auto"/>
          <w:sz w:val="21"/>
          <w:szCs w:val="21"/>
          <w:highlight w:val="none"/>
          <w:lang w:val="en-US" w:eastAsia="zh-CN"/>
        </w:rPr>
        <w:t xml:space="preserve">    </w:t>
      </w:r>
      <w:r>
        <w:rPr>
          <w:rFonts w:hint="eastAsia" w:ascii="宋体" w:hAnsi="宋体"/>
          <w:i w:val="0"/>
          <w:iCs w:val="0"/>
          <w:color w:val="auto"/>
          <w:sz w:val="21"/>
          <w:szCs w:val="21"/>
          <w:highlight w:val="none"/>
        </w:rPr>
        <w:t xml:space="preserve"> 日 期：</w:t>
      </w:r>
    </w:p>
    <w:p w14:paraId="4C18F79E">
      <w:pPr>
        <w:jc w:val="left"/>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附件</w:t>
      </w:r>
      <w:r>
        <w:rPr>
          <w:rFonts w:hint="eastAsia" w:ascii="宋体" w:hAnsi="宋体" w:cs="宋体"/>
          <w:b/>
          <w:bCs/>
          <w:color w:val="auto"/>
          <w:highlight w:val="none"/>
          <w:lang w:val="en-US" w:eastAsia="zh-CN"/>
        </w:rPr>
        <w:t>四</w:t>
      </w:r>
    </w:p>
    <w:p w14:paraId="3B845917">
      <w:pPr>
        <w:pStyle w:val="4"/>
        <w:bidi w:val="0"/>
        <w:jc w:val="center"/>
        <w:rPr>
          <w:rFonts w:hint="eastAsia" w:ascii="Times New Roman" w:hAnsi="Times New Roman" w:cs="Times New Roman" w:eastAsiaTheme="minorEastAsia"/>
          <w:color w:val="auto"/>
          <w:sz w:val="28"/>
          <w:szCs w:val="28"/>
          <w:highlight w:val="none"/>
        </w:rPr>
      </w:pPr>
      <w:r>
        <w:rPr>
          <w:rFonts w:hint="eastAsia" w:ascii="Times New Roman" w:hAnsi="Times New Roman" w:cs="Times New Roman" w:eastAsiaTheme="minorEastAsia"/>
          <w:color w:val="auto"/>
          <w:sz w:val="28"/>
          <w:szCs w:val="28"/>
          <w:highlight w:val="none"/>
        </w:rPr>
        <w:t>廉政合同</w:t>
      </w:r>
    </w:p>
    <w:p w14:paraId="7A477B1D">
      <w:pPr>
        <w:bidi w:val="0"/>
        <w:jc w:val="center"/>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具体以签订时为准</w:t>
      </w:r>
      <w:r>
        <w:rPr>
          <w:rFonts w:hint="eastAsia"/>
          <w:color w:val="auto"/>
          <w:highlight w:val="none"/>
          <w:lang w:eastAsia="zh-CN"/>
        </w:rPr>
        <w:t>）</w:t>
      </w:r>
    </w:p>
    <w:p w14:paraId="38DFBABE">
      <w:pPr>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eastAsiaTheme="minorEastAsia" w:cstheme="minorEastAsia"/>
          <w:i w:val="0"/>
          <w:iCs w:val="0"/>
          <w:color w:val="auto"/>
          <w:sz w:val="21"/>
          <w:szCs w:val="21"/>
          <w:highlight w:val="none"/>
          <w:u w:val="single"/>
          <w:lang w:val="en-US" w:eastAsia="zh-CN"/>
        </w:rPr>
      </w:pPr>
      <w:r>
        <w:rPr>
          <w:rFonts w:hint="eastAsia" w:asciiTheme="minorEastAsia" w:hAnsiTheme="minorEastAsia" w:eastAsiaTheme="minorEastAsia" w:cstheme="minorEastAsia"/>
          <w:i w:val="0"/>
          <w:iCs w:val="0"/>
          <w:color w:val="auto"/>
          <w:sz w:val="21"/>
          <w:szCs w:val="21"/>
          <w:highlight w:val="none"/>
        </w:rPr>
        <w:t>工程项目名称：</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p>
    <w:p w14:paraId="45583CD6">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lang w:val="en-US" w:eastAsia="zh-CN"/>
        </w:rPr>
      </w:pPr>
      <w:r>
        <w:rPr>
          <w:rFonts w:hint="eastAsia" w:asciiTheme="minorEastAsia" w:hAnsiTheme="minorEastAsia" w:eastAsiaTheme="minorEastAsia" w:cstheme="minorEastAsia"/>
          <w:i w:val="0"/>
          <w:iCs w:val="0"/>
          <w:color w:val="auto"/>
          <w:sz w:val="21"/>
          <w:szCs w:val="21"/>
          <w:highlight w:val="none"/>
        </w:rPr>
        <w:t>工程项目地址：</w:t>
      </w:r>
      <w:r>
        <w:rPr>
          <w:rFonts w:hint="eastAsia" w:asciiTheme="minorEastAsia" w:hAnsiTheme="minorEastAsia" w:eastAsiaTheme="minorEastAsia" w:cstheme="minorEastAsia"/>
          <w:i w:val="0"/>
          <w:iCs w:val="0"/>
          <w:color w:val="auto"/>
          <w:sz w:val="21"/>
          <w:szCs w:val="21"/>
          <w:highlight w:val="none"/>
          <w:u w:val="single"/>
          <w:lang w:val="en-US" w:eastAsia="zh-CN"/>
        </w:rPr>
        <w:t xml:space="preserve">                              </w:t>
      </w:r>
      <w:r>
        <w:rPr>
          <w:rFonts w:hint="eastAsia" w:asciiTheme="minorEastAsia" w:hAnsiTheme="minorEastAsia" w:eastAsiaTheme="minorEastAsia" w:cstheme="minorEastAsia"/>
          <w:b/>
          <w:bCs/>
          <w:i w:val="0"/>
          <w:iCs w:val="0"/>
          <w:color w:val="auto"/>
          <w:sz w:val="21"/>
          <w:szCs w:val="21"/>
          <w:highlight w:val="none"/>
          <w:u w:val="single"/>
          <w:lang w:val="en-US" w:eastAsia="zh-CN"/>
        </w:rPr>
        <w:t xml:space="preserve"> </w:t>
      </w:r>
    </w:p>
    <w:p w14:paraId="427B350E">
      <w:pPr>
        <w:pStyle w:val="17"/>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i w:val="0"/>
          <w:iCs w:val="0"/>
          <w:color w:val="auto"/>
          <w:sz w:val="21"/>
          <w:szCs w:val="21"/>
          <w:highlight w:val="none"/>
          <w:lang w:eastAsia="zh-CN"/>
        </w:rPr>
      </w:pPr>
      <w:r>
        <w:rPr>
          <w:rFonts w:hint="eastAsia" w:asciiTheme="minorEastAsia" w:hAnsiTheme="minorEastAsia" w:eastAsiaTheme="minorEastAsia" w:cstheme="minorEastAsia"/>
          <w:i w:val="0"/>
          <w:iCs w:val="0"/>
          <w:color w:val="auto"/>
          <w:sz w:val="21"/>
          <w:szCs w:val="21"/>
          <w:highlight w:val="none"/>
        </w:rPr>
        <w:t>发包单位名称（以下称甲方）：</w:t>
      </w:r>
      <w:r>
        <w:rPr>
          <w:rFonts w:hint="eastAsia" w:asciiTheme="minorEastAsia" w:hAnsiTheme="minorEastAsia" w:eastAsiaTheme="minorEastAsia" w:cstheme="minorEastAsia"/>
          <w:b/>
          <w:bCs w:val="0"/>
          <w:i w:val="0"/>
          <w:iCs w:val="0"/>
          <w:color w:val="auto"/>
          <w:sz w:val="21"/>
          <w:szCs w:val="21"/>
          <w:highlight w:val="none"/>
          <w:u w:val="single"/>
          <w:lang w:eastAsia="zh-CN"/>
        </w:rPr>
        <w:t>宁波市奉化区粮食购销有限公司</w:t>
      </w:r>
    </w:p>
    <w:p w14:paraId="19B058E8">
      <w:pPr>
        <w:pStyle w:val="17"/>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Theme="minorEastAsia" w:hAnsiTheme="minorEastAsia" w:eastAsiaTheme="minorEastAsia" w:cstheme="minorEastAsia"/>
          <w:i w:val="0"/>
          <w:iCs w:val="0"/>
          <w:color w:val="auto"/>
          <w:sz w:val="21"/>
          <w:szCs w:val="21"/>
          <w:highlight w:val="none"/>
          <w:u w:val="single"/>
          <w:lang w:val="en-US"/>
        </w:rPr>
      </w:pPr>
      <w:r>
        <w:rPr>
          <w:rFonts w:hint="eastAsia" w:asciiTheme="minorEastAsia" w:hAnsiTheme="minorEastAsia" w:eastAsiaTheme="minorEastAsia" w:cstheme="minorEastAsia"/>
          <w:i w:val="0"/>
          <w:iCs w:val="0"/>
          <w:color w:val="auto"/>
          <w:sz w:val="21"/>
          <w:szCs w:val="21"/>
          <w:highlight w:val="none"/>
        </w:rPr>
        <w:t>承包单位名称（以下称乙方）：</w:t>
      </w:r>
      <w:r>
        <w:rPr>
          <w:rFonts w:hint="eastAsia" w:asciiTheme="minorEastAsia" w:hAnsiTheme="minorEastAsia" w:eastAsiaTheme="minorEastAsia" w:cstheme="minorEastAsia"/>
          <w:b/>
          <w:bCs/>
          <w:i w:val="0"/>
          <w:iCs w:val="0"/>
          <w:color w:val="auto"/>
          <w:sz w:val="21"/>
          <w:szCs w:val="21"/>
          <w:highlight w:val="none"/>
          <w:u w:val="single"/>
          <w:lang w:val="en-US" w:eastAsia="zh-CN"/>
        </w:rPr>
        <w:t xml:space="preserve">                         </w:t>
      </w:r>
    </w:p>
    <w:p w14:paraId="1B57E94E">
      <w:pPr>
        <w:pStyle w:val="17"/>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为加强项目工程建设中的廉政建设，规范工程建设承包、发包双方的各项活动，防止发生各种谋取不正当利益的违法专违纪行为，保护国家、集体和当事人的合法权益，根据国家有关工程建设的法律法规和廉政建设规定，特订立本廉政合同。</w:t>
      </w:r>
    </w:p>
    <w:p w14:paraId="7B82CF89">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第一条  甲乙双方的权利和义务</w:t>
      </w:r>
    </w:p>
    <w:p w14:paraId="7822092F">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（一）严格遵守国家关于市场准入、勘测设计、施工监理、招标投标、工程施工、设备安装和市场经营活动等有关法律法规和相关政策，以及廉政建设和各项规定。</w:t>
      </w:r>
    </w:p>
    <w:p w14:paraId="7BFAC896">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（二）严格执行本项目发包人承包人双方签订的</w:t>
      </w:r>
      <w:r>
        <w:rPr>
          <w:rFonts w:hint="eastAsia" w:asciiTheme="minorEastAsia" w:hAnsiTheme="minorEastAsia" w:eastAsiaTheme="minorEastAsia" w:cstheme="minorEastAsia"/>
          <w:i w:val="0"/>
          <w:iCs w:val="0"/>
          <w:color w:val="auto"/>
          <w:sz w:val="21"/>
          <w:szCs w:val="21"/>
          <w:highlight w:val="none"/>
          <w:u w:val="single"/>
        </w:rPr>
        <w:t xml:space="preserve"> </w:t>
      </w:r>
      <w:r>
        <w:rPr>
          <w:rFonts w:hint="eastAsia" w:asciiTheme="minorEastAsia" w:hAnsiTheme="minorEastAsia" w:eastAsiaTheme="minorEastAsia" w:cstheme="minorEastAsia"/>
          <w:b/>
          <w:bCs/>
          <w:i w:val="0"/>
          <w:iCs w:val="0"/>
          <w:color w:val="auto"/>
          <w:sz w:val="21"/>
          <w:szCs w:val="21"/>
          <w:highlight w:val="none"/>
          <w:u w:val="single"/>
        </w:rPr>
        <w:t xml:space="preserve"> 施工合同 </w:t>
      </w:r>
      <w:r>
        <w:rPr>
          <w:rFonts w:hint="eastAsia" w:asciiTheme="minorEastAsia" w:hAnsiTheme="minorEastAsia" w:eastAsiaTheme="minorEastAsia" w:cstheme="minorEastAsia"/>
          <w:i w:val="0"/>
          <w:iCs w:val="0"/>
          <w:color w:val="auto"/>
          <w:sz w:val="21"/>
          <w:szCs w:val="21"/>
          <w:highlight w:val="none"/>
          <w:u w:val="single"/>
        </w:rPr>
        <w:t xml:space="preserve"> </w:t>
      </w:r>
      <w:r>
        <w:rPr>
          <w:rFonts w:hint="eastAsia" w:asciiTheme="minorEastAsia" w:hAnsiTheme="minorEastAsia" w:eastAsiaTheme="minorEastAsia" w:cstheme="minorEastAsia"/>
          <w:i w:val="0"/>
          <w:iCs w:val="0"/>
          <w:color w:val="auto"/>
          <w:sz w:val="21"/>
          <w:szCs w:val="21"/>
          <w:highlight w:val="none"/>
        </w:rPr>
        <w:t>文件，自觉按合同办事。</w:t>
      </w:r>
    </w:p>
    <w:p w14:paraId="3725E6C6">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三）业务活动必须坚持公开、公平、公正、诚信、透明的原则（除法律法规认定的商业秘密和合同文件另有规定者除外），双方人员不得为获取不正当的利益，就工程费用、材料供应、工程量变动、工程验收、工程质量等问题进行私下商谈或达成默契，不得损害国家利益，违反工程建设管理规章制度。</w:t>
      </w:r>
    </w:p>
    <w:p w14:paraId="2F51B14F">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四）建立健全廉政制度，开展廉政教育，设立廉政告示牌，公布举报电话，监督并认真查处违法违纪行为。发现对方在业务活动中有违反本合同行为的，有及时提醒对方纠正的权利和义务。情节严重的，有向其上级有关部门举报、建议给予处理并要求告知处理结果的权利。</w:t>
      </w:r>
    </w:p>
    <w:p w14:paraId="5472E3A0">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第二条  甲方的责任</w:t>
      </w:r>
    </w:p>
    <w:p w14:paraId="7028B9E7">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甲方的领导和从事该工程项目的工作人员，在工程项目的事前、事中、事后应遵守以下规定：</w:t>
      </w:r>
    </w:p>
    <w:p w14:paraId="49EC33B3">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（一）不准向乙方索要或接受回扣、礼金、有价证券、贵重物品和好处费、感谢费等；不准在乙方报销任何应由甲方或个人支付的费用。</w:t>
      </w:r>
    </w:p>
    <w:p w14:paraId="57CC8648">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（二）不准参加乙方安排的超标准的宴请及健身、娱乐等活动；不得接受乙方提供的通讯工具、交通工具、高档办公用品等。</w:t>
      </w:r>
    </w:p>
    <w:p w14:paraId="744C91E5">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（三）不准要求、暗示和接受乙方为个人装修住房、婚丧嫁娶、配偶子女的工作安排以及出国（境）、旅游等提供方便。</w:t>
      </w:r>
    </w:p>
    <w:p w14:paraId="3E2070D0">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（四）配偶、子女不得从事与乙方承包本工程有关的设备材料供应、工程分包、劳务等经济活动。</w:t>
      </w:r>
    </w:p>
    <w:p w14:paraId="0AED79B3">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（五）不得以任何理由向乙方推荐分包单位或要求乙方购买项目合同规定以外的材料、设备和服务等。</w:t>
      </w:r>
    </w:p>
    <w:p w14:paraId="491F6492">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第三条  乙方的责任</w:t>
      </w:r>
    </w:p>
    <w:p w14:paraId="6569ABFF">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乙方应与甲方保持正常的业务交往，按照有关法律法规和程序开展业务工作，严格执行工程建设的有关方针、政策，尤其是有关强制标准和规范，并遵守以下规定：</w:t>
      </w:r>
    </w:p>
    <w:p w14:paraId="27FCE9B3">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（一）不准以任何理由向甲方及其工作人员行贿或赠送礼金、有价证券、贵重物品。</w:t>
      </w:r>
    </w:p>
    <w:p w14:paraId="5C77183B">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（二）不准以任何名义为甲方及其工作人员报销应由对方或个人支付的费用。</w:t>
      </w:r>
    </w:p>
    <w:p w14:paraId="1C051473">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（三）不准以任何理由安排甲方工作人员参加超标准宴请及健身、娱乐和旅游等活动。</w:t>
      </w:r>
    </w:p>
    <w:p w14:paraId="7F184287">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（四）不准为甲方单位和工作人员购置或提供通讯工具、交通工具、高档办公用品和装修住房等。</w:t>
      </w:r>
    </w:p>
    <w:p w14:paraId="4BFC6E60">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第四条  违约责任</w:t>
      </w:r>
    </w:p>
    <w:p w14:paraId="3B121D08">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一）甲方工作人员有违反本合同第一、二条责任行为的，按照管理权限，依据有关法律法规和规定给予党纪、政纪处分或组织处理；涉嫌犯罪的，移交司法机关追究刑事责任；给乙方单位造成经济损失的，应予以赔偿。</w:t>
      </w:r>
    </w:p>
    <w:p w14:paraId="722C26B9">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二）乙方工作人员有违反本合同第一、三条责任行为的，按照管理权限，依据有关法律法规和规定给予党纪、政纪处分或组织处理；涉嫌犯罪的，移交司法机关追究刑事责任；给甲方单位造成经济损失的，应予以赔偿。情节严重的，甲方可以建议市行政主管部门给予乙方一至三年内不得承包奉化市内工程的处罚。</w:t>
      </w:r>
    </w:p>
    <w:p w14:paraId="13CCC8DD">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（三）乙方如将部分辅助项目分包的，乙方有责任向分包单位交待本合同的具体内容，严格执行本合同之规定，分包单位如有违反上述责任行为的，乙方将承担连带责任。</w:t>
      </w:r>
    </w:p>
    <w:p w14:paraId="097A9259">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第五条  双方约定：本合同由甲、乙双方的监察部门或主管单位负责实施，并对本合同履行情况进行检查。</w:t>
      </w:r>
    </w:p>
    <w:p w14:paraId="6D6D2C57">
      <w:pPr>
        <w:keepLines w:val="0"/>
        <w:pageBreakBefore w:val="0"/>
        <w:widowControl w:val="0"/>
        <w:numPr>
          <w:ilvl w:val="0"/>
          <w:numId w:val="6"/>
        </w:numPr>
        <w:tabs>
          <w:tab w:val="left" w:pos="720"/>
        </w:tabs>
        <w:kinsoku/>
        <w:wordWrap/>
        <w:overflowPunct/>
        <w:topLinePunct w:val="0"/>
        <w:autoSpaceDE/>
        <w:autoSpaceDN/>
        <w:bidi w:val="0"/>
        <w:adjustRightInd/>
        <w:snapToGrid/>
        <w:spacing w:line="360" w:lineRule="auto"/>
        <w:ind w:firstLine="70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本合同作为工程</w:t>
      </w:r>
      <w:r>
        <w:rPr>
          <w:rFonts w:hint="eastAsia" w:asciiTheme="minorEastAsia" w:hAnsiTheme="minorEastAsia" w:eastAsiaTheme="minorEastAsia" w:cstheme="minorEastAsia"/>
          <w:b/>
          <w:bCs/>
          <w:i w:val="0"/>
          <w:iCs w:val="0"/>
          <w:color w:val="auto"/>
          <w:sz w:val="21"/>
          <w:szCs w:val="21"/>
          <w:highlight w:val="none"/>
          <w:u w:val="single"/>
        </w:rPr>
        <w:t xml:space="preserve"> 施工合同</w:t>
      </w:r>
      <w:r>
        <w:rPr>
          <w:rFonts w:hint="eastAsia" w:asciiTheme="minorEastAsia" w:hAnsiTheme="minorEastAsia" w:eastAsiaTheme="minorEastAsia" w:cstheme="minorEastAsia"/>
          <w:i w:val="0"/>
          <w:iCs w:val="0"/>
          <w:color w:val="auto"/>
          <w:sz w:val="21"/>
          <w:szCs w:val="21"/>
          <w:highlight w:val="none"/>
          <w:u w:val="single"/>
        </w:rPr>
        <w:t xml:space="preserve"> </w:t>
      </w:r>
      <w:r>
        <w:rPr>
          <w:rFonts w:hint="eastAsia" w:asciiTheme="minorEastAsia" w:hAnsiTheme="minorEastAsia" w:eastAsiaTheme="minorEastAsia" w:cstheme="minorEastAsia"/>
          <w:i w:val="0"/>
          <w:iCs w:val="0"/>
          <w:color w:val="auto"/>
          <w:sz w:val="21"/>
          <w:szCs w:val="21"/>
          <w:highlight w:val="none"/>
        </w:rPr>
        <w:t>的附件，与主合同具有同等法律效力。甲乙双方签署后立即生效。</w:t>
      </w:r>
    </w:p>
    <w:p w14:paraId="2DA0933B">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第七条  本合同的有效期为双方签署之日起至该工程项目竣工验收合格止。</w:t>
      </w:r>
    </w:p>
    <w:p w14:paraId="71F84B96">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第八条  本合同一式</w:t>
      </w:r>
      <w:r>
        <w:rPr>
          <w:rFonts w:hint="eastAsia" w:asciiTheme="minorEastAsia" w:hAnsiTheme="minorEastAsia" w:eastAsiaTheme="minorEastAsia" w:cstheme="minorEastAsia"/>
          <w:i w:val="0"/>
          <w:iCs w:val="0"/>
          <w:color w:val="auto"/>
          <w:sz w:val="21"/>
          <w:szCs w:val="21"/>
          <w:highlight w:val="none"/>
          <w:lang w:eastAsia="zh-CN"/>
        </w:rPr>
        <w:t>四</w:t>
      </w:r>
      <w:r>
        <w:rPr>
          <w:rFonts w:hint="eastAsia" w:asciiTheme="minorEastAsia" w:hAnsiTheme="minorEastAsia" w:eastAsiaTheme="minorEastAsia" w:cstheme="minorEastAsia"/>
          <w:i w:val="0"/>
          <w:iCs w:val="0"/>
          <w:color w:val="auto"/>
          <w:sz w:val="21"/>
          <w:szCs w:val="21"/>
          <w:highlight w:val="none"/>
        </w:rPr>
        <w:t>份，由甲、乙双方各执</w:t>
      </w:r>
      <w:r>
        <w:rPr>
          <w:rFonts w:hint="eastAsia" w:asciiTheme="minorEastAsia" w:hAnsiTheme="minorEastAsia" w:eastAsiaTheme="minorEastAsia" w:cstheme="minorEastAsia"/>
          <w:i w:val="0"/>
          <w:iCs w:val="0"/>
          <w:color w:val="auto"/>
          <w:sz w:val="21"/>
          <w:szCs w:val="21"/>
          <w:highlight w:val="none"/>
          <w:lang w:eastAsia="zh-CN"/>
        </w:rPr>
        <w:t>二</w:t>
      </w:r>
      <w:r>
        <w:rPr>
          <w:rFonts w:hint="eastAsia" w:asciiTheme="minorEastAsia" w:hAnsiTheme="minorEastAsia" w:eastAsiaTheme="minorEastAsia" w:cstheme="minorEastAsia"/>
          <w:i w:val="0"/>
          <w:iCs w:val="0"/>
          <w:color w:val="auto"/>
          <w:sz w:val="21"/>
          <w:szCs w:val="21"/>
          <w:highlight w:val="none"/>
        </w:rPr>
        <w:t>份。</w:t>
      </w:r>
    </w:p>
    <w:p w14:paraId="1AD2D681">
      <w:pPr>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i w:val="0"/>
          <w:iCs w:val="0"/>
          <w:color w:val="auto"/>
          <w:sz w:val="21"/>
          <w:szCs w:val="21"/>
          <w:highlight w:val="none"/>
        </w:rPr>
      </w:pPr>
    </w:p>
    <w:tbl>
      <w:tblPr>
        <w:tblStyle w:val="26"/>
        <w:tblW w:w="9458" w:type="dxa"/>
        <w:tblInd w:w="0" w:type="dxa"/>
        <w:tblLayout w:type="fixed"/>
        <w:tblCellMar>
          <w:top w:w="0" w:type="dxa"/>
          <w:left w:w="108" w:type="dxa"/>
          <w:bottom w:w="0" w:type="dxa"/>
          <w:right w:w="108" w:type="dxa"/>
        </w:tblCellMar>
      </w:tblPr>
      <w:tblGrid>
        <w:gridCol w:w="4729"/>
        <w:gridCol w:w="4729"/>
      </w:tblGrid>
      <w:tr w14:paraId="15C965B9">
        <w:tblPrEx>
          <w:tblCellMar>
            <w:top w:w="0" w:type="dxa"/>
            <w:left w:w="108" w:type="dxa"/>
            <w:bottom w:w="0" w:type="dxa"/>
            <w:right w:w="108" w:type="dxa"/>
          </w:tblCellMar>
        </w:tblPrEx>
        <w:tc>
          <w:tcPr>
            <w:tcW w:w="4729" w:type="dxa"/>
            <w:noWrap w:val="0"/>
            <w:vAlign w:val="top"/>
          </w:tcPr>
          <w:p w14:paraId="21206525">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甲方单位（盖章）：</w:t>
            </w:r>
          </w:p>
        </w:tc>
        <w:tc>
          <w:tcPr>
            <w:tcW w:w="4729" w:type="dxa"/>
            <w:noWrap w:val="0"/>
            <w:vAlign w:val="top"/>
          </w:tcPr>
          <w:p w14:paraId="2F282E38">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乙方单位（盖章）：</w:t>
            </w:r>
          </w:p>
        </w:tc>
      </w:tr>
      <w:tr w14:paraId="27E86A6B">
        <w:tblPrEx>
          <w:tblCellMar>
            <w:top w:w="0" w:type="dxa"/>
            <w:left w:w="108" w:type="dxa"/>
            <w:bottom w:w="0" w:type="dxa"/>
            <w:right w:w="108" w:type="dxa"/>
          </w:tblCellMar>
        </w:tblPrEx>
        <w:tc>
          <w:tcPr>
            <w:tcW w:w="4729" w:type="dxa"/>
            <w:noWrap w:val="0"/>
            <w:vAlign w:val="top"/>
          </w:tcPr>
          <w:p w14:paraId="53B7A798">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法定代表人：</w:t>
            </w:r>
          </w:p>
        </w:tc>
        <w:tc>
          <w:tcPr>
            <w:tcW w:w="4729" w:type="dxa"/>
            <w:noWrap w:val="0"/>
            <w:vAlign w:val="top"/>
          </w:tcPr>
          <w:p w14:paraId="3E857806">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法定代表人：</w:t>
            </w:r>
          </w:p>
        </w:tc>
      </w:tr>
      <w:tr w14:paraId="2B740FE9">
        <w:tblPrEx>
          <w:tblCellMar>
            <w:top w:w="0" w:type="dxa"/>
            <w:left w:w="108" w:type="dxa"/>
            <w:bottom w:w="0" w:type="dxa"/>
            <w:right w:w="108" w:type="dxa"/>
          </w:tblCellMar>
        </w:tblPrEx>
        <w:tc>
          <w:tcPr>
            <w:tcW w:w="4729" w:type="dxa"/>
            <w:noWrap w:val="0"/>
            <w:vAlign w:val="top"/>
          </w:tcPr>
          <w:p w14:paraId="46AD9716">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地      址：</w:t>
            </w:r>
          </w:p>
        </w:tc>
        <w:tc>
          <w:tcPr>
            <w:tcW w:w="4729" w:type="dxa"/>
            <w:noWrap w:val="0"/>
            <w:vAlign w:val="top"/>
          </w:tcPr>
          <w:p w14:paraId="77076181">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地      址：</w:t>
            </w:r>
          </w:p>
        </w:tc>
      </w:tr>
      <w:tr w14:paraId="2CE965D0">
        <w:tblPrEx>
          <w:tblCellMar>
            <w:top w:w="0" w:type="dxa"/>
            <w:left w:w="108" w:type="dxa"/>
            <w:bottom w:w="0" w:type="dxa"/>
            <w:right w:w="108" w:type="dxa"/>
          </w:tblCellMar>
        </w:tblPrEx>
        <w:tc>
          <w:tcPr>
            <w:tcW w:w="4729" w:type="dxa"/>
            <w:noWrap w:val="0"/>
            <w:vAlign w:val="top"/>
          </w:tcPr>
          <w:p w14:paraId="1BB837E9">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电      话：</w:t>
            </w:r>
          </w:p>
        </w:tc>
        <w:tc>
          <w:tcPr>
            <w:tcW w:w="4729" w:type="dxa"/>
            <w:noWrap w:val="0"/>
            <w:vAlign w:val="top"/>
          </w:tcPr>
          <w:p w14:paraId="5FD82D91">
            <w:pPr>
              <w:keepLines w:val="0"/>
              <w:pageBreakBefore w:val="0"/>
              <w:widowControl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电      话：</w:t>
            </w:r>
          </w:p>
        </w:tc>
      </w:tr>
      <w:tr w14:paraId="5688F137">
        <w:tblPrEx>
          <w:tblCellMar>
            <w:top w:w="0" w:type="dxa"/>
            <w:left w:w="108" w:type="dxa"/>
            <w:bottom w:w="0" w:type="dxa"/>
            <w:right w:w="108" w:type="dxa"/>
          </w:tblCellMar>
        </w:tblPrEx>
        <w:tc>
          <w:tcPr>
            <w:tcW w:w="4729" w:type="dxa"/>
            <w:noWrap w:val="0"/>
            <w:vAlign w:val="top"/>
          </w:tcPr>
          <w:p w14:paraId="77D52248">
            <w:pPr>
              <w:keepLines w:val="0"/>
              <w:pageBreakBefore w:val="0"/>
              <w:widowControl w:val="0"/>
              <w:kinsoku/>
              <w:wordWrap/>
              <w:overflowPunct/>
              <w:topLinePunct w:val="0"/>
              <w:autoSpaceDE/>
              <w:autoSpaceDN/>
              <w:bidi w:val="0"/>
              <w:adjustRightInd/>
              <w:snapToGrid/>
              <w:spacing w:line="360" w:lineRule="auto"/>
              <w:ind w:firstLine="945" w:firstLineChars="45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年   月   日</w:t>
            </w:r>
          </w:p>
        </w:tc>
        <w:tc>
          <w:tcPr>
            <w:tcW w:w="4729" w:type="dxa"/>
            <w:noWrap w:val="0"/>
            <w:vAlign w:val="top"/>
          </w:tcPr>
          <w:p w14:paraId="1D8B3ABE">
            <w:pPr>
              <w:keepLines w:val="0"/>
              <w:pageBreakBefore w:val="0"/>
              <w:widowControl w:val="0"/>
              <w:kinsoku/>
              <w:wordWrap/>
              <w:overflowPunct/>
              <w:topLinePunct w:val="0"/>
              <w:autoSpaceDE/>
              <w:autoSpaceDN/>
              <w:bidi w:val="0"/>
              <w:adjustRightInd/>
              <w:snapToGrid/>
              <w:spacing w:line="360" w:lineRule="auto"/>
              <w:ind w:firstLine="945" w:firstLineChars="450"/>
              <w:textAlignment w:val="auto"/>
              <w:rPr>
                <w:rFonts w:hint="eastAsia" w:asciiTheme="minorEastAsia" w:hAnsiTheme="minorEastAsia" w:eastAsiaTheme="minorEastAsia" w:cstheme="minorEastAsia"/>
                <w:i w:val="0"/>
                <w:iCs w:val="0"/>
                <w:color w:val="auto"/>
                <w:sz w:val="21"/>
                <w:szCs w:val="21"/>
                <w:highlight w:val="none"/>
              </w:rPr>
            </w:pPr>
            <w:r>
              <w:rPr>
                <w:rFonts w:hint="eastAsia" w:asciiTheme="minorEastAsia" w:hAnsiTheme="minorEastAsia" w:eastAsiaTheme="minorEastAsia" w:cstheme="minorEastAsia"/>
                <w:i w:val="0"/>
                <w:iCs w:val="0"/>
                <w:color w:val="auto"/>
                <w:sz w:val="21"/>
                <w:szCs w:val="21"/>
                <w:highlight w:val="none"/>
              </w:rPr>
              <w:t>年   月   日</w:t>
            </w:r>
          </w:p>
        </w:tc>
      </w:tr>
    </w:tbl>
    <w:p w14:paraId="0E27D645">
      <w:pPr>
        <w:keepNext w:val="0"/>
        <w:keepLines w:val="0"/>
        <w:pageBreakBefore w:val="0"/>
        <w:widowControl w:val="0"/>
        <w:kinsoku/>
        <w:wordWrap/>
        <w:overflowPunct/>
        <w:topLinePunct w:val="0"/>
        <w:autoSpaceDE/>
        <w:autoSpaceDN/>
        <w:bidi w:val="0"/>
        <w:snapToGrid/>
        <w:spacing w:line="360" w:lineRule="auto"/>
        <w:ind w:firstLine="640" w:firstLineChars="200"/>
        <w:textAlignment w:val="auto"/>
        <w:rPr>
          <w:rFonts w:hint="eastAsia" w:asciiTheme="minorEastAsia" w:hAnsiTheme="minorEastAsia" w:eastAsiaTheme="minorEastAsia" w:cstheme="minorEastAsia"/>
          <w:color w:val="auto"/>
          <w:sz w:val="32"/>
          <w:szCs w:val="32"/>
          <w:highlight w:val="none"/>
        </w:rPr>
      </w:pPr>
    </w:p>
    <w:p w14:paraId="7E668BFC">
      <w:pPr>
        <w:rPr>
          <w:rFonts w:hint="eastAsia" w:asciiTheme="minorEastAsia" w:hAnsiTheme="minorEastAsia" w:eastAsiaTheme="minorEastAsia" w:cstheme="minorEastAsia"/>
          <w:color w:val="auto"/>
          <w:sz w:val="24"/>
          <w:highlight w:val="none"/>
          <w:u w:val="single"/>
          <w:lang w:val="zh-CN"/>
        </w:rPr>
      </w:pPr>
    </w:p>
    <w:p w14:paraId="39468244">
      <w:pPr>
        <w:rPr>
          <w:rFonts w:hint="eastAsia" w:asciiTheme="minorEastAsia" w:hAnsiTheme="minorEastAsia" w:eastAsiaTheme="minorEastAsia" w:cstheme="minorEastAsia"/>
          <w:color w:val="auto"/>
          <w:sz w:val="24"/>
          <w:highlight w:val="none"/>
          <w:u w:val="single"/>
          <w:lang w:val="zh-CN"/>
        </w:rPr>
      </w:pPr>
    </w:p>
    <w:p w14:paraId="7F3CFDD8">
      <w:pPr>
        <w:rPr>
          <w:rFonts w:hint="eastAsia" w:ascii="宋体" w:hAnsi="宋体" w:cs="宋体"/>
          <w:color w:val="auto"/>
          <w:highlight w:val="none"/>
        </w:rPr>
      </w:pPr>
    </w:p>
    <w:p w14:paraId="17542852">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color w:val="auto"/>
          <w:sz w:val="24"/>
          <w:highlight w:val="none"/>
          <w:u w:val="single"/>
          <w:lang w:val="zh-CN"/>
        </w:rPr>
        <w:br w:type="page"/>
      </w:r>
    </w:p>
    <w:p w14:paraId="0B382DE1">
      <w:pPr>
        <w:shd w:val="clear"/>
        <w:spacing w:line="360" w:lineRule="auto"/>
        <w:ind w:left="720" w:firstLine="723" w:firstLineChars="200"/>
        <w:outlineLvl w:val="0"/>
        <w:rPr>
          <w:rFonts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81"/>
      <w:r>
        <w:rPr>
          <w:rFonts w:hint="eastAsia" w:asciiTheme="minorEastAsia" w:hAnsiTheme="minorEastAsia" w:eastAsiaTheme="minorEastAsia" w:cstheme="minorEastAsia"/>
          <w:b/>
          <w:color w:val="auto"/>
          <w:sz w:val="36"/>
          <w:szCs w:val="20"/>
          <w:highlight w:val="none"/>
        </w:rPr>
        <w:t xml:space="preserve"> </w:t>
      </w:r>
      <w:bookmarkEnd w:id="382"/>
      <w:r>
        <w:rPr>
          <w:rFonts w:hint="eastAsia" w:asciiTheme="minorEastAsia" w:hAnsiTheme="minorEastAsia" w:eastAsiaTheme="minorEastAsia" w:cstheme="minorEastAsia"/>
          <w:b/>
          <w:color w:val="auto"/>
          <w:sz w:val="36"/>
          <w:szCs w:val="20"/>
          <w:highlight w:val="none"/>
          <w:lang w:val="en-US" w:eastAsia="zh-CN"/>
        </w:rPr>
        <w:t xml:space="preserve"> </w:t>
      </w:r>
      <w:r>
        <w:rPr>
          <w:rFonts w:hint="eastAsia" w:asciiTheme="minorEastAsia" w:hAnsiTheme="minorEastAsia" w:eastAsiaTheme="minorEastAsia" w:cstheme="minorEastAsia"/>
          <w:b/>
          <w:color w:val="auto"/>
          <w:sz w:val="36"/>
          <w:szCs w:val="20"/>
          <w:highlight w:val="none"/>
        </w:rPr>
        <w:t>应提交的有关格式范例</w:t>
      </w:r>
    </w:p>
    <w:p w14:paraId="7090544A">
      <w:pPr>
        <w:keepNext w:val="0"/>
        <w:keepLines w:val="0"/>
        <w:pageBreakBefore w:val="0"/>
        <w:widowControl w:val="0"/>
        <w:kinsoku/>
        <w:wordWrap/>
        <w:overflowPunct/>
        <w:topLinePunct w:val="0"/>
        <w:autoSpaceDE/>
        <w:autoSpaceDN/>
        <w:bidi w:val="0"/>
        <w:snapToGrid/>
        <w:spacing w:line="360" w:lineRule="auto"/>
        <w:ind w:firstLine="723" w:firstLineChars="200"/>
        <w:textAlignment w:val="auto"/>
        <w:rPr>
          <w:rFonts w:asciiTheme="minorEastAsia" w:hAnsiTheme="minorEastAsia" w:eastAsiaTheme="minorEastAsia" w:cstheme="minorEastAsia"/>
          <w:b/>
          <w:color w:val="auto"/>
          <w:kern w:val="0"/>
          <w:sz w:val="36"/>
          <w:szCs w:val="36"/>
          <w:highlight w:val="none"/>
        </w:rPr>
      </w:pPr>
    </w:p>
    <w:p w14:paraId="17910EB7">
      <w:pPr>
        <w:shd w:val="clea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0E14C48B">
      <w:pPr>
        <w:shd w:val="clea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04AD8C41">
      <w:pPr>
        <w:keepNext w:val="0"/>
        <w:keepLines w:val="0"/>
        <w:pageBreakBefore w:val="0"/>
        <w:widowControl w:val="0"/>
        <w:kinsoku/>
        <w:wordWrap/>
        <w:overflowPunct/>
        <w:topLinePunct w:val="0"/>
        <w:autoSpaceDE/>
        <w:autoSpaceDN/>
        <w:bidi w:val="0"/>
        <w:snapToGrid/>
        <w:spacing w:line="360" w:lineRule="auto"/>
        <w:ind w:firstLine="723" w:firstLineChars="200"/>
        <w:textAlignment w:val="auto"/>
        <w:rPr>
          <w:rFonts w:asciiTheme="minorEastAsia" w:hAnsiTheme="minorEastAsia" w:eastAsiaTheme="minorEastAsia" w:cstheme="minorEastAsia"/>
          <w:b/>
          <w:color w:val="auto"/>
          <w:kern w:val="0"/>
          <w:sz w:val="36"/>
          <w:szCs w:val="36"/>
          <w:highlight w:val="none"/>
        </w:rPr>
      </w:pPr>
    </w:p>
    <w:p w14:paraId="47B8958C">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有效的企业法人营业执照（或事业法人登记证）、其他组织（个体工商户）的营业执照或者民办非企业单位登记证书；</w:t>
      </w:r>
    </w:p>
    <w:p w14:paraId="6759A7C1">
      <w:pPr>
        <w:shd w:val="clear"/>
        <w:adjustRightInd w:val="0"/>
        <w:snapToGrid w:val="0"/>
        <w:spacing w:line="360" w:lineRule="auto"/>
        <w:ind w:left="420" w:leftChars="200" w:firstLine="560" w:firstLineChars="2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符合参加采购活动应当具备的一般条件的承诺函；</w:t>
      </w:r>
    </w:p>
    <w:p w14:paraId="3DE845E0">
      <w:pPr>
        <w:shd w:val="clear"/>
        <w:adjustRightInd w:val="0"/>
        <w:snapToGrid w:val="0"/>
        <w:spacing w:line="360" w:lineRule="auto"/>
        <w:ind w:left="420" w:leftChars="200" w:firstLine="560" w:firstLineChars="200"/>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3</w:t>
      </w:r>
      <w:r>
        <w:rPr>
          <w:rFonts w:hint="eastAsia" w:asciiTheme="minorEastAsia" w:hAnsiTheme="minorEastAsia" w:eastAsiaTheme="minorEastAsia" w:cstheme="minorEastAsia"/>
          <w:color w:val="auto"/>
          <w:sz w:val="28"/>
          <w:szCs w:val="28"/>
          <w:highlight w:val="none"/>
        </w:rPr>
        <w:t xml:space="preserve"> 中小企业声明函（或残疾人福利性单位声明函、或监狱企业的证明文件）。</w:t>
      </w:r>
    </w:p>
    <w:p w14:paraId="6F719B9D">
      <w:pPr>
        <w:shd w:val="clear"/>
        <w:adjustRightInd w:val="0"/>
        <w:snapToGrid w:val="0"/>
        <w:spacing w:line="360" w:lineRule="auto"/>
        <w:ind w:left="420" w:leftChars="200" w:firstLine="560" w:firstLineChars="200"/>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4</w:t>
      </w:r>
      <w:r>
        <w:rPr>
          <w:rFonts w:hint="eastAsia" w:asciiTheme="minorEastAsia" w:hAnsiTheme="minorEastAsia" w:eastAsiaTheme="minorEastAsia" w:cstheme="minorEastAsia"/>
          <w:color w:val="auto"/>
          <w:sz w:val="28"/>
          <w:szCs w:val="28"/>
          <w:highlight w:val="none"/>
        </w:rPr>
        <w:t xml:space="preserve"> 本项目的特定资格要求</w:t>
      </w:r>
      <w:r>
        <w:rPr>
          <w:rFonts w:hint="eastAsia" w:asciiTheme="minorEastAsia" w:hAnsiTheme="minorEastAsia" w:eastAsiaTheme="minorEastAsia" w:cstheme="minorEastAsia"/>
          <w:color w:val="auto"/>
          <w:sz w:val="28"/>
          <w:szCs w:val="28"/>
          <w:highlight w:val="none"/>
          <w:lang w:eastAsia="zh-CN"/>
        </w:rPr>
        <w:t>：提供有效的房屋建筑工程施工总承包三级及以上资质证书及安全生产许可证复印件</w:t>
      </w:r>
      <w:r>
        <w:rPr>
          <w:rFonts w:hint="eastAsia" w:asciiTheme="minorEastAsia" w:hAnsiTheme="minorEastAsia" w:eastAsiaTheme="minorEastAsia" w:cstheme="minorEastAsia"/>
          <w:color w:val="auto"/>
          <w:sz w:val="28"/>
          <w:szCs w:val="28"/>
          <w:highlight w:val="none"/>
        </w:rPr>
        <w:t>。</w:t>
      </w:r>
    </w:p>
    <w:p w14:paraId="704F3360">
      <w:pPr>
        <w:shd w:val="clea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3C4D1C46">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一、 符合参加采购活动应当具备的一般条件的承诺函</w:t>
      </w:r>
    </w:p>
    <w:p w14:paraId="23368DCB">
      <w:pPr>
        <w:shd w:val="clear"/>
        <w:snapToGrid w:val="0"/>
        <w:spacing w:line="360" w:lineRule="auto"/>
        <w:rPr>
          <w:rFonts w:asciiTheme="minorEastAsia" w:hAnsiTheme="minorEastAsia" w:eastAsiaTheme="minorEastAsia" w:cstheme="minorEastAsia"/>
          <w:color w:val="auto"/>
          <w:sz w:val="24"/>
          <w:highlight w:val="none"/>
          <w:u w:val="single"/>
        </w:rPr>
      </w:pPr>
    </w:p>
    <w:p w14:paraId="4164D472">
      <w:pPr>
        <w:shd w:val="clear"/>
        <w:snapToGrid w:val="0"/>
        <w:spacing w:line="360" w:lineRule="auto"/>
        <w:rPr>
          <w:rFonts w:asciiTheme="minorEastAsia" w:hAnsiTheme="minorEastAsia" w:eastAsiaTheme="minorEastAsia" w:cstheme="minorEastAsia"/>
          <w:color w:val="auto"/>
          <w:sz w:val="24"/>
          <w:highlight w:val="none"/>
          <w:u w:val="single"/>
        </w:rPr>
      </w:pPr>
    </w:p>
    <w:p w14:paraId="74BDED7B">
      <w:pPr>
        <w:shd w:val="clea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1073C12A">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（项目名称）【项目编号：         】</w:t>
      </w:r>
      <w:r>
        <w:rPr>
          <w:rFonts w:hint="eastAsia" w:asciiTheme="minorEastAsia" w:hAnsiTheme="minorEastAsia" w:eastAsiaTheme="minorEastAsia" w:cstheme="minorEastAsia"/>
          <w:color w:val="auto"/>
          <w:sz w:val="24"/>
          <w:highlight w:val="none"/>
        </w:rPr>
        <w:t>采购活动，郑重承诺：</w:t>
      </w:r>
    </w:p>
    <w:p w14:paraId="2CB25A4E">
      <w:pPr>
        <w:shd w:val="clear"/>
        <w:snapToGrid w:val="0"/>
        <w:spacing w:line="360" w:lineRule="auto"/>
        <w:ind w:firstLine="360" w:firstLineChars="1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（一）具备《中华人民共和国政府采购法》第二十二条第一款规定的条件：</w:t>
      </w:r>
    </w:p>
    <w:p w14:paraId="44933446">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74FAD024">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14:paraId="1D4E3989">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76445CED">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273BF3D3">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5.参加政府采购活动前三年内，在经营活动中没有重大违法记录；</w:t>
      </w:r>
    </w:p>
    <w:p w14:paraId="67AE2827">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14:paraId="0471848D">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（二）未被信用中国（www.creditchina.gov.cn)、中国政府采购网（www.ccgp.gov.cn）列入失信被执行人、重大税收违法失信主体、政府采购严重违法失信行为记录名单。</w:t>
      </w:r>
    </w:p>
    <w:p w14:paraId="142DFEAE">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（三）不存在以下情况：</w:t>
      </w:r>
    </w:p>
    <w:p w14:paraId="514DCD21">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1.单位负责人为同一人或者存在直接控股、管理关系的不同供应商参加同一合同项下的采购活动的；</w:t>
      </w:r>
    </w:p>
    <w:p w14:paraId="5754F516">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2.为采购项目提供整体设计、规范编制或者项目管理、监理、检测等服务后再参加该采购项目的其他采购活动的。</w:t>
      </w:r>
    </w:p>
    <w:p w14:paraId="0228BB61">
      <w:pPr>
        <w:shd w:val="clea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560F2251">
      <w:pPr>
        <w:shd w:val="clear"/>
        <w:snapToGrid w:val="0"/>
        <w:spacing w:line="360" w:lineRule="auto"/>
        <w:ind w:firstLine="5520" w:firstLineChars="2300"/>
        <w:rPr>
          <w:rFonts w:asciiTheme="minorEastAsia" w:hAnsiTheme="minorEastAsia" w:eastAsiaTheme="minorEastAsia" w:cstheme="minorEastAsia"/>
          <w:color w:val="auto"/>
          <w:kern w:val="0"/>
          <w:sz w:val="24"/>
          <w:highlight w:val="none"/>
          <w:lang w:val="zh-CN"/>
        </w:rPr>
      </w:pPr>
    </w:p>
    <w:p w14:paraId="2466FA44">
      <w:pPr>
        <w:shd w:val="clear"/>
        <w:spacing w:line="360" w:lineRule="auto"/>
        <w:ind w:right="420" w:firstLine="5250" w:firstLineChars="25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法定代表人（签名或印章）：     </w:t>
      </w:r>
    </w:p>
    <w:p w14:paraId="2D66E988">
      <w:pPr>
        <w:shd w:val="clear"/>
        <w:spacing w:line="360" w:lineRule="auto"/>
        <w:ind w:right="420" w:firstLine="5460" w:firstLineChars="2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供应商（盖章）：   </w:t>
      </w:r>
    </w:p>
    <w:p w14:paraId="0BDEC42C">
      <w:pPr>
        <w:shd w:val="clear"/>
        <w:spacing w:line="360" w:lineRule="auto"/>
        <w:ind w:right="420" w:firstLine="5355" w:firstLineChars="25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年    月    日</w:t>
      </w:r>
    </w:p>
    <w:p w14:paraId="659AB18F">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353DDCFA">
      <w:pPr>
        <w:shd w:val="clear"/>
        <w:spacing w:line="360" w:lineRule="auto"/>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6E7D2244">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二、落实政府采购政策需满足的资格要求（如适用）</w:t>
      </w:r>
    </w:p>
    <w:p w14:paraId="0356B824">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（根据竞争性磋商公告落实政府采购政策需满足的资格要求选择提供相应的材料；未要求的，无需提供）</w:t>
      </w:r>
    </w:p>
    <w:p w14:paraId="6E758E7A">
      <w:pPr>
        <w:shd w:val="clear"/>
        <w:snapToGrid w:val="0"/>
        <w:spacing w:before="50" w:after="50"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A</w:t>
      </w:r>
      <w:r>
        <w:rPr>
          <w:rFonts w:hint="eastAsia" w:asciiTheme="minorEastAsia" w:hAnsiTheme="minorEastAsia" w:eastAsiaTheme="minorEastAsia" w:cstheme="minorEastAsia"/>
          <w:color w:val="auto"/>
          <w:sz w:val="24"/>
          <w:highlight w:val="none"/>
        </w:rPr>
        <w:t xml:space="preserve">.专门面向中小企业，货物全部由符合政策要求的小微企业制造或者服务全部由符合政策要求的小微企业承接的，提供相应的中小企业声明函（或残疾人福利性单位声明函、或监狱企业的证明文件）。 </w:t>
      </w:r>
    </w:p>
    <w:p w14:paraId="5059346A">
      <w:pPr>
        <w:widowControl/>
        <w:shd w:val="clear"/>
        <w:spacing w:line="360" w:lineRule="auto"/>
        <w:ind w:firstLine="480"/>
        <w:jc w:val="left"/>
        <w:rPr>
          <w:rFonts w:asciiTheme="minorEastAsia" w:hAnsiTheme="minorEastAsia" w:eastAsiaTheme="minorEastAsia" w:cstheme="minorEastAsia"/>
          <w:color w:val="auto"/>
          <w:sz w:val="24"/>
          <w:highlight w:val="none"/>
        </w:rPr>
      </w:pPr>
    </w:p>
    <w:p w14:paraId="6F661F8B">
      <w:pPr>
        <w:widowControl/>
        <w:shd w:val="clear"/>
        <w:spacing w:line="360" w:lineRule="auto"/>
        <w:ind w:firstLine="472" w:firstLineChars="196"/>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B.</w:t>
      </w:r>
      <w:r>
        <w:rPr>
          <w:rFonts w:hint="eastAsia" w:asciiTheme="minorEastAsia" w:hAnsiTheme="minorEastAsia" w:eastAsiaTheme="minorEastAsia" w:cstheme="minorEastAsia"/>
          <w:color w:val="auto"/>
          <w:sz w:val="24"/>
          <w:highlight w:val="none"/>
        </w:rPr>
        <w:t>要求以联合体形式参加的，提供联合协议和中小企业声明函，联合协议中中小企业合同金额应当达到竞争性磋商公告载明的比例；如果供应商本身提供所有标的均由中小企业制造或承接的，视同符合了资格条件，无需再与其他中小企业组成联合体参加政府采购活动，无需提供联合协议。</w:t>
      </w:r>
    </w:p>
    <w:p w14:paraId="39C3B46C">
      <w:pPr>
        <w:shd w:val="clear"/>
        <w:spacing w:line="360" w:lineRule="auto"/>
        <w:jc w:val="center"/>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rPr>
        <w:t>三、本项目的特定资格要求</w:t>
      </w:r>
    </w:p>
    <w:p w14:paraId="16D89AF8">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（根据竞争性磋商公告本项目的特定资格要求提供相应的材料；未要求的，无需提供）</w:t>
      </w:r>
    </w:p>
    <w:p w14:paraId="3A195B64">
      <w:pPr>
        <w:shd w:val="clear"/>
        <w:spacing w:line="360" w:lineRule="auto"/>
        <w:rPr>
          <w:rFonts w:asciiTheme="minorEastAsia" w:hAnsiTheme="minorEastAsia" w:eastAsiaTheme="minorEastAsia" w:cstheme="minorEastAsia"/>
          <w:color w:val="auto"/>
          <w:highlight w:val="none"/>
        </w:rPr>
      </w:pPr>
    </w:p>
    <w:p w14:paraId="0C99848D">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4EFA5ECA">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675A26A2">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003E467B">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2E218711">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5244B880">
      <w:pPr>
        <w:shd w:val="clear"/>
        <w:snapToGrid w:val="0"/>
        <w:spacing w:line="360" w:lineRule="auto"/>
        <w:ind w:right="480"/>
        <w:jc w:val="center"/>
        <w:rPr>
          <w:rFonts w:asciiTheme="minorEastAsia" w:hAnsiTheme="minorEastAsia" w:eastAsiaTheme="minorEastAsia" w:cstheme="minorEastAsia"/>
          <w:b/>
          <w:color w:val="auto"/>
          <w:kern w:val="0"/>
          <w:sz w:val="32"/>
          <w:szCs w:val="32"/>
          <w:highlight w:val="none"/>
        </w:rPr>
      </w:pPr>
    </w:p>
    <w:p w14:paraId="77B32AA6">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237E3B2E">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6DA6CDC5">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2DA0E4AF">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7C3BA8C7">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Theme="minorEastAsia" w:hAnsiTheme="minorEastAsia" w:eastAsiaTheme="minorEastAsia" w:cstheme="minorEastAsia"/>
          <w:i w:val="0"/>
          <w:iCs w:val="0"/>
          <w:color w:val="auto"/>
          <w:sz w:val="21"/>
          <w:szCs w:val="21"/>
          <w:highlight w:val="none"/>
        </w:rPr>
      </w:pPr>
    </w:p>
    <w:p w14:paraId="39040DD5">
      <w:pPr>
        <w:shd w:val="clear"/>
        <w:spacing w:line="360" w:lineRule="auto"/>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5A9770DB">
      <w:pPr>
        <w:shd w:val="clear"/>
        <w:spacing w:line="360" w:lineRule="auto"/>
        <w:ind w:right="420"/>
        <w:jc w:val="center"/>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4489B346">
      <w:pPr>
        <w:shd w:val="clear"/>
        <w:spacing w:line="360" w:lineRule="auto"/>
        <w:jc w:val="center"/>
        <w:outlineLvl w:val="0"/>
        <w:rPr>
          <w:rFonts w:asciiTheme="minorEastAsia" w:hAnsiTheme="minorEastAsia" w:eastAsiaTheme="minorEastAsia" w:cstheme="minorEastAsia"/>
          <w:b/>
          <w:color w:val="auto"/>
          <w:kern w:val="0"/>
          <w:sz w:val="24"/>
          <w:highlight w:val="none"/>
        </w:rPr>
      </w:pPr>
    </w:p>
    <w:p w14:paraId="62F54A84">
      <w:pPr>
        <w:shd w:val="clear"/>
        <w:spacing w:line="360" w:lineRule="auto"/>
        <w:ind w:left="3990" w:leftChars="1900"/>
        <w:outlineLvl w:val="0"/>
        <w:rPr>
          <w:rFonts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 录</w:t>
      </w:r>
    </w:p>
    <w:p w14:paraId="7F058AB4">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p>
    <w:p w14:paraId="3C8D512E">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符合性自查表；</w:t>
      </w:r>
    </w:p>
    <w:p w14:paraId="09A4007B">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磋商函；</w:t>
      </w:r>
      <w:r>
        <w:rPr>
          <w:rFonts w:hint="eastAsia" w:asciiTheme="minorEastAsia" w:hAnsiTheme="minorEastAsia" w:eastAsiaTheme="minorEastAsia" w:cstheme="minorEastAsia"/>
          <w:color w:val="auto"/>
          <w:sz w:val="28"/>
          <w:szCs w:val="28"/>
          <w:highlight w:val="none"/>
          <w:lang w:val="zh-CN"/>
        </w:rPr>
        <w:t xml:space="preserve"> </w:t>
      </w:r>
    </w:p>
    <w:p w14:paraId="4972324A">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3 授权委托书；</w:t>
      </w:r>
    </w:p>
    <w:p w14:paraId="5CA9C3B8">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4 供应商情况表；</w:t>
      </w:r>
    </w:p>
    <w:p w14:paraId="56DD62AE">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5 距采购人最近或者能为本项目提供最优服务的网点情况表；</w:t>
      </w:r>
    </w:p>
    <w:p w14:paraId="38EA10F5">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6 评审标准相应的商务技术资料；</w:t>
      </w:r>
    </w:p>
    <w:p w14:paraId="00AA6CE5">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7 商务</w:t>
      </w:r>
      <w:r>
        <w:rPr>
          <w:rFonts w:hint="eastAsia" w:asciiTheme="minorEastAsia" w:hAnsiTheme="minorEastAsia" w:eastAsiaTheme="minorEastAsia" w:cstheme="minorEastAsia"/>
          <w:color w:val="auto"/>
          <w:sz w:val="28"/>
          <w:szCs w:val="28"/>
          <w:highlight w:val="none"/>
          <w:lang w:val="en-US" w:eastAsia="zh-CN"/>
        </w:rPr>
        <w:t>响应</w:t>
      </w:r>
      <w:r>
        <w:rPr>
          <w:rFonts w:hint="eastAsia" w:asciiTheme="minorEastAsia" w:hAnsiTheme="minorEastAsia" w:eastAsiaTheme="minorEastAsia" w:cstheme="minorEastAsia"/>
          <w:color w:val="auto"/>
          <w:sz w:val="28"/>
          <w:szCs w:val="28"/>
          <w:highlight w:val="none"/>
        </w:rPr>
        <w:t>表；</w:t>
      </w:r>
    </w:p>
    <w:p w14:paraId="2A6C526C">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8 技术</w:t>
      </w:r>
      <w:r>
        <w:rPr>
          <w:rFonts w:hint="eastAsia" w:asciiTheme="minorEastAsia" w:hAnsiTheme="minorEastAsia" w:eastAsiaTheme="minorEastAsia" w:cstheme="minorEastAsia"/>
          <w:color w:val="auto"/>
          <w:sz w:val="28"/>
          <w:szCs w:val="28"/>
          <w:highlight w:val="none"/>
          <w:lang w:val="en-US" w:eastAsia="zh-CN"/>
        </w:rPr>
        <w:t>响应</w:t>
      </w:r>
      <w:r>
        <w:rPr>
          <w:rFonts w:hint="eastAsia" w:asciiTheme="minorEastAsia" w:hAnsiTheme="minorEastAsia" w:eastAsiaTheme="minorEastAsia" w:cstheme="minorEastAsia"/>
          <w:color w:val="auto"/>
          <w:sz w:val="28"/>
          <w:szCs w:val="28"/>
          <w:highlight w:val="none"/>
        </w:rPr>
        <w:t>表；</w:t>
      </w:r>
    </w:p>
    <w:p w14:paraId="162B48BE">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9 同类业绩情况一览表；</w:t>
      </w:r>
    </w:p>
    <w:p w14:paraId="75FD493F">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lang w:val="zh-CN"/>
        </w:rPr>
      </w:pPr>
      <w:r>
        <w:rPr>
          <w:rFonts w:hint="eastAsia" w:asciiTheme="minorEastAsia" w:hAnsiTheme="minorEastAsia" w:eastAsiaTheme="minorEastAsia" w:cstheme="minorEastAsia"/>
          <w:color w:val="auto"/>
          <w:sz w:val="28"/>
          <w:szCs w:val="28"/>
          <w:highlight w:val="none"/>
        </w:rPr>
        <w:t xml:space="preserve">10 </w:t>
      </w:r>
      <w:r>
        <w:rPr>
          <w:rFonts w:hint="eastAsia" w:asciiTheme="minorEastAsia" w:hAnsiTheme="minorEastAsia" w:eastAsiaTheme="minorEastAsia" w:cstheme="minorEastAsia"/>
          <w:color w:val="auto"/>
          <w:sz w:val="28"/>
          <w:szCs w:val="28"/>
          <w:highlight w:val="none"/>
          <w:lang w:val="zh-CN"/>
        </w:rPr>
        <w:t>采购供应商廉洁自律承诺书；</w:t>
      </w:r>
    </w:p>
    <w:p w14:paraId="0048832B">
      <w:pPr>
        <w:shd w:val="clear"/>
        <w:adjustRightInd w:val="0"/>
        <w:snapToGrid w:val="0"/>
        <w:spacing w:line="360" w:lineRule="auto"/>
        <w:ind w:firstLine="840" w:firstLineChars="3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11 其他资料。</w:t>
      </w:r>
    </w:p>
    <w:p w14:paraId="5DC81B1F">
      <w:pPr>
        <w:shd w:val="clear"/>
        <w:snapToGrid w:val="0"/>
        <w:spacing w:line="360" w:lineRule="auto"/>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p>
    <w:p w14:paraId="28365C2C">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符合性自查表</w:t>
      </w:r>
    </w:p>
    <w:tbl>
      <w:tblPr>
        <w:tblStyle w:val="26"/>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3544"/>
        <w:gridCol w:w="2693"/>
        <w:gridCol w:w="1276"/>
        <w:gridCol w:w="1979"/>
      </w:tblGrid>
      <w:tr w14:paraId="4243E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07" w:type="dxa"/>
            <w:vAlign w:val="center"/>
          </w:tcPr>
          <w:p w14:paraId="5A78C0FD">
            <w:pPr>
              <w:shd w:val="clea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544" w:type="dxa"/>
            <w:vAlign w:val="center"/>
          </w:tcPr>
          <w:p w14:paraId="31935F25">
            <w:pPr>
              <w:shd w:val="clea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2693" w:type="dxa"/>
            <w:vAlign w:val="center"/>
          </w:tcPr>
          <w:p w14:paraId="11429EF8">
            <w:pPr>
              <w:shd w:val="clea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276" w:type="dxa"/>
            <w:vAlign w:val="center"/>
          </w:tcPr>
          <w:p w14:paraId="6D27F81D">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自查结论</w:t>
            </w:r>
          </w:p>
        </w:tc>
        <w:tc>
          <w:tcPr>
            <w:tcW w:w="1979" w:type="dxa"/>
            <w:vAlign w:val="center"/>
          </w:tcPr>
          <w:p w14:paraId="65D6A908">
            <w:pPr>
              <w:shd w:val="clea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0C87B0E0">
            <w:pPr>
              <w:shd w:val="clear"/>
              <w:snapToGrid w:val="0"/>
              <w:spacing w:line="360" w:lineRule="auto"/>
              <w:jc w:val="center"/>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39BD3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64EA0903">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544" w:type="dxa"/>
            <w:vAlign w:val="center"/>
          </w:tcPr>
          <w:p w14:paraId="3358507A">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响应文件按照采购文件要求签署、盖章。</w:t>
            </w:r>
          </w:p>
        </w:tc>
        <w:tc>
          <w:tcPr>
            <w:tcW w:w="2693" w:type="dxa"/>
            <w:vAlign w:val="center"/>
          </w:tcPr>
          <w:p w14:paraId="30EF100C">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276" w:type="dxa"/>
            <w:vAlign w:val="center"/>
          </w:tcPr>
          <w:p w14:paraId="6E788A64">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2EA4CDEC">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7FCB21A5">
            <w:pPr>
              <w:shd w:val="clear"/>
              <w:spacing w:line="360" w:lineRule="auto"/>
              <w:rPr>
                <w:rFonts w:asciiTheme="minorEastAsia" w:hAnsiTheme="minorEastAsia" w:eastAsiaTheme="minorEastAsia" w:cstheme="minorEastAsia"/>
                <w:color w:val="auto"/>
                <w:sz w:val="24"/>
                <w:highlight w:val="none"/>
              </w:rPr>
            </w:pPr>
          </w:p>
          <w:p w14:paraId="1330ED3A">
            <w:pPr>
              <w:shd w:val="clear"/>
              <w:spacing w:line="360" w:lineRule="auto"/>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sz w:val="24"/>
                <w:highlight w:val="none"/>
                <w:lang w:val="en-US" w:eastAsia="zh-CN"/>
              </w:rPr>
              <w:t>/</w:t>
            </w:r>
          </w:p>
        </w:tc>
      </w:tr>
      <w:tr w14:paraId="0BFC9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707" w:type="dxa"/>
            <w:vAlign w:val="center"/>
          </w:tcPr>
          <w:p w14:paraId="6A0CA1BC">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544" w:type="dxa"/>
            <w:vAlign w:val="center"/>
          </w:tcPr>
          <w:p w14:paraId="707F0858">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响应文件中承诺的响应有效期不少于采购文件中载明的响应有效期。</w:t>
            </w:r>
          </w:p>
        </w:tc>
        <w:tc>
          <w:tcPr>
            <w:tcW w:w="2693" w:type="dxa"/>
            <w:vAlign w:val="center"/>
          </w:tcPr>
          <w:p w14:paraId="1221B019">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磋商函</w:t>
            </w:r>
          </w:p>
        </w:tc>
        <w:tc>
          <w:tcPr>
            <w:tcW w:w="1276" w:type="dxa"/>
            <w:vAlign w:val="center"/>
          </w:tcPr>
          <w:p w14:paraId="59F8906B">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0C7693C6">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765EF54A">
            <w:pPr>
              <w:shd w:val="clear"/>
              <w:spacing w:line="360" w:lineRule="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32A88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707" w:type="dxa"/>
            <w:vAlign w:val="center"/>
          </w:tcPr>
          <w:p w14:paraId="338042FE">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544" w:type="dxa"/>
            <w:vAlign w:val="center"/>
          </w:tcPr>
          <w:p w14:paraId="231C0470">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响应文件满足采购文件的其它实质性要求。</w:t>
            </w:r>
          </w:p>
        </w:tc>
        <w:tc>
          <w:tcPr>
            <w:tcW w:w="2693" w:type="dxa"/>
            <w:vAlign w:val="center"/>
          </w:tcPr>
          <w:p w14:paraId="1BD8AE1D">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采购文件其它实质性要求相应的材料（“▲” 系指实质性要求条款，采购文件无其它实质性要求的，无需提供）</w:t>
            </w:r>
          </w:p>
        </w:tc>
        <w:tc>
          <w:tcPr>
            <w:tcW w:w="1276" w:type="dxa"/>
            <w:vAlign w:val="center"/>
          </w:tcPr>
          <w:p w14:paraId="18EF26AE">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7FFE3B13">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3D8D7B79">
            <w:pPr>
              <w:shd w:val="clear"/>
              <w:spacing w:line="360" w:lineRule="auto"/>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sz w:val="24"/>
                <w:highlight w:val="none"/>
                <w:lang w:val="en-US" w:eastAsia="zh-CN"/>
              </w:rPr>
              <w:t>/</w:t>
            </w:r>
          </w:p>
        </w:tc>
      </w:tr>
      <w:tr w14:paraId="35C74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69BBB463">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3544" w:type="dxa"/>
            <w:vAlign w:val="center"/>
          </w:tcPr>
          <w:p w14:paraId="76691385">
            <w:pPr>
              <w:shd w:val="clea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响应文件没有采购文件中规定的其它无效响应条款的。</w:t>
            </w:r>
          </w:p>
        </w:tc>
        <w:tc>
          <w:tcPr>
            <w:tcW w:w="2693" w:type="dxa"/>
            <w:vAlign w:val="center"/>
          </w:tcPr>
          <w:p w14:paraId="6B9EEF3D">
            <w:pPr>
              <w:shd w:val="clea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6B61F476">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2CA611C3">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69326D96">
            <w:pPr>
              <w:shd w:val="clear"/>
              <w:spacing w:line="360" w:lineRule="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w:t>
            </w:r>
          </w:p>
        </w:tc>
      </w:tr>
      <w:tr w14:paraId="2D08C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07" w:type="dxa"/>
            <w:vAlign w:val="center"/>
          </w:tcPr>
          <w:p w14:paraId="44D221D3">
            <w:pPr>
              <w:shd w:val="clear"/>
              <w:spacing w:line="360"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3544" w:type="dxa"/>
            <w:vAlign w:val="center"/>
          </w:tcPr>
          <w:p w14:paraId="33698E1A">
            <w:pPr>
              <w:shd w:val="clear"/>
              <w:snapToGrid w:val="0"/>
              <w:spacing w:line="360" w:lineRule="auto"/>
              <w:jc w:val="left"/>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按有关法律、法规、规章不属于响应无效的。</w:t>
            </w:r>
          </w:p>
        </w:tc>
        <w:tc>
          <w:tcPr>
            <w:tcW w:w="2693" w:type="dxa"/>
            <w:vAlign w:val="center"/>
          </w:tcPr>
          <w:p w14:paraId="4DE2BC32">
            <w:pPr>
              <w:shd w:val="clear"/>
              <w:spacing w:line="360" w:lineRule="auto"/>
              <w:rPr>
                <w:rFonts w:asciiTheme="minorEastAsia" w:hAnsiTheme="minorEastAsia" w:eastAsiaTheme="minorEastAsia" w:cstheme="minorEastAsia"/>
                <w:color w:val="auto"/>
                <w:kern w:val="0"/>
                <w:sz w:val="24"/>
                <w:highlight w:val="none"/>
              </w:rPr>
            </w:pPr>
          </w:p>
        </w:tc>
        <w:tc>
          <w:tcPr>
            <w:tcW w:w="1276" w:type="dxa"/>
            <w:vAlign w:val="center"/>
          </w:tcPr>
          <w:p w14:paraId="65E92D86">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□通过 </w:t>
            </w:r>
          </w:p>
          <w:p w14:paraId="47454DE8">
            <w:pPr>
              <w:shd w:val="clear"/>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□不通过</w:t>
            </w:r>
          </w:p>
        </w:tc>
        <w:tc>
          <w:tcPr>
            <w:tcW w:w="1979" w:type="dxa"/>
            <w:vAlign w:val="center"/>
          </w:tcPr>
          <w:p w14:paraId="42A6DF9B">
            <w:pPr>
              <w:shd w:val="clear"/>
              <w:spacing w:line="360" w:lineRule="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w:t>
            </w:r>
          </w:p>
        </w:tc>
      </w:tr>
    </w:tbl>
    <w:p w14:paraId="6035719F">
      <w:pPr>
        <w:shd w:val="clear"/>
        <w:snapToGrid w:val="0"/>
        <w:spacing w:line="360" w:lineRule="auto"/>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24"/>
          <w:highlight w:val="none"/>
        </w:rPr>
        <w:t xml:space="preserve">备注：供应商自查表将作为供应商有效性审查的重要内容之一，供应商必须严格按照其内容及序列要求在响应文件中对应如实提供，对资格性证明文件的任何缺漏和不符合项将会直接导致响应无效！ </w:t>
      </w:r>
    </w:p>
    <w:p w14:paraId="4E77F346">
      <w:pPr>
        <w:numPr>
          <w:ilvl w:val="0"/>
          <w:numId w:val="7"/>
        </w:numPr>
        <w:shd w:val="clear"/>
        <w:snapToGrid w:val="0"/>
        <w:spacing w:line="360" w:lineRule="auto"/>
        <w:jc w:val="center"/>
        <w:outlineLvl w:val="0"/>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r>
        <w:rPr>
          <w:rFonts w:hint="eastAsia" w:asciiTheme="minorEastAsia" w:hAnsiTheme="minorEastAsia" w:eastAsiaTheme="minorEastAsia" w:cstheme="minorEastAsia"/>
          <w:b/>
          <w:color w:val="auto"/>
          <w:kern w:val="0"/>
          <w:sz w:val="32"/>
          <w:szCs w:val="32"/>
          <w:highlight w:val="none"/>
        </w:rPr>
        <w:t>磋商</w:t>
      </w:r>
      <w:r>
        <w:rPr>
          <w:rFonts w:hint="eastAsia" w:asciiTheme="minorEastAsia" w:hAnsiTheme="minorEastAsia" w:eastAsiaTheme="minorEastAsia" w:cstheme="minorEastAsia"/>
          <w:b/>
          <w:color w:val="auto"/>
          <w:sz w:val="32"/>
          <w:szCs w:val="32"/>
          <w:highlight w:val="none"/>
        </w:rPr>
        <w:t>函</w:t>
      </w:r>
    </w:p>
    <w:p w14:paraId="20371769">
      <w:pPr>
        <w:shd w:val="clear"/>
        <w:snapToGrid w:val="0"/>
        <w:spacing w:line="360" w:lineRule="auto"/>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sz w:val="24"/>
          <w:highlight w:val="none"/>
        </w:rPr>
        <w:t>：</w:t>
      </w:r>
    </w:p>
    <w:p w14:paraId="3421FEC6">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（项目名称）【项目编号：             】</w:t>
      </w:r>
      <w:r>
        <w:rPr>
          <w:rFonts w:hint="eastAsia" w:asciiTheme="minorEastAsia" w:hAnsiTheme="minorEastAsia" w:eastAsiaTheme="minorEastAsia" w:cstheme="minorEastAsia"/>
          <w:color w:val="auto"/>
          <w:sz w:val="24"/>
          <w:highlight w:val="none"/>
        </w:rPr>
        <w:t>采购活动，并对此项目进行磋商响应。为此：</w:t>
      </w:r>
    </w:p>
    <w:p w14:paraId="7E64FD6F">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1.我方承诺响应有效期从提交响应文件的截止之日起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本响应文件在响应有效期满之前均具有约束力。</w:t>
      </w:r>
    </w:p>
    <w:p w14:paraId="20542090">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2.我方的响应文件包括以下内容：</w:t>
      </w:r>
    </w:p>
    <w:p w14:paraId="5C25DAEA">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39806510">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2.1.1有效的企业法人营业执照（或事业法人登记证）、其他组织（个体工商户）的营业执照或者民办非企业单位登记证书；</w:t>
      </w:r>
    </w:p>
    <w:p w14:paraId="7754F9C1">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2.1.2符合参加采购活动应当具备的一般条件的承诺函；</w:t>
      </w:r>
    </w:p>
    <w:p w14:paraId="00EE15F1">
      <w:pPr>
        <w:shd w:val="clear"/>
        <w:snapToGrid w:val="0"/>
        <w:spacing w:line="360" w:lineRule="auto"/>
        <w:ind w:left="420" w:leftChars="200" w:firstLine="480" w:firstLineChars="200"/>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2.1.3落实政府采购政策需满足的资格要求</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中小企业声明函（</w:t>
      </w:r>
      <w:r>
        <w:rPr>
          <w:rFonts w:hint="eastAsia" w:asciiTheme="minorEastAsia" w:hAnsiTheme="minorEastAsia" w:eastAsiaTheme="minorEastAsia" w:cstheme="minorEastAsia"/>
          <w:color w:val="auto"/>
          <w:sz w:val="24"/>
          <w:highlight w:val="none"/>
          <w:lang w:val="en-US" w:eastAsia="zh-CN"/>
        </w:rPr>
        <w:t>或</w:t>
      </w:r>
      <w:r>
        <w:rPr>
          <w:rFonts w:hint="eastAsia" w:asciiTheme="minorEastAsia" w:hAnsiTheme="minorEastAsia" w:eastAsiaTheme="minorEastAsia" w:cstheme="minorEastAsia"/>
          <w:color w:val="auto"/>
          <w:sz w:val="24"/>
          <w:highlight w:val="none"/>
        </w:rPr>
        <w:t>残疾人福利性单位声明函</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或监狱企业的证明文件</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w:t>
      </w:r>
    </w:p>
    <w:p w14:paraId="299DD45A">
      <w:pPr>
        <w:shd w:val="clear"/>
        <w:snapToGrid w:val="0"/>
        <w:spacing w:line="360" w:lineRule="auto"/>
        <w:ind w:left="420" w:leftChars="200" w:firstLine="48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2.1.</w:t>
      </w:r>
      <w:r>
        <w:rPr>
          <w:rFonts w:hint="eastAsia" w:asciiTheme="minorEastAsia" w:hAnsiTheme="minorEastAsia" w:eastAsiaTheme="minorEastAsia" w:cstheme="minorEastAsia"/>
          <w:color w:val="auto"/>
          <w:sz w:val="24"/>
          <w:highlight w:val="none"/>
          <w:lang w:val="en-US" w:eastAsia="zh-CN"/>
        </w:rPr>
        <w:t>4</w:t>
      </w:r>
      <w:r>
        <w:rPr>
          <w:rFonts w:hint="eastAsia" w:asciiTheme="minorEastAsia" w:hAnsiTheme="minorEastAsia" w:eastAsiaTheme="minorEastAsia" w:cstheme="minorEastAsia"/>
          <w:color w:val="auto"/>
          <w:sz w:val="24"/>
          <w:highlight w:val="none"/>
        </w:rPr>
        <w:t>本项目的特定资格要求</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提供有效的房屋建筑工程施工总承包三级及以上资质证书及安全生产许可证复印件。</w:t>
      </w:r>
    </w:p>
    <w:p w14:paraId="5F01511B">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 xml:space="preserve"> </w:t>
      </w:r>
      <w:r>
        <w:rPr>
          <w:rFonts w:hint="eastAsia" w:asciiTheme="minorEastAsia" w:hAnsiTheme="minorEastAsia" w:eastAsiaTheme="minorEastAsia" w:cstheme="minorEastAsia"/>
          <w:color w:val="auto"/>
          <w:sz w:val="24"/>
          <w:highlight w:val="none"/>
        </w:rPr>
        <w:t>商务技术</w:t>
      </w:r>
      <w:r>
        <w:rPr>
          <w:rFonts w:hint="eastAsia" w:asciiTheme="minorEastAsia" w:hAnsiTheme="minorEastAsia" w:eastAsiaTheme="minorEastAsia" w:cstheme="minorEastAsia"/>
          <w:color w:val="auto"/>
          <w:sz w:val="24"/>
          <w:highlight w:val="none"/>
          <w:lang w:val="zh-CN"/>
        </w:rPr>
        <w:t>文件：</w:t>
      </w:r>
    </w:p>
    <w:p w14:paraId="2555AD6D">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 符合性自查表；</w:t>
      </w:r>
    </w:p>
    <w:p w14:paraId="04E59C87">
      <w:pPr>
        <w:shd w:val="clear"/>
        <w:snapToGrid w:val="0"/>
        <w:spacing w:line="360" w:lineRule="auto"/>
        <w:ind w:left="420" w:leftChars="200" w:firstLine="480" w:firstLineChars="200"/>
        <w:rPr>
          <w:rFonts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sz w:val="24"/>
          <w:highlight w:val="none"/>
        </w:rPr>
        <w:t>2.2.2 磋商函；</w:t>
      </w:r>
      <w:r>
        <w:rPr>
          <w:rFonts w:hint="eastAsia" w:asciiTheme="minorEastAsia" w:hAnsiTheme="minorEastAsia" w:eastAsiaTheme="minorEastAsia" w:cstheme="minorEastAsia"/>
          <w:color w:val="auto"/>
          <w:sz w:val="24"/>
          <w:highlight w:val="none"/>
          <w:lang w:val="zh-CN"/>
        </w:rPr>
        <w:t xml:space="preserve"> </w:t>
      </w:r>
    </w:p>
    <w:p w14:paraId="789427DE">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 授权委托书；</w:t>
      </w:r>
    </w:p>
    <w:p w14:paraId="0B64CCF2">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 供应商情况表；</w:t>
      </w:r>
    </w:p>
    <w:p w14:paraId="7387B35B">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2.2.5 距采购人最近或者能为本项目提供最优服务的网点情况表；</w:t>
      </w:r>
    </w:p>
    <w:p w14:paraId="49109BAA">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 评审标准相应的商务技术资料；</w:t>
      </w:r>
    </w:p>
    <w:p w14:paraId="257F1913">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7 商务</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35A99A61">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8 技术</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w:t>
      </w:r>
    </w:p>
    <w:p w14:paraId="7E08B884">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9 同类业绩情况一览表；</w:t>
      </w:r>
    </w:p>
    <w:p w14:paraId="26AD2716">
      <w:pPr>
        <w:shd w:val="clear"/>
        <w:snapToGrid w:val="0"/>
        <w:spacing w:line="360" w:lineRule="auto"/>
        <w:ind w:left="420" w:leftChars="200" w:firstLine="480" w:firstLineChars="200"/>
        <w:rPr>
          <w:rFonts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 xml:space="preserve">2.2.10 </w:t>
      </w:r>
      <w:r>
        <w:rPr>
          <w:rFonts w:hint="eastAsia" w:asciiTheme="minorEastAsia" w:hAnsiTheme="minorEastAsia" w:eastAsiaTheme="minorEastAsia" w:cstheme="minorEastAsia"/>
          <w:color w:val="auto"/>
          <w:sz w:val="24"/>
          <w:highlight w:val="none"/>
          <w:lang w:val="zh-CN"/>
        </w:rPr>
        <w:t>采购供应商廉洁自律承诺书；</w:t>
      </w:r>
    </w:p>
    <w:p w14:paraId="3B000434">
      <w:pPr>
        <w:shd w:val="clear"/>
        <w:snapToGrid w:val="0"/>
        <w:spacing w:line="360" w:lineRule="auto"/>
        <w:ind w:left="420" w:leftChars="200" w:firstLine="48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2.2.11 其他资料。</w:t>
      </w:r>
    </w:p>
    <w:p w14:paraId="7B61BC89">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5BB6F023">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 报价一览表；</w:t>
      </w:r>
    </w:p>
    <w:p w14:paraId="054D0775">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2.3.2响应报价明细表；</w:t>
      </w:r>
    </w:p>
    <w:p w14:paraId="303AA0EA">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w:t>
      </w: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rPr>
        <w:t xml:space="preserve"> 采购统计基础信息表。</w:t>
      </w:r>
    </w:p>
    <w:p w14:paraId="422F0F31">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3.我方承诺除商务技术</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表列出的偏离外，我方响应采购文件的全部要求。</w:t>
      </w:r>
    </w:p>
    <w:p w14:paraId="55E410F3">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4.如我方成交，我方承诺：</w:t>
      </w:r>
    </w:p>
    <w:p w14:paraId="2CB53B43">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473B2C36">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236763A9">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4.3按照采购文件要求提交履约保证金； </w:t>
      </w:r>
    </w:p>
    <w:p w14:paraId="63EA054F">
      <w:pPr>
        <w:shd w:val="clear"/>
        <w:snapToGrid w:val="0"/>
        <w:spacing w:line="360" w:lineRule="auto"/>
        <w:ind w:left="210" w:leftChars="100"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5EB10C79">
      <w:pPr>
        <w:shd w:val="clear"/>
        <w:snapToGrid w:val="0"/>
        <w:spacing w:line="360"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5.其他补充说明： </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 xml:space="preserve"> 。</w:t>
      </w:r>
    </w:p>
    <w:p w14:paraId="7FF8AFCD">
      <w:pPr>
        <w:shd w:val="clear"/>
        <w:spacing w:line="360" w:lineRule="auto"/>
        <w:ind w:firstLine="3600" w:firstLineChars="1500"/>
        <w:rPr>
          <w:rFonts w:asciiTheme="minorEastAsia" w:hAnsiTheme="minorEastAsia" w:eastAsiaTheme="minorEastAsia" w:cstheme="minorEastAsia"/>
          <w:color w:val="auto"/>
          <w:sz w:val="24"/>
          <w:highlight w:val="none"/>
        </w:rPr>
      </w:pPr>
    </w:p>
    <w:p w14:paraId="4AD37091">
      <w:pPr>
        <w:shd w:val="clear"/>
        <w:spacing w:line="360" w:lineRule="auto"/>
        <w:ind w:firstLine="3600" w:firstLineChars="1500"/>
        <w:rPr>
          <w:rFonts w:asciiTheme="minorEastAsia" w:hAnsiTheme="minorEastAsia" w:eastAsiaTheme="minorEastAsia" w:cstheme="minorEastAsia"/>
          <w:color w:val="auto"/>
          <w:sz w:val="24"/>
          <w:highlight w:val="none"/>
        </w:rPr>
      </w:pPr>
    </w:p>
    <w:p w14:paraId="6AE87B84">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法定代表人（签名或印章）：     </w:t>
      </w:r>
    </w:p>
    <w:p w14:paraId="05E598EB">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供应商（盖章）：   </w:t>
      </w:r>
    </w:p>
    <w:p w14:paraId="056754EA">
      <w:pPr>
        <w:shd w:val="clear"/>
        <w:snapToGrid w:val="0"/>
        <w:spacing w:line="360" w:lineRule="auto"/>
        <w:ind w:firstLine="960" w:firstLineChars="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年    月    日</w:t>
      </w:r>
    </w:p>
    <w:p w14:paraId="1225899D">
      <w:pPr>
        <w:shd w:val="clear"/>
        <w:spacing w:line="360" w:lineRule="auto"/>
        <w:jc w:val="center"/>
        <w:rPr>
          <w:rFonts w:asciiTheme="minorEastAsia" w:hAnsiTheme="minorEastAsia" w:eastAsiaTheme="minorEastAsia" w:cstheme="minorEastAsia"/>
          <w:b/>
          <w:color w:val="auto"/>
          <w:kern w:val="0"/>
          <w:sz w:val="32"/>
          <w:szCs w:val="32"/>
          <w:highlight w:val="none"/>
        </w:rPr>
      </w:pPr>
    </w:p>
    <w:p w14:paraId="1595A256">
      <w:pPr>
        <w:shd w:val="clear"/>
        <w:spacing w:line="360" w:lineRule="auto"/>
        <w:jc w:val="center"/>
        <w:rPr>
          <w:rFonts w:asciiTheme="minorEastAsia" w:hAnsiTheme="minorEastAsia" w:eastAsiaTheme="minorEastAsia" w:cstheme="minorEastAsia"/>
          <w:b/>
          <w:color w:val="auto"/>
          <w:kern w:val="0"/>
          <w:sz w:val="32"/>
          <w:szCs w:val="32"/>
          <w:highlight w:val="none"/>
          <w:lang w:val="zh-CN"/>
        </w:rPr>
      </w:pPr>
    </w:p>
    <w:p w14:paraId="0E19B04D">
      <w:pPr>
        <w:shd w:val="clear"/>
        <w:spacing w:line="360" w:lineRule="auto"/>
        <w:rPr>
          <w:rFonts w:asciiTheme="minorEastAsia" w:hAnsiTheme="minorEastAsia" w:eastAsiaTheme="minorEastAsia" w:cstheme="minorEastAsia"/>
          <w:b/>
          <w:color w:val="auto"/>
          <w:sz w:val="32"/>
          <w:szCs w:val="32"/>
          <w:highlight w:val="none"/>
        </w:rPr>
      </w:pPr>
      <w:bookmarkStart w:id="386" w:name="_Toc483379796"/>
      <w:bookmarkStart w:id="387" w:name="_Toc225223761"/>
      <w:bookmarkStart w:id="388" w:name="_Toc488936100"/>
      <w:bookmarkStart w:id="389" w:name="_Toc479927873"/>
      <w:bookmarkStart w:id="390" w:name="_Toc14746861"/>
      <w:bookmarkStart w:id="391" w:name="_Toc110393361"/>
    </w:p>
    <w:p w14:paraId="26532C4D">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授权委托书</w:t>
      </w:r>
    </w:p>
    <w:p w14:paraId="74DD2C68">
      <w:pPr>
        <w:shd w:val="clear"/>
        <w:spacing w:line="440" w:lineRule="exact"/>
        <w:jc w:val="left"/>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sz w:val="24"/>
          <w:highlight w:val="none"/>
        </w:rPr>
        <w:t xml:space="preserve">                           </w:t>
      </w:r>
      <w:r>
        <w:rPr>
          <w:rFonts w:hint="eastAsia" w:asciiTheme="minorEastAsia" w:hAnsiTheme="minorEastAsia" w:eastAsiaTheme="minorEastAsia" w:cstheme="minorEastAsia"/>
          <w:b/>
          <w:color w:val="auto"/>
          <w:sz w:val="32"/>
          <w:szCs w:val="32"/>
          <w:highlight w:val="none"/>
        </w:rPr>
        <w:t>法定代表人授权委托书</w:t>
      </w:r>
    </w:p>
    <w:p w14:paraId="02E22CD6">
      <w:pPr>
        <w:shd w:val="clear"/>
        <w:spacing w:line="440" w:lineRule="exact"/>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Cs/>
          <w:color w:val="auto"/>
          <w:sz w:val="24"/>
          <w:highlight w:val="none"/>
        </w:rPr>
        <w:t>（法定代表人来参加磋商采购活动的，此表不用）</w:t>
      </w:r>
    </w:p>
    <w:p w14:paraId="48DBB1D3">
      <w:pPr>
        <w:shd w:val="clear"/>
        <w:snapToGrid w:val="0"/>
        <w:spacing w:line="360" w:lineRule="auto"/>
        <w:rPr>
          <w:rFonts w:asciiTheme="minorEastAsia" w:hAnsiTheme="minorEastAsia" w:eastAsiaTheme="minorEastAsia" w:cstheme="minorEastAsia"/>
          <w:bCs/>
          <w:color w:val="auto"/>
          <w:sz w:val="24"/>
          <w:highlight w:val="none"/>
        </w:rPr>
      </w:pPr>
    </w:p>
    <w:p w14:paraId="7AFEF3D5">
      <w:pPr>
        <w:shd w:val="clea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Cs/>
          <w:color w:val="auto"/>
          <w:szCs w:val="21"/>
          <w:highlight w:val="none"/>
        </w:rPr>
        <w:t>致：</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（采购单位名称）</w:t>
      </w:r>
      <w:r>
        <w:rPr>
          <w:rFonts w:hint="eastAsia" w:asciiTheme="minorEastAsia" w:hAnsiTheme="minorEastAsia" w:eastAsiaTheme="minorEastAsia" w:cstheme="minorEastAsia"/>
          <w:b/>
          <w:bCs/>
          <w:color w:val="auto"/>
          <w:szCs w:val="21"/>
          <w:highlight w:val="none"/>
        </w:rPr>
        <w:t xml:space="preserve"> </w:t>
      </w:r>
      <w:r>
        <w:rPr>
          <w:rFonts w:hint="eastAsia" w:asciiTheme="minorEastAsia" w:hAnsiTheme="minorEastAsia" w:eastAsiaTheme="minorEastAsia" w:cstheme="minorEastAsia"/>
          <w:color w:val="auto"/>
          <w:szCs w:val="21"/>
          <w:highlight w:val="none"/>
        </w:rPr>
        <w:t>：</w:t>
      </w:r>
    </w:p>
    <w:p w14:paraId="37F7E7BF">
      <w:pPr>
        <w:shd w:val="clea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（姓名）系</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（供应商名称）的法定代表人，现授权委托本单位在职职工 </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（姓名）以我方的名义参加</w:t>
      </w:r>
      <w:r>
        <w:rPr>
          <w:rFonts w:hint="eastAsia" w:asciiTheme="minorEastAsia" w:hAnsiTheme="minorEastAsia" w:eastAsiaTheme="minorEastAsia" w:cstheme="minorEastAsia"/>
          <w:color w:val="auto"/>
          <w:szCs w:val="21"/>
          <w:highlight w:val="none"/>
          <w:u w:val="single"/>
        </w:rPr>
        <w:t xml:space="preserve">                       采购 </w:t>
      </w:r>
      <w:r>
        <w:rPr>
          <w:rFonts w:hint="eastAsia" w:asciiTheme="minorEastAsia" w:hAnsiTheme="minorEastAsia" w:eastAsiaTheme="minorEastAsia" w:cstheme="minorEastAsia"/>
          <w:color w:val="auto"/>
          <w:szCs w:val="21"/>
          <w:highlight w:val="none"/>
        </w:rPr>
        <w:t>项目的磋商采购活动，并代表我方全权办理针对上述项目的磋商、评审、签约等具体事务和签署相关文件。</w:t>
      </w:r>
    </w:p>
    <w:p w14:paraId="3F6B8384">
      <w:pPr>
        <w:shd w:val="clear"/>
        <w:snapToGrid w:val="0"/>
        <w:spacing w:line="360" w:lineRule="auto"/>
        <w:ind w:firstLine="420" w:firstLineChars="200"/>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我方对被授权人的签名事项负全部责任。</w:t>
      </w:r>
    </w:p>
    <w:p w14:paraId="3DC8E681">
      <w:pPr>
        <w:shd w:val="clear"/>
        <w:snapToGrid w:val="0"/>
        <w:spacing w:line="360" w:lineRule="auto"/>
        <w:ind w:firstLine="420" w:firstLineChars="2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在撤销授权的书面通知以前，本授权书一直有效。被授权人在授权书有效期内签署的所有文件不因授权的撤销而失效。</w:t>
      </w:r>
    </w:p>
    <w:p w14:paraId="16C5FB14">
      <w:pPr>
        <w:shd w:val="clear"/>
        <w:snapToGrid w:val="0"/>
        <w:spacing w:line="360" w:lineRule="auto"/>
        <w:ind w:firstLine="48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被授权人无转委托权，特此委托。</w:t>
      </w:r>
    </w:p>
    <w:p w14:paraId="4AA5EEA5">
      <w:pPr>
        <w:shd w:val="clear"/>
        <w:snapToGrid w:val="0"/>
        <w:spacing w:line="360" w:lineRule="auto"/>
        <w:rPr>
          <w:rFonts w:asciiTheme="minorEastAsia" w:hAnsiTheme="minorEastAsia" w:eastAsiaTheme="minorEastAsia" w:cstheme="minorEastAsia"/>
          <w:color w:val="auto"/>
          <w:szCs w:val="21"/>
          <w:highlight w:val="none"/>
        </w:rPr>
      </w:pPr>
    </w:p>
    <w:p w14:paraId="77621A69">
      <w:pPr>
        <w:shd w:val="clear"/>
        <w:snapToGrid w:val="0"/>
        <w:spacing w:line="360" w:lineRule="auto"/>
        <w:rPr>
          <w:rFonts w:asciiTheme="minorEastAsia" w:hAnsiTheme="minorEastAsia" w:eastAsiaTheme="minorEastAsia" w:cstheme="minorEastAsia"/>
          <w:color w:val="auto"/>
          <w:szCs w:val="21"/>
          <w:highlight w:val="none"/>
        </w:rPr>
      </w:pPr>
    </w:p>
    <w:p w14:paraId="76BA0698">
      <w:pPr>
        <w:shd w:val="clear"/>
        <w:snapToGrid w:val="0"/>
        <w:spacing w:line="360" w:lineRule="auto"/>
        <w:rPr>
          <w:rFonts w:asciiTheme="minorEastAsia" w:hAnsiTheme="minorEastAsia" w:eastAsiaTheme="minorEastAsia" w:cstheme="minorEastAsia"/>
          <w:color w:val="auto"/>
          <w:szCs w:val="21"/>
          <w:highlight w:val="none"/>
          <w:u w:val="single"/>
        </w:rPr>
      </w:pPr>
      <w:r>
        <w:rPr>
          <w:rFonts w:hint="eastAsia" w:asciiTheme="minorEastAsia" w:hAnsiTheme="minorEastAsia" w:eastAsiaTheme="minorEastAsia" w:cstheme="minorEastAsia"/>
          <w:color w:val="auto"/>
          <w:szCs w:val="21"/>
          <w:highlight w:val="none"/>
        </w:rPr>
        <w:t>被授权人签名或印章：</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法定代表人签名或印章：</w:t>
      </w:r>
      <w:r>
        <w:rPr>
          <w:rFonts w:hint="eastAsia" w:asciiTheme="minorEastAsia" w:hAnsiTheme="minorEastAsia" w:eastAsiaTheme="minorEastAsia" w:cstheme="minorEastAsia"/>
          <w:color w:val="auto"/>
          <w:szCs w:val="21"/>
          <w:highlight w:val="none"/>
          <w:u w:val="single"/>
        </w:rPr>
        <w:t xml:space="preserve">          </w:t>
      </w:r>
    </w:p>
    <w:p w14:paraId="72A01840">
      <w:pPr>
        <w:shd w:val="clear"/>
        <w:snapToGrid w:val="0"/>
        <w:spacing w:line="360" w:lineRule="auto"/>
        <w:ind w:firstLine="840" w:firstLineChars="40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职务：</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职务：</w:t>
      </w:r>
      <w:r>
        <w:rPr>
          <w:rFonts w:hint="eastAsia" w:asciiTheme="minorEastAsia" w:hAnsiTheme="minorEastAsia" w:eastAsiaTheme="minorEastAsia" w:cstheme="minorEastAsia"/>
          <w:color w:val="auto"/>
          <w:szCs w:val="21"/>
          <w:highlight w:val="none"/>
          <w:u w:val="single"/>
        </w:rPr>
        <w:t xml:space="preserve">           </w:t>
      </w:r>
    </w:p>
    <w:p w14:paraId="6CBBC2AF">
      <w:pPr>
        <w:shd w:val="clea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被授权人身份证号码：</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 xml:space="preserve"> </w:t>
      </w:r>
    </w:p>
    <w:p w14:paraId="0CDB209A">
      <w:pPr>
        <w:shd w:val="clear"/>
        <w:snapToGrid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 xml:space="preserve">                                    </w:t>
      </w:r>
    </w:p>
    <w:p w14:paraId="5A2C9265">
      <w:pPr>
        <w:shd w:val="clear"/>
        <w:snapToGrid w:val="0"/>
        <w:spacing w:line="360" w:lineRule="auto"/>
        <w:rPr>
          <w:rFonts w:asciiTheme="minorEastAsia" w:hAnsiTheme="minorEastAsia" w:eastAsiaTheme="minorEastAsia" w:cstheme="minorEastAsia"/>
          <w:color w:val="auto"/>
          <w:szCs w:val="21"/>
          <w:highlight w:val="none"/>
        </w:rPr>
      </w:pPr>
    </w:p>
    <w:p w14:paraId="70FE5C9E">
      <w:pPr>
        <w:shd w:val="clear"/>
        <w:spacing w:line="360" w:lineRule="auto"/>
        <w:ind w:firstLine="4830" w:firstLineChars="23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供应商（盖章）：</w:t>
      </w:r>
    </w:p>
    <w:p w14:paraId="2F6D1D59">
      <w:pPr>
        <w:shd w:val="clear"/>
        <w:spacing w:line="360" w:lineRule="auto"/>
        <w:ind w:firstLine="1260" w:firstLineChars="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                                  日期：</w:t>
      </w:r>
    </w:p>
    <w:p w14:paraId="6B71669E">
      <w:pPr>
        <w:shd w:val="clear"/>
        <w:spacing w:line="360" w:lineRule="auto"/>
        <w:rPr>
          <w:rFonts w:asciiTheme="minorEastAsia" w:hAnsiTheme="minorEastAsia" w:eastAsiaTheme="minorEastAsia" w:cstheme="minorEastAsia"/>
          <w:b/>
          <w:color w:val="auto"/>
          <w:szCs w:val="21"/>
          <w:highlight w:val="none"/>
        </w:rPr>
      </w:pPr>
    </w:p>
    <w:p w14:paraId="3CEDC34B">
      <w:pPr>
        <w:shd w:val="clear"/>
        <w:spacing w:line="360" w:lineRule="auto"/>
        <w:rPr>
          <w:rFonts w:asciiTheme="minorEastAsia" w:hAnsiTheme="minorEastAsia" w:eastAsiaTheme="minorEastAsia" w:cstheme="minorEastAsia"/>
          <w:b/>
          <w:color w:val="auto"/>
          <w:szCs w:val="21"/>
          <w:highlight w:val="none"/>
        </w:rPr>
      </w:pPr>
    </w:p>
    <w:p w14:paraId="740DC141">
      <w:pPr>
        <w:shd w:val="clear"/>
        <w:spacing w:line="360" w:lineRule="auto"/>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附：法定代表人身份证复印件（正反面）、授权代表身份证复印件（正反面）：</w:t>
      </w:r>
    </w:p>
    <w:p w14:paraId="24CBAACC">
      <w:pPr>
        <w:shd w:val="clear"/>
        <w:snapToGrid w:val="0"/>
        <w:spacing w:line="360" w:lineRule="auto"/>
        <w:rPr>
          <w:rFonts w:asciiTheme="minorEastAsia" w:hAnsiTheme="minorEastAsia" w:eastAsiaTheme="minorEastAsia" w:cstheme="minorEastAsia"/>
          <w:color w:val="auto"/>
          <w:sz w:val="24"/>
          <w:highlight w:val="none"/>
        </w:rPr>
      </w:pPr>
    </w:p>
    <w:p w14:paraId="5BF4292C">
      <w:pPr>
        <w:shd w:val="clear"/>
        <w:spacing w:line="360" w:lineRule="auto"/>
        <w:jc w:val="center"/>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32"/>
          <w:szCs w:val="32"/>
          <w:highlight w:val="none"/>
          <w:lang w:val="zh-CN"/>
        </w:rPr>
        <w:t xml:space="preserve">      </w:t>
      </w:r>
      <w:r>
        <w:rPr>
          <w:rFonts w:hint="eastAsia" w:asciiTheme="minorEastAsia" w:hAnsiTheme="minorEastAsia" w:eastAsiaTheme="minorEastAsia" w:cstheme="minorEastAsia"/>
          <w:b/>
          <w:color w:val="auto"/>
          <w:kern w:val="0"/>
          <w:sz w:val="32"/>
          <w:szCs w:val="32"/>
          <w:highlight w:val="none"/>
        </w:rPr>
        <w:t xml:space="preserve"> </w:t>
      </w:r>
    </w:p>
    <w:p w14:paraId="3A54B516">
      <w:pPr>
        <w:shd w:val="clear"/>
        <w:spacing w:line="360" w:lineRule="auto"/>
        <w:jc w:val="center"/>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供应商基本情况</w:t>
      </w:r>
      <w:bookmarkEnd w:id="386"/>
      <w:bookmarkEnd w:id="387"/>
      <w:bookmarkEnd w:id="388"/>
      <w:bookmarkEnd w:id="389"/>
      <w:bookmarkEnd w:id="390"/>
      <w:bookmarkEnd w:id="391"/>
      <w:r>
        <w:rPr>
          <w:rFonts w:hint="eastAsia" w:asciiTheme="minorEastAsia" w:hAnsiTheme="minorEastAsia" w:eastAsiaTheme="minorEastAsia" w:cstheme="minorEastAsia"/>
          <w:b/>
          <w:color w:val="auto"/>
          <w:kern w:val="0"/>
          <w:sz w:val="32"/>
          <w:szCs w:val="32"/>
          <w:highlight w:val="none"/>
          <w:lang w:val="zh-CN"/>
        </w:rPr>
        <w:t>表</w:t>
      </w:r>
    </w:p>
    <w:tbl>
      <w:tblPr>
        <w:tblStyle w:val="26"/>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1401B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7A8543A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供应商名称</w:t>
            </w:r>
          </w:p>
        </w:tc>
        <w:tc>
          <w:tcPr>
            <w:tcW w:w="7647" w:type="dxa"/>
            <w:gridSpan w:val="5"/>
            <w:vAlign w:val="center"/>
          </w:tcPr>
          <w:p w14:paraId="189A39B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87E0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BE30E1D">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注册地址</w:t>
            </w:r>
          </w:p>
        </w:tc>
        <w:tc>
          <w:tcPr>
            <w:tcW w:w="2809" w:type="dxa"/>
            <w:gridSpan w:val="2"/>
            <w:vAlign w:val="center"/>
          </w:tcPr>
          <w:p w14:paraId="2141D98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432FFFA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成立时间</w:t>
            </w:r>
          </w:p>
        </w:tc>
        <w:tc>
          <w:tcPr>
            <w:tcW w:w="3052" w:type="dxa"/>
            <w:gridSpan w:val="2"/>
            <w:vAlign w:val="center"/>
          </w:tcPr>
          <w:p w14:paraId="04B9CFF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D1D5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EC2699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统一信用代码</w:t>
            </w:r>
          </w:p>
        </w:tc>
        <w:tc>
          <w:tcPr>
            <w:tcW w:w="2809" w:type="dxa"/>
            <w:gridSpan w:val="2"/>
            <w:vAlign w:val="center"/>
          </w:tcPr>
          <w:p w14:paraId="16A92FA3">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65822A5C">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注册资金</w:t>
            </w:r>
          </w:p>
        </w:tc>
        <w:tc>
          <w:tcPr>
            <w:tcW w:w="3052" w:type="dxa"/>
            <w:gridSpan w:val="2"/>
            <w:vAlign w:val="center"/>
          </w:tcPr>
          <w:p w14:paraId="295C955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597A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658E39C">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供应商授权代表联系人姓名</w:t>
            </w:r>
          </w:p>
        </w:tc>
        <w:tc>
          <w:tcPr>
            <w:tcW w:w="1936" w:type="dxa"/>
            <w:vAlign w:val="center"/>
          </w:tcPr>
          <w:p w14:paraId="4171695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2A6CDB81">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34F4F63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7FEA45E1">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4F05221F">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B893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0BA03B2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法定代表人姓名</w:t>
            </w:r>
          </w:p>
        </w:tc>
        <w:tc>
          <w:tcPr>
            <w:tcW w:w="1936" w:type="dxa"/>
            <w:vAlign w:val="center"/>
          </w:tcPr>
          <w:p w14:paraId="58546DBA">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111AB9F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44A6DF6F">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23673BD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手机</w:t>
            </w:r>
          </w:p>
        </w:tc>
        <w:tc>
          <w:tcPr>
            <w:tcW w:w="1852" w:type="dxa"/>
            <w:vAlign w:val="center"/>
          </w:tcPr>
          <w:p w14:paraId="517374C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07BA3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0AC9CB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项目负责人姓名</w:t>
            </w:r>
          </w:p>
        </w:tc>
        <w:tc>
          <w:tcPr>
            <w:tcW w:w="1936" w:type="dxa"/>
            <w:vAlign w:val="center"/>
          </w:tcPr>
          <w:p w14:paraId="6317B088">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Align w:val="center"/>
          </w:tcPr>
          <w:p w14:paraId="1AC9ACE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电话</w:t>
            </w:r>
          </w:p>
        </w:tc>
        <w:tc>
          <w:tcPr>
            <w:tcW w:w="1786" w:type="dxa"/>
            <w:vAlign w:val="center"/>
          </w:tcPr>
          <w:p w14:paraId="1EAA73C5">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200" w:type="dxa"/>
            <w:vAlign w:val="center"/>
          </w:tcPr>
          <w:p w14:paraId="4E5FB588">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技术职称</w:t>
            </w:r>
          </w:p>
        </w:tc>
        <w:tc>
          <w:tcPr>
            <w:tcW w:w="1852" w:type="dxa"/>
            <w:vAlign w:val="center"/>
          </w:tcPr>
          <w:p w14:paraId="0CA177B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1820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4424D96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936" w:type="dxa"/>
            <w:vMerge w:val="restart"/>
            <w:vAlign w:val="center"/>
          </w:tcPr>
          <w:p w14:paraId="3B327029">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restart"/>
            <w:vAlign w:val="center"/>
          </w:tcPr>
          <w:p w14:paraId="7E8FE07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w:t>
            </w:r>
          </w:p>
        </w:tc>
        <w:tc>
          <w:tcPr>
            <w:tcW w:w="1786" w:type="dxa"/>
            <w:vAlign w:val="center"/>
          </w:tcPr>
          <w:p w14:paraId="2A2C47D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高级职称</w:t>
            </w:r>
          </w:p>
        </w:tc>
        <w:tc>
          <w:tcPr>
            <w:tcW w:w="3052" w:type="dxa"/>
            <w:gridSpan w:val="2"/>
            <w:vAlign w:val="center"/>
          </w:tcPr>
          <w:p w14:paraId="28DDDC1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7E1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3F0A7755">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1441B51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669AC7B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095B0EA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中级职称</w:t>
            </w:r>
          </w:p>
        </w:tc>
        <w:tc>
          <w:tcPr>
            <w:tcW w:w="3052" w:type="dxa"/>
            <w:gridSpan w:val="2"/>
            <w:vAlign w:val="center"/>
          </w:tcPr>
          <w:p w14:paraId="292C2F68">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DE9A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31CB6AA9">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936" w:type="dxa"/>
            <w:vMerge w:val="continue"/>
            <w:vAlign w:val="center"/>
          </w:tcPr>
          <w:p w14:paraId="4DFA25FD">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873" w:type="dxa"/>
            <w:vMerge w:val="continue"/>
            <w:vAlign w:val="center"/>
          </w:tcPr>
          <w:p w14:paraId="29347FFD">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786" w:type="dxa"/>
            <w:vAlign w:val="center"/>
          </w:tcPr>
          <w:p w14:paraId="42D1132C">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各类注册人员</w:t>
            </w:r>
          </w:p>
        </w:tc>
        <w:tc>
          <w:tcPr>
            <w:tcW w:w="3052" w:type="dxa"/>
            <w:gridSpan w:val="2"/>
            <w:vAlign w:val="center"/>
          </w:tcPr>
          <w:p w14:paraId="2233E8BA">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A435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6BC8E6D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基本账户开户银行</w:t>
            </w:r>
          </w:p>
        </w:tc>
        <w:tc>
          <w:tcPr>
            <w:tcW w:w="7647" w:type="dxa"/>
            <w:gridSpan w:val="5"/>
            <w:vAlign w:val="center"/>
          </w:tcPr>
          <w:p w14:paraId="405B904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87E6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E01557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基本账户账号</w:t>
            </w:r>
          </w:p>
        </w:tc>
        <w:tc>
          <w:tcPr>
            <w:tcW w:w="7647" w:type="dxa"/>
            <w:gridSpan w:val="5"/>
            <w:vAlign w:val="center"/>
          </w:tcPr>
          <w:p w14:paraId="7FAB683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6FE0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551630AD">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经营范围</w:t>
            </w:r>
          </w:p>
        </w:tc>
        <w:tc>
          <w:tcPr>
            <w:tcW w:w="7647" w:type="dxa"/>
            <w:gridSpan w:val="5"/>
            <w:vAlign w:val="center"/>
          </w:tcPr>
          <w:p w14:paraId="5735A05A">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4C69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2D184A4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w:t>
            </w:r>
          </w:p>
        </w:tc>
        <w:tc>
          <w:tcPr>
            <w:tcW w:w="7647" w:type="dxa"/>
            <w:gridSpan w:val="5"/>
            <w:vAlign w:val="center"/>
          </w:tcPr>
          <w:p w14:paraId="02527B0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5F87B859">
      <w:pPr>
        <w:shd w:val="clear"/>
        <w:adjustRightInd w:val="0"/>
        <w:snapToGrid w:val="0"/>
        <w:spacing w:line="360" w:lineRule="auto"/>
        <w:ind w:firstLine="482" w:firstLineChars="200"/>
        <w:rPr>
          <w:rFonts w:asciiTheme="minorEastAsia" w:hAnsiTheme="minorEastAsia" w:eastAsiaTheme="minorEastAsia" w:cstheme="minorEastAsia"/>
          <w:b/>
          <w:bCs/>
          <w:color w:val="auto"/>
          <w:kern w:val="0"/>
          <w:sz w:val="24"/>
          <w:highlight w:val="none"/>
          <w:lang w:val="zh-CN"/>
        </w:rPr>
      </w:pPr>
      <w:r>
        <w:rPr>
          <w:rFonts w:hint="eastAsia" w:asciiTheme="minorEastAsia" w:hAnsiTheme="minorEastAsia" w:eastAsiaTheme="minorEastAsia" w:cstheme="minorEastAsia"/>
          <w:b/>
          <w:bCs/>
          <w:color w:val="auto"/>
          <w:kern w:val="0"/>
          <w:sz w:val="24"/>
          <w:highlight w:val="none"/>
          <w:lang w:val="zh-CN"/>
        </w:rPr>
        <w:t>兹证明上述声明是真实、正确的，并提供了全部能提供的资料和数据，我们同意遵照贵方要求出示有关证明文件。</w:t>
      </w:r>
    </w:p>
    <w:p w14:paraId="07EBAB75">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p w14:paraId="33090E8B">
      <w:pPr>
        <w:pStyle w:val="2"/>
        <w:shd w:val="clear"/>
        <w:spacing w:line="360" w:lineRule="auto"/>
        <w:ind w:firstLine="560"/>
        <w:rPr>
          <w:rFonts w:asciiTheme="minorEastAsia" w:hAnsiTheme="minorEastAsia" w:eastAsiaTheme="minorEastAsia" w:cstheme="minorEastAsia"/>
          <w:color w:val="auto"/>
          <w:highlight w:val="none"/>
          <w:lang w:val="zh-CN"/>
        </w:rPr>
      </w:pPr>
    </w:p>
    <w:p w14:paraId="66F35EE4">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587EF79E">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1381826C">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0544CE32">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距采购人最近或者能为本项目提供最优服务的网点情况表</w:t>
      </w:r>
    </w:p>
    <w:p w14:paraId="7965655E">
      <w:pPr>
        <w:shd w:val="clear"/>
        <w:spacing w:line="360" w:lineRule="auto"/>
        <w:rPr>
          <w:rFonts w:asciiTheme="minorEastAsia" w:hAnsiTheme="minorEastAsia" w:eastAsiaTheme="minorEastAsia" w:cstheme="minorEastAsia"/>
          <w:color w:val="auto"/>
          <w:highlight w:val="none"/>
        </w:rPr>
      </w:pPr>
    </w:p>
    <w:tbl>
      <w:tblPr>
        <w:tblStyle w:val="26"/>
        <w:tblW w:w="92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95"/>
        <w:gridCol w:w="1780"/>
        <w:gridCol w:w="209"/>
        <w:gridCol w:w="1581"/>
        <w:gridCol w:w="971"/>
        <w:gridCol w:w="2849"/>
      </w:tblGrid>
      <w:tr w14:paraId="44B3EA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08BCEEB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服务网点名称</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4DAC5C3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306951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D746FDD">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地址</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7B874A2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D30C1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639A3C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注册资本金</w:t>
            </w:r>
          </w:p>
        </w:tc>
        <w:tc>
          <w:tcPr>
            <w:tcW w:w="1780" w:type="dxa"/>
            <w:tcBorders>
              <w:top w:val="single" w:color="auto" w:sz="4" w:space="0"/>
              <w:left w:val="single" w:color="auto" w:sz="4" w:space="0"/>
              <w:bottom w:val="single" w:color="auto" w:sz="4" w:space="0"/>
              <w:right w:val="single" w:color="auto" w:sz="4" w:space="0"/>
            </w:tcBorders>
            <w:vAlign w:val="center"/>
          </w:tcPr>
          <w:p w14:paraId="7D17D9C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49A5550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其中：供应商出资比例</w:t>
            </w:r>
          </w:p>
        </w:tc>
        <w:tc>
          <w:tcPr>
            <w:tcW w:w="2849" w:type="dxa"/>
            <w:tcBorders>
              <w:top w:val="single" w:color="auto" w:sz="4" w:space="0"/>
              <w:left w:val="single" w:color="auto" w:sz="4" w:space="0"/>
              <w:bottom w:val="single" w:color="auto" w:sz="4" w:space="0"/>
              <w:right w:val="single" w:color="auto" w:sz="4" w:space="0"/>
            </w:tcBorders>
            <w:vAlign w:val="center"/>
          </w:tcPr>
          <w:p w14:paraId="0C6325A8">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17CF54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CF758F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员工总人数</w:t>
            </w:r>
          </w:p>
        </w:tc>
        <w:tc>
          <w:tcPr>
            <w:tcW w:w="1780" w:type="dxa"/>
            <w:tcBorders>
              <w:top w:val="single" w:color="auto" w:sz="4" w:space="0"/>
              <w:left w:val="single" w:color="auto" w:sz="4" w:space="0"/>
              <w:bottom w:val="single" w:color="auto" w:sz="4" w:space="0"/>
              <w:right w:val="single" w:color="auto" w:sz="4" w:space="0"/>
            </w:tcBorders>
            <w:vAlign w:val="center"/>
          </w:tcPr>
          <w:p w14:paraId="663E259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1331A90F">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其中：技术人员数</w:t>
            </w:r>
          </w:p>
        </w:tc>
        <w:tc>
          <w:tcPr>
            <w:tcW w:w="2849" w:type="dxa"/>
            <w:tcBorders>
              <w:top w:val="single" w:color="auto" w:sz="4" w:space="0"/>
              <w:left w:val="single" w:color="auto" w:sz="4" w:space="0"/>
              <w:bottom w:val="single" w:color="auto" w:sz="4" w:space="0"/>
              <w:right w:val="single" w:color="auto" w:sz="4" w:space="0"/>
            </w:tcBorders>
            <w:vAlign w:val="center"/>
          </w:tcPr>
          <w:p w14:paraId="339FEACE">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9F650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8CF1A73">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经营期限</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569AD81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28C5EF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70A78B1">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售后服务协议</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2338503C">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343E1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58AB7239">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售后服务内容</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9F9BB2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5E9D13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4F553A74">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工作业绩</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627B44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6AB03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6F7EFF9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服务承诺</w:t>
            </w:r>
          </w:p>
        </w:tc>
        <w:tc>
          <w:tcPr>
            <w:tcW w:w="7390" w:type="dxa"/>
            <w:gridSpan w:val="5"/>
            <w:tcBorders>
              <w:top w:val="single" w:color="auto" w:sz="4" w:space="0"/>
              <w:left w:val="single" w:color="auto" w:sz="4" w:space="0"/>
              <w:bottom w:val="single" w:color="auto" w:sz="4" w:space="0"/>
              <w:right w:val="single" w:color="auto" w:sz="4" w:space="0"/>
            </w:tcBorders>
            <w:vAlign w:val="center"/>
          </w:tcPr>
          <w:p w14:paraId="022BDACB">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4C9F4F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373C4038">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业务咨询电话</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46702A8F">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684D447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传 真</w:t>
            </w:r>
          </w:p>
        </w:tc>
        <w:tc>
          <w:tcPr>
            <w:tcW w:w="3820" w:type="dxa"/>
            <w:gridSpan w:val="2"/>
            <w:tcBorders>
              <w:top w:val="single" w:color="auto" w:sz="4" w:space="0"/>
              <w:left w:val="single" w:color="auto" w:sz="2" w:space="0"/>
              <w:bottom w:val="single" w:color="auto" w:sz="4" w:space="0"/>
              <w:right w:val="single" w:color="auto" w:sz="2" w:space="0"/>
            </w:tcBorders>
            <w:vAlign w:val="center"/>
          </w:tcPr>
          <w:p w14:paraId="61635283">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r w14:paraId="70134C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95" w:type="dxa"/>
            <w:tcBorders>
              <w:top w:val="single" w:color="auto" w:sz="4" w:space="0"/>
              <w:left w:val="single" w:color="auto" w:sz="4" w:space="0"/>
              <w:bottom w:val="single" w:color="auto" w:sz="4" w:space="0"/>
              <w:right w:val="single" w:color="auto" w:sz="4" w:space="0"/>
            </w:tcBorders>
            <w:vAlign w:val="center"/>
          </w:tcPr>
          <w:p w14:paraId="7C80CDD2">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负责人</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0B7D5530">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046CD0FA">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联系电话</w:t>
            </w:r>
          </w:p>
        </w:tc>
        <w:tc>
          <w:tcPr>
            <w:tcW w:w="3820" w:type="dxa"/>
            <w:gridSpan w:val="2"/>
            <w:tcBorders>
              <w:top w:val="single" w:color="auto" w:sz="4" w:space="0"/>
              <w:left w:val="single" w:color="auto" w:sz="2" w:space="0"/>
              <w:bottom w:val="single" w:color="auto" w:sz="4" w:space="0"/>
              <w:right w:val="single" w:color="auto" w:sz="4" w:space="0"/>
            </w:tcBorders>
            <w:vAlign w:val="center"/>
          </w:tcPr>
          <w:p w14:paraId="0A99EE67">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p>
        </w:tc>
      </w:tr>
    </w:tbl>
    <w:p w14:paraId="3A20029F">
      <w:pPr>
        <w:shd w:val="clear"/>
        <w:spacing w:line="360" w:lineRule="auto"/>
        <w:rPr>
          <w:rFonts w:asciiTheme="minorEastAsia" w:hAnsiTheme="minorEastAsia" w:eastAsiaTheme="minorEastAsia" w:cstheme="minorEastAsia"/>
          <w:color w:val="auto"/>
          <w:highlight w:val="none"/>
        </w:rPr>
      </w:pPr>
    </w:p>
    <w:p w14:paraId="2175675D">
      <w:pPr>
        <w:shd w:val="clear"/>
        <w:spacing w:line="360" w:lineRule="auto"/>
        <w:rPr>
          <w:rFonts w:asciiTheme="minorEastAsia" w:hAnsiTheme="minorEastAsia" w:eastAsiaTheme="minorEastAsia" w:cstheme="minorEastAsia"/>
          <w:color w:val="auto"/>
          <w:highlight w:val="none"/>
        </w:rPr>
      </w:pPr>
    </w:p>
    <w:p w14:paraId="38963996">
      <w:pPr>
        <w:shd w:val="clear"/>
        <w:adjustRightInd w:val="0"/>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highlight w:val="none"/>
        </w:rPr>
        <w:t xml:space="preserve">       </w:t>
      </w:r>
    </w:p>
    <w:p w14:paraId="21B48863">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C18A8B2">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3A36A9E5">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7E082335">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评审标准相应的商务技术资料</w:t>
      </w:r>
    </w:p>
    <w:p w14:paraId="550BDEC3">
      <w:pPr>
        <w:shd w:val="clear"/>
        <w:snapToGrid w:val="0"/>
        <w:spacing w:line="360" w:lineRule="auto"/>
        <w:jc w:val="left"/>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（按采购文件第四部分评审办法前附表中“响应文件中评审标准相应的商务技术资料目录”提供资料）</w:t>
      </w:r>
    </w:p>
    <w:p w14:paraId="24823AB3">
      <w:pPr>
        <w:pStyle w:val="33"/>
        <w:shd w:val="clear"/>
        <w:rPr>
          <w:color w:val="auto"/>
          <w:highlight w:val="none"/>
        </w:rPr>
      </w:pPr>
    </w:p>
    <w:p w14:paraId="575AFB58">
      <w:pPr>
        <w:pStyle w:val="33"/>
        <w:shd w:val="clear"/>
        <w:rPr>
          <w:color w:val="auto"/>
          <w:highlight w:val="none"/>
        </w:rPr>
      </w:pPr>
    </w:p>
    <w:p w14:paraId="335A9333">
      <w:pPr>
        <w:pStyle w:val="33"/>
        <w:shd w:val="clear"/>
        <w:rPr>
          <w:color w:val="auto"/>
          <w:highlight w:val="none"/>
        </w:rPr>
      </w:pPr>
    </w:p>
    <w:p w14:paraId="53D653DA">
      <w:pPr>
        <w:pStyle w:val="33"/>
        <w:shd w:val="clear"/>
        <w:rPr>
          <w:color w:val="auto"/>
          <w:highlight w:val="none"/>
        </w:rPr>
      </w:pPr>
    </w:p>
    <w:p w14:paraId="352BA5F1">
      <w:pPr>
        <w:pStyle w:val="33"/>
        <w:shd w:val="clear"/>
        <w:rPr>
          <w:color w:val="auto"/>
          <w:highlight w:val="none"/>
        </w:rPr>
      </w:pPr>
    </w:p>
    <w:p w14:paraId="3CB79D5D">
      <w:pPr>
        <w:pStyle w:val="33"/>
        <w:shd w:val="clear"/>
        <w:rPr>
          <w:color w:val="auto"/>
          <w:highlight w:val="none"/>
        </w:rPr>
      </w:pPr>
    </w:p>
    <w:p w14:paraId="3743C45B">
      <w:pPr>
        <w:pStyle w:val="33"/>
        <w:shd w:val="clear"/>
        <w:rPr>
          <w:color w:val="auto"/>
          <w:highlight w:val="none"/>
        </w:rPr>
      </w:pPr>
    </w:p>
    <w:p w14:paraId="7DBDA8F2">
      <w:pPr>
        <w:pStyle w:val="33"/>
        <w:shd w:val="clear"/>
        <w:rPr>
          <w:color w:val="auto"/>
          <w:highlight w:val="none"/>
        </w:rPr>
      </w:pPr>
    </w:p>
    <w:p w14:paraId="6DB76528">
      <w:pPr>
        <w:pStyle w:val="33"/>
        <w:shd w:val="clear"/>
        <w:rPr>
          <w:color w:val="auto"/>
          <w:highlight w:val="none"/>
        </w:rPr>
      </w:pPr>
    </w:p>
    <w:p w14:paraId="58C75FEF">
      <w:pPr>
        <w:pStyle w:val="33"/>
        <w:shd w:val="clear"/>
        <w:rPr>
          <w:color w:val="auto"/>
          <w:highlight w:val="none"/>
        </w:rPr>
      </w:pPr>
    </w:p>
    <w:p w14:paraId="7667F311">
      <w:pPr>
        <w:pStyle w:val="33"/>
        <w:shd w:val="clear"/>
        <w:rPr>
          <w:color w:val="auto"/>
          <w:highlight w:val="none"/>
        </w:rPr>
      </w:pPr>
    </w:p>
    <w:p w14:paraId="594C6168">
      <w:pPr>
        <w:pStyle w:val="33"/>
        <w:shd w:val="clear"/>
        <w:rPr>
          <w:color w:val="auto"/>
          <w:highlight w:val="none"/>
        </w:rPr>
      </w:pPr>
    </w:p>
    <w:p w14:paraId="558B2065">
      <w:pPr>
        <w:pStyle w:val="33"/>
        <w:shd w:val="clear"/>
        <w:rPr>
          <w:color w:val="auto"/>
          <w:highlight w:val="none"/>
        </w:rPr>
      </w:pPr>
    </w:p>
    <w:p w14:paraId="7542FB6C">
      <w:pPr>
        <w:pStyle w:val="33"/>
        <w:shd w:val="clear"/>
        <w:rPr>
          <w:color w:val="auto"/>
          <w:highlight w:val="none"/>
        </w:rPr>
      </w:pPr>
    </w:p>
    <w:p w14:paraId="5F1339FF">
      <w:pPr>
        <w:pStyle w:val="33"/>
        <w:shd w:val="clear"/>
        <w:rPr>
          <w:color w:val="auto"/>
          <w:highlight w:val="none"/>
        </w:rPr>
      </w:pPr>
    </w:p>
    <w:p w14:paraId="1F4F5F84">
      <w:pPr>
        <w:pStyle w:val="33"/>
        <w:shd w:val="clear"/>
        <w:rPr>
          <w:color w:val="auto"/>
          <w:highlight w:val="none"/>
        </w:rPr>
      </w:pPr>
    </w:p>
    <w:p w14:paraId="4BDE2470">
      <w:pPr>
        <w:pStyle w:val="33"/>
        <w:shd w:val="clear"/>
        <w:rPr>
          <w:color w:val="auto"/>
          <w:highlight w:val="none"/>
        </w:rPr>
      </w:pPr>
    </w:p>
    <w:p w14:paraId="148CDFB5">
      <w:pPr>
        <w:pStyle w:val="33"/>
        <w:shd w:val="clear"/>
        <w:rPr>
          <w:color w:val="auto"/>
          <w:highlight w:val="none"/>
        </w:rPr>
      </w:pPr>
    </w:p>
    <w:p w14:paraId="0B02F9D8">
      <w:pPr>
        <w:pStyle w:val="33"/>
        <w:shd w:val="clear"/>
        <w:rPr>
          <w:color w:val="auto"/>
          <w:highlight w:val="none"/>
        </w:rPr>
      </w:pPr>
    </w:p>
    <w:p w14:paraId="347AFA81">
      <w:pPr>
        <w:pStyle w:val="33"/>
        <w:shd w:val="clear"/>
        <w:rPr>
          <w:color w:val="auto"/>
          <w:highlight w:val="none"/>
        </w:rPr>
      </w:pPr>
    </w:p>
    <w:p w14:paraId="4E6BC2E6">
      <w:pPr>
        <w:pStyle w:val="33"/>
        <w:shd w:val="clear"/>
        <w:rPr>
          <w:color w:val="auto"/>
          <w:highlight w:val="none"/>
        </w:rPr>
      </w:pPr>
    </w:p>
    <w:p w14:paraId="7EE99463">
      <w:pPr>
        <w:pStyle w:val="33"/>
        <w:shd w:val="clear"/>
        <w:rPr>
          <w:color w:val="auto"/>
          <w:highlight w:val="none"/>
        </w:rPr>
      </w:pPr>
    </w:p>
    <w:p w14:paraId="50331D18">
      <w:pPr>
        <w:pStyle w:val="33"/>
        <w:shd w:val="clear"/>
        <w:rPr>
          <w:color w:val="auto"/>
          <w:highlight w:val="none"/>
        </w:rPr>
      </w:pPr>
    </w:p>
    <w:p w14:paraId="41784DC4">
      <w:pPr>
        <w:pStyle w:val="33"/>
        <w:shd w:val="clear"/>
        <w:rPr>
          <w:color w:val="auto"/>
          <w:highlight w:val="none"/>
        </w:rPr>
      </w:pPr>
    </w:p>
    <w:p w14:paraId="27504846">
      <w:pPr>
        <w:pStyle w:val="33"/>
        <w:shd w:val="clear"/>
        <w:rPr>
          <w:color w:val="auto"/>
          <w:highlight w:val="none"/>
        </w:rPr>
      </w:pPr>
    </w:p>
    <w:p w14:paraId="685916D6">
      <w:pPr>
        <w:pStyle w:val="33"/>
        <w:shd w:val="clear"/>
        <w:rPr>
          <w:color w:val="auto"/>
          <w:highlight w:val="none"/>
        </w:rPr>
      </w:pPr>
    </w:p>
    <w:p w14:paraId="07403697">
      <w:pPr>
        <w:pStyle w:val="33"/>
        <w:shd w:val="clear"/>
        <w:rPr>
          <w:color w:val="auto"/>
          <w:highlight w:val="none"/>
        </w:rPr>
      </w:pPr>
    </w:p>
    <w:p w14:paraId="0A0B4E88">
      <w:pPr>
        <w:pStyle w:val="33"/>
        <w:shd w:val="clear"/>
        <w:rPr>
          <w:color w:val="auto"/>
          <w:highlight w:val="none"/>
        </w:rPr>
      </w:pPr>
    </w:p>
    <w:p w14:paraId="08EBC902">
      <w:pPr>
        <w:pStyle w:val="33"/>
        <w:shd w:val="clear"/>
        <w:rPr>
          <w:color w:val="auto"/>
          <w:highlight w:val="none"/>
        </w:rPr>
      </w:pPr>
    </w:p>
    <w:p w14:paraId="23276B6C">
      <w:pPr>
        <w:pStyle w:val="33"/>
        <w:shd w:val="clear"/>
        <w:rPr>
          <w:color w:val="auto"/>
          <w:highlight w:val="none"/>
        </w:rPr>
      </w:pPr>
    </w:p>
    <w:p w14:paraId="1D24C64D">
      <w:pPr>
        <w:pStyle w:val="33"/>
        <w:shd w:val="clear"/>
        <w:rPr>
          <w:color w:val="auto"/>
          <w:highlight w:val="none"/>
        </w:rPr>
      </w:pPr>
    </w:p>
    <w:p w14:paraId="2CD5A3D8">
      <w:pPr>
        <w:pStyle w:val="33"/>
        <w:shd w:val="clear"/>
        <w:rPr>
          <w:color w:val="auto"/>
          <w:highlight w:val="none"/>
        </w:rPr>
      </w:pPr>
    </w:p>
    <w:p w14:paraId="42717CD5">
      <w:pPr>
        <w:pStyle w:val="33"/>
        <w:shd w:val="clear"/>
        <w:rPr>
          <w:color w:val="auto"/>
          <w:highlight w:val="none"/>
        </w:rPr>
      </w:pPr>
    </w:p>
    <w:p w14:paraId="50B70A1C">
      <w:pPr>
        <w:pStyle w:val="33"/>
        <w:shd w:val="clear"/>
        <w:rPr>
          <w:color w:val="auto"/>
          <w:highlight w:val="none"/>
        </w:rPr>
      </w:pPr>
    </w:p>
    <w:p w14:paraId="381F20CA">
      <w:pPr>
        <w:pStyle w:val="33"/>
        <w:shd w:val="clear"/>
        <w:rPr>
          <w:color w:val="auto"/>
          <w:highlight w:val="none"/>
        </w:rPr>
      </w:pPr>
    </w:p>
    <w:p w14:paraId="36A511B7">
      <w:pPr>
        <w:pStyle w:val="33"/>
        <w:shd w:val="clear"/>
        <w:rPr>
          <w:color w:val="auto"/>
          <w:highlight w:val="none"/>
        </w:rPr>
      </w:pPr>
    </w:p>
    <w:p w14:paraId="0E138C99">
      <w:pPr>
        <w:pStyle w:val="33"/>
        <w:shd w:val="clear"/>
        <w:rPr>
          <w:color w:val="auto"/>
          <w:highlight w:val="none"/>
        </w:rPr>
      </w:pPr>
    </w:p>
    <w:p w14:paraId="4A32AE8C">
      <w:pPr>
        <w:pStyle w:val="33"/>
        <w:shd w:val="clear"/>
        <w:rPr>
          <w:color w:val="auto"/>
          <w:highlight w:val="none"/>
        </w:rPr>
      </w:pPr>
    </w:p>
    <w:p w14:paraId="6A13626E">
      <w:pPr>
        <w:pStyle w:val="33"/>
        <w:shd w:val="clear"/>
        <w:rPr>
          <w:color w:val="auto"/>
          <w:highlight w:val="none"/>
        </w:rPr>
      </w:pPr>
    </w:p>
    <w:p w14:paraId="43517233">
      <w:pPr>
        <w:pStyle w:val="33"/>
        <w:shd w:val="clear"/>
        <w:rPr>
          <w:color w:val="auto"/>
          <w:highlight w:val="none"/>
        </w:rPr>
      </w:pPr>
    </w:p>
    <w:p w14:paraId="77B9706F">
      <w:pPr>
        <w:pStyle w:val="33"/>
        <w:shd w:val="clear"/>
        <w:rPr>
          <w:color w:val="auto"/>
          <w:highlight w:val="none"/>
        </w:rPr>
      </w:pPr>
    </w:p>
    <w:p w14:paraId="020651FF">
      <w:pPr>
        <w:pStyle w:val="33"/>
        <w:shd w:val="clear"/>
        <w:rPr>
          <w:color w:val="auto"/>
          <w:highlight w:val="none"/>
        </w:rPr>
      </w:pPr>
    </w:p>
    <w:p w14:paraId="2E5AE97E">
      <w:pPr>
        <w:pStyle w:val="33"/>
        <w:shd w:val="clear"/>
        <w:rPr>
          <w:color w:val="auto"/>
          <w:highlight w:val="none"/>
        </w:rPr>
      </w:pPr>
    </w:p>
    <w:p w14:paraId="10B020B9">
      <w:pPr>
        <w:pStyle w:val="33"/>
        <w:shd w:val="clear"/>
        <w:rPr>
          <w:color w:val="auto"/>
          <w:highlight w:val="none"/>
        </w:rPr>
      </w:pPr>
    </w:p>
    <w:p w14:paraId="0E26412B">
      <w:pPr>
        <w:pStyle w:val="33"/>
        <w:shd w:val="clear"/>
        <w:rPr>
          <w:color w:val="auto"/>
          <w:highlight w:val="none"/>
        </w:rPr>
      </w:pPr>
    </w:p>
    <w:p w14:paraId="6B73C917">
      <w:pPr>
        <w:pStyle w:val="2"/>
        <w:shd w:val="clear"/>
        <w:ind w:firstLine="560"/>
        <w:rPr>
          <w:rFonts w:asciiTheme="minorEastAsia" w:hAnsiTheme="minorEastAsia" w:eastAsiaTheme="minorEastAsia" w:cstheme="minorEastAsia"/>
          <w:color w:val="auto"/>
          <w:highlight w:val="none"/>
          <w:lang w:val="zh-CN"/>
        </w:rPr>
      </w:pPr>
    </w:p>
    <w:p w14:paraId="1C23D151">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商务</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tbl>
      <w:tblPr>
        <w:tblStyle w:val="26"/>
        <w:tblW w:w="5478" w:type="pct"/>
        <w:tblInd w:w="-2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2"/>
        <w:gridCol w:w="7045"/>
        <w:gridCol w:w="1148"/>
        <w:gridCol w:w="1279"/>
      </w:tblGrid>
      <w:tr w14:paraId="1E7D0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5" w:type="pct"/>
            <w:vAlign w:val="center"/>
          </w:tcPr>
          <w:p w14:paraId="4F81E1F1">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序号</w:t>
            </w:r>
          </w:p>
        </w:tc>
        <w:tc>
          <w:tcPr>
            <w:tcW w:w="3460" w:type="pct"/>
            <w:vAlign w:val="center"/>
          </w:tcPr>
          <w:p w14:paraId="3685EF62">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商务条款要求</w:t>
            </w:r>
          </w:p>
        </w:tc>
        <w:tc>
          <w:tcPr>
            <w:tcW w:w="564" w:type="pct"/>
            <w:vAlign w:val="center"/>
          </w:tcPr>
          <w:p w14:paraId="1C0B3777">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是否响应</w:t>
            </w:r>
          </w:p>
        </w:tc>
        <w:tc>
          <w:tcPr>
            <w:tcW w:w="628" w:type="pct"/>
            <w:vAlign w:val="center"/>
          </w:tcPr>
          <w:p w14:paraId="69E2A8EF">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优于情况说明（如有）</w:t>
            </w:r>
          </w:p>
        </w:tc>
      </w:tr>
      <w:tr w14:paraId="22F3B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1" w:hRule="atLeast"/>
        </w:trPr>
        <w:tc>
          <w:tcPr>
            <w:tcW w:w="345" w:type="pct"/>
            <w:vAlign w:val="center"/>
          </w:tcPr>
          <w:p w14:paraId="4DB72C64">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1</w:t>
            </w:r>
          </w:p>
        </w:tc>
        <w:tc>
          <w:tcPr>
            <w:tcW w:w="3460" w:type="pct"/>
            <w:vAlign w:val="center"/>
          </w:tcPr>
          <w:p w14:paraId="5E7AA9D5">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金额：人民币8000元整；</w:t>
            </w:r>
          </w:p>
          <w:p w14:paraId="646221DB">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形式：支票、汇票、本票或者金融机构、担保机构出具的保函等非现金形式提交；</w:t>
            </w:r>
          </w:p>
          <w:p w14:paraId="7E89A603">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时间：在签订合同后15个工作日内提交。</w:t>
            </w:r>
          </w:p>
          <w:p w14:paraId="48AE8FEF">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履约保证金的退还：如果成交供应商不履行合同，履约保证金不予退还；如果成交供应商未能按合同约定全面履行义务，那么采购人有权从履约保证金中取得补偿或赔偿，同时不影响采购人要求成交供应商承担合同约定的超过履约保证金的违约责任的权利。</w:t>
            </w:r>
          </w:p>
        </w:tc>
        <w:tc>
          <w:tcPr>
            <w:tcW w:w="564" w:type="pct"/>
          </w:tcPr>
          <w:p w14:paraId="0700941B">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5290BD29">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38B44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345" w:type="pct"/>
            <w:vAlign w:val="center"/>
          </w:tcPr>
          <w:p w14:paraId="3041437A">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2</w:t>
            </w:r>
          </w:p>
        </w:tc>
        <w:tc>
          <w:tcPr>
            <w:tcW w:w="3460" w:type="pct"/>
            <w:vAlign w:val="center"/>
          </w:tcPr>
          <w:p w14:paraId="1445ED20">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Hans"/>
              </w:rPr>
              <w:t>采购内容</w:t>
            </w:r>
            <w:r>
              <w:rPr>
                <w:rFonts w:hint="eastAsia" w:ascii="Times New Roman" w:hAnsi="Times New Roman" w:eastAsia="宋体" w:cs="Times New Roman"/>
                <w:color w:val="auto"/>
                <w:sz w:val="21"/>
                <w:szCs w:val="21"/>
                <w:highlight w:val="none"/>
                <w:lang w:val="en-US" w:eastAsia="zh-CN"/>
              </w:rPr>
              <w:t>：服务范围内“2000元（含）～区招标限额以下”的房屋（含附属设施）维修及其他零星工程维修改造等项目的维修任务（除特殊项目或区交管办通过公开招标方式建立区招标限额以下的施工参建单位预选名录库外）。</w:t>
            </w:r>
          </w:p>
          <w:p w14:paraId="640492B5">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eastAsia="宋体" w:cs="宋体"/>
                <w:color w:val="auto"/>
                <w:szCs w:val="21"/>
                <w:highlight w:val="none"/>
                <w:lang w:val="en-US" w:eastAsia="zh-CN"/>
              </w:rPr>
            </w:pPr>
            <w:r>
              <w:rPr>
                <w:rFonts w:hint="eastAsia" w:ascii="Times New Roman" w:hAnsi="Times New Roman" w:eastAsia="宋体" w:cs="Times New Roman"/>
                <w:color w:val="auto"/>
                <w:sz w:val="21"/>
                <w:szCs w:val="21"/>
                <w:highlight w:val="none"/>
                <w:lang w:val="en-US" w:eastAsia="zh-CN"/>
              </w:rPr>
              <w:t>注：目前以《宁波市奉化区小型建设工程项目交易管理办法（修订版）》和《宁波市奉化区微型建设工程项目发包管理办法（修订版）》奉资交管办【2023】2号确认的区招标限额为准，如合同实施期间政策文件有调整的按照最新标准执行。</w:t>
            </w:r>
          </w:p>
        </w:tc>
        <w:tc>
          <w:tcPr>
            <w:tcW w:w="564" w:type="pct"/>
          </w:tcPr>
          <w:p w14:paraId="4FB2E42C">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75AFCBAE">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06B5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5" w:type="pct"/>
            <w:vAlign w:val="center"/>
          </w:tcPr>
          <w:p w14:paraId="05C65000">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3</w:t>
            </w:r>
          </w:p>
        </w:tc>
        <w:tc>
          <w:tcPr>
            <w:tcW w:w="3460" w:type="pct"/>
            <w:vAlign w:val="center"/>
          </w:tcPr>
          <w:p w14:paraId="564B2482">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eastAsia="宋体" w:cs="宋体"/>
                <w:bCs/>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rPr>
              <w:t>项目服务范围</w:t>
            </w:r>
            <w:r>
              <w:rPr>
                <w:rFonts w:hint="eastAsia"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具体根据</w:t>
            </w:r>
            <w:r>
              <w:rPr>
                <w:rFonts w:hint="default" w:ascii="Times New Roman" w:hAnsi="Times New Roman" w:eastAsia="宋体" w:cs="Times New Roman"/>
                <w:color w:val="auto"/>
                <w:sz w:val="21"/>
                <w:szCs w:val="21"/>
                <w:highlight w:val="none"/>
                <w:lang w:val="en-US" w:eastAsia="zh-Hans"/>
              </w:rPr>
              <w:t>项目</w:t>
            </w:r>
            <w:r>
              <w:rPr>
                <w:rFonts w:hint="default" w:ascii="Times New Roman" w:hAnsi="Times New Roman" w:eastAsia="宋体" w:cs="Times New Roman"/>
                <w:color w:val="auto"/>
                <w:sz w:val="21"/>
                <w:szCs w:val="21"/>
                <w:highlight w:val="none"/>
              </w:rPr>
              <w:t>实际情况确定</w:t>
            </w:r>
            <w:r>
              <w:rPr>
                <w:rFonts w:hint="eastAsia" w:ascii="宋体" w:hAnsi="宋体" w:cs="宋体"/>
                <w:bCs/>
                <w:color w:val="auto"/>
                <w:szCs w:val="21"/>
                <w:highlight w:val="none"/>
              </w:rPr>
              <w:t>。</w:t>
            </w:r>
          </w:p>
        </w:tc>
        <w:tc>
          <w:tcPr>
            <w:tcW w:w="564" w:type="pct"/>
          </w:tcPr>
          <w:p w14:paraId="4CD89B92">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40139850">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697AB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345" w:type="pct"/>
            <w:vAlign w:val="center"/>
          </w:tcPr>
          <w:p w14:paraId="25F675C8">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4</w:t>
            </w:r>
          </w:p>
        </w:tc>
        <w:tc>
          <w:tcPr>
            <w:tcW w:w="3460" w:type="pct"/>
            <w:vAlign w:val="center"/>
          </w:tcPr>
          <w:p w14:paraId="0882FD1A">
            <w:pPr>
              <w:keepNext w:val="0"/>
              <w:keepLines w:val="0"/>
              <w:pageBreakBefore w:val="0"/>
              <w:widowControl w:val="0"/>
              <w:kinsoku w:val="0"/>
              <w:wordWrap/>
              <w:overflowPunct/>
              <w:topLinePunct w:val="0"/>
              <w:autoSpaceDE/>
              <w:autoSpaceDN/>
              <w:bidi w:val="0"/>
              <w:adjustRightInd/>
              <w:snapToGrid/>
              <w:spacing w:line="440" w:lineRule="exact"/>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年度施工任务量</w:t>
            </w:r>
            <w:r>
              <w:rPr>
                <w:rFonts w:hint="eastAsia"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年度零星维修任务量根据实际情况而定。</w:t>
            </w:r>
          </w:p>
          <w:p w14:paraId="4E8C8984">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eastAsia="宋体" w:cs="宋体"/>
                <w:bCs/>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须无条件承接采购人</w:t>
            </w:r>
            <w:r>
              <w:rPr>
                <w:rFonts w:hint="eastAsia" w:ascii="Times New Roman" w:hAnsi="Times New Roman" w:cs="Times New Roman"/>
                <w:color w:val="auto"/>
                <w:sz w:val="21"/>
                <w:szCs w:val="21"/>
                <w:highlight w:val="none"/>
                <w:lang w:eastAsia="zh-CN"/>
              </w:rPr>
              <w:t>所委托的零星维修工程任务</w:t>
            </w:r>
            <w:r>
              <w:rPr>
                <w:rFonts w:hint="default" w:ascii="Times New Roman" w:hAnsi="Times New Roman" w:eastAsia="宋体" w:cs="Times New Roman"/>
                <w:color w:val="auto"/>
                <w:sz w:val="21"/>
                <w:szCs w:val="21"/>
                <w:highlight w:val="none"/>
              </w:rPr>
              <w:t>，不得以任何理由拒绝、推脱。</w:t>
            </w:r>
          </w:p>
        </w:tc>
        <w:tc>
          <w:tcPr>
            <w:tcW w:w="564" w:type="pct"/>
          </w:tcPr>
          <w:p w14:paraId="6C3F396A">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329CBC60">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622A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345" w:type="pct"/>
            <w:vAlign w:val="center"/>
          </w:tcPr>
          <w:p w14:paraId="339C6119">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5</w:t>
            </w:r>
          </w:p>
        </w:tc>
        <w:tc>
          <w:tcPr>
            <w:tcW w:w="3460" w:type="pct"/>
            <w:vAlign w:val="center"/>
          </w:tcPr>
          <w:p w14:paraId="48DEE04E">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eastAsia="宋体" w:cs="宋体"/>
                <w:bCs/>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rPr>
              <w:t>零星维修中的施工质量要求</w:t>
            </w:r>
            <w:r>
              <w:rPr>
                <w:rFonts w:hint="eastAsia"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符合国家、浙江省、宁波市验收规范（从高）一次性验收合格标准要求。</w:t>
            </w:r>
          </w:p>
        </w:tc>
        <w:tc>
          <w:tcPr>
            <w:tcW w:w="564" w:type="pct"/>
          </w:tcPr>
          <w:p w14:paraId="24999FFE">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175B16F1">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6A651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345" w:type="pct"/>
            <w:vAlign w:val="center"/>
          </w:tcPr>
          <w:p w14:paraId="2888B29F">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6</w:t>
            </w:r>
          </w:p>
        </w:tc>
        <w:tc>
          <w:tcPr>
            <w:tcW w:w="3460" w:type="pct"/>
            <w:vAlign w:val="center"/>
          </w:tcPr>
          <w:p w14:paraId="5C4FBCA1">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eastAsia="宋体" w:cs="宋体"/>
                <w:bCs/>
                <w:color w:val="auto"/>
                <w:szCs w:val="21"/>
                <w:highlight w:val="none"/>
                <w:lang w:eastAsia="zh-CN"/>
              </w:rPr>
            </w:pPr>
            <w:r>
              <w:rPr>
                <w:rFonts w:hint="default" w:ascii="Times New Roman" w:hAnsi="Times New Roman" w:eastAsia="宋体" w:cs="Times New Roman"/>
                <w:color w:val="auto"/>
                <w:sz w:val="21"/>
                <w:szCs w:val="21"/>
                <w:highlight w:val="none"/>
              </w:rPr>
              <w:t>工期/服务期限要求</w:t>
            </w:r>
            <w:r>
              <w:rPr>
                <w:rFonts w:hint="eastAsia"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符合单个项目工期要求，具体由采购人根据具体项目情况确定</w:t>
            </w:r>
          </w:p>
        </w:tc>
        <w:tc>
          <w:tcPr>
            <w:tcW w:w="564" w:type="pct"/>
          </w:tcPr>
          <w:p w14:paraId="33959BB6">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370FE2CB">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6BAC1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5" w:type="pct"/>
            <w:vAlign w:val="center"/>
          </w:tcPr>
          <w:p w14:paraId="1337801E">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7</w:t>
            </w:r>
          </w:p>
        </w:tc>
        <w:tc>
          <w:tcPr>
            <w:tcW w:w="3460" w:type="pct"/>
            <w:vAlign w:val="center"/>
          </w:tcPr>
          <w:p w14:paraId="7D3D3682">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情形一：单项工程预算在0.2万元（含）～1万元（不含）以内的项目</w:t>
            </w:r>
          </w:p>
          <w:p w14:paraId="0AA70744">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（1）结算依据：按照“项目费用=人工+材料+其他费用（除人工、材料外，为完成项目涉及的一切费用）”进行结算。</w:t>
            </w:r>
          </w:p>
          <w:p w14:paraId="3DDC68D2">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注：①人工单价按照技术工按450元/工、普工按300元/工计取，上述人工费包含工资、奖金、加班费及福利补贴、保险、通讯、交通费等；②最终结算价以采购人委托的第三方咨询公司出具的审定价为准，不下浮，即最终结算价款＝审定价。</w:t>
            </w:r>
          </w:p>
          <w:p w14:paraId="67C50F0F">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p>
          <w:p w14:paraId="1CFF9C30">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情形二：单项工程预算在1万元（含）-60万元（不含）的项目</w:t>
            </w:r>
          </w:p>
          <w:p w14:paraId="5DEEBA31">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（1）结算依据：</w:t>
            </w:r>
          </w:p>
          <w:p w14:paraId="4282B964">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施工图（如有）、《建设工程工程量计价规范GB50500-2013》、《房屋建筑与装饰工程工程量计算规范GB50854-2013》、《通用安装工程工程量计算规范 GB 50856-2013 》、《市政工程工程量计算规范 GB 50857-2013》、《园林绿化工程工程量计算规范 GB 50858-2013》）、《建筑工程建筑面积计算规范》（GB/T50353-2013）、《浙江省房屋建筑与装饰工程预算定额》（2018版）、《浙江省市政工程预算定额》(2018版)、《浙江省通用安装工程预算定额》（2018版）、《浙江省园林绿化及仿古建筑工程预算定额》(2018版)、《浙江省建设工程计价规则》（2018版）、《浙江省建设工程施工机械台班费用定额》（2018版）及有关的补充定额等。</w:t>
            </w:r>
          </w:p>
          <w:p w14:paraId="7AFF2F0E">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 xml:space="preserve">   注：① 在单项工程开工前，若有新的文件或定额出台按最新的文件或定额执行；② 如安全文明施工有特殊要求可按实结算。</w:t>
            </w:r>
          </w:p>
          <w:p w14:paraId="539C4006">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（2）人工价格：按开工日当月的月刊《宁波建设工程造价信息》综合版。</w:t>
            </w:r>
          </w:p>
          <w:p w14:paraId="61C719C2">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3）材料价格：材料价格根据《宁波建设工程造价信息》（按开工日当月的月刊，综合版）市区除税价格，《宁波建设工程造价信息》没有的参照《浙江造价信息》（按开工日当月的期数）除税价格，无信息价的材料按市场价计入，以上材料价格均采用除税价计入。</w:t>
            </w:r>
          </w:p>
          <w:p w14:paraId="52917DE9">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（4）取费：根据各单项工程而定；</w:t>
            </w:r>
          </w:p>
          <w:p w14:paraId="4E9F3248">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（5）审定价由采购人委托的第三方公司出具；</w:t>
            </w:r>
          </w:p>
          <w:p w14:paraId="776F269C">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（6）综合折扣率按承包人投标响应时承诺的综合折扣率执行；</w:t>
            </w:r>
          </w:p>
          <w:p w14:paraId="1D235559">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（7）最终结算价款＝审定价×综合折扣率</w:t>
            </w:r>
          </w:p>
          <w:p w14:paraId="734759B7">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注：两种情形的零星工程以派发的“工程任务单”为准，成交供应商须无条件接受。</w:t>
            </w:r>
          </w:p>
        </w:tc>
        <w:tc>
          <w:tcPr>
            <w:tcW w:w="564" w:type="pct"/>
          </w:tcPr>
          <w:p w14:paraId="4A6D04EF">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764BAB0F">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29B09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5" w:type="pct"/>
            <w:vAlign w:val="center"/>
          </w:tcPr>
          <w:p w14:paraId="6A75C71C">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8</w:t>
            </w:r>
          </w:p>
        </w:tc>
        <w:tc>
          <w:tcPr>
            <w:tcW w:w="3460" w:type="pct"/>
            <w:vAlign w:val="center"/>
          </w:tcPr>
          <w:p w14:paraId="261C4817">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eastAsia" w:ascii="宋体" w:hAnsi="宋体" w:eastAsia="宋体" w:cs="宋体"/>
                <w:b/>
                <w:bCs/>
                <w:color w:val="auto"/>
                <w:szCs w:val="21"/>
                <w:highlight w:val="none"/>
                <w:lang w:eastAsia="zh-CN"/>
              </w:rPr>
            </w:pPr>
            <w:r>
              <w:rPr>
                <w:rFonts w:hint="default" w:ascii="Times New Roman" w:hAnsi="Times New Roman" w:eastAsia="宋体" w:cs="Times New Roman"/>
                <w:color w:val="auto"/>
                <w:sz w:val="21"/>
                <w:szCs w:val="21"/>
                <w:highlight w:val="none"/>
              </w:rPr>
              <w:t>工程付款方式</w:t>
            </w:r>
            <w:r>
              <w:rPr>
                <w:rFonts w:hint="eastAsia" w:ascii="Times New Roman" w:hAnsi="Times New Roman" w:eastAsia="宋体" w:cs="Times New Roman"/>
                <w:color w:val="auto"/>
                <w:sz w:val="21"/>
                <w:szCs w:val="21"/>
                <w:highlight w:val="none"/>
                <w:lang w:eastAsia="zh-CN"/>
              </w:rPr>
              <w:t>：每季度或多个项目费用累加超过5万元以上后结算一次，成交供应商将已完成项目进行汇总，并提交审计所需的完整资料（例如开竣工报告、联系单及隐蔽工程的照片、预算书、结算书、竣工图纸、材料报验单等资料，具体以审计单位要求为准），经审计后，结清项目款项</w:t>
            </w:r>
            <w:r>
              <w:rPr>
                <w:rFonts w:hint="default" w:ascii="Times New Roman" w:hAnsi="Times New Roman" w:eastAsia="宋体" w:cs="Times New Roman"/>
                <w:color w:val="auto"/>
                <w:sz w:val="21"/>
                <w:szCs w:val="21"/>
                <w:highlight w:val="none"/>
              </w:rPr>
              <w:t>。</w:t>
            </w:r>
          </w:p>
        </w:tc>
        <w:tc>
          <w:tcPr>
            <w:tcW w:w="564" w:type="pct"/>
          </w:tcPr>
          <w:p w14:paraId="35D2DCDA">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0F004165">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r w14:paraId="552ED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5" w:type="pct"/>
            <w:vAlign w:val="center"/>
          </w:tcPr>
          <w:p w14:paraId="5180EFF5">
            <w:pPr>
              <w:keepNext w:val="0"/>
              <w:keepLines w:val="0"/>
              <w:pageBreakBefore w:val="0"/>
              <w:widowControl w:val="0"/>
              <w:shd w:val="clear"/>
              <w:wordWrap/>
              <w:overflowPunct/>
              <w:topLinePunct w:val="0"/>
              <w:autoSpaceDE/>
              <w:autoSpaceDN/>
              <w:bidi w:val="0"/>
              <w:adjustRightInd/>
              <w:snapToGrid/>
              <w:spacing w:line="440" w:lineRule="exact"/>
              <w:jc w:val="center"/>
              <w:textAlignment w:val="auto"/>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9</w:t>
            </w:r>
          </w:p>
        </w:tc>
        <w:tc>
          <w:tcPr>
            <w:tcW w:w="3460" w:type="pct"/>
            <w:vAlign w:val="center"/>
          </w:tcPr>
          <w:p w14:paraId="1223E791">
            <w:pPr>
              <w:keepNext w:val="0"/>
              <w:keepLines w:val="0"/>
              <w:pageBreakBefore w:val="0"/>
              <w:widowControl w:val="0"/>
              <w:shd w:val="clear"/>
              <w:wordWrap/>
              <w:overflowPunct/>
              <w:topLinePunct w:val="0"/>
              <w:autoSpaceDE/>
              <w:autoSpaceDN/>
              <w:bidi w:val="0"/>
              <w:adjustRightInd/>
              <w:snapToGrid/>
              <w:spacing w:line="440" w:lineRule="exact"/>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除上述列明内容外的其它商务条款</w:t>
            </w:r>
          </w:p>
        </w:tc>
        <w:tc>
          <w:tcPr>
            <w:tcW w:w="564" w:type="pct"/>
          </w:tcPr>
          <w:p w14:paraId="61CD806C">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c>
          <w:tcPr>
            <w:tcW w:w="628" w:type="pct"/>
          </w:tcPr>
          <w:p w14:paraId="78FFB4B3">
            <w:pPr>
              <w:keepNext w:val="0"/>
              <w:keepLines w:val="0"/>
              <w:pageBreakBefore w:val="0"/>
              <w:widowControl w:val="0"/>
              <w:shd w:val="clear"/>
              <w:wordWrap/>
              <w:overflowPunct/>
              <w:topLinePunct w:val="0"/>
              <w:autoSpaceDE/>
              <w:autoSpaceDN/>
              <w:bidi w:val="0"/>
              <w:adjustRightInd/>
              <w:snapToGrid/>
              <w:spacing w:line="440" w:lineRule="exact"/>
              <w:textAlignment w:val="auto"/>
              <w:rPr>
                <w:rFonts w:ascii="宋体" w:hAnsi="宋体" w:cs="宋体"/>
                <w:bCs/>
                <w:color w:val="auto"/>
                <w:szCs w:val="21"/>
                <w:highlight w:val="none"/>
              </w:rPr>
            </w:pPr>
          </w:p>
        </w:tc>
      </w:tr>
    </w:tbl>
    <w:p w14:paraId="4CFB8AB4">
      <w:pPr>
        <w:shd w:val="clea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供应商保证：除商务</w:t>
      </w:r>
      <w:r>
        <w:rPr>
          <w:rFonts w:hint="eastAsia" w:asciiTheme="minorEastAsia" w:hAnsiTheme="minorEastAsia" w:eastAsiaTheme="minorEastAsia" w:cstheme="minorEastAsia"/>
          <w:color w:val="auto"/>
          <w:kern w:val="0"/>
          <w:sz w:val="24"/>
          <w:highlight w:val="none"/>
          <w:lang w:val="en-US" w:eastAsia="zh-CN"/>
        </w:rPr>
        <w:t>响应</w:t>
      </w:r>
      <w:r>
        <w:rPr>
          <w:rFonts w:hint="eastAsia" w:asciiTheme="minorEastAsia" w:hAnsiTheme="minorEastAsia" w:eastAsiaTheme="minorEastAsia" w:cstheme="minorEastAsia"/>
          <w:color w:val="auto"/>
          <w:kern w:val="0"/>
          <w:sz w:val="24"/>
          <w:highlight w:val="none"/>
        </w:rPr>
        <w:t>表列出的偏离外，供应商响应采购文件的全部商务要求。供应商需完全响应以上商务条款要求并在“是否响应”一栏里明确，未明确响应的作无效标处理。如有优于的，可以在“优于情况说明”一栏里详细说明。</w:t>
      </w:r>
    </w:p>
    <w:p w14:paraId="7A1B6F8B">
      <w:pPr>
        <w:shd w:val="clear"/>
        <w:adjustRightInd w:val="0"/>
        <w:snapToGrid w:val="0"/>
        <w:spacing w:line="360" w:lineRule="auto"/>
        <w:jc w:val="right"/>
        <w:rPr>
          <w:rFonts w:asciiTheme="minorEastAsia" w:hAnsiTheme="minorEastAsia" w:eastAsiaTheme="minorEastAsia" w:cstheme="minorEastAsia"/>
          <w:color w:val="auto"/>
          <w:kern w:val="0"/>
          <w:sz w:val="24"/>
          <w:highlight w:val="none"/>
          <w:lang w:val="zh-CN"/>
        </w:rPr>
      </w:pPr>
    </w:p>
    <w:p w14:paraId="58DF8D11">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6B17A3AA">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333D1AF2">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6D398E35">
      <w:pPr>
        <w:rPr>
          <w:rFonts w:asciiTheme="minorEastAsia" w:hAnsiTheme="minorEastAsia" w:eastAsiaTheme="minorEastAsia" w:cstheme="minorEastAsia"/>
          <w:color w:val="auto"/>
          <w:sz w:val="28"/>
          <w:highlight w:val="none"/>
          <w:lang w:val="zh-CN"/>
        </w:rPr>
      </w:pPr>
      <w:r>
        <w:rPr>
          <w:rFonts w:asciiTheme="minorEastAsia" w:hAnsiTheme="minorEastAsia" w:eastAsiaTheme="minorEastAsia" w:cstheme="minorEastAsia"/>
          <w:color w:val="auto"/>
          <w:sz w:val="28"/>
          <w:highlight w:val="none"/>
          <w:lang w:val="zh-CN"/>
        </w:rPr>
        <w:br w:type="page"/>
      </w:r>
    </w:p>
    <w:p w14:paraId="045B8B13">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技术</w:t>
      </w:r>
      <w:r>
        <w:rPr>
          <w:rFonts w:hint="eastAsia" w:asciiTheme="minorEastAsia" w:hAnsiTheme="minorEastAsia" w:eastAsiaTheme="minorEastAsia" w:cstheme="minorEastAsia"/>
          <w:b/>
          <w:color w:val="auto"/>
          <w:kern w:val="0"/>
          <w:sz w:val="32"/>
          <w:szCs w:val="32"/>
          <w:highlight w:val="none"/>
        </w:rPr>
        <w:t>响应</w:t>
      </w:r>
      <w:r>
        <w:rPr>
          <w:rFonts w:hint="eastAsia" w:asciiTheme="minorEastAsia" w:hAnsiTheme="minorEastAsia" w:eastAsiaTheme="minorEastAsia" w:cstheme="minorEastAsia"/>
          <w:b/>
          <w:color w:val="auto"/>
          <w:kern w:val="0"/>
          <w:sz w:val="32"/>
          <w:szCs w:val="32"/>
          <w:highlight w:val="none"/>
          <w:lang w:val="zh-CN"/>
        </w:rPr>
        <w:t>表</w:t>
      </w:r>
    </w:p>
    <w:p w14:paraId="06E9B1E0">
      <w:pPr>
        <w:pStyle w:val="33"/>
        <w:shd w:val="clear"/>
        <w:rPr>
          <w:color w:val="auto"/>
          <w:highlight w:val="none"/>
          <w:lang w:val="zh-CN"/>
        </w:rPr>
      </w:pPr>
      <w:r>
        <w:rPr>
          <w:rFonts w:hint="eastAsia"/>
          <w:color w:val="auto"/>
          <w:highlight w:val="none"/>
          <w:lang w:val="zh-CN"/>
        </w:rPr>
        <w:t>1、技术响应表</w:t>
      </w:r>
    </w:p>
    <w:tbl>
      <w:tblPr>
        <w:tblStyle w:val="2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5528"/>
        <w:gridCol w:w="1701"/>
        <w:gridCol w:w="1276"/>
      </w:tblGrid>
      <w:tr w14:paraId="3EAFF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959" w:type="dxa"/>
            <w:vAlign w:val="center"/>
          </w:tcPr>
          <w:p w14:paraId="3759C867">
            <w:pPr>
              <w:shd w:val="clear"/>
              <w:spacing w:line="360" w:lineRule="auto"/>
              <w:jc w:val="center"/>
              <w:rPr>
                <w:rFonts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5528" w:type="dxa"/>
            <w:vAlign w:val="center"/>
          </w:tcPr>
          <w:p w14:paraId="6DB16874">
            <w:pPr>
              <w:shd w:val="clear"/>
              <w:spacing w:line="360" w:lineRule="auto"/>
              <w:jc w:val="center"/>
              <w:rPr>
                <w:rFonts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具体内容</w:t>
            </w:r>
          </w:p>
        </w:tc>
        <w:tc>
          <w:tcPr>
            <w:tcW w:w="1701" w:type="dxa"/>
            <w:vAlign w:val="center"/>
          </w:tcPr>
          <w:p w14:paraId="2E6019B2">
            <w:pPr>
              <w:shd w:val="clear"/>
              <w:spacing w:line="360" w:lineRule="auto"/>
              <w:jc w:val="center"/>
              <w:rPr>
                <w:rFonts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响应文件章节及具体内容</w:t>
            </w:r>
          </w:p>
        </w:tc>
        <w:tc>
          <w:tcPr>
            <w:tcW w:w="1276" w:type="dxa"/>
            <w:vAlign w:val="center"/>
          </w:tcPr>
          <w:p w14:paraId="43BE933E">
            <w:pPr>
              <w:shd w:val="clear"/>
              <w:spacing w:line="360" w:lineRule="auto"/>
              <w:jc w:val="center"/>
              <w:rPr>
                <w:rFonts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响应或偏离说明</w:t>
            </w:r>
          </w:p>
        </w:tc>
      </w:tr>
      <w:tr w14:paraId="5562E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006F625">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5528" w:type="dxa"/>
            <w:vAlign w:val="center"/>
          </w:tcPr>
          <w:p w14:paraId="7F3B54EC">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作业的人员及服务机构要求</w:t>
            </w:r>
            <w:r>
              <w:rPr>
                <w:rFonts w:hint="eastAsia" w:ascii="Times New Roman" w:hAnsi="Times New Roman" w:eastAsia="宋体" w:cs="Times New Roman"/>
                <w:color w:val="auto"/>
                <w:sz w:val="21"/>
                <w:szCs w:val="21"/>
                <w:highlight w:val="none"/>
                <w:lang w:eastAsia="zh-CN"/>
              </w:rPr>
              <w:t>：</w:t>
            </w:r>
          </w:p>
          <w:p w14:paraId="19951A83">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项目负责人：服务期间需明确项目负责人，未经采购人同意不得更换项目负责人。</w:t>
            </w:r>
          </w:p>
          <w:p w14:paraId="559ECDBF">
            <w:pPr>
              <w:keepNext w:val="0"/>
              <w:keepLines w:val="0"/>
              <w:pageBreakBefore w:val="0"/>
              <w:widowControl w:val="0"/>
              <w:numPr>
                <w:ilvl w:val="0"/>
                <w:numId w:val="0"/>
              </w:numPr>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auto"/>
                <w:sz w:val="21"/>
                <w:szCs w:val="21"/>
                <w:highlight w:val="none"/>
              </w:rPr>
            </w:pPr>
            <w:r>
              <w:rPr>
                <w:rFonts w:hint="eastAsia" w:ascii="Times New Roman" w:hAnsi="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其他人员：</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须配备专业作业人员进行作业，具体根据项目实际情况确定。</w:t>
            </w:r>
          </w:p>
          <w:p w14:paraId="66CAC9F9">
            <w:pPr>
              <w:shd w:val="clear"/>
              <w:spacing w:beforeLines="50" w:line="360" w:lineRule="auto"/>
              <w:rPr>
                <w:rFonts w:asciiTheme="minorEastAsia" w:hAnsiTheme="minorEastAsia" w:eastAsiaTheme="minorEastAsia" w:cstheme="minorEastAsia"/>
                <w:b/>
                <w:color w:val="auto"/>
                <w:kern w:val="0"/>
                <w:sz w:val="32"/>
                <w:szCs w:val="32"/>
                <w:highlight w:val="none"/>
              </w:rPr>
            </w:pPr>
            <w:r>
              <w:rPr>
                <w:rFonts w:hint="eastAsia" w:ascii="Times New Roman" w:hAnsi="Times New Roman"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lang w:val="en-US" w:eastAsia="zh-Hans"/>
              </w:rPr>
              <w:t>成交后</w:t>
            </w:r>
            <w:r>
              <w:rPr>
                <w:rFonts w:hint="default" w:ascii="Times New Roman" w:hAnsi="Times New Roman" w:eastAsia="宋体" w:cs="Times New Roman"/>
                <w:color w:val="auto"/>
                <w:sz w:val="21"/>
                <w:szCs w:val="21"/>
                <w:highlight w:val="none"/>
                <w:lang w:eastAsia="zh-Hans"/>
              </w:rPr>
              <w:t>，</w:t>
            </w:r>
            <w:r>
              <w:rPr>
                <w:rFonts w:hint="default" w:ascii="Times New Roman" w:hAnsi="Times New Roman" w:eastAsia="宋体" w:cs="Times New Roman"/>
                <w:color w:val="auto"/>
                <w:sz w:val="21"/>
                <w:szCs w:val="21"/>
                <w:highlight w:val="none"/>
              </w:rPr>
              <w:t>在</w:t>
            </w:r>
            <w:r>
              <w:rPr>
                <w:rFonts w:hint="default" w:ascii="Times New Roman" w:hAnsi="Times New Roman" w:eastAsia="宋体" w:cs="Times New Roman"/>
                <w:color w:val="auto"/>
                <w:sz w:val="21"/>
                <w:szCs w:val="21"/>
                <w:highlight w:val="none"/>
                <w:lang w:val="en-US" w:eastAsia="zh-Hans"/>
              </w:rPr>
              <w:t>奉化</w:t>
            </w:r>
            <w:r>
              <w:rPr>
                <w:rFonts w:hint="default" w:ascii="Times New Roman" w:hAnsi="Times New Roman" w:eastAsia="宋体" w:cs="Times New Roman"/>
                <w:color w:val="auto"/>
                <w:sz w:val="21"/>
                <w:szCs w:val="21"/>
                <w:highlight w:val="none"/>
              </w:rPr>
              <w:t>需设置有固定的服务机构。</w:t>
            </w:r>
          </w:p>
        </w:tc>
        <w:tc>
          <w:tcPr>
            <w:tcW w:w="1701" w:type="dxa"/>
            <w:vAlign w:val="center"/>
          </w:tcPr>
          <w:p w14:paraId="50427C97">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5928E44E">
            <w:pPr>
              <w:shd w:val="clear"/>
              <w:spacing w:line="360" w:lineRule="auto"/>
              <w:jc w:val="center"/>
              <w:rPr>
                <w:rFonts w:asciiTheme="minorEastAsia" w:hAnsiTheme="minorEastAsia" w:eastAsiaTheme="minorEastAsia" w:cstheme="minorEastAsia"/>
                <w:b/>
                <w:color w:val="auto"/>
                <w:kern w:val="0"/>
                <w:sz w:val="32"/>
                <w:szCs w:val="32"/>
                <w:highlight w:val="none"/>
              </w:rPr>
            </w:pPr>
          </w:p>
        </w:tc>
      </w:tr>
      <w:tr w14:paraId="6A638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0DEA569B">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5528" w:type="dxa"/>
            <w:vAlign w:val="center"/>
          </w:tcPr>
          <w:p w14:paraId="1F26FF9B">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违约责任：</w:t>
            </w:r>
          </w:p>
          <w:p w14:paraId="3FC66C7B">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单项合同工期/服务期限违约：</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不能按合同约定的时间完成验收的，</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应承担违约责任，其违约赔偿金额为1000元/天，累计限额为合同价的5%。如造成</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损失超过违约金的，超出部分由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承担赔偿责任。</w:t>
            </w:r>
          </w:p>
          <w:p w14:paraId="7629D27E">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零星维修中的施工单项合同质量违约：未达到国家、浙江省、宁波市验收规范（从高）一次性验收合格标准要求，</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应向</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支付合同价的5%的违约金，如造成</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损失超过违约金的，超出部分由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承担赔偿责任。承担质量违约金的同时，不免除</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质量返工或整改的责任，直至工程达到合格标准。</w:t>
            </w:r>
          </w:p>
          <w:p w14:paraId="473BB60E">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单项合同人员违约：未履行项目负责人到场承诺，应承担违约责任，违约金限额为合同价的5%；若该项违约情节严重的，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有权解除或终止本合同，由此造成的各项损失均由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w:t>
            </w:r>
          </w:p>
          <w:p w14:paraId="4B73BA63">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color w:val="auto"/>
                <w:sz w:val="21"/>
                <w:szCs w:val="21"/>
                <w:highlight w:val="none"/>
                <w:lang w:val="en-US" w:eastAsia="zh-CN"/>
              </w:rPr>
              <w:t>4、</w:t>
            </w:r>
            <w:r>
              <w:rPr>
                <w:rFonts w:hint="default" w:ascii="Times New Roman" w:hAnsi="Times New Roman" w:eastAsia="宋体" w:cs="Times New Roman"/>
                <w:color w:val="auto"/>
                <w:sz w:val="21"/>
                <w:szCs w:val="21"/>
                <w:highlight w:val="none"/>
              </w:rPr>
              <w:t>单项合同其他违约责任：因</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原因未履行安全文明作业承诺，</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应承担的违约金为合同价的5%，如果在该项目施工过程中发生一般事故及以上，</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除承担合同价的5％的安全事故承诺违约金外，并承担一切费用及责任。</w:t>
            </w:r>
          </w:p>
          <w:p w14:paraId="33B07BD1">
            <w:pPr>
              <w:keepNext w:val="0"/>
              <w:keepLines w:val="0"/>
              <w:pageBreakBefore w:val="0"/>
              <w:widowControl w:val="0"/>
              <w:numPr>
                <w:ilvl w:val="0"/>
                <w:numId w:val="8"/>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应承担作业违约责任，其违约金累计为合同价的5%。</w:t>
            </w:r>
          </w:p>
          <w:p w14:paraId="173E8FAD">
            <w:pPr>
              <w:keepNext w:val="0"/>
              <w:keepLines w:val="0"/>
              <w:pageBreakBefore w:val="0"/>
              <w:widowControl w:val="0"/>
              <w:numPr>
                <w:ilvl w:val="0"/>
                <w:numId w:val="8"/>
              </w:numPr>
              <w:kinsoku w:val="0"/>
              <w:wordWrap/>
              <w:overflowPunct/>
              <w:topLinePunct w:val="0"/>
              <w:autoSpaceDE/>
              <w:autoSpaceDN/>
              <w:bidi w:val="0"/>
              <w:adjustRightInd/>
              <w:snapToGrid/>
              <w:spacing w:line="400" w:lineRule="exact"/>
              <w:ind w:leftChars="0"/>
              <w:jc w:val="left"/>
              <w:textAlignment w:val="auto"/>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必须无条件的服从</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在服务期间的工作分配与安排，接到</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分配的任务后</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须无条件实施维修任务，</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不得以任何理由拒绝推脱，并须按要求完成作业。如有无故拖延实施进度或无理由不承建</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委托的任务的，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有权终止合同，由此给</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造成的损失均由</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承担。</w:t>
            </w:r>
          </w:p>
          <w:p w14:paraId="1C498CE8">
            <w:pPr>
              <w:shd w:val="clear"/>
              <w:spacing w:beforeLines="50" w:line="360" w:lineRule="auto"/>
              <w:rPr>
                <w:rFonts w:hint="default" w:ascii="宋体" w:hAnsi="宋体" w:eastAsia="宋体" w:cs="宋体"/>
                <w:bCs/>
                <w:color w:val="auto"/>
                <w:szCs w:val="21"/>
                <w:highlight w:val="none"/>
                <w:lang w:val="en-US" w:eastAsia="zh-CN"/>
              </w:rPr>
            </w:pPr>
            <w:r>
              <w:rPr>
                <w:rFonts w:hint="eastAsia" w:ascii="Times New Roman" w:hAnsi="Times New Roman" w:eastAsia="宋体" w:cs="Times New Roman"/>
                <w:color w:val="auto"/>
                <w:sz w:val="21"/>
                <w:szCs w:val="21"/>
                <w:highlight w:val="none"/>
                <w:lang w:val="en-US" w:eastAsia="zh-CN"/>
              </w:rPr>
              <w:t>7、</w:t>
            </w:r>
            <w:r>
              <w:rPr>
                <w:rFonts w:hint="default" w:ascii="Times New Roman" w:hAnsi="Times New Roman" w:eastAsia="宋体" w:cs="Times New Roman"/>
                <w:color w:val="auto"/>
                <w:sz w:val="21"/>
                <w:szCs w:val="21"/>
                <w:highlight w:val="none"/>
              </w:rPr>
              <w:t>如服务期间，</w:t>
            </w:r>
            <w:r>
              <w:rPr>
                <w:rFonts w:hint="default" w:ascii="Times New Roman" w:hAnsi="Times New Roman" w:eastAsia="宋体" w:cs="Times New Roman"/>
                <w:color w:val="auto"/>
                <w:sz w:val="21"/>
                <w:szCs w:val="21"/>
                <w:highlight w:val="none"/>
                <w:lang w:eastAsia="zh-CN"/>
              </w:rPr>
              <w:t>成交供应商</w:t>
            </w:r>
            <w:r>
              <w:rPr>
                <w:rFonts w:hint="default" w:ascii="Times New Roman" w:hAnsi="Times New Roman" w:eastAsia="宋体" w:cs="Times New Roman"/>
                <w:color w:val="auto"/>
                <w:sz w:val="21"/>
                <w:szCs w:val="21"/>
                <w:highlight w:val="none"/>
              </w:rPr>
              <w:t>履约无法满足</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要求的，</w:t>
            </w:r>
            <w:r>
              <w:rPr>
                <w:rFonts w:hint="default" w:ascii="Times New Roman" w:hAnsi="Times New Roman" w:eastAsia="宋体" w:cs="Times New Roman"/>
                <w:color w:val="auto"/>
                <w:sz w:val="21"/>
                <w:szCs w:val="21"/>
                <w:highlight w:val="none"/>
                <w:lang w:eastAsia="zh-CN"/>
              </w:rPr>
              <w:t>采购人</w:t>
            </w:r>
            <w:r>
              <w:rPr>
                <w:rFonts w:hint="default" w:ascii="Times New Roman" w:hAnsi="Times New Roman" w:eastAsia="宋体" w:cs="Times New Roman"/>
                <w:color w:val="auto"/>
                <w:sz w:val="21"/>
                <w:szCs w:val="21"/>
                <w:highlight w:val="none"/>
              </w:rPr>
              <w:t>有权解除合同。</w:t>
            </w:r>
          </w:p>
        </w:tc>
        <w:tc>
          <w:tcPr>
            <w:tcW w:w="1701" w:type="dxa"/>
            <w:vAlign w:val="center"/>
          </w:tcPr>
          <w:p w14:paraId="1863BEF3">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4D375252">
            <w:pPr>
              <w:shd w:val="clear"/>
              <w:spacing w:line="360" w:lineRule="auto"/>
              <w:jc w:val="center"/>
              <w:rPr>
                <w:rFonts w:asciiTheme="minorEastAsia" w:hAnsiTheme="minorEastAsia" w:eastAsiaTheme="minorEastAsia" w:cstheme="minorEastAsia"/>
                <w:b/>
                <w:color w:val="auto"/>
                <w:kern w:val="0"/>
                <w:sz w:val="32"/>
                <w:szCs w:val="32"/>
                <w:highlight w:val="none"/>
              </w:rPr>
            </w:pPr>
          </w:p>
        </w:tc>
      </w:tr>
      <w:tr w14:paraId="336B9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61A13DE">
            <w:pPr>
              <w:shd w:val="clear"/>
              <w:spacing w:line="360" w:lineRule="auto"/>
              <w:jc w:val="center"/>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3</w:t>
            </w:r>
          </w:p>
        </w:tc>
        <w:tc>
          <w:tcPr>
            <w:tcW w:w="5528" w:type="dxa"/>
            <w:vAlign w:val="center"/>
          </w:tcPr>
          <w:p w14:paraId="68D54992">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ascii="宋体" w:hAnsi="宋体" w:cs="宋体"/>
                <w:bCs/>
                <w:color w:val="auto"/>
                <w:szCs w:val="21"/>
                <w:highlight w:val="none"/>
              </w:rPr>
            </w:pPr>
            <w:r>
              <w:rPr>
                <w:rFonts w:hint="default" w:ascii="Times New Roman" w:hAnsi="Times New Roman" w:eastAsia="宋体" w:cs="Times New Roman"/>
                <w:color w:val="auto"/>
                <w:sz w:val="21"/>
                <w:szCs w:val="21"/>
                <w:highlight w:val="none"/>
              </w:rPr>
              <w:t>针对不同维修项目，接到</w:t>
            </w:r>
            <w:r>
              <w:rPr>
                <w:rFonts w:hint="default" w:ascii="Times New Roman" w:hAnsi="Times New Roman" w:eastAsia="宋体" w:cs="Times New Roman"/>
                <w:color w:val="auto"/>
                <w:sz w:val="21"/>
                <w:szCs w:val="21"/>
                <w:highlight w:val="none"/>
                <w:lang w:val="en-US" w:eastAsia="zh-CN"/>
              </w:rPr>
              <w:t>采购人</w:t>
            </w:r>
            <w:r>
              <w:rPr>
                <w:rFonts w:hint="default" w:ascii="Times New Roman" w:hAnsi="Times New Roman" w:eastAsia="宋体" w:cs="Times New Roman"/>
                <w:color w:val="auto"/>
                <w:sz w:val="21"/>
                <w:szCs w:val="21"/>
                <w:highlight w:val="none"/>
              </w:rPr>
              <w:t>通知后，</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需及时做好每项工程施工日期安排、材料</w:t>
            </w:r>
            <w:r>
              <w:rPr>
                <w:rFonts w:hint="default" w:ascii="Times New Roman" w:hAnsi="Times New Roman" w:eastAsia="宋体" w:cs="Times New Roman"/>
                <w:color w:val="auto"/>
                <w:sz w:val="21"/>
                <w:szCs w:val="21"/>
                <w:highlight w:val="none"/>
                <w:lang w:val="en-US" w:eastAsia="zh-Hans"/>
              </w:rPr>
              <w:t>及</w:t>
            </w:r>
            <w:r>
              <w:rPr>
                <w:rFonts w:hint="default" w:ascii="Times New Roman" w:hAnsi="Times New Roman" w:eastAsia="宋体" w:cs="Times New Roman"/>
                <w:color w:val="auto"/>
                <w:sz w:val="21"/>
                <w:szCs w:val="21"/>
                <w:highlight w:val="none"/>
              </w:rPr>
              <w:t>施工方案等报送，在</w:t>
            </w:r>
            <w:r>
              <w:rPr>
                <w:rFonts w:hint="default" w:ascii="Times New Roman" w:hAnsi="Times New Roman" w:eastAsia="宋体" w:cs="Times New Roman"/>
                <w:color w:val="auto"/>
                <w:sz w:val="21"/>
                <w:szCs w:val="21"/>
                <w:highlight w:val="none"/>
                <w:lang w:val="en-US" w:eastAsia="zh-CN"/>
              </w:rPr>
              <w:t>采购人</w:t>
            </w:r>
            <w:r>
              <w:rPr>
                <w:rFonts w:hint="default" w:ascii="Times New Roman" w:hAnsi="Times New Roman" w:eastAsia="宋体" w:cs="Times New Roman"/>
                <w:color w:val="auto"/>
                <w:sz w:val="21"/>
                <w:szCs w:val="21"/>
                <w:highlight w:val="none"/>
              </w:rPr>
              <w:t>规定的竣工日内必须无条件完成整个项目的竣工及验收，并及时做好验收整改，保证项目在规定的时间内顺利完成。</w:t>
            </w:r>
          </w:p>
        </w:tc>
        <w:tc>
          <w:tcPr>
            <w:tcW w:w="1701" w:type="dxa"/>
            <w:vAlign w:val="center"/>
          </w:tcPr>
          <w:p w14:paraId="4780D197">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5246B0F9">
            <w:pPr>
              <w:shd w:val="clear"/>
              <w:spacing w:line="360" w:lineRule="auto"/>
              <w:jc w:val="center"/>
              <w:rPr>
                <w:rFonts w:asciiTheme="minorEastAsia" w:hAnsiTheme="minorEastAsia" w:eastAsiaTheme="minorEastAsia" w:cstheme="minorEastAsia"/>
                <w:b/>
                <w:color w:val="auto"/>
                <w:kern w:val="0"/>
                <w:sz w:val="32"/>
                <w:szCs w:val="32"/>
                <w:highlight w:val="none"/>
              </w:rPr>
            </w:pPr>
          </w:p>
        </w:tc>
      </w:tr>
      <w:tr w14:paraId="00237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A4E0E70">
            <w:pPr>
              <w:shd w:val="clear"/>
              <w:spacing w:line="360" w:lineRule="auto"/>
              <w:jc w:val="center"/>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4</w:t>
            </w:r>
          </w:p>
        </w:tc>
        <w:tc>
          <w:tcPr>
            <w:tcW w:w="5528" w:type="dxa"/>
            <w:vAlign w:val="center"/>
          </w:tcPr>
          <w:p w14:paraId="6C4B11BA">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供应商须保证施工使用材料的安全性和可靠性。本项目所有施工使用的材料、设备、工具应符合环保、消防、文保等要求。</w:t>
            </w:r>
          </w:p>
        </w:tc>
        <w:tc>
          <w:tcPr>
            <w:tcW w:w="1701" w:type="dxa"/>
            <w:vAlign w:val="center"/>
          </w:tcPr>
          <w:p w14:paraId="53751890">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71F148B3">
            <w:pPr>
              <w:shd w:val="clear"/>
              <w:spacing w:line="360" w:lineRule="auto"/>
              <w:jc w:val="center"/>
              <w:rPr>
                <w:rFonts w:asciiTheme="minorEastAsia" w:hAnsiTheme="minorEastAsia" w:eastAsiaTheme="minorEastAsia" w:cstheme="minorEastAsia"/>
                <w:b/>
                <w:color w:val="auto"/>
                <w:kern w:val="0"/>
                <w:sz w:val="32"/>
                <w:szCs w:val="32"/>
                <w:highlight w:val="none"/>
              </w:rPr>
            </w:pPr>
          </w:p>
        </w:tc>
      </w:tr>
      <w:tr w14:paraId="32126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1EC487B9">
            <w:pPr>
              <w:shd w:val="clear"/>
              <w:spacing w:line="360" w:lineRule="auto"/>
              <w:jc w:val="center"/>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5</w:t>
            </w:r>
          </w:p>
        </w:tc>
        <w:tc>
          <w:tcPr>
            <w:tcW w:w="5528" w:type="dxa"/>
            <w:vAlign w:val="center"/>
          </w:tcPr>
          <w:p w14:paraId="69769BEF">
            <w:pPr>
              <w:keepNext w:val="0"/>
              <w:keepLines w:val="0"/>
              <w:pageBreakBefore w:val="0"/>
              <w:widowControl w:val="0"/>
              <w:numPr>
                <w:ilvl w:val="0"/>
                <w:numId w:val="0"/>
              </w:numPr>
              <w:kinsoku w:val="0"/>
              <w:wordWrap/>
              <w:overflowPunct/>
              <w:topLinePunct w:val="0"/>
              <w:autoSpaceDE/>
              <w:autoSpaceDN/>
              <w:bidi w:val="0"/>
              <w:adjustRightInd/>
              <w:snapToGrid/>
              <w:spacing w:line="400" w:lineRule="exact"/>
              <w:ind w:leftChars="0"/>
              <w:jc w:val="left"/>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须严格按照国家法律规定安全生产、文明施工、保障现场安全、杜绝火灾坠物等事故发生。</w:t>
            </w:r>
          </w:p>
          <w:p w14:paraId="26D810AB">
            <w:pPr>
              <w:shd w:val="clear"/>
              <w:spacing w:beforeLines="50" w:line="360" w:lineRule="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必须为全体作业员工购买社保或人身意外保险，必须重视安全生产工作，确保全年不出生产责任事故。如</w:t>
            </w:r>
            <w:r>
              <w:rPr>
                <w:rFonts w:hint="default" w:ascii="Times New Roman" w:hAnsi="Times New Roman" w:eastAsia="宋体" w:cs="Times New Roman"/>
                <w:color w:val="auto"/>
                <w:sz w:val="21"/>
                <w:szCs w:val="21"/>
                <w:highlight w:val="none"/>
                <w:lang w:val="en-US" w:eastAsia="zh-Hans"/>
              </w:rPr>
              <w:t>因</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lang w:val="en-US" w:eastAsia="zh-Hans"/>
              </w:rPr>
              <w:t>原因</w:t>
            </w:r>
            <w:r>
              <w:rPr>
                <w:rFonts w:hint="default" w:ascii="Times New Roman" w:hAnsi="Times New Roman" w:eastAsia="宋体" w:cs="Times New Roman"/>
                <w:color w:val="auto"/>
                <w:sz w:val="21"/>
                <w:szCs w:val="21"/>
                <w:highlight w:val="none"/>
              </w:rPr>
              <w:t>发生安全生产责任事故或交通事故，由</w:t>
            </w:r>
            <w:r>
              <w:rPr>
                <w:rFonts w:hint="default" w:ascii="Times New Roman" w:hAnsi="Times New Roman" w:eastAsia="宋体" w:cs="Times New Roman"/>
                <w:color w:val="auto"/>
                <w:sz w:val="21"/>
                <w:szCs w:val="21"/>
                <w:highlight w:val="none"/>
                <w:lang w:val="en-US" w:eastAsia="zh-CN"/>
              </w:rPr>
              <w:t>成交供应商</w:t>
            </w:r>
            <w:r>
              <w:rPr>
                <w:rFonts w:hint="default" w:ascii="Times New Roman" w:hAnsi="Times New Roman" w:eastAsia="宋体" w:cs="Times New Roman"/>
                <w:color w:val="auto"/>
                <w:sz w:val="21"/>
                <w:szCs w:val="21"/>
                <w:highlight w:val="none"/>
              </w:rPr>
              <w:t>承担一切责任及损失。</w:t>
            </w:r>
          </w:p>
        </w:tc>
        <w:tc>
          <w:tcPr>
            <w:tcW w:w="1701" w:type="dxa"/>
            <w:vAlign w:val="center"/>
          </w:tcPr>
          <w:p w14:paraId="01C8781B">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170B275D">
            <w:pPr>
              <w:shd w:val="clear"/>
              <w:spacing w:line="360" w:lineRule="auto"/>
              <w:jc w:val="center"/>
              <w:rPr>
                <w:rFonts w:asciiTheme="minorEastAsia" w:hAnsiTheme="minorEastAsia" w:eastAsiaTheme="minorEastAsia" w:cstheme="minorEastAsia"/>
                <w:b/>
                <w:color w:val="auto"/>
                <w:kern w:val="0"/>
                <w:sz w:val="32"/>
                <w:szCs w:val="32"/>
                <w:highlight w:val="none"/>
              </w:rPr>
            </w:pPr>
          </w:p>
        </w:tc>
      </w:tr>
      <w:tr w14:paraId="63F5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C11A47B">
            <w:pPr>
              <w:shd w:val="clear"/>
              <w:spacing w:line="360" w:lineRule="auto"/>
              <w:jc w:val="center"/>
              <w:rPr>
                <w:rFonts w:hint="default"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6</w:t>
            </w:r>
          </w:p>
        </w:tc>
        <w:tc>
          <w:tcPr>
            <w:tcW w:w="5528" w:type="dxa"/>
            <w:vAlign w:val="center"/>
          </w:tcPr>
          <w:p w14:paraId="4E2A9AD4">
            <w:pPr>
              <w:shd w:val="clear"/>
              <w:spacing w:beforeLines="50" w:line="360" w:lineRule="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除上述列明内容外的其它技术条款</w:t>
            </w:r>
          </w:p>
        </w:tc>
        <w:tc>
          <w:tcPr>
            <w:tcW w:w="1701" w:type="dxa"/>
            <w:vAlign w:val="center"/>
          </w:tcPr>
          <w:p w14:paraId="591EE03D">
            <w:pPr>
              <w:shd w:val="clear"/>
              <w:spacing w:line="360" w:lineRule="auto"/>
              <w:jc w:val="center"/>
              <w:rPr>
                <w:rFonts w:asciiTheme="minorEastAsia" w:hAnsiTheme="minorEastAsia" w:eastAsiaTheme="minorEastAsia" w:cstheme="minorEastAsia"/>
                <w:b/>
                <w:color w:val="auto"/>
                <w:kern w:val="0"/>
                <w:sz w:val="32"/>
                <w:szCs w:val="32"/>
                <w:highlight w:val="none"/>
              </w:rPr>
            </w:pPr>
          </w:p>
        </w:tc>
        <w:tc>
          <w:tcPr>
            <w:tcW w:w="1276" w:type="dxa"/>
            <w:vAlign w:val="center"/>
          </w:tcPr>
          <w:p w14:paraId="45738623">
            <w:pPr>
              <w:shd w:val="clear"/>
              <w:spacing w:line="360" w:lineRule="auto"/>
              <w:jc w:val="center"/>
              <w:rPr>
                <w:rFonts w:asciiTheme="minorEastAsia" w:hAnsiTheme="minorEastAsia" w:eastAsiaTheme="minorEastAsia" w:cstheme="minorEastAsia"/>
                <w:b/>
                <w:color w:val="auto"/>
                <w:kern w:val="0"/>
                <w:sz w:val="32"/>
                <w:szCs w:val="32"/>
                <w:highlight w:val="none"/>
              </w:rPr>
            </w:pPr>
          </w:p>
        </w:tc>
      </w:tr>
    </w:tbl>
    <w:p w14:paraId="7288305B">
      <w:pPr>
        <w:shd w:val="clear"/>
        <w:spacing w:line="360" w:lineRule="auto"/>
        <w:jc w:val="left"/>
        <w:rPr>
          <w:rFonts w:ascii="宋体" w:hAnsi="宋体" w:cs="宋体"/>
          <w:b/>
          <w:color w:val="auto"/>
          <w:szCs w:val="21"/>
          <w:highlight w:val="none"/>
        </w:rPr>
      </w:pPr>
      <w:r>
        <w:rPr>
          <w:rFonts w:hint="eastAsia" w:asciiTheme="minorEastAsia" w:hAnsiTheme="minorEastAsia" w:eastAsiaTheme="minorEastAsia" w:cstheme="minorEastAsia"/>
          <w:color w:val="auto"/>
          <w:kern w:val="0"/>
          <w:sz w:val="24"/>
          <w:highlight w:val="none"/>
        </w:rPr>
        <w:t>供应商保证：除</w:t>
      </w:r>
      <w:r>
        <w:rPr>
          <w:rFonts w:hint="eastAsia" w:asciiTheme="minorEastAsia" w:hAnsiTheme="minorEastAsia" w:eastAsiaTheme="minorEastAsia" w:cstheme="minorEastAsia"/>
          <w:color w:val="auto"/>
          <w:kern w:val="0"/>
          <w:sz w:val="24"/>
          <w:highlight w:val="none"/>
          <w:lang w:val="en-US" w:eastAsia="zh-CN"/>
        </w:rPr>
        <w:t>技术响应</w:t>
      </w:r>
      <w:r>
        <w:rPr>
          <w:rFonts w:hint="eastAsia" w:asciiTheme="minorEastAsia" w:hAnsiTheme="minorEastAsia" w:eastAsiaTheme="minorEastAsia" w:cstheme="minorEastAsia"/>
          <w:color w:val="auto"/>
          <w:kern w:val="0"/>
          <w:sz w:val="24"/>
          <w:highlight w:val="none"/>
        </w:rPr>
        <w:t>表列出的偏离外，供应商响应采购文件的全部</w:t>
      </w:r>
      <w:r>
        <w:rPr>
          <w:rFonts w:hint="eastAsia" w:asciiTheme="minorEastAsia" w:hAnsiTheme="minorEastAsia" w:eastAsiaTheme="minorEastAsia" w:cstheme="minorEastAsia"/>
          <w:color w:val="auto"/>
          <w:kern w:val="0"/>
          <w:sz w:val="24"/>
          <w:highlight w:val="none"/>
          <w:lang w:val="en-US" w:eastAsia="zh-CN"/>
        </w:rPr>
        <w:t>技术</w:t>
      </w:r>
      <w:r>
        <w:rPr>
          <w:rFonts w:hint="eastAsia" w:asciiTheme="minorEastAsia" w:hAnsiTheme="minorEastAsia" w:eastAsiaTheme="minorEastAsia" w:cstheme="minorEastAsia"/>
          <w:color w:val="auto"/>
          <w:kern w:val="0"/>
          <w:sz w:val="24"/>
          <w:highlight w:val="none"/>
        </w:rPr>
        <w:t>要求。供应商需完全响应以上</w:t>
      </w:r>
      <w:r>
        <w:rPr>
          <w:rFonts w:hint="eastAsia" w:asciiTheme="minorEastAsia" w:hAnsiTheme="minorEastAsia" w:eastAsiaTheme="minorEastAsia" w:cstheme="minorEastAsia"/>
          <w:color w:val="auto"/>
          <w:kern w:val="0"/>
          <w:sz w:val="24"/>
          <w:highlight w:val="none"/>
          <w:lang w:val="en-US" w:eastAsia="zh-CN"/>
        </w:rPr>
        <w:t>技术</w:t>
      </w:r>
      <w:r>
        <w:rPr>
          <w:rFonts w:hint="eastAsia" w:asciiTheme="minorEastAsia" w:hAnsiTheme="minorEastAsia" w:eastAsiaTheme="minorEastAsia" w:cstheme="minorEastAsia"/>
          <w:color w:val="auto"/>
          <w:kern w:val="0"/>
          <w:sz w:val="24"/>
          <w:highlight w:val="none"/>
        </w:rPr>
        <w:t>条款要求并在“是否响应”一栏里明确，未明确响应的作无效标处理。如有优于的，可以在“优于情况说明”一栏里详细说明。</w:t>
      </w:r>
    </w:p>
    <w:p w14:paraId="6C5E5611">
      <w:pPr>
        <w:shd w:val="clear"/>
        <w:spacing w:beforeLines="50" w:line="360" w:lineRule="auto"/>
        <w:ind w:firstLine="422" w:firstLineChars="200"/>
        <w:rPr>
          <w:rFonts w:ascii="宋体" w:hAnsi="宋体" w:cs="宋体"/>
          <w:b/>
          <w:color w:val="auto"/>
          <w:szCs w:val="21"/>
          <w:highlight w:val="none"/>
        </w:rPr>
      </w:pPr>
    </w:p>
    <w:p w14:paraId="16A2639A">
      <w:pPr>
        <w:shd w:val="clear"/>
        <w:spacing w:beforeLines="50" w:line="360" w:lineRule="auto"/>
        <w:ind w:firstLine="422" w:firstLineChars="200"/>
        <w:rPr>
          <w:rFonts w:ascii="宋体" w:hAnsi="宋体" w:cs="宋体"/>
          <w:b/>
          <w:color w:val="auto"/>
          <w:szCs w:val="21"/>
          <w:highlight w:val="none"/>
        </w:rPr>
      </w:pPr>
    </w:p>
    <w:p w14:paraId="010419D3">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1476305C">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2CED1989">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32EF6828">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rPr>
        <w:br w:type="page"/>
      </w:r>
      <w:r>
        <w:rPr>
          <w:rFonts w:hint="eastAsia" w:asciiTheme="minorEastAsia" w:hAnsiTheme="minorEastAsia" w:eastAsiaTheme="minorEastAsia" w:cstheme="minorEastAsia"/>
          <w:b/>
          <w:color w:val="auto"/>
          <w:kern w:val="0"/>
          <w:sz w:val="32"/>
          <w:szCs w:val="32"/>
          <w:highlight w:val="none"/>
        </w:rPr>
        <w:t>同类业绩情况一览表</w:t>
      </w:r>
    </w:p>
    <w:p w14:paraId="4637FF5B">
      <w:pPr>
        <w:shd w:val="clear"/>
        <w:spacing w:line="360" w:lineRule="auto"/>
        <w:jc w:val="center"/>
        <w:rPr>
          <w:rFonts w:asciiTheme="minorEastAsia" w:hAnsiTheme="minorEastAsia" w:eastAsiaTheme="minorEastAsia" w:cstheme="minorEastAsia"/>
          <w:color w:val="auto"/>
          <w:highlight w:val="none"/>
        </w:rPr>
      </w:pPr>
    </w:p>
    <w:tbl>
      <w:tblPr>
        <w:tblStyle w:val="26"/>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829"/>
        <w:gridCol w:w="1701"/>
        <w:gridCol w:w="1693"/>
        <w:gridCol w:w="1950"/>
        <w:gridCol w:w="1792"/>
      </w:tblGrid>
      <w:tr w14:paraId="202461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2EA1C0E3">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序号</w:t>
            </w:r>
          </w:p>
        </w:tc>
        <w:tc>
          <w:tcPr>
            <w:tcW w:w="1829" w:type="dxa"/>
            <w:tcBorders>
              <w:top w:val="single" w:color="auto" w:sz="4" w:space="0"/>
              <w:left w:val="single" w:color="auto" w:sz="4" w:space="0"/>
              <w:bottom w:val="single" w:color="auto" w:sz="4" w:space="0"/>
              <w:right w:val="single" w:color="auto" w:sz="4" w:space="0"/>
            </w:tcBorders>
            <w:vAlign w:val="center"/>
          </w:tcPr>
          <w:p w14:paraId="51C24C71">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采购单位名称</w:t>
            </w:r>
          </w:p>
        </w:tc>
        <w:tc>
          <w:tcPr>
            <w:tcW w:w="1701" w:type="dxa"/>
            <w:tcBorders>
              <w:top w:val="single" w:color="auto" w:sz="4" w:space="0"/>
              <w:left w:val="single" w:color="auto" w:sz="4" w:space="0"/>
              <w:right w:val="single" w:color="auto" w:sz="4" w:space="0"/>
            </w:tcBorders>
            <w:vAlign w:val="center"/>
          </w:tcPr>
          <w:p w14:paraId="2F3D0BFD">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项目名称</w:t>
            </w:r>
          </w:p>
        </w:tc>
        <w:tc>
          <w:tcPr>
            <w:tcW w:w="1693" w:type="dxa"/>
            <w:tcBorders>
              <w:top w:val="single" w:color="auto" w:sz="4" w:space="0"/>
              <w:left w:val="single" w:color="auto" w:sz="4" w:space="0"/>
              <w:bottom w:val="single" w:color="auto" w:sz="4" w:space="0"/>
              <w:right w:val="single" w:color="auto" w:sz="4" w:space="0"/>
            </w:tcBorders>
            <w:vAlign w:val="center"/>
          </w:tcPr>
          <w:p w14:paraId="5C2FD71D">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合同金额</w:t>
            </w:r>
          </w:p>
          <w:p w14:paraId="27224B8A">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735A793B">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78953055">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合同签订时间</w:t>
            </w:r>
          </w:p>
        </w:tc>
      </w:tr>
      <w:tr w14:paraId="6B12B1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6B5F173D">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1829" w:type="dxa"/>
            <w:tcBorders>
              <w:top w:val="single" w:color="auto" w:sz="4" w:space="0"/>
              <w:left w:val="single" w:color="auto" w:sz="4" w:space="0"/>
              <w:bottom w:val="single" w:color="auto" w:sz="4" w:space="0"/>
              <w:right w:val="single" w:color="auto" w:sz="4" w:space="0"/>
            </w:tcBorders>
            <w:vAlign w:val="center"/>
          </w:tcPr>
          <w:p w14:paraId="38628DBF">
            <w:pPr>
              <w:shd w:val="clea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6196ACFB">
            <w:pPr>
              <w:shd w:val="clea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2844DB40">
            <w:pPr>
              <w:shd w:val="clea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28D0F4AE">
            <w:pPr>
              <w:shd w:val="clea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6163C555">
            <w:pPr>
              <w:shd w:val="clear"/>
              <w:spacing w:line="360" w:lineRule="auto"/>
              <w:jc w:val="left"/>
              <w:rPr>
                <w:rFonts w:asciiTheme="minorEastAsia" w:hAnsiTheme="minorEastAsia" w:eastAsiaTheme="minorEastAsia" w:cstheme="minorEastAsia"/>
                <w:color w:val="auto"/>
                <w:kern w:val="0"/>
                <w:sz w:val="24"/>
                <w:highlight w:val="none"/>
              </w:rPr>
            </w:pPr>
          </w:p>
        </w:tc>
      </w:tr>
      <w:tr w14:paraId="35EC5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7663280">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1829" w:type="dxa"/>
            <w:tcBorders>
              <w:top w:val="single" w:color="auto" w:sz="4" w:space="0"/>
              <w:left w:val="single" w:color="auto" w:sz="4" w:space="0"/>
              <w:bottom w:val="single" w:color="auto" w:sz="4" w:space="0"/>
              <w:right w:val="single" w:color="auto" w:sz="4" w:space="0"/>
            </w:tcBorders>
            <w:vAlign w:val="center"/>
          </w:tcPr>
          <w:p w14:paraId="11F2B6D2">
            <w:pPr>
              <w:shd w:val="clea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4745BFED">
            <w:pPr>
              <w:shd w:val="clea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72499481">
            <w:pPr>
              <w:shd w:val="clea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2C03D2C">
            <w:pPr>
              <w:shd w:val="clea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00E15647">
            <w:pPr>
              <w:shd w:val="clear"/>
              <w:spacing w:line="360" w:lineRule="auto"/>
              <w:jc w:val="left"/>
              <w:rPr>
                <w:rFonts w:asciiTheme="minorEastAsia" w:hAnsiTheme="minorEastAsia" w:eastAsiaTheme="minorEastAsia" w:cstheme="minorEastAsia"/>
                <w:color w:val="auto"/>
                <w:kern w:val="0"/>
                <w:sz w:val="24"/>
                <w:highlight w:val="none"/>
              </w:rPr>
            </w:pPr>
          </w:p>
        </w:tc>
      </w:tr>
      <w:tr w14:paraId="3F0B09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10CAE5F1">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w:t>
            </w:r>
          </w:p>
        </w:tc>
        <w:tc>
          <w:tcPr>
            <w:tcW w:w="1829" w:type="dxa"/>
            <w:tcBorders>
              <w:top w:val="single" w:color="auto" w:sz="4" w:space="0"/>
              <w:left w:val="single" w:color="auto" w:sz="4" w:space="0"/>
              <w:bottom w:val="single" w:color="auto" w:sz="4" w:space="0"/>
              <w:right w:val="single" w:color="auto" w:sz="4" w:space="0"/>
            </w:tcBorders>
            <w:vAlign w:val="center"/>
          </w:tcPr>
          <w:p w14:paraId="4BD6D4D0">
            <w:pPr>
              <w:shd w:val="clea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0477123B">
            <w:pPr>
              <w:shd w:val="clea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60223517">
            <w:pPr>
              <w:shd w:val="clea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162D068F">
            <w:pPr>
              <w:shd w:val="clea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1424812C">
            <w:pPr>
              <w:shd w:val="clear"/>
              <w:spacing w:line="360" w:lineRule="auto"/>
              <w:jc w:val="left"/>
              <w:rPr>
                <w:rFonts w:asciiTheme="minorEastAsia" w:hAnsiTheme="minorEastAsia" w:eastAsiaTheme="minorEastAsia" w:cstheme="minorEastAsia"/>
                <w:color w:val="auto"/>
                <w:kern w:val="0"/>
                <w:sz w:val="24"/>
                <w:highlight w:val="none"/>
              </w:rPr>
            </w:pPr>
          </w:p>
        </w:tc>
      </w:tr>
      <w:tr w14:paraId="013F73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7093BC4">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w:t>
            </w:r>
          </w:p>
        </w:tc>
        <w:tc>
          <w:tcPr>
            <w:tcW w:w="1829" w:type="dxa"/>
            <w:tcBorders>
              <w:top w:val="single" w:color="auto" w:sz="4" w:space="0"/>
              <w:left w:val="single" w:color="auto" w:sz="4" w:space="0"/>
              <w:bottom w:val="single" w:color="auto" w:sz="4" w:space="0"/>
              <w:right w:val="single" w:color="auto" w:sz="4" w:space="0"/>
            </w:tcBorders>
            <w:vAlign w:val="center"/>
          </w:tcPr>
          <w:p w14:paraId="688E6F15">
            <w:pPr>
              <w:shd w:val="clea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3BBC75E6">
            <w:pPr>
              <w:shd w:val="clea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1D49A920">
            <w:pPr>
              <w:shd w:val="clea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3FF1EDDF">
            <w:pPr>
              <w:shd w:val="clea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4F62D9C6">
            <w:pPr>
              <w:shd w:val="clear"/>
              <w:spacing w:line="360" w:lineRule="auto"/>
              <w:jc w:val="left"/>
              <w:rPr>
                <w:rFonts w:asciiTheme="minorEastAsia" w:hAnsiTheme="minorEastAsia" w:eastAsiaTheme="minorEastAsia" w:cstheme="minorEastAsia"/>
                <w:color w:val="auto"/>
                <w:kern w:val="0"/>
                <w:sz w:val="24"/>
                <w:highlight w:val="none"/>
              </w:rPr>
            </w:pPr>
          </w:p>
        </w:tc>
      </w:tr>
      <w:tr w14:paraId="6D463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2BFD4771">
            <w:pPr>
              <w:shd w:val="clear"/>
              <w:spacing w:line="360" w:lineRule="auto"/>
              <w:jc w:val="center"/>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5</w:t>
            </w:r>
          </w:p>
        </w:tc>
        <w:tc>
          <w:tcPr>
            <w:tcW w:w="1829" w:type="dxa"/>
            <w:tcBorders>
              <w:top w:val="single" w:color="auto" w:sz="4" w:space="0"/>
              <w:left w:val="single" w:color="auto" w:sz="4" w:space="0"/>
              <w:bottom w:val="single" w:color="auto" w:sz="4" w:space="0"/>
              <w:right w:val="single" w:color="auto" w:sz="4" w:space="0"/>
            </w:tcBorders>
            <w:vAlign w:val="center"/>
          </w:tcPr>
          <w:p w14:paraId="28692BC6">
            <w:pPr>
              <w:shd w:val="clear"/>
              <w:spacing w:line="360" w:lineRule="auto"/>
              <w:jc w:val="left"/>
              <w:rPr>
                <w:rFonts w:asciiTheme="minorEastAsia" w:hAnsiTheme="minorEastAsia" w:eastAsiaTheme="minorEastAsia" w:cstheme="minorEastAsia"/>
                <w:color w:val="auto"/>
                <w:kern w:val="0"/>
                <w:sz w:val="24"/>
                <w:highlight w:val="none"/>
              </w:rPr>
            </w:pPr>
          </w:p>
        </w:tc>
        <w:tc>
          <w:tcPr>
            <w:tcW w:w="1701" w:type="dxa"/>
            <w:tcBorders>
              <w:top w:val="single" w:color="auto" w:sz="4" w:space="0"/>
              <w:left w:val="single" w:color="auto" w:sz="4" w:space="0"/>
              <w:bottom w:val="single" w:color="auto" w:sz="4" w:space="0"/>
              <w:right w:val="single" w:color="auto" w:sz="4" w:space="0"/>
            </w:tcBorders>
            <w:vAlign w:val="center"/>
          </w:tcPr>
          <w:p w14:paraId="6A2C6A3F">
            <w:pPr>
              <w:shd w:val="clear"/>
              <w:spacing w:line="360" w:lineRule="auto"/>
              <w:jc w:val="left"/>
              <w:rPr>
                <w:rFonts w:asciiTheme="minorEastAsia" w:hAnsiTheme="minorEastAsia" w:eastAsiaTheme="minorEastAsia" w:cstheme="minorEastAsia"/>
                <w:color w:val="auto"/>
                <w:kern w:val="0"/>
                <w:sz w:val="24"/>
                <w:highlight w:val="none"/>
              </w:rPr>
            </w:pPr>
          </w:p>
        </w:tc>
        <w:tc>
          <w:tcPr>
            <w:tcW w:w="1693" w:type="dxa"/>
            <w:tcBorders>
              <w:top w:val="single" w:color="auto" w:sz="4" w:space="0"/>
              <w:left w:val="single" w:color="auto" w:sz="4" w:space="0"/>
              <w:bottom w:val="single" w:color="auto" w:sz="4" w:space="0"/>
              <w:right w:val="single" w:color="auto" w:sz="4" w:space="0"/>
            </w:tcBorders>
            <w:vAlign w:val="center"/>
          </w:tcPr>
          <w:p w14:paraId="60C80458">
            <w:pPr>
              <w:shd w:val="clear"/>
              <w:spacing w:line="360" w:lineRule="auto"/>
              <w:jc w:val="left"/>
              <w:rPr>
                <w:rFonts w:asciiTheme="minorEastAsia" w:hAnsiTheme="minorEastAsia" w:eastAsiaTheme="minorEastAsia" w:cstheme="min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68F7101F">
            <w:pPr>
              <w:shd w:val="clear"/>
              <w:spacing w:line="360" w:lineRule="auto"/>
              <w:jc w:val="left"/>
              <w:rPr>
                <w:rFonts w:asciiTheme="minorEastAsia" w:hAnsiTheme="minorEastAsia" w:eastAsiaTheme="minorEastAsia" w:cstheme="min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54BCADED">
            <w:pPr>
              <w:shd w:val="clear"/>
              <w:spacing w:line="360" w:lineRule="auto"/>
              <w:jc w:val="left"/>
              <w:rPr>
                <w:rFonts w:asciiTheme="minorEastAsia" w:hAnsiTheme="minorEastAsia" w:eastAsiaTheme="minorEastAsia" w:cstheme="minorEastAsia"/>
                <w:color w:val="auto"/>
                <w:kern w:val="0"/>
                <w:sz w:val="24"/>
                <w:highlight w:val="none"/>
              </w:rPr>
            </w:pPr>
          </w:p>
        </w:tc>
      </w:tr>
    </w:tbl>
    <w:p w14:paraId="22D87C4C">
      <w:pPr>
        <w:shd w:val="clear"/>
        <w:spacing w:line="360" w:lineRule="auto"/>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附：评分标准要求的证明材料</w:t>
      </w:r>
    </w:p>
    <w:p w14:paraId="29FCCE0F">
      <w:pPr>
        <w:shd w:val="clear"/>
        <w:spacing w:line="360" w:lineRule="auto"/>
        <w:jc w:val="left"/>
        <w:rPr>
          <w:rFonts w:asciiTheme="minorEastAsia" w:hAnsiTheme="minorEastAsia" w:eastAsiaTheme="minorEastAsia" w:cstheme="minorEastAsia"/>
          <w:color w:val="auto"/>
          <w:kern w:val="0"/>
          <w:sz w:val="24"/>
          <w:highlight w:val="none"/>
        </w:rPr>
      </w:pPr>
    </w:p>
    <w:p w14:paraId="0C6B91FF">
      <w:pPr>
        <w:shd w:val="clear"/>
        <w:spacing w:line="360" w:lineRule="auto"/>
        <w:jc w:val="left"/>
        <w:rPr>
          <w:rFonts w:asciiTheme="minorEastAsia" w:hAnsiTheme="minorEastAsia" w:eastAsiaTheme="minorEastAsia" w:cstheme="minorEastAsia"/>
          <w:color w:val="auto"/>
          <w:kern w:val="0"/>
          <w:sz w:val="24"/>
          <w:highlight w:val="none"/>
        </w:rPr>
      </w:pPr>
    </w:p>
    <w:p w14:paraId="3BC53F27">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17BB86C6">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3E1ABAB2">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4F45CABD">
      <w:pPr>
        <w:shd w:val="clear"/>
        <w:spacing w:line="360" w:lineRule="auto"/>
        <w:ind w:left="4620" w:leftChars="2200"/>
        <w:jc w:val="left"/>
        <w:rPr>
          <w:rFonts w:asciiTheme="minorEastAsia" w:hAnsiTheme="minorEastAsia" w:eastAsiaTheme="minorEastAsia" w:cstheme="minorEastAsia"/>
          <w:b/>
          <w:color w:val="auto"/>
          <w:kern w:val="0"/>
          <w:sz w:val="32"/>
          <w:szCs w:val="32"/>
          <w:highlight w:val="none"/>
          <w:lang w:val="zh-CN"/>
        </w:rPr>
      </w:pPr>
    </w:p>
    <w:p w14:paraId="29B3DA9D">
      <w:pPr>
        <w:numPr>
          <w:ilvl w:val="0"/>
          <w:numId w:val="7"/>
        </w:numPr>
        <w:shd w:val="clear"/>
        <w:snapToGrid w:val="0"/>
        <w:spacing w:line="360" w:lineRule="auto"/>
        <w:jc w:val="center"/>
        <w:outlineLvl w:val="0"/>
        <w:rPr>
          <w:rFonts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r>
        <w:rPr>
          <w:rFonts w:hint="eastAsia" w:asciiTheme="minorEastAsia" w:hAnsiTheme="minorEastAsia" w:eastAsiaTheme="minorEastAsia" w:cstheme="minorEastAsia"/>
          <w:b/>
          <w:color w:val="auto"/>
          <w:kern w:val="0"/>
          <w:sz w:val="32"/>
          <w:szCs w:val="32"/>
          <w:highlight w:val="none"/>
          <w:lang w:val="zh-CN"/>
        </w:rPr>
        <w:t>采购供应商廉洁自律承诺书</w:t>
      </w:r>
    </w:p>
    <w:p w14:paraId="6801ADCE">
      <w:pPr>
        <w:shd w:val="clear"/>
        <w:snapToGrid w:val="0"/>
        <w:spacing w:line="360" w:lineRule="auto"/>
        <w:rPr>
          <w:rFonts w:asciiTheme="minorEastAsia" w:hAnsiTheme="minorEastAsia" w:eastAsiaTheme="minorEastAsia" w:cstheme="minorEastAsia"/>
          <w:color w:val="auto"/>
          <w:sz w:val="24"/>
          <w:highlight w:val="none"/>
        </w:rPr>
      </w:pPr>
    </w:p>
    <w:p w14:paraId="6D251B0E">
      <w:pPr>
        <w:shd w:val="clear"/>
        <w:snapToGrid w:val="0"/>
        <w:spacing w:line="360" w:lineRule="auto"/>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（采购人）、（采购代理机构）</w:t>
      </w:r>
      <w:r>
        <w:rPr>
          <w:rFonts w:hint="eastAsia" w:asciiTheme="minorEastAsia" w:hAnsiTheme="minorEastAsia" w:eastAsiaTheme="minorEastAsia" w:cstheme="minorEastAsia"/>
          <w:color w:val="auto"/>
          <w:kern w:val="0"/>
          <w:sz w:val="24"/>
          <w:highlight w:val="none"/>
          <w:lang w:val="zh-CN"/>
        </w:rPr>
        <w:t>：</w:t>
      </w:r>
    </w:p>
    <w:p w14:paraId="2187120E">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项目磋商要求参加磋商采购活动。在这次采购过程中和成交后，我们将严格遵守国家法律法规要求，并郑重承诺：</w:t>
      </w:r>
    </w:p>
    <w:p w14:paraId="4397F51E">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449705D8">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6A6EDC5A">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11607E7E">
      <w:pPr>
        <w:shd w:val="clear"/>
        <w:autoSpaceDE w:val="0"/>
        <w:autoSpaceDN w:val="0"/>
        <w:spacing w:line="360" w:lineRule="auto"/>
        <w:ind w:left="2" w:leftChars="1"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0D41A3E0">
      <w:pPr>
        <w:shd w:val="clea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309AAB5F">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7BC05768">
      <w:pPr>
        <w:shd w:val="clear"/>
        <w:autoSpaceDE w:val="0"/>
        <w:autoSpaceDN w:val="0"/>
        <w:spacing w:line="360" w:lineRule="auto"/>
        <w:ind w:left="481" w:leftChars="229"/>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六、严格遵守《</w:t>
      </w:r>
      <w:r>
        <w:rPr>
          <w:rFonts w:hint="eastAsia" w:asciiTheme="minorEastAsia" w:hAnsiTheme="minorEastAsia" w:eastAsiaTheme="minorEastAsia" w:cstheme="minorEastAsia"/>
          <w:color w:val="auto"/>
          <w:sz w:val="24"/>
          <w:highlight w:val="none"/>
          <w:lang w:val="zh-CN"/>
        </w:rPr>
        <w:t>中华人民共和国</w:t>
      </w:r>
      <w:r>
        <w:rPr>
          <w:rFonts w:hint="eastAsia" w:asciiTheme="minorEastAsia" w:hAnsiTheme="minorEastAsia" w:eastAsiaTheme="minorEastAsia" w:cstheme="minorEastAsia"/>
          <w:color w:val="auto"/>
          <w:kern w:val="0"/>
          <w:sz w:val="24"/>
          <w:highlight w:val="none"/>
          <w:lang w:val="zh-CN"/>
        </w:rPr>
        <w:t>政府采购法》</w:t>
      </w:r>
      <w:r>
        <w:rPr>
          <w:rFonts w:hint="eastAsia" w:asciiTheme="minorEastAsia" w:hAnsiTheme="minorEastAsia" w:eastAsiaTheme="minorEastAsia" w:cstheme="minorEastAsia"/>
          <w:color w:val="auto"/>
          <w:sz w:val="24"/>
          <w:highlight w:val="none"/>
          <w:lang w:val="zh-CN"/>
        </w:rPr>
        <w:t>《中华人民共和国民法典》</w:t>
      </w:r>
      <w:r>
        <w:rPr>
          <w:rFonts w:hint="eastAsia" w:asciiTheme="minorEastAsia" w:hAnsiTheme="minorEastAsia" w:eastAsiaTheme="minorEastAsia" w:cstheme="minorEastAsia"/>
          <w:color w:val="auto"/>
          <w:kern w:val="0"/>
          <w:sz w:val="24"/>
          <w:highlight w:val="none"/>
          <w:lang w:val="zh-CN"/>
        </w:rPr>
        <w:t xml:space="preserve">等法律法规，诚实守信，合法经营，坚决抵制各种违法违纪行为。 </w:t>
      </w:r>
    </w:p>
    <w:p w14:paraId="533276E5">
      <w:pPr>
        <w:shd w:val="clear"/>
        <w:autoSpaceDE w:val="0"/>
        <w:autoSpaceDN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有权立即取消我单位响应、成交或在建项目的建设资格，有权拒绝我单位在一定时期内进入你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67009D0C">
      <w:pPr>
        <w:shd w:val="clear"/>
        <w:autoSpaceDE w:val="0"/>
        <w:autoSpaceDN w:val="0"/>
        <w:spacing w:line="360" w:lineRule="auto"/>
        <w:jc w:val="left"/>
        <w:rPr>
          <w:rFonts w:asciiTheme="minorEastAsia" w:hAnsiTheme="minorEastAsia" w:eastAsiaTheme="minorEastAsia" w:cstheme="minorEastAsia"/>
          <w:color w:val="auto"/>
          <w:kern w:val="0"/>
          <w:sz w:val="24"/>
          <w:highlight w:val="none"/>
          <w:lang w:val="zh-CN"/>
        </w:rPr>
      </w:pPr>
    </w:p>
    <w:p w14:paraId="01357F47">
      <w:pPr>
        <w:shd w:val="clear"/>
        <w:autoSpaceDE w:val="0"/>
        <w:autoSpaceDN w:val="0"/>
        <w:spacing w:line="360" w:lineRule="auto"/>
        <w:ind w:left="2"/>
        <w:jc w:val="left"/>
        <w:rPr>
          <w:rFonts w:asciiTheme="minorEastAsia" w:hAnsiTheme="minorEastAsia" w:eastAsiaTheme="minorEastAsia" w:cstheme="minorEastAsia"/>
          <w:color w:val="auto"/>
          <w:kern w:val="0"/>
          <w:sz w:val="24"/>
          <w:highlight w:val="none"/>
          <w:lang w:val="zh-CN"/>
        </w:rPr>
      </w:pPr>
    </w:p>
    <w:p w14:paraId="5673A97A">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6E924143">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053CDD3A">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60434C46">
      <w:pPr>
        <w:shd w:val="clear"/>
        <w:spacing w:line="360" w:lineRule="auto"/>
        <w:ind w:left="4620" w:leftChars="2200"/>
        <w:rPr>
          <w:rFonts w:asciiTheme="minorEastAsia" w:hAnsiTheme="minorEastAsia" w:eastAsiaTheme="minorEastAsia" w:cstheme="minorEastAsia"/>
          <w:color w:val="auto"/>
          <w:sz w:val="24"/>
          <w:highlight w:val="none"/>
        </w:rPr>
      </w:pPr>
    </w:p>
    <w:p w14:paraId="6EA38653">
      <w:pPr>
        <w:shd w:val="clear"/>
        <w:spacing w:line="360" w:lineRule="auto"/>
        <w:jc w:val="center"/>
        <w:rPr>
          <w:rFonts w:asciiTheme="minorEastAsia" w:hAnsiTheme="minorEastAsia" w:eastAsiaTheme="minorEastAsia" w:cstheme="minorEastAsia"/>
          <w:b/>
          <w:bCs/>
          <w:color w:val="auto"/>
          <w:sz w:val="24"/>
          <w:highlight w:val="none"/>
        </w:rPr>
      </w:pPr>
    </w:p>
    <w:p w14:paraId="557EB805">
      <w:pPr>
        <w:shd w:val="clear"/>
        <w:spacing w:line="360" w:lineRule="auto"/>
        <w:jc w:val="center"/>
        <w:rPr>
          <w:rFonts w:asciiTheme="minorEastAsia" w:hAnsiTheme="minorEastAsia" w:eastAsiaTheme="minorEastAsia" w:cstheme="minorEastAsia"/>
          <w:b/>
          <w:bCs/>
          <w:color w:val="auto"/>
          <w:sz w:val="24"/>
          <w:highlight w:val="none"/>
        </w:rPr>
        <w:sectPr>
          <w:headerReference r:id="rId7" w:type="first"/>
          <w:footerReference r:id="rId9" w:type="first"/>
          <w:headerReference r:id="rId6" w:type="default"/>
          <w:footerReference r:id="rId8" w:type="default"/>
          <w:pgSz w:w="11906" w:h="16838"/>
          <w:pgMar w:top="1276" w:right="1418" w:bottom="1247" w:left="1418" w:header="851" w:footer="992" w:gutter="0"/>
          <w:cols w:space="720" w:num="1"/>
          <w:titlePg/>
          <w:docGrid w:linePitch="312" w:charSpace="0"/>
        </w:sectPr>
      </w:pPr>
    </w:p>
    <w:p w14:paraId="738DCC08">
      <w:pPr>
        <w:shd w:val="clear"/>
        <w:spacing w:line="360" w:lineRule="auto"/>
        <w:jc w:val="center"/>
        <w:outlineLvl w:val="0"/>
        <w:rPr>
          <w:rFonts w:asciiTheme="minorEastAsia" w:hAnsiTheme="minorEastAsia" w:eastAsiaTheme="minorEastAsia" w:cstheme="minorEastAsia"/>
          <w:b/>
          <w:color w:val="auto"/>
          <w:kern w:val="0"/>
          <w:sz w:val="36"/>
          <w:szCs w:val="36"/>
          <w:highlight w:val="none"/>
        </w:rPr>
      </w:pPr>
    </w:p>
    <w:p w14:paraId="47008993">
      <w:pPr>
        <w:shd w:val="clea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3CA6ECD5">
      <w:pPr>
        <w:shd w:val="clear"/>
        <w:spacing w:line="360" w:lineRule="auto"/>
        <w:jc w:val="center"/>
        <w:outlineLvl w:val="0"/>
        <w:rPr>
          <w:rFonts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3AD1ACB4">
      <w:pPr>
        <w:shd w:val="clear"/>
        <w:snapToGrid w:val="0"/>
        <w:spacing w:line="360" w:lineRule="auto"/>
        <w:ind w:firstLine="480" w:firstLineChars="200"/>
        <w:rPr>
          <w:rFonts w:asciiTheme="minorEastAsia" w:hAnsiTheme="minorEastAsia" w:eastAsiaTheme="minorEastAsia" w:cstheme="minorEastAsia"/>
          <w:color w:val="auto"/>
          <w:sz w:val="24"/>
          <w:highlight w:val="none"/>
          <w:u w:val="single"/>
          <w:lang w:val="zh-CN"/>
        </w:rPr>
      </w:pPr>
      <w:r>
        <w:rPr>
          <w:rFonts w:hint="eastAsia" w:asciiTheme="minorEastAsia" w:hAnsiTheme="minorEastAsia" w:eastAsiaTheme="minorEastAsia" w:cstheme="minorEastAsia"/>
          <w:color w:val="auto"/>
          <w:sz w:val="24"/>
          <w:highlight w:val="none"/>
        </w:rPr>
        <w:t xml:space="preserve"> </w:t>
      </w:r>
    </w:p>
    <w:p w14:paraId="74BF25FC">
      <w:pPr>
        <w:shd w:val="clea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1 报价一览表；</w:t>
      </w:r>
    </w:p>
    <w:p w14:paraId="03F9DD95">
      <w:pPr>
        <w:shd w:val="clea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t>2 响应报价明细表；</w:t>
      </w:r>
    </w:p>
    <w:p w14:paraId="7012C631">
      <w:pPr>
        <w:shd w:val="clea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 xml:space="preserve">3 </w:t>
      </w:r>
      <w:r>
        <w:rPr>
          <w:rFonts w:hint="eastAsia" w:asciiTheme="minorEastAsia" w:hAnsiTheme="minorEastAsia" w:eastAsiaTheme="minorEastAsia" w:cstheme="minorEastAsia"/>
          <w:color w:val="auto"/>
          <w:sz w:val="28"/>
          <w:szCs w:val="28"/>
          <w:highlight w:val="none"/>
        </w:rPr>
        <w:t>采购统计基础信息表；</w:t>
      </w:r>
    </w:p>
    <w:p w14:paraId="0C7C0072">
      <w:pPr>
        <w:shd w:val="clear"/>
        <w:snapToGrid w:val="0"/>
        <w:spacing w:line="360" w:lineRule="auto"/>
        <w:ind w:firstLine="1120" w:firstLineChars="400"/>
        <w:rPr>
          <w:rFonts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lang w:val="en-US" w:eastAsia="zh-CN"/>
        </w:rPr>
        <w:t>4</w:t>
      </w:r>
      <w:r>
        <w:rPr>
          <w:rFonts w:hint="eastAsia" w:asciiTheme="minorEastAsia" w:hAnsiTheme="minorEastAsia" w:eastAsiaTheme="minorEastAsia" w:cstheme="minorEastAsia"/>
          <w:color w:val="auto"/>
          <w:sz w:val="28"/>
          <w:szCs w:val="28"/>
          <w:highlight w:val="none"/>
        </w:rPr>
        <w:t xml:space="preserve"> 其他资料（如有）。</w:t>
      </w:r>
    </w:p>
    <w:p w14:paraId="3211E102">
      <w:pPr>
        <w:shd w:val="clear"/>
        <w:snapToGrid w:val="0"/>
        <w:spacing w:line="360" w:lineRule="auto"/>
        <w:ind w:right="480"/>
        <w:rPr>
          <w:rFonts w:asciiTheme="minorEastAsia" w:hAnsiTheme="minorEastAsia" w:eastAsiaTheme="minorEastAsia" w:cstheme="minorEastAsia"/>
          <w:b/>
          <w:color w:val="auto"/>
          <w:kern w:val="0"/>
          <w:sz w:val="32"/>
          <w:szCs w:val="32"/>
          <w:highlight w:val="none"/>
        </w:rPr>
      </w:pPr>
    </w:p>
    <w:p w14:paraId="5BE273CA">
      <w:pPr>
        <w:pStyle w:val="44"/>
        <w:keepNext w:val="0"/>
        <w:pageBreakBefore w:val="0"/>
        <w:shd w:val="clear"/>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25286FC">
      <w:pPr>
        <w:pStyle w:val="44"/>
        <w:keepNext w:val="0"/>
        <w:pageBreakBefore w:val="0"/>
        <w:shd w:val="clear"/>
        <w:tabs>
          <w:tab w:val="clear" w:pos="720"/>
        </w:tabs>
        <w:snapToGrid w:val="0"/>
        <w:spacing w:before="120" w:after="120"/>
        <w:ind w:firstLine="643"/>
        <w:outlineLvl w:val="9"/>
        <w:rPr>
          <w:rFonts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一、报价一览表（初次报价表）</w:t>
      </w:r>
    </w:p>
    <w:p w14:paraId="5A345E55">
      <w:pPr>
        <w:shd w:val="clear"/>
        <w:snapToGrid w:val="0"/>
        <w:spacing w:line="360" w:lineRule="auto"/>
        <w:rPr>
          <w:rFonts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（采购人）、（采购代理机构）</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 xml:space="preserve">                                     </w:t>
      </w:r>
    </w:p>
    <w:p w14:paraId="1968364C">
      <w:pPr>
        <w:shd w:val="clear"/>
        <w:snapToGrid w:val="0"/>
        <w:spacing w:line="360" w:lineRule="auto"/>
        <w:ind w:firstLine="482"/>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按你方采购文件要求，我们，本响应文件签字方，谨此向你方发出要约如下：如你方接受本次磋商响应，我方承诺按照如下报价一览表（报价表）的价格完成</w:t>
      </w:r>
      <w:r>
        <w:rPr>
          <w:rFonts w:hint="eastAsia" w:asciiTheme="minorEastAsia" w:hAnsiTheme="minorEastAsia" w:eastAsiaTheme="minorEastAsia" w:cstheme="minorEastAsia"/>
          <w:color w:val="auto"/>
          <w:kern w:val="0"/>
          <w:sz w:val="24"/>
          <w:highlight w:val="none"/>
        </w:rPr>
        <w:t>本项目的实施</w:t>
      </w:r>
      <w:r>
        <w:rPr>
          <w:rFonts w:hint="eastAsia" w:asciiTheme="minorEastAsia" w:hAnsiTheme="minorEastAsia" w:eastAsiaTheme="minorEastAsia" w:cstheme="minorEastAsia"/>
          <w:color w:val="auto"/>
          <w:kern w:val="0"/>
          <w:sz w:val="24"/>
          <w:highlight w:val="none"/>
          <w:lang w:val="zh-CN"/>
        </w:rPr>
        <w:t>。</w:t>
      </w:r>
    </w:p>
    <w:tbl>
      <w:tblPr>
        <w:tblStyle w:val="26"/>
        <w:tblpPr w:leftFromText="180" w:rightFromText="180" w:vertAnchor="text" w:horzAnchor="page" w:tblpXSpec="center" w:tblpY="360"/>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7"/>
        <w:gridCol w:w="2607"/>
        <w:gridCol w:w="2124"/>
        <w:gridCol w:w="2604"/>
      </w:tblGrid>
      <w:tr w14:paraId="4ACDF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6" w:type="pct"/>
          </w:tcPr>
          <w:p w14:paraId="27177834">
            <w:pPr>
              <w:shd w:val="clear"/>
              <w:spacing w:line="360" w:lineRule="auto"/>
              <w:jc w:val="center"/>
              <w:rPr>
                <w:rFonts w:hint="default" w:ascii="宋体" w:hAnsi="宋体" w:eastAsia="宋体"/>
                <w:b/>
                <w:color w:val="auto"/>
                <w:sz w:val="24"/>
                <w:highlight w:val="none"/>
                <w:lang w:val="en-US" w:eastAsia="zh-CN"/>
              </w:rPr>
            </w:pPr>
            <w:r>
              <w:rPr>
                <w:rFonts w:hint="eastAsia" w:ascii="宋体" w:hAnsi="宋体"/>
                <w:b/>
                <w:color w:val="auto"/>
                <w:sz w:val="24"/>
                <w:highlight w:val="none"/>
                <w:lang w:val="en-US" w:eastAsia="zh-CN"/>
              </w:rPr>
              <w:t>序号</w:t>
            </w:r>
          </w:p>
        </w:tc>
        <w:tc>
          <w:tcPr>
            <w:tcW w:w="1529" w:type="pct"/>
          </w:tcPr>
          <w:p w14:paraId="536C6B4D">
            <w:pPr>
              <w:shd w:val="clear"/>
              <w:spacing w:line="360" w:lineRule="auto"/>
              <w:jc w:val="center"/>
              <w:rPr>
                <w:rFonts w:hint="default" w:ascii="宋体" w:hAnsi="宋体" w:eastAsia="宋体"/>
                <w:b/>
                <w:color w:val="auto"/>
                <w:sz w:val="24"/>
                <w:highlight w:val="none"/>
                <w:lang w:val="en-US" w:eastAsia="zh-CN"/>
              </w:rPr>
            </w:pPr>
            <w:r>
              <w:rPr>
                <w:rFonts w:hint="eastAsia" w:ascii="宋体" w:hAnsi="宋体"/>
                <w:b/>
                <w:color w:val="auto"/>
                <w:sz w:val="24"/>
                <w:highlight w:val="none"/>
                <w:lang w:val="en-US" w:eastAsia="zh-CN"/>
              </w:rPr>
              <w:t>标项名称</w:t>
            </w:r>
          </w:p>
        </w:tc>
        <w:tc>
          <w:tcPr>
            <w:tcW w:w="1246" w:type="pct"/>
          </w:tcPr>
          <w:p w14:paraId="56A69254">
            <w:pPr>
              <w:shd w:val="clear"/>
              <w:spacing w:line="360" w:lineRule="auto"/>
              <w:jc w:val="center"/>
              <w:rPr>
                <w:rFonts w:ascii="宋体" w:hAnsi="宋体"/>
                <w:b/>
                <w:color w:val="auto"/>
                <w:sz w:val="24"/>
                <w:highlight w:val="none"/>
              </w:rPr>
            </w:pPr>
            <w:r>
              <w:rPr>
                <w:rFonts w:hint="eastAsia" w:ascii="宋体" w:hAnsi="宋体"/>
                <w:b/>
                <w:color w:val="auto"/>
                <w:sz w:val="24"/>
                <w:highlight w:val="none"/>
              </w:rPr>
              <w:t>项目内容</w:t>
            </w:r>
          </w:p>
        </w:tc>
        <w:tc>
          <w:tcPr>
            <w:tcW w:w="1527" w:type="pct"/>
          </w:tcPr>
          <w:p w14:paraId="07A1E3C1">
            <w:pPr>
              <w:shd w:val="clear"/>
              <w:spacing w:line="360" w:lineRule="auto"/>
              <w:jc w:val="center"/>
              <w:rPr>
                <w:rFonts w:ascii="宋体" w:hAnsi="宋体"/>
                <w:b/>
                <w:color w:val="auto"/>
                <w:sz w:val="24"/>
                <w:highlight w:val="none"/>
              </w:rPr>
            </w:pPr>
            <w:r>
              <w:rPr>
                <w:rFonts w:ascii="宋体" w:hAnsi="宋体"/>
                <w:b/>
                <w:color w:val="auto"/>
                <w:sz w:val="24"/>
                <w:highlight w:val="none"/>
              </w:rPr>
              <w:t>磋商报</w:t>
            </w:r>
            <w:r>
              <w:rPr>
                <w:rFonts w:hint="eastAsia" w:ascii="宋体" w:hAnsi="宋体"/>
                <w:b/>
                <w:color w:val="auto"/>
                <w:sz w:val="24"/>
                <w:highlight w:val="none"/>
              </w:rPr>
              <w:t>价</w:t>
            </w:r>
          </w:p>
        </w:tc>
      </w:tr>
      <w:tr w14:paraId="05391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8" w:hRule="atLeast"/>
        </w:trPr>
        <w:tc>
          <w:tcPr>
            <w:tcW w:w="696" w:type="pct"/>
            <w:vAlign w:val="center"/>
          </w:tcPr>
          <w:p w14:paraId="18168090">
            <w:pPr>
              <w:shd w:val="clear"/>
              <w:spacing w:line="360" w:lineRule="auto"/>
              <w:jc w:val="center"/>
              <w:rPr>
                <w:rFonts w:hint="default" w:ascii="宋体" w:hAnsi="宋体" w:eastAsia="宋体" w:cs="宋体"/>
                <w:color w:val="auto"/>
                <w:kern w:val="1"/>
                <w:highlight w:val="none"/>
                <w:lang w:val="en-US" w:eastAsia="zh-CN"/>
              </w:rPr>
            </w:pPr>
            <w:r>
              <w:rPr>
                <w:rFonts w:hint="eastAsia" w:ascii="宋体" w:hAnsi="宋体" w:cs="宋体"/>
                <w:color w:val="auto"/>
                <w:kern w:val="1"/>
                <w:highlight w:val="none"/>
                <w:lang w:val="en-US" w:eastAsia="zh-CN"/>
              </w:rPr>
              <w:t>1</w:t>
            </w:r>
          </w:p>
        </w:tc>
        <w:tc>
          <w:tcPr>
            <w:tcW w:w="1529" w:type="pct"/>
            <w:vAlign w:val="center"/>
          </w:tcPr>
          <w:p w14:paraId="588EE70C">
            <w:pPr>
              <w:shd w:val="clear"/>
              <w:spacing w:line="360" w:lineRule="auto"/>
              <w:rPr>
                <w:rFonts w:hint="eastAsia" w:ascii="宋体" w:hAnsi="宋体" w:cs="宋体"/>
                <w:bCs/>
                <w:color w:val="auto"/>
                <w:szCs w:val="21"/>
                <w:highlight w:val="none"/>
                <w:lang w:eastAsia="zh-CN"/>
              </w:rPr>
            </w:pPr>
            <w:r>
              <w:rPr>
                <w:rFonts w:hint="eastAsia" w:ascii="宋体" w:hAnsi="宋体" w:cs="宋体"/>
                <w:bCs/>
                <w:color w:val="auto"/>
                <w:szCs w:val="21"/>
                <w:highlight w:val="none"/>
                <w:lang w:eastAsia="zh-CN"/>
              </w:rPr>
              <w:t>宁波市奉化区粮食购销有限公司2025年零星工程维修服务采购项目</w:t>
            </w:r>
          </w:p>
        </w:tc>
        <w:tc>
          <w:tcPr>
            <w:tcW w:w="1246" w:type="pct"/>
            <w:vAlign w:val="center"/>
          </w:tcPr>
          <w:p w14:paraId="17DC93BF">
            <w:pPr>
              <w:shd w:val="clear"/>
              <w:spacing w:line="360" w:lineRule="auto"/>
              <w:jc w:val="center"/>
              <w:rPr>
                <w:rFonts w:ascii="宋体" w:hAnsi="宋体" w:cs="宋体"/>
                <w:color w:val="auto"/>
                <w:kern w:val="1"/>
                <w:highlight w:val="none"/>
              </w:rPr>
            </w:pPr>
            <w:r>
              <w:rPr>
                <w:rFonts w:hint="eastAsia" w:ascii="宋体" w:hAnsi="宋体" w:cs="宋体"/>
                <w:bCs/>
                <w:color w:val="auto"/>
                <w:szCs w:val="21"/>
                <w:highlight w:val="none"/>
                <w:lang w:eastAsia="zh-CN"/>
              </w:rPr>
              <w:t>零星工程维修</w:t>
            </w:r>
          </w:p>
        </w:tc>
        <w:tc>
          <w:tcPr>
            <w:tcW w:w="1527" w:type="pct"/>
            <w:vAlign w:val="center"/>
          </w:tcPr>
          <w:p w14:paraId="5041C4DD">
            <w:pPr>
              <w:shd w:val="clear"/>
              <w:spacing w:line="360" w:lineRule="auto"/>
              <w:jc w:val="center"/>
              <w:rPr>
                <w:rFonts w:ascii="宋体" w:hAnsi="宋体"/>
                <w:color w:val="auto"/>
                <w:sz w:val="24"/>
                <w:highlight w:val="none"/>
              </w:rPr>
            </w:pPr>
            <w:r>
              <w:rPr>
                <w:rFonts w:hint="eastAsia" w:ascii="宋体" w:hAnsi="宋体"/>
                <w:b/>
                <w:color w:val="auto"/>
                <w:sz w:val="21"/>
                <w:szCs w:val="21"/>
                <w:highlight w:val="none"/>
              </w:rPr>
              <w:t>综合折扣率</w:t>
            </w:r>
            <w:r>
              <w:rPr>
                <w:rFonts w:hint="eastAsia" w:ascii="宋体" w:hAnsi="宋体"/>
                <w:b/>
                <w:color w:val="auto"/>
                <w:sz w:val="21"/>
                <w:szCs w:val="21"/>
                <w:highlight w:val="none"/>
                <w:u w:val="single"/>
              </w:rPr>
              <w:t xml:space="preserve">     </w:t>
            </w:r>
            <w:r>
              <w:rPr>
                <w:rFonts w:hint="eastAsia" w:ascii="宋体" w:hAnsi="宋体"/>
                <w:b/>
                <w:color w:val="auto"/>
                <w:sz w:val="21"/>
                <w:szCs w:val="21"/>
                <w:highlight w:val="none"/>
              </w:rPr>
              <w:t>%</w:t>
            </w:r>
          </w:p>
        </w:tc>
      </w:tr>
    </w:tbl>
    <w:p w14:paraId="75821AA0">
      <w:pPr>
        <w:shd w:val="clear"/>
        <w:spacing w:line="360" w:lineRule="auto"/>
        <w:rPr>
          <w:rFonts w:ascii="宋体" w:hAnsi="宋体"/>
          <w:b/>
          <w:color w:val="auto"/>
          <w:sz w:val="24"/>
          <w:highlight w:val="none"/>
        </w:rPr>
      </w:pPr>
      <w:r>
        <w:rPr>
          <w:rFonts w:hint="eastAsia" w:ascii="宋体" w:hAnsi="宋体" w:cs="仿宋"/>
          <w:b/>
          <w:color w:val="auto"/>
          <w:kern w:val="0"/>
          <w:sz w:val="24"/>
          <w:highlight w:val="none"/>
          <w:lang w:val="zh-CN"/>
        </w:rPr>
        <w:t>注：</w:t>
      </w:r>
      <w:r>
        <w:rPr>
          <w:rFonts w:hint="eastAsia" w:ascii="宋体" w:hAnsi="宋体"/>
          <w:b/>
          <w:color w:val="auto"/>
          <w:sz w:val="24"/>
          <w:highlight w:val="none"/>
        </w:rPr>
        <w:t>1、</w:t>
      </w:r>
      <w:r>
        <w:rPr>
          <w:rFonts w:hint="eastAsia" w:ascii="宋体" w:hAnsi="宋体"/>
          <w:b/>
          <w:color w:val="auto"/>
          <w:sz w:val="24"/>
          <w:highlight w:val="none"/>
          <w:u w:val="single"/>
        </w:rPr>
        <w:t>磋商报价折</w:t>
      </w:r>
      <w:r>
        <w:rPr>
          <w:rFonts w:ascii="宋体" w:hAnsi="宋体"/>
          <w:b/>
          <w:color w:val="auto"/>
          <w:sz w:val="24"/>
          <w:highlight w:val="none"/>
          <w:u w:val="single"/>
        </w:rPr>
        <w:t>扣</w:t>
      </w:r>
      <w:r>
        <w:rPr>
          <w:rFonts w:hint="eastAsia" w:ascii="宋体" w:hAnsi="宋体"/>
          <w:b/>
          <w:color w:val="auto"/>
          <w:sz w:val="24"/>
          <w:highlight w:val="none"/>
          <w:u w:val="single"/>
        </w:rPr>
        <w:t>率以“%”的形式填写。</w:t>
      </w:r>
      <w:r>
        <w:rPr>
          <w:rFonts w:hint="eastAsia"/>
          <w:b/>
          <w:color w:val="auto"/>
          <w:sz w:val="24"/>
          <w:highlight w:val="none"/>
          <w:u w:val="single"/>
        </w:rPr>
        <w:t>本次项目设有最高折扣率（9</w:t>
      </w:r>
      <w:r>
        <w:rPr>
          <w:rFonts w:hint="eastAsia"/>
          <w:b/>
          <w:color w:val="auto"/>
          <w:sz w:val="24"/>
          <w:highlight w:val="none"/>
          <w:u w:val="single"/>
          <w:lang w:val="en-US" w:eastAsia="zh-CN"/>
        </w:rPr>
        <w:t>5</w:t>
      </w:r>
      <w:r>
        <w:rPr>
          <w:rFonts w:hint="eastAsia"/>
          <w:b/>
          <w:color w:val="auto"/>
          <w:sz w:val="24"/>
          <w:highlight w:val="none"/>
          <w:u w:val="single"/>
        </w:rPr>
        <w:t>%），未按折扣率进行报价或超过最高综合折扣率进行报价的磋商响应文件作无效处理。</w:t>
      </w:r>
    </w:p>
    <w:p w14:paraId="1C0C98C5">
      <w:pPr>
        <w:shd w:val="clear"/>
        <w:snapToGrid w:val="0"/>
        <w:spacing w:line="360" w:lineRule="auto"/>
        <w:ind w:left="480"/>
        <w:rPr>
          <w:rFonts w:ascii="宋体" w:hAnsi="宋体" w:cs="仿宋"/>
          <w:b/>
          <w:color w:val="auto"/>
          <w:kern w:val="0"/>
          <w:sz w:val="24"/>
          <w:highlight w:val="none"/>
          <w:lang w:val="zh-CN"/>
        </w:rPr>
      </w:pPr>
      <w:r>
        <w:rPr>
          <w:rFonts w:hint="eastAsia" w:ascii="宋体" w:hAnsi="宋体"/>
          <w:color w:val="auto"/>
          <w:sz w:val="24"/>
          <w:highlight w:val="none"/>
        </w:rPr>
        <w:t>2</w:t>
      </w:r>
      <w:r>
        <w:rPr>
          <w:rFonts w:ascii="宋体" w:hAnsi="宋体"/>
          <w:color w:val="auto"/>
          <w:sz w:val="24"/>
          <w:highlight w:val="none"/>
        </w:rPr>
        <w:t>、报价一经涂改，应在涂改处加盖单位公章或者由法定代表人或授权委托人签名或盖章，否则其投标作无效标处理。</w:t>
      </w:r>
    </w:p>
    <w:p w14:paraId="30DA7DE3">
      <w:pPr>
        <w:shd w:val="clear"/>
        <w:spacing w:line="360" w:lineRule="auto"/>
        <w:ind w:left="-2" w:leftChars="-1" w:firstLine="480" w:firstLineChars="200"/>
        <w:rPr>
          <w:rFonts w:ascii="宋体" w:hAnsi="宋体" w:cs="仿宋"/>
          <w:color w:val="auto"/>
          <w:kern w:val="0"/>
          <w:sz w:val="24"/>
          <w:highlight w:val="none"/>
          <w:lang w:val="zh-CN"/>
        </w:rPr>
      </w:pPr>
      <w:r>
        <w:rPr>
          <w:rFonts w:hint="eastAsia" w:ascii="宋体" w:hAnsi="宋体" w:cs="仿宋"/>
          <w:color w:val="auto"/>
          <w:kern w:val="0"/>
          <w:sz w:val="24"/>
          <w:highlight w:val="none"/>
          <w:lang w:val="zh-CN"/>
        </w:rPr>
        <w:t>1、投标人需按本表格式填写，不得自行更改。</w:t>
      </w:r>
    </w:p>
    <w:p w14:paraId="423F4D4C">
      <w:pPr>
        <w:shd w:val="clear"/>
        <w:snapToGrid w:val="0"/>
        <w:spacing w:line="360" w:lineRule="auto"/>
        <w:ind w:firstLine="480" w:firstLineChars="200"/>
        <w:jc w:val="left"/>
        <w:rPr>
          <w:rFonts w:asciiTheme="minorEastAsia" w:hAnsiTheme="minorEastAsia" w:eastAsiaTheme="minorEastAsia" w:cstheme="minorEastAsia"/>
          <w:color w:val="auto"/>
          <w:sz w:val="32"/>
          <w:szCs w:val="32"/>
          <w:highlight w:val="none"/>
        </w:rPr>
      </w:pPr>
      <w:r>
        <w:rPr>
          <w:rFonts w:hint="eastAsia" w:ascii="宋体" w:hAnsi="宋体" w:cs="仿宋"/>
          <w:color w:val="auto"/>
          <w:kern w:val="0"/>
          <w:sz w:val="24"/>
          <w:highlight w:val="none"/>
          <w:lang w:val="zh-CN"/>
        </w:rPr>
        <w:t>2、有关本项目实施所涉及的一切费用均计入报价。</w:t>
      </w:r>
      <w:r>
        <w:rPr>
          <w:rFonts w:hint="eastAsia" w:ascii="宋体" w:hAnsi="宋体" w:cs="仿宋"/>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仿宋"/>
          <w:color w:val="auto"/>
          <w:kern w:val="0"/>
          <w:sz w:val="24"/>
          <w:highlight w:val="none"/>
          <w:lang w:val="zh-CN"/>
        </w:rPr>
        <w:t>，</w:t>
      </w:r>
      <w:r>
        <w:rPr>
          <w:rFonts w:hint="eastAsia" w:ascii="宋体" w:hAnsi="宋体" w:cs="仿宋"/>
          <w:b/>
          <w:color w:val="auto"/>
          <w:kern w:val="0"/>
          <w:sz w:val="24"/>
          <w:highlight w:val="none"/>
          <w:lang w:val="zh-CN"/>
        </w:rPr>
        <w:t>不得出现“0元”“免费赠送”等形式的无偿报价，</w:t>
      </w:r>
      <w:r>
        <w:rPr>
          <w:rFonts w:hint="eastAsia" w:ascii="宋体" w:hAnsi="宋体" w:cs="仿宋"/>
          <w:b/>
          <w:color w:val="auto"/>
          <w:kern w:val="0"/>
          <w:sz w:val="24"/>
          <w:highlight w:val="none"/>
        </w:rPr>
        <w:t>否则视为</w:t>
      </w:r>
      <w:r>
        <w:rPr>
          <w:rFonts w:hint="eastAsia" w:ascii="宋体" w:hAnsi="宋体" w:cs="仿宋"/>
          <w:b/>
          <w:color w:val="auto"/>
          <w:sz w:val="24"/>
          <w:highlight w:val="none"/>
        </w:rPr>
        <w:t>投标文件含有采购人不能接受的附加条件的，投标无效</w:t>
      </w:r>
      <w:r>
        <w:rPr>
          <w:rFonts w:hint="eastAsia" w:ascii="宋体" w:hAnsi="宋体" w:cs="仿宋"/>
          <w:b/>
          <w:color w:val="auto"/>
          <w:kern w:val="0"/>
          <w:sz w:val="24"/>
          <w:highlight w:val="none"/>
          <w:lang w:val="zh-CN"/>
        </w:rPr>
        <w:t>。</w:t>
      </w:r>
    </w:p>
    <w:p w14:paraId="31BE6AB8">
      <w:pPr>
        <w:shd w:val="clear"/>
        <w:spacing w:line="360" w:lineRule="auto"/>
        <w:rPr>
          <w:rFonts w:asciiTheme="minorEastAsia" w:hAnsiTheme="minorEastAsia" w:eastAsiaTheme="minorEastAsia" w:cstheme="minorEastAsia"/>
          <w:color w:val="auto"/>
          <w:sz w:val="24"/>
          <w:highlight w:val="none"/>
        </w:rPr>
      </w:pPr>
    </w:p>
    <w:p w14:paraId="65AD24B6">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法定代表人或其授权委托人（签名或印章）：  </w:t>
      </w:r>
    </w:p>
    <w:p w14:paraId="64EFF8B6">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供应商（盖章）：         </w:t>
      </w:r>
    </w:p>
    <w:p w14:paraId="09EAF049">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  期：</w:t>
      </w:r>
    </w:p>
    <w:p w14:paraId="06C08F0D">
      <w:pPr>
        <w:shd w:val="clea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14:paraId="62056E55">
      <w:pPr>
        <w:shd w:val="clea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二、中小企业声明函</w:t>
      </w:r>
    </w:p>
    <w:p w14:paraId="3618D05F">
      <w:pPr>
        <w:widowControl/>
        <w:shd w:val="clear"/>
        <w:spacing w:line="360" w:lineRule="auto"/>
        <w:ind w:firstLine="120" w:firstLineChars="50"/>
        <w:jc w:val="left"/>
        <w:rPr>
          <w:rFonts w:asciiTheme="minorEastAsia" w:hAnsiTheme="minorEastAsia" w:eastAsiaTheme="minorEastAsia" w:cstheme="minorEastAsia"/>
          <w:b/>
          <w:color w:val="auto"/>
          <w:sz w:val="24"/>
          <w:highlight w:val="none"/>
        </w:rPr>
      </w:pPr>
    </w:p>
    <w:p w14:paraId="41B33160">
      <w:pPr>
        <w:shd w:val="clear"/>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中小企业声明函</w:t>
      </w:r>
    </w:p>
    <w:p w14:paraId="0225C1C5">
      <w:pPr>
        <w:shd w:val="clear"/>
        <w:spacing w:line="360" w:lineRule="auto"/>
        <w:rPr>
          <w:rFonts w:asciiTheme="minorEastAsia" w:hAnsiTheme="minorEastAsia" w:eastAsiaTheme="minorEastAsia" w:cstheme="minorEastAsia"/>
          <w:color w:val="auto"/>
          <w:highlight w:val="none"/>
        </w:rPr>
      </w:pPr>
    </w:p>
    <w:p w14:paraId="28789F72">
      <w:pPr>
        <w:shd w:val="clear"/>
        <w:spacing w:line="360" w:lineRule="auto"/>
        <w:ind w:firstLine="360" w:firstLineChars="15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本公司郑重声明，根据《政府采购促进中小企业发展管理办法》（财库﹝2020﹞46 号）的规定，本公司参加 （单位名称） 的</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宁波市奉化区粮食购销有限公司2025年零星工程维修服务采购项目</w:t>
      </w:r>
      <w:r>
        <w:rPr>
          <w:rFonts w:hint="eastAsia" w:asciiTheme="minorEastAsia" w:hAnsiTheme="minorEastAsia" w:eastAsiaTheme="minorEastAsia" w:cstheme="minorEastAsia"/>
          <w:color w:val="auto"/>
          <w:sz w:val="24"/>
          <w:highlight w:val="none"/>
          <w:u w:val="single"/>
        </w:rPr>
        <w:t> </w:t>
      </w:r>
      <w:r>
        <w:rPr>
          <w:rFonts w:hint="eastAsia" w:asciiTheme="minorEastAsia" w:hAnsiTheme="minorEastAsia" w:eastAsiaTheme="minorEastAsia" w:cstheme="minorEastAsia"/>
          <w:color w:val="auto"/>
          <w:sz w:val="24"/>
          <w:highlight w:val="none"/>
        </w:rPr>
        <w:t>采购活动，工程全部由符合政策要求的中小企业承建。相关企业的具体情况如下：</w:t>
      </w:r>
    </w:p>
    <w:p w14:paraId="370EBF76">
      <w:pPr>
        <w:shd w:val="clea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eastAsia="zh-CN"/>
        </w:rPr>
        <w:t>零星工程维修</w:t>
      </w:r>
      <w:r>
        <w:rPr>
          <w:rFonts w:hint="eastAsia" w:asciiTheme="minorEastAsia" w:hAnsiTheme="minorEastAsia" w:eastAsiaTheme="minorEastAsia" w:cstheme="minorEastAsia"/>
          <w:color w:val="auto"/>
          <w:sz w:val="24"/>
          <w:highlight w:val="none"/>
          <w:u w:val="single"/>
        </w:rPr>
        <w:t> </w:t>
      </w:r>
      <w:r>
        <w:rPr>
          <w:rFonts w:hint="eastAsia" w:asciiTheme="minorEastAsia" w:hAnsiTheme="minorEastAsia" w:eastAsiaTheme="minorEastAsia" w:cstheme="minorEastAsia"/>
          <w:color w:val="auto"/>
          <w:sz w:val="24"/>
          <w:highlight w:val="none"/>
        </w:rPr>
        <w:t xml:space="preserve">，属于 </w:t>
      </w:r>
      <w:r>
        <w:rPr>
          <w:rFonts w:hint="eastAsia" w:asciiTheme="minorEastAsia" w:hAnsiTheme="minorEastAsia" w:eastAsiaTheme="minorEastAsia" w:cstheme="minorEastAsia"/>
          <w:color w:val="auto"/>
          <w:sz w:val="24"/>
          <w:highlight w:val="none"/>
          <w:u w:val="single"/>
        </w:rPr>
        <w:t>建筑业</w:t>
      </w:r>
      <w:r>
        <w:rPr>
          <w:rFonts w:hint="eastAsia" w:asciiTheme="minorEastAsia" w:hAnsiTheme="minorEastAsia" w:eastAsiaTheme="minorEastAsia" w:cstheme="minorEastAsia"/>
          <w:color w:val="auto"/>
          <w:sz w:val="24"/>
          <w:highlight w:val="none"/>
        </w:rPr>
        <w:t xml:space="preserve"> ；承建（承接）企业为 </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 xml:space="preserve"> ，从业人员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 xml:space="preserve"> （中型企业、小型企业、微型企业） </w:t>
      </w:r>
      <w:r>
        <w:rPr>
          <w:rFonts w:hint="eastAsia" w:asciiTheme="minorEastAsia" w:hAnsiTheme="minorEastAsia" w:eastAsiaTheme="minorEastAsia" w:cstheme="minorEastAsia"/>
          <w:color w:val="auto"/>
          <w:sz w:val="24"/>
          <w:highlight w:val="none"/>
        </w:rPr>
        <w:t>；</w:t>
      </w:r>
    </w:p>
    <w:p w14:paraId="76FCC4AB">
      <w:pPr>
        <w:shd w:val="clear"/>
        <w:spacing w:line="360" w:lineRule="auto"/>
        <w:jc w:val="left"/>
        <w:rPr>
          <w:rFonts w:asciiTheme="minorEastAsia" w:hAnsiTheme="minorEastAsia" w:eastAsiaTheme="minorEastAsia" w:cstheme="minorEastAsia"/>
          <w:color w:val="auto"/>
          <w:sz w:val="24"/>
          <w:highlight w:val="none"/>
        </w:rPr>
      </w:pPr>
    </w:p>
    <w:p w14:paraId="1692EFCB">
      <w:pPr>
        <w:shd w:val="clea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14:paraId="3C2B2E5E">
      <w:pPr>
        <w:shd w:val="clea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14:paraId="2590EEE7">
      <w:pPr>
        <w:shd w:val="clear"/>
        <w:spacing w:line="360" w:lineRule="auto"/>
        <w:ind w:right="1760"/>
        <w:jc w:val="right"/>
        <w:rPr>
          <w:rFonts w:asciiTheme="minorEastAsia" w:hAnsiTheme="minorEastAsia" w:eastAsiaTheme="minorEastAsia" w:cstheme="minorEastAsia"/>
          <w:color w:val="auto"/>
          <w:sz w:val="24"/>
          <w:highlight w:val="none"/>
        </w:rPr>
      </w:pPr>
    </w:p>
    <w:p w14:paraId="3091ABD2">
      <w:pPr>
        <w:shd w:val="clear"/>
        <w:spacing w:line="360" w:lineRule="auto"/>
        <w:ind w:right="1760"/>
        <w:jc w:val="righ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供应商名称（电子签名）：</w:t>
      </w:r>
    </w:p>
    <w:p w14:paraId="2DE4FBB3">
      <w:pPr>
        <w:shd w:val="clear"/>
        <w:spacing w:line="360" w:lineRule="auto"/>
        <w:ind w:right="1120" w:firstLine="4680" w:firstLineChars="195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 期：</w:t>
      </w:r>
    </w:p>
    <w:p w14:paraId="409422DE">
      <w:pPr>
        <w:shd w:val="clear"/>
        <w:spacing w:line="360" w:lineRule="auto"/>
        <w:ind w:firstLine="310" w:firstLineChars="147"/>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Cs w:val="21"/>
          <w:highlight w:val="none"/>
        </w:rPr>
        <w:t>从业人员、营业收入、资产总额填报上一年度数据，无上一年度数据的新成立企业可不填报。</w:t>
      </w:r>
    </w:p>
    <w:p w14:paraId="6B590CD4">
      <w:pPr>
        <w:shd w:val="clear"/>
        <w:spacing w:line="360" w:lineRule="auto"/>
        <w:ind w:right="-283"/>
        <w:rPr>
          <w:rFonts w:asciiTheme="minorEastAsia" w:hAnsiTheme="minorEastAsia" w:eastAsiaTheme="minorEastAsia" w:cstheme="minorEastAsia"/>
          <w:color w:val="auto"/>
          <w:sz w:val="24"/>
          <w:highlight w:val="none"/>
        </w:rPr>
        <w:sectPr>
          <w:pgSz w:w="11906" w:h="16838"/>
          <w:pgMar w:top="1440" w:right="1800" w:bottom="1440" w:left="1800" w:header="851" w:footer="992" w:gutter="0"/>
          <w:cols w:space="425" w:num="1"/>
          <w:docGrid w:type="lines" w:linePitch="312" w:charSpace="0"/>
        </w:sectPr>
      </w:pPr>
      <w:r>
        <w:rPr>
          <w:rFonts w:hint="eastAsia" w:asciiTheme="minorEastAsia" w:hAnsiTheme="minorEastAsia" w:eastAsiaTheme="minorEastAsia" w:cstheme="minorEastAsia"/>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tbl>
      <w:tblPr>
        <w:tblStyle w:val="26"/>
        <w:tblW w:w="15083" w:type="dxa"/>
        <w:tblInd w:w="-176" w:type="dxa"/>
        <w:tblLayout w:type="fixed"/>
        <w:tblCellMar>
          <w:top w:w="0" w:type="dxa"/>
          <w:left w:w="108" w:type="dxa"/>
          <w:bottom w:w="0" w:type="dxa"/>
          <w:right w:w="108" w:type="dxa"/>
        </w:tblCellMar>
      </w:tblPr>
      <w:tblGrid>
        <w:gridCol w:w="1985"/>
        <w:gridCol w:w="1498"/>
        <w:gridCol w:w="1763"/>
        <w:gridCol w:w="1660"/>
        <w:gridCol w:w="1240"/>
        <w:gridCol w:w="1636"/>
        <w:gridCol w:w="1520"/>
        <w:gridCol w:w="1285"/>
        <w:gridCol w:w="1275"/>
        <w:gridCol w:w="1221"/>
      </w:tblGrid>
      <w:tr w14:paraId="03159BEB">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vAlign w:val="bottom"/>
          </w:tcPr>
          <w:p w14:paraId="30D105A0">
            <w:pPr>
              <w:widowControl/>
              <w:shd w:val="clear"/>
              <w:jc w:val="center"/>
              <w:rPr>
                <w:rFonts w:ascii="宋体" w:hAnsi="宋体" w:cs="宋体"/>
                <w:b/>
                <w:bCs/>
                <w:color w:val="auto"/>
                <w:kern w:val="0"/>
                <w:sz w:val="32"/>
                <w:szCs w:val="32"/>
                <w:highlight w:val="none"/>
              </w:rPr>
            </w:pPr>
            <w:r>
              <w:rPr>
                <w:rFonts w:hint="eastAsia" w:ascii="宋体" w:hAnsi="宋体" w:cs="宋体"/>
                <w:b/>
                <w:bCs/>
                <w:color w:val="auto"/>
                <w:kern w:val="0"/>
                <w:sz w:val="24"/>
                <w:highlight w:val="none"/>
              </w:rPr>
              <w:t>中小微行业划型标准规定（根据工信部联企业〔2011〕300号制定）</w:t>
            </w:r>
          </w:p>
        </w:tc>
      </w:tr>
      <w:tr w14:paraId="2FC3F152">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18CB7A8D">
            <w:pPr>
              <w:widowControl/>
              <w:shd w:val="clear"/>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行业</w:t>
            </w:r>
          </w:p>
        </w:tc>
        <w:tc>
          <w:tcPr>
            <w:tcW w:w="4921" w:type="dxa"/>
            <w:gridSpan w:val="3"/>
            <w:tcBorders>
              <w:top w:val="single" w:color="auto" w:sz="8" w:space="0"/>
              <w:left w:val="nil"/>
              <w:bottom w:val="single" w:color="auto" w:sz="4" w:space="0"/>
              <w:right w:val="single" w:color="000000" w:sz="8" w:space="0"/>
            </w:tcBorders>
            <w:vAlign w:val="bottom"/>
          </w:tcPr>
          <w:p w14:paraId="45051B89">
            <w:pPr>
              <w:widowControl/>
              <w:shd w:val="clear"/>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中型企业</w:t>
            </w:r>
          </w:p>
        </w:tc>
        <w:tc>
          <w:tcPr>
            <w:tcW w:w="4396" w:type="dxa"/>
            <w:gridSpan w:val="3"/>
            <w:tcBorders>
              <w:top w:val="single" w:color="auto" w:sz="8" w:space="0"/>
              <w:left w:val="nil"/>
              <w:bottom w:val="single" w:color="auto" w:sz="4" w:space="0"/>
              <w:right w:val="single" w:color="000000" w:sz="8" w:space="0"/>
            </w:tcBorders>
            <w:vAlign w:val="bottom"/>
          </w:tcPr>
          <w:p w14:paraId="0567D24D">
            <w:pPr>
              <w:widowControl/>
              <w:shd w:val="clear"/>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7CE4128C">
            <w:pPr>
              <w:widowControl/>
              <w:shd w:val="clear"/>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微型企业</w:t>
            </w:r>
          </w:p>
        </w:tc>
      </w:tr>
      <w:tr w14:paraId="18FB89F1">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7BD3B98B">
            <w:pPr>
              <w:widowControl/>
              <w:shd w:val="clear"/>
              <w:jc w:val="left"/>
              <w:rPr>
                <w:rFonts w:ascii="宋体" w:hAnsi="宋体" w:cs="宋体"/>
                <w:b/>
                <w:bCs/>
                <w:color w:val="auto"/>
                <w:kern w:val="0"/>
                <w:sz w:val="24"/>
                <w:highlight w:val="none"/>
              </w:rPr>
            </w:pPr>
          </w:p>
        </w:tc>
        <w:tc>
          <w:tcPr>
            <w:tcW w:w="1498" w:type="dxa"/>
            <w:tcBorders>
              <w:top w:val="nil"/>
              <w:left w:val="nil"/>
              <w:bottom w:val="single" w:color="auto" w:sz="4" w:space="0"/>
              <w:right w:val="single" w:color="auto" w:sz="4" w:space="0"/>
            </w:tcBorders>
            <w:vAlign w:val="bottom"/>
          </w:tcPr>
          <w:p w14:paraId="43BF3307">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从业人员X（人）</w:t>
            </w:r>
          </w:p>
        </w:tc>
        <w:tc>
          <w:tcPr>
            <w:tcW w:w="1763" w:type="dxa"/>
            <w:tcBorders>
              <w:top w:val="nil"/>
              <w:left w:val="nil"/>
              <w:bottom w:val="single" w:color="auto" w:sz="4" w:space="0"/>
              <w:right w:val="single" w:color="auto" w:sz="4" w:space="0"/>
            </w:tcBorders>
            <w:vAlign w:val="bottom"/>
          </w:tcPr>
          <w:p w14:paraId="5F686443">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营业收入Y</w:t>
            </w:r>
          </w:p>
          <w:p w14:paraId="5B666642">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660" w:type="dxa"/>
            <w:tcBorders>
              <w:top w:val="nil"/>
              <w:left w:val="nil"/>
              <w:bottom w:val="single" w:color="auto" w:sz="4" w:space="0"/>
              <w:right w:val="single" w:color="auto" w:sz="8" w:space="0"/>
            </w:tcBorders>
            <w:vAlign w:val="bottom"/>
          </w:tcPr>
          <w:p w14:paraId="5837D393">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资产总额Z</w:t>
            </w:r>
          </w:p>
          <w:p w14:paraId="2915513E">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40" w:type="dxa"/>
            <w:tcBorders>
              <w:top w:val="nil"/>
              <w:left w:val="nil"/>
              <w:bottom w:val="single" w:color="auto" w:sz="4" w:space="0"/>
              <w:right w:val="single" w:color="auto" w:sz="4" w:space="0"/>
            </w:tcBorders>
            <w:vAlign w:val="bottom"/>
          </w:tcPr>
          <w:p w14:paraId="1026E086">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从业人员X（人）</w:t>
            </w:r>
          </w:p>
        </w:tc>
        <w:tc>
          <w:tcPr>
            <w:tcW w:w="1636" w:type="dxa"/>
            <w:tcBorders>
              <w:top w:val="nil"/>
              <w:left w:val="nil"/>
              <w:bottom w:val="single" w:color="auto" w:sz="4" w:space="0"/>
              <w:right w:val="single" w:color="auto" w:sz="4" w:space="0"/>
            </w:tcBorders>
            <w:vAlign w:val="bottom"/>
          </w:tcPr>
          <w:p w14:paraId="209565D2">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营业收入Y</w:t>
            </w:r>
          </w:p>
          <w:p w14:paraId="05C66C40">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520" w:type="dxa"/>
            <w:tcBorders>
              <w:top w:val="nil"/>
              <w:left w:val="nil"/>
              <w:bottom w:val="single" w:color="auto" w:sz="4" w:space="0"/>
              <w:right w:val="single" w:color="auto" w:sz="8" w:space="0"/>
            </w:tcBorders>
            <w:vAlign w:val="bottom"/>
          </w:tcPr>
          <w:p w14:paraId="3F121EA0">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资产总额Z</w:t>
            </w:r>
          </w:p>
          <w:p w14:paraId="3A9FCFB2">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85" w:type="dxa"/>
            <w:tcBorders>
              <w:top w:val="nil"/>
              <w:left w:val="nil"/>
              <w:bottom w:val="single" w:color="auto" w:sz="4" w:space="0"/>
              <w:right w:val="single" w:color="auto" w:sz="4" w:space="0"/>
            </w:tcBorders>
            <w:vAlign w:val="bottom"/>
          </w:tcPr>
          <w:p w14:paraId="162D50FD">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从业人员X（人）</w:t>
            </w:r>
          </w:p>
        </w:tc>
        <w:tc>
          <w:tcPr>
            <w:tcW w:w="1275" w:type="dxa"/>
            <w:tcBorders>
              <w:top w:val="nil"/>
              <w:left w:val="nil"/>
              <w:bottom w:val="single" w:color="auto" w:sz="4" w:space="0"/>
              <w:right w:val="single" w:color="auto" w:sz="4" w:space="0"/>
            </w:tcBorders>
            <w:vAlign w:val="bottom"/>
          </w:tcPr>
          <w:p w14:paraId="0C1B198D">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营业收入Y（万元）</w:t>
            </w:r>
          </w:p>
        </w:tc>
        <w:tc>
          <w:tcPr>
            <w:tcW w:w="1221" w:type="dxa"/>
            <w:tcBorders>
              <w:top w:val="nil"/>
              <w:left w:val="nil"/>
              <w:bottom w:val="single" w:color="auto" w:sz="4" w:space="0"/>
              <w:right w:val="single" w:color="auto" w:sz="8" w:space="0"/>
            </w:tcBorders>
            <w:vAlign w:val="bottom"/>
          </w:tcPr>
          <w:p w14:paraId="79EE89C2">
            <w:pPr>
              <w:widowControl/>
              <w:shd w:val="clear"/>
              <w:jc w:val="center"/>
              <w:rPr>
                <w:rFonts w:ascii="宋体" w:hAnsi="宋体" w:cs="宋体"/>
                <w:color w:val="auto"/>
                <w:kern w:val="0"/>
                <w:sz w:val="20"/>
                <w:highlight w:val="none"/>
              </w:rPr>
            </w:pPr>
            <w:r>
              <w:rPr>
                <w:rFonts w:hint="eastAsia" w:ascii="宋体" w:hAnsi="宋体" w:cs="宋体"/>
                <w:color w:val="auto"/>
                <w:kern w:val="0"/>
                <w:sz w:val="20"/>
                <w:highlight w:val="none"/>
              </w:rPr>
              <w:t>资产总额Z（万元）</w:t>
            </w:r>
          </w:p>
        </w:tc>
      </w:tr>
      <w:tr w14:paraId="206062C2">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673E7C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1、农林牧渔业</w:t>
            </w:r>
          </w:p>
        </w:tc>
        <w:tc>
          <w:tcPr>
            <w:tcW w:w="1498" w:type="dxa"/>
            <w:tcBorders>
              <w:top w:val="nil"/>
              <w:left w:val="nil"/>
              <w:bottom w:val="single" w:color="auto" w:sz="4" w:space="0"/>
              <w:right w:val="single" w:color="auto" w:sz="4" w:space="0"/>
            </w:tcBorders>
            <w:vAlign w:val="bottom"/>
          </w:tcPr>
          <w:p w14:paraId="2D708D6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63" w:type="dxa"/>
            <w:tcBorders>
              <w:top w:val="nil"/>
              <w:left w:val="nil"/>
              <w:bottom w:val="single" w:color="auto" w:sz="4" w:space="0"/>
              <w:right w:val="single" w:color="auto" w:sz="4" w:space="0"/>
            </w:tcBorders>
            <w:vAlign w:val="bottom"/>
          </w:tcPr>
          <w:p w14:paraId="45920CC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500≤Y＜20000</w:t>
            </w:r>
          </w:p>
        </w:tc>
        <w:tc>
          <w:tcPr>
            <w:tcW w:w="1660" w:type="dxa"/>
            <w:tcBorders>
              <w:top w:val="nil"/>
              <w:left w:val="nil"/>
              <w:bottom w:val="single" w:color="auto" w:sz="4" w:space="0"/>
              <w:right w:val="single" w:color="auto" w:sz="8" w:space="0"/>
            </w:tcBorders>
            <w:vAlign w:val="bottom"/>
          </w:tcPr>
          <w:p w14:paraId="33978A3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5CCCF5C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36" w:type="dxa"/>
            <w:tcBorders>
              <w:top w:val="nil"/>
              <w:left w:val="nil"/>
              <w:bottom w:val="single" w:color="auto" w:sz="4" w:space="0"/>
              <w:right w:val="single" w:color="auto" w:sz="4" w:space="0"/>
            </w:tcBorders>
            <w:vAlign w:val="bottom"/>
          </w:tcPr>
          <w:p w14:paraId="6301EC7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50≤Y＜500</w:t>
            </w:r>
          </w:p>
        </w:tc>
        <w:tc>
          <w:tcPr>
            <w:tcW w:w="1520" w:type="dxa"/>
            <w:tcBorders>
              <w:top w:val="nil"/>
              <w:left w:val="nil"/>
              <w:bottom w:val="single" w:color="auto" w:sz="4" w:space="0"/>
              <w:right w:val="single" w:color="auto" w:sz="8" w:space="0"/>
            </w:tcBorders>
            <w:vAlign w:val="bottom"/>
          </w:tcPr>
          <w:p w14:paraId="134C3EB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28856CE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75" w:type="dxa"/>
            <w:tcBorders>
              <w:top w:val="nil"/>
              <w:left w:val="nil"/>
              <w:bottom w:val="single" w:color="auto" w:sz="4" w:space="0"/>
              <w:right w:val="single" w:color="auto" w:sz="4" w:space="0"/>
            </w:tcBorders>
            <w:vAlign w:val="bottom"/>
          </w:tcPr>
          <w:p w14:paraId="12AD830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Y＜50</w:t>
            </w:r>
          </w:p>
        </w:tc>
        <w:tc>
          <w:tcPr>
            <w:tcW w:w="1221" w:type="dxa"/>
            <w:tcBorders>
              <w:top w:val="nil"/>
              <w:left w:val="nil"/>
              <w:bottom w:val="single" w:color="auto" w:sz="4" w:space="0"/>
              <w:right w:val="single" w:color="auto" w:sz="8" w:space="0"/>
            </w:tcBorders>
            <w:vAlign w:val="bottom"/>
          </w:tcPr>
          <w:p w14:paraId="17F4E22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1D5AF171">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94C3A3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2、工业</w:t>
            </w:r>
          </w:p>
        </w:tc>
        <w:tc>
          <w:tcPr>
            <w:tcW w:w="1498" w:type="dxa"/>
            <w:tcBorders>
              <w:top w:val="nil"/>
              <w:left w:val="nil"/>
              <w:bottom w:val="single" w:color="auto" w:sz="4" w:space="0"/>
              <w:right w:val="single" w:color="auto" w:sz="4" w:space="0"/>
            </w:tcBorders>
            <w:vAlign w:val="bottom"/>
          </w:tcPr>
          <w:p w14:paraId="7F2339A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300≤X＜1000</w:t>
            </w:r>
          </w:p>
        </w:tc>
        <w:tc>
          <w:tcPr>
            <w:tcW w:w="1763" w:type="dxa"/>
            <w:tcBorders>
              <w:top w:val="nil"/>
              <w:left w:val="nil"/>
              <w:bottom w:val="single" w:color="auto" w:sz="4" w:space="0"/>
              <w:right w:val="single" w:color="auto" w:sz="4" w:space="0"/>
            </w:tcBorders>
            <w:vAlign w:val="bottom"/>
          </w:tcPr>
          <w:p w14:paraId="24B7658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2000≤Y＜40000</w:t>
            </w:r>
          </w:p>
        </w:tc>
        <w:tc>
          <w:tcPr>
            <w:tcW w:w="1660" w:type="dxa"/>
            <w:tcBorders>
              <w:top w:val="nil"/>
              <w:left w:val="nil"/>
              <w:bottom w:val="single" w:color="auto" w:sz="4" w:space="0"/>
              <w:right w:val="single" w:color="auto" w:sz="8" w:space="0"/>
            </w:tcBorders>
            <w:vAlign w:val="bottom"/>
          </w:tcPr>
          <w:p w14:paraId="41007A0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4F6D52B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20≤X＜300</w:t>
            </w:r>
          </w:p>
        </w:tc>
        <w:tc>
          <w:tcPr>
            <w:tcW w:w="1636" w:type="dxa"/>
            <w:tcBorders>
              <w:top w:val="nil"/>
              <w:left w:val="nil"/>
              <w:bottom w:val="single" w:color="auto" w:sz="4" w:space="0"/>
              <w:right w:val="single" w:color="auto" w:sz="4" w:space="0"/>
            </w:tcBorders>
            <w:vAlign w:val="bottom"/>
          </w:tcPr>
          <w:p w14:paraId="065A58B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300≤Y＜2000</w:t>
            </w:r>
          </w:p>
        </w:tc>
        <w:tc>
          <w:tcPr>
            <w:tcW w:w="1520" w:type="dxa"/>
            <w:tcBorders>
              <w:top w:val="nil"/>
              <w:left w:val="nil"/>
              <w:bottom w:val="single" w:color="auto" w:sz="4" w:space="0"/>
              <w:right w:val="single" w:color="auto" w:sz="8" w:space="0"/>
            </w:tcBorders>
            <w:vAlign w:val="bottom"/>
          </w:tcPr>
          <w:p w14:paraId="6076739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57C8DF0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X＜20</w:t>
            </w:r>
          </w:p>
        </w:tc>
        <w:tc>
          <w:tcPr>
            <w:tcW w:w="1275" w:type="dxa"/>
            <w:tcBorders>
              <w:top w:val="nil"/>
              <w:left w:val="nil"/>
              <w:bottom w:val="single" w:color="auto" w:sz="4" w:space="0"/>
              <w:right w:val="single" w:color="auto" w:sz="4" w:space="0"/>
            </w:tcBorders>
            <w:vAlign w:val="bottom"/>
          </w:tcPr>
          <w:p w14:paraId="192DC8A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Y＜300</w:t>
            </w:r>
          </w:p>
        </w:tc>
        <w:tc>
          <w:tcPr>
            <w:tcW w:w="1221" w:type="dxa"/>
            <w:tcBorders>
              <w:top w:val="nil"/>
              <w:left w:val="nil"/>
              <w:bottom w:val="single" w:color="auto" w:sz="4" w:space="0"/>
              <w:right w:val="single" w:color="auto" w:sz="8" w:space="0"/>
            </w:tcBorders>
            <w:vAlign w:val="bottom"/>
          </w:tcPr>
          <w:p w14:paraId="16895B4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DA8479A">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75DB57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3、建筑业</w:t>
            </w:r>
          </w:p>
        </w:tc>
        <w:tc>
          <w:tcPr>
            <w:tcW w:w="1498" w:type="dxa"/>
            <w:tcBorders>
              <w:top w:val="nil"/>
              <w:left w:val="nil"/>
              <w:bottom w:val="single" w:color="auto" w:sz="4" w:space="0"/>
              <w:right w:val="single" w:color="auto" w:sz="4" w:space="0"/>
            </w:tcBorders>
            <w:vAlign w:val="bottom"/>
          </w:tcPr>
          <w:p w14:paraId="7FD86FB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63" w:type="dxa"/>
            <w:tcBorders>
              <w:top w:val="nil"/>
              <w:left w:val="nil"/>
              <w:bottom w:val="single" w:color="auto" w:sz="4" w:space="0"/>
              <w:right w:val="single" w:color="auto" w:sz="4" w:space="0"/>
            </w:tcBorders>
            <w:vAlign w:val="bottom"/>
          </w:tcPr>
          <w:p w14:paraId="0D530FA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6000≤Y＜80000</w:t>
            </w:r>
          </w:p>
        </w:tc>
        <w:tc>
          <w:tcPr>
            <w:tcW w:w="1660" w:type="dxa"/>
            <w:tcBorders>
              <w:top w:val="nil"/>
              <w:left w:val="nil"/>
              <w:bottom w:val="single" w:color="auto" w:sz="4" w:space="0"/>
              <w:right w:val="single" w:color="auto" w:sz="8" w:space="0"/>
            </w:tcBorders>
            <w:vAlign w:val="bottom"/>
          </w:tcPr>
          <w:p w14:paraId="4769B81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5000≤Z＜80000</w:t>
            </w:r>
          </w:p>
        </w:tc>
        <w:tc>
          <w:tcPr>
            <w:tcW w:w="1240" w:type="dxa"/>
            <w:tcBorders>
              <w:top w:val="nil"/>
              <w:left w:val="nil"/>
              <w:bottom w:val="single" w:color="auto" w:sz="4" w:space="0"/>
              <w:right w:val="single" w:color="auto" w:sz="4" w:space="0"/>
            </w:tcBorders>
            <w:vAlign w:val="bottom"/>
          </w:tcPr>
          <w:p w14:paraId="76049A53">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36" w:type="dxa"/>
            <w:tcBorders>
              <w:top w:val="nil"/>
              <w:left w:val="nil"/>
              <w:bottom w:val="single" w:color="auto" w:sz="4" w:space="0"/>
              <w:right w:val="single" w:color="auto" w:sz="4" w:space="0"/>
            </w:tcBorders>
            <w:vAlign w:val="bottom"/>
          </w:tcPr>
          <w:p w14:paraId="6BEA5D3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300≤Y＜6000</w:t>
            </w:r>
          </w:p>
        </w:tc>
        <w:tc>
          <w:tcPr>
            <w:tcW w:w="1520" w:type="dxa"/>
            <w:tcBorders>
              <w:top w:val="nil"/>
              <w:left w:val="nil"/>
              <w:bottom w:val="single" w:color="auto" w:sz="4" w:space="0"/>
              <w:right w:val="single" w:color="auto" w:sz="8" w:space="0"/>
            </w:tcBorders>
            <w:vAlign w:val="bottom"/>
          </w:tcPr>
          <w:p w14:paraId="754D8AF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300≤Z＜5000</w:t>
            </w:r>
          </w:p>
        </w:tc>
        <w:tc>
          <w:tcPr>
            <w:tcW w:w="1285" w:type="dxa"/>
            <w:tcBorders>
              <w:top w:val="nil"/>
              <w:left w:val="nil"/>
              <w:bottom w:val="single" w:color="auto" w:sz="4" w:space="0"/>
              <w:right w:val="single" w:color="auto" w:sz="4" w:space="0"/>
            </w:tcBorders>
            <w:vAlign w:val="bottom"/>
          </w:tcPr>
          <w:p w14:paraId="50AC85B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75" w:type="dxa"/>
            <w:tcBorders>
              <w:top w:val="nil"/>
              <w:left w:val="nil"/>
              <w:bottom w:val="single" w:color="auto" w:sz="4" w:space="0"/>
              <w:right w:val="single" w:color="auto" w:sz="4" w:space="0"/>
            </w:tcBorders>
            <w:vAlign w:val="bottom"/>
          </w:tcPr>
          <w:p w14:paraId="622F180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Y＜300</w:t>
            </w:r>
          </w:p>
        </w:tc>
        <w:tc>
          <w:tcPr>
            <w:tcW w:w="1221" w:type="dxa"/>
            <w:tcBorders>
              <w:top w:val="nil"/>
              <w:left w:val="nil"/>
              <w:bottom w:val="single" w:color="auto" w:sz="4" w:space="0"/>
              <w:right w:val="single" w:color="auto" w:sz="8" w:space="0"/>
            </w:tcBorders>
            <w:vAlign w:val="bottom"/>
          </w:tcPr>
          <w:p w14:paraId="6AA76F7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Z＜300</w:t>
            </w:r>
          </w:p>
        </w:tc>
      </w:tr>
      <w:tr w14:paraId="61CDAF7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36501D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4、批发业</w:t>
            </w:r>
          </w:p>
        </w:tc>
        <w:tc>
          <w:tcPr>
            <w:tcW w:w="1498" w:type="dxa"/>
            <w:tcBorders>
              <w:top w:val="nil"/>
              <w:left w:val="nil"/>
              <w:bottom w:val="single" w:color="auto" w:sz="4" w:space="0"/>
              <w:right w:val="single" w:color="auto" w:sz="4" w:space="0"/>
            </w:tcBorders>
            <w:vAlign w:val="bottom"/>
          </w:tcPr>
          <w:p w14:paraId="131C508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20≤X＜200</w:t>
            </w:r>
          </w:p>
        </w:tc>
        <w:tc>
          <w:tcPr>
            <w:tcW w:w="1763" w:type="dxa"/>
            <w:tcBorders>
              <w:top w:val="nil"/>
              <w:left w:val="nil"/>
              <w:bottom w:val="single" w:color="auto" w:sz="4" w:space="0"/>
              <w:right w:val="single" w:color="auto" w:sz="4" w:space="0"/>
            </w:tcBorders>
            <w:vAlign w:val="bottom"/>
          </w:tcPr>
          <w:p w14:paraId="006B2B2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5000≤Y＜40000</w:t>
            </w:r>
          </w:p>
        </w:tc>
        <w:tc>
          <w:tcPr>
            <w:tcW w:w="1660" w:type="dxa"/>
            <w:tcBorders>
              <w:top w:val="nil"/>
              <w:left w:val="nil"/>
              <w:bottom w:val="single" w:color="auto" w:sz="4" w:space="0"/>
              <w:right w:val="single" w:color="auto" w:sz="8" w:space="0"/>
            </w:tcBorders>
            <w:vAlign w:val="bottom"/>
          </w:tcPr>
          <w:p w14:paraId="713D5E1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794252A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5≤X＜20</w:t>
            </w:r>
          </w:p>
        </w:tc>
        <w:tc>
          <w:tcPr>
            <w:tcW w:w="1636" w:type="dxa"/>
            <w:tcBorders>
              <w:top w:val="nil"/>
              <w:left w:val="nil"/>
              <w:bottom w:val="single" w:color="auto" w:sz="4" w:space="0"/>
              <w:right w:val="single" w:color="auto" w:sz="4" w:space="0"/>
            </w:tcBorders>
            <w:vAlign w:val="bottom"/>
          </w:tcPr>
          <w:p w14:paraId="453D435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1000≤Y＜5000</w:t>
            </w:r>
          </w:p>
        </w:tc>
        <w:tc>
          <w:tcPr>
            <w:tcW w:w="1520" w:type="dxa"/>
            <w:tcBorders>
              <w:top w:val="nil"/>
              <w:left w:val="nil"/>
              <w:bottom w:val="single" w:color="auto" w:sz="4" w:space="0"/>
              <w:right w:val="single" w:color="auto" w:sz="8" w:space="0"/>
            </w:tcBorders>
            <w:vAlign w:val="bottom"/>
          </w:tcPr>
          <w:p w14:paraId="666ACEB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49A0B1A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X＜5</w:t>
            </w:r>
          </w:p>
        </w:tc>
        <w:tc>
          <w:tcPr>
            <w:tcW w:w="1275" w:type="dxa"/>
            <w:tcBorders>
              <w:top w:val="nil"/>
              <w:left w:val="nil"/>
              <w:bottom w:val="single" w:color="auto" w:sz="4" w:space="0"/>
              <w:right w:val="single" w:color="auto" w:sz="4" w:space="0"/>
            </w:tcBorders>
            <w:vAlign w:val="bottom"/>
          </w:tcPr>
          <w:p w14:paraId="7539C7E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Y＜1000</w:t>
            </w:r>
          </w:p>
        </w:tc>
        <w:tc>
          <w:tcPr>
            <w:tcW w:w="1221" w:type="dxa"/>
            <w:tcBorders>
              <w:top w:val="nil"/>
              <w:left w:val="nil"/>
              <w:bottom w:val="single" w:color="auto" w:sz="4" w:space="0"/>
              <w:right w:val="single" w:color="auto" w:sz="8" w:space="0"/>
            </w:tcBorders>
            <w:vAlign w:val="bottom"/>
          </w:tcPr>
          <w:p w14:paraId="03D440A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0B8C9138">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F7CCDA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5、零售业</w:t>
            </w:r>
          </w:p>
        </w:tc>
        <w:tc>
          <w:tcPr>
            <w:tcW w:w="1498" w:type="dxa"/>
            <w:tcBorders>
              <w:top w:val="nil"/>
              <w:left w:val="nil"/>
              <w:bottom w:val="single" w:color="auto" w:sz="4" w:space="0"/>
              <w:right w:val="single" w:color="auto" w:sz="4" w:space="0"/>
            </w:tcBorders>
            <w:vAlign w:val="bottom"/>
          </w:tcPr>
          <w:p w14:paraId="6191157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50≤X＜300</w:t>
            </w:r>
          </w:p>
        </w:tc>
        <w:tc>
          <w:tcPr>
            <w:tcW w:w="1763" w:type="dxa"/>
            <w:tcBorders>
              <w:top w:val="nil"/>
              <w:left w:val="nil"/>
              <w:bottom w:val="single" w:color="auto" w:sz="4" w:space="0"/>
              <w:right w:val="single" w:color="auto" w:sz="4" w:space="0"/>
            </w:tcBorders>
            <w:vAlign w:val="bottom"/>
          </w:tcPr>
          <w:p w14:paraId="571D53E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500≤Y＜20000</w:t>
            </w:r>
          </w:p>
        </w:tc>
        <w:tc>
          <w:tcPr>
            <w:tcW w:w="1660" w:type="dxa"/>
            <w:tcBorders>
              <w:top w:val="nil"/>
              <w:left w:val="nil"/>
              <w:bottom w:val="single" w:color="auto" w:sz="4" w:space="0"/>
              <w:right w:val="single" w:color="auto" w:sz="8" w:space="0"/>
            </w:tcBorders>
            <w:vAlign w:val="bottom"/>
          </w:tcPr>
          <w:p w14:paraId="034AA9F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06034A8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10≤X＜50</w:t>
            </w:r>
          </w:p>
        </w:tc>
        <w:tc>
          <w:tcPr>
            <w:tcW w:w="1636" w:type="dxa"/>
            <w:tcBorders>
              <w:top w:val="nil"/>
              <w:left w:val="nil"/>
              <w:bottom w:val="single" w:color="auto" w:sz="4" w:space="0"/>
              <w:right w:val="single" w:color="auto" w:sz="4" w:space="0"/>
            </w:tcBorders>
            <w:vAlign w:val="bottom"/>
          </w:tcPr>
          <w:p w14:paraId="04D37D7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100≤Y＜500</w:t>
            </w:r>
          </w:p>
        </w:tc>
        <w:tc>
          <w:tcPr>
            <w:tcW w:w="1520" w:type="dxa"/>
            <w:tcBorders>
              <w:top w:val="nil"/>
              <w:left w:val="nil"/>
              <w:bottom w:val="single" w:color="auto" w:sz="4" w:space="0"/>
              <w:right w:val="single" w:color="auto" w:sz="8" w:space="0"/>
            </w:tcBorders>
            <w:vAlign w:val="bottom"/>
          </w:tcPr>
          <w:p w14:paraId="5EAADDB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73DA0AA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110F191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55E5A36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16CC85A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0B9BD87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6、交通运输业</w:t>
            </w:r>
          </w:p>
        </w:tc>
        <w:tc>
          <w:tcPr>
            <w:tcW w:w="1498" w:type="dxa"/>
            <w:tcBorders>
              <w:top w:val="nil"/>
              <w:left w:val="nil"/>
              <w:bottom w:val="single" w:color="auto" w:sz="4" w:space="0"/>
              <w:right w:val="single" w:color="auto" w:sz="4" w:space="0"/>
            </w:tcBorders>
            <w:vAlign w:val="bottom"/>
          </w:tcPr>
          <w:p w14:paraId="59396EB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300≤X＜1000</w:t>
            </w:r>
          </w:p>
        </w:tc>
        <w:tc>
          <w:tcPr>
            <w:tcW w:w="1763" w:type="dxa"/>
            <w:tcBorders>
              <w:top w:val="nil"/>
              <w:left w:val="nil"/>
              <w:bottom w:val="single" w:color="auto" w:sz="4" w:space="0"/>
              <w:right w:val="single" w:color="auto" w:sz="4" w:space="0"/>
            </w:tcBorders>
            <w:vAlign w:val="bottom"/>
          </w:tcPr>
          <w:p w14:paraId="217D0C3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3000≤Y＜30000</w:t>
            </w:r>
          </w:p>
        </w:tc>
        <w:tc>
          <w:tcPr>
            <w:tcW w:w="1660" w:type="dxa"/>
            <w:tcBorders>
              <w:top w:val="nil"/>
              <w:left w:val="nil"/>
              <w:bottom w:val="single" w:color="auto" w:sz="4" w:space="0"/>
              <w:right w:val="single" w:color="auto" w:sz="8" w:space="0"/>
            </w:tcBorders>
            <w:vAlign w:val="bottom"/>
          </w:tcPr>
          <w:p w14:paraId="31761AD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3A5DBF7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20≤X＜300</w:t>
            </w:r>
          </w:p>
        </w:tc>
        <w:tc>
          <w:tcPr>
            <w:tcW w:w="1636" w:type="dxa"/>
            <w:tcBorders>
              <w:top w:val="nil"/>
              <w:left w:val="nil"/>
              <w:bottom w:val="single" w:color="auto" w:sz="4" w:space="0"/>
              <w:right w:val="single" w:color="auto" w:sz="4" w:space="0"/>
            </w:tcBorders>
            <w:vAlign w:val="bottom"/>
          </w:tcPr>
          <w:p w14:paraId="25CCB283">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200≤Y＜3000</w:t>
            </w:r>
          </w:p>
        </w:tc>
        <w:tc>
          <w:tcPr>
            <w:tcW w:w="1520" w:type="dxa"/>
            <w:tcBorders>
              <w:top w:val="nil"/>
              <w:left w:val="nil"/>
              <w:bottom w:val="single" w:color="auto" w:sz="4" w:space="0"/>
              <w:right w:val="single" w:color="auto" w:sz="8" w:space="0"/>
            </w:tcBorders>
            <w:vAlign w:val="bottom"/>
          </w:tcPr>
          <w:p w14:paraId="2768929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297255B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X＜20</w:t>
            </w:r>
          </w:p>
        </w:tc>
        <w:tc>
          <w:tcPr>
            <w:tcW w:w="1275" w:type="dxa"/>
            <w:tcBorders>
              <w:top w:val="nil"/>
              <w:left w:val="nil"/>
              <w:bottom w:val="single" w:color="auto" w:sz="4" w:space="0"/>
              <w:right w:val="single" w:color="auto" w:sz="4" w:space="0"/>
            </w:tcBorders>
            <w:vAlign w:val="bottom"/>
          </w:tcPr>
          <w:p w14:paraId="709D4AC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V＜200</w:t>
            </w:r>
          </w:p>
        </w:tc>
        <w:tc>
          <w:tcPr>
            <w:tcW w:w="1221" w:type="dxa"/>
            <w:tcBorders>
              <w:top w:val="nil"/>
              <w:left w:val="nil"/>
              <w:bottom w:val="single" w:color="auto" w:sz="4" w:space="0"/>
              <w:right w:val="single" w:color="auto" w:sz="8" w:space="0"/>
            </w:tcBorders>
            <w:vAlign w:val="bottom"/>
          </w:tcPr>
          <w:p w14:paraId="60766E5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CE643C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E54F20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7、仓储业</w:t>
            </w:r>
          </w:p>
        </w:tc>
        <w:tc>
          <w:tcPr>
            <w:tcW w:w="1498" w:type="dxa"/>
            <w:tcBorders>
              <w:top w:val="nil"/>
              <w:left w:val="nil"/>
              <w:bottom w:val="single" w:color="auto" w:sz="4" w:space="0"/>
              <w:right w:val="single" w:color="auto" w:sz="4" w:space="0"/>
            </w:tcBorders>
            <w:vAlign w:val="bottom"/>
          </w:tcPr>
          <w:p w14:paraId="5DB9790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100≤X＜200</w:t>
            </w:r>
          </w:p>
        </w:tc>
        <w:tc>
          <w:tcPr>
            <w:tcW w:w="1763" w:type="dxa"/>
            <w:tcBorders>
              <w:top w:val="nil"/>
              <w:left w:val="nil"/>
              <w:bottom w:val="single" w:color="auto" w:sz="4" w:space="0"/>
              <w:right w:val="single" w:color="auto" w:sz="4" w:space="0"/>
            </w:tcBorders>
            <w:vAlign w:val="bottom"/>
          </w:tcPr>
          <w:p w14:paraId="6BD370E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1000≤Y＜30000</w:t>
            </w:r>
          </w:p>
        </w:tc>
        <w:tc>
          <w:tcPr>
            <w:tcW w:w="1660" w:type="dxa"/>
            <w:tcBorders>
              <w:top w:val="nil"/>
              <w:left w:val="nil"/>
              <w:bottom w:val="single" w:color="auto" w:sz="4" w:space="0"/>
              <w:right w:val="single" w:color="auto" w:sz="8" w:space="0"/>
            </w:tcBorders>
            <w:vAlign w:val="bottom"/>
          </w:tcPr>
          <w:p w14:paraId="4F4BA40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2E90B49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20≤X＜100</w:t>
            </w:r>
          </w:p>
        </w:tc>
        <w:tc>
          <w:tcPr>
            <w:tcW w:w="1636" w:type="dxa"/>
            <w:tcBorders>
              <w:top w:val="nil"/>
              <w:left w:val="nil"/>
              <w:bottom w:val="single" w:color="auto" w:sz="4" w:space="0"/>
              <w:right w:val="single" w:color="auto" w:sz="4" w:space="0"/>
            </w:tcBorders>
            <w:vAlign w:val="bottom"/>
          </w:tcPr>
          <w:p w14:paraId="69955D6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100≤Y＜1000</w:t>
            </w:r>
          </w:p>
        </w:tc>
        <w:tc>
          <w:tcPr>
            <w:tcW w:w="1520" w:type="dxa"/>
            <w:tcBorders>
              <w:top w:val="nil"/>
              <w:left w:val="nil"/>
              <w:bottom w:val="single" w:color="auto" w:sz="4" w:space="0"/>
              <w:right w:val="single" w:color="auto" w:sz="8" w:space="0"/>
            </w:tcBorders>
            <w:vAlign w:val="bottom"/>
          </w:tcPr>
          <w:p w14:paraId="28D6675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528EF21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X＜20</w:t>
            </w:r>
          </w:p>
        </w:tc>
        <w:tc>
          <w:tcPr>
            <w:tcW w:w="1275" w:type="dxa"/>
            <w:tcBorders>
              <w:top w:val="nil"/>
              <w:left w:val="nil"/>
              <w:bottom w:val="single" w:color="auto" w:sz="4" w:space="0"/>
              <w:right w:val="single" w:color="auto" w:sz="4" w:space="0"/>
            </w:tcBorders>
            <w:vAlign w:val="bottom"/>
          </w:tcPr>
          <w:p w14:paraId="22C9343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5848819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70A35D51">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A18E57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8、邮政业</w:t>
            </w:r>
          </w:p>
        </w:tc>
        <w:tc>
          <w:tcPr>
            <w:tcW w:w="1498" w:type="dxa"/>
            <w:tcBorders>
              <w:top w:val="nil"/>
              <w:left w:val="nil"/>
              <w:bottom w:val="single" w:color="auto" w:sz="4" w:space="0"/>
              <w:right w:val="single" w:color="auto" w:sz="4" w:space="0"/>
            </w:tcBorders>
            <w:vAlign w:val="bottom"/>
          </w:tcPr>
          <w:p w14:paraId="5DBA4AF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300≤X＜1000</w:t>
            </w:r>
          </w:p>
        </w:tc>
        <w:tc>
          <w:tcPr>
            <w:tcW w:w="1763" w:type="dxa"/>
            <w:tcBorders>
              <w:top w:val="nil"/>
              <w:left w:val="nil"/>
              <w:bottom w:val="single" w:color="auto" w:sz="4" w:space="0"/>
              <w:right w:val="single" w:color="auto" w:sz="4" w:space="0"/>
            </w:tcBorders>
            <w:vAlign w:val="bottom"/>
          </w:tcPr>
          <w:p w14:paraId="1DD41E9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2000≤Y＜30000</w:t>
            </w:r>
          </w:p>
        </w:tc>
        <w:tc>
          <w:tcPr>
            <w:tcW w:w="1660" w:type="dxa"/>
            <w:tcBorders>
              <w:top w:val="nil"/>
              <w:left w:val="nil"/>
              <w:bottom w:val="single" w:color="auto" w:sz="4" w:space="0"/>
              <w:right w:val="single" w:color="auto" w:sz="8" w:space="0"/>
            </w:tcBorders>
            <w:vAlign w:val="bottom"/>
          </w:tcPr>
          <w:p w14:paraId="48DD64D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424EA42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20≤X＜300</w:t>
            </w:r>
          </w:p>
        </w:tc>
        <w:tc>
          <w:tcPr>
            <w:tcW w:w="1636" w:type="dxa"/>
            <w:tcBorders>
              <w:top w:val="nil"/>
              <w:left w:val="nil"/>
              <w:bottom w:val="single" w:color="auto" w:sz="4" w:space="0"/>
              <w:right w:val="single" w:color="auto" w:sz="4" w:space="0"/>
            </w:tcBorders>
            <w:vAlign w:val="bottom"/>
          </w:tcPr>
          <w:p w14:paraId="4491589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100≤Y＜2000</w:t>
            </w:r>
          </w:p>
        </w:tc>
        <w:tc>
          <w:tcPr>
            <w:tcW w:w="1520" w:type="dxa"/>
            <w:tcBorders>
              <w:top w:val="nil"/>
              <w:left w:val="nil"/>
              <w:bottom w:val="single" w:color="auto" w:sz="4" w:space="0"/>
              <w:right w:val="single" w:color="auto" w:sz="8" w:space="0"/>
            </w:tcBorders>
            <w:vAlign w:val="bottom"/>
          </w:tcPr>
          <w:p w14:paraId="61A5A77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0B9B018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X＜20</w:t>
            </w:r>
          </w:p>
        </w:tc>
        <w:tc>
          <w:tcPr>
            <w:tcW w:w="1275" w:type="dxa"/>
            <w:tcBorders>
              <w:top w:val="nil"/>
              <w:left w:val="nil"/>
              <w:bottom w:val="single" w:color="auto" w:sz="4" w:space="0"/>
              <w:right w:val="single" w:color="auto" w:sz="4" w:space="0"/>
            </w:tcBorders>
            <w:vAlign w:val="bottom"/>
          </w:tcPr>
          <w:p w14:paraId="510BCF4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6EECDE2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0AB8F6DE">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A18F77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9、住宿业</w:t>
            </w:r>
          </w:p>
        </w:tc>
        <w:tc>
          <w:tcPr>
            <w:tcW w:w="1498" w:type="dxa"/>
            <w:tcBorders>
              <w:top w:val="nil"/>
              <w:left w:val="nil"/>
              <w:bottom w:val="single" w:color="auto" w:sz="4" w:space="0"/>
              <w:right w:val="single" w:color="auto" w:sz="4" w:space="0"/>
            </w:tcBorders>
            <w:vAlign w:val="bottom"/>
          </w:tcPr>
          <w:p w14:paraId="046EC2B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763" w:type="dxa"/>
            <w:tcBorders>
              <w:top w:val="nil"/>
              <w:left w:val="nil"/>
              <w:bottom w:val="single" w:color="auto" w:sz="4" w:space="0"/>
              <w:right w:val="single" w:color="auto" w:sz="4" w:space="0"/>
            </w:tcBorders>
            <w:vAlign w:val="bottom"/>
          </w:tcPr>
          <w:p w14:paraId="7D6C447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2000≤Y＜10000</w:t>
            </w:r>
          </w:p>
        </w:tc>
        <w:tc>
          <w:tcPr>
            <w:tcW w:w="1660" w:type="dxa"/>
            <w:tcBorders>
              <w:top w:val="nil"/>
              <w:left w:val="nil"/>
              <w:bottom w:val="single" w:color="auto" w:sz="4" w:space="0"/>
              <w:right w:val="single" w:color="auto" w:sz="8" w:space="0"/>
            </w:tcBorders>
            <w:vAlign w:val="bottom"/>
          </w:tcPr>
          <w:p w14:paraId="4379C77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40DB2B6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4" w:space="0"/>
              <w:right w:val="single" w:color="auto" w:sz="4" w:space="0"/>
            </w:tcBorders>
            <w:vAlign w:val="bottom"/>
          </w:tcPr>
          <w:p w14:paraId="0B6A291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100≤Y＜2000</w:t>
            </w:r>
          </w:p>
        </w:tc>
        <w:tc>
          <w:tcPr>
            <w:tcW w:w="1520" w:type="dxa"/>
            <w:tcBorders>
              <w:top w:val="nil"/>
              <w:left w:val="nil"/>
              <w:bottom w:val="single" w:color="auto" w:sz="4" w:space="0"/>
              <w:right w:val="single" w:color="auto" w:sz="8" w:space="0"/>
            </w:tcBorders>
            <w:vAlign w:val="bottom"/>
          </w:tcPr>
          <w:p w14:paraId="6683193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71CF1EF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2A8D0FE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04D4038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46102AB8">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47E085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10、餐饮业</w:t>
            </w:r>
          </w:p>
        </w:tc>
        <w:tc>
          <w:tcPr>
            <w:tcW w:w="1498" w:type="dxa"/>
            <w:tcBorders>
              <w:top w:val="nil"/>
              <w:left w:val="nil"/>
              <w:bottom w:val="single" w:color="auto" w:sz="4" w:space="0"/>
              <w:right w:val="single" w:color="auto" w:sz="4" w:space="0"/>
            </w:tcBorders>
            <w:vAlign w:val="bottom"/>
          </w:tcPr>
          <w:p w14:paraId="22C2474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763" w:type="dxa"/>
            <w:tcBorders>
              <w:top w:val="nil"/>
              <w:left w:val="nil"/>
              <w:bottom w:val="single" w:color="auto" w:sz="4" w:space="0"/>
              <w:right w:val="single" w:color="auto" w:sz="4" w:space="0"/>
            </w:tcBorders>
            <w:vAlign w:val="bottom"/>
          </w:tcPr>
          <w:p w14:paraId="43EA519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2000≤Y＜10000</w:t>
            </w:r>
          </w:p>
        </w:tc>
        <w:tc>
          <w:tcPr>
            <w:tcW w:w="1660" w:type="dxa"/>
            <w:tcBorders>
              <w:top w:val="nil"/>
              <w:left w:val="nil"/>
              <w:bottom w:val="single" w:color="auto" w:sz="4" w:space="0"/>
              <w:right w:val="single" w:color="auto" w:sz="8" w:space="0"/>
            </w:tcBorders>
            <w:vAlign w:val="bottom"/>
          </w:tcPr>
          <w:p w14:paraId="3BFA251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5DAC5EF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4" w:space="0"/>
              <w:right w:val="single" w:color="auto" w:sz="4" w:space="0"/>
            </w:tcBorders>
            <w:vAlign w:val="bottom"/>
          </w:tcPr>
          <w:p w14:paraId="5904B0F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100≤Y＜2000</w:t>
            </w:r>
          </w:p>
        </w:tc>
        <w:tc>
          <w:tcPr>
            <w:tcW w:w="1520" w:type="dxa"/>
            <w:tcBorders>
              <w:top w:val="nil"/>
              <w:left w:val="nil"/>
              <w:bottom w:val="single" w:color="auto" w:sz="4" w:space="0"/>
              <w:right w:val="single" w:color="auto" w:sz="8" w:space="0"/>
            </w:tcBorders>
            <w:vAlign w:val="bottom"/>
          </w:tcPr>
          <w:p w14:paraId="2FFE4AD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7985B6B2">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685F854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V＜100</w:t>
            </w:r>
          </w:p>
        </w:tc>
        <w:tc>
          <w:tcPr>
            <w:tcW w:w="1221" w:type="dxa"/>
            <w:tcBorders>
              <w:top w:val="nil"/>
              <w:left w:val="nil"/>
              <w:bottom w:val="single" w:color="auto" w:sz="4" w:space="0"/>
              <w:right w:val="single" w:color="auto" w:sz="8" w:space="0"/>
            </w:tcBorders>
            <w:vAlign w:val="bottom"/>
          </w:tcPr>
          <w:p w14:paraId="562CA4B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19B89D22">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1EF5D2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11、信息传输业</w:t>
            </w:r>
          </w:p>
        </w:tc>
        <w:tc>
          <w:tcPr>
            <w:tcW w:w="1498" w:type="dxa"/>
            <w:tcBorders>
              <w:top w:val="nil"/>
              <w:left w:val="nil"/>
              <w:bottom w:val="single" w:color="auto" w:sz="4" w:space="0"/>
              <w:right w:val="single" w:color="auto" w:sz="4" w:space="0"/>
            </w:tcBorders>
            <w:vAlign w:val="bottom"/>
          </w:tcPr>
          <w:p w14:paraId="1D99267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100≤X＜2000</w:t>
            </w:r>
          </w:p>
        </w:tc>
        <w:tc>
          <w:tcPr>
            <w:tcW w:w="1763" w:type="dxa"/>
            <w:tcBorders>
              <w:top w:val="nil"/>
              <w:left w:val="nil"/>
              <w:bottom w:val="single" w:color="auto" w:sz="4" w:space="0"/>
              <w:right w:val="single" w:color="auto" w:sz="4" w:space="0"/>
            </w:tcBorders>
            <w:vAlign w:val="bottom"/>
          </w:tcPr>
          <w:p w14:paraId="4B1DCA5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1000≤Y＜100000</w:t>
            </w:r>
          </w:p>
        </w:tc>
        <w:tc>
          <w:tcPr>
            <w:tcW w:w="1660" w:type="dxa"/>
            <w:tcBorders>
              <w:top w:val="nil"/>
              <w:left w:val="nil"/>
              <w:bottom w:val="single" w:color="auto" w:sz="4" w:space="0"/>
              <w:right w:val="single" w:color="auto" w:sz="8" w:space="0"/>
            </w:tcBorders>
            <w:vAlign w:val="bottom"/>
          </w:tcPr>
          <w:p w14:paraId="071AD72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26EE812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4" w:space="0"/>
              <w:right w:val="single" w:color="auto" w:sz="4" w:space="0"/>
            </w:tcBorders>
            <w:vAlign w:val="bottom"/>
          </w:tcPr>
          <w:p w14:paraId="6587F65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100≤Y＜1000</w:t>
            </w:r>
          </w:p>
        </w:tc>
        <w:tc>
          <w:tcPr>
            <w:tcW w:w="1520" w:type="dxa"/>
            <w:tcBorders>
              <w:top w:val="nil"/>
              <w:left w:val="nil"/>
              <w:bottom w:val="single" w:color="auto" w:sz="4" w:space="0"/>
              <w:right w:val="single" w:color="auto" w:sz="8" w:space="0"/>
            </w:tcBorders>
            <w:vAlign w:val="bottom"/>
          </w:tcPr>
          <w:p w14:paraId="5E1F039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1165FB2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6409795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5326A15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3DC5DBF4">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FBD3C17">
            <w:pPr>
              <w:widowControl/>
              <w:shd w:val="clear"/>
              <w:jc w:val="left"/>
              <w:rPr>
                <w:rFonts w:ascii="宋体" w:hAnsi="宋体" w:cs="宋体"/>
                <w:color w:val="auto"/>
                <w:kern w:val="0"/>
                <w:sz w:val="20"/>
                <w:highlight w:val="none"/>
              </w:rPr>
            </w:pPr>
            <w:r>
              <w:rPr>
                <w:rFonts w:hint="eastAsia" w:ascii="宋体" w:hAnsi="宋体" w:cs="宋体"/>
                <w:color w:val="auto"/>
                <w:kern w:val="0"/>
                <w:sz w:val="15"/>
                <w:highlight w:val="none"/>
              </w:rPr>
              <w:t>12、软件和信息技术服务业</w:t>
            </w:r>
          </w:p>
        </w:tc>
        <w:tc>
          <w:tcPr>
            <w:tcW w:w="1498" w:type="dxa"/>
            <w:tcBorders>
              <w:top w:val="nil"/>
              <w:left w:val="nil"/>
              <w:bottom w:val="single" w:color="auto" w:sz="4" w:space="0"/>
              <w:right w:val="single" w:color="auto" w:sz="4" w:space="0"/>
            </w:tcBorders>
            <w:vAlign w:val="bottom"/>
          </w:tcPr>
          <w:p w14:paraId="0D685D5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763" w:type="dxa"/>
            <w:tcBorders>
              <w:top w:val="nil"/>
              <w:left w:val="nil"/>
              <w:bottom w:val="single" w:color="auto" w:sz="4" w:space="0"/>
              <w:right w:val="single" w:color="auto" w:sz="4" w:space="0"/>
            </w:tcBorders>
            <w:vAlign w:val="bottom"/>
          </w:tcPr>
          <w:p w14:paraId="79DA6A2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1000≤Y＜10000</w:t>
            </w:r>
          </w:p>
        </w:tc>
        <w:tc>
          <w:tcPr>
            <w:tcW w:w="1660" w:type="dxa"/>
            <w:tcBorders>
              <w:top w:val="nil"/>
              <w:left w:val="nil"/>
              <w:bottom w:val="single" w:color="auto" w:sz="4" w:space="0"/>
              <w:right w:val="single" w:color="auto" w:sz="8" w:space="0"/>
            </w:tcBorders>
            <w:vAlign w:val="bottom"/>
          </w:tcPr>
          <w:p w14:paraId="47D7791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3D0476E3">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4" w:space="0"/>
              <w:right w:val="single" w:color="auto" w:sz="4" w:space="0"/>
            </w:tcBorders>
            <w:vAlign w:val="bottom"/>
          </w:tcPr>
          <w:p w14:paraId="40EFFB1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50≤Y＜1000</w:t>
            </w:r>
          </w:p>
        </w:tc>
        <w:tc>
          <w:tcPr>
            <w:tcW w:w="1520" w:type="dxa"/>
            <w:tcBorders>
              <w:top w:val="nil"/>
              <w:left w:val="nil"/>
              <w:bottom w:val="single" w:color="auto" w:sz="4" w:space="0"/>
              <w:right w:val="single" w:color="auto" w:sz="8" w:space="0"/>
            </w:tcBorders>
            <w:vAlign w:val="bottom"/>
          </w:tcPr>
          <w:p w14:paraId="1277F12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61D5C3E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1A5A9DB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Y＜50</w:t>
            </w:r>
          </w:p>
        </w:tc>
        <w:tc>
          <w:tcPr>
            <w:tcW w:w="1221" w:type="dxa"/>
            <w:tcBorders>
              <w:top w:val="nil"/>
              <w:left w:val="nil"/>
              <w:bottom w:val="single" w:color="auto" w:sz="4" w:space="0"/>
              <w:right w:val="single" w:color="auto" w:sz="8" w:space="0"/>
            </w:tcBorders>
            <w:vAlign w:val="bottom"/>
          </w:tcPr>
          <w:p w14:paraId="4001929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63DF504E">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vAlign w:val="bottom"/>
          </w:tcPr>
          <w:p w14:paraId="6C56E73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13、房地产开发经营</w:t>
            </w:r>
          </w:p>
        </w:tc>
        <w:tc>
          <w:tcPr>
            <w:tcW w:w="1498" w:type="dxa"/>
            <w:tcBorders>
              <w:top w:val="nil"/>
              <w:left w:val="nil"/>
              <w:bottom w:val="single" w:color="auto" w:sz="4" w:space="0"/>
              <w:right w:val="single" w:color="auto" w:sz="4" w:space="0"/>
            </w:tcBorders>
            <w:vAlign w:val="bottom"/>
          </w:tcPr>
          <w:p w14:paraId="1CB72EF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63" w:type="dxa"/>
            <w:tcBorders>
              <w:top w:val="nil"/>
              <w:left w:val="nil"/>
              <w:bottom w:val="single" w:color="auto" w:sz="4" w:space="0"/>
              <w:right w:val="single" w:color="auto" w:sz="4" w:space="0"/>
            </w:tcBorders>
            <w:vAlign w:val="bottom"/>
          </w:tcPr>
          <w:p w14:paraId="043E57E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1000≤Y＜200000</w:t>
            </w:r>
          </w:p>
        </w:tc>
        <w:tc>
          <w:tcPr>
            <w:tcW w:w="1660" w:type="dxa"/>
            <w:tcBorders>
              <w:top w:val="nil"/>
              <w:left w:val="nil"/>
              <w:bottom w:val="single" w:color="auto" w:sz="4" w:space="0"/>
              <w:right w:val="single" w:color="auto" w:sz="8" w:space="0"/>
            </w:tcBorders>
            <w:vAlign w:val="bottom"/>
          </w:tcPr>
          <w:p w14:paraId="316D74C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5000≤Z＜10000</w:t>
            </w:r>
          </w:p>
        </w:tc>
        <w:tc>
          <w:tcPr>
            <w:tcW w:w="1240" w:type="dxa"/>
            <w:tcBorders>
              <w:top w:val="nil"/>
              <w:left w:val="nil"/>
              <w:bottom w:val="single" w:color="auto" w:sz="4" w:space="0"/>
              <w:right w:val="single" w:color="auto" w:sz="4" w:space="0"/>
            </w:tcBorders>
            <w:vAlign w:val="bottom"/>
          </w:tcPr>
          <w:p w14:paraId="4CAA36F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36" w:type="dxa"/>
            <w:tcBorders>
              <w:top w:val="nil"/>
              <w:left w:val="nil"/>
              <w:bottom w:val="single" w:color="auto" w:sz="4" w:space="0"/>
              <w:right w:val="single" w:color="auto" w:sz="4" w:space="0"/>
            </w:tcBorders>
            <w:vAlign w:val="bottom"/>
          </w:tcPr>
          <w:p w14:paraId="2A2A833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100≤Y＜1000</w:t>
            </w:r>
          </w:p>
        </w:tc>
        <w:tc>
          <w:tcPr>
            <w:tcW w:w="1520" w:type="dxa"/>
            <w:tcBorders>
              <w:top w:val="nil"/>
              <w:left w:val="nil"/>
              <w:bottom w:val="single" w:color="auto" w:sz="4" w:space="0"/>
              <w:right w:val="single" w:color="auto" w:sz="8" w:space="0"/>
            </w:tcBorders>
            <w:vAlign w:val="bottom"/>
          </w:tcPr>
          <w:p w14:paraId="346D810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2000≤Z＜5000</w:t>
            </w:r>
          </w:p>
        </w:tc>
        <w:tc>
          <w:tcPr>
            <w:tcW w:w="1285" w:type="dxa"/>
            <w:tcBorders>
              <w:top w:val="nil"/>
              <w:left w:val="nil"/>
              <w:bottom w:val="single" w:color="auto" w:sz="4" w:space="0"/>
              <w:right w:val="single" w:color="auto" w:sz="4" w:space="0"/>
            </w:tcBorders>
            <w:vAlign w:val="bottom"/>
          </w:tcPr>
          <w:p w14:paraId="5593AD8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75" w:type="dxa"/>
            <w:tcBorders>
              <w:top w:val="nil"/>
              <w:left w:val="nil"/>
              <w:bottom w:val="single" w:color="auto" w:sz="4" w:space="0"/>
              <w:right w:val="single" w:color="auto" w:sz="4" w:space="0"/>
            </w:tcBorders>
            <w:vAlign w:val="bottom"/>
          </w:tcPr>
          <w:p w14:paraId="0FE0D810">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Y＜100</w:t>
            </w:r>
          </w:p>
        </w:tc>
        <w:tc>
          <w:tcPr>
            <w:tcW w:w="1221" w:type="dxa"/>
            <w:tcBorders>
              <w:top w:val="nil"/>
              <w:left w:val="nil"/>
              <w:bottom w:val="single" w:color="auto" w:sz="4" w:space="0"/>
              <w:right w:val="single" w:color="auto" w:sz="8" w:space="0"/>
            </w:tcBorders>
            <w:vAlign w:val="bottom"/>
          </w:tcPr>
          <w:p w14:paraId="4A9FC05D">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Z＜2000</w:t>
            </w:r>
          </w:p>
        </w:tc>
      </w:tr>
      <w:tr w14:paraId="5F0AD3A0">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4" w:space="0"/>
              <w:right w:val="single" w:color="auto" w:sz="8" w:space="0"/>
            </w:tcBorders>
            <w:vAlign w:val="bottom"/>
          </w:tcPr>
          <w:p w14:paraId="1FDB899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14、物业管理</w:t>
            </w:r>
          </w:p>
        </w:tc>
        <w:tc>
          <w:tcPr>
            <w:tcW w:w="1498" w:type="dxa"/>
            <w:tcBorders>
              <w:top w:val="nil"/>
              <w:left w:val="nil"/>
              <w:bottom w:val="single" w:color="auto" w:sz="4" w:space="0"/>
              <w:right w:val="single" w:color="auto" w:sz="4" w:space="0"/>
            </w:tcBorders>
            <w:vAlign w:val="bottom"/>
          </w:tcPr>
          <w:p w14:paraId="0EFB2F7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300≤X＜1000</w:t>
            </w:r>
          </w:p>
        </w:tc>
        <w:tc>
          <w:tcPr>
            <w:tcW w:w="1763" w:type="dxa"/>
            <w:tcBorders>
              <w:top w:val="nil"/>
              <w:left w:val="nil"/>
              <w:bottom w:val="single" w:color="auto" w:sz="4" w:space="0"/>
              <w:right w:val="single" w:color="auto" w:sz="4" w:space="0"/>
            </w:tcBorders>
            <w:vAlign w:val="bottom"/>
          </w:tcPr>
          <w:p w14:paraId="7EEC9F4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1000≤Y＜5000</w:t>
            </w:r>
          </w:p>
        </w:tc>
        <w:tc>
          <w:tcPr>
            <w:tcW w:w="1660" w:type="dxa"/>
            <w:tcBorders>
              <w:top w:val="nil"/>
              <w:left w:val="nil"/>
              <w:bottom w:val="single" w:color="auto" w:sz="4" w:space="0"/>
              <w:right w:val="single" w:color="auto" w:sz="8" w:space="0"/>
            </w:tcBorders>
            <w:vAlign w:val="bottom"/>
          </w:tcPr>
          <w:p w14:paraId="56335036">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4" w:space="0"/>
              <w:right w:val="single" w:color="auto" w:sz="4" w:space="0"/>
            </w:tcBorders>
            <w:vAlign w:val="bottom"/>
          </w:tcPr>
          <w:p w14:paraId="6192927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636" w:type="dxa"/>
            <w:tcBorders>
              <w:top w:val="nil"/>
              <w:left w:val="nil"/>
              <w:bottom w:val="single" w:color="auto" w:sz="4" w:space="0"/>
              <w:right w:val="single" w:color="auto" w:sz="4" w:space="0"/>
            </w:tcBorders>
            <w:vAlign w:val="bottom"/>
          </w:tcPr>
          <w:p w14:paraId="2DAC4E1B">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500≤Y＜1000</w:t>
            </w:r>
          </w:p>
        </w:tc>
        <w:tc>
          <w:tcPr>
            <w:tcW w:w="1520" w:type="dxa"/>
            <w:tcBorders>
              <w:top w:val="nil"/>
              <w:left w:val="nil"/>
              <w:bottom w:val="single" w:color="auto" w:sz="4" w:space="0"/>
              <w:right w:val="single" w:color="auto" w:sz="8" w:space="0"/>
            </w:tcBorders>
            <w:vAlign w:val="bottom"/>
          </w:tcPr>
          <w:p w14:paraId="16C729B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4" w:space="0"/>
              <w:right w:val="single" w:color="auto" w:sz="4" w:space="0"/>
            </w:tcBorders>
            <w:vAlign w:val="bottom"/>
          </w:tcPr>
          <w:p w14:paraId="788ABE0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X＜100</w:t>
            </w:r>
          </w:p>
        </w:tc>
        <w:tc>
          <w:tcPr>
            <w:tcW w:w="1275" w:type="dxa"/>
            <w:tcBorders>
              <w:top w:val="nil"/>
              <w:left w:val="nil"/>
              <w:bottom w:val="single" w:color="auto" w:sz="4" w:space="0"/>
              <w:right w:val="single" w:color="auto" w:sz="4" w:space="0"/>
            </w:tcBorders>
            <w:vAlign w:val="bottom"/>
          </w:tcPr>
          <w:p w14:paraId="3792743E">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Y＜500</w:t>
            </w:r>
          </w:p>
        </w:tc>
        <w:tc>
          <w:tcPr>
            <w:tcW w:w="1221" w:type="dxa"/>
            <w:tcBorders>
              <w:top w:val="nil"/>
              <w:left w:val="nil"/>
              <w:bottom w:val="single" w:color="auto" w:sz="4" w:space="0"/>
              <w:right w:val="single" w:color="auto" w:sz="8" w:space="0"/>
            </w:tcBorders>
            <w:vAlign w:val="bottom"/>
          </w:tcPr>
          <w:p w14:paraId="421D7E3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r w14:paraId="2E925D8D">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vAlign w:val="bottom"/>
          </w:tcPr>
          <w:p w14:paraId="5F49FD66">
            <w:pPr>
              <w:widowControl/>
              <w:shd w:val="clear"/>
              <w:jc w:val="left"/>
              <w:rPr>
                <w:rFonts w:ascii="宋体" w:hAnsi="宋体" w:cs="宋体"/>
                <w:color w:val="auto"/>
                <w:kern w:val="0"/>
                <w:sz w:val="20"/>
                <w:highlight w:val="none"/>
              </w:rPr>
            </w:pPr>
            <w:r>
              <w:rPr>
                <w:rFonts w:hint="eastAsia" w:ascii="宋体" w:hAnsi="宋体" w:cs="宋体"/>
                <w:color w:val="auto"/>
                <w:kern w:val="0"/>
                <w:sz w:val="18"/>
                <w:highlight w:val="none"/>
              </w:rPr>
              <w:t>15、租赁和商务服务业</w:t>
            </w:r>
          </w:p>
        </w:tc>
        <w:tc>
          <w:tcPr>
            <w:tcW w:w="1498" w:type="dxa"/>
            <w:tcBorders>
              <w:top w:val="nil"/>
              <w:left w:val="nil"/>
              <w:bottom w:val="single" w:color="auto" w:sz="4" w:space="0"/>
              <w:right w:val="single" w:color="auto" w:sz="4" w:space="0"/>
            </w:tcBorders>
            <w:vAlign w:val="bottom"/>
          </w:tcPr>
          <w:p w14:paraId="16BAEA8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763" w:type="dxa"/>
            <w:tcBorders>
              <w:top w:val="nil"/>
              <w:left w:val="nil"/>
              <w:bottom w:val="single" w:color="auto" w:sz="4" w:space="0"/>
              <w:right w:val="single" w:color="auto" w:sz="4" w:space="0"/>
            </w:tcBorders>
            <w:vAlign w:val="bottom"/>
          </w:tcPr>
          <w:p w14:paraId="06F5E4D3">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60" w:type="dxa"/>
            <w:tcBorders>
              <w:top w:val="nil"/>
              <w:left w:val="nil"/>
              <w:bottom w:val="single" w:color="auto" w:sz="4" w:space="0"/>
              <w:right w:val="single" w:color="auto" w:sz="8" w:space="0"/>
            </w:tcBorders>
            <w:vAlign w:val="bottom"/>
          </w:tcPr>
          <w:p w14:paraId="16A250FB">
            <w:pPr>
              <w:widowControl/>
              <w:shd w:val="clear"/>
              <w:jc w:val="left"/>
              <w:rPr>
                <w:rFonts w:ascii="宋体" w:hAnsi="宋体" w:cs="宋体"/>
                <w:color w:val="auto"/>
                <w:kern w:val="0"/>
                <w:sz w:val="20"/>
                <w:highlight w:val="none"/>
              </w:rPr>
            </w:pPr>
            <w:r>
              <w:rPr>
                <w:rFonts w:hint="eastAsia" w:ascii="宋体" w:hAnsi="宋体" w:cs="宋体"/>
                <w:color w:val="auto"/>
                <w:kern w:val="0"/>
                <w:sz w:val="18"/>
                <w:highlight w:val="none"/>
              </w:rPr>
              <w:t>8000≤Z＜120000</w:t>
            </w:r>
          </w:p>
        </w:tc>
        <w:tc>
          <w:tcPr>
            <w:tcW w:w="1240" w:type="dxa"/>
            <w:tcBorders>
              <w:top w:val="nil"/>
              <w:left w:val="nil"/>
              <w:bottom w:val="single" w:color="auto" w:sz="4" w:space="0"/>
              <w:right w:val="single" w:color="auto" w:sz="4" w:space="0"/>
            </w:tcBorders>
            <w:vAlign w:val="bottom"/>
          </w:tcPr>
          <w:p w14:paraId="59159AF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4" w:space="0"/>
              <w:right w:val="single" w:color="auto" w:sz="4" w:space="0"/>
            </w:tcBorders>
            <w:vAlign w:val="bottom"/>
          </w:tcPr>
          <w:p w14:paraId="650A4C4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20" w:type="dxa"/>
            <w:tcBorders>
              <w:top w:val="nil"/>
              <w:left w:val="nil"/>
              <w:bottom w:val="single" w:color="auto" w:sz="4" w:space="0"/>
              <w:right w:val="single" w:color="auto" w:sz="8" w:space="0"/>
            </w:tcBorders>
            <w:vAlign w:val="bottom"/>
          </w:tcPr>
          <w:p w14:paraId="667F471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xml:space="preserve"> 100≤Z＜8000</w:t>
            </w:r>
          </w:p>
        </w:tc>
        <w:tc>
          <w:tcPr>
            <w:tcW w:w="1285" w:type="dxa"/>
            <w:tcBorders>
              <w:top w:val="nil"/>
              <w:left w:val="nil"/>
              <w:bottom w:val="single" w:color="auto" w:sz="4" w:space="0"/>
              <w:right w:val="single" w:color="auto" w:sz="4" w:space="0"/>
            </w:tcBorders>
            <w:vAlign w:val="bottom"/>
          </w:tcPr>
          <w:p w14:paraId="181446D9">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4" w:space="0"/>
              <w:right w:val="single" w:color="auto" w:sz="4" w:space="0"/>
            </w:tcBorders>
            <w:vAlign w:val="bottom"/>
          </w:tcPr>
          <w:p w14:paraId="16EF9588">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21" w:type="dxa"/>
            <w:tcBorders>
              <w:top w:val="nil"/>
              <w:left w:val="nil"/>
              <w:bottom w:val="single" w:color="auto" w:sz="4" w:space="0"/>
              <w:right w:val="single" w:color="auto" w:sz="8" w:space="0"/>
            </w:tcBorders>
            <w:vAlign w:val="bottom"/>
          </w:tcPr>
          <w:p w14:paraId="7BAB170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Z＜100</w:t>
            </w:r>
          </w:p>
        </w:tc>
      </w:tr>
      <w:tr w14:paraId="5FFD257D">
        <w:tblPrEx>
          <w:tblCellMar>
            <w:top w:w="0" w:type="dxa"/>
            <w:left w:w="108" w:type="dxa"/>
            <w:bottom w:w="0" w:type="dxa"/>
            <w:right w:w="108" w:type="dxa"/>
          </w:tblCellMar>
        </w:tblPrEx>
        <w:trPr>
          <w:trHeight w:val="164" w:hRule="atLeast"/>
        </w:trPr>
        <w:tc>
          <w:tcPr>
            <w:tcW w:w="1985" w:type="dxa"/>
            <w:tcBorders>
              <w:top w:val="nil"/>
              <w:left w:val="single" w:color="auto" w:sz="8" w:space="0"/>
              <w:bottom w:val="single" w:color="auto" w:sz="8" w:space="0"/>
              <w:right w:val="single" w:color="auto" w:sz="8" w:space="0"/>
            </w:tcBorders>
            <w:vAlign w:val="bottom"/>
          </w:tcPr>
          <w:p w14:paraId="16DCE99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16、其他未列明行业</w:t>
            </w:r>
          </w:p>
        </w:tc>
        <w:tc>
          <w:tcPr>
            <w:tcW w:w="1498" w:type="dxa"/>
            <w:tcBorders>
              <w:top w:val="nil"/>
              <w:left w:val="nil"/>
              <w:bottom w:val="single" w:color="auto" w:sz="8" w:space="0"/>
              <w:right w:val="single" w:color="auto" w:sz="4" w:space="0"/>
            </w:tcBorders>
            <w:vAlign w:val="bottom"/>
          </w:tcPr>
          <w:p w14:paraId="5F768B4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100≤X＜300</w:t>
            </w:r>
          </w:p>
        </w:tc>
        <w:tc>
          <w:tcPr>
            <w:tcW w:w="1763" w:type="dxa"/>
            <w:tcBorders>
              <w:top w:val="nil"/>
              <w:left w:val="nil"/>
              <w:bottom w:val="single" w:color="auto" w:sz="8" w:space="0"/>
              <w:right w:val="single" w:color="auto" w:sz="4" w:space="0"/>
            </w:tcBorders>
            <w:vAlign w:val="bottom"/>
          </w:tcPr>
          <w:p w14:paraId="66AD1E84">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60" w:type="dxa"/>
            <w:tcBorders>
              <w:top w:val="nil"/>
              <w:left w:val="nil"/>
              <w:bottom w:val="single" w:color="auto" w:sz="8" w:space="0"/>
              <w:right w:val="single" w:color="auto" w:sz="8" w:space="0"/>
            </w:tcBorders>
            <w:vAlign w:val="bottom"/>
          </w:tcPr>
          <w:p w14:paraId="40277997">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40" w:type="dxa"/>
            <w:tcBorders>
              <w:top w:val="nil"/>
              <w:left w:val="nil"/>
              <w:bottom w:val="single" w:color="auto" w:sz="8" w:space="0"/>
              <w:right w:val="single" w:color="auto" w:sz="4" w:space="0"/>
            </w:tcBorders>
            <w:vAlign w:val="bottom"/>
          </w:tcPr>
          <w:p w14:paraId="0FA2067F">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10≤X＜100</w:t>
            </w:r>
          </w:p>
        </w:tc>
        <w:tc>
          <w:tcPr>
            <w:tcW w:w="1636" w:type="dxa"/>
            <w:tcBorders>
              <w:top w:val="nil"/>
              <w:left w:val="nil"/>
              <w:bottom w:val="single" w:color="auto" w:sz="8" w:space="0"/>
              <w:right w:val="single" w:color="auto" w:sz="4" w:space="0"/>
            </w:tcBorders>
            <w:vAlign w:val="bottom"/>
          </w:tcPr>
          <w:p w14:paraId="423CC70C">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20" w:type="dxa"/>
            <w:tcBorders>
              <w:top w:val="nil"/>
              <w:left w:val="nil"/>
              <w:bottom w:val="single" w:color="auto" w:sz="8" w:space="0"/>
              <w:right w:val="single" w:color="auto" w:sz="8" w:space="0"/>
            </w:tcBorders>
            <w:vAlign w:val="bottom"/>
          </w:tcPr>
          <w:p w14:paraId="65DD3CEA">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5" w:type="dxa"/>
            <w:tcBorders>
              <w:top w:val="nil"/>
              <w:left w:val="nil"/>
              <w:bottom w:val="single" w:color="auto" w:sz="8" w:space="0"/>
              <w:right w:val="single" w:color="auto" w:sz="4" w:space="0"/>
            </w:tcBorders>
            <w:vAlign w:val="bottom"/>
          </w:tcPr>
          <w:p w14:paraId="7BF8B22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X＜10</w:t>
            </w:r>
          </w:p>
        </w:tc>
        <w:tc>
          <w:tcPr>
            <w:tcW w:w="1275" w:type="dxa"/>
            <w:tcBorders>
              <w:top w:val="nil"/>
              <w:left w:val="nil"/>
              <w:bottom w:val="single" w:color="auto" w:sz="8" w:space="0"/>
              <w:right w:val="single" w:color="auto" w:sz="4" w:space="0"/>
            </w:tcBorders>
            <w:vAlign w:val="bottom"/>
          </w:tcPr>
          <w:p w14:paraId="7B3DE085">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21" w:type="dxa"/>
            <w:tcBorders>
              <w:top w:val="nil"/>
              <w:left w:val="nil"/>
              <w:bottom w:val="single" w:color="auto" w:sz="8" w:space="0"/>
              <w:right w:val="single" w:color="auto" w:sz="8" w:space="0"/>
            </w:tcBorders>
            <w:vAlign w:val="bottom"/>
          </w:tcPr>
          <w:p w14:paraId="2E121AE1">
            <w:pPr>
              <w:widowControl/>
              <w:shd w:val="clear"/>
              <w:jc w:val="left"/>
              <w:rPr>
                <w:rFonts w:ascii="宋体" w:hAnsi="宋体" w:cs="宋体"/>
                <w:color w:val="auto"/>
                <w:kern w:val="0"/>
                <w:sz w:val="20"/>
                <w:highlight w:val="none"/>
              </w:rPr>
            </w:pPr>
            <w:r>
              <w:rPr>
                <w:rFonts w:hint="eastAsia" w:ascii="宋体" w:hAnsi="宋体" w:cs="宋体"/>
                <w:color w:val="auto"/>
                <w:kern w:val="0"/>
                <w:sz w:val="20"/>
                <w:highlight w:val="none"/>
              </w:rPr>
              <w:t>　</w:t>
            </w:r>
          </w:p>
        </w:tc>
      </w:tr>
    </w:tbl>
    <w:p w14:paraId="2B9D7AB5">
      <w:pPr>
        <w:shd w:val="clear"/>
        <w:spacing w:line="360" w:lineRule="auto"/>
        <w:ind w:right="-283"/>
        <w:rPr>
          <w:rFonts w:asciiTheme="minorEastAsia" w:hAnsiTheme="minorEastAsia" w:eastAsiaTheme="minorEastAsia" w:cstheme="minorEastAsia"/>
          <w:color w:val="auto"/>
          <w:sz w:val="24"/>
          <w:highlight w:val="none"/>
        </w:rPr>
        <w:sectPr>
          <w:pgSz w:w="16838" w:h="11906" w:orient="landscape"/>
          <w:pgMar w:top="1800" w:right="1440" w:bottom="1800" w:left="1440" w:header="851" w:footer="992" w:gutter="0"/>
          <w:cols w:space="425" w:num="1"/>
          <w:docGrid w:type="lines" w:linePitch="312" w:charSpace="0"/>
        </w:sectPr>
      </w:pPr>
    </w:p>
    <w:p w14:paraId="61E7BDD2">
      <w:pPr>
        <w:shd w:val="clear"/>
        <w:spacing w:line="360" w:lineRule="auto"/>
        <w:ind w:right="-283"/>
        <w:rPr>
          <w:rFonts w:asciiTheme="minorEastAsia" w:hAnsiTheme="minorEastAsia" w:eastAsiaTheme="minorEastAsia" w:cstheme="minorEastAsia"/>
          <w:color w:val="auto"/>
          <w:sz w:val="24"/>
          <w:highlight w:val="none"/>
        </w:rPr>
      </w:pPr>
    </w:p>
    <w:p w14:paraId="7476BB02">
      <w:pPr>
        <w:shd w:val="clear"/>
        <w:spacing w:line="360" w:lineRule="auto"/>
        <w:jc w:val="center"/>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b/>
          <w:bCs/>
          <w:color w:val="auto"/>
          <w:sz w:val="32"/>
          <w:szCs w:val="32"/>
          <w:highlight w:val="none"/>
        </w:rPr>
        <w:t>四、残疾人福利性单位声明函</w:t>
      </w:r>
    </w:p>
    <w:p w14:paraId="685E65B4">
      <w:pPr>
        <w:shd w:val="clear"/>
        <w:spacing w:line="360" w:lineRule="auto"/>
        <w:rPr>
          <w:rFonts w:asciiTheme="minorEastAsia" w:hAnsiTheme="minorEastAsia" w:eastAsiaTheme="minorEastAsia" w:cstheme="minorEastAsia"/>
          <w:b/>
          <w:color w:val="auto"/>
          <w:spacing w:val="6"/>
          <w:sz w:val="30"/>
          <w:szCs w:val="30"/>
          <w:highlight w:val="none"/>
        </w:rPr>
      </w:pPr>
    </w:p>
    <w:p w14:paraId="149562A3">
      <w:pPr>
        <w:shd w:val="clea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D9B12BF">
      <w:pPr>
        <w:shd w:val="clear"/>
        <w:spacing w:line="360" w:lineRule="auto"/>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14:paraId="5F838836">
      <w:pPr>
        <w:shd w:val="clear"/>
        <w:spacing w:line="360" w:lineRule="auto"/>
        <w:ind w:firstLine="480" w:firstLineChars="200"/>
        <w:jc w:val="left"/>
        <w:rPr>
          <w:rFonts w:asciiTheme="minorEastAsia" w:hAnsiTheme="minorEastAsia" w:eastAsiaTheme="minorEastAsia" w:cstheme="minorEastAsia"/>
          <w:color w:val="auto"/>
          <w:sz w:val="24"/>
          <w:highlight w:val="none"/>
        </w:rPr>
      </w:pPr>
    </w:p>
    <w:p w14:paraId="7D58E84C">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p>
    <w:p w14:paraId="5AB4C167">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BF18226">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044CCD2E">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p w14:paraId="75C28ADA">
      <w:pPr>
        <w:shd w:val="clear"/>
        <w:spacing w:line="360" w:lineRule="auto"/>
        <w:ind w:firstLine="643" w:firstLineChars="200"/>
        <w:jc w:val="left"/>
        <w:rPr>
          <w:rFonts w:asciiTheme="minorEastAsia" w:hAnsiTheme="minorEastAsia" w:eastAsiaTheme="minorEastAsia" w:cstheme="minorEastAsia"/>
          <w:b/>
          <w:color w:val="auto"/>
          <w:sz w:val="32"/>
          <w:szCs w:val="32"/>
          <w:highlight w:val="none"/>
        </w:rPr>
      </w:pPr>
    </w:p>
    <w:p w14:paraId="3532A857">
      <w:pPr>
        <w:shd w:val="clear"/>
        <w:spacing w:line="360" w:lineRule="auto"/>
        <w:rPr>
          <w:rFonts w:asciiTheme="minorEastAsia" w:hAnsiTheme="minorEastAsia" w:eastAsiaTheme="minorEastAsia" w:cstheme="minorEastAsia"/>
          <w:b/>
          <w:color w:val="auto"/>
          <w:sz w:val="32"/>
          <w:szCs w:val="32"/>
          <w:highlight w:val="none"/>
        </w:rPr>
      </w:pPr>
    </w:p>
    <w:p w14:paraId="49816D46">
      <w:pPr>
        <w:numPr>
          <w:ilvl w:val="0"/>
          <w:numId w:val="9"/>
        </w:numPr>
        <w:shd w:val="clear"/>
        <w:spacing w:line="360" w:lineRule="auto"/>
        <w:jc w:val="center"/>
        <w:rPr>
          <w:rFonts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r>
        <w:rPr>
          <w:rFonts w:hint="eastAsia" w:asciiTheme="minorEastAsia" w:hAnsiTheme="minorEastAsia" w:eastAsiaTheme="minorEastAsia" w:cstheme="minorEastAsia"/>
          <w:b/>
          <w:color w:val="auto"/>
          <w:spacing w:val="6"/>
          <w:sz w:val="32"/>
          <w:szCs w:val="32"/>
          <w:highlight w:val="none"/>
        </w:rPr>
        <w:t>采购统计基础信息表</w:t>
      </w:r>
    </w:p>
    <w:p w14:paraId="331F238E">
      <w:pPr>
        <w:pStyle w:val="2"/>
        <w:shd w:val="clear"/>
        <w:spacing w:line="360" w:lineRule="auto"/>
        <w:ind w:firstLine="0" w:firstLineChars="0"/>
        <w:rPr>
          <w:rFonts w:asciiTheme="minorEastAsia" w:hAnsiTheme="minorEastAsia" w:eastAsiaTheme="minorEastAsia" w:cstheme="minorEastAsia"/>
          <w:color w:val="auto"/>
          <w:highlight w:val="none"/>
        </w:rPr>
      </w:pPr>
    </w:p>
    <w:tbl>
      <w:tblPr>
        <w:tblStyle w:val="26"/>
        <w:tblW w:w="8537" w:type="dxa"/>
        <w:jc w:val="center"/>
        <w:tblLayout w:type="fixed"/>
        <w:tblCellMar>
          <w:top w:w="0" w:type="dxa"/>
          <w:left w:w="108" w:type="dxa"/>
          <w:bottom w:w="0" w:type="dxa"/>
          <w:right w:w="108" w:type="dxa"/>
        </w:tblCellMar>
      </w:tblPr>
      <w:tblGrid>
        <w:gridCol w:w="4998"/>
        <w:gridCol w:w="3539"/>
      </w:tblGrid>
      <w:tr w14:paraId="2225C503">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0443CDFB">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采购人及采购项目名称</w:t>
            </w:r>
          </w:p>
        </w:tc>
        <w:tc>
          <w:tcPr>
            <w:tcW w:w="3539" w:type="dxa"/>
            <w:tcBorders>
              <w:top w:val="single" w:color="000000" w:sz="4" w:space="0"/>
              <w:left w:val="nil"/>
              <w:bottom w:val="single" w:color="000000" w:sz="4" w:space="0"/>
              <w:right w:val="single" w:color="000000" w:sz="4" w:space="0"/>
            </w:tcBorders>
          </w:tcPr>
          <w:p w14:paraId="61BCCB2F">
            <w:pPr>
              <w:shd w:val="clear"/>
              <w:spacing w:line="360" w:lineRule="auto"/>
              <w:rPr>
                <w:rFonts w:asciiTheme="minorEastAsia" w:hAnsiTheme="minorEastAsia" w:eastAsiaTheme="minorEastAsia" w:cstheme="minorEastAsia"/>
                <w:color w:val="auto"/>
                <w:highlight w:val="none"/>
              </w:rPr>
            </w:pPr>
          </w:p>
        </w:tc>
      </w:tr>
      <w:tr w14:paraId="3E9E115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A260521">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供应商名称</w:t>
            </w:r>
          </w:p>
        </w:tc>
        <w:tc>
          <w:tcPr>
            <w:tcW w:w="3539" w:type="dxa"/>
            <w:tcBorders>
              <w:top w:val="single" w:color="000000" w:sz="4" w:space="0"/>
              <w:left w:val="nil"/>
              <w:bottom w:val="single" w:color="000000" w:sz="4" w:space="0"/>
              <w:right w:val="single" w:color="000000" w:sz="4" w:space="0"/>
            </w:tcBorders>
          </w:tcPr>
          <w:p w14:paraId="2505F075">
            <w:pPr>
              <w:shd w:val="clear"/>
              <w:spacing w:line="360" w:lineRule="auto"/>
              <w:rPr>
                <w:rFonts w:asciiTheme="minorEastAsia" w:hAnsiTheme="minorEastAsia" w:eastAsiaTheme="minorEastAsia" w:cstheme="minorEastAsia"/>
                <w:color w:val="auto"/>
                <w:highlight w:val="none"/>
              </w:rPr>
            </w:pPr>
          </w:p>
        </w:tc>
      </w:tr>
      <w:tr w14:paraId="02DF517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75F954F">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供应商是否为外商投资企业</w:t>
            </w:r>
          </w:p>
        </w:tc>
        <w:tc>
          <w:tcPr>
            <w:tcW w:w="3539" w:type="dxa"/>
            <w:tcBorders>
              <w:top w:val="single" w:color="000000" w:sz="4" w:space="0"/>
              <w:left w:val="nil"/>
              <w:bottom w:val="single" w:color="000000" w:sz="4" w:space="0"/>
              <w:right w:val="single" w:color="000000" w:sz="4" w:space="0"/>
            </w:tcBorders>
          </w:tcPr>
          <w:p w14:paraId="7CAC0861">
            <w:pPr>
              <w:shd w:val="clear"/>
              <w:spacing w:line="360" w:lineRule="auto"/>
              <w:rPr>
                <w:rFonts w:asciiTheme="minorEastAsia" w:hAnsiTheme="minorEastAsia" w:eastAsiaTheme="minorEastAsia" w:cstheme="minorEastAsia"/>
                <w:color w:val="auto"/>
                <w:highlight w:val="none"/>
              </w:rPr>
            </w:pPr>
          </w:p>
        </w:tc>
      </w:tr>
      <w:tr w14:paraId="3158F613">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72F2E24">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供应商是否为宁波企业</w:t>
            </w:r>
          </w:p>
        </w:tc>
        <w:tc>
          <w:tcPr>
            <w:tcW w:w="3539" w:type="dxa"/>
            <w:tcBorders>
              <w:top w:val="single" w:color="000000" w:sz="4" w:space="0"/>
              <w:left w:val="nil"/>
              <w:bottom w:val="single" w:color="000000" w:sz="4" w:space="0"/>
              <w:right w:val="single" w:color="000000" w:sz="4" w:space="0"/>
            </w:tcBorders>
          </w:tcPr>
          <w:p w14:paraId="74DC54C9">
            <w:pPr>
              <w:shd w:val="clear"/>
              <w:spacing w:line="360" w:lineRule="auto"/>
              <w:rPr>
                <w:rFonts w:asciiTheme="minorEastAsia" w:hAnsiTheme="minorEastAsia" w:eastAsiaTheme="minorEastAsia" w:cstheme="minorEastAsia"/>
                <w:color w:val="auto"/>
                <w:highlight w:val="none"/>
              </w:rPr>
            </w:pPr>
          </w:p>
        </w:tc>
      </w:tr>
      <w:tr w14:paraId="50517D0E">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4690842">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364FAC16">
            <w:pPr>
              <w:shd w:val="clear"/>
              <w:spacing w:line="360" w:lineRule="auto"/>
              <w:rPr>
                <w:rFonts w:asciiTheme="minorEastAsia" w:hAnsiTheme="minorEastAsia" w:eastAsiaTheme="minorEastAsia" w:cstheme="minorEastAsia"/>
                <w:color w:val="auto"/>
                <w:highlight w:val="none"/>
              </w:rPr>
            </w:pPr>
          </w:p>
        </w:tc>
      </w:tr>
      <w:tr w14:paraId="2893FA5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C66142F">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提供的货物是否本企业制造</w:t>
            </w:r>
          </w:p>
        </w:tc>
        <w:tc>
          <w:tcPr>
            <w:tcW w:w="3539" w:type="dxa"/>
            <w:tcBorders>
              <w:top w:val="single" w:color="000000" w:sz="4" w:space="0"/>
              <w:left w:val="nil"/>
              <w:bottom w:val="single" w:color="000000" w:sz="4" w:space="0"/>
              <w:right w:val="single" w:color="000000" w:sz="4" w:space="0"/>
            </w:tcBorders>
          </w:tcPr>
          <w:p w14:paraId="50A138D3">
            <w:pPr>
              <w:shd w:val="clear"/>
              <w:spacing w:line="360" w:lineRule="auto"/>
              <w:rPr>
                <w:rFonts w:asciiTheme="minorEastAsia" w:hAnsiTheme="minorEastAsia" w:eastAsiaTheme="minorEastAsia" w:cstheme="minorEastAsia"/>
                <w:color w:val="auto"/>
                <w:highlight w:val="none"/>
              </w:rPr>
            </w:pPr>
          </w:p>
        </w:tc>
      </w:tr>
      <w:tr w14:paraId="2BC87AF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D578EF0">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货物原产地国别</w:t>
            </w:r>
          </w:p>
        </w:tc>
        <w:tc>
          <w:tcPr>
            <w:tcW w:w="3539" w:type="dxa"/>
            <w:tcBorders>
              <w:top w:val="single" w:color="000000" w:sz="4" w:space="0"/>
              <w:left w:val="nil"/>
              <w:bottom w:val="single" w:color="000000" w:sz="4" w:space="0"/>
              <w:right w:val="single" w:color="000000" w:sz="4" w:space="0"/>
            </w:tcBorders>
          </w:tcPr>
          <w:p w14:paraId="61550800">
            <w:pPr>
              <w:shd w:val="clear"/>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w:t>
            </w:r>
          </w:p>
        </w:tc>
      </w:tr>
      <w:tr w14:paraId="1E58DB9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ACD248B">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提供的货物是否为节能清单产品</w:t>
            </w:r>
          </w:p>
        </w:tc>
        <w:tc>
          <w:tcPr>
            <w:tcW w:w="3539" w:type="dxa"/>
            <w:tcBorders>
              <w:top w:val="single" w:color="000000" w:sz="4" w:space="0"/>
              <w:left w:val="nil"/>
              <w:bottom w:val="single" w:color="000000" w:sz="4" w:space="0"/>
              <w:right w:val="single" w:color="000000" w:sz="4" w:space="0"/>
            </w:tcBorders>
          </w:tcPr>
          <w:p w14:paraId="6F13894A">
            <w:pPr>
              <w:shd w:val="clear"/>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w:t>
            </w:r>
          </w:p>
        </w:tc>
      </w:tr>
      <w:tr w14:paraId="4D11F5C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ED3EA28">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57841FB8">
            <w:pPr>
              <w:shd w:val="clear"/>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w:t>
            </w:r>
          </w:p>
        </w:tc>
      </w:tr>
      <w:tr w14:paraId="30F9D4C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02391D7">
            <w:pPr>
              <w:shd w:val="clear"/>
              <w:adjustRightInd w:val="0"/>
              <w:spacing w:line="360" w:lineRule="auto"/>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0B38FDB0">
            <w:pPr>
              <w:shd w:val="clear"/>
              <w:spacing w:line="360" w:lineRule="auto"/>
              <w:rPr>
                <w:rFonts w:asciiTheme="minorEastAsia" w:hAnsiTheme="minorEastAsia" w:eastAsiaTheme="minorEastAsia" w:cstheme="minorEastAsia"/>
                <w:color w:val="auto"/>
                <w:highlight w:val="none"/>
              </w:rPr>
            </w:pPr>
          </w:p>
        </w:tc>
      </w:tr>
    </w:tbl>
    <w:p w14:paraId="739D4A16">
      <w:pPr>
        <w:shd w:val="clear"/>
        <w:adjustRightInd w:val="0"/>
        <w:spacing w:line="360" w:lineRule="auto"/>
        <w:jc w:val="left"/>
        <w:rPr>
          <w:rFonts w:asciiTheme="minorEastAsia" w:hAnsiTheme="minorEastAsia" w:eastAsiaTheme="minorEastAsia" w:cstheme="minorEastAsia"/>
          <w:color w:val="auto"/>
          <w:sz w:val="24"/>
          <w:highlight w:val="none"/>
        </w:rPr>
      </w:pPr>
    </w:p>
    <w:p w14:paraId="466461A7">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备注：请各供应商务必填写此表作为响应文件的组成部分。</w:t>
      </w:r>
    </w:p>
    <w:p w14:paraId="02EAE8C1">
      <w:pPr>
        <w:shd w:val="clear"/>
        <w:adjustRightInd w:val="0"/>
        <w:spacing w:line="360" w:lineRule="auto"/>
        <w:jc w:val="left"/>
        <w:rPr>
          <w:rFonts w:asciiTheme="minorEastAsia" w:hAnsiTheme="minorEastAsia" w:eastAsiaTheme="minorEastAsia" w:cstheme="minorEastAsia"/>
          <w:color w:val="auto"/>
          <w:sz w:val="24"/>
          <w:highlight w:val="none"/>
        </w:rPr>
      </w:pPr>
    </w:p>
    <w:p w14:paraId="2258C1B4">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p>
    <w:p w14:paraId="7B9B14FC">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法定代表人或其授权委托人（签名或印章）：</w:t>
      </w:r>
    </w:p>
    <w:p w14:paraId="4E38585A">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供应商（盖章）：</w:t>
      </w:r>
    </w:p>
    <w:p w14:paraId="6CAD07CF">
      <w:pPr>
        <w:shd w:val="clear"/>
        <w:snapToGrid w:val="0"/>
        <w:spacing w:line="360" w:lineRule="auto"/>
        <w:ind w:firstLine="480" w:firstLineChars="200"/>
        <w:jc w:val="left"/>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Wingdings 2">
    <w:altName w:val="Wingdings"/>
    <w:panose1 w:val="05020102010507070707"/>
    <w:charset w:val="02"/>
    <w:family w:val="roman"/>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74FD8">
    <w:pPr>
      <w:pStyle w:val="19"/>
      <w:tabs>
        <w:tab w:val="center" w:pos="4300"/>
        <w:tab w:val="clear" w:pos="4153"/>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21DA5">
    <w:pPr>
      <w:pStyle w:val="19"/>
      <w:tabs>
        <w:tab w:val="center" w:pos="4300"/>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6F880D">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56F880D">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4CE37">
    <w:pPr>
      <w:pStyle w:val="19"/>
      <w:tabs>
        <w:tab w:val="center" w:pos="4300"/>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57B76">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1A57B76">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B5219">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2A75594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D3147">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64EC1EC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C74B1">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68</w:t>
    </w:r>
    <w:r>
      <w:rPr>
        <w:rFonts w:hint="eastAsia" w:ascii="仿宋_GB2312" w:eastAsia="仿宋_GB2312"/>
        <w:kern w:val="0"/>
      </w:rPr>
      <w:t xml:space="preserve"> 页</w:t>
    </w:r>
  </w:p>
  <w:p w14:paraId="486811C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CADF3">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365B96D6">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58511">
    <w:pPr>
      <w:pStyle w:val="20"/>
      <w:pBdr>
        <w:bottom w:val="none" w:color="auto" w:sz="0" w:space="0"/>
      </w:pBdr>
      <w:jc w:val="right"/>
      <w:rPr>
        <w:rFonts w:ascii="仿宋_GB2312" w:eastAsia="仿宋_GB2312"/>
        <w:b/>
        <w:i/>
        <w:u w:val="single"/>
      </w:rPr>
    </w:pPr>
    <w:r>
      <w:t></w:t>
    </w:r>
    <w:r>
      <w:rPr>
        <w:rFonts w:hint="eastAsia"/>
      </w:rPr>
      <w:t xml:space="preserve">                                               </w:t>
    </w:r>
  </w:p>
  <w:p w14:paraId="5658499A">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DBE9C">
    <w:pPr>
      <w:pStyle w:val="20"/>
      <w:pBdr>
        <w:bottom w:val="none" w:color="auto" w:sz="0" w:space="1"/>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D6AC3">
    <w:pPr>
      <w:pStyle w:val="20"/>
      <w:pBdr>
        <w:bottom w:val="none" w:color="auto" w:sz="0" w:space="1"/>
      </w:pBdr>
      <w:jc w:val="right"/>
      <w:rPr>
        <w:rFonts w:ascii="仿宋_GB2312" w:eastAsia="仿宋_GB2312"/>
        <w:b/>
        <w:i/>
        <w:u w:val="single"/>
      </w:rPr>
    </w:pPr>
    <w:r>
      <w:rPr>
        <w:rFonts w:hint="eastAsia"/>
      </w:rPr>
      <w:t xml:space="preserve">                                 </w:t>
    </w:r>
  </w:p>
  <w:p w14:paraId="6D89CEAC">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E1AC5">
    <w:pPr>
      <w:pStyle w:val="20"/>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A95BA21C"/>
    <w:multiLevelType w:val="singleLevel"/>
    <w:tmpl w:val="A95BA21C"/>
    <w:lvl w:ilvl="0" w:tentative="0">
      <w:start w:val="1"/>
      <w:numFmt w:val="decimal"/>
      <w:suff w:val="nothing"/>
      <w:lvlText w:val="%1．"/>
      <w:lvlJc w:val="left"/>
      <w:pPr>
        <w:ind w:left="3711" w:firstLine="400"/>
      </w:pPr>
      <w:rPr>
        <w:rFonts w:hint="default"/>
      </w:rPr>
    </w:lvl>
  </w:abstractNum>
  <w:abstractNum w:abstractNumId="2">
    <w:nsid w:val="CD029500"/>
    <w:multiLevelType w:val="singleLevel"/>
    <w:tmpl w:val="CD029500"/>
    <w:lvl w:ilvl="0" w:tentative="0">
      <w:start w:val="1"/>
      <w:numFmt w:val="decimal"/>
      <w:suff w:val="nothing"/>
      <w:lvlText w:val="%1、"/>
      <w:lvlJc w:val="left"/>
    </w:lvl>
  </w:abstractNum>
  <w:abstractNum w:abstractNumId="3">
    <w:nsid w:val="0000000A"/>
    <w:multiLevelType w:val="singleLevel"/>
    <w:tmpl w:val="0000000A"/>
    <w:lvl w:ilvl="0" w:tentative="0">
      <w:start w:val="1"/>
      <w:numFmt w:val="chineseCounting"/>
      <w:suff w:val="nothing"/>
      <w:lvlText w:val="%1、"/>
      <w:lvlJc w:val="left"/>
    </w:lvl>
  </w:abstractNum>
  <w:abstractNum w:abstractNumId="4">
    <w:nsid w:val="0958BB2E"/>
    <w:multiLevelType w:val="singleLevel"/>
    <w:tmpl w:val="0958BB2E"/>
    <w:lvl w:ilvl="0" w:tentative="0">
      <w:start w:val="3"/>
      <w:numFmt w:val="decimal"/>
      <w:suff w:val="nothing"/>
      <w:lvlText w:val="%1、"/>
      <w:lvlJc w:val="left"/>
    </w:lvl>
  </w:abstractNum>
  <w:abstractNum w:abstractNumId="5">
    <w:nsid w:val="1C5FE48B"/>
    <w:multiLevelType w:val="singleLevel"/>
    <w:tmpl w:val="1C5FE48B"/>
    <w:lvl w:ilvl="0" w:tentative="0">
      <w:start w:val="5"/>
      <w:numFmt w:val="decimal"/>
      <w:suff w:val="nothing"/>
      <w:lvlText w:val="%1、"/>
      <w:lvlJc w:val="left"/>
    </w:lvl>
  </w:abstractNum>
  <w:abstractNum w:abstractNumId="6">
    <w:nsid w:val="2292D65C"/>
    <w:multiLevelType w:val="singleLevel"/>
    <w:tmpl w:val="2292D65C"/>
    <w:lvl w:ilvl="0" w:tentative="0">
      <w:start w:val="1"/>
      <w:numFmt w:val="chineseCounting"/>
      <w:suff w:val="nothing"/>
      <w:lvlText w:val="%1、"/>
      <w:lvlJc w:val="left"/>
      <w:rPr>
        <w:rFonts w:hint="eastAsia"/>
      </w:rPr>
    </w:lvl>
  </w:abstractNum>
  <w:abstractNum w:abstractNumId="7">
    <w:nsid w:val="495C2BCE"/>
    <w:multiLevelType w:val="singleLevel"/>
    <w:tmpl w:val="495C2BCE"/>
    <w:lvl w:ilvl="0" w:tentative="0">
      <w:start w:val="1"/>
      <w:numFmt w:val="chineseCounting"/>
      <w:suff w:val="nothing"/>
      <w:lvlText w:val="%1、"/>
      <w:lvlJc w:val="left"/>
      <w:rPr>
        <w:rFonts w:hint="eastAsia"/>
      </w:rPr>
    </w:lvl>
  </w:abstractNum>
  <w:abstractNum w:abstractNumId="8">
    <w:nsid w:val="5030D621"/>
    <w:multiLevelType w:val="multilevel"/>
    <w:tmpl w:val="5030D621"/>
    <w:lvl w:ilvl="0" w:tentative="0">
      <w:start w:val="3"/>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1"/>
  </w:num>
  <w:num w:numId="2">
    <w:abstractNumId w:val="8"/>
  </w:num>
  <w:num w:numId="3">
    <w:abstractNumId w:val="4"/>
  </w:num>
  <w:num w:numId="4">
    <w:abstractNumId w:val="6"/>
  </w:num>
  <w:num w:numId="5">
    <w:abstractNumId w:val="2"/>
  </w:num>
  <w:num w:numId="6">
    <w:abstractNumId w:val="3"/>
  </w:num>
  <w:num w:numId="7">
    <w:abstractNumId w:val="7"/>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ZiYmQ1YmM3ZDM1ZWYxOTk4ZGI1N2RmMWE5MmExYWUifQ=="/>
  </w:docVars>
  <w:rsids>
    <w:rsidRoot w:val="004E6532"/>
    <w:rsid w:val="00023D48"/>
    <w:rsid w:val="00034901"/>
    <w:rsid w:val="00036406"/>
    <w:rsid w:val="00052644"/>
    <w:rsid w:val="000633A9"/>
    <w:rsid w:val="000A380F"/>
    <w:rsid w:val="000A42DD"/>
    <w:rsid w:val="000F49C7"/>
    <w:rsid w:val="00107D61"/>
    <w:rsid w:val="00127A19"/>
    <w:rsid w:val="00141566"/>
    <w:rsid w:val="0016702E"/>
    <w:rsid w:val="0016738B"/>
    <w:rsid w:val="00183EE1"/>
    <w:rsid w:val="00192CA3"/>
    <w:rsid w:val="001A0E98"/>
    <w:rsid w:val="001A7F30"/>
    <w:rsid w:val="001C4668"/>
    <w:rsid w:val="001D05FA"/>
    <w:rsid w:val="001E2A93"/>
    <w:rsid w:val="001F29BC"/>
    <w:rsid w:val="0020318E"/>
    <w:rsid w:val="00224FF7"/>
    <w:rsid w:val="002622EF"/>
    <w:rsid w:val="002628D6"/>
    <w:rsid w:val="00266319"/>
    <w:rsid w:val="00267D9E"/>
    <w:rsid w:val="002725E3"/>
    <w:rsid w:val="00287020"/>
    <w:rsid w:val="002A0BE4"/>
    <w:rsid w:val="002A2159"/>
    <w:rsid w:val="002C62DE"/>
    <w:rsid w:val="002E1797"/>
    <w:rsid w:val="00306111"/>
    <w:rsid w:val="003212F0"/>
    <w:rsid w:val="003320D1"/>
    <w:rsid w:val="00391D38"/>
    <w:rsid w:val="003923E5"/>
    <w:rsid w:val="00396CA2"/>
    <w:rsid w:val="003C300A"/>
    <w:rsid w:val="003F6AE7"/>
    <w:rsid w:val="00402E3B"/>
    <w:rsid w:val="00427CDE"/>
    <w:rsid w:val="004369B5"/>
    <w:rsid w:val="004427C5"/>
    <w:rsid w:val="004503D5"/>
    <w:rsid w:val="00453F9B"/>
    <w:rsid w:val="004A3F9D"/>
    <w:rsid w:val="004D1150"/>
    <w:rsid w:val="004D2F26"/>
    <w:rsid w:val="004D35F7"/>
    <w:rsid w:val="004E6532"/>
    <w:rsid w:val="005104A4"/>
    <w:rsid w:val="00521C83"/>
    <w:rsid w:val="00523E94"/>
    <w:rsid w:val="00535688"/>
    <w:rsid w:val="0054723B"/>
    <w:rsid w:val="00554F92"/>
    <w:rsid w:val="0056214E"/>
    <w:rsid w:val="005737B6"/>
    <w:rsid w:val="005768FE"/>
    <w:rsid w:val="005A4DEB"/>
    <w:rsid w:val="005C3A2F"/>
    <w:rsid w:val="005D5B94"/>
    <w:rsid w:val="005E7505"/>
    <w:rsid w:val="006025D5"/>
    <w:rsid w:val="006132B3"/>
    <w:rsid w:val="00616EEA"/>
    <w:rsid w:val="00621873"/>
    <w:rsid w:val="00627B17"/>
    <w:rsid w:val="00664BC8"/>
    <w:rsid w:val="006721D3"/>
    <w:rsid w:val="006924F5"/>
    <w:rsid w:val="006925CB"/>
    <w:rsid w:val="006D6A57"/>
    <w:rsid w:val="00720146"/>
    <w:rsid w:val="0072267F"/>
    <w:rsid w:val="007403D0"/>
    <w:rsid w:val="0074580E"/>
    <w:rsid w:val="00771BC5"/>
    <w:rsid w:val="00777D7E"/>
    <w:rsid w:val="007800AF"/>
    <w:rsid w:val="007B204D"/>
    <w:rsid w:val="007D62EE"/>
    <w:rsid w:val="00801E40"/>
    <w:rsid w:val="00803953"/>
    <w:rsid w:val="008176C9"/>
    <w:rsid w:val="008277C4"/>
    <w:rsid w:val="0085433C"/>
    <w:rsid w:val="00877893"/>
    <w:rsid w:val="008859D0"/>
    <w:rsid w:val="0089085D"/>
    <w:rsid w:val="008A29D8"/>
    <w:rsid w:val="008C70DC"/>
    <w:rsid w:val="008F08A4"/>
    <w:rsid w:val="00911A8C"/>
    <w:rsid w:val="00926E98"/>
    <w:rsid w:val="00975E2D"/>
    <w:rsid w:val="009821A7"/>
    <w:rsid w:val="009D1BF4"/>
    <w:rsid w:val="009D7CB5"/>
    <w:rsid w:val="009F03FB"/>
    <w:rsid w:val="009F62BE"/>
    <w:rsid w:val="00A05BD4"/>
    <w:rsid w:val="00A21E24"/>
    <w:rsid w:val="00A22DD3"/>
    <w:rsid w:val="00A46132"/>
    <w:rsid w:val="00A54768"/>
    <w:rsid w:val="00A56428"/>
    <w:rsid w:val="00A57E19"/>
    <w:rsid w:val="00A71625"/>
    <w:rsid w:val="00A76595"/>
    <w:rsid w:val="00AC321F"/>
    <w:rsid w:val="00AF09DF"/>
    <w:rsid w:val="00B02217"/>
    <w:rsid w:val="00B230F3"/>
    <w:rsid w:val="00B258CD"/>
    <w:rsid w:val="00B85239"/>
    <w:rsid w:val="00BB56F4"/>
    <w:rsid w:val="00BB78CF"/>
    <w:rsid w:val="00BE700F"/>
    <w:rsid w:val="00C009F8"/>
    <w:rsid w:val="00C15B95"/>
    <w:rsid w:val="00C73030"/>
    <w:rsid w:val="00CA2F82"/>
    <w:rsid w:val="00CA5B51"/>
    <w:rsid w:val="00CA758F"/>
    <w:rsid w:val="00CD3472"/>
    <w:rsid w:val="00CE0209"/>
    <w:rsid w:val="00D10611"/>
    <w:rsid w:val="00D20E3E"/>
    <w:rsid w:val="00D43C04"/>
    <w:rsid w:val="00D46994"/>
    <w:rsid w:val="00D63DA1"/>
    <w:rsid w:val="00DD4C6D"/>
    <w:rsid w:val="00E148E4"/>
    <w:rsid w:val="00E2034C"/>
    <w:rsid w:val="00E57D56"/>
    <w:rsid w:val="00E65A54"/>
    <w:rsid w:val="00E7608A"/>
    <w:rsid w:val="00E77EED"/>
    <w:rsid w:val="00E852B1"/>
    <w:rsid w:val="00EC3F89"/>
    <w:rsid w:val="00ED5412"/>
    <w:rsid w:val="00F01506"/>
    <w:rsid w:val="00F05B21"/>
    <w:rsid w:val="00F330A6"/>
    <w:rsid w:val="00F41703"/>
    <w:rsid w:val="00F451EA"/>
    <w:rsid w:val="00F710EB"/>
    <w:rsid w:val="00F75C3C"/>
    <w:rsid w:val="00F91CD1"/>
    <w:rsid w:val="00FB3DEC"/>
    <w:rsid w:val="00FC251C"/>
    <w:rsid w:val="00FC4926"/>
    <w:rsid w:val="00FE4389"/>
    <w:rsid w:val="017E3702"/>
    <w:rsid w:val="01C03EBE"/>
    <w:rsid w:val="022507A0"/>
    <w:rsid w:val="023F1460"/>
    <w:rsid w:val="025A06B0"/>
    <w:rsid w:val="029C46B6"/>
    <w:rsid w:val="02FF0DA1"/>
    <w:rsid w:val="04133956"/>
    <w:rsid w:val="04330EDE"/>
    <w:rsid w:val="043F7883"/>
    <w:rsid w:val="04694D1C"/>
    <w:rsid w:val="04756284"/>
    <w:rsid w:val="05226C2F"/>
    <w:rsid w:val="05C46291"/>
    <w:rsid w:val="060E5326"/>
    <w:rsid w:val="0643056A"/>
    <w:rsid w:val="064C314F"/>
    <w:rsid w:val="069A14F1"/>
    <w:rsid w:val="06FC438C"/>
    <w:rsid w:val="07100621"/>
    <w:rsid w:val="07152701"/>
    <w:rsid w:val="07E1768C"/>
    <w:rsid w:val="07F10205"/>
    <w:rsid w:val="07FB09D7"/>
    <w:rsid w:val="08153A45"/>
    <w:rsid w:val="08254F04"/>
    <w:rsid w:val="08C43072"/>
    <w:rsid w:val="08D31906"/>
    <w:rsid w:val="08EC5795"/>
    <w:rsid w:val="08F04266"/>
    <w:rsid w:val="08FC70AE"/>
    <w:rsid w:val="09F41989"/>
    <w:rsid w:val="0A042457"/>
    <w:rsid w:val="0A2E0987"/>
    <w:rsid w:val="0AEF28D2"/>
    <w:rsid w:val="0B095AB3"/>
    <w:rsid w:val="0BA431A7"/>
    <w:rsid w:val="0C436DA2"/>
    <w:rsid w:val="0C6C62F9"/>
    <w:rsid w:val="0C9B7822"/>
    <w:rsid w:val="0D014A54"/>
    <w:rsid w:val="0D0504FC"/>
    <w:rsid w:val="0DCE6B40"/>
    <w:rsid w:val="0DD22C69"/>
    <w:rsid w:val="0E9E4764"/>
    <w:rsid w:val="0EB92FCA"/>
    <w:rsid w:val="0ECE36AE"/>
    <w:rsid w:val="101C0036"/>
    <w:rsid w:val="104747D1"/>
    <w:rsid w:val="10826462"/>
    <w:rsid w:val="10831E66"/>
    <w:rsid w:val="11065F32"/>
    <w:rsid w:val="115F6000"/>
    <w:rsid w:val="11B06C88"/>
    <w:rsid w:val="11BC04D8"/>
    <w:rsid w:val="134B7D96"/>
    <w:rsid w:val="137C74D8"/>
    <w:rsid w:val="13CD7831"/>
    <w:rsid w:val="13E72483"/>
    <w:rsid w:val="142B4CEC"/>
    <w:rsid w:val="14635EBD"/>
    <w:rsid w:val="149071FA"/>
    <w:rsid w:val="14F313FE"/>
    <w:rsid w:val="150C577F"/>
    <w:rsid w:val="15360ADA"/>
    <w:rsid w:val="155E07DE"/>
    <w:rsid w:val="1561245B"/>
    <w:rsid w:val="163852BE"/>
    <w:rsid w:val="165E2A90"/>
    <w:rsid w:val="167977CF"/>
    <w:rsid w:val="167A1613"/>
    <w:rsid w:val="172F62D6"/>
    <w:rsid w:val="17552F75"/>
    <w:rsid w:val="17AC492E"/>
    <w:rsid w:val="17EC672F"/>
    <w:rsid w:val="17F525CD"/>
    <w:rsid w:val="181222ED"/>
    <w:rsid w:val="183463C4"/>
    <w:rsid w:val="18465F77"/>
    <w:rsid w:val="18CF43F8"/>
    <w:rsid w:val="18DB244F"/>
    <w:rsid w:val="19B968F6"/>
    <w:rsid w:val="1A193270"/>
    <w:rsid w:val="1A1A55E6"/>
    <w:rsid w:val="1ABD5311"/>
    <w:rsid w:val="1B2D0950"/>
    <w:rsid w:val="1BD47C9F"/>
    <w:rsid w:val="1BEA4301"/>
    <w:rsid w:val="1C620CD0"/>
    <w:rsid w:val="1C936ECD"/>
    <w:rsid w:val="1CEA33EA"/>
    <w:rsid w:val="1D780306"/>
    <w:rsid w:val="1DA358F3"/>
    <w:rsid w:val="1DB47B11"/>
    <w:rsid w:val="1DDC5928"/>
    <w:rsid w:val="1DE35D79"/>
    <w:rsid w:val="1E522E75"/>
    <w:rsid w:val="1E8219AC"/>
    <w:rsid w:val="1E933A99"/>
    <w:rsid w:val="1F404C92"/>
    <w:rsid w:val="1F777932"/>
    <w:rsid w:val="20392BEB"/>
    <w:rsid w:val="209669C5"/>
    <w:rsid w:val="21087DC4"/>
    <w:rsid w:val="21DD0315"/>
    <w:rsid w:val="22C73E32"/>
    <w:rsid w:val="235651B5"/>
    <w:rsid w:val="23A710EC"/>
    <w:rsid w:val="23F0560A"/>
    <w:rsid w:val="240E7E40"/>
    <w:rsid w:val="242D3973"/>
    <w:rsid w:val="243626B4"/>
    <w:rsid w:val="24681644"/>
    <w:rsid w:val="250D2C18"/>
    <w:rsid w:val="25184D90"/>
    <w:rsid w:val="25313372"/>
    <w:rsid w:val="2538304D"/>
    <w:rsid w:val="253E0A44"/>
    <w:rsid w:val="254D7B4C"/>
    <w:rsid w:val="25502F27"/>
    <w:rsid w:val="25546BA5"/>
    <w:rsid w:val="25B763DF"/>
    <w:rsid w:val="25CF1F63"/>
    <w:rsid w:val="25F37999"/>
    <w:rsid w:val="27002F0E"/>
    <w:rsid w:val="272A6E20"/>
    <w:rsid w:val="27545EB0"/>
    <w:rsid w:val="278516FF"/>
    <w:rsid w:val="282C43E5"/>
    <w:rsid w:val="29522768"/>
    <w:rsid w:val="297E7214"/>
    <w:rsid w:val="2A0B7EDE"/>
    <w:rsid w:val="2A4C32D1"/>
    <w:rsid w:val="2A962675"/>
    <w:rsid w:val="2AC46EA9"/>
    <w:rsid w:val="2BFC0FF0"/>
    <w:rsid w:val="2C091017"/>
    <w:rsid w:val="2C26606D"/>
    <w:rsid w:val="2C413D86"/>
    <w:rsid w:val="2CAB0320"/>
    <w:rsid w:val="2CEA0D74"/>
    <w:rsid w:val="2D4D2EB2"/>
    <w:rsid w:val="2DEE172B"/>
    <w:rsid w:val="2E7C0E64"/>
    <w:rsid w:val="2E962A79"/>
    <w:rsid w:val="2EAF7625"/>
    <w:rsid w:val="2EB52A65"/>
    <w:rsid w:val="2EF17594"/>
    <w:rsid w:val="2F0B0FAD"/>
    <w:rsid w:val="2F202F8D"/>
    <w:rsid w:val="2FC96356"/>
    <w:rsid w:val="307849BD"/>
    <w:rsid w:val="316A07AA"/>
    <w:rsid w:val="31D42AD9"/>
    <w:rsid w:val="32FA5796"/>
    <w:rsid w:val="3317670F"/>
    <w:rsid w:val="334A37DC"/>
    <w:rsid w:val="336D4581"/>
    <w:rsid w:val="33811DDB"/>
    <w:rsid w:val="33DF7E9C"/>
    <w:rsid w:val="34065925"/>
    <w:rsid w:val="34207EAE"/>
    <w:rsid w:val="34F25146"/>
    <w:rsid w:val="355B0F59"/>
    <w:rsid w:val="359853D9"/>
    <w:rsid w:val="35C80418"/>
    <w:rsid w:val="35FC7E3E"/>
    <w:rsid w:val="360C1DD5"/>
    <w:rsid w:val="36C22B22"/>
    <w:rsid w:val="36D45640"/>
    <w:rsid w:val="370A0339"/>
    <w:rsid w:val="379C734C"/>
    <w:rsid w:val="38121F62"/>
    <w:rsid w:val="385D6A11"/>
    <w:rsid w:val="3887564C"/>
    <w:rsid w:val="39162FC5"/>
    <w:rsid w:val="39737207"/>
    <w:rsid w:val="3AF47A17"/>
    <w:rsid w:val="3B0500A6"/>
    <w:rsid w:val="3BB54D17"/>
    <w:rsid w:val="3BC136BC"/>
    <w:rsid w:val="3BD502E6"/>
    <w:rsid w:val="3C3025F0"/>
    <w:rsid w:val="3C3976F6"/>
    <w:rsid w:val="3C5928B0"/>
    <w:rsid w:val="3C8660E7"/>
    <w:rsid w:val="3D034FD9"/>
    <w:rsid w:val="3D2708D9"/>
    <w:rsid w:val="3D964084"/>
    <w:rsid w:val="3E682515"/>
    <w:rsid w:val="3F2226C4"/>
    <w:rsid w:val="3FE67B95"/>
    <w:rsid w:val="3FF12C21"/>
    <w:rsid w:val="3FFC1167"/>
    <w:rsid w:val="401D732F"/>
    <w:rsid w:val="404716EC"/>
    <w:rsid w:val="40565930"/>
    <w:rsid w:val="40E1210B"/>
    <w:rsid w:val="40E75429"/>
    <w:rsid w:val="41A76944"/>
    <w:rsid w:val="41AE11A5"/>
    <w:rsid w:val="41C317D4"/>
    <w:rsid w:val="41D13F2D"/>
    <w:rsid w:val="41DE664A"/>
    <w:rsid w:val="420E7D4A"/>
    <w:rsid w:val="42521DD1"/>
    <w:rsid w:val="425311DE"/>
    <w:rsid w:val="431421AB"/>
    <w:rsid w:val="43364860"/>
    <w:rsid w:val="43ED5F3C"/>
    <w:rsid w:val="446B4F27"/>
    <w:rsid w:val="44A92F3F"/>
    <w:rsid w:val="4533775E"/>
    <w:rsid w:val="45840DA9"/>
    <w:rsid w:val="45A656D1"/>
    <w:rsid w:val="45AB2CE7"/>
    <w:rsid w:val="45F823D0"/>
    <w:rsid w:val="46502789"/>
    <w:rsid w:val="46A20BF1"/>
    <w:rsid w:val="47087801"/>
    <w:rsid w:val="470A75E8"/>
    <w:rsid w:val="47484C91"/>
    <w:rsid w:val="47AA223E"/>
    <w:rsid w:val="47AE7265"/>
    <w:rsid w:val="48236574"/>
    <w:rsid w:val="48BA396D"/>
    <w:rsid w:val="491D1CBF"/>
    <w:rsid w:val="4A084FAB"/>
    <w:rsid w:val="4A22142F"/>
    <w:rsid w:val="4A356245"/>
    <w:rsid w:val="4A3F1075"/>
    <w:rsid w:val="4A8978D5"/>
    <w:rsid w:val="4A940235"/>
    <w:rsid w:val="4BAF77E3"/>
    <w:rsid w:val="4C871DB8"/>
    <w:rsid w:val="4C8F29A0"/>
    <w:rsid w:val="4C9B6AAD"/>
    <w:rsid w:val="4CE849E2"/>
    <w:rsid w:val="4D461BA0"/>
    <w:rsid w:val="4D7621EC"/>
    <w:rsid w:val="4DA32011"/>
    <w:rsid w:val="4DA64EB0"/>
    <w:rsid w:val="4DE566F3"/>
    <w:rsid w:val="4EE51018"/>
    <w:rsid w:val="4FEE4E74"/>
    <w:rsid w:val="50083210"/>
    <w:rsid w:val="502A762A"/>
    <w:rsid w:val="50414974"/>
    <w:rsid w:val="522D3402"/>
    <w:rsid w:val="526451A8"/>
    <w:rsid w:val="52875411"/>
    <w:rsid w:val="52C27015"/>
    <w:rsid w:val="52F72BB3"/>
    <w:rsid w:val="533D7674"/>
    <w:rsid w:val="53461329"/>
    <w:rsid w:val="53670B95"/>
    <w:rsid w:val="53CC27A6"/>
    <w:rsid w:val="54081F7F"/>
    <w:rsid w:val="54212AF2"/>
    <w:rsid w:val="557241DB"/>
    <w:rsid w:val="56920EB1"/>
    <w:rsid w:val="586A1CF4"/>
    <w:rsid w:val="59573918"/>
    <w:rsid w:val="5977723A"/>
    <w:rsid w:val="59D94D98"/>
    <w:rsid w:val="59F36282"/>
    <w:rsid w:val="5A351F5F"/>
    <w:rsid w:val="5B57504B"/>
    <w:rsid w:val="5B8B1199"/>
    <w:rsid w:val="5B9F3F13"/>
    <w:rsid w:val="5BAE0A62"/>
    <w:rsid w:val="5BCD355F"/>
    <w:rsid w:val="5D027239"/>
    <w:rsid w:val="5D1F4C96"/>
    <w:rsid w:val="5D5849F8"/>
    <w:rsid w:val="5DE27796"/>
    <w:rsid w:val="5E1B6804"/>
    <w:rsid w:val="5EA467FA"/>
    <w:rsid w:val="5F265461"/>
    <w:rsid w:val="5F5A15AE"/>
    <w:rsid w:val="60294E86"/>
    <w:rsid w:val="606C4BDB"/>
    <w:rsid w:val="61BA7603"/>
    <w:rsid w:val="61D42526"/>
    <w:rsid w:val="61FD54BB"/>
    <w:rsid w:val="624272DA"/>
    <w:rsid w:val="62456545"/>
    <w:rsid w:val="627159B7"/>
    <w:rsid w:val="634A36E8"/>
    <w:rsid w:val="638E5CCA"/>
    <w:rsid w:val="63AE1B87"/>
    <w:rsid w:val="63C90AB0"/>
    <w:rsid w:val="63CF7A2D"/>
    <w:rsid w:val="63DD0CDE"/>
    <w:rsid w:val="64005F33"/>
    <w:rsid w:val="64106A0E"/>
    <w:rsid w:val="642624EF"/>
    <w:rsid w:val="64CF3B8C"/>
    <w:rsid w:val="64E5191A"/>
    <w:rsid w:val="653B59DE"/>
    <w:rsid w:val="65D07CD0"/>
    <w:rsid w:val="677E10C9"/>
    <w:rsid w:val="67A06958"/>
    <w:rsid w:val="67D00EAF"/>
    <w:rsid w:val="67EC14C8"/>
    <w:rsid w:val="68790F37"/>
    <w:rsid w:val="68C34233"/>
    <w:rsid w:val="694A1AEF"/>
    <w:rsid w:val="69761612"/>
    <w:rsid w:val="69A80F39"/>
    <w:rsid w:val="69CB3B0A"/>
    <w:rsid w:val="69DD66F3"/>
    <w:rsid w:val="6A0D369A"/>
    <w:rsid w:val="6A1768C3"/>
    <w:rsid w:val="6A385B92"/>
    <w:rsid w:val="6AC6682F"/>
    <w:rsid w:val="6CDD69E9"/>
    <w:rsid w:val="6D064B23"/>
    <w:rsid w:val="6D7D1791"/>
    <w:rsid w:val="6E7B03E5"/>
    <w:rsid w:val="6EC46A44"/>
    <w:rsid w:val="6ED24445"/>
    <w:rsid w:val="6FDD4CA3"/>
    <w:rsid w:val="6FE8455E"/>
    <w:rsid w:val="70360C21"/>
    <w:rsid w:val="70D31E2A"/>
    <w:rsid w:val="7146712D"/>
    <w:rsid w:val="71704C61"/>
    <w:rsid w:val="71DD3F80"/>
    <w:rsid w:val="736B56E0"/>
    <w:rsid w:val="7385098E"/>
    <w:rsid w:val="74C838E9"/>
    <w:rsid w:val="74D95234"/>
    <w:rsid w:val="75057885"/>
    <w:rsid w:val="7654281B"/>
    <w:rsid w:val="76B45CC3"/>
    <w:rsid w:val="772A140E"/>
    <w:rsid w:val="77756B2D"/>
    <w:rsid w:val="77A64F39"/>
    <w:rsid w:val="77B5517C"/>
    <w:rsid w:val="77C803EE"/>
    <w:rsid w:val="77EC7614"/>
    <w:rsid w:val="78E8332F"/>
    <w:rsid w:val="78F37896"/>
    <w:rsid w:val="78F543CA"/>
    <w:rsid w:val="792A3C52"/>
    <w:rsid w:val="795F1843"/>
    <w:rsid w:val="797F08C0"/>
    <w:rsid w:val="79C5033A"/>
    <w:rsid w:val="7A0F2BA3"/>
    <w:rsid w:val="7A1E16FE"/>
    <w:rsid w:val="7A5C507C"/>
    <w:rsid w:val="7AB210C4"/>
    <w:rsid w:val="7ABB6F4D"/>
    <w:rsid w:val="7BB66C6E"/>
    <w:rsid w:val="7BDB7986"/>
    <w:rsid w:val="7C521865"/>
    <w:rsid w:val="7CB00608"/>
    <w:rsid w:val="7CBC6FB1"/>
    <w:rsid w:val="7CD6006E"/>
    <w:rsid w:val="7CE338D3"/>
    <w:rsid w:val="7D041C53"/>
    <w:rsid w:val="7D3E7B9B"/>
    <w:rsid w:val="7D893EF3"/>
    <w:rsid w:val="7DB87774"/>
    <w:rsid w:val="7E8A55B4"/>
    <w:rsid w:val="7E996565"/>
    <w:rsid w:val="7EC02D84"/>
    <w:rsid w:val="7EF67AE6"/>
    <w:rsid w:val="7F533BF8"/>
    <w:rsid w:val="7FED77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semiHidden="0"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autoRedefine/>
    <w:qFormat/>
    <w:uiPriority w:val="9"/>
    <w:pPr>
      <w:keepNext/>
      <w:ind w:firstLine="425"/>
      <w:outlineLvl w:val="0"/>
    </w:pPr>
    <w:rPr>
      <w:b/>
      <w:bCs/>
      <w:i/>
      <w:iCs/>
      <w:sz w:val="52"/>
      <w:szCs w:val="20"/>
    </w:rPr>
  </w:style>
  <w:style w:type="paragraph" w:styleId="4">
    <w:name w:val="heading 2"/>
    <w:basedOn w:val="1"/>
    <w:next w:val="1"/>
    <w:link w:val="38"/>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link w:val="52"/>
    <w:autoRedefine/>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53"/>
    <w:autoRedefine/>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7">
    <w:name w:val="heading 6"/>
    <w:basedOn w:val="1"/>
    <w:next w:val="1"/>
    <w:autoRedefine/>
    <w:qFormat/>
    <w:uiPriority w:val="0"/>
    <w:pPr>
      <w:keepNext/>
      <w:keepLines/>
      <w:spacing w:before="240" w:after="64" w:line="317" w:lineRule="auto"/>
      <w:outlineLvl w:val="5"/>
    </w:pPr>
    <w:rPr>
      <w:rFonts w:ascii="Cambria" w:hAnsi="Cambria"/>
      <w:b/>
      <w:bCs/>
      <w:sz w:val="24"/>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customStyle="1" w:styleId="2">
    <w:name w:val="_Style 3"/>
    <w:basedOn w:val="1"/>
    <w:autoRedefine/>
    <w:qFormat/>
    <w:uiPriority w:val="0"/>
    <w:pPr>
      <w:ind w:firstLine="420" w:firstLineChars="200"/>
    </w:pPr>
    <w:rPr>
      <w:rFonts w:eastAsia="仿宋_GB2312"/>
      <w:sz w:val="28"/>
    </w:rPr>
  </w:style>
  <w:style w:type="paragraph" w:styleId="8">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9">
    <w:name w:val="annotation text"/>
    <w:basedOn w:val="1"/>
    <w:link w:val="60"/>
    <w:autoRedefine/>
    <w:unhideWhenUsed/>
    <w:qFormat/>
    <w:uiPriority w:val="99"/>
    <w:pPr>
      <w:jc w:val="left"/>
    </w:pPr>
  </w:style>
  <w:style w:type="paragraph" w:styleId="10">
    <w:name w:val="Body Text"/>
    <w:basedOn w:val="1"/>
    <w:next w:val="11"/>
    <w:link w:val="42"/>
    <w:autoRedefine/>
    <w:qFormat/>
    <w:uiPriority w:val="0"/>
    <w:pPr>
      <w:autoSpaceDE w:val="0"/>
      <w:autoSpaceDN w:val="0"/>
      <w:spacing w:line="360" w:lineRule="auto"/>
    </w:pPr>
    <w:rPr>
      <w:rFonts w:ascii="宋体" w:hAnsi="Arial" w:cs="Arial"/>
      <w:snapToGrid w:val="0"/>
      <w:sz w:val="24"/>
      <w:szCs w:val="21"/>
      <w:lang w:val="zh-CN"/>
    </w:rPr>
  </w:style>
  <w:style w:type="paragraph" w:styleId="11">
    <w:name w:val="Body Text First Indent"/>
    <w:basedOn w:val="10"/>
    <w:next w:val="12"/>
    <w:autoRedefine/>
    <w:qFormat/>
    <w:uiPriority w:val="0"/>
    <w:pPr>
      <w:adjustRightInd w:val="0"/>
    </w:pPr>
    <w:rPr>
      <w:rFonts w:ascii="Times New Roman" w:hAnsi="Times New Roman" w:cs="Times New Roman"/>
      <w:sz w:val="28"/>
      <w:lang w:val="en-US"/>
    </w:rPr>
  </w:style>
  <w:style w:type="paragraph" w:styleId="12">
    <w:name w:val="toc 6"/>
    <w:basedOn w:val="1"/>
    <w:next w:val="1"/>
    <w:autoRedefine/>
    <w:qFormat/>
    <w:uiPriority w:val="39"/>
    <w:pPr>
      <w:ind w:left="1000" w:leftChars="1000"/>
    </w:pPr>
  </w:style>
  <w:style w:type="paragraph" w:styleId="13">
    <w:name w:val="Body Text Indent"/>
    <w:basedOn w:val="1"/>
    <w:next w:val="1"/>
    <w:link w:val="39"/>
    <w:autoRedefine/>
    <w:qFormat/>
    <w:uiPriority w:val="0"/>
    <w:pPr>
      <w:spacing w:line="480" w:lineRule="exact"/>
      <w:ind w:firstLine="480" w:firstLineChars="200"/>
    </w:pPr>
    <w:rPr>
      <w:rFonts w:ascii="宋体" w:hAnsi="宋体"/>
      <w:sz w:val="24"/>
    </w:rPr>
  </w:style>
  <w:style w:type="paragraph" w:styleId="14">
    <w:name w:val="toc 3"/>
    <w:basedOn w:val="1"/>
    <w:next w:val="1"/>
    <w:autoRedefine/>
    <w:qFormat/>
    <w:uiPriority w:val="0"/>
    <w:pPr>
      <w:ind w:left="840" w:leftChars="400"/>
    </w:pPr>
    <w:rPr>
      <w:rFonts w:ascii="Times New Roman" w:hAnsi="Times New Roman"/>
    </w:rPr>
  </w:style>
  <w:style w:type="paragraph" w:styleId="15">
    <w:name w:val="Plain Text"/>
    <w:basedOn w:val="1"/>
    <w:link w:val="41"/>
    <w:autoRedefine/>
    <w:qFormat/>
    <w:uiPriority w:val="0"/>
    <w:rPr>
      <w:rFonts w:ascii="宋体" w:hAnsi="Courier New" w:cs="Arial"/>
      <w:snapToGrid w:val="0"/>
      <w:szCs w:val="21"/>
    </w:rPr>
  </w:style>
  <w:style w:type="paragraph" w:styleId="16">
    <w:name w:val="Date"/>
    <w:basedOn w:val="1"/>
    <w:next w:val="1"/>
    <w:link w:val="40"/>
    <w:autoRedefine/>
    <w:qFormat/>
    <w:uiPriority w:val="0"/>
    <w:pPr>
      <w:ind w:left="100" w:leftChars="2500"/>
    </w:pPr>
    <w:rPr>
      <w:rFonts w:ascii="宋体"/>
      <w:sz w:val="24"/>
      <w:szCs w:val="21"/>
      <w:lang w:val="zh-CN"/>
    </w:rPr>
  </w:style>
  <w:style w:type="paragraph" w:styleId="17">
    <w:name w:val="Body Text Indent 2"/>
    <w:basedOn w:val="1"/>
    <w:qFormat/>
    <w:uiPriority w:val="0"/>
    <w:pPr>
      <w:spacing w:line="360" w:lineRule="auto"/>
      <w:ind w:firstLine="480" w:firstLineChars="200"/>
    </w:pPr>
    <w:rPr>
      <w:rFonts w:hint="eastAsia" w:ascii="宋体"/>
      <w:bCs/>
      <w:color w:val="000000"/>
      <w:sz w:val="24"/>
    </w:rPr>
  </w:style>
  <w:style w:type="paragraph" w:styleId="18">
    <w:name w:val="Balloon Text"/>
    <w:basedOn w:val="1"/>
    <w:link w:val="55"/>
    <w:autoRedefine/>
    <w:unhideWhenUsed/>
    <w:qFormat/>
    <w:uiPriority w:val="99"/>
    <w:rPr>
      <w:sz w:val="18"/>
      <w:szCs w:val="18"/>
    </w:rPr>
  </w:style>
  <w:style w:type="paragraph" w:styleId="19">
    <w:name w:val="footer"/>
    <w:basedOn w:val="1"/>
    <w:link w:val="37"/>
    <w:autoRedefine/>
    <w:unhideWhenUsed/>
    <w:qFormat/>
    <w:uiPriority w:val="99"/>
    <w:pPr>
      <w:tabs>
        <w:tab w:val="center" w:pos="4153"/>
        <w:tab w:val="right" w:pos="8306"/>
      </w:tabs>
      <w:snapToGrid w:val="0"/>
      <w:jc w:val="left"/>
    </w:pPr>
    <w:rPr>
      <w:sz w:val="18"/>
      <w:szCs w:val="18"/>
    </w:rPr>
  </w:style>
  <w:style w:type="paragraph" w:styleId="20">
    <w:name w:val="header"/>
    <w:basedOn w:val="1"/>
    <w:link w:val="3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22">
    <w:name w:val="HTML Preformatted"/>
    <w:basedOn w:val="1"/>
    <w:autoRedefine/>
    <w:qFormat/>
    <w:uiPriority w:val="0"/>
    <w:rPr>
      <w:rFonts w:ascii="Courier New" w:hAnsi="Courier New" w:eastAsia="仿宋_GB2312"/>
      <w:b/>
      <w:sz w:val="32"/>
      <w:szCs w:val="32"/>
      <w:lang w:val="en-GB"/>
    </w:rPr>
  </w:style>
  <w:style w:type="paragraph" w:styleId="23">
    <w:name w:val="Normal (Web)"/>
    <w:basedOn w:val="1"/>
    <w:autoRedefine/>
    <w:qFormat/>
    <w:uiPriority w:val="99"/>
    <w:pPr>
      <w:spacing w:before="100" w:beforeAutospacing="1" w:after="100" w:afterAutospacing="1"/>
      <w:jc w:val="left"/>
    </w:pPr>
    <w:rPr>
      <w:kern w:val="0"/>
      <w:sz w:val="24"/>
    </w:rPr>
  </w:style>
  <w:style w:type="paragraph" w:styleId="24">
    <w:name w:val="annotation subject"/>
    <w:basedOn w:val="9"/>
    <w:next w:val="9"/>
    <w:link w:val="61"/>
    <w:autoRedefine/>
    <w:unhideWhenUsed/>
    <w:qFormat/>
    <w:uiPriority w:val="99"/>
    <w:rPr>
      <w:b/>
      <w:bCs/>
    </w:rPr>
  </w:style>
  <w:style w:type="paragraph" w:styleId="25">
    <w:name w:val="Body Text First Indent 2"/>
    <w:basedOn w:val="13"/>
    <w:autoRedefine/>
    <w:unhideWhenUsed/>
    <w:qFormat/>
    <w:uiPriority w:val="99"/>
    <w:pPr>
      <w:ind w:firstLine="420"/>
    </w:pPr>
  </w:style>
  <w:style w:type="table" w:styleId="27">
    <w:name w:val="Table Grid"/>
    <w:basedOn w:val="26"/>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basedOn w:val="28"/>
    <w:autoRedefine/>
    <w:qFormat/>
    <w:uiPriority w:val="0"/>
    <w:rPr>
      <w:rFonts w:ascii="Arial" w:hAnsi="Arial" w:eastAsia="黑体" w:cs="Arial"/>
      <w:snapToGrid w:val="0"/>
      <w:kern w:val="0"/>
      <w:szCs w:val="21"/>
    </w:rPr>
  </w:style>
  <w:style w:type="character" w:styleId="30">
    <w:name w:val="FollowedHyperlink"/>
    <w:basedOn w:val="28"/>
    <w:autoRedefine/>
    <w:semiHidden/>
    <w:unhideWhenUsed/>
    <w:qFormat/>
    <w:uiPriority w:val="99"/>
    <w:rPr>
      <w:color w:val="800080"/>
      <w:u w:val="none"/>
    </w:rPr>
  </w:style>
  <w:style w:type="character" w:styleId="31">
    <w:name w:val="Hyperlink"/>
    <w:autoRedefine/>
    <w:qFormat/>
    <w:uiPriority w:val="99"/>
    <w:rPr>
      <w:rFonts w:ascii="Arial" w:hAnsi="Arial" w:eastAsia="黑体" w:cs="Arial"/>
      <w:snapToGrid w:val="0"/>
      <w:color w:val="000000"/>
      <w:kern w:val="0"/>
      <w:sz w:val="18"/>
      <w:szCs w:val="18"/>
      <w:u w:val="none"/>
    </w:rPr>
  </w:style>
  <w:style w:type="character" w:styleId="32">
    <w:name w:val="annotation reference"/>
    <w:basedOn w:val="28"/>
    <w:autoRedefine/>
    <w:unhideWhenUsed/>
    <w:qFormat/>
    <w:uiPriority w:val="99"/>
    <w:rPr>
      <w:sz w:val="21"/>
      <w:szCs w:val="21"/>
    </w:rPr>
  </w:style>
  <w:style w:type="paragraph" w:customStyle="1" w:styleId="33">
    <w:name w:val="列出段落1"/>
    <w:basedOn w:val="1"/>
    <w:autoRedefine/>
    <w:qFormat/>
    <w:uiPriority w:val="0"/>
    <w:pPr>
      <w:ind w:firstLine="420" w:firstLineChars="200"/>
    </w:pPr>
    <w:rPr>
      <w:szCs w:val="22"/>
    </w:rPr>
  </w:style>
  <w:style w:type="paragraph" w:customStyle="1" w:styleId="34">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rPr>
  </w:style>
  <w:style w:type="paragraph" w:customStyle="1" w:styleId="35">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6">
    <w:name w:val="页眉 Char"/>
    <w:basedOn w:val="28"/>
    <w:link w:val="20"/>
    <w:autoRedefine/>
    <w:qFormat/>
    <w:uiPriority w:val="99"/>
    <w:rPr>
      <w:sz w:val="18"/>
      <w:szCs w:val="18"/>
    </w:rPr>
  </w:style>
  <w:style w:type="character" w:customStyle="1" w:styleId="37">
    <w:name w:val="页脚 Char"/>
    <w:basedOn w:val="28"/>
    <w:link w:val="19"/>
    <w:autoRedefine/>
    <w:qFormat/>
    <w:uiPriority w:val="99"/>
    <w:rPr>
      <w:sz w:val="18"/>
      <w:szCs w:val="18"/>
    </w:rPr>
  </w:style>
  <w:style w:type="character" w:customStyle="1" w:styleId="38">
    <w:name w:val="标题 2 Char"/>
    <w:basedOn w:val="28"/>
    <w:link w:val="4"/>
    <w:autoRedefine/>
    <w:qFormat/>
    <w:uiPriority w:val="0"/>
    <w:rPr>
      <w:rFonts w:ascii="仿宋_GB2312" w:hAnsi="仿宋" w:eastAsia="仿宋_GB2312" w:cs="Times New Roman"/>
      <w:b/>
      <w:bCs/>
      <w:sz w:val="32"/>
      <w:szCs w:val="32"/>
      <w:lang w:val="zh-CN"/>
    </w:rPr>
  </w:style>
  <w:style w:type="character" w:customStyle="1" w:styleId="39">
    <w:name w:val="正文文本缩进 Char"/>
    <w:basedOn w:val="28"/>
    <w:link w:val="13"/>
    <w:autoRedefine/>
    <w:qFormat/>
    <w:uiPriority w:val="0"/>
    <w:rPr>
      <w:rFonts w:ascii="宋体" w:hAnsi="宋体" w:eastAsia="宋体" w:cs="Times New Roman"/>
      <w:sz w:val="24"/>
      <w:szCs w:val="24"/>
    </w:rPr>
  </w:style>
  <w:style w:type="character" w:customStyle="1" w:styleId="40">
    <w:name w:val="日期 Char"/>
    <w:basedOn w:val="28"/>
    <w:link w:val="16"/>
    <w:autoRedefine/>
    <w:qFormat/>
    <w:uiPriority w:val="0"/>
    <w:rPr>
      <w:rFonts w:ascii="宋体" w:hAnsi="Calibri" w:eastAsia="宋体" w:cs="Times New Roman"/>
      <w:sz w:val="24"/>
      <w:szCs w:val="21"/>
      <w:lang w:val="zh-CN"/>
    </w:rPr>
  </w:style>
  <w:style w:type="character" w:customStyle="1" w:styleId="41">
    <w:name w:val="纯文本 Char"/>
    <w:basedOn w:val="28"/>
    <w:link w:val="15"/>
    <w:autoRedefine/>
    <w:qFormat/>
    <w:uiPriority w:val="0"/>
    <w:rPr>
      <w:rFonts w:ascii="宋体" w:hAnsi="Courier New" w:eastAsia="宋体" w:cs="Arial"/>
      <w:snapToGrid w:val="0"/>
      <w:szCs w:val="21"/>
    </w:rPr>
  </w:style>
  <w:style w:type="character" w:customStyle="1" w:styleId="42">
    <w:name w:val="正文文本 Char"/>
    <w:basedOn w:val="28"/>
    <w:link w:val="10"/>
    <w:autoRedefine/>
    <w:qFormat/>
    <w:uiPriority w:val="0"/>
    <w:rPr>
      <w:rFonts w:ascii="宋体" w:hAnsi="Arial" w:eastAsia="宋体" w:cs="Arial"/>
      <w:snapToGrid w:val="0"/>
      <w:sz w:val="24"/>
      <w:szCs w:val="21"/>
      <w:lang w:val="zh-CN"/>
    </w:rPr>
  </w:style>
  <w:style w:type="paragraph" w:customStyle="1" w:styleId="43">
    <w:name w:val="索引 11"/>
    <w:basedOn w:val="1"/>
    <w:next w:val="1"/>
    <w:autoRedefine/>
    <w:qFormat/>
    <w:uiPriority w:val="99"/>
    <w:pPr>
      <w:spacing w:line="360" w:lineRule="auto"/>
    </w:pPr>
    <w:rPr>
      <w:rFonts w:ascii="仿宋_GB2312" w:eastAsia="仿宋_GB2312"/>
      <w:sz w:val="24"/>
      <w:szCs w:val="20"/>
    </w:rPr>
  </w:style>
  <w:style w:type="paragraph" w:customStyle="1" w:styleId="4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6">
    <w:name w:val="text-tag"/>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customStyle="1" w:styleId="47">
    <w:name w:val="纯文本1"/>
    <w:basedOn w:val="1"/>
    <w:autoRedefine/>
    <w:qFormat/>
    <w:uiPriority w:val="0"/>
    <w:rPr>
      <w:rFonts w:ascii="宋体" w:hAnsi="Courier New"/>
      <w:kern w:val="0"/>
      <w:sz w:val="20"/>
      <w:szCs w:val="20"/>
    </w:rPr>
  </w:style>
  <w:style w:type="paragraph" w:customStyle="1" w:styleId="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纯文本_0_0"/>
    <w:basedOn w:val="48"/>
    <w:autoRedefine/>
    <w:qFormat/>
    <w:uiPriority w:val="0"/>
    <w:rPr>
      <w:rFonts w:ascii="宋体" w:hAnsi="Courier New"/>
      <w:szCs w:val="21"/>
    </w:rPr>
  </w:style>
  <w:style w:type="paragraph" w:customStyle="1" w:styleId="50">
    <w:name w:val="正文2"/>
    <w:basedOn w:val="1"/>
    <w:autoRedefine/>
    <w:qFormat/>
    <w:uiPriority w:val="0"/>
    <w:pPr>
      <w:spacing w:before="156" w:line="360" w:lineRule="auto"/>
      <w:ind w:firstLine="510" w:firstLineChars="200"/>
    </w:pPr>
    <w:rPr>
      <w:sz w:val="24"/>
      <w:szCs w:val="20"/>
    </w:rPr>
  </w:style>
  <w:style w:type="paragraph" w:customStyle="1" w:styleId="51">
    <w:name w:val="正文缩进1"/>
    <w:basedOn w:val="1"/>
    <w:next w:val="13"/>
    <w:autoRedefine/>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2">
    <w:name w:val="标题 3 Char"/>
    <w:basedOn w:val="28"/>
    <w:link w:val="5"/>
    <w:autoRedefine/>
    <w:semiHidden/>
    <w:qFormat/>
    <w:uiPriority w:val="9"/>
    <w:rPr>
      <w:rFonts w:ascii="Calibri" w:hAnsi="Calibri" w:eastAsia="宋体" w:cs="Times New Roman"/>
      <w:b/>
      <w:bCs/>
      <w:sz w:val="32"/>
      <w:szCs w:val="32"/>
    </w:rPr>
  </w:style>
  <w:style w:type="character" w:customStyle="1" w:styleId="53">
    <w:name w:val="标题 4 Char"/>
    <w:basedOn w:val="28"/>
    <w:link w:val="6"/>
    <w:autoRedefine/>
    <w:semiHidden/>
    <w:qFormat/>
    <w:uiPriority w:val="9"/>
    <w:rPr>
      <w:rFonts w:asciiTheme="majorHAnsi" w:hAnsiTheme="majorHAnsi" w:eastAsiaTheme="majorEastAsia" w:cstheme="majorBidi"/>
      <w:b/>
      <w:bCs/>
      <w:sz w:val="28"/>
      <w:szCs w:val="28"/>
    </w:rPr>
  </w:style>
  <w:style w:type="paragraph" w:customStyle="1" w:styleId="54">
    <w:name w:val="标题4"/>
    <w:basedOn w:val="1"/>
    <w:autoRedefine/>
    <w:qFormat/>
    <w:uiPriority w:val="0"/>
    <w:rPr>
      <w:rFonts w:ascii="Times New Roman" w:hAnsi="Times New Roman" w:eastAsia="仿宋_GB2312"/>
      <w:sz w:val="32"/>
      <w:szCs w:val="20"/>
    </w:rPr>
  </w:style>
  <w:style w:type="character" w:customStyle="1" w:styleId="55">
    <w:name w:val="批注框文本 Char"/>
    <w:basedOn w:val="28"/>
    <w:link w:val="18"/>
    <w:autoRedefine/>
    <w:semiHidden/>
    <w:qFormat/>
    <w:uiPriority w:val="99"/>
    <w:rPr>
      <w:rFonts w:ascii="Calibri" w:hAnsi="Calibri" w:eastAsia="宋体" w:cs="Times New Roman"/>
      <w:sz w:val="18"/>
      <w:szCs w:val="18"/>
    </w:rPr>
  </w:style>
  <w:style w:type="character" w:customStyle="1" w:styleId="56">
    <w:name w:val="List Paragraph Char"/>
    <w:link w:val="57"/>
    <w:autoRedefine/>
    <w:qFormat/>
    <w:locked/>
    <w:uiPriority w:val="0"/>
    <w:rPr>
      <w:rFonts w:ascii="Times New Roman" w:hAnsi="Times New Roman"/>
      <w:szCs w:val="24"/>
    </w:rPr>
  </w:style>
  <w:style w:type="paragraph" w:customStyle="1" w:styleId="57">
    <w:name w:val="列出段落11"/>
    <w:basedOn w:val="1"/>
    <w:link w:val="56"/>
    <w:autoRedefine/>
    <w:qFormat/>
    <w:uiPriority w:val="0"/>
    <w:pPr>
      <w:ind w:firstLine="420" w:firstLineChars="200"/>
    </w:pPr>
    <w:rPr>
      <w:rFonts w:ascii="Times New Roman" w:hAnsi="Times New Roman" w:eastAsiaTheme="minorEastAsia" w:cstheme="minorBidi"/>
    </w:rPr>
  </w:style>
  <w:style w:type="paragraph" w:customStyle="1" w:styleId="58">
    <w:name w:val="列表段落1"/>
    <w:basedOn w:val="1"/>
    <w:autoRedefine/>
    <w:qFormat/>
    <w:uiPriority w:val="99"/>
    <w:pPr>
      <w:ind w:firstLine="420" w:firstLineChars="200"/>
    </w:pPr>
  </w:style>
  <w:style w:type="paragraph" w:customStyle="1" w:styleId="59">
    <w:name w:val="修订1"/>
    <w:autoRedefine/>
    <w:hidden/>
    <w:semiHidden/>
    <w:qFormat/>
    <w:uiPriority w:val="99"/>
    <w:rPr>
      <w:rFonts w:ascii="Calibri" w:hAnsi="Calibri" w:eastAsia="宋体" w:cs="Times New Roman"/>
      <w:kern w:val="2"/>
      <w:sz w:val="21"/>
      <w:szCs w:val="24"/>
      <w:lang w:val="en-US" w:eastAsia="zh-CN" w:bidi="ar-SA"/>
    </w:rPr>
  </w:style>
  <w:style w:type="character" w:customStyle="1" w:styleId="60">
    <w:name w:val="批注文字 Char"/>
    <w:basedOn w:val="28"/>
    <w:link w:val="9"/>
    <w:autoRedefine/>
    <w:semiHidden/>
    <w:qFormat/>
    <w:uiPriority w:val="99"/>
    <w:rPr>
      <w:rFonts w:ascii="Calibri" w:hAnsi="Calibri"/>
      <w:kern w:val="2"/>
      <w:sz w:val="21"/>
      <w:szCs w:val="24"/>
    </w:rPr>
  </w:style>
  <w:style w:type="character" w:customStyle="1" w:styleId="61">
    <w:name w:val="批注主题 Char"/>
    <w:basedOn w:val="60"/>
    <w:link w:val="24"/>
    <w:autoRedefine/>
    <w:semiHidden/>
    <w:qFormat/>
    <w:uiPriority w:val="99"/>
    <w:rPr>
      <w:rFonts w:ascii="Calibri" w:hAnsi="Calibri"/>
      <w:b/>
      <w:bCs/>
      <w:kern w:val="2"/>
      <w:sz w:val="21"/>
      <w:szCs w:val="24"/>
    </w:rPr>
  </w:style>
  <w:style w:type="paragraph" w:customStyle="1" w:styleId="62">
    <w:name w:val="修订2"/>
    <w:autoRedefine/>
    <w:hidden/>
    <w:semiHidden/>
    <w:qFormat/>
    <w:uiPriority w:val="99"/>
    <w:rPr>
      <w:rFonts w:ascii="Calibri" w:hAnsi="Calibri" w:eastAsia="宋体" w:cs="Times New Roman"/>
      <w:kern w:val="2"/>
      <w:sz w:val="21"/>
      <w:szCs w:val="24"/>
      <w:lang w:val="en-US" w:eastAsia="zh-CN" w:bidi="ar-SA"/>
    </w:rPr>
  </w:style>
  <w:style w:type="paragraph" w:customStyle="1" w:styleId="63">
    <w:name w:val="修订3"/>
    <w:autoRedefine/>
    <w:hidden/>
    <w:semiHidden/>
    <w:qFormat/>
    <w:uiPriority w:val="99"/>
    <w:rPr>
      <w:rFonts w:ascii="Calibri" w:hAnsi="Calibri" w:eastAsia="宋体" w:cs="Times New Roman"/>
      <w:kern w:val="2"/>
      <w:sz w:val="21"/>
      <w:szCs w:val="24"/>
      <w:lang w:val="en-US" w:eastAsia="zh-CN" w:bidi="ar-SA"/>
    </w:rPr>
  </w:style>
  <w:style w:type="character" w:customStyle="1" w:styleId="64">
    <w:name w:val="textcolor1"/>
    <w:basedOn w:val="28"/>
    <w:autoRedefine/>
    <w:qFormat/>
    <w:uiPriority w:val="0"/>
    <w:rPr>
      <w:color w:val="FF6600"/>
    </w:rPr>
  </w:style>
  <w:style w:type="table" w:customStyle="1" w:styleId="65">
    <w:name w:val="Table Normal"/>
    <w:autoRedefine/>
    <w:semiHidden/>
    <w:unhideWhenUsed/>
    <w:qFormat/>
    <w:uiPriority w:val="0"/>
    <w:tblPr>
      <w:tblCellMar>
        <w:top w:w="0" w:type="dxa"/>
        <w:left w:w="0" w:type="dxa"/>
        <w:bottom w:w="0" w:type="dxa"/>
        <w:right w:w="0" w:type="dxa"/>
      </w:tblCellMar>
    </w:tblPr>
  </w:style>
  <w:style w:type="paragraph" w:customStyle="1" w:styleId="66">
    <w:name w:val="公告正文"/>
    <w:basedOn w:val="1"/>
    <w:autoRedefine/>
    <w:qFormat/>
    <w:uiPriority w:val="0"/>
    <w:pPr>
      <w:spacing w:line="400" w:lineRule="atLeast"/>
      <w:ind w:firstLine="437"/>
    </w:pPr>
    <w:rPr>
      <w:rFonts w:ascii="宋体" w:hAnsi="宋体"/>
      <w:kern w:val="0"/>
      <w:sz w:val="24"/>
    </w:rPr>
  </w:style>
  <w:style w:type="paragraph" w:customStyle="1" w:styleId="67">
    <w:name w:val="须知二级小标题"/>
    <w:basedOn w:val="1"/>
    <w:autoRedefine/>
    <w:qFormat/>
    <w:uiPriority w:val="0"/>
    <w:pPr>
      <w:spacing w:line="500" w:lineRule="exact"/>
    </w:pPr>
    <w:rPr>
      <w:rFonts w:ascii="宋体"/>
      <w:b/>
      <w:sz w:val="24"/>
    </w:rPr>
  </w:style>
  <w:style w:type="paragraph" w:customStyle="1" w:styleId="68">
    <w:name w:val="纯文本2"/>
    <w:basedOn w:val="1"/>
    <w:autoRedefine/>
    <w:qFormat/>
    <w:uiPriority w:val="0"/>
    <w:rPr>
      <w:rFonts w:ascii="宋体" w:hAnsi="Courier New" w:eastAsia="Times New Roman"/>
      <w:kern w:val="0"/>
      <w:sz w:val="20"/>
      <w:szCs w:val="20"/>
    </w:rPr>
  </w:style>
  <w:style w:type="paragraph" w:customStyle="1" w:styleId="69">
    <w:name w:val="[Normal]"/>
    <w:autoRedefine/>
    <w:qFormat/>
    <w:uiPriority w:val="0"/>
    <w:rPr>
      <w:rFonts w:ascii="宋体" w:hAnsi="宋体" w:eastAsia="宋体" w:cs="Times New Roman"/>
      <w:sz w:val="24"/>
      <w:szCs w:val="22"/>
      <w:lang w:val="zh-CN" w:eastAsia="zh-CN" w:bidi="ar-SA"/>
    </w:rPr>
  </w:style>
  <w:style w:type="paragraph" w:customStyle="1" w:styleId="70">
    <w:name w:val="样式 标题 1 + 居中"/>
    <w:basedOn w:val="3"/>
    <w:qFormat/>
    <w:uiPriority w:val="0"/>
    <w:pPr>
      <w:spacing w:line="576" w:lineRule="auto"/>
      <w:jc w:val="center"/>
    </w:pPr>
    <w:rPr>
      <w:rFonts w:cs="宋体"/>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68</Pages>
  <Words>24364</Words>
  <Characters>26428</Characters>
  <Lines>343</Lines>
  <Paragraphs>96</Paragraphs>
  <TotalTime>69</TotalTime>
  <ScaleCrop>false</ScaleCrop>
  <LinksUpToDate>false</LinksUpToDate>
  <CharactersWithSpaces>28146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2023-02-04T21:06:00Z</dcterms:created>
  <dc:creator>Microsoft</dc:creator>
  <cp:lastModifiedBy>木南楠</cp:lastModifiedBy>
  <cp:lastPrinted>2024-12-20T05:19:00Z</cp:lastPrinted>
  <dcterms:modified xsi:type="dcterms:W3CDTF">2025-04-17T02:16:38Z</dcterms:modified>
  <cp:revision>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B746CE3FB2F043908CE14FE755B4A904_13</vt:lpwstr>
  </property>
  <property fmtid="{D5CDD505-2E9C-101B-9397-08002B2CF9AE}" pid="4" name="KSOTemplateDocerSaveRecord">
    <vt:lpwstr>eyJoZGlkIjoiMDFhMjc2OGZkY2JhM2U5Y2Y1NGIwYTY5MTU2YjY1YzIiLCJ1c2VySWQiOiIxMjg5MjA2MjgwIn0=</vt:lpwstr>
  </property>
</Properties>
</file>