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FCB77">
      <w:pPr>
        <w:rPr>
          <w:rFonts w:hint="eastAsia" w:ascii="宋体" w:hAnsi="宋体" w:eastAsia="宋体" w:cs="宋体"/>
          <w:color w:val="000000" w:themeColor="text1"/>
          <w14:textFill>
            <w14:solidFill>
              <w14:schemeClr w14:val="tx1"/>
            </w14:solidFill>
          </w14:textFill>
        </w:rPr>
      </w:pPr>
    </w:p>
    <w:p w14:paraId="1DA6D37E">
      <w:pPr>
        <w:rPr>
          <w:rFonts w:hint="eastAsia" w:ascii="宋体" w:hAnsi="宋体" w:eastAsia="宋体" w:cs="宋体"/>
          <w:color w:val="000000" w:themeColor="text1"/>
          <w14:textFill>
            <w14:solidFill>
              <w14:schemeClr w14:val="tx1"/>
            </w14:solidFill>
          </w14:textFill>
        </w:rPr>
      </w:pPr>
    </w:p>
    <w:p w14:paraId="33F8D416">
      <w:pPr>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cs="宋体"/>
          <w:b/>
          <w:bCs/>
          <w:color w:val="000000" w:themeColor="text1"/>
          <w:sz w:val="32"/>
          <w:szCs w:val="32"/>
          <w:lang w:eastAsia="zh-CN"/>
          <w14:textFill>
            <w14:solidFill>
              <w14:schemeClr w14:val="tx1"/>
            </w14:solidFill>
          </w14:textFill>
        </w:rPr>
        <w:t>城东小学校园红领巾电视台设备采购项目</w:t>
      </w:r>
    </w:p>
    <w:p w14:paraId="00AB68A6">
      <w:pPr>
        <w:jc w:val="center"/>
        <w:rPr>
          <w:rFonts w:hint="eastAsia" w:ascii="宋体" w:hAnsi="宋体" w:eastAsia="宋体" w:cs="宋体"/>
          <w:color w:val="000000" w:themeColor="text1"/>
          <w:sz w:val="40"/>
          <w14:textFill>
            <w14:solidFill>
              <w14:schemeClr w14:val="tx1"/>
            </w14:solidFill>
          </w14:textFill>
        </w:rPr>
      </w:pPr>
    </w:p>
    <w:p w14:paraId="11FC45DB">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交易文件</w:t>
      </w:r>
    </w:p>
    <w:p w14:paraId="5F9332D5">
      <w:pPr>
        <w:jc w:val="center"/>
        <w:rPr>
          <w:rFonts w:hint="eastAsia" w:ascii="宋体" w:hAnsi="宋体" w:eastAsia="宋体" w:cs="宋体"/>
          <w:color w:val="000000" w:themeColor="text1"/>
          <w:sz w:val="36"/>
          <w14:textFill>
            <w14:solidFill>
              <w14:schemeClr w14:val="tx1"/>
            </w14:solidFill>
          </w14:textFill>
        </w:rPr>
      </w:pPr>
    </w:p>
    <w:p w14:paraId="66173AD6">
      <w:pPr>
        <w:jc w:val="center"/>
        <w:rPr>
          <w:rFonts w:hint="eastAsia" w:ascii="宋体" w:hAnsi="宋体" w:eastAsia="宋体" w:cs="宋体"/>
          <w:color w:val="000000" w:themeColor="text1"/>
          <w:sz w:val="36"/>
          <w14:textFill>
            <w14:solidFill>
              <w14:schemeClr w14:val="tx1"/>
            </w14:solidFill>
          </w14:textFill>
        </w:rPr>
      </w:pPr>
    </w:p>
    <w:p w14:paraId="4CFB8AD4">
      <w:pPr>
        <w:jc w:val="center"/>
        <w:rPr>
          <w:rFonts w:hint="eastAsia" w:ascii="宋体" w:hAnsi="宋体" w:eastAsia="宋体" w:cs="宋体"/>
          <w:color w:val="000000" w:themeColor="text1"/>
          <w:sz w:val="36"/>
          <w14:textFill>
            <w14:solidFill>
              <w14:schemeClr w14:val="tx1"/>
            </w14:solidFill>
          </w14:textFill>
        </w:rPr>
      </w:pPr>
    </w:p>
    <w:p w14:paraId="364CA71B">
      <w:pPr>
        <w:jc w:val="center"/>
        <w:rPr>
          <w:rFonts w:hint="eastAsia" w:ascii="宋体" w:hAnsi="宋体" w:eastAsia="宋体" w:cs="宋体"/>
          <w:color w:val="000000" w:themeColor="text1"/>
          <w:sz w:val="36"/>
          <w14:textFill>
            <w14:solidFill>
              <w14:schemeClr w14:val="tx1"/>
            </w14:solidFill>
          </w14:textFill>
        </w:rPr>
      </w:pPr>
    </w:p>
    <w:p w14:paraId="0CDBB6CB">
      <w:pPr>
        <w:jc w:val="center"/>
        <w:rPr>
          <w:rFonts w:hint="eastAsia" w:ascii="宋体" w:hAnsi="宋体" w:eastAsia="宋体" w:cs="宋体"/>
          <w:color w:val="000000" w:themeColor="text1"/>
          <w:sz w:val="36"/>
          <w14:textFill>
            <w14:solidFill>
              <w14:schemeClr w14:val="tx1"/>
            </w14:solidFill>
          </w14:textFill>
        </w:rPr>
      </w:pPr>
    </w:p>
    <w:p w14:paraId="0CF4F8D9">
      <w:pPr>
        <w:jc w:val="center"/>
        <w:rPr>
          <w:rFonts w:hint="eastAsia" w:ascii="宋体" w:hAnsi="宋体" w:eastAsia="宋体" w:cs="宋体"/>
          <w:color w:val="000000" w:themeColor="text1"/>
          <w:sz w:val="36"/>
          <w14:textFill>
            <w14:solidFill>
              <w14:schemeClr w14:val="tx1"/>
            </w14:solidFill>
          </w14:textFill>
        </w:rPr>
      </w:pPr>
    </w:p>
    <w:p w14:paraId="6C568FBB">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编号:</w:t>
      </w:r>
      <w:r>
        <w:rPr>
          <w:rFonts w:hint="eastAsia" w:cs="宋体"/>
          <w:color w:val="000000" w:themeColor="text1"/>
          <w:sz w:val="36"/>
          <w:lang w:eastAsia="zh-CN"/>
          <w14:textFill>
            <w14:solidFill>
              <w14:schemeClr w14:val="tx1"/>
            </w14:solidFill>
          </w14:textFill>
        </w:rPr>
        <w:t>CDXX2024002</w:t>
      </w:r>
    </w:p>
    <w:p w14:paraId="272FF64C">
      <w:pPr>
        <w:jc w:val="center"/>
        <w:rPr>
          <w:rFonts w:hint="eastAsia" w:ascii="宋体" w:hAnsi="宋体" w:eastAsia="宋体" w:cs="宋体"/>
          <w:color w:val="000000" w:themeColor="text1"/>
          <w:sz w:val="36"/>
          <w14:textFill>
            <w14:solidFill>
              <w14:schemeClr w14:val="tx1"/>
            </w14:solidFill>
          </w14:textFill>
        </w:rPr>
      </w:pPr>
    </w:p>
    <w:p w14:paraId="3AAC0A17">
      <w:pPr>
        <w:jc w:val="center"/>
        <w:rPr>
          <w:rFonts w:hint="eastAsia" w:ascii="宋体" w:hAnsi="宋体" w:eastAsia="宋体" w:cs="宋体"/>
          <w:color w:val="000000" w:themeColor="text1"/>
          <w:sz w:val="36"/>
          <w14:textFill>
            <w14:solidFill>
              <w14:schemeClr w14:val="tx1"/>
            </w14:solidFill>
          </w14:textFill>
        </w:rPr>
      </w:pPr>
    </w:p>
    <w:p w14:paraId="205B1CDB">
      <w:pPr>
        <w:pStyle w:val="15"/>
        <w:ind w:firstLine="720"/>
        <w:rPr>
          <w:rFonts w:hint="eastAsia" w:ascii="宋体" w:hAnsi="宋体" w:eastAsia="宋体" w:cs="宋体"/>
          <w:color w:val="000000" w:themeColor="text1"/>
          <w:sz w:val="36"/>
          <w14:textFill>
            <w14:solidFill>
              <w14:schemeClr w14:val="tx1"/>
            </w14:solidFill>
          </w14:textFill>
        </w:rPr>
      </w:pPr>
    </w:p>
    <w:p w14:paraId="67C617B6">
      <w:pPr>
        <w:pStyle w:val="15"/>
        <w:ind w:firstLine="720"/>
        <w:rPr>
          <w:rFonts w:hint="eastAsia" w:ascii="宋体" w:hAnsi="宋体" w:eastAsia="宋体" w:cs="宋体"/>
          <w:color w:val="000000" w:themeColor="text1"/>
          <w:sz w:val="36"/>
          <w14:textFill>
            <w14:solidFill>
              <w14:schemeClr w14:val="tx1"/>
            </w14:solidFill>
          </w14:textFill>
        </w:rPr>
      </w:pPr>
    </w:p>
    <w:p w14:paraId="66C272E1">
      <w:pPr>
        <w:pStyle w:val="15"/>
        <w:ind w:firstLine="720"/>
        <w:rPr>
          <w:rFonts w:hint="eastAsia" w:ascii="宋体" w:hAnsi="宋体" w:eastAsia="宋体" w:cs="宋体"/>
          <w:color w:val="000000" w:themeColor="text1"/>
          <w:sz w:val="36"/>
          <w14:textFill>
            <w14:solidFill>
              <w14:schemeClr w14:val="tx1"/>
            </w14:solidFill>
          </w14:textFill>
        </w:rPr>
      </w:pPr>
    </w:p>
    <w:p w14:paraId="5523E090">
      <w:pPr>
        <w:jc w:val="center"/>
        <w:rPr>
          <w:rFonts w:hint="eastAsia" w:ascii="宋体" w:hAnsi="宋体" w:eastAsia="宋体" w:cs="宋体"/>
          <w:color w:val="000000" w:themeColor="text1"/>
          <w:sz w:val="36"/>
          <w14:textFill>
            <w14:solidFill>
              <w14:schemeClr w14:val="tx1"/>
            </w14:solidFill>
          </w14:textFill>
        </w:rPr>
      </w:pPr>
    </w:p>
    <w:p w14:paraId="2005A9F6">
      <w:pPr>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 xml:space="preserve"> </w:t>
      </w:r>
    </w:p>
    <w:p w14:paraId="7BCD2BA2">
      <w:pPr>
        <w:rPr>
          <w:rFonts w:hint="eastAsia" w:ascii="宋体" w:hAnsi="宋体" w:eastAsia="宋体" w:cs="宋体"/>
          <w:color w:val="000000" w:themeColor="text1"/>
          <w14:textFill>
            <w14:solidFill>
              <w14:schemeClr w14:val="tx1"/>
            </w14:solidFill>
          </w14:textFill>
        </w:rPr>
      </w:pPr>
    </w:p>
    <w:p w14:paraId="57F0563C">
      <w:pPr>
        <w:jc w:val="center"/>
        <w:rPr>
          <w:rFonts w:hint="eastAsia" w:ascii="宋体" w:hAnsi="宋体" w:eastAsia="宋体" w:cs="宋体"/>
          <w:color w:val="000000" w:themeColor="text1"/>
          <w14:textFill>
            <w14:solidFill>
              <w14:schemeClr w14:val="tx1"/>
            </w14:solidFill>
          </w14:textFill>
        </w:rPr>
      </w:pPr>
    </w:p>
    <w:p w14:paraId="15C45465">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cs="宋体"/>
          <w:color w:val="000000" w:themeColor="text1"/>
          <w:sz w:val="36"/>
          <w:lang w:eastAsia="zh-CN"/>
          <w14:textFill>
            <w14:solidFill>
              <w14:schemeClr w14:val="tx1"/>
            </w14:solidFill>
          </w14:textFill>
        </w:rPr>
        <w:t>萧山区城东小学</w:t>
      </w:r>
    </w:p>
    <w:p w14:paraId="2397E820">
      <w:pPr>
        <w:jc w:val="center"/>
        <w:rPr>
          <w:rFonts w:hint="eastAsia" w:ascii="宋体" w:hAnsi="宋体" w:eastAsia="宋体" w:cs="宋体"/>
          <w:color w:val="000000" w:themeColor="text1"/>
          <w:sz w:val="36"/>
          <w:lang w:eastAsia="zh-CN"/>
          <w14:textFill>
            <w14:solidFill>
              <w14:schemeClr w14:val="tx1"/>
            </w14:solidFill>
          </w14:textFill>
        </w:rPr>
      </w:pPr>
      <w:r>
        <w:rPr>
          <w:rFonts w:hint="eastAsia" w:cs="宋体"/>
          <w:color w:val="000000" w:themeColor="text1"/>
          <w:sz w:val="36"/>
          <w:lang w:eastAsia="zh-CN"/>
          <w14:textFill>
            <w14:solidFill>
              <w14:schemeClr w14:val="tx1"/>
            </w14:solidFill>
          </w14:textFill>
        </w:rPr>
        <w:t>浙江越锋项目管理有限公司</w:t>
      </w:r>
    </w:p>
    <w:p w14:paraId="065038CD">
      <w:pPr>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202</w:t>
      </w:r>
      <w:r>
        <w:rPr>
          <w:rFonts w:hint="eastAsia" w:cs="宋体"/>
          <w:color w:val="000000" w:themeColor="text1"/>
          <w:sz w:val="36"/>
          <w:lang w:val="en-US" w:eastAsia="zh-CN"/>
          <w14:textFill>
            <w14:solidFill>
              <w14:schemeClr w14:val="tx1"/>
            </w14:solidFill>
          </w14:textFill>
        </w:rPr>
        <w:t>4</w:t>
      </w:r>
      <w:r>
        <w:rPr>
          <w:rFonts w:hint="eastAsia" w:ascii="宋体" w:hAnsi="宋体" w:eastAsia="宋体" w:cs="宋体"/>
          <w:color w:val="000000" w:themeColor="text1"/>
          <w:sz w:val="36"/>
          <w14:textFill>
            <w14:solidFill>
              <w14:schemeClr w14:val="tx1"/>
            </w14:solidFill>
          </w14:textFill>
        </w:rPr>
        <w:t>年</w:t>
      </w:r>
      <w:r>
        <w:rPr>
          <w:rFonts w:hint="eastAsia" w:cs="宋体"/>
          <w:color w:val="000000" w:themeColor="text1"/>
          <w:sz w:val="36"/>
          <w:lang w:val="en-US" w:eastAsia="zh-CN"/>
          <w14:textFill>
            <w14:solidFill>
              <w14:schemeClr w14:val="tx1"/>
            </w14:solidFill>
          </w14:textFill>
        </w:rPr>
        <w:t>11</w:t>
      </w:r>
      <w:r>
        <w:rPr>
          <w:rFonts w:hint="eastAsia" w:ascii="宋体" w:hAnsi="宋体" w:eastAsia="宋体" w:cs="宋体"/>
          <w:color w:val="000000" w:themeColor="text1"/>
          <w:sz w:val="36"/>
          <w14:textFill>
            <w14:solidFill>
              <w14:schemeClr w14:val="tx1"/>
            </w14:solidFill>
          </w14:textFill>
        </w:rPr>
        <w:t>月</w:t>
      </w:r>
    </w:p>
    <w:p w14:paraId="1A349163">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br w:type="page"/>
      </w:r>
    </w:p>
    <w:p w14:paraId="63346C64">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目  录</w:t>
      </w:r>
    </w:p>
    <w:p w14:paraId="50E28A8F">
      <w:pPr>
        <w:rPr>
          <w:rFonts w:hint="eastAsia" w:ascii="宋体" w:hAnsi="宋体" w:eastAsia="宋体" w:cs="宋体"/>
          <w:color w:val="000000" w:themeColor="text1"/>
          <w14:textFill>
            <w14:solidFill>
              <w14:schemeClr w14:val="tx1"/>
            </w14:solidFill>
          </w14:textFill>
        </w:rPr>
      </w:pPr>
    </w:p>
    <w:p w14:paraId="2CD70403">
      <w:pPr>
        <w:rPr>
          <w:rFonts w:hint="eastAsia" w:ascii="宋体" w:hAnsi="宋体" w:eastAsia="宋体" w:cs="宋体"/>
          <w:color w:val="000000" w:themeColor="text1"/>
          <w14:textFill>
            <w14:solidFill>
              <w14:schemeClr w14:val="tx1"/>
            </w14:solidFill>
          </w14:textFill>
        </w:rPr>
      </w:pPr>
    </w:p>
    <w:p w14:paraId="592EF3A4">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第一部分      交易公告</w:t>
      </w:r>
    </w:p>
    <w:p w14:paraId="074E9A7F">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第二部分      供应商须知</w:t>
      </w:r>
    </w:p>
    <w:p w14:paraId="5EE30B14">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第三部分      采购需求</w:t>
      </w:r>
    </w:p>
    <w:p w14:paraId="031F9CD4">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第四部分      评标办法</w:t>
      </w:r>
    </w:p>
    <w:p w14:paraId="395A00E9">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第五部分      拟签订的合同文本</w:t>
      </w:r>
    </w:p>
    <w:p w14:paraId="698D1ACA">
      <w:pP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第六部分      应提交的有关格式范例</w:t>
      </w:r>
    </w:p>
    <w:p w14:paraId="1EB7A5E7">
      <w:pPr>
        <w:spacing w:line="276" w:lineRule="auto"/>
        <w:rPr>
          <w:rFonts w:hint="eastAsia" w:ascii="宋体" w:hAnsi="宋体" w:eastAsia="宋体" w:cs="宋体"/>
          <w:color w:val="000000" w:themeColor="text1"/>
          <w:sz w:val="32"/>
          <w14:textFill>
            <w14:solidFill>
              <w14:schemeClr w14:val="tx1"/>
            </w14:solidFill>
          </w14:textFill>
        </w:rPr>
      </w:pPr>
    </w:p>
    <w:p w14:paraId="029CEAC8">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66BC459">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交易公告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5BFF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63CF4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项目概况</w:t>
            </w:r>
          </w:p>
          <w:p w14:paraId="0861DA8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w:t>
            </w:r>
            <w:r>
              <w:rPr>
                <w:rFonts w:hint="eastAsia" w:cs="宋体"/>
                <w:color w:val="000000" w:themeColor="text1"/>
                <w:u w:val="single"/>
                <w:lang w:eastAsia="zh-CN"/>
                <w14:textFill>
                  <w14:solidFill>
                    <w14:schemeClr w14:val="tx1"/>
                  </w14:solidFill>
                </w14:textFill>
              </w:rPr>
              <w:t>城东小学校园红领巾电视台设备采购项目</w:t>
            </w:r>
            <w:r>
              <w:rPr>
                <w:rFonts w:hint="eastAsia"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招标项目的潜在供应商应在</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t>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/）获取（下载）交易文件，并于202</w:t>
            </w:r>
            <w:r>
              <w:rPr>
                <w:rFonts w:hint="eastAsia"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分00秒</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（北京时间）前递交（上传）响应文件。</w:t>
            </w:r>
          </w:p>
        </w:tc>
      </w:tr>
    </w:tbl>
    <w:p w14:paraId="1498575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一、项目基本情况                                            </w:t>
      </w:r>
    </w:p>
    <w:p w14:paraId="1E8EEF5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cs="宋体"/>
          <w:color w:val="000000" w:themeColor="text1"/>
          <w:lang w:eastAsia="zh-CN"/>
          <w14:textFill>
            <w14:solidFill>
              <w14:schemeClr w14:val="tx1"/>
            </w14:solidFill>
          </w14:textFill>
        </w:rPr>
        <w:t>CDXX2024002</w:t>
      </w:r>
    </w:p>
    <w:p w14:paraId="0C4618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cs="宋体"/>
          <w:color w:val="000000" w:themeColor="text1"/>
          <w:lang w:eastAsia="zh-CN"/>
          <w14:textFill>
            <w14:solidFill>
              <w14:schemeClr w14:val="tx1"/>
            </w14:solidFill>
          </w14:textFill>
        </w:rPr>
        <w:t>城东小学校园红领巾电视台设备采购项目</w:t>
      </w:r>
    </w:p>
    <w:p w14:paraId="69EB9789">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预算金额（元）：</w:t>
      </w:r>
      <w:r>
        <w:rPr>
          <w:rFonts w:hint="eastAsia" w:cs="宋体"/>
          <w:color w:val="000000" w:themeColor="text1"/>
          <w:highlight w:val="none"/>
          <w:lang w:val="en-US" w:eastAsia="zh-CN"/>
          <w14:textFill>
            <w14:solidFill>
              <w14:schemeClr w14:val="tx1"/>
            </w14:solidFill>
          </w14:textFill>
        </w:rPr>
        <w:t>420000</w:t>
      </w:r>
    </w:p>
    <w:p w14:paraId="271EEB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最高限价（元）：</w:t>
      </w:r>
      <w:r>
        <w:rPr>
          <w:rFonts w:hint="eastAsia" w:cs="宋体"/>
          <w:color w:val="000000" w:themeColor="text1"/>
          <w:highlight w:val="none"/>
          <w:lang w:val="en-US" w:eastAsia="zh-CN"/>
          <w14:textFill>
            <w14:solidFill>
              <w14:schemeClr w14:val="tx1"/>
            </w14:solidFill>
          </w14:textFill>
        </w:rPr>
        <w:t>420000</w:t>
      </w:r>
    </w:p>
    <w:p w14:paraId="05BA783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采购需求：（项目名称）主要内容：</w:t>
      </w:r>
      <w:bookmarkStart w:id="0" w:name="OLE_LINK2"/>
      <w:r>
        <w:rPr>
          <w:rFonts w:hint="eastAsia" w:ascii="宋体" w:hAnsi="宋体" w:eastAsia="宋体" w:cs="宋体"/>
          <w:color w:val="000000" w:themeColor="text1"/>
          <w14:textFill>
            <w14:solidFill>
              <w14:schemeClr w14:val="tx1"/>
            </w14:solidFill>
          </w14:textFill>
        </w:rPr>
        <w:t>详见交易文件第三部分采购需求</w:t>
      </w:r>
      <w:bookmarkEnd w:id="0"/>
      <w:r>
        <w:rPr>
          <w:rFonts w:hint="eastAsia" w:ascii="宋体" w:hAnsi="宋体" w:eastAsia="宋体" w:cs="宋体"/>
          <w:color w:val="000000" w:themeColor="text1"/>
          <w14:textFill>
            <w14:solidFill>
              <w14:schemeClr w14:val="tx1"/>
            </w14:solidFill>
          </w14:textFill>
        </w:rPr>
        <w:t>。</w:t>
      </w:r>
    </w:p>
    <w:p w14:paraId="0E06956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合同履约期限：按交易文件要求</w:t>
      </w:r>
    </w:p>
    <w:p w14:paraId="7C70E6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本项目接受联合体投标：否 。</w:t>
      </w:r>
    </w:p>
    <w:p w14:paraId="17DE0AA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二、申请人的资格要求</w:t>
      </w:r>
      <w:r>
        <w:rPr>
          <w:rFonts w:hint="eastAsia" w:ascii="宋体" w:hAnsi="宋体" w:eastAsia="宋体" w:cs="宋体"/>
          <w:color w:val="000000" w:themeColor="text1"/>
          <w14:textFill>
            <w14:solidFill>
              <w14:schemeClr w14:val="tx1"/>
            </w14:solidFill>
          </w14:textFill>
        </w:rPr>
        <w:t>：</w:t>
      </w:r>
    </w:p>
    <w:p w14:paraId="674347E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62A252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2.本项目的特定资格要求：无；</w:t>
      </w:r>
    </w:p>
    <w:p w14:paraId="281D1C0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F34AC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三、获取交易文件 </w:t>
      </w:r>
    </w:p>
    <w:p w14:paraId="292D59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时间：/至202</w:t>
      </w:r>
      <w:r>
        <w:rPr>
          <w:rFonts w:hint="eastAsia"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t>日，每天上午00:00至12:00 ，下午12:00至23:59（北京时间，线上获取法定节假日均可，线下获取文件法定节假日除外）</w:t>
      </w:r>
    </w:p>
    <w:p w14:paraId="0DD97EB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地点（网址）：</w:t>
      </w:r>
      <w:bookmarkStart w:id="1" w:name="OLE_LINK3"/>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 xml:space="preserve">/） </w:t>
      </w:r>
      <w:bookmarkEnd w:id="1"/>
    </w:p>
    <w:p w14:paraId="02DF89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方式：供应商登录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 xml:space="preserve">/在线申请获取采购文件（进入“项目采购”应用，在获取采购文件菜单中选择项目，申请获取采购文件）。 </w:t>
      </w:r>
    </w:p>
    <w:p w14:paraId="38C8AB1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售价（元）：0 </w:t>
      </w:r>
      <w:r>
        <w:rPr>
          <w:rFonts w:hint="eastAsia" w:ascii="宋体" w:hAnsi="宋体" w:eastAsia="宋体" w:cs="宋体"/>
          <w:color w:val="000000" w:themeColor="text1"/>
          <w14:textFill>
            <w14:solidFill>
              <w14:schemeClr w14:val="tx1"/>
            </w14:solidFill>
          </w14:textFill>
        </w:rPr>
        <w:tab/>
      </w:r>
    </w:p>
    <w:p w14:paraId="1365F7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四、提交响应文件截止时间、开标时间和地点</w:t>
      </w:r>
    </w:p>
    <w:p w14:paraId="067C8E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提交响应文件截止时间： 202</w:t>
      </w:r>
      <w:r>
        <w:rPr>
          <w:rFonts w:hint="eastAsia"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 （北京时间）</w:t>
      </w:r>
    </w:p>
    <w:p w14:paraId="57EB14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投标地点（网址）：</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 xml:space="preserve">/） </w:t>
      </w:r>
    </w:p>
    <w:p w14:paraId="73D612E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开标时间：202</w:t>
      </w:r>
      <w:r>
        <w:rPr>
          <w:rFonts w:hint="eastAsia"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t>日</w:t>
      </w:r>
      <w:r>
        <w:rPr>
          <w:rFonts w:hint="eastAsia" w:cs="宋体"/>
          <w:color w:val="000000" w:themeColor="text1"/>
          <w:lang w:val="en-US" w:eastAsia="zh-CN"/>
          <w14:textFill>
            <w14:solidFill>
              <w14:schemeClr w14:val="tx1"/>
            </w14:solidFill>
          </w14:textFill>
        </w:rPr>
        <w:t>09</w:t>
      </w:r>
      <w:r>
        <w:rPr>
          <w:rFonts w:hint="eastAsia" w:ascii="宋体" w:hAnsi="宋体" w:eastAsia="宋体" w:cs="宋体"/>
          <w:color w:val="000000" w:themeColor="text1"/>
          <w14:textFill>
            <w14:solidFill>
              <w14:schemeClr w14:val="tx1"/>
            </w14:solidFill>
          </w14:textFill>
        </w:rPr>
        <w:t>点</w:t>
      </w:r>
      <w:r>
        <w:rPr>
          <w:rFonts w:hint="eastAsia"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 xml:space="preserve">分 </w:t>
      </w:r>
    </w:p>
    <w:p w14:paraId="39F879B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开标地点（网址）：</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w:t>
      </w:r>
    </w:p>
    <w:p w14:paraId="1F39F06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五、公告期限 </w:t>
      </w:r>
    </w:p>
    <w:p w14:paraId="312550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自本公告发布之日起1个工作日。</w:t>
      </w:r>
    </w:p>
    <w:p w14:paraId="129857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六、其他补充事宜</w:t>
      </w:r>
    </w:p>
    <w:p w14:paraId="3E88727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1.供应商认为交易文件使自己的权益受</w:t>
      </w:r>
      <w:bookmarkStart w:id="526" w:name="_GoBack"/>
      <w:bookmarkEnd w:id="526"/>
      <w:r>
        <w:rPr>
          <w:rFonts w:hint="eastAsia" w:ascii="宋体" w:hAnsi="宋体" w:eastAsia="宋体" w:cs="宋体"/>
          <w:color w:val="000000" w:themeColor="text1"/>
          <w14:textFill>
            <w14:solidFill>
              <w14:schemeClr w14:val="tx1"/>
            </w14:solidFill>
          </w14:textFill>
        </w:rPr>
        <w:t>到损害的，可以自获取交易文件之日或者交易文件公告期限届满之日（公告期限届满后获取交易文件的，以公告期限届满之日为准）起3个工作日内，以书面形式向采购人和采购代理机构提出质疑。</w:t>
      </w:r>
    </w:p>
    <w:p w14:paraId="0CB6F20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2.其他事项：（1）电子招投标的说明：①电子招投标：本项目以数据电文形式，依托“政府采购云平台（</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进行招投标活动，不接受纸质响应文件；②投标准备：注册账号--点击“商家入驻”，进行政府采购供应商资料填写；申领CA数字证书---申领流程详见“浙江政府采购网-下载专区-电子交易客户端-CA驱动和申领流程”；安装“</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电子交易客户端”----前往“浙江政府采购网-下载专区-电子交易客户端”进行下载并安装；③交易文件的获取：使用账号登录或者使用CA登录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平台；进入“项目采购”应用，在获取采购文件菜单中选择项目，获取交易文件；④响应文件的制作：在“</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电子交易客户端”中完成“填写基本信息”、“导入响应文件”、“标书关联”、“标书检查”、“电子签名”、“生成电子标书”等操作；⑤采购人、采购机构将依托</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平台完成本项目的电子交易活动，平台不接受未按上述方式获取交易文件的供应商进行投标活动； ⑥对未按上述方式获取交易文件的供应商对该文件提出的质疑，采购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投标无效；⑩具体操作指南：详见</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平台“服务中心-帮助文档-项目采购-操作流程-电子招投标-政府采购项目电子交易管理操作指南-供应商”。</w:t>
      </w:r>
    </w:p>
    <w:p w14:paraId="33EB895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七、对本次采购提出询问、质疑，请按以下方式联系</w:t>
      </w:r>
    </w:p>
    <w:p w14:paraId="4C7D36C1">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bookmarkStart w:id="2" w:name="_Toc28359086"/>
      <w:bookmarkStart w:id="3" w:name="_Toc28359009"/>
      <w:r>
        <w:rPr>
          <w:rFonts w:hint="eastAsia" w:ascii="宋体" w:hAnsi="宋体" w:eastAsia="宋体" w:cs="宋体"/>
          <w:color w:val="000000" w:themeColor="text1"/>
          <w14:textFill>
            <w14:solidFill>
              <w14:schemeClr w14:val="tx1"/>
            </w14:solidFill>
          </w14:textFill>
        </w:rPr>
        <w:t>1.采购人信息</w:t>
      </w:r>
    </w:p>
    <w:p w14:paraId="01C474A2">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r>
        <w:rPr>
          <w:rFonts w:hint="eastAsia" w:cs="宋体"/>
          <w:color w:val="000000" w:themeColor="text1"/>
          <w:highlight w:val="none"/>
          <w:lang w:eastAsia="zh-CN"/>
          <w14:textFill>
            <w14:solidFill>
              <w14:schemeClr w14:val="tx1"/>
            </w14:solidFill>
          </w14:textFill>
        </w:rPr>
        <w:t>萧山区城东小学</w:t>
      </w:r>
    </w:p>
    <w:p w14:paraId="4AE39C34">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w:t>
      </w:r>
      <w:r>
        <w:rPr>
          <w:rFonts w:hint="eastAsia" w:cs="宋体"/>
          <w:color w:val="000000" w:themeColor="text1"/>
          <w:highlight w:val="none"/>
          <w:lang w:val="en-US" w:eastAsia="zh-CN"/>
          <w14:textFill>
            <w14:solidFill>
              <w14:schemeClr w14:val="tx1"/>
            </w14:solidFill>
          </w14:textFill>
        </w:rPr>
        <w:t xml:space="preserve"> </w:t>
      </w:r>
      <w:r>
        <w:rPr>
          <w:rFonts w:hint="eastAsia" w:cs="宋体"/>
          <w:color w:val="000000" w:themeColor="text1"/>
          <w:highlight w:val="none"/>
          <w:lang w:eastAsia="zh-CN"/>
          <w14:textFill>
            <w14:solidFill>
              <w14:schemeClr w14:val="tx1"/>
            </w14:solidFill>
          </w14:textFill>
        </w:rPr>
        <w:t>萧山区城东小学</w:t>
      </w:r>
      <w:r>
        <w:rPr>
          <w:rFonts w:hint="eastAsia" w:cs="宋体"/>
          <w:color w:val="000000" w:themeColor="text1"/>
          <w:highlight w:val="none"/>
          <w:lang w:val="en-US" w:eastAsia="zh-CN"/>
          <w14:textFill>
            <w14:solidFill>
              <w14:schemeClr w14:val="tx1"/>
            </w14:solidFill>
          </w14:textFill>
        </w:rPr>
        <w:t xml:space="preserve"> </w:t>
      </w:r>
    </w:p>
    <w:p w14:paraId="1183FCDD">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p w14:paraId="50F7C301">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sz w:val="24"/>
          <w14:textFill>
            <w14:solidFill>
              <w14:schemeClr w14:val="tx1"/>
            </w14:solidFill>
          </w14:textFill>
        </w:rPr>
        <w:t>陆祝林</w:t>
      </w:r>
      <w:r>
        <w:rPr>
          <w:rFonts w:hint="eastAsia" w:cs="宋体"/>
          <w:color w:val="000000" w:themeColor="text1"/>
          <w:highlight w:val="none"/>
          <w:lang w:val="en-US" w:eastAsia="zh-CN"/>
          <w14:textFill>
            <w14:solidFill>
              <w14:schemeClr w14:val="tx1"/>
            </w14:solidFill>
          </w14:textFill>
        </w:rPr>
        <w:t xml:space="preserve">  </w:t>
      </w:r>
    </w:p>
    <w:p w14:paraId="2E70CB93">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项目联系方式（询问）：</w:t>
      </w:r>
      <w:r>
        <w:rPr>
          <w:rFonts w:hint="eastAsia"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13486108425</w:t>
      </w:r>
    </w:p>
    <w:p w14:paraId="18EFEC30">
      <w:pPr>
        <w:keepNext w:val="0"/>
        <w:keepLines w:val="0"/>
        <w:pageBreakBefore w:val="0"/>
        <w:widowControl/>
        <w:shd w:val="clea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2.采购代理机构信息</w:t>
      </w:r>
      <w:bookmarkEnd w:id="2"/>
      <w:bookmarkEnd w:id="3"/>
    </w:p>
    <w:p w14:paraId="07EDF53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 称：</w:t>
      </w:r>
      <w:r>
        <w:rPr>
          <w:rFonts w:hint="eastAsia" w:cs="宋体"/>
          <w:color w:val="000000" w:themeColor="text1"/>
          <w:lang w:eastAsia="zh-CN"/>
          <w14:textFill>
            <w14:solidFill>
              <w14:schemeClr w14:val="tx1"/>
            </w14:solidFill>
          </w14:textFill>
        </w:rPr>
        <w:t>浙江越锋项目管理有限公司</w:t>
      </w:r>
    </w:p>
    <w:p w14:paraId="3E9AD0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 址：</w:t>
      </w:r>
      <w:r>
        <w:rPr>
          <w:rFonts w:hint="eastAsia" w:cs="宋体"/>
          <w:color w:val="000000" w:themeColor="text1"/>
          <w:lang w:eastAsia="zh-CN"/>
          <w14:textFill>
            <w14:solidFill>
              <w14:schemeClr w14:val="tx1"/>
            </w14:solidFill>
          </w14:textFill>
        </w:rPr>
        <w:t>杭州市萧山区旺角城金座1幢26楼</w:t>
      </w:r>
    </w:p>
    <w:p w14:paraId="68A015C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传真：/</w:t>
      </w:r>
    </w:p>
    <w:p w14:paraId="073206D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项目联系人（询问）：</w:t>
      </w:r>
      <w:r>
        <w:rPr>
          <w:rFonts w:hint="eastAsia" w:ascii="宋体" w:hAnsi="宋体" w:cs="Arial"/>
          <w:color w:val="000000"/>
          <w:kern w:val="0"/>
          <w:sz w:val="24"/>
        </w:rPr>
        <w:t>陆先生</w:t>
      </w:r>
      <w:r>
        <w:rPr>
          <w:rFonts w:hint="eastAsia" w:ascii="宋体" w:hAnsi="宋体" w:eastAsia="宋体" w:cs="宋体"/>
          <w:color w:val="000000" w:themeColor="text1"/>
          <w14:textFill>
            <w14:solidFill>
              <w14:schemeClr w14:val="tx1"/>
            </w14:solidFill>
          </w14:textFill>
        </w:rPr>
        <w:t xml:space="preserve">  </w:t>
      </w:r>
    </w:p>
    <w:p w14:paraId="3B50CDA3">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项目联系方式（询问）：</w:t>
      </w:r>
      <w:r>
        <w:rPr>
          <w:rFonts w:hint="eastAsia" w:cs="Arial"/>
          <w:color w:val="000000"/>
          <w:kern w:val="0"/>
          <w:sz w:val="24"/>
          <w:lang w:val="en-US" w:eastAsia="zh-CN"/>
        </w:rPr>
        <w:t>15356114982</w:t>
      </w:r>
    </w:p>
    <w:p w14:paraId="1F9ABD0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质疑联系人：楼喆</w:t>
      </w:r>
    </w:p>
    <w:p w14:paraId="368B2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质疑联系方式：18069844756 </w:t>
      </w:r>
    </w:p>
    <w:p w14:paraId="3553C65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4859539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若对项目采购电子交易系统操作有疑问，可登录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/），点击右侧咨询小采，获取采小蜜智能服务管家帮助，或拨打</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服务热线400-881-7190获取热线服务帮助。</w:t>
      </w:r>
    </w:p>
    <w:p w14:paraId="11D8391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CA问题联系电话（人工）：汇信CA 400-888-4636；天谷CA 400-087-8198。</w:t>
      </w:r>
    </w:p>
    <w:p w14:paraId="73304BC5">
      <w:pPr>
        <w:spacing w:line="276" w:lineRule="auto"/>
        <w:jc w:val="center"/>
        <w:rPr>
          <w:rFonts w:hint="eastAsia" w:ascii="宋体" w:hAnsi="宋体" w:eastAsia="宋体" w:cs="宋体"/>
          <w:b/>
          <w:bCs/>
          <w:color w:val="000000" w:themeColor="text1"/>
          <w14:textFill>
            <w14:solidFill>
              <w14:schemeClr w14:val="tx1"/>
            </w14:solidFill>
          </w14:textFill>
        </w:rPr>
      </w:pPr>
    </w:p>
    <w:p w14:paraId="66D24457">
      <w:pPr>
        <w:spacing w:line="276" w:lineRule="auto"/>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第二部分 供应商须知</w:t>
      </w:r>
    </w:p>
    <w:p w14:paraId="2625D461">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前附表</w:t>
      </w:r>
    </w:p>
    <w:tbl>
      <w:tblPr>
        <w:tblStyle w:val="2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14:paraId="36B6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6B2DB860">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822" w:type="pct"/>
            <w:vAlign w:val="center"/>
          </w:tcPr>
          <w:p w14:paraId="4A115C3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事项</w:t>
            </w:r>
          </w:p>
        </w:tc>
        <w:tc>
          <w:tcPr>
            <w:tcW w:w="3867" w:type="pct"/>
            <w:vAlign w:val="center"/>
          </w:tcPr>
          <w:p w14:paraId="48CCDEF8">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本项目特别规定</w:t>
            </w:r>
          </w:p>
        </w:tc>
      </w:tr>
      <w:tr w14:paraId="43F4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59DACCF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822" w:type="pct"/>
            <w:vAlign w:val="center"/>
          </w:tcPr>
          <w:p w14:paraId="12CDC7A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项目属性与核心产品</w:t>
            </w:r>
          </w:p>
        </w:tc>
        <w:tc>
          <w:tcPr>
            <w:tcW w:w="3867" w:type="pct"/>
            <w:vAlign w:val="center"/>
          </w:tcPr>
          <w:p w14:paraId="1576F6CC">
            <w:pPr>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 xml:space="preserve"> )A货物类，单一产品或核心产品为：</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w:t>
            </w:r>
          </w:p>
          <w:p w14:paraId="3452179E">
            <w:pPr>
              <w:ind w:firstLine="22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)B服务类。</w:t>
            </w:r>
          </w:p>
        </w:tc>
      </w:tr>
      <w:tr w14:paraId="5AF8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09D729D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822" w:type="pct"/>
            <w:vAlign w:val="center"/>
          </w:tcPr>
          <w:p w14:paraId="56FBF94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采购标的对应的中小企业划分标准所属行业</w:t>
            </w:r>
          </w:p>
        </w:tc>
        <w:tc>
          <w:tcPr>
            <w:tcW w:w="3867" w:type="pct"/>
            <w:vAlign w:val="center"/>
          </w:tcPr>
          <w:p w14:paraId="5757284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0C5F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5EC586DC">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822" w:type="pct"/>
            <w:vAlign w:val="center"/>
          </w:tcPr>
          <w:p w14:paraId="143FD43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是否允许采购进口产品</w:t>
            </w:r>
          </w:p>
        </w:tc>
        <w:tc>
          <w:tcPr>
            <w:tcW w:w="3867" w:type="pct"/>
            <w:vAlign w:val="center"/>
          </w:tcPr>
          <w:p w14:paraId="107E9EB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7551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14:paraId="3EED856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822" w:type="pct"/>
            <w:vAlign w:val="center"/>
          </w:tcPr>
          <w:p w14:paraId="155E866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分包</w:t>
            </w:r>
          </w:p>
        </w:tc>
        <w:tc>
          <w:tcPr>
            <w:tcW w:w="3867" w:type="pct"/>
            <w:vAlign w:val="center"/>
          </w:tcPr>
          <w:p w14:paraId="56696461">
            <w:pPr>
              <w:snapToGrid w:val="0"/>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 ）</w:t>
            </w:r>
            <w:r>
              <w:rPr>
                <w:rFonts w:hint="eastAsia" w:ascii="宋体" w:hAnsi="宋体" w:eastAsia="宋体" w:cs="宋体"/>
                <w:color w:val="000000" w:themeColor="text1"/>
                <w:sz w:val="22"/>
                <w14:textFill>
                  <w14:solidFill>
                    <w14:schemeClr w14:val="tx1"/>
                  </w14:solidFill>
                </w14:textFill>
              </w:rPr>
              <w:t>A同意将非主体、非关键性的</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工作分包。</w:t>
            </w:r>
          </w:p>
          <w:p w14:paraId="577BDAF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B不同意分包。</w:t>
            </w:r>
          </w:p>
        </w:tc>
      </w:tr>
      <w:tr w14:paraId="4330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1920098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822" w:type="pct"/>
            <w:vAlign w:val="center"/>
          </w:tcPr>
          <w:p w14:paraId="37E513C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开标前答疑会或现场考察</w:t>
            </w:r>
          </w:p>
        </w:tc>
        <w:tc>
          <w:tcPr>
            <w:tcW w:w="3867" w:type="pct"/>
            <w:vAlign w:val="center"/>
          </w:tcPr>
          <w:p w14:paraId="19736678">
            <w:pPr>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w:t>
            </w:r>
            <w:r>
              <w:rPr>
                <w:rFonts w:hint="eastAsia" w:ascii="宋体" w:hAnsi="宋体" w:eastAsia="宋体" w:cs="宋体"/>
                <w:color w:val="000000" w:themeColor="text1"/>
                <w:sz w:val="22"/>
                <w14:textFill>
                  <w14:solidFill>
                    <w14:schemeClr w14:val="tx1"/>
                  </w14:solidFill>
                </w14:textFill>
              </w:rPr>
              <w:t>A不组织。</w:t>
            </w:r>
          </w:p>
          <w:p w14:paraId="79C1CD87">
            <w:pPr>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  ）</w:t>
            </w:r>
            <w:r>
              <w:rPr>
                <w:rFonts w:hint="eastAsia" w:ascii="宋体" w:hAnsi="宋体" w:eastAsia="宋体" w:cs="宋体"/>
                <w:color w:val="000000" w:themeColor="text1"/>
                <w:sz w:val="22"/>
                <w14:textFill>
                  <w14:solidFill>
                    <w14:schemeClr w14:val="tx1"/>
                  </w14:solidFill>
                </w14:textFill>
              </w:rPr>
              <w:t>B组织，时间：</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,地点：</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w:t>
            </w:r>
          </w:p>
          <w:p w14:paraId="55E7F0B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联系人：</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；其他说明：</w:t>
            </w:r>
          </w:p>
        </w:tc>
      </w:tr>
      <w:tr w14:paraId="00FF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11" w:type="pct"/>
            <w:vAlign w:val="center"/>
          </w:tcPr>
          <w:p w14:paraId="5833E2E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822" w:type="pct"/>
            <w:vAlign w:val="center"/>
          </w:tcPr>
          <w:p w14:paraId="2E3ADEA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样品提供</w:t>
            </w:r>
          </w:p>
        </w:tc>
        <w:tc>
          <w:tcPr>
            <w:tcW w:w="3867" w:type="pct"/>
            <w:vAlign w:val="center"/>
          </w:tcPr>
          <w:p w14:paraId="7E0AB031">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14:paraId="347A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7A93874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1411" w:type="dxa"/>
            <w:vAlign w:val="center"/>
          </w:tcPr>
          <w:p w14:paraId="7E86F36B">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现场演示</w:t>
            </w:r>
          </w:p>
        </w:tc>
        <w:tc>
          <w:tcPr>
            <w:tcW w:w="6640" w:type="dxa"/>
            <w:vAlign w:val="center"/>
          </w:tcPr>
          <w:p w14:paraId="4131DBBE">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r>
      <w:tr w14:paraId="765A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679619C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822" w:type="pct"/>
            <w:vAlign w:val="center"/>
          </w:tcPr>
          <w:p w14:paraId="4788DE7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供应商应当提供的资格、资信证明文件</w:t>
            </w:r>
          </w:p>
        </w:tc>
        <w:tc>
          <w:tcPr>
            <w:tcW w:w="3867" w:type="pct"/>
            <w:vAlign w:val="center"/>
          </w:tcPr>
          <w:p w14:paraId="490023A8">
            <w:pPr>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（1）资格证明文件：见交易文件第二部分11.1。</w:t>
            </w:r>
          </w:p>
          <w:p w14:paraId="4992DA5C">
            <w:pPr>
              <w:rPr>
                <w:rFonts w:hint="eastAsia" w:ascii="宋体" w:hAnsi="宋体" w:eastAsia="宋体" w:cs="宋体"/>
                <w:color w:val="000000" w:themeColor="text1"/>
                <w:sz w:val="22"/>
                <w:lang w:val="zh-CN"/>
                <w14:textFill>
                  <w14:solidFill>
                    <w14:schemeClr w14:val="tx1"/>
                  </w14:solidFill>
                </w14:textFill>
              </w:rPr>
            </w:pPr>
            <w:r>
              <w:rPr>
                <w:rFonts w:hint="eastAsia" w:ascii="宋体" w:hAnsi="宋体" w:eastAsia="宋体" w:cs="宋体"/>
                <w:color w:val="000000" w:themeColor="text1"/>
                <w:sz w:val="22"/>
                <w:lang w:val="zh-CN"/>
                <w14:textFill>
                  <w14:solidFill>
                    <w14:schemeClr w14:val="tx1"/>
                  </w14:solidFill>
                </w14:textFill>
              </w:rPr>
              <w:t>供应商未提供有效的资格证明文件的，视为供应商不具备交易文件中规定的资格要求，投标无效。</w:t>
            </w:r>
          </w:p>
          <w:p w14:paraId="3545237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（2）资信证明文件：根据交易文件第四部分评标标准提供。</w:t>
            </w:r>
          </w:p>
        </w:tc>
      </w:tr>
      <w:tr w14:paraId="3FF5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72BFAA6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822" w:type="pct"/>
            <w:vAlign w:val="center"/>
          </w:tcPr>
          <w:p w14:paraId="6D8DBB3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节能产品、环境标志产品</w:t>
            </w:r>
          </w:p>
        </w:tc>
        <w:tc>
          <w:tcPr>
            <w:tcW w:w="3867" w:type="pct"/>
            <w:vAlign w:val="center"/>
          </w:tcPr>
          <w:p w14:paraId="1E1A12C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4A05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2EB8D83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822" w:type="pct"/>
            <w:vAlign w:val="center"/>
          </w:tcPr>
          <w:p w14:paraId="1455035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报价要求</w:t>
            </w:r>
          </w:p>
        </w:tc>
        <w:tc>
          <w:tcPr>
            <w:tcW w:w="3867" w:type="pct"/>
            <w:vAlign w:val="center"/>
          </w:tcPr>
          <w:p w14:paraId="71EF412A">
            <w:pPr>
              <w:spacing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有关本项目实施所需的所有费用（含税费）均计入报价。</w:t>
            </w:r>
            <w:r>
              <w:rPr>
                <w:rFonts w:hint="eastAsia" w:ascii="宋体" w:hAnsi="宋体" w:eastAsia="宋体" w:cs="宋体"/>
                <w:bCs/>
                <w:color w:val="000000" w:themeColor="text1"/>
                <w:sz w:val="22"/>
                <w14:textFill>
                  <w14:solidFill>
                    <w14:schemeClr w14:val="tx1"/>
                  </w14:solidFill>
                </w14:textFill>
              </w:rPr>
              <w:t>开标一览表（报价表）是报价的唯一载体</w:t>
            </w:r>
            <w:r>
              <w:rPr>
                <w:rFonts w:hint="eastAsia" w:ascii="宋体" w:hAnsi="宋体" w:eastAsia="宋体" w:cs="宋体"/>
                <w:bCs/>
                <w:color w:val="000000" w:themeColor="text1"/>
                <w:sz w:val="22"/>
                <w:lang w:val="zh-CN"/>
                <w14:textFill>
                  <w14:solidFill>
                    <w14:schemeClr w14:val="tx1"/>
                  </w14:solidFill>
                </w14:textFill>
              </w:rPr>
              <w:t>。响应文件中价格全部采用人民币报价。交易文件未列明，而供应商认为必需的费用也需列入报价。提醒：验收时检测费用由采购人承担，不包含在投标总价中。</w:t>
            </w:r>
          </w:p>
          <w:p w14:paraId="67ADABE2">
            <w:pPr>
              <w:spacing w:line="360" w:lineRule="auto"/>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投标报价出现下列情形的，投标无效：</w:t>
            </w:r>
          </w:p>
          <w:p w14:paraId="1AADF3DD">
            <w:pPr>
              <w:spacing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响应文件出现不是唯一的、有选择性投标报价的；</w:t>
            </w:r>
          </w:p>
          <w:p w14:paraId="139EC98B">
            <w:pPr>
              <w:spacing w:line="360" w:lineRule="auto"/>
              <w:ind w:firstLine="440" w:firstLineChars="200"/>
              <w:rPr>
                <w:rFonts w:hint="eastAsia" w:ascii="宋体" w:hAnsi="宋体" w:eastAsia="宋体" w:cs="宋体"/>
                <w:bCs/>
                <w:color w:val="000000" w:themeColor="text1"/>
                <w:sz w:val="22"/>
                <w:lang w:val="zh-CN"/>
                <w14:textFill>
                  <w14:solidFill>
                    <w14:schemeClr w14:val="tx1"/>
                  </w14:solidFill>
                </w14:textFill>
              </w:rPr>
            </w:pPr>
            <w:r>
              <w:rPr>
                <w:rFonts w:hint="eastAsia" w:ascii="宋体" w:hAnsi="宋体" w:eastAsia="宋体" w:cs="宋体"/>
                <w:bCs/>
                <w:color w:val="000000" w:themeColor="text1"/>
                <w:sz w:val="22"/>
                <w:lang w:val="zh-CN"/>
                <w14:textFill>
                  <w14:solidFill>
                    <w14:schemeClr w14:val="tx1"/>
                  </w14:solidFill>
                </w14:textFill>
              </w:rPr>
              <w:t>投标报价超过交易文件中规定的预算金额或者最高限价的;</w:t>
            </w:r>
          </w:p>
          <w:p w14:paraId="18D07DDD">
            <w:pPr>
              <w:spacing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报价明显低于其他通过符合性审查供应商的报价，有可能影响产品质量或者不能诚信履约的，未能按要求提供书面说明或者提交相关证明材料证明其报价合理性的;</w:t>
            </w:r>
          </w:p>
          <w:p w14:paraId="13FD3B0E">
            <w:pPr>
              <w:spacing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供应商对根据修正原则修正后的报价不确认的。</w:t>
            </w:r>
          </w:p>
          <w:p w14:paraId="43976AE8">
            <w:pPr>
              <w:spacing w:line="360" w:lineRule="auto"/>
              <w:ind w:firstLine="440" w:firstLineChars="200"/>
              <w:rPr>
                <w:rFonts w:hint="eastAsia"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资格文件、商务技术文件与报价文件未分开制作。</w:t>
            </w:r>
          </w:p>
          <w:p w14:paraId="6E1E5905">
            <w:pPr>
              <w:rPr>
                <w:rFonts w:hint="eastAsia" w:ascii="宋体" w:hAnsi="宋体" w:eastAsia="宋体" w:cs="宋体"/>
                <w:color w:val="000000" w:themeColor="text1"/>
                <w14:textFill>
                  <w14:solidFill>
                    <w14:schemeClr w14:val="tx1"/>
                  </w14:solidFill>
                </w14:textFill>
              </w:rPr>
            </w:pPr>
          </w:p>
        </w:tc>
      </w:tr>
      <w:tr w14:paraId="501D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66E59AF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822" w:type="pct"/>
            <w:vAlign w:val="center"/>
          </w:tcPr>
          <w:p w14:paraId="520B6B3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中小企业信用融资</w:t>
            </w:r>
          </w:p>
        </w:tc>
        <w:tc>
          <w:tcPr>
            <w:tcW w:w="3867" w:type="pct"/>
            <w:vAlign w:val="center"/>
          </w:tcPr>
          <w:p w14:paraId="25508EF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0233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727D759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822" w:type="pct"/>
            <w:vAlign w:val="center"/>
          </w:tcPr>
          <w:p w14:paraId="4F8F229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备份响应文件</w:t>
            </w:r>
          </w:p>
        </w:tc>
        <w:tc>
          <w:tcPr>
            <w:tcW w:w="3867" w:type="pct"/>
            <w:vAlign w:val="center"/>
          </w:tcPr>
          <w:p w14:paraId="320A8341">
            <w:pPr>
              <w:pStyle w:val="16"/>
              <w:spacing w:line="360" w:lineRule="auto"/>
              <w:rPr>
                <w:rFonts w:hint="eastAsia" w:ascii="宋体" w:hAnsi="宋体" w:eastAsia="宋体" w:cs="宋体"/>
                <w:color w:val="000000" w:themeColor="text1"/>
                <w:kern w:val="28"/>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备份文件是否收取：可提交备份</w:t>
            </w:r>
          </w:p>
          <w:p w14:paraId="23BB9182">
            <w:pPr>
              <w:pStyle w:val="16"/>
              <w:spacing w:line="360" w:lineRule="auto"/>
              <w:ind w:left="880" w:hanging="880" w:hangingChars="400"/>
              <w:rPr>
                <w:rFonts w:hint="eastAsia" w:ascii="宋体" w:hAnsi="宋体" w:eastAsia="宋体" w:cs="宋体"/>
                <w:color w:val="000000" w:themeColor="text1"/>
                <w:kern w:val="28"/>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备份响应文件送达地点：</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hAnsi="宋体" w:cs="宋体"/>
                <w:color w:val="000000" w:themeColor="text1"/>
                <w:sz w:val="22"/>
                <w:u w:val="single"/>
                <w:lang w:eastAsia="zh-CN"/>
                <w14:textFill>
                  <w14:solidFill>
                    <w14:schemeClr w14:val="tx1"/>
                  </w14:solidFill>
                </w14:textFill>
              </w:rPr>
              <w:t>杭州市萧山区旺角城金座1幢26楼</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kern w:val="28"/>
                <w:sz w:val="22"/>
                <w:szCs w:val="24"/>
                <w14:textFill>
                  <w14:solidFill>
                    <w14:schemeClr w14:val="tx1"/>
                  </w14:solidFill>
                </w14:textFill>
              </w:rPr>
              <w:t>；</w:t>
            </w:r>
          </w:p>
          <w:p w14:paraId="77C7B102">
            <w:pPr>
              <w:pStyle w:val="16"/>
              <w:spacing w:line="360" w:lineRule="auto"/>
              <w:ind w:left="880" w:hanging="880" w:hangingChars="400"/>
              <w:rPr>
                <w:rFonts w:hint="eastAsia" w:ascii="宋体" w:hAnsi="宋体" w:eastAsia="宋体" w:cs="宋体"/>
                <w:color w:val="000000" w:themeColor="text1"/>
                <w:sz w:val="22"/>
                <w:szCs w:val="24"/>
                <w14:textFill>
                  <w14:solidFill>
                    <w14:schemeClr w14:val="tx1"/>
                  </w14:solidFill>
                </w14:textFill>
              </w:rPr>
            </w:pPr>
            <w:r>
              <w:rPr>
                <w:rFonts w:hint="eastAsia" w:ascii="宋体" w:hAnsi="宋体" w:eastAsia="宋体" w:cs="宋体"/>
                <w:color w:val="000000" w:themeColor="text1"/>
                <w:kern w:val="28"/>
                <w:sz w:val="22"/>
                <w:szCs w:val="24"/>
                <w14:textFill>
                  <w14:solidFill>
                    <w14:schemeClr w14:val="tx1"/>
                  </w14:solidFill>
                </w14:textFill>
              </w:rPr>
              <w:t>备份响应文件签收人员联系电话：</w:t>
            </w:r>
            <w:r>
              <w:rPr>
                <w:rFonts w:hint="eastAsia" w:hAnsi="宋体" w:cs="宋体"/>
                <w:color w:val="000000" w:themeColor="text1"/>
                <w:kern w:val="28"/>
                <w:sz w:val="22"/>
                <w:szCs w:val="24"/>
                <w:lang w:val="en-US" w:eastAsia="zh-CN"/>
                <w14:textFill>
                  <w14:solidFill>
                    <w14:schemeClr w14:val="tx1"/>
                  </w14:solidFill>
                </w14:textFill>
              </w:rPr>
              <w:t>陆</w:t>
            </w:r>
            <w:r>
              <w:rPr>
                <w:rFonts w:hint="eastAsia" w:ascii="宋体" w:hAnsi="宋体" w:eastAsia="宋体" w:cs="宋体"/>
                <w:color w:val="000000" w:themeColor="text1"/>
                <w:kern w:val="28"/>
                <w:sz w:val="22"/>
                <w:szCs w:val="24"/>
                <w14:textFill>
                  <w14:solidFill>
                    <w14:schemeClr w14:val="tx1"/>
                  </w14:solidFill>
                </w14:textFill>
              </w:rPr>
              <w:t>先生</w:t>
            </w:r>
            <w:r>
              <w:rPr>
                <w:rFonts w:hint="eastAsia" w:hAnsi="宋体" w:cs="Arial"/>
                <w:color w:val="000000"/>
                <w:kern w:val="0"/>
                <w:sz w:val="24"/>
                <w:lang w:val="en-US" w:eastAsia="zh-CN"/>
              </w:rPr>
              <w:t>15356114982</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szCs w:val="24"/>
                <w14:textFill>
                  <w14:solidFill>
                    <w14:schemeClr w14:val="tx1"/>
                  </w14:solidFill>
                </w14:textFill>
              </w:rPr>
              <w:t>。</w:t>
            </w:r>
          </w:p>
          <w:p w14:paraId="5EFF5A5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采购人、采购机构不强制或变相强制供应商提交备份文件。提交的备份文件格式无效（.bfbs格式）或其他因供应商自身制作不当导致的无法使用的情况由供应商自行负责。</w:t>
            </w:r>
          </w:p>
        </w:tc>
      </w:tr>
      <w:tr w14:paraId="5C26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311" w:type="pct"/>
            <w:vAlign w:val="center"/>
          </w:tcPr>
          <w:p w14:paraId="6CA7045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822" w:type="pct"/>
            <w:vAlign w:val="center"/>
          </w:tcPr>
          <w:p w14:paraId="6B04A5F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采购机构代理费用</w:t>
            </w:r>
          </w:p>
        </w:tc>
        <w:tc>
          <w:tcPr>
            <w:tcW w:w="3867" w:type="pct"/>
            <w:vAlign w:val="center"/>
          </w:tcPr>
          <w:p w14:paraId="2BFC18FA">
            <w:pPr>
              <w:rPr>
                <w:rFonts w:hint="eastAsia" w:ascii="宋体" w:hAnsi="宋体" w:eastAsia="宋体" w:cs="宋体"/>
                <w:color w:val="000000" w:themeColor="text1"/>
                <w:lang w:eastAsia="zh-CN"/>
                <w14:textFill>
                  <w14:solidFill>
                    <w14:schemeClr w14:val="tx1"/>
                  </w14:solidFill>
                </w14:textFill>
              </w:rPr>
            </w:pPr>
            <w:r>
              <w:rPr>
                <w:rFonts w:hint="eastAsia" w:cs="宋体"/>
                <w:color w:val="000000" w:themeColor="text1"/>
                <w:sz w:val="22"/>
                <w:lang w:val="en-US" w:eastAsia="zh-CN"/>
                <w14:textFill>
                  <w14:solidFill>
                    <w14:schemeClr w14:val="tx1"/>
                  </w14:solidFill>
                </w14:textFill>
              </w:rPr>
              <w:t>/</w:t>
            </w:r>
          </w:p>
        </w:tc>
      </w:tr>
      <w:tr w14:paraId="1599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1331E16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822" w:type="pct"/>
            <w:vAlign w:val="center"/>
          </w:tcPr>
          <w:p w14:paraId="5CE2649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履约保证金</w:t>
            </w:r>
          </w:p>
        </w:tc>
        <w:tc>
          <w:tcPr>
            <w:tcW w:w="3867" w:type="pct"/>
            <w:vAlign w:val="center"/>
          </w:tcPr>
          <w:p w14:paraId="600AFDD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p>
        </w:tc>
      </w:tr>
      <w:tr w14:paraId="0333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14:paraId="28424DA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822" w:type="pct"/>
            <w:vAlign w:val="center"/>
          </w:tcPr>
          <w:p w14:paraId="293772B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资格审查和信用信息审查</w:t>
            </w:r>
          </w:p>
        </w:tc>
        <w:tc>
          <w:tcPr>
            <w:tcW w:w="3867" w:type="pct"/>
            <w:vAlign w:val="center"/>
          </w:tcPr>
          <w:p w14:paraId="1A996E7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本项目由采购机构进行资格文件及信用信息查询。</w:t>
            </w:r>
          </w:p>
        </w:tc>
      </w:tr>
      <w:tr w14:paraId="7867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14:paraId="0E3BA7A1">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822" w:type="pct"/>
            <w:vAlign w:val="center"/>
          </w:tcPr>
          <w:p w14:paraId="5072B31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质疑接收人及答复</w:t>
            </w:r>
          </w:p>
        </w:tc>
        <w:tc>
          <w:tcPr>
            <w:tcW w:w="3867" w:type="pct"/>
            <w:vAlign w:val="center"/>
          </w:tcPr>
          <w:p w14:paraId="7E2AD32A">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采购人、采购机构质疑接收人、联系方式：详见公告。</w:t>
            </w:r>
          </w:p>
        </w:tc>
      </w:tr>
      <w:tr w14:paraId="0C6A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14:paraId="15E38A2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822" w:type="pct"/>
            <w:vAlign w:val="center"/>
          </w:tcPr>
          <w:p w14:paraId="0BED7B8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特别说明</w:t>
            </w:r>
          </w:p>
        </w:tc>
        <w:tc>
          <w:tcPr>
            <w:tcW w:w="3867" w:type="pct"/>
            <w:vAlign w:val="center"/>
          </w:tcPr>
          <w:p w14:paraId="728AB4D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本项目通用总则条款与前附表等专用特别规定有冲突之处，以专用条款（特别规定）为准</w:t>
            </w:r>
          </w:p>
        </w:tc>
      </w:tr>
    </w:tbl>
    <w:p w14:paraId="7B90117A">
      <w:pPr>
        <w:rPr>
          <w:rFonts w:hint="eastAsia" w:ascii="宋体" w:hAnsi="宋体" w:eastAsia="宋体" w:cs="宋体"/>
          <w:color w:val="000000" w:themeColor="text1"/>
          <w14:textFill>
            <w14:solidFill>
              <w14:schemeClr w14:val="tx1"/>
            </w14:solidFill>
          </w14:textFill>
        </w:rPr>
      </w:pPr>
    </w:p>
    <w:p w14:paraId="7650E5F3">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F15059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一、总则</w:t>
      </w:r>
    </w:p>
    <w:p w14:paraId="18CE7976">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适用范围</w:t>
      </w:r>
    </w:p>
    <w:p w14:paraId="4FFCC5B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本交易文件适用于该项目的招标、投标、开标、资格审查及信用信息查询、评标、定标、合同、验收等行为（法律、法规另有规定的，从其规定）。</w:t>
      </w:r>
    </w:p>
    <w:p w14:paraId="61B81A72">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2.定义</w:t>
      </w:r>
    </w:p>
    <w:p w14:paraId="668CD3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“采购人”系指交易公告中载明的本项目的采购人。</w:t>
      </w:r>
    </w:p>
    <w:p w14:paraId="452C556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“采购机构”系指交易公告中载明的本项目的采购机构。</w:t>
      </w:r>
    </w:p>
    <w:p w14:paraId="63F4D27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“供应商”系指是指响应招标、参加投标竞争的法人、其他组织或者自然人。</w:t>
      </w:r>
    </w:p>
    <w:p w14:paraId="65EB217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“负责人”系指法人企业的法定负责人，或其他组织为法律、行政法规规定代表单位行使职权的主要负责人，或自然人本人。</w:t>
      </w:r>
    </w:p>
    <w:p w14:paraId="2F9EC66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57D8862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2.6“电子交易平台”是指本项目政府采购活动所依托的政府采购云平台（https://</w:t>
      </w:r>
      <w:r>
        <w:rPr>
          <w:rFonts w:hint="eastAsia" w:cs="宋体"/>
          <w:color w:val="000000" w:themeColor="text1"/>
          <w:lang w:eastAsia="zh-CN"/>
          <w14:textFill>
            <w14:solidFill>
              <w14:schemeClr w14:val="tx1"/>
            </w14:solidFill>
          </w14:textFill>
        </w:rPr>
        <w:t>www.lecaiyun.com</w:t>
      </w:r>
      <w:r>
        <w:rPr>
          <w:rFonts w:hint="eastAsia" w:ascii="宋体" w:hAnsi="宋体" w:eastAsia="宋体" w:cs="宋体"/>
          <w:color w:val="000000" w:themeColor="text1"/>
          <w14:textFill>
            <w14:solidFill>
              <w14:schemeClr w14:val="tx1"/>
            </w14:solidFill>
          </w14:textFill>
        </w:rPr>
        <w:t>/）。</w:t>
      </w:r>
    </w:p>
    <w:p w14:paraId="0BEC277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 “▲” 系指实质性要求条款，“（√）” 系指适用本项目的要求，“（  ）”系指不适用本项目的要求。</w:t>
      </w:r>
    </w:p>
    <w:p w14:paraId="35CF19A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采购项目需要落实的政府采购政策</w:t>
      </w:r>
    </w:p>
    <w:p w14:paraId="4006A9B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无 </w:t>
      </w:r>
    </w:p>
    <w:p w14:paraId="02633D7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询问、质疑</w:t>
      </w:r>
    </w:p>
    <w:p w14:paraId="2BC5D7D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4.1供应商询问</w:t>
      </w:r>
    </w:p>
    <w:p w14:paraId="48544BF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D75B4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4.2供应商质疑</w:t>
      </w:r>
    </w:p>
    <w:p w14:paraId="695A561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4.2.1提出质疑的供应商应当是参与所质疑项目采购活动的供应商。潜在供应商已依法获取其可质疑的交易文件的，可以对该文件提出质疑。</w:t>
      </w:r>
    </w:p>
    <w:p w14:paraId="0C52564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供应商认为交易文件、采购过程和中标结果使自己的权益受到损害的，可以在知道或者应知其权益受到损害之日起三个工作日内，以书面形式向采购人或者采购机构提出质疑，否则，采购人或者采购机构不予受理：</w:t>
      </w:r>
    </w:p>
    <w:p w14:paraId="757D12A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4.2.2.1对交易文件提出质疑的，质疑期限为供应商获得交易文件之日或者交易文件公告期限届满之日起计算。</w:t>
      </w:r>
    </w:p>
    <w:p w14:paraId="16877BB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14:paraId="23E516E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4.2.2.3对采购结果提出质疑的，质疑期限自采购结果公告期限届满之日起计算。</w:t>
      </w:r>
    </w:p>
    <w:p w14:paraId="0FE684D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4.2.3供应商提出质疑应当提交质疑函和必要的证明材料。质疑函应当包括下列内容：</w:t>
      </w:r>
    </w:p>
    <w:p w14:paraId="13FFEA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4.2.3.1供应商的姓名或者名称、地址、邮编、联系人及联系电话；</w:t>
      </w:r>
    </w:p>
    <w:p w14:paraId="12EBF02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4.2.3.2质疑项目的名称、编号；</w:t>
      </w:r>
    </w:p>
    <w:p w14:paraId="6D1F4F9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4.2.3.3具体、明确的质疑事项和与质疑事项相关的请求；</w:t>
      </w:r>
    </w:p>
    <w:p w14:paraId="61B8DF9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4.2.3.4事实依据；</w:t>
      </w:r>
    </w:p>
    <w:p w14:paraId="5833359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4.2.3.5必要的法律依据；</w:t>
      </w:r>
    </w:p>
    <w:p w14:paraId="3CB6990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4.2.3.6提出质疑的日期。</w:t>
      </w:r>
    </w:p>
    <w:p w14:paraId="5DC0E8A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B32E90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质疑函范本及制作说明详见附件2。</w:t>
      </w:r>
    </w:p>
    <w:p w14:paraId="178FE90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w:t>
      </w:r>
    </w:p>
    <w:p w14:paraId="2F72207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4.2.5询问或者质疑事项可能影响采购结果的，采购人应当暂停签订合同，已经签订合同的，应当中止履行合同。</w:t>
      </w:r>
    </w:p>
    <w:p w14:paraId="0B532CF2">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二、交易文件的构成、澄清、修改</w:t>
      </w:r>
    </w:p>
    <w:p w14:paraId="284C0218">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5．交易文件的构成</w:t>
      </w:r>
    </w:p>
    <w:p w14:paraId="53FD778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 交易文件包括下列文件及附件：</w:t>
      </w:r>
    </w:p>
    <w:p w14:paraId="11F35FB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5.1.1交易公告；</w:t>
      </w:r>
    </w:p>
    <w:p w14:paraId="7AC64F8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5.1.2供应商须知；</w:t>
      </w:r>
    </w:p>
    <w:p w14:paraId="5C1945C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5.1.3采购需求；</w:t>
      </w:r>
    </w:p>
    <w:p w14:paraId="4FB9CDC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5.1.4评标办法；</w:t>
      </w:r>
    </w:p>
    <w:p w14:paraId="044B3EF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5.1.5拟签订的合同文本；</w:t>
      </w:r>
    </w:p>
    <w:p w14:paraId="7A7E50B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5.1.6应提交的有关格式范例。</w:t>
      </w:r>
    </w:p>
    <w:p w14:paraId="5F994BC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5.2与本项目有关的澄清或者修改的内容为交易文件的组成部分。</w:t>
      </w:r>
    </w:p>
    <w:p w14:paraId="4D1654CC">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 交易文件的澄清、修改</w:t>
      </w:r>
    </w:p>
    <w:p w14:paraId="370BEAF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6.1已获取交易文件的潜在供应商，若有问题需要澄清，应于投标截止时间前，以书面形式向采购机构提出。</w:t>
      </w:r>
    </w:p>
    <w:p w14:paraId="75C1268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6.2 采购机构对交易文件进行澄清或修改的，将同时通过电子交易平台通知已获取交易文件的潜在供应商。依法应当公告的，将按规定公告，同时视情况延长投标截止时间和开标时间。该澄清或者修改的内容为交易文件的组成部分。</w:t>
      </w:r>
    </w:p>
    <w:p w14:paraId="6FB2F2EF">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w:t>
      </w:r>
    </w:p>
    <w:p w14:paraId="55C4E35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交易文件的获取</w:t>
      </w:r>
    </w:p>
    <w:p w14:paraId="70DF596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详见交易公告中获取交易文件的时间期限、地点、方式及交易文件售价。</w:t>
      </w:r>
    </w:p>
    <w:p w14:paraId="043963B2">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8.开标前答疑会或现场考察</w:t>
      </w:r>
    </w:p>
    <w:p w14:paraId="6BCA301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采购人组织潜在供应商现场考察或者召开开标前答疑会的，潜在供应商按第二部分供应商须知前附表的规定参加现场考察或者开标前答疑会。</w:t>
      </w:r>
    </w:p>
    <w:p w14:paraId="5B7507B1">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9.投标保证金</w:t>
      </w:r>
    </w:p>
    <w:p w14:paraId="11E56C2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本项目不需缴纳投标保证金。</w:t>
      </w:r>
    </w:p>
    <w:p w14:paraId="47F0130C">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 响应文件的语言</w:t>
      </w:r>
    </w:p>
    <w:p w14:paraId="44FFA0D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响应文件及供应商与采购有关的来往通知、函件和文件均应使用中文。</w:t>
      </w:r>
    </w:p>
    <w:p w14:paraId="52D46021">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 响应文件的组成</w:t>
      </w:r>
    </w:p>
    <w:p w14:paraId="353E6ED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11.1资格文件：</w:t>
      </w:r>
    </w:p>
    <w:p w14:paraId="35A91B2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11.1.1符合参加政府采购活动应当具备的一般条件的承诺函；</w:t>
      </w:r>
    </w:p>
    <w:p w14:paraId="4D95E73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11.1.2落实政府采购政策需满足的资格要求；</w:t>
      </w:r>
    </w:p>
    <w:p w14:paraId="1ED5C8F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11.1.3本项目的特定资格要求。</w:t>
      </w:r>
    </w:p>
    <w:p w14:paraId="30B5E03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商务技术文件：</w:t>
      </w:r>
    </w:p>
    <w:p w14:paraId="01183E8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11.2.1投标函； </w:t>
      </w:r>
    </w:p>
    <w:p w14:paraId="7D76B7C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11.2.2授权委托书或法定代表人（单位负责人、自然人本人）身份证明；</w:t>
      </w:r>
    </w:p>
    <w:p w14:paraId="70CF702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11.2.3联合协议；</w:t>
      </w:r>
    </w:p>
    <w:p w14:paraId="21EA89E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11.2.4分包意向协议；</w:t>
      </w:r>
    </w:p>
    <w:p w14:paraId="357714E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11.2.5符合性审查资料；</w:t>
      </w:r>
    </w:p>
    <w:p w14:paraId="1BEE51A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11.2.6评标标准相应的商务技术资料；</w:t>
      </w:r>
    </w:p>
    <w:p w14:paraId="5898ABE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11.2.7投标标的清单；</w:t>
      </w:r>
    </w:p>
    <w:p w14:paraId="7396ED3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11.2.8商务技术偏离表；</w:t>
      </w:r>
    </w:p>
    <w:p w14:paraId="68E04F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11.2.9政府采购供应商廉洁自律承诺书；</w:t>
      </w:r>
    </w:p>
    <w:p w14:paraId="304C6C1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11.3报价文件： </w:t>
      </w:r>
    </w:p>
    <w:p w14:paraId="69F177C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11.3.1开标一览表（报价表）；</w:t>
      </w:r>
    </w:p>
    <w:p w14:paraId="5A25577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响应文件含有采购人不能接受的附加条件的，投标无效；</w:t>
      </w:r>
    </w:p>
    <w:p w14:paraId="50BA93B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供应商提供虚假材料投标的，投标无效。</w:t>
      </w:r>
    </w:p>
    <w:p w14:paraId="5C65BFC4">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 响应文件的编制</w:t>
      </w:r>
    </w:p>
    <w:p w14:paraId="237A3A1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5D45A8E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12.2供应商进行电子投标应安装客户端软件—“</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电子交易客户端”，并按照交易文件和电子交易平台的要求编制并加密响应文件。供应商未按规定加密的响应文件，电子交易平台将拒收并提示。</w:t>
      </w:r>
    </w:p>
    <w:p w14:paraId="49D32AA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12.3使用“</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电子交易客户端”需要提前申领CA数字证书，申领流程请自行前往“浙江政府采购网-下载专区-电子交易客户端-CA驱动和申领流程”进行查阅。</w:t>
      </w:r>
    </w:p>
    <w:p w14:paraId="6417FC9C">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13.响应文件的签署、盖章</w:t>
      </w:r>
    </w:p>
    <w:p w14:paraId="4D11FA7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13.1响应文件按照交易文件第六部分格式要求进行签署、盖章。▲供应商的响应文件未按照交易文件要求签署、盖章的，其投标无效。</w:t>
      </w:r>
    </w:p>
    <w:p w14:paraId="22BAEFE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14:paraId="4C67E0C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13.3交易文件对响应文件签署、盖章的要求适用于电子签名。</w:t>
      </w:r>
    </w:p>
    <w:p w14:paraId="55BC4E50">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 响应文件的提交、补充、修改、撤回</w:t>
      </w:r>
    </w:p>
    <w:p w14:paraId="1BA8BD3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1EBA6A6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14.2电子交易平台收到响应文件，将妥善保存并即时向供应商发出确认回执通知。在投标截止时间前，除供应商补充、修改或者撤回响应文件外，任何单位和个人不得解密或提取响应文件。</w:t>
      </w:r>
    </w:p>
    <w:p w14:paraId="31F3C84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14.3采购人、采购机构可以视情况延长响应文件提交的截止时间。在上述情况下，采购机构与供应商以前在投标截止期方面的全部权利、责任和义务，将适用于延长至新的投标截止期。</w:t>
      </w:r>
    </w:p>
    <w:p w14:paraId="19133F6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15.备份响应文件</w:t>
      </w:r>
    </w:p>
    <w:p w14:paraId="1DC2D82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15.1供应商在电子交易平台传输递交响应文件后，还可以在投标截止时间前直接提交或者以邮政快递方式递交备份响应文件1份，但采购人、采购机构不强制或变相强制供应商提交备份响应文件。</w:t>
      </w:r>
    </w:p>
    <w:p w14:paraId="112C9D8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15.2备份响应文件须在“</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投标客户端”制作生成，并储存在DVD光盘中。备份响应文件应当密封包装并在包装上加盖公章并注明投标项目名称，供应商名称(联合体投标的，包装物封面需注明联合体投标，并注明联合体成员各方的名称和联合协议中约定的牵头人的名称)。不符合上述制作、存储、密封规定的备份响应文件将被视为无效或者被拒绝接收。</w:t>
      </w:r>
    </w:p>
    <w:p w14:paraId="6AA588E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15.3直接提交备份响应文件的，供应商应于投标截止时间前在交易公告中载明的开标地点将备份响应文件提交给采购机构，采购机构将拒绝接受逾期送达的备份响应文件。</w:t>
      </w:r>
    </w:p>
    <w:p w14:paraId="025AE83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15.4以邮政快递方式递交备份响应文件的，供应商应先将备份响应文件按要求密封和标记，再进行邮政快递包装后邮寄。备份响应文件须在投标截止时间之前送达交易文件第二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788CD2B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15.5供应商仅提交备份响应文件，未在电子交易平台传输递交响应文件的，投标无效。</w:t>
      </w:r>
    </w:p>
    <w:p w14:paraId="6E57C6E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16.响应文件的无效处理</w:t>
      </w:r>
    </w:p>
    <w:p w14:paraId="4E5F4AC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有交易文件第四部分4.2规定的情形之一的，投标无效：</w:t>
      </w:r>
    </w:p>
    <w:p w14:paraId="5136E24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17.投标有效期</w:t>
      </w:r>
    </w:p>
    <w:p w14:paraId="457CADA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17.1投标有效期为从提交响应文件的截止之日起90天。▲供应商的响应文件中承诺的投标有效期少于交易文件中载明的投标有效期的，投标无效。</w:t>
      </w:r>
    </w:p>
    <w:p w14:paraId="720E43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17.2响应文件合格投递后，自投标截止日期起，在投标有效期内有效。</w:t>
      </w:r>
    </w:p>
    <w:p w14:paraId="4DD7194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17.3在原定投标有效期满之前，如果出现特殊情况，采购机构可以以书面形式通知供应商延长投标有效期。供应商同意延长的，不得要求或被允许修改其响应文件，供应商拒绝延长的，其投标无效。</w:t>
      </w:r>
    </w:p>
    <w:p w14:paraId="72FE2AE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四、开标、资格审查与信用信息查询</w:t>
      </w:r>
    </w:p>
    <w:p w14:paraId="5E977FF2">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18.开标 </w:t>
      </w:r>
    </w:p>
    <w:p w14:paraId="35DA580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18.1采购机构按照交易文件规定的时间通过电子交易平台组织开标，所有供应商均应当准时在线参加。供应商不足3家的，不得开标。</w:t>
      </w:r>
    </w:p>
    <w:p w14:paraId="5070D1E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18.2开标时，电子交易平台按开标时间自动提取所有响应文件。采购机构依托电子交易平台发起开始解密指令，供应商按照平台提示和交易文件的规定在半小时内完成在线解密。</w:t>
      </w:r>
    </w:p>
    <w:p w14:paraId="767472A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18.3响应文件未按时解密，供应商提供了备份响应文件的，以备份响应文件作为依据，否则视为响应文件撤回。响应文件已按时解密的，备份响应文件自动失效。</w:t>
      </w:r>
    </w:p>
    <w:p w14:paraId="64328FDA">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19、资格审查</w:t>
      </w:r>
    </w:p>
    <w:p w14:paraId="7002048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19.1开标后，采购人或采购机构将依法对供应商的资格进行审查。</w:t>
      </w:r>
    </w:p>
    <w:p w14:paraId="3F656C7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19.2采购人或采购机构依据法律法规和交易文件的规定，对供应商的基本资格条件、特定资格条件进行审查。</w:t>
      </w:r>
    </w:p>
    <w:p w14:paraId="34A6A12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19.3供应商未按照交易文件要求提供与基本资格条件、特定资格条件相应的有效资格证明材料的，视为供应商不具备交易文件中规定的资格要求，其投标无效。</w:t>
      </w:r>
    </w:p>
    <w:p w14:paraId="3614316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19.4对未通过资格审查的供应商，采购人或采购机构告知其未通过的原因。</w:t>
      </w:r>
    </w:p>
    <w:p w14:paraId="3C9A991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19.5合格供应商不足3家的，不再评标。</w:t>
      </w:r>
    </w:p>
    <w:p w14:paraId="174A22D2">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20、信用信息查询</w:t>
      </w:r>
    </w:p>
    <w:p w14:paraId="18C9264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20.1信用信息查询渠道及截止时间：采购机构将通过“信用中国”网站(www.creditchina.gov.cn)、中国政府采购网(www.ccgp.gov.cn)渠道查询供应商投标截止时间当天的信用记录。</w:t>
      </w:r>
    </w:p>
    <w:p w14:paraId="083C725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20.2信用信息查询记录和证据留存的具体方式：现场查询的供应商的信用记录、查询结果经确认后将与采购文件一起存档。</w:t>
      </w:r>
    </w:p>
    <w:p w14:paraId="46E17D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20.3信用信息的使用规则：经查询列入失信被执行人名单、重大税收违法案件当事人名单（税收违法黑名单）、政府采购严重违法失信行为记录名单的供应商将被拒绝参与政府采购活动。</w:t>
      </w:r>
    </w:p>
    <w:p w14:paraId="3995EB1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B3420B">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五、评标</w:t>
      </w:r>
    </w:p>
    <w:p w14:paraId="61728BC4">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评标</w:t>
      </w:r>
    </w:p>
    <w:p w14:paraId="76CD3BB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中标的供应商的先后顺序，并按顺序提出授标建议。详见交易文件第四部分评标办法。</w:t>
      </w:r>
    </w:p>
    <w:p w14:paraId="358FF951">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六、定 标</w:t>
      </w:r>
    </w:p>
    <w:p w14:paraId="25452C80">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 确定中标供应商</w:t>
      </w:r>
    </w:p>
    <w:p w14:paraId="1D93727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采购人将自收到评审报告之日起5个工作日内通过电子交易平台在评审报告推荐的中标候选人中按顺序确定中标供应商。</w:t>
      </w:r>
    </w:p>
    <w:p w14:paraId="35D7DC23">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 中标通知与中标结果公告</w:t>
      </w:r>
    </w:p>
    <w:p w14:paraId="4BDB7F5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1E79FB8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23.2中标结果公告内容包括采购人及其委托的采购机构的名称、地址、联系方式，项目名称和项目编号，中标人名称、地址和中标金额。</w:t>
      </w:r>
    </w:p>
    <w:p w14:paraId="75F352D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23.3公告期限为1个工作日。</w:t>
      </w:r>
    </w:p>
    <w:p w14:paraId="11118F0C">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七、合同授予</w:t>
      </w:r>
    </w:p>
    <w:p w14:paraId="7B5B29D0">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 合同主要条款详见第五部分拟签订的合同文本。</w:t>
      </w:r>
    </w:p>
    <w:p w14:paraId="74703EBB">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 合同的签订</w:t>
      </w:r>
    </w:p>
    <w:p w14:paraId="1206E08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25.1 采购人与中标人应当通过电子交易平台在中标通知书发出之日起三十日内，按照交易文件确定的事项签订政府采购合同。</w:t>
      </w:r>
    </w:p>
    <w:p w14:paraId="68C1656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E68C50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3B44113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9AEEE79">
      <w:pPr>
        <w:rPr>
          <w:rFonts w:hint="eastAsia" w:ascii="宋体" w:hAnsi="宋体" w:eastAsia="宋体" w:cs="宋体"/>
          <w:color w:val="000000" w:themeColor="text1"/>
          <w14:textFill>
            <w14:solidFill>
              <w14:schemeClr w14:val="tx1"/>
            </w14:solidFill>
          </w14:textFill>
        </w:rPr>
      </w:pPr>
    </w:p>
    <w:p w14:paraId="4325FAC4">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八、电子交易活动的中止</w:t>
      </w:r>
    </w:p>
    <w:p w14:paraId="3132148B">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 电子交易活动的中止。</w:t>
      </w:r>
    </w:p>
    <w:p w14:paraId="26EFD0B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3FA736D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26.1电子交易平台发生故障而无法登录访问的； </w:t>
      </w:r>
    </w:p>
    <w:p w14:paraId="782379E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26.2电子交易平台应用或数据库出现错误，不能进行正常操作的；</w:t>
      </w:r>
    </w:p>
    <w:p w14:paraId="2964A3B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26.3电子交易平台发现严重安全漏洞，有潜在泄密危险的；</w:t>
      </w:r>
    </w:p>
    <w:p w14:paraId="1FCA6BF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26.4病毒发作导致不能进行正常操作的； </w:t>
      </w:r>
    </w:p>
    <w:p w14:paraId="67F888D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26.5其他无法保证电子交易的公平、公正和安全的情况。</w:t>
      </w:r>
    </w:p>
    <w:p w14:paraId="1034005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2E91784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九、验收</w:t>
      </w:r>
    </w:p>
    <w:p w14:paraId="07A86CFA">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28.验收</w:t>
      </w:r>
    </w:p>
    <w:p w14:paraId="6402F72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28.1采购人应当组织对供应商履约的验收。</w:t>
      </w:r>
    </w:p>
    <w:p w14:paraId="7949B848">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64190B2">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采购需求</w:t>
      </w:r>
    </w:p>
    <w:p w14:paraId="045CD508">
      <w:pPr>
        <w:snapToGrid w:val="0"/>
        <w:rPr>
          <w:rStyle w:val="53"/>
          <w:rFonts w:hint="eastAsia" w:ascii="宋体" w:hAnsi="宋体" w:eastAsia="宋体" w:cs="宋体"/>
          <w:i w:val="0"/>
          <w:iCs w:val="0"/>
          <w:color w:val="000000" w:themeColor="text1"/>
          <w14:textFill>
            <w14:solidFill>
              <w14:schemeClr w14:val="tx1"/>
            </w14:solidFill>
          </w14:textFill>
        </w:rPr>
      </w:pPr>
      <w:r>
        <w:rPr>
          <w:rStyle w:val="53"/>
          <w:rFonts w:hint="eastAsia" w:ascii="宋体" w:hAnsi="宋体" w:eastAsia="宋体" w:cs="宋体"/>
          <w:i w:val="0"/>
          <w:iCs w:val="0"/>
          <w:color w:val="000000" w:themeColor="text1"/>
          <w14:textFill>
            <w14:solidFill>
              <w14:schemeClr w14:val="tx1"/>
            </w14:solidFill>
          </w14:textFill>
        </w:rPr>
        <w:t>属于实质性要求条款的，请用符号“▲”标明，否则属于非实质性要求。</w:t>
      </w:r>
    </w:p>
    <w:p w14:paraId="03623D79">
      <w:pPr>
        <w:snapToGrid w:val="0"/>
        <w:rPr>
          <w:rStyle w:val="53"/>
          <w:rFonts w:hint="eastAsia" w:ascii="宋体" w:hAnsi="宋体" w:eastAsia="宋体" w:cs="宋体"/>
          <w:i w:val="0"/>
          <w:iCs w:val="0"/>
          <w:color w:val="000000" w:themeColor="text1"/>
          <w14:textFill>
            <w14:solidFill>
              <w14:schemeClr w14:val="tx1"/>
            </w14:solidFill>
          </w14:textFill>
        </w:rPr>
      </w:pPr>
      <w:r>
        <w:rPr>
          <w:rStyle w:val="53"/>
          <w:rFonts w:hint="eastAsia" w:ascii="宋体" w:hAnsi="宋体" w:eastAsia="宋体" w:cs="宋体"/>
          <w:i w:val="0"/>
          <w:iCs w:val="0"/>
          <w:color w:val="000000" w:themeColor="text1"/>
          <w14:textFill>
            <w14:solidFill>
              <w14:schemeClr w14:val="tx1"/>
            </w14:solidFill>
          </w14:textFill>
        </w:rPr>
        <w:t>“★”系产品采购项目中单一产品或核心产品。</w:t>
      </w:r>
    </w:p>
    <w:p w14:paraId="1807A879">
      <w:pPr>
        <w:numPr>
          <w:ilvl w:val="0"/>
          <w:numId w:val="2"/>
        </w:numPr>
        <w:spacing w:line="360" w:lineRule="auto"/>
        <w:ind w:left="360" w:hanging="36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交易一览表</w:t>
      </w:r>
    </w:p>
    <w:p w14:paraId="7C781DDA">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交易项：一</w:t>
      </w:r>
    </w:p>
    <w:tbl>
      <w:tblPr>
        <w:tblStyle w:val="25"/>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9"/>
        <w:gridCol w:w="692"/>
        <w:gridCol w:w="1214"/>
        <w:gridCol w:w="1254"/>
        <w:gridCol w:w="1740"/>
      </w:tblGrid>
      <w:tr w14:paraId="453B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351807CD">
            <w:pPr>
              <w:jc w:val="center"/>
              <w:rPr>
                <w:rFonts w:hint="eastAsia" w:ascii="宋体" w:hAnsi="宋体" w:eastAsia="宋体" w:cs="宋体"/>
                <w:b/>
                <w:color w:val="000000" w:themeColor="text1"/>
                <w14:textFill>
                  <w14:solidFill>
                    <w14:schemeClr w14:val="tx1"/>
                  </w14:solidFill>
                </w14:textFill>
              </w:rPr>
            </w:pPr>
            <w:bookmarkStart w:id="4" w:name="_二期网络工程项目改造需求"/>
            <w:bookmarkEnd w:id="4"/>
            <w:r>
              <w:rPr>
                <w:rFonts w:hint="eastAsia" w:ascii="宋体" w:hAnsi="宋体" w:eastAsia="宋体" w:cs="宋体"/>
                <w:b/>
                <w:color w:val="000000" w:themeColor="text1"/>
                <w14:textFill>
                  <w14:solidFill>
                    <w14:schemeClr w14:val="tx1"/>
                  </w14:solidFill>
                </w14:textFill>
              </w:rPr>
              <w:t>交易项</w:t>
            </w:r>
          </w:p>
        </w:tc>
        <w:tc>
          <w:tcPr>
            <w:tcW w:w="2709" w:type="dxa"/>
            <w:vAlign w:val="center"/>
          </w:tcPr>
          <w:p w14:paraId="442EED25">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项目内容</w:t>
            </w:r>
          </w:p>
        </w:tc>
        <w:tc>
          <w:tcPr>
            <w:tcW w:w="692" w:type="dxa"/>
            <w:vAlign w:val="center"/>
          </w:tcPr>
          <w:p w14:paraId="54CC369B">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单位</w:t>
            </w:r>
          </w:p>
        </w:tc>
        <w:tc>
          <w:tcPr>
            <w:tcW w:w="1214" w:type="dxa"/>
            <w:vAlign w:val="center"/>
          </w:tcPr>
          <w:p w14:paraId="30E8D59C">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数量</w:t>
            </w:r>
          </w:p>
        </w:tc>
        <w:tc>
          <w:tcPr>
            <w:tcW w:w="1254" w:type="dxa"/>
            <w:vAlign w:val="center"/>
          </w:tcPr>
          <w:p w14:paraId="1A76AF9D">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参考品牌</w:t>
            </w:r>
          </w:p>
        </w:tc>
        <w:tc>
          <w:tcPr>
            <w:tcW w:w="1740" w:type="dxa"/>
            <w:vAlign w:val="center"/>
          </w:tcPr>
          <w:p w14:paraId="1825B994">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是否为核心产品</w:t>
            </w:r>
          </w:p>
        </w:tc>
      </w:tr>
      <w:tr w14:paraId="0EAE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88" w:type="dxa"/>
            <w:vAlign w:val="center"/>
          </w:tcPr>
          <w:p w14:paraId="491A60E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709" w:type="dxa"/>
            <w:vAlign w:val="center"/>
          </w:tcPr>
          <w:p w14:paraId="1123196B">
            <w:pPr>
              <w:rPr>
                <w:rFonts w:hint="eastAsia" w:ascii="宋体" w:hAnsi="宋体" w:eastAsia="宋体"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城东小学校园红领巾电视台设备采购项目</w:t>
            </w:r>
          </w:p>
        </w:tc>
        <w:tc>
          <w:tcPr>
            <w:tcW w:w="692" w:type="dxa"/>
            <w:vAlign w:val="center"/>
          </w:tcPr>
          <w:p w14:paraId="44A3500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批</w:t>
            </w:r>
          </w:p>
        </w:tc>
        <w:tc>
          <w:tcPr>
            <w:tcW w:w="1214" w:type="dxa"/>
            <w:vAlign w:val="center"/>
          </w:tcPr>
          <w:p w14:paraId="5745C170">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254" w:type="dxa"/>
            <w:vAlign w:val="center"/>
          </w:tcPr>
          <w:p w14:paraId="34874435">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w:t>
            </w:r>
          </w:p>
        </w:tc>
        <w:tc>
          <w:tcPr>
            <w:tcW w:w="1740" w:type="dxa"/>
            <w:vAlign w:val="center"/>
          </w:tcPr>
          <w:p w14:paraId="2EC5F0A8">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w:t>
            </w:r>
          </w:p>
        </w:tc>
      </w:tr>
    </w:tbl>
    <w:p w14:paraId="71AB4EDE">
      <w:pPr>
        <w:rPr>
          <w:rFonts w:hint="eastAsia" w:ascii="宋体" w:hAnsi="宋体" w:eastAsia="宋体" w:cs="宋体"/>
          <w:color w:val="000000" w:themeColor="text1"/>
          <w14:textFill>
            <w14:solidFill>
              <w14:schemeClr w14:val="tx1"/>
            </w14:solidFill>
          </w14:textFill>
        </w:rPr>
      </w:pPr>
    </w:p>
    <w:p w14:paraId="69DF1D1C">
      <w:pPr>
        <w:widowControl w:val="0"/>
        <w:spacing w:line="360" w:lineRule="auto"/>
        <w:jc w:val="center"/>
        <w:rPr>
          <w:rFonts w:hint="eastAsia" w:ascii="宋体" w:hAnsi="宋体" w:eastAsia="宋体" w:cs="宋体"/>
          <w:b/>
          <w:color w:val="000000" w:themeColor="text1"/>
          <w:kern w:val="2"/>
          <w14:textFill>
            <w14:solidFill>
              <w14:schemeClr w14:val="tx1"/>
            </w14:solidFill>
          </w14:textFill>
        </w:rPr>
      </w:pPr>
    </w:p>
    <w:p w14:paraId="50E0A417">
      <w:pPr>
        <w:widowControl w:val="0"/>
        <w:numPr>
          <w:ilvl w:val="0"/>
          <w:numId w:val="2"/>
        </w:numPr>
        <w:spacing w:line="360" w:lineRule="auto"/>
        <w:ind w:left="360" w:leftChars="0" w:hanging="360" w:firstLineChars="0"/>
        <w:jc w:val="center"/>
        <w:rPr>
          <w:rFonts w:hint="eastAsia" w:ascii="宋体" w:hAnsi="宋体" w:eastAsia="宋体" w:cs="宋体"/>
          <w:b/>
          <w:color w:val="000000" w:themeColor="text1"/>
          <w:kern w:val="2"/>
          <w14:textFill>
            <w14:solidFill>
              <w14:schemeClr w14:val="tx1"/>
            </w14:solidFill>
          </w14:textFill>
        </w:rPr>
      </w:pPr>
      <w:r>
        <w:rPr>
          <w:rFonts w:hint="eastAsia" w:ascii="宋体" w:hAnsi="宋体" w:eastAsia="宋体" w:cs="宋体"/>
          <w:b/>
          <w:color w:val="000000" w:themeColor="text1"/>
          <w:kern w:val="2"/>
          <w14:textFill>
            <w14:solidFill>
              <w14:schemeClr w14:val="tx1"/>
            </w14:solidFill>
          </w14:textFill>
        </w:rPr>
        <w:t>招标需求</w:t>
      </w:r>
    </w:p>
    <w:p w14:paraId="7A846D7C">
      <w:pPr>
        <w:numPr>
          <w:ilvl w:val="0"/>
          <w:numId w:val="0"/>
        </w:numPr>
        <w:spacing w:line="360" w:lineRule="auto"/>
        <w:ind w:leftChars="0"/>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采购清单</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1188"/>
        <w:gridCol w:w="5535"/>
        <w:gridCol w:w="644"/>
        <w:gridCol w:w="571"/>
      </w:tblGrid>
      <w:tr w14:paraId="67AB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69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37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6E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配置</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91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72B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2BF1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4F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B6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虚拟演播系统工作站</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38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Interl CPU/16GB (2*8GB)  DDR4 内存/NVIDIA GeForce显卡/集成千兆网卡/256gb固态+1TB 机械硬盘 /24 IPS显示器/键鼠套装</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C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1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69C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5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9F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多路虚拟演播室系统</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27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要求系统可自由定义对应不同类别的4个切换通道，支持4路同时抠像；2.可以依据需要，任意改变输入信号、NDI信号源、本地视频/图片、本地PPT、网络信号、图文组合、虚拟场景等类别所占切换通道的数量，适应不同制作现场的信号组合需要；3.设备信号支持SDI 、HDMI 、USB等采集设备的信号输入，分辨率支持4K、高清、标清等分辨率；4.IP信号支持RTSP、RTMP、HTTP、RTP、SRT等格式，并支持RTSP零延时拉流，IP信号可根据需求自定义修改名称方便识别；5.要求支持PPT/PPTX/WORD/PDF文件导入功能，导入后自动读取文件内容，无需转换即可生成播出单，并可作为独立信号源使用以适应微课慕课的使用；6.内置切换台功能；集成摄像机、视频资源、多媒体信号源、PPT文件、图文、转场和特效选控，转场效果不少于20种，转场效果可预设不少于4个，转场时间可自定义设置；7.■系统支持快捷键操作，可通过按键进行视频切换，画中画开启，主副画面选择和交换；具有预监、播出键，可对预监窗口、播出窗口内容进行控制。；系统场景支持虚拟推拉与移动点位设置，点位支持预置位设置与调用，预置位设置按钮≥5个；系统场景支持同一场景无损动画切换（投标时需提供该项承诺函）；8.■系统内置色键器，支持实时多路（≥4路）同时抠像， 支持蓝、红、绿3色背景抠像及一致性三色混合抠像，并可对亮度值、透明值、抠像阈值的自定义设置。支持无限蓝箱功能，即对画面超出蓝绿箱画面进行裁切。支持抠像保护功能，即对与背景色一致的物品实现保护防止被抠除（投标时需提供该项承诺函）；9.要求支持TS/AVI/WMV/FLV/MP4等多格式本地视频录制，录制码流可选,可支持pgm录制的同时进行每个通道的单独录制，录制过程种支持任意暂停，录制结束仅生成一个文件；10.内置多路调音台，支持任意通道声音混音，支持混音源调整混音比例，支持混音延时修正；11.支持通道音源静音；12.内置实时监控系统效能状态条,掌握 cpu/内存/硬盘负载,保证导播人员掌握系统负载情况；13.系统支持自动编单播放功能，预置播放编单后可进行无人值守自动播放，可对系统内摄像机信号源等任意信号源进行混合编单；14.■为保证虚拟系统与灯光无缝对接合成效果，系统需与灯光为同一厂商，系统需支持无需布置信号线对单台灯具进行调光操作。（投标时需提供该项承诺函）；15.■为方便用户操作，系统需支持一键调用与存储演播室灯光场景数据（如演讲、坐播灯光场景等），系统控制灯具数量需不少于20台，灯光场景数量不少于100套（投标时需提供该项承诺函）。</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6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8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EB6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D3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6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非线性编系统</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17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1.系统支持剪辑4K UHD2160、2.5K QHD1440、Full HD1080、HD720、 SD/DVD等多种分辨率的视频，支持25P、30P、60P等多种帧率视频；2.混编各种不同分辨率素材，在同一时间线实时转换不同分辨率的媒体文件；3.支持导出MP4、MPG、MOV、AVI等多种文件格式的视频；4.支持单轨、多轨编辑，自由添加的视频，音频，文字和图形轨道；5.系统具备编辑、剪辑、添加特效、合成、输出等功能。在轨式特效编辑、字幕编辑；6.系统自带专业高清字幕模块，无须购买第三方字幕插件。字幕类型支持：动画图片、图像、标题字幕，字幕支持直接修改，直观、省时；标题文字支持转场特效；7.支持AVCHD和DSLR视频编辑；，支持XAVC、RAW、AVC等文件格式的编辑；8.支持自定义宽高比导出视频；9.支持自定义素材库，素材库中可以导入视频、图片、音频、标题等素材；10.支持视频特效转场，特效库有多达40多种视频转场特效；11.视频和音频支持加速播放，支持剪切、拼接、删除操作。</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4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2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4CB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7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5C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22“双屏提词器</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C5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1.22英寸双屏提词器，包含主持人文稿显示和支持人形象返看双屏设计；2.文件类型支持:txt,ppt等格式；3.高分辨率:图像鲜艳,分辨率高,支持1440X900 @60Hz；4.广视角:水平140°垂直130°；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5.高对比度：高对比度视频电路设计，静态1000:1 ,动态8000000:1；6.轻便稳固:航空型材滑道,轻便耐用,一体化设计,能与各种摄像机和三脚架固定使用,拆装简便；7.控制方式:有线/无线遥控,设备通过多种方式同时操控,可单,双人控制；8.提词器软件:自带镜像功能，视觉清晰，字迹平稳：图象鲜艳，分辨率高，字符大、亮度高、画面平滑、无抖动；9.专业设计：坚固结实、耐磕碰、防静电，整体模块化设计,安装简单操作简便,功能齐全；10.专业提词器软件:自带镜象功能,解决双屏正像问题,主持人与导播间轻松互动视觉清晰字迹平稳:图象鲜艳,分辨率高,字符大,亮度高；11.画面平滑,无抖动,视距大于2.5M；12.全介质平面分光镜:入射角45°,多介质膜无色差超薄增透分光镜,防眩光高亮显示技术,透过率超过85%以上,分光比2:8光损失小于2%,透反率1:0.35；13.自适应调节:显示屏可对显示内容自适应调节,在很亮的演播室环境下图像也很清楚；14.中英文操作平台:支持镜像、多人分色播出、滚动速度任意调整、翻页；字号、字体任意设置，字色、背景色任意搭配等功能。</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2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3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C4A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6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2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液晶回显</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B2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HDMI2.0接口数：2个；2.USB2.0接口数：2个；3.USB3.0接口数：无USB3.0；4.工作电压：220V；5.待机功率：0.5W；6.电源功率：120W；7.边框材质：塑料；8.底座材质：塑料；9.屏占比：95%&gt;N≥90%；10.单屏重量：11.1kg；11.CPU核心数：四核：12.存储内存：8GB；13.CPU架构：四核A53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系统：Android；14.WIFI频段：2.4G；15.运行内存/RAM：1.5GB；16.背光方式：直下式/DLED。</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69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6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780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6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8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壁挂支架</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B7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55寸液晶配套壁挂支架</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93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3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59C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A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81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一拖二无线手持话筒</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30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一拖二真分集无线麦克风；使用距离：200米以上，空阔空间可达300米以上，复杂环境100米以上；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发射机: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1.工作频率:780-830MHz；2.采用强磁拾音器，还原人声，磁性饱满；3.采用微电脑CPU控制；4.PLL锁相环频率合成技术，红外线对频；5.32/64/99频道自由选择，液晶数字显示；6.频率稳定度：±0.002%；7.FM最大调制频率偏: ±45KHz；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智能电池欠压预警显示；8.动态音频压缩及自动电平控制电路；9.使用电池：2节AA电池-可连续使用约8小时；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1.工作频率:770-820MHz；2.采用微电脑CPU控制；3.PLL锁相环频率合成技术, 红外线对频；4.32/64频道自由选择，液晶数字显示；5.频率稳定度：±0.002%；6.杂讯锁定静噪控制+音码导航锁定静噪控制；7.音频动态扩展及自动电平控制电路；8.真分集接收。</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A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12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677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7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F3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76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1.12通道调音台：6个话筒 / 12 个线路输入 (4 个单声道 + 4 个立体声) / 2 编组母线 + 1 立体声母线 / 2 AUX (包括 FX)；2.12通道调音台；3.6个话筒 / 12个线路输入 (4个单声道 + 4个立体声)；4.2编组母线 + 1立体声母线；5.2 AUX (包括FX)；6.“D-PRE”话放，带有倒向晶体管电路；7.单旋钮压缩器；8.效果器：SPX，含24组预置效果器；9.24-bit/192kHz 2进/2出 USB音频功能；10.通过Apple iPad Camera Connection Kit / Lightning to USB Camera Adapter (连接适配器)与iPad (2或更高版本) 连接工作；11.Cubasis LE（iPad版）可通过App Store 下载；12.含Cubase AI DAW下载版软件；13.单声道输入通道上的PAD开关；14.+48V幻象供电；15.XLR平衡输出；16.世界通用的内部全局供电。</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2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5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130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A4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57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免漆拼接绿箱</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11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免漆拼接型蓝箱墙板、弧板、球形板、地板均为一次模压成型，多种板块均采用一种铝合金支架连接，可靠耐用、免维护；该产品无需采用传统的木料制作方式，避免批腻子，刷漆等费时费力繁琐工序，为工程施工节省工期90%以上，同时节省大量资金，也杜绝日常使用掉漆磨损引起的反复维修等缺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2.厚度：1块/17mm；3.墙板：250 * 250 * 17mm；4.弧板：270 * 250 * 17mm；5.地板：250 * 250 * 17mm；6.材料：环保TS材料、表面哑光；7.地板承重：200公斤/块；8.颜色：蓝色/绿色；9.模块化、拼接式、虚拟蓝箱设计，本方案由多个模块化产品，均为数控磨具产品，一次成型，尺寸标准，颜色一致，无批次差；地板设计防水、强度高，耐磨，不变色；10.备注：由于虚拟箱板尺寸是一次成型，所以尺寸要以25cm为单位增加或者减小；11.主要类型：I型、L型、U型、扇形这四个形状供选择，I型是只有一面背景墙面；L型是有一个背景墙面加一个地面；U型是有三个背景墙面加上一个地面；扇形是两个背景墙面加一个地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F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8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平米</w:t>
            </w:r>
          </w:p>
        </w:tc>
      </w:tr>
      <w:tr w14:paraId="0BF0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A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A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智能场景记忆LED专用影视灯</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43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额定功率：100w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供电方式：AC：90-265V，50/60Hz;DC12-24V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相关色温：5600K（可选3200k）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LED类型：贴片灯珠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全航空铝材结构，强度高，重量轻；2.灯体与光源一体化设计，灯体采用高强航空铝材散热材质，散热好，大幅延长灯珠寿命，质量稳定；3.灯具固定转接件，灯具易损耗件采用全高强航空铝材质设计，无故障，耐使用；4.高效光源芯片，高亮度，高显色，Ra &gt;95.色温稳定，5600K；5.电源控制电路一体化控制盒设计，灯体控制盒分体设计，高强铝材外壳，散热性好，易更换，售后简洁，方便；6.调光方式：DMX512信号控制/灯具本地控制/LCD液晶屏遥控功能；7.无线调光方式为免弱电化施工，无需走信号线，放大器，调光台等设备；8.需提供灯具无线调光相关软著无线数字遥控设计，液晶数字遥控器控制，无需繁琐信号线施工连接，使用简单方便；9.标准国际DMX512信号设计，DMX512/1990数字调光协议，兼容性强，控制精准；10.灯具无需绑定传统灯具号码牌，自带高亮显示数码号码牌，清晰易识别，美观统一，易于调节；11.灯具支持通过多功能调光终端存储多达10个场景记忆，可自由设定灯具在不同场合下亮度及调光数据，支持一键复位存储调用，操作简单，布光环境多样；12.■需提供国家强制性3c认证证书。</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0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1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79E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B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6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数字螺纹聚光灯</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9F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供电方式：AC：90-265V，50/60Hz;DC12-24V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相关色温：5600K（可选3200k）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LED类型：贴片灯珠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全航空铝材结构，强度高，重量轻；2.灯体与光源一体化设计，灯体采用高强航空铝材散热材质，散热好，大幅延长灯珠寿命，质量稳定；3.灯具固定转接件，灯具易损耗件采用全高强航空铝材质设计，无故障，耐使用；4.高效光源芯片，高亮度，高显色，Ra &gt;95.色温稳定，5600K；5.电源控制电路一体化控制盒设计，灯体控制盒分体设计，高强铝材外壳，散热性好，易更换，售后简洁，方便；6.调光方式：DMX512信号控制/灯具本地控制/LCD液晶屏遥控功能；7.无线调光方式为免弱电化施工，无需走信号线，放大器，调光台等设备；8.需提供灯具无线调光相关软著无线数字遥控设计，液晶数字遥控器控制，无需繁琐信号线施工连接，使用简单方便；9.标准国际DMX512信号设计，DMX512/1990数字调光协议，兼容性强，控制精准；10.灯具无需绑定传统灯具号码牌，自带高亮显示数码号码牌，清晰易识别，美观统一，易于调节；11.灯具支持通过多功能调光终端存储多达10个场景记忆，可自由设定灯具在不同场合下亮度及调光数据，支持一键复位存储调用，操作简单，布光环境多样。</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5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6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879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A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8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遥控器</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59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433.92M；2.电源：3只AA电池；3.稳定性:自动选择无干扰频段,，保障通讯的可靠性；4.语言：中/英文可对每只（组）灯独立调校；5.控制路数多达99路;自带节能/保护模式；20秒无操作进入省电模式;能更直观的对灯具进行调节,提高工作效率,有效传输距离150M,灯与灯之间无需连接信号线；6.无需接信号线，放大器、调光台等配件，既节省资金又降低故障率。数字化设计，简单易学，操作标准精确，节省人员数量配置和学习培训成本；7.支持设定10组场景，并支持存储记忆功能，可一键选定至指定光环境；8.具有翻页功能，可设置不同灯具的地址、场景级别、亮度数据，支持一键存储、一键恢复；9.具有记忆抹除功能，可通过组合键轻松去除设定的场景；10.可对每只（组）灯独立调校；11.控制路数多达99路；12.自带节能/保护模式；20秒无操作进入省电模式;能更直观的对灯具进行调节；13.学习成本低，提高工作效率,有效传输距离150M,灯与灯之间无需连接信号线，维护方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A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52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2DC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1D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43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6路电源直通箱</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90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▲一、重要指标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最新人工智能技术，设备具有三相供配电系统接入总电出错报警、出错报告和出错保护电路功能，能立即切断输出，保证显示屏接入设备不被损毁；（投标时需提供设备具有三相供配电系统接入总电出错报警、总电出错报告和总电出错保护电路功能的专利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1.6路3KW；2.3P32A插座或,压线式或3*10A输出；3.压线式总电输入；4.每路均带空气开关保护和工作指示灯；5.带三相电压表和三相指示灯。■投标时提供带有CMA及CNAS标识的第三方检测机构出具的检测报告复印件。</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F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7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D54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6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3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阻燃线缆</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30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2×1.5mm²影视电缆线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导体采用高存度无氧铜制造，具有传输信号衰减小，信号损耗小，电阻小传输速率高等特点；2.线材的绝缘及护套采用进口的塑胶材质，具有耐磨、耐酸碱、耐油使用寿命长等特点；3.线材印字采用精密喷码机喷米标识，保证长度精确。</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EA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4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14:paraId="4DC0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A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D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灯具悬挂轨道</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4C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纵轨8米（2根4米），横轨12米（4根3米），轨道吊架6套，万向滑车8个，灯具滑车12个，线缆滑车12个，纵轨连接板2套，轨道堵头12个。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F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A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03A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E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2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恒力铰链</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0E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1.结构：调簧式设计、准确定位；2.提升重量：7Kg；3.颜色：黑色；4.产品尺寸：370×340×105mm；5.自身重量：3.5Kg</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6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F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33B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B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8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抠像桌</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99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厚度≥18mm，尺寸≥1.2*0.6*0.72m基层密度板，表声学环保防水抠像背景布饰面，维护方便，使用长久</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9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E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5AC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B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D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导播桌</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F0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木结构；2.规格尺寸1800*800*750mm；3.木质台面厚度36mm，E1级环保优质高密度，有贴实木皮或喷漆处理；4.机柜满足19英寸设备嵌入，满足立式主机嵌入调节；5.机柜为钢制部分：全部采用优质冷轧Ａ３钢板；钢板厚度1.5.0MM，加强梁钢板厚度1.8MM，根据零部件工位和作用，钢板材料厚度规格合理搭配；6.方便安装．表面处理：脱脂，酸洗，防锈磷化处理，表面静电喷涂；7.颜色可选定：银灰色，无光黑，象牙白，无光驼，索尼灰，蓝砂等塑粉。</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5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D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74B4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A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9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9B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8口千兆网络交换机。</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9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5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AE9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1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A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音频工作站</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5E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1、采用定制的音频主板声卡一体机；2、Pro DAW 音频一体机,64轨@48kHz音频录混、128轨MIDI，64个 Native插件、64轨辅助，采样率 44.1/48/96/192khz；3、支持 ASIO2.0/WDM/MME 等标准，零延迟响应；4、处理器：四核六线程 Intel Core i5处理器，睿频频率 3.6 GHz，三级缓存6MB；5、内存：16GB 2400 DDR4 内存；6、储存：256SSD +2TB 7200rpm Barracude；7、图形处理器 Intel UHD Graphics 630，1GB，4096x2304@24Hz，HDMI/DVI；27呈现终端1个；8、接口：工作站前面板不少于2个卡农输入接口，不少于2个耳机输出；后面板不少于2个大三芯输出接口，不低于3个音量控制旋钮；9、系统：Windows 10 64bit Treain调制系统；10、专业Audio/MIDI外设接口：1x USB 3.1/2x USB 3.0/1x USB 2.0；1x Intel Gigabit NIC ；11、验证软件：Earmaster、Pro Tools、Cubase、Sibelius、Samplitude、Ableton Live、Max/DSP、Sonar、Reason、Reaper、Kontakt、Engine、Waves；12、附带软件：预装Pro Tools、Cubase，采样器Kontakt，以及吉他、贝斯、鼓、钢琴、民乐\交响等虚拟乐器，同时安装打谱软件Sibelius ，EarMaster视唱练耳、Musition 乐理软件；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13、预装采样与音色：Native Instruments 音色库: Kontakt 5.3采样器，Library音色表:包含Galaxy Steinway 5.1 Surround 钢琴，Acoustic Legend HD吉他，Studio Drummer鼓，ALICIA's Keys电钢琴，Kontakt FactoryLibrary综合音源，Lass Strings 管弦乐等；14、中国民乐音色库： 吹奏:笛子，洞箫，葫芦丝，唢吶，拉弦: 二胡，京胡，马头琴，弹拨: 古琴，古筝，琵琶，三弦，打击: 扬琴，民乐打击组；15、配套鼠标键盘套装；■16提供质量检验报告复印件加盖公章。</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6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D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3C4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3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E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录音软件</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36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1、音频轨道：≥1024轨道；2、音频引擎：64bit深度的浮点运算能力；3、音频采样率：≥192khz；4、MIDI轨道：≥1024个；5、VST轨道：≥1024个；6、声音素材：≥ 3000个；7、VST音频效果插件：≥76个；8、VSTMIDI效应插件：≥18个；9、音频输入和输出：≥256轨道；10、音频通道插入槽：≥16个；11、MIDI插入插槽&amp;发送：≥4个；12、Group channels：≥256轨道；13、功能：MPE支持，≥20个新的脉冲响应，人声音高修正，调音台快照，快速对轨功能，支持32bit深度的动态；</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A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9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286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D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E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音频接口</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8E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1.24位/ 192kHz采样率；2.高速USB传输延迟仅为2.59ms；3.LED VU计量表；4.4个XLR +¼英寸 TRS组合输入；5.2个¼英寸乐器输入；6.2个¼英寸线路输入；7.MIDI输入/输出；8.2个¼英寸乐器输入；9.立体声¼英寸输出、2个¼英寸辅助输出；10.2个¼英寸耳机输出，带有独立的电平控制；11.坚固的金属外壳；12.位于中央的音量控制大旋钮；13.用于平衡输入信号和计算机信号USB / Direct旋钮。</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1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6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BCB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1F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F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多指向话筒（合唱）</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CC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1、电容式：传感器；2、振膜：≥1.10“/ 28.0毫米；3、指向型：心型，8字形，全向型；4、模式选择：切换；5、频率范围：20 Hz至20 kHz；6、等效噪声级别：17 dB A加权；7、最大声压级为：140 dB SPL THD1％；8、阻抗：≥250欧姆；9、负载阻抗：≥1000欧姆；10、灵敏度：1 kHz时为-37 dB；11、产品彩页复印件加盖制造厂商公章。</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7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6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59DA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3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D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话筒放大器</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42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1、类型：单通道话筒放大器；2、接口：XLR/TRS组合输入和单独输出XLR和TRS插孔，以实现灵活的连接；3、增益范围：20至70 dB；4、供电：可切换48V麦克风供电；5、控制：微调输出电平控制；6、模拟输入： 1×XLR-1/4“组合体(麦克风)，1 x 1/4”(Hi-Z)；7、模拟输出： 1×XLR，1×1/4。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7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5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72E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2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C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监听音箱</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57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1.类型：二分频≥6寸有源监听音箱；2.频率响应:48 Hz – 45 kHz；3.频率范围 43Hz –45kHz；4.放大器功率：低音 ≥50W 高音：≥40W；5.信噪比；100 dB 典型 A 加权；6.分频点 2.8kHz；7.低频单元：≥6英寸（127 毫米）Kevlar 弯曲音盆，带有高温音圈和阻尼橡胶环绕， 带磁屏蔽；8.高音单元：≥1 英寸（25 毫米）磁屏蔽天然丝绸圆型；9.输入连接器：1 x XLR 平衡输入连接器/1 x TRS 平衡/非平衡输入连接器；10.输入阻抗 20 KΩ 平衡，10 KΩ 不平衡。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C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C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2776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3C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0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监听控制器</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9C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1.频率响应：±0.5 dB, 20 Hz – 20 kHz软件；2.失真（THD + N）+4 dBu输入@ 1 kHz：&lt;0.01%软件；3.衰减：–60 dB软件；4.信噪比：&lt;–100 dB软件；5.较高等级：+22 dBu软件；6.采样率：192kKz，24-bit软件。</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6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A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8E2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7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4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耳机放大器</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5F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通道：6通道高功率放大器带独立低音和高音控制；2.控制：双功能盘/每通道混合控制；3.输出：每通道设置多个监听，最多支持18个耳机接入；4.接口：前面板和后面板输出插口；5.平衡输入：XLR和1/4英寸TRS平衡输入；6.功能：能以立体声、单声道（信号源左）、单声道（信号源右）或总单声道（信号源左和右）模式操作；7.信号：辅助分离信号源输入；8.LED电平：所有通道和总线带8段LED电平指示。</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A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B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F6D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F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B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监听耳机</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73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1.类型：封闭动圈式录音棚监听耳机；2.驱动单元：50毫米钕铁硼磁铁；3.频率响应：10Hz-32kHz；4.灵敏度：98dB (+/-3dB 1mW @ 1kHz)；5.阻抗：32Ω(+/- 15% @1000Hz)；6.最大输入功率：1500mW；7.失真度：&lt;5% (@1kHz)；8.连接插头：3.5毫米(1/8英寸)TRS/Jack；9.线缆长度：3米10英寸。</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B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D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28FE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6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A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话筒支架</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23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杆部位采用铁和铝合金做支撑点,更加坚固；2.话筒角度可调；手扭式高档铁座支架；3.只需旋转15°即可锁紧和放松,而传统支架需要旋转好几圈；4.高度调节：1080-1750MM；5.横杆长度：700-1300MM；6.重量：3.9KG；7.包装规格：100.5*24.6*31.5(CM)／1×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A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8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14:paraId="1352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0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F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智能时序滤波器</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F5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屏幕：≥2个：2寸液晶触控显示窗口；实时监控电压、时间、开关状态；2.通道：≥8通道开关输出，每个通道延时开启和关闭时间自由设置支持8路循环开关；3.功能：支持锁定功能，防止误操作带有外部触发；4.噪音滤波：内置滤波器，EMI多段滤波：消除电信号中的不同成分杂波；5.控制：支持多台连接顺序控制；6.接口：内置485接口、232接口支持第三方中控设备操控；7.保护：电压保护：当遇到异常电压时自动保护后级器材；8.软件：自带APP软件，可进行手机、电脑远程网络控制操作；9.额定输出电压：交流100V - 240V.50Hz/60Hz；10.单路额定输出电流：13A，自带定时器功能；11.规格：尺寸：1U标准机架，重量：3.5kg；</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F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9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529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0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F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专业防喷罩</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32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1.兼容任意话筒的放噗音滤网；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2.颈管：45cm长鹅颈管；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3.材质：透声率高，不会造成任何高频衰减</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C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F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r>
      <w:tr w14:paraId="0552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1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2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A7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XLR 线缆连接器特征：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1.高质量公/母插头，机械性能和电气性能符合国家标准，可与符合国家标准的任何一款阳/阴性 XLR 相匹配；2.锌合金压铸外壳，造型美观，电镀方式可供选择，如镀镍、镀黑，防锈、防尘；3.外形设计弧线优美，手感好触点材料为黄铜，传导性能强，并能很好屏蔽；4.噪音，电镀方式可供选择，如镀金、银、锡铈合金母插头直插式单键锁定功能；4.全新无螺钉安装金属和塑料套圈可供选择；5.穿线直径为Ф3-7.5触点有 3、4、5、7 针，护线套的尾孔大小可供选择；6.拥有独特的夹线套设计；7.专业大三芯插头；8.工程项目常用的带弹簧单、双声道（大两、三芯）插头高品质的接插件保证完美的信号传送；9.符合国家各种相关标准；10.新工艺：为满足不同客户的需求，运用彩色电镀，有红黄绿蓝紫五种不同颜色可供选择带柔韧较强的弹簧，保护线缆，以免刮伤。</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13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5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8F5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3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A5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话筒音频线</w:t>
            </w:r>
          </w:p>
        </w:tc>
        <w:tc>
          <w:tcPr>
            <w:tcW w:w="3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A4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RVVP2*0.37。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7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6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7441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26" w:type="pct"/>
            <w:tcBorders>
              <w:top w:val="single" w:color="000000" w:sz="4" w:space="0"/>
              <w:left w:val="single" w:color="000000" w:sz="4" w:space="0"/>
              <w:bottom w:val="single" w:color="auto" w:sz="4" w:space="0"/>
              <w:right w:val="single" w:color="000000" w:sz="4" w:space="0"/>
            </w:tcBorders>
            <w:shd w:val="clear" w:color="auto" w:fill="auto"/>
            <w:vAlign w:val="center"/>
          </w:tcPr>
          <w:p w14:paraId="264BA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99" w:type="pct"/>
            <w:tcBorders>
              <w:top w:val="single" w:color="000000" w:sz="4" w:space="0"/>
              <w:left w:val="single" w:color="000000" w:sz="4" w:space="0"/>
              <w:bottom w:val="single" w:color="auto" w:sz="4" w:space="0"/>
              <w:right w:val="single" w:color="000000" w:sz="4" w:space="0"/>
            </w:tcBorders>
            <w:shd w:val="clear" w:color="auto" w:fill="auto"/>
            <w:vAlign w:val="center"/>
          </w:tcPr>
          <w:p w14:paraId="64572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灯光电源线</w:t>
            </w:r>
          </w:p>
        </w:tc>
        <w:tc>
          <w:tcPr>
            <w:tcW w:w="3257" w:type="pct"/>
            <w:tcBorders>
              <w:top w:val="single" w:color="000000" w:sz="4" w:space="0"/>
              <w:left w:val="single" w:color="000000" w:sz="4" w:space="0"/>
              <w:bottom w:val="single" w:color="auto" w:sz="4" w:space="0"/>
              <w:right w:val="single" w:color="000000" w:sz="4" w:space="0"/>
            </w:tcBorders>
            <w:shd w:val="clear" w:color="auto" w:fill="auto"/>
            <w:vAlign w:val="center"/>
          </w:tcPr>
          <w:p w14:paraId="545F8D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1.符合标准GB 5023、IEC60227；2.额定电压：300/500V；3.导体：多股铜导体；4.绝缘材料：PVC；5.护套材料：PVC；6.导体材料：无氧圆铜（纯铜99.99％）；7.绝缘电阻：&gt;200欧/km；8.使用温度：-30~ +70℃；9.最小弯曲半径：15倍电缆外径；10.导体芯数：2；11.阻燃特性：阻燃；12.测试电压：2000V/5min；13.包装规格：200M。</w:t>
            </w:r>
          </w:p>
        </w:tc>
        <w:tc>
          <w:tcPr>
            <w:tcW w:w="379" w:type="pct"/>
            <w:tcBorders>
              <w:top w:val="single" w:color="000000" w:sz="4" w:space="0"/>
              <w:left w:val="single" w:color="000000" w:sz="4" w:space="0"/>
              <w:bottom w:val="single" w:color="auto" w:sz="4" w:space="0"/>
              <w:right w:val="single" w:color="000000" w:sz="4" w:space="0"/>
            </w:tcBorders>
            <w:shd w:val="clear" w:color="auto" w:fill="auto"/>
            <w:vAlign w:val="center"/>
          </w:tcPr>
          <w:p w14:paraId="7F5A8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336" w:type="pct"/>
            <w:tcBorders>
              <w:top w:val="single" w:color="000000" w:sz="4" w:space="0"/>
              <w:left w:val="single" w:color="000000" w:sz="4" w:space="0"/>
              <w:bottom w:val="single" w:color="auto" w:sz="4" w:space="0"/>
              <w:right w:val="single" w:color="000000" w:sz="4" w:space="0"/>
            </w:tcBorders>
            <w:shd w:val="clear" w:color="auto" w:fill="auto"/>
            <w:vAlign w:val="center"/>
          </w:tcPr>
          <w:p w14:paraId="1762D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36F9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14:paraId="359F9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14:paraId="11BED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灯光信号线</w:t>
            </w:r>
          </w:p>
        </w:tc>
        <w:tc>
          <w:tcPr>
            <w:tcW w:w="3257" w:type="pct"/>
            <w:tcBorders>
              <w:top w:val="single" w:color="auto" w:sz="4" w:space="0"/>
              <w:left w:val="single" w:color="auto" w:sz="4" w:space="0"/>
              <w:bottom w:val="single" w:color="auto" w:sz="4" w:space="0"/>
              <w:right w:val="single" w:color="auto" w:sz="4" w:space="0"/>
            </w:tcBorders>
            <w:shd w:val="clear" w:color="auto" w:fill="auto"/>
            <w:vAlign w:val="center"/>
          </w:tcPr>
          <w:p w14:paraId="5215B7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RVVP2*0.5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1.符合标准JB8734, VDE 0281；2.额定电压：300/500V；3.导体：多股铜导体；4.绝缘材料：PVC；5.护套材料：PVC；6.屏蔽：编织密度大于85%；7.导体材料：无氧圆铜（纯铜99.99％）；8.绝缘电阻：&gt;200欧/km；9.使用温度：-30~ +70℃；10.最小弯曲半径：15倍电缆外径；11.导体芯数：2；12.阻燃特性：阻燃；13.测试电压：2000V/5min；14.包装规格：200M。</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7745A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E096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bl>
    <w:p w14:paraId="441FA422">
      <w:pPr>
        <w:numPr>
          <w:ilvl w:val="0"/>
          <w:numId w:val="0"/>
        </w:numPr>
        <w:spacing w:line="360" w:lineRule="auto"/>
        <w:ind w:left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（二）商务需求</w:t>
      </w:r>
    </w:p>
    <w:p w14:paraId="08FF900F">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2.1交货时间及地点</w:t>
      </w:r>
    </w:p>
    <w:p w14:paraId="6745E546">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(1)中标人应在合同签订后</w:t>
      </w:r>
      <w:r>
        <w:rPr>
          <w:rFonts w:hint="eastAsia" w:ascii="宋体" w:hAnsi="宋体" w:eastAsia="宋体" w:cs="宋体"/>
          <w:bCs/>
          <w:color w:val="000000" w:themeColor="text1"/>
          <w:sz w:val="21"/>
          <w:szCs w:val="21"/>
          <w:lang w:val="en-US" w:eastAsia="zh-CN"/>
          <w14:textFill>
            <w14:solidFill>
              <w14:schemeClr w14:val="tx1"/>
            </w14:solidFill>
          </w14:textFill>
        </w:rPr>
        <w:t>20</w:t>
      </w:r>
      <w:r>
        <w:rPr>
          <w:rFonts w:hint="eastAsia" w:ascii="宋体" w:hAnsi="宋体" w:eastAsia="宋体" w:cs="宋体"/>
          <w:bCs/>
          <w:color w:val="000000" w:themeColor="text1"/>
          <w:sz w:val="21"/>
          <w:szCs w:val="21"/>
          <w14:textFill>
            <w14:solidFill>
              <w14:schemeClr w14:val="tx1"/>
            </w14:solidFill>
          </w14:textFill>
        </w:rPr>
        <w:t>日历天内供货、安装、调试完成，具体以业主实际要求为准。</w:t>
      </w:r>
    </w:p>
    <w:p w14:paraId="0DD3EDE5">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(2)交货地点：采购人指定地点。                            </w:t>
      </w:r>
    </w:p>
    <w:p w14:paraId="794E524A">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(3)中标人提供的中标服务，必须符合本采购文件要求、原包装送达采购单位；如有不符，采购人可以无条件退货，所造成的损失由中标人承担。更换后的零部件质保期按更换日起顺延。</w:t>
      </w:r>
    </w:p>
    <w:p w14:paraId="56DC1852">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质保期及售后技术服务要求</w:t>
      </w:r>
    </w:p>
    <w:p w14:paraId="7B9C8354">
      <w:pPr>
        <w:numPr>
          <w:ilvl w:val="0"/>
          <w:numId w:val="3"/>
        </w:num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质保期：</w:t>
      </w:r>
      <w:r>
        <w:rPr>
          <w:rFonts w:hint="eastAsia"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年。</w:t>
      </w:r>
    </w:p>
    <w:p w14:paraId="68A0260F">
      <w:pPr>
        <w:numPr>
          <w:ilvl w:val="0"/>
          <w:numId w:val="0"/>
        </w:num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)质量保证期内提供免费上门维护、升级服务，如设备出现故障，供货单位在接到电话后，立即响应，</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小时以内到现场处理，</w:t>
      </w: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小时内修复，现场不能修复的，必须采取无偿提供采购物品的备用件或整机等措施，保证用户单位的正常使用。</w:t>
      </w:r>
    </w:p>
    <w:p w14:paraId="3BE2D8CE">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)投标人应提供技术支持方案，内容由投标人根据实际选择以下要点：服务机构（维保点）的地址、人员状况、维修能力、联系方式、营业执照、公司资质材料、相关案例等。</w:t>
      </w:r>
    </w:p>
    <w:p w14:paraId="71F50D02">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)完整准确地表述原厂家的标准售后服务承诺（范围、标准及期限等）、投标人可能增加的服务承诺等。</w:t>
      </w:r>
    </w:p>
    <w:p w14:paraId="1E359B9F">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)明示服务承诺可能涉及的前提设定和费用，否则将被认为是无条件和免费的。</w:t>
      </w:r>
    </w:p>
    <w:p w14:paraId="1ACC59F1">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.项目实施计划</w:t>
      </w:r>
    </w:p>
    <w:p w14:paraId="6DE8AEFE">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项目实施的组织工作方案：工作时间进度表、工作程序或步骤、管理和协调方法、送货方案等。</w:t>
      </w:r>
    </w:p>
    <w:p w14:paraId="53E4C7E0">
      <w:pPr>
        <w:spacing w:line="360" w:lineRule="auto"/>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.付款方式</w:t>
      </w:r>
    </w:p>
    <w:p w14:paraId="65DD4005">
      <w:pPr>
        <w:pStyle w:val="11"/>
        <w:ind w:left="0" w:leftChars="0"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）合同签订后设备供货到位且安装调试验收合格后，采购人向中标供应商支付至合同价的100%。</w:t>
      </w:r>
    </w:p>
    <w:p w14:paraId="4BBEB61A">
      <w:pPr>
        <w:rPr>
          <w:rFonts w:hint="eastAsia" w:ascii="宋体" w:hAnsi="宋体" w:eastAsia="宋体" w:cs="宋体"/>
          <w:color w:val="000000" w:themeColor="text1"/>
          <w14:textFill>
            <w14:solidFill>
              <w14:schemeClr w14:val="tx1"/>
            </w14:solidFill>
          </w14:textFill>
        </w:rPr>
      </w:pPr>
    </w:p>
    <w:p w14:paraId="793EC171">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14:paraId="53416CB8">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1、除标注的参考品牌外，欢迎其它能满足本项目技术需求且性能与所注品牌相当的产品参与。</w:t>
      </w:r>
    </w:p>
    <w:p w14:paraId="71BC8A0D">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2、如有附图，仅作参考。</w:t>
      </w:r>
    </w:p>
    <w:p w14:paraId="46B04122">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3、打▲内容为实质性要求，不允许有负偏离，否则将以涉及无效投标条款作无效投标。</w:t>
      </w:r>
    </w:p>
    <w:p w14:paraId="19B25A77">
      <w:pPr>
        <w:spacing w:line="5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4、中标人所提供的货物、服务须与投标承诺一致，不得以次充好、偷工减料，若在项目验收中发现有上述情况，将向有关部门举报，根据相关规定进行处理。</w:t>
      </w:r>
    </w:p>
    <w:p w14:paraId="2C2AC70D">
      <w:pPr>
        <w:rPr>
          <w:rFonts w:hint="eastAsia" w:ascii="宋体" w:hAnsi="宋体" w:eastAsia="宋体" w:cs="宋体"/>
          <w:color w:val="000000" w:themeColor="text1"/>
          <w14:textFill>
            <w14:solidFill>
              <w14:schemeClr w14:val="tx1"/>
            </w14:solidFill>
          </w14:textFill>
        </w:rPr>
      </w:pPr>
    </w:p>
    <w:p w14:paraId="01957800">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37E71CE">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第四部分   </w:t>
      </w:r>
      <w:bookmarkStart w:id="5" w:name="_Toc184310282"/>
      <w:bookmarkEnd w:id="5"/>
      <w:bookmarkStart w:id="6" w:name="_Toc184308064"/>
      <w:bookmarkEnd w:id="6"/>
      <w:bookmarkStart w:id="7" w:name="_Toc184313264"/>
      <w:bookmarkEnd w:id="7"/>
      <w:bookmarkStart w:id="8" w:name="_Toc184312114"/>
      <w:bookmarkEnd w:id="8"/>
      <w:bookmarkStart w:id="9" w:name="_Toc184312123"/>
      <w:bookmarkEnd w:id="9"/>
      <w:bookmarkStart w:id="10" w:name="_Toc184310304"/>
      <w:bookmarkEnd w:id="10"/>
      <w:bookmarkStart w:id="11" w:name="_Toc184312084"/>
      <w:bookmarkEnd w:id="11"/>
      <w:bookmarkStart w:id="12" w:name="_Toc184312068"/>
      <w:bookmarkEnd w:id="12"/>
      <w:bookmarkStart w:id="13" w:name="_Toc184308066"/>
      <w:bookmarkEnd w:id="13"/>
      <w:bookmarkStart w:id="14" w:name="_Toc184310329"/>
      <w:bookmarkEnd w:id="14"/>
      <w:bookmarkStart w:id="15" w:name="_Toc184314482"/>
      <w:bookmarkEnd w:id="15"/>
      <w:bookmarkStart w:id="16" w:name="_Toc184312083"/>
      <w:bookmarkEnd w:id="16"/>
      <w:bookmarkStart w:id="17" w:name="_Toc184312116"/>
      <w:bookmarkEnd w:id="17"/>
      <w:bookmarkStart w:id="18" w:name="_Toc184310299"/>
      <w:bookmarkEnd w:id="18"/>
      <w:bookmarkStart w:id="19" w:name="_Toc184308098"/>
      <w:bookmarkEnd w:id="19"/>
      <w:bookmarkStart w:id="20" w:name="_Toc184313272"/>
      <w:bookmarkEnd w:id="20"/>
      <w:bookmarkStart w:id="21" w:name="_Toc184314459"/>
      <w:bookmarkEnd w:id="21"/>
      <w:bookmarkStart w:id="22" w:name="_Toc184312115"/>
      <w:bookmarkEnd w:id="22"/>
      <w:bookmarkStart w:id="23" w:name="_Toc184313244"/>
      <w:bookmarkEnd w:id="23"/>
      <w:bookmarkStart w:id="24" w:name="_Toc184310327"/>
      <w:bookmarkEnd w:id="24"/>
      <w:bookmarkStart w:id="25" w:name="_Toc184310289"/>
      <w:bookmarkEnd w:id="25"/>
      <w:bookmarkStart w:id="26" w:name="_Toc184310319"/>
      <w:bookmarkEnd w:id="26"/>
      <w:bookmarkStart w:id="27" w:name="_Toc184308074"/>
      <w:bookmarkEnd w:id="27"/>
      <w:bookmarkStart w:id="28" w:name="_Toc184312077"/>
      <w:bookmarkEnd w:id="28"/>
      <w:bookmarkStart w:id="29" w:name="_Toc184313249"/>
      <w:bookmarkEnd w:id="29"/>
      <w:bookmarkStart w:id="30" w:name="_Toc184312095"/>
      <w:bookmarkEnd w:id="30"/>
      <w:bookmarkStart w:id="31" w:name="_Toc184314477"/>
      <w:bookmarkEnd w:id="31"/>
      <w:bookmarkStart w:id="32" w:name="_Toc184310291"/>
      <w:bookmarkEnd w:id="32"/>
      <w:bookmarkStart w:id="33" w:name="_Toc184313282"/>
      <w:bookmarkEnd w:id="33"/>
      <w:bookmarkStart w:id="34" w:name="_Toc184312121"/>
      <w:bookmarkEnd w:id="34"/>
      <w:bookmarkStart w:id="35" w:name="_Toc184312079"/>
      <w:bookmarkEnd w:id="35"/>
      <w:bookmarkStart w:id="36" w:name="_Toc184314426"/>
      <w:bookmarkEnd w:id="36"/>
      <w:bookmarkStart w:id="37" w:name="_Toc184313253"/>
      <w:bookmarkEnd w:id="37"/>
      <w:bookmarkStart w:id="38" w:name="_Toc184314431"/>
      <w:bookmarkEnd w:id="38"/>
      <w:bookmarkStart w:id="39" w:name="_Toc184314439"/>
      <w:bookmarkEnd w:id="39"/>
      <w:bookmarkStart w:id="40" w:name="_Toc184313256"/>
      <w:bookmarkEnd w:id="40"/>
      <w:bookmarkStart w:id="41" w:name="_Toc184314436"/>
      <w:bookmarkEnd w:id="41"/>
      <w:bookmarkStart w:id="42" w:name="_Toc184313287"/>
      <w:bookmarkEnd w:id="42"/>
      <w:bookmarkStart w:id="43" w:name="_Toc184310310"/>
      <w:bookmarkEnd w:id="43"/>
      <w:bookmarkStart w:id="44" w:name="_Toc184310298"/>
      <w:bookmarkEnd w:id="44"/>
      <w:bookmarkStart w:id="45" w:name="_Toc184313284"/>
      <w:bookmarkEnd w:id="45"/>
      <w:bookmarkStart w:id="46" w:name="_Toc184308058"/>
      <w:bookmarkEnd w:id="46"/>
      <w:bookmarkStart w:id="47" w:name="_Toc184312085"/>
      <w:bookmarkEnd w:id="47"/>
      <w:bookmarkStart w:id="48" w:name="_Toc184310330"/>
      <w:bookmarkEnd w:id="48"/>
      <w:bookmarkStart w:id="49" w:name="_Toc184314428"/>
      <w:bookmarkEnd w:id="49"/>
      <w:bookmarkStart w:id="50" w:name="_Toc184312108"/>
      <w:bookmarkEnd w:id="50"/>
      <w:bookmarkStart w:id="51" w:name="_Toc184313245"/>
      <w:bookmarkEnd w:id="51"/>
      <w:bookmarkStart w:id="52" w:name="_Toc184313286"/>
      <w:bookmarkEnd w:id="52"/>
      <w:bookmarkStart w:id="53" w:name="_Toc184314455"/>
      <w:bookmarkEnd w:id="53"/>
      <w:bookmarkStart w:id="54" w:name="_Toc184314424"/>
      <w:bookmarkEnd w:id="54"/>
      <w:bookmarkStart w:id="55" w:name="_Toc184310296"/>
      <w:bookmarkEnd w:id="55"/>
      <w:bookmarkStart w:id="56" w:name="_Toc184313296"/>
      <w:bookmarkEnd w:id="56"/>
      <w:bookmarkStart w:id="57" w:name="_Toc184308093"/>
      <w:bookmarkEnd w:id="57"/>
      <w:bookmarkStart w:id="58" w:name="_Toc184310287"/>
      <w:bookmarkEnd w:id="58"/>
      <w:bookmarkStart w:id="59" w:name="_Toc184313263"/>
      <w:bookmarkEnd w:id="59"/>
      <w:bookmarkStart w:id="60" w:name="_Toc184310334"/>
      <w:bookmarkEnd w:id="60"/>
      <w:bookmarkStart w:id="61" w:name="_Toc184314448"/>
      <w:bookmarkEnd w:id="61"/>
      <w:bookmarkStart w:id="62" w:name="_Toc184308081"/>
      <w:bookmarkEnd w:id="62"/>
      <w:bookmarkStart w:id="63" w:name="_Toc184312119"/>
      <w:bookmarkEnd w:id="63"/>
      <w:bookmarkStart w:id="64" w:name="_Toc184310343"/>
      <w:bookmarkEnd w:id="64"/>
      <w:bookmarkStart w:id="65" w:name="_Toc184310278"/>
      <w:bookmarkEnd w:id="65"/>
      <w:bookmarkStart w:id="66" w:name="_Toc184313288"/>
      <w:bookmarkEnd w:id="66"/>
      <w:bookmarkStart w:id="67" w:name="_Toc184308078"/>
      <w:bookmarkEnd w:id="67"/>
      <w:bookmarkStart w:id="68" w:name="_Toc184314446"/>
      <w:bookmarkEnd w:id="68"/>
      <w:bookmarkStart w:id="69" w:name="_Toc184314450"/>
      <w:bookmarkEnd w:id="69"/>
      <w:bookmarkStart w:id="70" w:name="_Toc184308084"/>
      <w:bookmarkEnd w:id="70"/>
      <w:bookmarkStart w:id="71" w:name="_Toc184313259"/>
      <w:bookmarkEnd w:id="71"/>
      <w:bookmarkStart w:id="72" w:name="_Toc184313310"/>
      <w:bookmarkEnd w:id="72"/>
      <w:bookmarkStart w:id="73" w:name="_Toc184313247"/>
      <w:bookmarkEnd w:id="73"/>
      <w:bookmarkStart w:id="74" w:name="_Toc184314444"/>
      <w:bookmarkEnd w:id="74"/>
      <w:bookmarkStart w:id="75" w:name="_Toc184312113"/>
      <w:bookmarkEnd w:id="75"/>
      <w:bookmarkStart w:id="76" w:name="_Toc184308040"/>
      <w:bookmarkEnd w:id="76"/>
      <w:bookmarkStart w:id="77" w:name="_Toc184313273"/>
      <w:bookmarkEnd w:id="77"/>
      <w:bookmarkStart w:id="78" w:name="_Toc184310321"/>
      <w:bookmarkEnd w:id="78"/>
      <w:bookmarkStart w:id="79" w:name="_Toc184314451"/>
      <w:bookmarkEnd w:id="79"/>
      <w:bookmarkStart w:id="80" w:name="_Toc184314460"/>
      <w:bookmarkEnd w:id="80"/>
      <w:bookmarkStart w:id="81" w:name="_Toc184310333"/>
      <w:bookmarkEnd w:id="81"/>
      <w:bookmarkStart w:id="82" w:name="_Toc184313299"/>
      <w:bookmarkEnd w:id="82"/>
      <w:bookmarkStart w:id="83" w:name="_Toc184314479"/>
      <w:bookmarkEnd w:id="83"/>
      <w:bookmarkStart w:id="84" w:name="_Toc184312071"/>
      <w:bookmarkEnd w:id="84"/>
      <w:bookmarkStart w:id="85" w:name="_Toc184308083"/>
      <w:bookmarkEnd w:id="85"/>
      <w:bookmarkStart w:id="86" w:name="_Toc184310322"/>
      <w:bookmarkEnd w:id="86"/>
      <w:bookmarkStart w:id="87" w:name="_Toc184308108"/>
      <w:bookmarkEnd w:id="87"/>
      <w:bookmarkStart w:id="88" w:name="_Toc184313240"/>
      <w:bookmarkEnd w:id="88"/>
      <w:bookmarkStart w:id="89" w:name="_Toc184312125"/>
      <w:bookmarkEnd w:id="89"/>
      <w:bookmarkStart w:id="90" w:name="_Toc184308068"/>
      <w:bookmarkEnd w:id="90"/>
      <w:bookmarkStart w:id="91" w:name="_Toc184314447"/>
      <w:bookmarkEnd w:id="91"/>
      <w:bookmarkStart w:id="92" w:name="_Toc184314412"/>
      <w:bookmarkEnd w:id="92"/>
      <w:bookmarkStart w:id="93" w:name="_Toc184314416"/>
      <w:bookmarkEnd w:id="93"/>
      <w:bookmarkStart w:id="94" w:name="_Toc184314473"/>
      <w:bookmarkEnd w:id="94"/>
      <w:bookmarkStart w:id="95" w:name="_Toc184308105"/>
      <w:bookmarkEnd w:id="95"/>
      <w:bookmarkStart w:id="96" w:name="_Toc184312081"/>
      <w:bookmarkEnd w:id="96"/>
      <w:bookmarkStart w:id="97" w:name="_Toc184314442"/>
      <w:bookmarkEnd w:id="97"/>
      <w:bookmarkStart w:id="98" w:name="_Toc184314456"/>
      <w:bookmarkEnd w:id="98"/>
      <w:bookmarkStart w:id="99" w:name="_Toc184308041"/>
      <w:bookmarkEnd w:id="99"/>
      <w:bookmarkStart w:id="100" w:name="_Toc184313309"/>
      <w:bookmarkEnd w:id="100"/>
      <w:bookmarkStart w:id="101" w:name="_Toc184313297"/>
      <w:bookmarkEnd w:id="101"/>
      <w:bookmarkStart w:id="102" w:name="_Toc184313308"/>
      <w:bookmarkEnd w:id="102"/>
      <w:bookmarkStart w:id="103" w:name="_Toc184308092"/>
      <w:bookmarkEnd w:id="103"/>
      <w:bookmarkStart w:id="104" w:name="_Toc184314434"/>
      <w:bookmarkEnd w:id="104"/>
      <w:bookmarkStart w:id="105" w:name="_Toc184308060"/>
      <w:bookmarkEnd w:id="105"/>
      <w:bookmarkStart w:id="106" w:name="_Toc184310342"/>
      <w:bookmarkEnd w:id="106"/>
      <w:bookmarkStart w:id="107" w:name="_Toc184308069"/>
      <w:bookmarkEnd w:id="107"/>
      <w:bookmarkStart w:id="108" w:name="_Toc184314421"/>
      <w:bookmarkEnd w:id="108"/>
      <w:bookmarkStart w:id="109" w:name="_Toc184312088"/>
      <w:bookmarkEnd w:id="109"/>
      <w:bookmarkStart w:id="110" w:name="_Toc184312122"/>
      <w:bookmarkEnd w:id="110"/>
      <w:bookmarkStart w:id="111" w:name="_Toc184313239"/>
      <w:bookmarkEnd w:id="111"/>
      <w:bookmarkStart w:id="112" w:name="_Toc184312127"/>
      <w:bookmarkEnd w:id="112"/>
      <w:bookmarkStart w:id="113" w:name="_Toc184313302"/>
      <w:bookmarkEnd w:id="113"/>
      <w:bookmarkStart w:id="114" w:name="_Toc184312110"/>
      <w:bookmarkEnd w:id="114"/>
      <w:bookmarkStart w:id="115" w:name="_Toc184308087"/>
      <w:bookmarkEnd w:id="115"/>
      <w:bookmarkStart w:id="116" w:name="_Toc184314441"/>
      <w:bookmarkEnd w:id="116"/>
      <w:bookmarkStart w:id="117" w:name="_Toc184312076"/>
      <w:bookmarkEnd w:id="117"/>
      <w:bookmarkStart w:id="118" w:name="_Toc184313283"/>
      <w:bookmarkEnd w:id="118"/>
      <w:bookmarkStart w:id="119" w:name="_Toc184314468"/>
      <w:bookmarkEnd w:id="119"/>
      <w:bookmarkStart w:id="120" w:name="_Toc184312137"/>
      <w:bookmarkEnd w:id="120"/>
      <w:bookmarkStart w:id="121" w:name="_Toc184308099"/>
      <w:bookmarkEnd w:id="121"/>
      <w:bookmarkStart w:id="122" w:name="_Toc184312126"/>
      <w:bookmarkEnd w:id="122"/>
      <w:bookmarkStart w:id="123" w:name="_Toc184314413"/>
      <w:bookmarkEnd w:id="123"/>
      <w:bookmarkStart w:id="124" w:name="_Toc184313303"/>
      <w:bookmarkEnd w:id="124"/>
      <w:bookmarkStart w:id="125" w:name="_Toc184313292"/>
      <w:bookmarkEnd w:id="125"/>
      <w:bookmarkStart w:id="126" w:name="_Toc184310292"/>
      <w:bookmarkEnd w:id="126"/>
      <w:bookmarkStart w:id="127" w:name="_Toc184308095"/>
      <w:bookmarkEnd w:id="127"/>
      <w:bookmarkStart w:id="128" w:name="_Toc184313270"/>
      <w:bookmarkEnd w:id="128"/>
      <w:bookmarkStart w:id="129" w:name="_Toc184308049"/>
      <w:bookmarkEnd w:id="129"/>
      <w:bookmarkStart w:id="130" w:name="_Toc184313279"/>
      <w:bookmarkEnd w:id="130"/>
      <w:bookmarkStart w:id="131" w:name="_Toc184314476"/>
      <w:bookmarkEnd w:id="131"/>
      <w:bookmarkStart w:id="132" w:name="_Toc184314422"/>
      <w:bookmarkEnd w:id="132"/>
      <w:bookmarkStart w:id="133" w:name="_Toc184313252"/>
      <w:bookmarkEnd w:id="133"/>
      <w:bookmarkStart w:id="134" w:name="_Toc184310341"/>
      <w:bookmarkEnd w:id="134"/>
      <w:bookmarkStart w:id="135" w:name="_Toc184310285"/>
      <w:bookmarkEnd w:id="135"/>
      <w:bookmarkStart w:id="136" w:name="_Toc184308091"/>
      <w:bookmarkEnd w:id="136"/>
      <w:bookmarkStart w:id="137" w:name="_Toc184314474"/>
      <w:bookmarkEnd w:id="137"/>
      <w:bookmarkStart w:id="138" w:name="_Toc184310277"/>
      <w:bookmarkEnd w:id="138"/>
      <w:bookmarkStart w:id="139" w:name="_Toc184314423"/>
      <w:bookmarkEnd w:id="139"/>
      <w:bookmarkStart w:id="140" w:name="_Toc184313246"/>
      <w:bookmarkEnd w:id="140"/>
      <w:bookmarkStart w:id="141" w:name="_Toc184310297"/>
      <w:bookmarkEnd w:id="141"/>
      <w:bookmarkStart w:id="142" w:name="_Toc184308047"/>
      <w:bookmarkEnd w:id="142"/>
      <w:bookmarkStart w:id="143" w:name="_Toc184312129"/>
      <w:bookmarkEnd w:id="143"/>
      <w:bookmarkStart w:id="144" w:name="_Toc184312138"/>
      <w:bookmarkEnd w:id="144"/>
      <w:bookmarkStart w:id="145" w:name="_Toc184308072"/>
      <w:bookmarkEnd w:id="145"/>
      <w:bookmarkStart w:id="146" w:name="_Toc184314437"/>
      <w:bookmarkEnd w:id="146"/>
      <w:bookmarkStart w:id="147" w:name="_Toc184310315"/>
      <w:bookmarkEnd w:id="147"/>
      <w:bookmarkStart w:id="148" w:name="_Toc184314475"/>
      <w:bookmarkEnd w:id="148"/>
      <w:bookmarkStart w:id="149" w:name="_Toc184310340"/>
      <w:bookmarkEnd w:id="149"/>
      <w:bookmarkStart w:id="150" w:name="_Toc184313258"/>
      <w:bookmarkEnd w:id="150"/>
      <w:bookmarkStart w:id="151" w:name="_Toc184313251"/>
      <w:bookmarkEnd w:id="151"/>
      <w:bookmarkStart w:id="152" w:name="_Toc184312133"/>
      <w:bookmarkEnd w:id="152"/>
      <w:bookmarkStart w:id="153" w:name="_Toc184312132"/>
      <w:bookmarkEnd w:id="153"/>
      <w:bookmarkStart w:id="154" w:name="_Toc184310286"/>
      <w:bookmarkEnd w:id="154"/>
      <w:bookmarkStart w:id="155" w:name="_Toc184308086"/>
      <w:bookmarkEnd w:id="155"/>
      <w:bookmarkStart w:id="156" w:name="_Toc184312131"/>
      <w:bookmarkEnd w:id="156"/>
      <w:bookmarkStart w:id="157" w:name="_Toc184308107"/>
      <w:bookmarkEnd w:id="157"/>
      <w:bookmarkStart w:id="158" w:name="_Toc184312097"/>
      <w:bookmarkEnd w:id="158"/>
      <w:bookmarkStart w:id="159" w:name="_Toc184314470"/>
      <w:bookmarkEnd w:id="159"/>
      <w:bookmarkStart w:id="160" w:name="_Toc184310317"/>
      <w:bookmarkEnd w:id="160"/>
      <w:bookmarkStart w:id="161" w:name="_Toc184313298"/>
      <w:bookmarkEnd w:id="161"/>
      <w:bookmarkStart w:id="162" w:name="_Toc184313281"/>
      <w:bookmarkEnd w:id="162"/>
      <w:bookmarkStart w:id="163" w:name="_Toc184308055"/>
      <w:bookmarkEnd w:id="163"/>
      <w:bookmarkStart w:id="164" w:name="_Toc184310305"/>
      <w:bookmarkEnd w:id="164"/>
      <w:bookmarkStart w:id="165" w:name="_Toc184310335"/>
      <w:bookmarkEnd w:id="165"/>
      <w:bookmarkStart w:id="166" w:name="_Toc184314481"/>
      <w:bookmarkEnd w:id="166"/>
      <w:bookmarkStart w:id="167" w:name="_Toc184312096"/>
      <w:bookmarkEnd w:id="167"/>
      <w:bookmarkStart w:id="168" w:name="_Toc184310293"/>
      <w:bookmarkEnd w:id="168"/>
      <w:bookmarkStart w:id="169" w:name="_Toc184313269"/>
      <w:bookmarkEnd w:id="169"/>
      <w:bookmarkStart w:id="170" w:name="_Toc184308039"/>
      <w:bookmarkEnd w:id="170"/>
      <w:bookmarkStart w:id="171" w:name="_Toc184312101"/>
      <w:bookmarkEnd w:id="171"/>
      <w:bookmarkStart w:id="172" w:name="_Toc184310336"/>
      <w:bookmarkEnd w:id="172"/>
      <w:bookmarkStart w:id="173" w:name="_Toc184308070"/>
      <w:bookmarkEnd w:id="173"/>
      <w:bookmarkStart w:id="174" w:name="_Toc184310301"/>
      <w:bookmarkEnd w:id="174"/>
      <w:bookmarkStart w:id="175" w:name="_Toc184314469"/>
      <w:bookmarkEnd w:id="175"/>
      <w:bookmarkStart w:id="176" w:name="_Toc184308044"/>
      <w:bookmarkEnd w:id="176"/>
      <w:bookmarkStart w:id="177" w:name="_Toc184308054"/>
      <w:bookmarkEnd w:id="177"/>
      <w:bookmarkStart w:id="178" w:name="_Toc184313278"/>
      <w:bookmarkEnd w:id="178"/>
      <w:bookmarkStart w:id="179" w:name="_Toc184314438"/>
      <w:bookmarkEnd w:id="179"/>
      <w:bookmarkStart w:id="180" w:name="_Toc184312135"/>
      <w:bookmarkEnd w:id="180"/>
      <w:bookmarkStart w:id="181" w:name="_Toc184310290"/>
      <w:bookmarkEnd w:id="181"/>
      <w:bookmarkStart w:id="182" w:name="_Toc184308104"/>
      <w:bookmarkEnd w:id="182"/>
      <w:bookmarkStart w:id="183" w:name="_Toc184310275"/>
      <w:bookmarkEnd w:id="183"/>
      <w:bookmarkStart w:id="184" w:name="_Toc184314419"/>
      <w:bookmarkEnd w:id="184"/>
      <w:bookmarkStart w:id="185" w:name="_Toc184308056"/>
      <w:bookmarkEnd w:id="185"/>
      <w:bookmarkStart w:id="186" w:name="_Toc184312072"/>
      <w:bookmarkEnd w:id="186"/>
      <w:bookmarkStart w:id="187" w:name="_Toc184310332"/>
      <w:bookmarkEnd w:id="187"/>
      <w:bookmarkStart w:id="188" w:name="_Toc184310313"/>
      <w:bookmarkEnd w:id="188"/>
      <w:bookmarkStart w:id="189" w:name="_Toc184312111"/>
      <w:bookmarkEnd w:id="189"/>
      <w:bookmarkStart w:id="190" w:name="_Toc184312069"/>
      <w:bookmarkEnd w:id="190"/>
      <w:bookmarkStart w:id="191" w:name="_Toc184308062"/>
      <w:bookmarkEnd w:id="191"/>
      <w:bookmarkStart w:id="192" w:name="_Toc184310308"/>
      <w:bookmarkEnd w:id="192"/>
      <w:bookmarkStart w:id="193" w:name="_Toc184313265"/>
      <w:bookmarkEnd w:id="193"/>
      <w:bookmarkStart w:id="194" w:name="_Toc184308085"/>
      <w:bookmarkEnd w:id="194"/>
      <w:bookmarkStart w:id="195" w:name="_Toc184308059"/>
      <w:bookmarkEnd w:id="195"/>
      <w:bookmarkStart w:id="196" w:name="_Toc184312107"/>
      <w:bookmarkEnd w:id="196"/>
      <w:bookmarkStart w:id="197" w:name="_Toc184312100"/>
      <w:bookmarkEnd w:id="197"/>
      <w:bookmarkStart w:id="198" w:name="_Toc184312139"/>
      <w:bookmarkEnd w:id="198"/>
      <w:bookmarkStart w:id="199" w:name="_Toc184314443"/>
      <w:bookmarkEnd w:id="199"/>
      <w:bookmarkStart w:id="200" w:name="_Toc184310302"/>
      <w:bookmarkEnd w:id="200"/>
      <w:bookmarkStart w:id="201" w:name="_Toc184308089"/>
      <w:bookmarkEnd w:id="201"/>
      <w:bookmarkStart w:id="202" w:name="_Toc184314463"/>
      <w:bookmarkEnd w:id="202"/>
      <w:bookmarkStart w:id="203" w:name="_Toc184308090"/>
      <w:bookmarkEnd w:id="203"/>
      <w:bookmarkStart w:id="204" w:name="_Toc184308076"/>
      <w:bookmarkEnd w:id="204"/>
      <w:bookmarkStart w:id="205" w:name="_Toc184310324"/>
      <w:bookmarkEnd w:id="205"/>
      <w:bookmarkStart w:id="206" w:name="_Toc184314461"/>
      <w:bookmarkEnd w:id="206"/>
      <w:bookmarkStart w:id="207" w:name="_Toc184308038"/>
      <w:bookmarkEnd w:id="207"/>
      <w:bookmarkStart w:id="208" w:name="_Toc184313250"/>
      <w:bookmarkEnd w:id="208"/>
      <w:bookmarkStart w:id="209" w:name="_Toc184314453"/>
      <w:bookmarkEnd w:id="209"/>
      <w:bookmarkStart w:id="210" w:name="_Toc184310337"/>
      <w:bookmarkEnd w:id="210"/>
      <w:bookmarkStart w:id="211" w:name="_Toc184310326"/>
      <w:bookmarkEnd w:id="211"/>
      <w:bookmarkStart w:id="212" w:name="_Toc184312134"/>
      <w:bookmarkEnd w:id="212"/>
      <w:bookmarkStart w:id="213" w:name="_Toc184308061"/>
      <w:bookmarkEnd w:id="213"/>
      <w:bookmarkStart w:id="214" w:name="_Toc184312070"/>
      <w:bookmarkEnd w:id="214"/>
      <w:bookmarkStart w:id="215" w:name="_Toc184308094"/>
      <w:bookmarkEnd w:id="215"/>
      <w:bookmarkStart w:id="216" w:name="_Toc184310272"/>
      <w:bookmarkEnd w:id="216"/>
      <w:bookmarkStart w:id="217" w:name="_Toc184313307"/>
      <w:bookmarkEnd w:id="217"/>
      <w:bookmarkStart w:id="218" w:name="_Toc184313306"/>
      <w:bookmarkEnd w:id="218"/>
      <w:bookmarkStart w:id="219" w:name="_Toc184312103"/>
      <w:bookmarkEnd w:id="219"/>
      <w:bookmarkStart w:id="220" w:name="_Toc184314478"/>
      <w:bookmarkEnd w:id="220"/>
      <w:bookmarkStart w:id="221" w:name="_Toc184313274"/>
      <w:bookmarkEnd w:id="221"/>
      <w:bookmarkStart w:id="222" w:name="_Toc184313294"/>
      <w:bookmarkEnd w:id="222"/>
      <w:bookmarkStart w:id="223" w:name="_Toc184313289"/>
      <w:bookmarkEnd w:id="223"/>
      <w:bookmarkStart w:id="224" w:name="_Toc184308097"/>
      <w:bookmarkEnd w:id="224"/>
      <w:bookmarkStart w:id="225" w:name="_Toc184312082"/>
      <w:bookmarkEnd w:id="225"/>
      <w:bookmarkStart w:id="226" w:name="_Toc184308042"/>
      <w:bookmarkEnd w:id="226"/>
      <w:bookmarkStart w:id="227" w:name="_Toc184310312"/>
      <w:bookmarkEnd w:id="227"/>
      <w:bookmarkStart w:id="228" w:name="_Toc184314462"/>
      <w:bookmarkEnd w:id="228"/>
      <w:bookmarkStart w:id="229" w:name="_Toc184312136"/>
      <w:bookmarkEnd w:id="229"/>
      <w:bookmarkStart w:id="230" w:name="_Toc184314425"/>
      <w:bookmarkEnd w:id="230"/>
      <w:bookmarkStart w:id="231" w:name="_Toc184310314"/>
      <w:bookmarkEnd w:id="231"/>
      <w:bookmarkStart w:id="232" w:name="_Toc184312104"/>
      <w:bookmarkEnd w:id="232"/>
      <w:bookmarkStart w:id="233" w:name="_Toc184312075"/>
      <w:bookmarkEnd w:id="233"/>
      <w:bookmarkStart w:id="234" w:name="_Toc184314427"/>
      <w:bookmarkEnd w:id="234"/>
      <w:bookmarkStart w:id="235" w:name="_Toc184313242"/>
      <w:bookmarkEnd w:id="235"/>
      <w:bookmarkStart w:id="236" w:name="_Toc184310331"/>
      <w:bookmarkEnd w:id="236"/>
      <w:bookmarkStart w:id="237" w:name="_Toc184312078"/>
      <w:bookmarkEnd w:id="237"/>
      <w:bookmarkStart w:id="238" w:name="_Toc184310328"/>
      <w:bookmarkEnd w:id="238"/>
      <w:bookmarkStart w:id="239" w:name="_Toc184313304"/>
      <w:bookmarkEnd w:id="239"/>
      <w:bookmarkStart w:id="240" w:name="_Toc184313260"/>
      <w:bookmarkEnd w:id="240"/>
      <w:bookmarkStart w:id="241" w:name="_Toc184314466"/>
      <w:bookmarkEnd w:id="241"/>
      <w:bookmarkStart w:id="242" w:name="_Toc184313300"/>
      <w:bookmarkEnd w:id="242"/>
      <w:bookmarkStart w:id="243" w:name="_Toc184313257"/>
      <w:bookmarkEnd w:id="243"/>
      <w:bookmarkStart w:id="244" w:name="_Toc184314467"/>
      <w:bookmarkEnd w:id="244"/>
      <w:bookmarkStart w:id="245" w:name="_Toc184314454"/>
      <w:bookmarkEnd w:id="245"/>
      <w:bookmarkStart w:id="246" w:name="_Toc184312128"/>
      <w:bookmarkEnd w:id="246"/>
      <w:bookmarkStart w:id="247" w:name="_Toc184313290"/>
      <w:bookmarkEnd w:id="247"/>
      <w:bookmarkStart w:id="248" w:name="_Toc184313243"/>
      <w:bookmarkEnd w:id="248"/>
      <w:bookmarkStart w:id="249" w:name="_Toc184312089"/>
      <w:bookmarkEnd w:id="249"/>
      <w:bookmarkStart w:id="250" w:name="_Toc184313261"/>
      <w:bookmarkEnd w:id="250"/>
      <w:bookmarkStart w:id="251" w:name="_Toc184310338"/>
      <w:bookmarkEnd w:id="251"/>
      <w:bookmarkStart w:id="252" w:name="_Toc184308103"/>
      <w:bookmarkEnd w:id="252"/>
      <w:bookmarkStart w:id="253" w:name="_Toc184314414"/>
      <w:bookmarkEnd w:id="253"/>
      <w:bookmarkStart w:id="254" w:name="_Toc184314420"/>
      <w:bookmarkEnd w:id="254"/>
      <w:bookmarkStart w:id="255" w:name="_Toc184314440"/>
      <w:bookmarkEnd w:id="255"/>
      <w:bookmarkStart w:id="256" w:name="_Toc184310344"/>
      <w:bookmarkEnd w:id="256"/>
      <w:bookmarkStart w:id="257" w:name="_Toc184308036"/>
      <w:bookmarkEnd w:id="257"/>
      <w:bookmarkStart w:id="258" w:name="_Toc184314464"/>
      <w:bookmarkEnd w:id="258"/>
      <w:bookmarkStart w:id="259" w:name="_Toc184308046"/>
      <w:bookmarkEnd w:id="259"/>
      <w:bookmarkStart w:id="260" w:name="_Toc184308067"/>
      <w:bookmarkEnd w:id="260"/>
      <w:bookmarkStart w:id="261" w:name="_Toc184313301"/>
      <w:bookmarkEnd w:id="261"/>
      <w:bookmarkStart w:id="262" w:name="_Toc184310279"/>
      <w:bookmarkEnd w:id="262"/>
      <w:bookmarkStart w:id="263" w:name="_Toc184308073"/>
      <w:bookmarkEnd w:id="263"/>
      <w:bookmarkStart w:id="264" w:name="_Toc184314480"/>
      <w:bookmarkEnd w:id="264"/>
      <w:bookmarkStart w:id="265" w:name="_Toc184308096"/>
      <w:bookmarkEnd w:id="265"/>
      <w:bookmarkStart w:id="266" w:name="_Toc184314471"/>
      <w:bookmarkEnd w:id="266"/>
      <w:bookmarkStart w:id="267" w:name="_Toc184308071"/>
      <w:bookmarkEnd w:id="267"/>
      <w:bookmarkStart w:id="268" w:name="_Toc184312117"/>
      <w:bookmarkEnd w:id="268"/>
      <w:bookmarkStart w:id="269" w:name="_Toc184314429"/>
      <w:bookmarkEnd w:id="269"/>
      <w:bookmarkStart w:id="270" w:name="_Toc184313254"/>
      <w:bookmarkEnd w:id="270"/>
      <w:bookmarkStart w:id="271" w:name="_Toc184308080"/>
      <w:bookmarkEnd w:id="271"/>
      <w:bookmarkStart w:id="272" w:name="_Toc184312067"/>
      <w:bookmarkEnd w:id="272"/>
      <w:bookmarkStart w:id="273" w:name="_Toc184308045"/>
      <w:bookmarkEnd w:id="273"/>
      <w:bookmarkStart w:id="274" w:name="_Toc184312073"/>
      <w:bookmarkEnd w:id="274"/>
      <w:bookmarkStart w:id="275" w:name="_Toc184308088"/>
      <w:bookmarkEnd w:id="275"/>
      <w:bookmarkStart w:id="276" w:name="_Toc184313285"/>
      <w:bookmarkEnd w:id="276"/>
      <w:bookmarkStart w:id="277" w:name="_Toc184308057"/>
      <w:bookmarkEnd w:id="277"/>
      <w:bookmarkStart w:id="278" w:name="_Toc184314432"/>
      <w:bookmarkEnd w:id="278"/>
      <w:bookmarkStart w:id="279" w:name="_Toc184312112"/>
      <w:bookmarkEnd w:id="279"/>
      <w:bookmarkStart w:id="280" w:name="_Toc184308037"/>
      <w:bookmarkEnd w:id="280"/>
      <w:bookmarkStart w:id="281" w:name="_Toc184308106"/>
      <w:bookmarkEnd w:id="281"/>
      <w:bookmarkStart w:id="282" w:name="_Toc184310309"/>
      <w:bookmarkEnd w:id="282"/>
      <w:bookmarkStart w:id="283" w:name="_Toc184310280"/>
      <w:bookmarkEnd w:id="283"/>
      <w:bookmarkStart w:id="284" w:name="_Toc184308077"/>
      <w:bookmarkEnd w:id="284"/>
      <w:bookmarkStart w:id="285" w:name="_Toc184310281"/>
      <w:bookmarkEnd w:id="285"/>
      <w:bookmarkStart w:id="286" w:name="_Toc184310294"/>
      <w:bookmarkEnd w:id="286"/>
      <w:bookmarkStart w:id="287" w:name="_Toc184308101"/>
      <w:bookmarkEnd w:id="287"/>
      <w:bookmarkStart w:id="288" w:name="_Toc184313248"/>
      <w:bookmarkEnd w:id="288"/>
      <w:bookmarkStart w:id="289" w:name="_Toc184312098"/>
      <w:bookmarkEnd w:id="289"/>
      <w:bookmarkStart w:id="290" w:name="_Toc184314411"/>
      <w:bookmarkEnd w:id="290"/>
      <w:bookmarkStart w:id="291" w:name="_Toc184313262"/>
      <w:bookmarkEnd w:id="291"/>
      <w:bookmarkStart w:id="292" w:name="_Toc184313293"/>
      <w:bookmarkEnd w:id="292"/>
      <w:bookmarkStart w:id="293" w:name="_Toc184312094"/>
      <w:bookmarkEnd w:id="293"/>
      <w:bookmarkStart w:id="294" w:name="_Toc184314435"/>
      <w:bookmarkEnd w:id="294"/>
      <w:bookmarkStart w:id="295" w:name="_Toc184310318"/>
      <w:bookmarkEnd w:id="295"/>
      <w:bookmarkStart w:id="296" w:name="_Toc184313271"/>
      <w:bookmarkEnd w:id="296"/>
      <w:bookmarkStart w:id="297" w:name="_Toc184313276"/>
      <w:bookmarkEnd w:id="297"/>
      <w:bookmarkStart w:id="298" w:name="_Toc184310307"/>
      <w:bookmarkEnd w:id="298"/>
      <w:bookmarkStart w:id="299" w:name="_Toc184314452"/>
      <w:bookmarkEnd w:id="299"/>
      <w:bookmarkStart w:id="300" w:name="_Toc184312109"/>
      <w:bookmarkEnd w:id="300"/>
      <w:bookmarkStart w:id="301" w:name="_Toc184308043"/>
      <w:bookmarkEnd w:id="301"/>
      <w:bookmarkStart w:id="302" w:name="_Toc184312120"/>
      <w:bookmarkEnd w:id="302"/>
      <w:bookmarkStart w:id="303" w:name="_Toc184310288"/>
      <w:bookmarkEnd w:id="303"/>
      <w:bookmarkStart w:id="304" w:name="_Toc184312074"/>
      <w:bookmarkEnd w:id="304"/>
      <w:bookmarkStart w:id="305" w:name="_Toc184308065"/>
      <w:bookmarkEnd w:id="305"/>
      <w:bookmarkStart w:id="306" w:name="_Toc184314457"/>
      <w:bookmarkEnd w:id="306"/>
      <w:bookmarkStart w:id="307" w:name="_Toc184314465"/>
      <w:bookmarkEnd w:id="307"/>
      <w:bookmarkStart w:id="308" w:name="_Toc184312091"/>
      <w:bookmarkEnd w:id="308"/>
      <w:bookmarkStart w:id="309" w:name="_Toc184312093"/>
      <w:bookmarkEnd w:id="309"/>
      <w:bookmarkStart w:id="310" w:name="_Toc184310273"/>
      <w:bookmarkEnd w:id="310"/>
      <w:bookmarkStart w:id="311" w:name="_Toc184314458"/>
      <w:bookmarkEnd w:id="311"/>
      <w:bookmarkStart w:id="312" w:name="_Toc184310303"/>
      <w:bookmarkEnd w:id="312"/>
      <w:bookmarkStart w:id="313" w:name="_Toc184310284"/>
      <w:bookmarkEnd w:id="313"/>
      <w:bookmarkStart w:id="314" w:name="_Toc184308051"/>
      <w:bookmarkEnd w:id="314"/>
      <w:bookmarkStart w:id="315" w:name="_Toc184314418"/>
      <w:bookmarkEnd w:id="315"/>
      <w:bookmarkStart w:id="316" w:name="_Toc184312118"/>
      <w:bookmarkEnd w:id="316"/>
      <w:bookmarkStart w:id="317" w:name="_Toc184308079"/>
      <w:bookmarkEnd w:id="317"/>
      <w:bookmarkStart w:id="318" w:name="_Toc184314430"/>
      <w:bookmarkEnd w:id="318"/>
      <w:bookmarkStart w:id="319" w:name="_Toc184313291"/>
      <w:bookmarkEnd w:id="319"/>
      <w:bookmarkStart w:id="320" w:name="_Toc184308050"/>
      <w:bookmarkEnd w:id="320"/>
      <w:bookmarkStart w:id="321" w:name="_Toc184313305"/>
      <w:bookmarkEnd w:id="321"/>
      <w:bookmarkStart w:id="322" w:name="_Toc184313266"/>
      <w:bookmarkEnd w:id="322"/>
      <w:bookmarkStart w:id="323" w:name="_Toc184313277"/>
      <w:bookmarkEnd w:id="323"/>
      <w:bookmarkStart w:id="324" w:name="_Toc184308053"/>
      <w:bookmarkEnd w:id="324"/>
      <w:bookmarkStart w:id="325" w:name="_Toc184313275"/>
      <w:bookmarkEnd w:id="325"/>
      <w:bookmarkStart w:id="326" w:name="_Toc184312092"/>
      <w:bookmarkEnd w:id="326"/>
      <w:bookmarkStart w:id="327" w:name="_Toc184313238"/>
      <w:bookmarkEnd w:id="327"/>
      <w:bookmarkStart w:id="328" w:name="_Toc184312130"/>
      <w:bookmarkEnd w:id="328"/>
      <w:bookmarkStart w:id="329" w:name="_Toc184310306"/>
      <w:bookmarkEnd w:id="329"/>
      <w:bookmarkStart w:id="330" w:name="_Toc184313241"/>
      <w:bookmarkEnd w:id="330"/>
      <w:bookmarkStart w:id="331" w:name="_Toc184310339"/>
      <w:bookmarkEnd w:id="331"/>
      <w:bookmarkStart w:id="332" w:name="_Toc184314445"/>
      <w:bookmarkEnd w:id="332"/>
      <w:bookmarkStart w:id="333" w:name="_Toc184312080"/>
      <w:bookmarkEnd w:id="333"/>
      <w:bookmarkStart w:id="334" w:name="_Toc184312086"/>
      <w:bookmarkEnd w:id="334"/>
      <w:bookmarkStart w:id="335" w:name="_Toc184312105"/>
      <w:bookmarkEnd w:id="335"/>
      <w:bookmarkStart w:id="336" w:name="_Toc184308100"/>
      <w:bookmarkEnd w:id="336"/>
      <w:bookmarkStart w:id="337" w:name="_Toc184308102"/>
      <w:bookmarkEnd w:id="337"/>
      <w:bookmarkStart w:id="338" w:name="_Toc184308052"/>
      <w:bookmarkEnd w:id="338"/>
      <w:bookmarkStart w:id="339" w:name="_Toc184312124"/>
      <w:bookmarkEnd w:id="339"/>
      <w:bookmarkStart w:id="340" w:name="_Toc184314449"/>
      <w:bookmarkEnd w:id="340"/>
      <w:bookmarkStart w:id="341" w:name="_Toc184314417"/>
      <w:bookmarkEnd w:id="341"/>
      <w:bookmarkStart w:id="342" w:name="_Toc184312090"/>
      <w:bookmarkEnd w:id="342"/>
      <w:bookmarkStart w:id="343" w:name="_Toc184314472"/>
      <w:bookmarkEnd w:id="343"/>
      <w:bookmarkStart w:id="344" w:name="_Toc184310274"/>
      <w:bookmarkEnd w:id="344"/>
      <w:bookmarkStart w:id="345" w:name="_Toc184310283"/>
      <w:bookmarkEnd w:id="345"/>
      <w:bookmarkStart w:id="346" w:name="_Toc184308075"/>
      <w:bookmarkEnd w:id="346"/>
      <w:bookmarkStart w:id="347" w:name="_Toc184310323"/>
      <w:bookmarkEnd w:id="347"/>
      <w:bookmarkStart w:id="348" w:name="_Toc184308048"/>
      <w:bookmarkEnd w:id="348"/>
      <w:bookmarkStart w:id="349" w:name="_Toc184313267"/>
      <w:bookmarkEnd w:id="349"/>
      <w:bookmarkStart w:id="350" w:name="_Toc184312102"/>
      <w:bookmarkEnd w:id="350"/>
      <w:bookmarkStart w:id="351" w:name="_Toc184314410"/>
      <w:bookmarkEnd w:id="351"/>
      <w:bookmarkStart w:id="352" w:name="_Toc184308082"/>
      <w:bookmarkEnd w:id="352"/>
      <w:bookmarkStart w:id="353" w:name="_Toc184310276"/>
      <w:bookmarkEnd w:id="353"/>
      <w:bookmarkStart w:id="354" w:name="_Toc184312099"/>
      <w:bookmarkEnd w:id="354"/>
      <w:bookmarkStart w:id="355" w:name="_Toc184312106"/>
      <w:bookmarkEnd w:id="355"/>
      <w:bookmarkStart w:id="356" w:name="_Toc184313268"/>
      <w:bookmarkEnd w:id="356"/>
      <w:bookmarkStart w:id="357" w:name="_Toc184308063"/>
      <w:bookmarkEnd w:id="357"/>
      <w:bookmarkStart w:id="358" w:name="_Toc184314415"/>
      <w:bookmarkEnd w:id="358"/>
      <w:bookmarkStart w:id="359" w:name="_Toc184313255"/>
      <w:bookmarkEnd w:id="359"/>
      <w:bookmarkStart w:id="360" w:name="_Toc184310316"/>
      <w:bookmarkEnd w:id="360"/>
      <w:bookmarkStart w:id="361" w:name="_Toc184313295"/>
      <w:bookmarkEnd w:id="361"/>
      <w:bookmarkStart w:id="362" w:name="_Toc184310320"/>
      <w:bookmarkEnd w:id="362"/>
      <w:bookmarkStart w:id="363" w:name="_Toc184313280"/>
      <w:bookmarkEnd w:id="363"/>
      <w:bookmarkStart w:id="364" w:name="_Toc184312087"/>
      <w:bookmarkEnd w:id="364"/>
      <w:bookmarkStart w:id="365" w:name="_Toc184314433"/>
      <w:bookmarkEnd w:id="365"/>
      <w:bookmarkStart w:id="366" w:name="_Toc184310295"/>
      <w:bookmarkEnd w:id="366"/>
      <w:bookmarkStart w:id="367" w:name="_Toc184310300"/>
      <w:bookmarkEnd w:id="367"/>
      <w:bookmarkStart w:id="368" w:name="_Toc184310311"/>
      <w:bookmarkEnd w:id="368"/>
      <w:bookmarkStart w:id="369" w:name="_Toc184310325"/>
      <w:bookmarkEnd w:id="369"/>
      <w:r>
        <w:rPr>
          <w:rFonts w:hint="eastAsia" w:ascii="宋体" w:hAnsi="宋体" w:eastAsia="宋体" w:cs="宋体"/>
          <w:color w:val="000000" w:themeColor="text1"/>
          <w14:textFill>
            <w14:solidFill>
              <w14:schemeClr w14:val="tx1"/>
            </w14:solidFill>
          </w14:textFill>
        </w:rPr>
        <w:t>评标办法</w:t>
      </w:r>
    </w:p>
    <w:p w14:paraId="1BC33B71">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评标办法前附表</w:t>
      </w:r>
    </w:p>
    <w:p w14:paraId="03E201BC">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商务资信分（</w:t>
      </w:r>
      <w:r>
        <w:rPr>
          <w:rFonts w:hint="eastAsia" w:ascii="宋体" w:hAnsi="宋体" w:eastAsia="宋体" w:cs="宋体"/>
          <w:b/>
          <w:bCs/>
          <w:color w:val="000000" w:themeColor="text1"/>
          <w:lang w:val="en-US" w:eastAsia="zh-CN"/>
          <w14:textFill>
            <w14:solidFill>
              <w14:schemeClr w14:val="tx1"/>
            </w14:solidFill>
          </w14:textFill>
        </w:rPr>
        <w:t>70</w:t>
      </w:r>
      <w:r>
        <w:rPr>
          <w:rFonts w:hint="eastAsia" w:ascii="宋体" w:hAnsi="宋体" w:eastAsia="宋体" w:cs="宋体"/>
          <w:b/>
          <w:bCs/>
          <w:color w:val="000000" w:themeColor="text1"/>
          <w14:textFill>
            <w14:solidFill>
              <w14:schemeClr w14:val="tx1"/>
            </w14:solidFill>
          </w14:textFill>
        </w:rPr>
        <w:t>分）</w:t>
      </w:r>
    </w:p>
    <w:tbl>
      <w:tblPr>
        <w:tblStyle w:val="25"/>
        <w:tblW w:w="9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7254"/>
        <w:gridCol w:w="863"/>
        <w:gridCol w:w="990"/>
      </w:tblGrid>
      <w:tr w14:paraId="63FA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99EE">
            <w:pPr>
              <w:keepNext w:val="0"/>
              <w:keepLines w:val="0"/>
              <w:widowControl w:val="0"/>
              <w:suppressLineNumbers w:val="0"/>
              <w:bidi w:val="0"/>
              <w:adjustRightInd w:val="0"/>
              <w:spacing w:before="0" w:beforeAutospacing="0" w:after="0" w:afterAutospacing="0"/>
              <w:ind w:left="0" w:right="0"/>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en-US" w:eastAsia="zh-CN"/>
              </w:rPr>
              <w:t>序号</w:t>
            </w:r>
          </w:p>
        </w:tc>
        <w:tc>
          <w:tcPr>
            <w:tcW w:w="7254" w:type="dxa"/>
            <w:tcBorders>
              <w:top w:val="single" w:color="000000" w:sz="4" w:space="0"/>
              <w:left w:val="nil"/>
              <w:bottom w:val="single" w:color="000000" w:sz="4" w:space="0"/>
              <w:right w:val="single" w:color="000000" w:sz="4" w:space="0"/>
            </w:tcBorders>
            <w:shd w:val="clear" w:color="auto" w:fill="auto"/>
            <w:vAlign w:val="center"/>
          </w:tcPr>
          <w:p w14:paraId="0279F09A">
            <w:pPr>
              <w:keepNext w:val="0"/>
              <w:keepLines w:val="0"/>
              <w:widowControl w:val="0"/>
              <w:suppressLineNumbers w:val="0"/>
              <w:bidi w:val="0"/>
              <w:adjustRightInd w:val="0"/>
              <w:spacing w:before="0" w:beforeAutospacing="0" w:after="0" w:afterAutospacing="0"/>
              <w:ind w:left="0" w:right="0"/>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en-US" w:eastAsia="zh-CN"/>
              </w:rPr>
              <w:t>评审条款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1E0D">
            <w:pPr>
              <w:keepNext w:val="0"/>
              <w:keepLines w:val="0"/>
              <w:widowControl w:val="0"/>
              <w:suppressLineNumbers w:val="0"/>
              <w:bidi w:val="0"/>
              <w:adjustRightInd w:val="0"/>
              <w:spacing w:before="0" w:beforeAutospacing="0" w:after="0" w:afterAutospacing="0"/>
              <w:ind w:left="0" w:right="0"/>
              <w:jc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分值</w:t>
            </w:r>
          </w:p>
          <w:p w14:paraId="2784C11D">
            <w:pPr>
              <w:keepNext w:val="0"/>
              <w:keepLines w:val="0"/>
              <w:widowControl w:val="0"/>
              <w:suppressLineNumbers w:val="0"/>
              <w:bidi w:val="0"/>
              <w:adjustRightInd w:val="0"/>
              <w:spacing w:before="0" w:beforeAutospacing="0" w:after="0" w:afterAutospacing="0"/>
              <w:ind w:left="0" w:right="0"/>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en-US" w:eastAsia="zh-CN"/>
              </w:rPr>
              <w:t>区间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9737">
            <w:pPr>
              <w:keepNext w:val="0"/>
              <w:keepLines w:val="0"/>
              <w:widowControl w:val="0"/>
              <w:suppressLineNumbers w:val="0"/>
              <w:bidi w:val="0"/>
              <w:adjustRightInd w:val="0"/>
              <w:spacing w:before="0" w:beforeAutospacing="0" w:after="0" w:afterAutospacing="0"/>
              <w:ind w:left="0" w:right="0"/>
              <w:jc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主客</w:t>
            </w:r>
          </w:p>
          <w:p w14:paraId="7839E0AD">
            <w:pPr>
              <w:keepNext w:val="0"/>
              <w:keepLines w:val="0"/>
              <w:widowControl w:val="0"/>
              <w:suppressLineNumbers w:val="0"/>
              <w:bidi w:val="0"/>
              <w:adjustRightInd w:val="0"/>
              <w:spacing w:before="0" w:beforeAutospacing="0" w:after="0" w:afterAutospacing="0"/>
              <w:ind w:left="0" w:right="0"/>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en-US" w:eastAsia="zh-CN"/>
              </w:rPr>
              <w:t>观分</w:t>
            </w:r>
          </w:p>
        </w:tc>
      </w:tr>
      <w:tr w14:paraId="5791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B44D">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8D64">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投标人具有有效期内的（1）质量管理体系认证证书、（2）环境管理体系认证证书、（3）职业健康安全管理体系认证证书、（4）信息安全管理体系认证证书、（5）</w:t>
            </w:r>
            <w:r>
              <w:rPr>
                <w:rFonts w:hint="eastAsia" w:ascii="宋体" w:hAnsi="宋体" w:eastAsia="宋体" w:cs="宋体"/>
                <w:bCs/>
                <w:color w:val="auto"/>
                <w:kern w:val="2"/>
                <w:sz w:val="21"/>
                <w:szCs w:val="21"/>
                <w:highlight w:val="none"/>
              </w:rPr>
              <w:t>信息技术服务管理体系认证</w:t>
            </w:r>
            <w:r>
              <w:rPr>
                <w:rFonts w:hint="eastAsia" w:ascii="宋体" w:hAnsi="宋体" w:eastAsia="宋体" w:cs="宋体"/>
                <w:bCs/>
                <w:color w:val="auto"/>
                <w:kern w:val="2"/>
                <w:sz w:val="21"/>
                <w:szCs w:val="21"/>
                <w:highlight w:val="none"/>
                <w:lang w:val="en-US" w:eastAsia="zh-CN"/>
              </w:rPr>
              <w:t>的，每个得1分，本项最高5分。</w:t>
            </w:r>
          </w:p>
          <w:p w14:paraId="45D03926">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注：须提供证书原件电子扫描件，不提供不得分。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2CCD">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C32E">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0324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674E">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E54">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投标人具有GB/T27922-2011服务标准的售后服务体系认证证书；三星的得1分，四星的得2分，五星的得3分；</w:t>
            </w:r>
          </w:p>
          <w:p w14:paraId="138965DB">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（须在有效期内，投标文件中提供有效证书复印件加盖投标人公章。）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BEBB">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CFA7">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1AEC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4F17">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0CC4">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投标人具有音频ACC编码软件著作权证书的得3分；</w:t>
            </w:r>
          </w:p>
          <w:p w14:paraId="72244F1E">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注：投标文件中提供电子扫描件，不提供不得分。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3352">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A681">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5457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0687">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8976">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投标方案的合理性、科学性、全面性：</w:t>
            </w:r>
          </w:p>
          <w:p w14:paraId="002831F2">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投标方案总体设计、建设方案、产品选型等完全符合业主单位业务需求并与上级要求相匹配，详细阐述各子系统的架构、功能、实现思路和关键技术、对功能设计的建议、是否充分考虑用户实际使用需求、是否符合系统对当前和未来发展的要求、个性化的独到优势等综合评定。</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2C8">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9A53">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5549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0E9">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BDCF">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投标货物技术参数相应情况：</w:t>
            </w:r>
          </w:p>
          <w:p w14:paraId="13E03CE6">
            <w:pPr>
              <w:keepNext w:val="0"/>
              <w:keepLines w:val="0"/>
              <w:pageBreakBefore w:val="0"/>
              <w:widowControl/>
              <w:shd w:val="clear"/>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所投产品必须全部符合招标参数指标，带“■”的技术参数指标必须按照招标文件要求提供相关证明材料的得10分，带“■”的技术参数指标负偏离、不符合或未按招标文件要求提供证明材料的每条扣2分,扣完为止；</w:t>
            </w:r>
          </w:p>
          <w:p w14:paraId="64D92819">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kern w:val="0"/>
                <w:sz w:val="21"/>
                <w:szCs w:val="21"/>
                <w:highlight w:val="none"/>
              </w:rPr>
              <w:t>(带“■”的技术参数必须按招标文件要求提供相关证明材料,详见采购需求技术参数具体要求）</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4EC">
            <w:pPr>
              <w:keepNext w:val="0"/>
              <w:keepLines w:val="0"/>
              <w:widowControl w:val="0"/>
              <w:suppressLineNumbers w:val="0"/>
              <w:bidi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B3FD">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34EC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CD66">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6</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3C28">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保证进度和项目完成的方案和措施等综合评定：</w:t>
            </w:r>
          </w:p>
          <w:p w14:paraId="43A30329">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kern w:val="0"/>
                <w:sz w:val="21"/>
                <w:szCs w:val="21"/>
                <w:highlight w:val="none"/>
              </w:rPr>
              <w:t>实施方案的科学性、合理性、完整性进行综合评定（包括实施方案总体设计、施工进度计划、总体施工措施、设备安装调试运行方案等）进行综合评定。</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2D0">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30F8">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1C72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D535">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7</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529B">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项目人员配置情况：</w:t>
            </w:r>
          </w:p>
          <w:p w14:paraId="116A080A">
            <w:pPr>
              <w:keepNext w:val="0"/>
              <w:keepLines w:val="0"/>
              <w:pageBreakBefore w:val="0"/>
              <w:widowControl/>
              <w:numPr>
                <w:ilvl w:val="0"/>
                <w:numId w:val="4"/>
              </w:numPr>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项目实施人员中</w:t>
            </w:r>
            <w:r>
              <w:rPr>
                <w:rFonts w:hint="eastAsia" w:ascii="宋体" w:hAnsi="宋体" w:eastAsia="宋体" w:cs="宋体"/>
                <w:color w:val="auto"/>
                <w:kern w:val="0"/>
                <w:sz w:val="21"/>
                <w:szCs w:val="21"/>
                <w:highlight w:val="none"/>
              </w:rPr>
              <w:t>具备机电工程二级（及以上）建造师证书的得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，本项最高得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eastAsia="zh-CN"/>
              </w:rPr>
              <w:t>；</w:t>
            </w:r>
          </w:p>
          <w:p w14:paraId="613122C0">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项目实施人员中具备电工证</w:t>
            </w:r>
            <w:r>
              <w:rPr>
                <w:rFonts w:hint="eastAsia" w:ascii="宋体" w:hAnsi="宋体" w:eastAsia="宋体" w:cs="宋体"/>
                <w:color w:val="auto"/>
                <w:kern w:val="0"/>
                <w:sz w:val="21"/>
                <w:szCs w:val="21"/>
                <w:highlight w:val="none"/>
                <w:lang w:eastAsia="zh-CN"/>
              </w:rPr>
              <w:t>的每人</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val="en-US" w:eastAsia="zh-CN"/>
              </w:rPr>
              <w:t>本项最高得1分；</w:t>
            </w:r>
          </w:p>
          <w:p w14:paraId="308275C2">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rPr>
              <w:t>项目实施人员中具有</w:t>
            </w:r>
            <w:r>
              <w:rPr>
                <w:rFonts w:hint="eastAsia" w:asciiTheme="minorEastAsia" w:hAnsiTheme="minorEastAsia" w:eastAsiaTheme="minorEastAsia" w:cstheme="minorEastAsia"/>
                <w:color w:val="auto"/>
                <w:kern w:val="0"/>
                <w:sz w:val="21"/>
                <w:szCs w:val="21"/>
                <w:highlight w:val="none"/>
              </w:rPr>
              <w:t>音响工程师证书</w:t>
            </w:r>
            <w:r>
              <w:rPr>
                <w:rFonts w:hint="eastAsia" w:ascii="宋体" w:hAnsi="宋体" w:eastAsia="宋体" w:cs="宋体"/>
                <w:b w:val="0"/>
                <w:bCs w:val="0"/>
                <w:color w:val="auto"/>
                <w:kern w:val="2"/>
                <w:sz w:val="21"/>
                <w:szCs w:val="21"/>
                <w:highlight w:val="none"/>
                <w:lang w:val="en-US" w:eastAsia="zh-CN"/>
              </w:rPr>
              <w:t>的每人得0.5分，最高得1分。</w:t>
            </w:r>
          </w:p>
          <w:p w14:paraId="3E76521A">
            <w:pPr>
              <w:keepNext w:val="0"/>
              <w:keepLines w:val="0"/>
              <w:widowControl w:val="0"/>
              <w:suppressLineNumbers w:val="0"/>
              <w:bidi w:val="0"/>
              <w:adjustRightInd w:val="0"/>
              <w:spacing w:before="0" w:beforeAutospacing="0" w:after="0" w:afterAutospacing="0" w:line="360" w:lineRule="auto"/>
              <w:ind w:left="0" w:right="0"/>
              <w:jc w:val="both"/>
              <w:rPr>
                <w:rFonts w:hint="eastAsia" w:ascii="Times New Roman" w:hAnsi="Times New Roman" w:cs="Times New Roman"/>
                <w:kern w:val="2"/>
                <w:sz w:val="21"/>
                <w:lang w:val="en-US" w:eastAsia="zh-CN"/>
              </w:rPr>
            </w:pPr>
            <w:r>
              <w:rPr>
                <w:rFonts w:hint="eastAsia" w:ascii="宋体" w:hAnsi="宋体" w:eastAsia="宋体" w:cs="宋体"/>
                <w:color w:val="auto"/>
                <w:kern w:val="0"/>
                <w:sz w:val="21"/>
                <w:szCs w:val="21"/>
                <w:highlight w:val="none"/>
              </w:rPr>
              <w:t>【证明材料：提供相应证书及以上人员所在单位</w:t>
            </w:r>
            <w:r>
              <w:rPr>
                <w:rFonts w:hint="eastAsia" w:ascii="宋体" w:hAnsi="宋体" w:eastAsia="宋体" w:cs="宋体"/>
                <w:color w:val="auto"/>
                <w:kern w:val="0"/>
                <w:sz w:val="21"/>
                <w:szCs w:val="21"/>
                <w:highlight w:val="none"/>
                <w:lang w:eastAsia="zh-CN"/>
              </w:rPr>
              <w:t>最近</w:t>
            </w:r>
            <w:r>
              <w:rPr>
                <w:rFonts w:hint="eastAsia" w:ascii="宋体" w:hAnsi="宋体" w:eastAsia="宋体" w:cs="宋体"/>
                <w:color w:val="auto"/>
                <w:kern w:val="0"/>
                <w:sz w:val="21"/>
                <w:szCs w:val="21"/>
                <w:highlight w:val="none"/>
              </w:rPr>
              <w:t>连续三个月缴纳的社保证明，不提供不得分。】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6689">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332C">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客观分</w:t>
            </w:r>
          </w:p>
        </w:tc>
      </w:tr>
      <w:tr w14:paraId="7BEB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AE00">
            <w:pPr>
              <w:widowControl w:val="0"/>
              <w:adjustRightInd w:val="0"/>
              <w:spacing w:line="360" w:lineRule="auto"/>
              <w:ind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89EC">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拟投入本工程的管理人员的岗位、专业及各专业工种劳动力配置合理、满足采购要求的，综合评分打分。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1E48">
            <w:pPr>
              <w:keepNext w:val="0"/>
              <w:keepLines w:val="0"/>
              <w:widowControl w:val="0"/>
              <w:suppressLineNumbers w:val="0"/>
              <w:bidi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6E78">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主观分</w:t>
            </w:r>
          </w:p>
        </w:tc>
      </w:tr>
      <w:tr w14:paraId="35CF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4AEF">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9</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DB7">
            <w:pPr>
              <w:keepNext w:val="0"/>
              <w:keepLines w:val="0"/>
              <w:widowControl w:val="0"/>
              <w:suppressLineNumbers w:val="0"/>
              <w:bidi w:val="0"/>
              <w:adjustRightInd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材料设备进场计划及施工计划情况：具有详细的材料设备进场计划且计划周密，材料数量、质量控制，时间安排合理，满足施工需要的，综合评分打分。未提供材料设备进场计划及施工计划的不得分。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9D55">
            <w:pPr>
              <w:keepNext w:val="0"/>
              <w:keepLines w:val="0"/>
              <w:widowControl w:val="0"/>
              <w:suppressLineNumbers w:val="0"/>
              <w:bidi w:val="0"/>
              <w:adjustRightInd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33A">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主观分</w:t>
            </w:r>
          </w:p>
        </w:tc>
      </w:tr>
      <w:tr w14:paraId="7EEC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746D">
            <w:pPr>
              <w:widowControl w:val="0"/>
              <w:adjustRightInd w:val="0"/>
              <w:spacing w:line="360" w:lineRule="auto"/>
              <w:ind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10</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964">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kern w:val="0"/>
                <w:sz w:val="21"/>
                <w:szCs w:val="21"/>
                <w:highlight w:val="none"/>
              </w:rPr>
              <w:t>培训方案、应急方案:根据培训方案的可行性、合理性、完整性由评委进行综合评定。</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E615">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BC84">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13A73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A237">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11</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D484">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kern w:val="0"/>
                <w:sz w:val="21"/>
                <w:szCs w:val="21"/>
                <w:highlight w:val="none"/>
              </w:rPr>
              <w:t>项目质量的方案措施：根据投标人对项目的质量、安全生产、文明施工等及提供的备品备件等情况综合评定。</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387C">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257D">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2447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A51D">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12</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A208">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售后服务承诺方案：</w:t>
            </w:r>
          </w:p>
          <w:p w14:paraId="4D6C12E0">
            <w:pPr>
              <w:keepNext w:val="0"/>
              <w:keepLines w:val="0"/>
              <w:pageBreakBefore w:val="0"/>
              <w:widowControl/>
              <w:shd w:val="clea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kern w:val="0"/>
                <w:sz w:val="21"/>
                <w:szCs w:val="21"/>
                <w:highlight w:val="none"/>
              </w:rPr>
              <w:t>根据售后服务方案、质保期限、本地化服务能力、快速响应能力等情况综合评定。</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3E5D">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E09C">
            <w:pPr>
              <w:keepNext w:val="0"/>
              <w:keepLines w:val="0"/>
              <w:widowControl w:val="0"/>
              <w:suppressLineNumbers w:val="0"/>
              <w:bidi w:val="0"/>
              <w:adjustRightInd w:val="0"/>
              <w:spacing w:before="0" w:beforeAutospacing="0" w:after="0" w:afterAutospacing="0" w:line="360" w:lineRule="auto"/>
              <w:ind w:left="0" w:right="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主观分</w:t>
            </w:r>
          </w:p>
        </w:tc>
      </w:tr>
      <w:tr w14:paraId="7DD7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9649">
            <w:pPr>
              <w:widowControl w:val="0"/>
              <w:adjustRightInd w:val="0"/>
              <w:spacing w:line="360" w:lineRule="auto"/>
              <w:ind w:firstLine="0" w:firstLineChars="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13</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978F">
            <w:pPr>
              <w:keepNext w:val="0"/>
              <w:keepLines w:val="0"/>
              <w:widowControl w:val="0"/>
              <w:suppressLineNumbers w:val="0"/>
              <w:bidi w:val="0"/>
              <w:adjustRightInd w:val="0"/>
              <w:spacing w:before="0" w:beforeAutospacing="0" w:after="0" w:afterAutospacing="0" w:line="360" w:lineRule="auto"/>
              <w:ind w:left="0" w:leftChars="0" w:right="0" w:right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根据投标人对本项目的合理化建议综合评定。</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72BB">
            <w:pPr>
              <w:keepNext w:val="0"/>
              <w:keepLines w:val="0"/>
              <w:widowControl w:val="0"/>
              <w:suppressLineNumbers w:val="0"/>
              <w:bidi w:val="0"/>
              <w:adjustRightInd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0EEC">
            <w:pPr>
              <w:keepNext w:val="0"/>
              <w:keepLines w:val="0"/>
              <w:widowControl w:val="0"/>
              <w:suppressLineNumbers w:val="0"/>
              <w:bidi w:val="0"/>
              <w:adjustRightIn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rPr>
              <w:t>主观分</w:t>
            </w:r>
          </w:p>
        </w:tc>
      </w:tr>
      <w:tr w14:paraId="39B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6B2F">
            <w:pPr>
              <w:widowControl w:val="0"/>
              <w:adjustRightInd w:val="0"/>
              <w:spacing w:line="360" w:lineRule="auto"/>
              <w:ind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14</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C85">
            <w:pPr>
              <w:keepNext w:val="0"/>
              <w:keepLines w:val="0"/>
              <w:widowControl w:val="0"/>
              <w:suppressLineNumbers w:val="0"/>
              <w:bidi w:val="0"/>
              <w:adjustRightInd w:val="0"/>
              <w:spacing w:before="0" w:beforeAutospacing="0" w:after="0" w:afterAutospacing="0" w:line="360" w:lineRule="auto"/>
              <w:ind w:left="0" w:leftChars="0" w:right="0" w:rightChars="0"/>
              <w:jc w:val="both"/>
              <w:rPr>
                <w:rFonts w:hint="eastAsia"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供应商的降噪措施合理、具有可操作性综合评分打分。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2E5E">
            <w:pPr>
              <w:keepNext w:val="0"/>
              <w:keepLines w:val="0"/>
              <w:widowControl w:val="0"/>
              <w:suppressLineNumbers w:val="0"/>
              <w:bidi w:val="0"/>
              <w:adjustRightInd w:val="0"/>
              <w:spacing w:before="0" w:beforeAutospacing="0" w:after="0" w:afterAutospacing="0" w:line="36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F088">
            <w:pPr>
              <w:keepNext w:val="0"/>
              <w:keepLines w:val="0"/>
              <w:widowControl w:val="0"/>
              <w:suppressLineNumbers w:val="0"/>
              <w:bidi w:val="0"/>
              <w:adjustRightInd w:val="0"/>
              <w:spacing w:before="0" w:beforeAutospacing="0" w:after="0" w:afterAutospacing="0" w:line="360" w:lineRule="auto"/>
              <w:ind w:left="0" w:leftChars="0" w:right="0" w:right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主观分</w:t>
            </w:r>
          </w:p>
        </w:tc>
      </w:tr>
      <w:tr w14:paraId="069D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67DF">
            <w:pPr>
              <w:widowControl w:val="0"/>
              <w:adjustRightInd w:val="0"/>
              <w:spacing w:line="360" w:lineRule="auto"/>
              <w:ind w:firstLine="0" w:firstLineChars="0"/>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15</w:t>
            </w:r>
          </w:p>
        </w:tc>
        <w:tc>
          <w:tcPr>
            <w:tcW w:w="7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F790">
            <w:pPr>
              <w:keepNext w:val="0"/>
              <w:keepLines w:val="0"/>
              <w:widowControl w:val="0"/>
              <w:suppressLineNumbers w:val="0"/>
              <w:bidi w:val="0"/>
              <w:adjustRightInd w:val="0"/>
              <w:spacing w:before="0" w:beforeAutospacing="0" w:after="0" w:afterAutospacing="0" w:line="360" w:lineRule="auto"/>
              <w:ind w:left="0" w:leftChars="0" w:right="0" w:rightChars="0"/>
              <w:jc w:val="both"/>
              <w:rPr>
                <w:rFonts w:hint="eastAsia"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供应商对成品保护的保证措施合理、科学，具有可操作性，综合评分打分。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32CE">
            <w:pPr>
              <w:keepNext w:val="0"/>
              <w:keepLines w:val="0"/>
              <w:widowControl w:val="0"/>
              <w:suppressLineNumbers w:val="0"/>
              <w:bidi w:val="0"/>
              <w:adjustRightInd w:val="0"/>
              <w:spacing w:before="0" w:beforeAutospacing="0" w:after="0" w:afterAutospacing="0" w:line="360" w:lineRule="auto"/>
              <w:ind w:left="0" w:leftChars="0" w:right="0" w:rightChars="0"/>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2F65">
            <w:pPr>
              <w:keepNext w:val="0"/>
              <w:keepLines w:val="0"/>
              <w:widowControl w:val="0"/>
              <w:suppressLineNumbers w:val="0"/>
              <w:bidi w:val="0"/>
              <w:adjustRightInd w:val="0"/>
              <w:spacing w:before="0" w:beforeAutospacing="0" w:after="0" w:afterAutospacing="0" w:line="360" w:lineRule="auto"/>
              <w:ind w:left="0" w:leftChars="0" w:right="0" w:rightChars="0"/>
              <w:jc w:val="center"/>
              <w:rPr>
                <w:rFonts w:hint="eastAsia"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主观分</w:t>
            </w:r>
          </w:p>
        </w:tc>
      </w:tr>
    </w:tbl>
    <w:p w14:paraId="0DD85A9C">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价格分（</w:t>
      </w:r>
      <w:r>
        <w:rPr>
          <w:rFonts w:hint="eastAsia" w:ascii="宋体" w:hAnsi="宋体" w:eastAsia="宋体" w:cs="宋体"/>
          <w:b/>
          <w:color w:val="000000" w:themeColor="text1"/>
          <w:lang w:val="en-US" w:eastAsia="zh-CN"/>
          <w14:textFill>
            <w14:solidFill>
              <w14:schemeClr w14:val="tx1"/>
            </w14:solidFill>
          </w14:textFill>
        </w:rPr>
        <w:t>3</w:t>
      </w:r>
      <w:r>
        <w:rPr>
          <w:rFonts w:hint="eastAsia" w:ascii="宋体" w:hAnsi="宋体" w:eastAsia="宋体" w:cs="宋体"/>
          <w:b/>
          <w:color w:val="000000" w:themeColor="text1"/>
          <w14:textFill>
            <w14:solidFill>
              <w14:schemeClr w14:val="tx1"/>
            </w14:solidFill>
          </w14:textFill>
        </w:rPr>
        <w:t>0分）</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937"/>
        <w:gridCol w:w="6142"/>
      </w:tblGrid>
      <w:tr w14:paraId="3246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tcPr>
          <w:p w14:paraId="0903450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价格分</w:t>
            </w:r>
          </w:p>
        </w:tc>
        <w:tc>
          <w:tcPr>
            <w:tcW w:w="553" w:type="dxa"/>
            <w:vAlign w:val="center"/>
          </w:tcPr>
          <w:p w14:paraId="28371092">
            <w:pPr>
              <w:pStyle w:val="48"/>
              <w:numPr>
                <w:ilvl w:val="0"/>
                <w:numId w:val="5"/>
              </w:numPr>
              <w:spacing w:after="0"/>
              <w:jc w:val="center"/>
              <w:rPr>
                <w:rFonts w:hint="eastAsia" w:ascii="宋体" w:hAnsi="宋体" w:eastAsia="宋体" w:cs="宋体"/>
                <w:color w:val="000000" w:themeColor="text1"/>
                <w14:textFill>
                  <w14:solidFill>
                    <w14:schemeClr w14:val="tx1"/>
                  </w14:solidFill>
                </w14:textFill>
              </w:rPr>
            </w:pPr>
          </w:p>
        </w:tc>
        <w:tc>
          <w:tcPr>
            <w:tcW w:w="1937" w:type="dxa"/>
            <w:vAlign w:val="center"/>
          </w:tcPr>
          <w:p w14:paraId="6434920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价格权值=0.</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0</w:t>
            </w:r>
          </w:p>
        </w:tc>
        <w:tc>
          <w:tcPr>
            <w:tcW w:w="6142" w:type="dxa"/>
          </w:tcPr>
          <w:p w14:paraId="38DBA6D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最低有效投标价格为评标基准价</w:t>
            </w:r>
          </w:p>
          <w:p w14:paraId="025C7610">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投标报价得分=(评标基准价／投标报价)×价格权值×100 </w:t>
            </w:r>
          </w:p>
          <w:p w14:paraId="6E411C0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（计算得分保留小数点后2位）</w:t>
            </w:r>
          </w:p>
        </w:tc>
      </w:tr>
    </w:tbl>
    <w:p w14:paraId="3B9FE28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r>
        <w:rPr>
          <w:rFonts w:hint="eastAsia" w:ascii="宋体" w:hAnsi="宋体" w:eastAsia="宋体" w:cs="宋体"/>
          <w:color w:val="000000" w:themeColor="text1"/>
          <w14:textFill>
            <w14:solidFill>
              <w14:schemeClr w14:val="tx1"/>
            </w14:solidFill>
          </w14:textFill>
        </w:rPr>
        <w:t>1、评分条款中涉及的业绩、荣誉、人员、社保等分公司均有效。</w:t>
      </w:r>
    </w:p>
    <w:p w14:paraId="411CBF77">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2A7877E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3、供应商编制响应文件（商务技术文件部分）时，建议按此目录（序号和内容）提供评标标准相应的商务技术资料。 </w:t>
      </w:r>
    </w:p>
    <w:p w14:paraId="540EFA7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一、评标方法</w:t>
      </w:r>
    </w:p>
    <w:p w14:paraId="19390211">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1.本项目采用综合评分法。</w:t>
      </w:r>
      <w:r>
        <w:rPr>
          <w:rFonts w:hint="eastAsia" w:ascii="宋体" w:hAnsi="宋体" w:eastAsia="宋体" w:cs="宋体"/>
          <w:color w:val="000000" w:themeColor="text1"/>
          <w14:textFill>
            <w14:solidFill>
              <w14:schemeClr w14:val="tx1"/>
            </w14:solidFill>
          </w14:textFill>
        </w:rPr>
        <w:t>综合评分法，是指响应文件满足交易文件全部实质性要求，且按照评审因素的量化指标评审得分最高的供应商为中标候选人的评标方法。</w:t>
      </w:r>
    </w:p>
    <w:p w14:paraId="6811355D">
      <w:pPr>
        <w:pStyle w:val="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二、评标标准</w:t>
      </w:r>
    </w:p>
    <w:p w14:paraId="77657A2D">
      <w:pPr>
        <w:spacing w:line="360" w:lineRule="auto"/>
        <w:ind w:firstLine="472" w:firstLineChars="196"/>
        <w:rPr>
          <w:rFonts w:hint="eastAsia" w:ascii="宋体" w:hAnsi="宋体" w:eastAsia="宋体" w:cs="宋体"/>
          <w:b/>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2. 评标标准：</w:t>
      </w:r>
      <w:r>
        <w:rPr>
          <w:rFonts w:hint="eastAsia" w:ascii="宋体" w:hAnsi="宋体" w:eastAsia="宋体" w:cs="宋体"/>
          <w:color w:val="000000" w:themeColor="text1"/>
          <w14:textFill>
            <w14:solidFill>
              <w14:schemeClr w14:val="tx1"/>
            </w14:solidFill>
          </w14:textFill>
        </w:rPr>
        <w:t>见评标办法前附表。</w:t>
      </w:r>
    </w:p>
    <w:p w14:paraId="769EBE1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三、评标程序</w:t>
      </w:r>
    </w:p>
    <w:p w14:paraId="09277BF2">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3.1符合性审查。</w:t>
      </w:r>
      <w:r>
        <w:rPr>
          <w:rFonts w:hint="eastAsia" w:ascii="宋体" w:hAnsi="宋体" w:eastAsia="宋体" w:cs="宋体"/>
          <w:color w:val="000000" w:themeColor="text1"/>
          <w14:textFill>
            <w14:solidFill>
              <w14:schemeClr w14:val="tx1"/>
            </w14:solidFill>
          </w14:textFill>
        </w:rPr>
        <w:t>评标委员会应当对符合资格的供应商的响应文件进行符合性审查，以确定其是否满足交易文件的实质性要求。不满足交易文件的实质性要求的，投标无效。</w:t>
      </w:r>
    </w:p>
    <w:p w14:paraId="3313EE62">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3.2 比较与评价。</w:t>
      </w:r>
      <w:r>
        <w:rPr>
          <w:rFonts w:hint="eastAsia" w:ascii="宋体" w:hAnsi="宋体" w:eastAsia="宋体" w:cs="宋体"/>
          <w:color w:val="000000" w:themeColor="text1"/>
          <w14:textFill>
            <w14:solidFill>
              <w14:schemeClr w14:val="tx1"/>
            </w14:solidFill>
          </w14:textFill>
        </w:rPr>
        <w:t>评标委员会应当按照交易文件中规定的评标方法和标准，对符合性审查合格的响应文件进行商务和技术评估，综合比较与评价。</w:t>
      </w:r>
    </w:p>
    <w:p w14:paraId="598A3A14">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3.3汇总商务技术得分。</w:t>
      </w:r>
      <w:r>
        <w:rPr>
          <w:rFonts w:hint="eastAsia" w:ascii="宋体" w:hAnsi="宋体" w:eastAsia="宋体" w:cs="宋体"/>
          <w:color w:val="000000" w:themeColor="text1"/>
          <w14:textFill>
            <w14:solidFill>
              <w14:schemeClr w14:val="tx1"/>
            </w14:solidFill>
          </w14:textFill>
        </w:rPr>
        <w:t>评标委员会各成员应当独立对每个供应商的商务和技术文件进行评价，并汇总商务技术得分情况。</w:t>
      </w:r>
    </w:p>
    <w:p w14:paraId="1BCB7FB2">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3.4报价评审。</w:t>
      </w:r>
    </w:p>
    <w:p w14:paraId="06C42CA9">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3.4.1响应文件报价出现前后不一致的，按照下列规定修正：</w:t>
      </w:r>
    </w:p>
    <w:p w14:paraId="16AB6E24">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3.4.1.1响应文件中开标一览表(报价表)内容与响应文件中相应内容不一致的，以开标一览表(报价表)为准;</w:t>
      </w:r>
    </w:p>
    <w:p w14:paraId="35B3475E">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3.4.1.2大写金额和小写金额不一致的，以大写金额为准;</w:t>
      </w:r>
    </w:p>
    <w:p w14:paraId="333CAA93">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3.4.1.3单价金额小数点或者百分比有明显错位的，以开标一览表的总价为准，并修改单价;</w:t>
      </w:r>
    </w:p>
    <w:p w14:paraId="6CA6C47B">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3.4.1.4总价金额与按单价汇总金额不一致的，以单价金额计算结果为准。</w:t>
      </w:r>
    </w:p>
    <w:p w14:paraId="75F21A90">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7E28D538">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3.4.2响应文件出现不是唯一的、有选择性投标报价的，投标无效。</w:t>
      </w:r>
    </w:p>
    <w:p w14:paraId="53D2E407">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3.4.3投标报价超过交易文件中规定的预算金额或者最高限价的，投标无效。</w:t>
      </w:r>
    </w:p>
    <w:p w14:paraId="052A5A78">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376B845D">
      <w:pPr>
        <w:spacing w:line="360" w:lineRule="auto"/>
        <w:ind w:firstLine="482" w:firstLineChars="200"/>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3.5排序与推荐。</w:t>
      </w:r>
      <w:r>
        <w:rPr>
          <w:rFonts w:hint="eastAsia" w:ascii="宋体" w:hAnsi="宋体" w:eastAsia="宋体" w:cs="宋体"/>
          <w:color w:val="000000" w:themeColor="text1"/>
          <w14:textFill>
            <w14:solidFill>
              <w14:schemeClr w14:val="tx1"/>
            </w14:solidFill>
          </w14:textFill>
        </w:rPr>
        <w:t>采用综合评分法的，评标结果按评审后得分由高到低顺序排列。得分相同的，按投标报价由低到高顺序排列。得分且投标报价相同的并列。响应文件满足交易文件全部实质性要求，且按照评审因素的量化指标评审得分最高的供应商为排名第一的中标候选人。</w:t>
      </w:r>
    </w:p>
    <w:p w14:paraId="5ACB6FCB">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373B9750">
      <w:pPr>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3.6编写评标报告。</w:t>
      </w:r>
      <w:r>
        <w:rPr>
          <w:rFonts w:hint="eastAsia" w:ascii="宋体" w:hAnsi="宋体" w:eastAsia="宋体" w:cs="宋体"/>
          <w:color w:val="000000" w:themeColor="text1"/>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B571C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四、评标中的其他事项</w:t>
      </w:r>
    </w:p>
    <w:p w14:paraId="2D7AEB2A">
      <w:pPr>
        <w:pStyle w:val="62"/>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4.1供应商澄清、说明或者补正。</w:t>
      </w:r>
      <w:r>
        <w:rPr>
          <w:rFonts w:hint="eastAsia" w:ascii="宋体" w:hAnsi="宋体" w:eastAsia="宋体" w:cs="宋体"/>
          <w:color w:val="000000" w:themeColor="text1"/>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6A6044E">
      <w:pPr>
        <w:pStyle w:val="15"/>
        <w:spacing w:line="360" w:lineRule="auto"/>
        <w:ind w:left="1021" w:leftChars="226" w:hanging="479" w:firstLineChars="0"/>
        <w:rPr>
          <w:rFonts w:hint="eastAsia" w:ascii="宋体" w:hAnsi="宋体" w:eastAsia="宋体" w:cs="宋体"/>
          <w:color w:val="000000" w:themeColor="text1"/>
          <w:szCs w:val="2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4.2投标无效。</w:t>
      </w:r>
      <w:r>
        <w:rPr>
          <w:rFonts w:hint="eastAsia" w:ascii="宋体" w:hAnsi="宋体" w:eastAsia="宋体" w:cs="宋体"/>
          <w:color w:val="000000" w:themeColor="text1"/>
          <w:szCs w:val="21"/>
          <w14:textFill>
            <w14:solidFill>
              <w14:schemeClr w14:val="tx1"/>
            </w14:solidFill>
          </w14:textFill>
        </w:rPr>
        <w:t>有下列情形之一的，投标无效：</w:t>
      </w:r>
    </w:p>
    <w:p w14:paraId="25724158">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4.2.1供应商不具备交易文件中规定的资格要求的（供应商未提供有效的资格文件的，视为供应商不具备交易文件中规定的资格要求）；</w:t>
      </w:r>
    </w:p>
    <w:p w14:paraId="605C5AB2">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4.2.2响应文件未按照交易文件要求签署、盖章的；</w:t>
      </w:r>
    </w:p>
    <w:p w14:paraId="1F637BA3">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4.2.3采购人拟采购的产品属于政府强制采购的节能产品品目清单范围的，供应商未按交易文件要求提供国家确定的认证机构出具的、处于有效期之内的节能产品认证证书的；</w:t>
      </w:r>
    </w:p>
    <w:p w14:paraId="41EE2711">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4.2.4响应文件含有采购人不能接受的附加条件的；</w:t>
      </w:r>
    </w:p>
    <w:p w14:paraId="4A313231">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4.2.5响应文件中承诺的投标有效期少于交易文件中载明的投标有效期的；</w:t>
      </w:r>
    </w:p>
    <w:p w14:paraId="4116BDC7">
      <w:pPr>
        <w:snapToGrid w:val="0"/>
        <w:spacing w:line="360" w:lineRule="auto"/>
        <w:ind w:firstLine="120" w:firstLineChars="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4.2.6响应文件出现不是唯一的、有选择性投标报价的;</w:t>
      </w:r>
    </w:p>
    <w:p w14:paraId="1594D90C">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4.2.7投标报价超过交易文件中规定的预算金额或者最高限价的;</w:t>
      </w:r>
    </w:p>
    <w:p w14:paraId="4403C323">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61B33D71">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4.2.9供应商对根据修正原则修正后的报价不确认的；</w:t>
      </w:r>
    </w:p>
    <w:p w14:paraId="7516F046">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4.2.10供应商提供虚假材料投标的；</w:t>
      </w:r>
    </w:p>
    <w:p w14:paraId="1B91998E">
      <w:pPr>
        <w:spacing w:line="360" w:lineRule="auto"/>
        <w:ind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4.2.11供应商有恶意串通、妨碍其他供应商的竞争行为、损害采购人或者其他供应商的合法权益情形的；</w:t>
      </w:r>
    </w:p>
    <w:p w14:paraId="08296344">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4.2.12供应商仅提交备份响应文件，未在电子交易平台传输递交响应文件的，投标无效；</w:t>
      </w:r>
    </w:p>
    <w:p w14:paraId="2EC4EA52">
      <w:pPr>
        <w:ind w:firstLine="480" w:firstLineChars="20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4.2.13 响应文件不满足交易文件的其它实质性要求的；</w:t>
      </w:r>
    </w:p>
    <w:p w14:paraId="2A1D3A3F">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4.2.14法律、法规、规章（适用本市的）及省级以上规范性文件（适用本市的）规定的其他无效情形。</w:t>
      </w:r>
    </w:p>
    <w:p w14:paraId="0BE4646A">
      <w:pPr>
        <w:pStyle w:val="15"/>
        <w:snapToGrid w:val="0"/>
        <w:spacing w:line="360" w:lineRule="auto"/>
        <w:ind w:firstLine="472" w:firstLineChars="196"/>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5.废标。</w:t>
      </w:r>
      <w:r>
        <w:rPr>
          <w:rFonts w:hint="eastAsia" w:ascii="宋体" w:hAnsi="宋体" w:eastAsia="宋体" w:cs="宋体"/>
          <w:color w:val="000000" w:themeColor="text1"/>
          <w14:textFill>
            <w14:solidFill>
              <w14:schemeClr w14:val="tx1"/>
            </w14:solidFill>
          </w14:textFill>
        </w:rPr>
        <w:t>根据《中华人民共和国政府采购法》第三十六条之规定，在采购中，出现下列情形之一的，应予废标：</w:t>
      </w:r>
    </w:p>
    <w:p w14:paraId="010FFA6E">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5.1符合专业条件的供应商或者对交易文件作实质响应的供应商不足3家的；</w:t>
      </w:r>
    </w:p>
    <w:p w14:paraId="7A140A3E">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5.2出现影响采购公正的违法、违规行为的；</w:t>
      </w:r>
    </w:p>
    <w:p w14:paraId="285CF7FE">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5.3供应商的报价均超过了采购预算，采购人不能支付的；</w:t>
      </w:r>
    </w:p>
    <w:p w14:paraId="7AC674B3">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5.4因重大变故，采购任务取消的。</w:t>
      </w:r>
    </w:p>
    <w:p w14:paraId="37FE9911">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废标后，采购机构应当将废标理由通知所有供应商。</w:t>
      </w:r>
    </w:p>
    <w:p w14:paraId="6F8ADEBD">
      <w:pPr>
        <w:pStyle w:val="15"/>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6.修改交易文件，重新组织采购活动。</w:t>
      </w:r>
      <w:r>
        <w:rPr>
          <w:rFonts w:hint="eastAsia" w:ascii="宋体" w:hAnsi="宋体" w:eastAsia="宋体" w:cs="宋体"/>
          <w:color w:val="000000" w:themeColor="text1"/>
          <w14:textFill>
            <w14:solidFill>
              <w14:schemeClr w14:val="tx1"/>
            </w14:solidFill>
          </w14:textFill>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6110E03B">
      <w:pPr>
        <w:pStyle w:val="15"/>
        <w:snapToGrid w:val="0"/>
        <w:spacing w:line="360" w:lineRule="auto"/>
        <w:ind w:firstLine="590" w:firstLineChars="245"/>
        <w:rPr>
          <w:rFonts w:hint="eastAsia" w:ascii="宋体" w:hAnsi="宋体" w:eastAsia="宋体" w:cs="宋体"/>
          <w:color w:val="000000" w:themeColor="text1"/>
          <w14:textFill>
            <w14:solidFill>
              <w14:schemeClr w14:val="tx1"/>
            </w14:solidFill>
          </w14:textFill>
        </w:rPr>
      </w:pPr>
      <w:r>
        <w:rPr>
          <w:rStyle w:val="38"/>
          <w:rFonts w:hint="eastAsia" w:ascii="宋体" w:hAnsi="宋体" w:eastAsia="宋体" w:cs="宋体"/>
          <w:color w:val="000000" w:themeColor="text1"/>
          <w14:textFill>
            <w14:solidFill>
              <w14:schemeClr w14:val="tx1"/>
            </w14:solidFill>
          </w14:textFill>
        </w:rPr>
        <w:t>7.重新开展采购。</w:t>
      </w:r>
      <w:r>
        <w:rPr>
          <w:rFonts w:hint="eastAsia" w:ascii="宋体" w:hAnsi="宋体" w:eastAsia="宋体" w:cs="宋体"/>
          <w:color w:val="000000" w:themeColor="text1"/>
          <w14:textFill>
            <w14:solidFill>
              <w14:schemeClr w14:val="tx1"/>
            </w14:solidFill>
          </w14:textFill>
        </w:rPr>
        <w:t>有政府采购法第七十一条、第七十二条规定的违法行为之一，影响或者可能影响中标、成交结果的，依照下列规定处理：</w:t>
      </w:r>
    </w:p>
    <w:p w14:paraId="4503BCC5">
      <w:pPr>
        <w:pStyle w:val="15"/>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7.1未确定中标或者中标人的，终止本次政府采购活动，重新开展政府采购活动。</w:t>
      </w:r>
    </w:p>
    <w:p w14:paraId="3C2215D5">
      <w:pPr>
        <w:pStyle w:val="15"/>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71648502">
      <w:pPr>
        <w:pStyle w:val="15"/>
        <w:snapToGrid w:val="0"/>
        <w:spacing w:line="360" w:lineRule="auto"/>
        <w:ind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4DA9795C">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7.4政府采购合同已经履行，给采购人、供应商造成损失的，由责任人承担赔偿责任。</w:t>
      </w:r>
    </w:p>
    <w:p w14:paraId="03EFB704">
      <w:pPr>
        <w:pStyle w:val="15"/>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7.5政府采购当事人有其他违反政府采购法</w:t>
      </w:r>
      <w:r>
        <w:rPr>
          <w:rFonts w:hint="eastAsia" w:ascii="宋体" w:hAnsi="宋体" w:eastAsia="宋体" w:cs="宋体"/>
          <w:color w:val="000000" w:themeColor="text1"/>
          <w:kern w:val="0"/>
          <w14:textFill>
            <w14:solidFill>
              <w14:schemeClr w14:val="tx1"/>
            </w14:solidFill>
          </w14:textFill>
        </w:rPr>
        <w:t>或者政府采购法实施条例等法律法规规定</w:t>
      </w:r>
      <w:r>
        <w:rPr>
          <w:rFonts w:hint="eastAsia" w:ascii="宋体" w:hAnsi="宋体" w:eastAsia="宋体" w:cs="宋体"/>
          <w:color w:val="000000" w:themeColor="text1"/>
          <w14:textFill>
            <w14:solidFill>
              <w14:schemeClr w14:val="tx1"/>
            </w14:solidFill>
          </w14:textFill>
        </w:rPr>
        <w:t>的行为，经改正后仍然影响或者可能影响中标、成交结果或者依法被认定为中标、成交无效的，依照7.1-7.4规定处理。</w:t>
      </w:r>
    </w:p>
    <w:p w14:paraId="58749E36">
      <w:pPr>
        <w:spacing w:line="276" w:lineRule="auto"/>
        <w:rPr>
          <w:rFonts w:hint="eastAsia" w:ascii="宋体" w:hAnsi="宋体" w:eastAsia="宋体" w:cs="宋体"/>
          <w:b/>
          <w:smallCaps/>
          <w:color w:val="000000" w:themeColor="text1"/>
          <w:spacing w:val="5"/>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87D77B7">
      <w:pPr>
        <w:pStyle w:val="3"/>
        <w:rPr>
          <w:rFonts w:hint="eastAsia"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第五部分 拟签订的合同文本</w:t>
      </w:r>
    </w:p>
    <w:p w14:paraId="03D78E29">
      <w:pPr>
        <w:ind w:firstLine="720" w:firstLineChars="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服务类合同建议可按照参考格式按照实际情况调整修改。</w:t>
      </w:r>
    </w:p>
    <w:p w14:paraId="50656281">
      <w:pPr>
        <w:jc w:val="right"/>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合同编号：</w:t>
      </w:r>
      <w:r>
        <w:rPr>
          <w:rFonts w:hint="eastAsia" w:ascii="宋体" w:hAnsi="宋体" w:eastAsia="宋体" w:cs="宋体"/>
          <w:color w:val="000000" w:themeColor="text1"/>
          <w:u w:val="single"/>
          <w14:textFill>
            <w14:solidFill>
              <w14:schemeClr w14:val="tx1"/>
            </w14:solidFill>
          </w14:textFill>
        </w:rPr>
        <w:t xml:space="preserve">           </w:t>
      </w:r>
    </w:p>
    <w:p w14:paraId="409DD6A7">
      <w:pPr>
        <w:pStyle w:val="15"/>
        <w:snapToGrid w:val="0"/>
        <w:spacing w:line="360" w:lineRule="auto"/>
        <w:rPr>
          <w:rFonts w:hint="eastAsia" w:ascii="宋体" w:hAnsi="宋体" w:eastAsia="宋体" w:cs="宋体"/>
          <w:color w:val="000000" w:themeColor="text1"/>
          <w14:textFill>
            <w14:solidFill>
              <w14:schemeClr w14:val="tx1"/>
            </w14:solidFill>
          </w14:textFill>
        </w:rPr>
      </w:pPr>
    </w:p>
    <w:p w14:paraId="7A35585E">
      <w:pPr>
        <w:spacing w:line="48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政府采购合同参考范本</w:t>
      </w:r>
    </w:p>
    <w:p w14:paraId="6D105C8D">
      <w:pPr>
        <w:pStyle w:val="73"/>
        <w:ind w:left="480" w:firstLine="723"/>
        <w:jc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w:t>
      </w:r>
    </w:p>
    <w:p w14:paraId="4B2EFE4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合同书</w:t>
      </w:r>
    </w:p>
    <w:p w14:paraId="59FF74D1">
      <w:pPr>
        <w:pStyle w:val="73"/>
        <w:ind w:left="480"/>
        <w:rPr>
          <w:rFonts w:hint="eastAsia" w:ascii="宋体" w:hAnsi="宋体" w:eastAsia="宋体" w:cs="宋体"/>
          <w:color w:val="000000" w:themeColor="text1"/>
          <w:szCs w:val="24"/>
          <w14:textFill>
            <w14:solidFill>
              <w14:schemeClr w14:val="tx1"/>
            </w14:solidFill>
          </w14:textFill>
        </w:rPr>
      </w:pPr>
    </w:p>
    <w:p w14:paraId="3A21364D">
      <w:pPr>
        <w:spacing w:before="120" w:line="22" w:lineRule="atLeast"/>
        <w:rPr>
          <w:rFonts w:hint="eastAsia" w:ascii="宋体" w:hAnsi="宋体" w:eastAsia="宋体" w:cs="宋体"/>
          <w:color w:val="000000" w:themeColor="text1"/>
          <w14:textFill>
            <w14:solidFill>
              <w14:schemeClr w14:val="tx1"/>
            </w14:solidFill>
          </w14:textFill>
        </w:rPr>
      </w:pPr>
    </w:p>
    <w:p w14:paraId="769488B4">
      <w:pPr>
        <w:spacing w:before="120" w:line="22" w:lineRule="atLeast"/>
        <w:ind w:left="96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u w:val="single"/>
          <w14:textFill>
            <w14:solidFill>
              <w14:schemeClr w14:val="tx1"/>
            </w14:solidFill>
          </w14:textFill>
        </w:rPr>
        <w:t xml:space="preserve">                                   </w:t>
      </w:r>
    </w:p>
    <w:p w14:paraId="5618B83D">
      <w:pPr>
        <w:pStyle w:val="72"/>
        <w:spacing w:before="120" w:line="22" w:lineRule="atLeast"/>
        <w:rPr>
          <w:rFonts w:hint="eastAsia" w:ascii="宋体" w:hAnsi="宋体" w:eastAsia="宋体" w:cs="宋体"/>
          <w:color w:val="000000" w:themeColor="text1"/>
          <w:szCs w:val="24"/>
          <w14:textFill>
            <w14:solidFill>
              <w14:schemeClr w14:val="tx1"/>
            </w14:solidFill>
          </w14:textFill>
        </w:rPr>
      </w:pPr>
    </w:p>
    <w:p w14:paraId="4283A3E7">
      <w:pPr>
        <w:pStyle w:val="72"/>
        <w:spacing w:before="120" w:line="22" w:lineRule="atLeast"/>
        <w:rPr>
          <w:rFonts w:hint="eastAsia" w:ascii="宋体" w:hAnsi="宋体" w:eastAsia="宋体" w:cs="宋体"/>
          <w:color w:val="000000" w:themeColor="text1"/>
          <w:szCs w:val="24"/>
          <w14:textFill>
            <w14:solidFill>
              <w14:schemeClr w14:val="tx1"/>
            </w14:solidFill>
          </w14:textFill>
        </w:rPr>
      </w:pPr>
    </w:p>
    <w:p w14:paraId="5BD3E5FE">
      <w:pPr>
        <w:rPr>
          <w:rFonts w:hint="eastAsia" w:ascii="宋体" w:hAnsi="宋体" w:eastAsia="宋体" w:cs="宋体"/>
          <w:color w:val="000000" w:themeColor="text1"/>
          <w14:textFill>
            <w14:solidFill>
              <w14:schemeClr w14:val="tx1"/>
            </w14:solidFill>
          </w14:textFill>
        </w:rPr>
      </w:pPr>
    </w:p>
    <w:p w14:paraId="64AC190F">
      <w:pPr>
        <w:spacing w:before="120" w:line="22" w:lineRule="atLeast"/>
        <w:ind w:left="96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r>
        <w:rPr>
          <w:rFonts w:hint="eastAsia" w:ascii="宋体" w:hAnsi="宋体" w:eastAsia="宋体" w:cs="宋体"/>
          <w:color w:val="000000" w:themeColor="text1"/>
          <w:u w:val="single"/>
          <w14:textFill>
            <w14:solidFill>
              <w14:schemeClr w14:val="tx1"/>
            </w14:solidFill>
          </w14:textFill>
        </w:rPr>
        <w:t xml:space="preserve">                                       </w:t>
      </w:r>
    </w:p>
    <w:p w14:paraId="2B0A50E5">
      <w:pPr>
        <w:spacing w:before="120" w:line="22" w:lineRule="atLeast"/>
        <w:rPr>
          <w:rFonts w:hint="eastAsia" w:ascii="宋体" w:hAnsi="宋体" w:eastAsia="宋体" w:cs="宋体"/>
          <w:color w:val="000000" w:themeColor="text1"/>
          <w14:textFill>
            <w14:solidFill>
              <w14:schemeClr w14:val="tx1"/>
            </w14:solidFill>
          </w14:textFill>
        </w:rPr>
      </w:pPr>
    </w:p>
    <w:p w14:paraId="00CB0301">
      <w:pPr>
        <w:spacing w:before="120" w:line="22" w:lineRule="atLeast"/>
        <w:ind w:left="96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r>
        <w:rPr>
          <w:rFonts w:hint="eastAsia" w:ascii="宋体" w:hAnsi="宋体" w:eastAsia="宋体" w:cs="宋体"/>
          <w:color w:val="000000" w:themeColor="text1"/>
          <w:u w:val="single"/>
          <w14:textFill>
            <w14:solidFill>
              <w14:schemeClr w14:val="tx1"/>
            </w14:solidFill>
          </w14:textFill>
        </w:rPr>
        <w:t xml:space="preserve">                                       </w:t>
      </w:r>
    </w:p>
    <w:p w14:paraId="5672AC81">
      <w:pPr>
        <w:spacing w:before="120" w:line="22" w:lineRule="atLeast"/>
        <w:rPr>
          <w:rFonts w:hint="eastAsia" w:ascii="宋体" w:hAnsi="宋体" w:eastAsia="宋体" w:cs="宋体"/>
          <w:color w:val="000000" w:themeColor="text1"/>
          <w14:textFill>
            <w14:solidFill>
              <w14:schemeClr w14:val="tx1"/>
            </w14:solidFill>
          </w14:textFill>
        </w:rPr>
      </w:pPr>
    </w:p>
    <w:p w14:paraId="483B2446">
      <w:pPr>
        <w:spacing w:before="120" w:line="22" w:lineRule="atLeast"/>
        <w:ind w:firstLine="960" w:firstLineChars="4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签订地：</w:t>
      </w:r>
      <w:r>
        <w:rPr>
          <w:rFonts w:hint="eastAsia" w:ascii="宋体" w:hAnsi="宋体" w:eastAsia="宋体" w:cs="宋体"/>
          <w:color w:val="000000" w:themeColor="text1"/>
          <w:u w:val="single"/>
          <w14:textFill>
            <w14:solidFill>
              <w14:schemeClr w14:val="tx1"/>
            </w14:solidFill>
          </w14:textFill>
        </w:rPr>
        <w:t xml:space="preserve">                                     </w:t>
      </w:r>
    </w:p>
    <w:p w14:paraId="454A76AB">
      <w:pPr>
        <w:spacing w:before="120" w:line="22" w:lineRule="atLeast"/>
        <w:rPr>
          <w:rFonts w:hint="eastAsia" w:ascii="宋体" w:hAnsi="宋体" w:eastAsia="宋体" w:cs="宋体"/>
          <w:color w:val="000000" w:themeColor="text1"/>
          <w14:textFill>
            <w14:solidFill>
              <w14:schemeClr w14:val="tx1"/>
            </w14:solidFill>
          </w14:textFill>
        </w:rPr>
      </w:pPr>
    </w:p>
    <w:p w14:paraId="2CCF4E33">
      <w:pPr>
        <w:spacing w:before="120" w:line="22" w:lineRule="atLeast"/>
        <w:ind w:firstLine="960" w:firstLineChars="4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w:t>
      </w:r>
    </w:p>
    <w:p w14:paraId="1B7AD830">
      <w:pPr>
        <w:rPr>
          <w:rFonts w:hint="eastAsia" w:ascii="宋体" w:hAnsi="宋体" w:eastAsia="宋体" w:cs="宋体"/>
          <w:color w:val="000000" w:themeColor="text1"/>
          <w14:textFill>
            <w14:solidFill>
              <w14:schemeClr w14:val="tx1"/>
            </w14:solidFill>
          </w14:textFill>
        </w:rPr>
        <w:sectPr>
          <w:headerReference r:id="rId3" w:type="default"/>
          <w:footerReference r:id="rId4" w:type="default"/>
          <w:pgSz w:w="11907" w:h="16840"/>
          <w:pgMar w:top="1474" w:right="1814" w:bottom="1474" w:left="1814" w:header="851" w:footer="851" w:gutter="0"/>
          <w:cols w:space="720" w:num="1"/>
        </w:sectPr>
      </w:pPr>
    </w:p>
    <w:p w14:paraId="7A34F7A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 xml:space="preserve">   （采购人）   </w:t>
      </w:r>
      <w:r>
        <w:rPr>
          <w:rFonts w:hint="eastAsia" w:ascii="宋体" w:hAnsi="宋体" w:eastAsia="宋体" w:cs="宋体"/>
          <w:color w:val="000000" w:themeColor="text1"/>
          <w14:textFill>
            <w14:solidFill>
              <w14:schemeClr w14:val="tx1"/>
            </w14:solidFill>
          </w14:textFill>
        </w:rPr>
        <w:t>以</w:t>
      </w:r>
      <w:r>
        <w:rPr>
          <w:rFonts w:hint="eastAsia" w:ascii="宋体" w:hAnsi="宋体" w:eastAsia="宋体" w:cs="宋体"/>
          <w:color w:val="000000" w:themeColor="text1"/>
          <w:u w:val="single"/>
          <w14:textFill>
            <w14:solidFill>
              <w14:schemeClr w14:val="tx1"/>
            </w14:solidFill>
          </w14:textFill>
        </w:rPr>
        <w:t xml:space="preserve">   （政府采购方式）  </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u w:val="single"/>
          <w14:textFill>
            <w14:solidFill>
              <w14:schemeClr w14:val="tx1"/>
            </w14:solidFill>
          </w14:textFill>
        </w:rPr>
        <w:t xml:space="preserve">   （同前页项目名称）   </w:t>
      </w:r>
      <w:r>
        <w:rPr>
          <w:rFonts w:hint="eastAsia" w:ascii="宋体" w:hAnsi="宋体" w:eastAsia="宋体" w:cs="宋体"/>
          <w:color w:val="000000" w:themeColor="text1"/>
          <w14:textFill>
            <w14:solidFill>
              <w14:schemeClr w14:val="tx1"/>
            </w14:solidFill>
          </w14:textFill>
        </w:rPr>
        <w:t>项目进行了采购。经</w:t>
      </w:r>
      <w:r>
        <w:rPr>
          <w:rFonts w:hint="eastAsia" w:ascii="宋体" w:hAnsi="宋体" w:eastAsia="宋体" w:cs="宋体"/>
          <w:color w:val="000000" w:themeColor="text1"/>
          <w:u w:val="single"/>
          <w14:textFill>
            <w14:solidFill>
              <w14:schemeClr w14:val="tx1"/>
            </w14:solidFill>
          </w14:textFill>
        </w:rPr>
        <w:t xml:space="preserve">   （相关评定主体名称）   </w:t>
      </w:r>
      <w:r>
        <w:rPr>
          <w:rFonts w:hint="eastAsia" w:ascii="宋体" w:hAnsi="宋体" w:eastAsia="宋体" w:cs="宋体"/>
          <w:color w:val="000000" w:themeColor="text1"/>
          <w14:textFill>
            <w14:solidFill>
              <w14:schemeClr w14:val="tx1"/>
            </w14:solidFill>
          </w14:textFill>
        </w:rPr>
        <w:t>评定，</w:t>
      </w:r>
      <w:r>
        <w:rPr>
          <w:rFonts w:hint="eastAsia" w:ascii="宋体" w:hAnsi="宋体" w:eastAsia="宋体" w:cs="宋体"/>
          <w:color w:val="000000" w:themeColor="text1"/>
          <w:u w:val="single"/>
          <w14:textFill>
            <w14:solidFill>
              <w14:schemeClr w14:val="tx1"/>
            </w14:solidFill>
          </w14:textFill>
        </w:rPr>
        <w:t xml:space="preserve">   （中标供应商名称）</w:t>
      </w:r>
      <w:r>
        <w:rPr>
          <w:rFonts w:hint="eastAsia" w:ascii="宋体" w:hAnsi="宋体" w:eastAsia="宋体" w:cs="宋体"/>
          <w:color w:val="000000" w:themeColor="text1"/>
          <w14:textFill>
            <w14:solidFill>
              <w14:schemeClr w14:val="tx1"/>
            </w14:solidFill>
          </w14:textFill>
        </w:rPr>
        <w:t>为该项目中标供应商。现于中标通知书发出之日起三十日内，按照采购文件确定的事项签订本合同。</w:t>
      </w:r>
    </w:p>
    <w:p w14:paraId="514D580E">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eastAsia="宋体" w:cs="宋体"/>
          <w:color w:val="000000" w:themeColor="text1"/>
          <w:u w:val="single"/>
          <w14:textFill>
            <w14:solidFill>
              <w14:schemeClr w14:val="tx1"/>
            </w14:solidFill>
          </w14:textFill>
        </w:rPr>
        <w:t xml:space="preserve">   （采购人）   </w:t>
      </w:r>
      <w:r>
        <w:rPr>
          <w:rFonts w:hint="eastAsia" w:ascii="宋体" w:hAnsi="宋体" w:eastAsia="宋体" w:cs="宋体"/>
          <w:color w:val="000000" w:themeColor="text1"/>
          <w:lang w:val="zh-CN"/>
          <w14:textFill>
            <w14:solidFill>
              <w14:schemeClr w14:val="tx1"/>
            </w14:solidFill>
          </w14:textFill>
        </w:rPr>
        <w:t>(以下简称：甲方)和</w:t>
      </w:r>
      <w:r>
        <w:rPr>
          <w:rFonts w:hint="eastAsia" w:ascii="宋体" w:hAnsi="宋体" w:eastAsia="宋体" w:cs="宋体"/>
          <w:color w:val="000000" w:themeColor="text1"/>
          <w:u w:val="single"/>
          <w14:textFill>
            <w14:solidFill>
              <w14:schemeClr w14:val="tx1"/>
            </w14:solidFill>
          </w14:textFill>
        </w:rPr>
        <w:t xml:space="preserve">   （中标供应商名称）   </w:t>
      </w:r>
      <w:r>
        <w:rPr>
          <w:rFonts w:hint="eastAsia" w:ascii="宋体" w:hAnsi="宋体" w:eastAsia="宋体" w:cs="宋体"/>
          <w:color w:val="000000" w:themeColor="text1"/>
          <w:lang w:val="zh-CN"/>
          <w14:textFill>
            <w14:solidFill>
              <w14:schemeClr w14:val="tx1"/>
            </w14:solidFill>
          </w14:textFill>
        </w:rPr>
        <w:t>(以下简称：乙方)协商一致，约定以下合同</w:t>
      </w:r>
      <w:r>
        <w:rPr>
          <w:rFonts w:hint="eastAsia" w:ascii="宋体" w:hAnsi="宋体" w:eastAsia="宋体" w:cs="宋体"/>
          <w:color w:val="000000" w:themeColor="text1"/>
          <w14:textFill>
            <w14:solidFill>
              <w14:schemeClr w14:val="tx1"/>
            </w14:solidFill>
          </w14:textFill>
        </w:rPr>
        <w:t>条款，以兹共同遵守、全面履行。</w:t>
      </w:r>
    </w:p>
    <w:p w14:paraId="27BBC24C">
      <w:pPr>
        <w:pStyle w:val="5"/>
        <w:rPr>
          <w:rFonts w:hint="eastAsia" w:ascii="宋体" w:hAnsi="宋体" w:eastAsia="宋体" w:cs="宋体"/>
          <w:color w:val="000000" w:themeColor="text1"/>
          <w14:textFill>
            <w14:solidFill>
              <w14:schemeClr w14:val="tx1"/>
            </w14:solidFill>
          </w14:textFill>
        </w:rPr>
      </w:pPr>
      <w:bookmarkStart w:id="370" w:name="_Toc24059"/>
      <w:bookmarkStart w:id="371" w:name="_Toc3029"/>
      <w:bookmarkStart w:id="372" w:name="_Toc2232"/>
      <w:r>
        <w:rPr>
          <w:rFonts w:hint="eastAsia" w:ascii="宋体" w:hAnsi="宋体" w:eastAsia="宋体" w:cs="宋体"/>
          <w:color w:val="000000" w:themeColor="text1"/>
          <w14:textFill>
            <w14:solidFill>
              <w14:schemeClr w14:val="tx1"/>
            </w14:solidFill>
          </w14:textFill>
        </w:rPr>
        <w:t>1.1 合同组成部分</w:t>
      </w:r>
      <w:bookmarkEnd w:id="370"/>
      <w:bookmarkEnd w:id="371"/>
      <w:bookmarkEnd w:id="372"/>
    </w:p>
    <w:p w14:paraId="5E2D2EF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910F2A">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1.1.1 本合同及其补充合同、变更协议；</w:t>
      </w:r>
    </w:p>
    <w:p w14:paraId="3DF506F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1.1.2 中标通知书；</w:t>
      </w:r>
    </w:p>
    <w:p w14:paraId="5E30D646">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1.1.3 响应文件（含澄清或者说明文件）；</w:t>
      </w:r>
    </w:p>
    <w:p w14:paraId="7AAAD23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1.1.4 交易文件（含澄清或者修改文件）；</w:t>
      </w:r>
    </w:p>
    <w:p w14:paraId="4BFA161C">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1.1.5 其他相关采购文件。</w:t>
      </w:r>
    </w:p>
    <w:p w14:paraId="3CBBEF56">
      <w:pPr>
        <w:pStyle w:val="5"/>
        <w:rPr>
          <w:rFonts w:hint="eastAsia" w:ascii="宋体" w:hAnsi="宋体" w:eastAsia="宋体" w:cs="宋体"/>
          <w:color w:val="000000" w:themeColor="text1"/>
          <w14:textFill>
            <w14:solidFill>
              <w14:schemeClr w14:val="tx1"/>
            </w14:solidFill>
          </w14:textFill>
        </w:rPr>
      </w:pPr>
      <w:bookmarkStart w:id="373" w:name="_Toc24300"/>
      <w:bookmarkStart w:id="374" w:name="_Toc27126"/>
      <w:bookmarkStart w:id="375" w:name="_Toc21295"/>
      <w:r>
        <w:rPr>
          <w:rFonts w:hint="eastAsia" w:ascii="宋体" w:hAnsi="宋体" w:eastAsia="宋体" w:cs="宋体"/>
          <w:color w:val="000000" w:themeColor="text1"/>
          <w14:textFill>
            <w14:solidFill>
              <w14:schemeClr w14:val="tx1"/>
            </w14:solidFill>
          </w14:textFill>
        </w:rPr>
        <w:t>1.2 货物</w:t>
      </w:r>
      <w:bookmarkEnd w:id="373"/>
      <w:bookmarkEnd w:id="374"/>
      <w:bookmarkEnd w:id="375"/>
    </w:p>
    <w:p w14:paraId="3B534B68">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 货物名称：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4353558C">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1.2.2 货物数量：</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69C7369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1.2.3 货物质量：</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38E5EFF3">
      <w:pPr>
        <w:pStyle w:val="5"/>
        <w:rPr>
          <w:rFonts w:hint="eastAsia" w:ascii="宋体" w:hAnsi="宋体" w:eastAsia="宋体" w:cs="宋体"/>
          <w:color w:val="000000" w:themeColor="text1"/>
          <w14:textFill>
            <w14:solidFill>
              <w14:schemeClr w14:val="tx1"/>
            </w14:solidFill>
          </w14:textFill>
        </w:rPr>
      </w:pPr>
      <w:bookmarkStart w:id="376" w:name="_Toc23292"/>
      <w:bookmarkStart w:id="377" w:name="_Toc21631"/>
      <w:bookmarkStart w:id="378" w:name="_Toc21551"/>
      <w:r>
        <w:rPr>
          <w:rFonts w:hint="eastAsia" w:ascii="宋体" w:hAnsi="宋体" w:eastAsia="宋体" w:cs="宋体"/>
          <w:color w:val="000000" w:themeColor="text1"/>
          <w14:textFill>
            <w14:solidFill>
              <w14:schemeClr w14:val="tx1"/>
            </w14:solidFill>
          </w14:textFill>
        </w:rPr>
        <w:t>1.3 价款</w:t>
      </w:r>
      <w:bookmarkEnd w:id="376"/>
      <w:bookmarkEnd w:id="377"/>
      <w:bookmarkEnd w:id="378"/>
    </w:p>
    <w:p w14:paraId="4086039C">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本合同总价为：￥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元（大写：</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元人民币）。</w:t>
      </w:r>
    </w:p>
    <w:p w14:paraId="00B63E1B">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F4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5C6A7F">
            <w:pPr>
              <w:pStyle w:val="69"/>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158A4D7">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A95E53C">
            <w:pPr>
              <w:pStyle w:val="69"/>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669E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7821084">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3E4D56C2">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E9A8BB2">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48B0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188425">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7B7F7845">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30A0CE1">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61B0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96E095">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9769E43">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06A4E19">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2FF8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54FFCE">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32AFF15">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D840243">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5B7C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83814CF">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25171D0">
            <w:pPr>
              <w:pStyle w:val="69"/>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02088F81">
      <w:pPr>
        <w:pStyle w:val="5"/>
        <w:rPr>
          <w:rFonts w:hint="eastAsia" w:ascii="宋体" w:hAnsi="宋体" w:eastAsia="宋体" w:cs="宋体"/>
          <w:color w:val="000000" w:themeColor="text1"/>
          <w14:textFill>
            <w14:solidFill>
              <w14:schemeClr w14:val="tx1"/>
            </w14:solidFill>
          </w14:textFill>
        </w:rPr>
      </w:pPr>
      <w:bookmarkStart w:id="379" w:name="_Toc10340"/>
      <w:bookmarkStart w:id="380" w:name="_Toc22618"/>
      <w:bookmarkStart w:id="381" w:name="_Toc1814"/>
      <w:r>
        <w:rPr>
          <w:rFonts w:hint="eastAsia" w:ascii="宋体" w:hAnsi="宋体" w:eastAsia="宋体" w:cs="宋体"/>
          <w:color w:val="000000" w:themeColor="text1"/>
          <w14:textFill>
            <w14:solidFill>
              <w14:schemeClr w14:val="tx1"/>
            </w14:solidFill>
          </w14:textFill>
        </w:rPr>
        <w:t>1.4 付款</w:t>
      </w:r>
      <w:bookmarkEnd w:id="379"/>
      <w:bookmarkEnd w:id="380"/>
      <w:bookmarkEnd w:id="381"/>
      <w:r>
        <w:rPr>
          <w:rFonts w:hint="eastAsia" w:ascii="宋体" w:hAnsi="宋体" w:eastAsia="宋体" w:cs="宋体"/>
          <w:color w:val="000000" w:themeColor="text1"/>
          <w14:textFill>
            <w14:solidFill>
              <w14:schemeClr w14:val="tx1"/>
            </w14:solidFill>
          </w14:textFill>
        </w:rPr>
        <w:t>方式、时间和条件</w:t>
      </w:r>
    </w:p>
    <w:p w14:paraId="483DDD39">
      <w:pPr>
        <w:pStyle w:val="74"/>
        <w:spacing w:before="0" w:beforeAutospacing="0" w:after="0" w:afterAutospacing="0" w:line="360" w:lineRule="auto"/>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9FE0F1C">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前台大厅选择金融服务 - 【保函保险服务】出具预付款保函，具体步骤：选择产品—填写供应商信息—选择中标项目—确认信息—等待保险/保函受理—确认保单—支付保费—成功出单。</w:t>
      </w:r>
      <w:r>
        <w:rPr>
          <w:rFonts w:hint="eastAsia" w:cs="宋体"/>
          <w:color w:val="000000" w:themeColor="text1"/>
          <w:lang w:eastAsia="zh-CN"/>
          <w14:textFill>
            <w14:solidFill>
              <w14:schemeClr w14:val="tx1"/>
            </w14:solidFill>
          </w14:textFill>
        </w:rPr>
        <w:t>乐采云</w:t>
      </w:r>
      <w:r>
        <w:rPr>
          <w:rFonts w:hint="eastAsia" w:ascii="宋体" w:hAnsi="宋体" w:eastAsia="宋体" w:cs="宋体"/>
          <w:color w:val="000000" w:themeColor="text1"/>
          <w14:textFill>
            <w14:solidFill>
              <w14:schemeClr w14:val="tx1"/>
            </w14:solidFill>
          </w14:textFill>
        </w:rPr>
        <w:t>金融专线400-903-9583。</w:t>
      </w:r>
    </w:p>
    <w:p w14:paraId="761DB684">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14:paraId="2358811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1.4.4资金支付的方式、时间和条件详见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5C2FEC9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7977A5F3">
      <w:pPr>
        <w:pStyle w:val="5"/>
        <w:rPr>
          <w:rFonts w:hint="eastAsia" w:ascii="宋体" w:hAnsi="宋体" w:eastAsia="宋体" w:cs="宋体"/>
          <w:color w:val="000000" w:themeColor="text1"/>
          <w14:textFill>
            <w14:solidFill>
              <w14:schemeClr w14:val="tx1"/>
            </w14:solidFill>
          </w14:textFill>
        </w:rPr>
      </w:pPr>
      <w:bookmarkStart w:id="382" w:name="_Toc2846"/>
      <w:bookmarkStart w:id="383" w:name="_Toc32071"/>
      <w:bookmarkStart w:id="384" w:name="_Toc19304"/>
      <w:r>
        <w:rPr>
          <w:rFonts w:hint="eastAsia" w:ascii="宋体" w:hAnsi="宋体" w:eastAsia="宋体" w:cs="宋体"/>
          <w:color w:val="000000" w:themeColor="text1"/>
          <w14:textFill>
            <w14:solidFill>
              <w14:schemeClr w14:val="tx1"/>
            </w14:solidFill>
          </w14:textFill>
        </w:rPr>
        <w:t>1.5 货物交付期限、地点和方式</w:t>
      </w:r>
      <w:bookmarkEnd w:id="382"/>
      <w:bookmarkEnd w:id="383"/>
      <w:bookmarkEnd w:id="384"/>
    </w:p>
    <w:p w14:paraId="2899B86D">
      <w:pPr>
        <w:spacing w:line="560" w:lineRule="exact"/>
        <w:ind w:firstLine="48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1.5.1 交付期限：详见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323CB2C2">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 交付地点：</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389D9E2A">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1.5.3 交付方式：</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7A37620B">
      <w:pPr>
        <w:pStyle w:val="5"/>
        <w:rPr>
          <w:rFonts w:hint="eastAsia" w:ascii="宋体" w:hAnsi="宋体" w:eastAsia="宋体" w:cs="宋体"/>
          <w:color w:val="000000" w:themeColor="text1"/>
          <w14:textFill>
            <w14:solidFill>
              <w14:schemeClr w14:val="tx1"/>
            </w14:solidFill>
          </w14:textFill>
        </w:rPr>
      </w:pPr>
      <w:bookmarkStart w:id="385" w:name="_Toc21423"/>
      <w:bookmarkStart w:id="386" w:name="_Toc19554"/>
      <w:bookmarkStart w:id="387" w:name="_Toc27250"/>
      <w:r>
        <w:rPr>
          <w:rFonts w:hint="eastAsia" w:ascii="宋体" w:hAnsi="宋体" w:eastAsia="宋体" w:cs="宋体"/>
          <w:color w:val="000000" w:themeColor="text1"/>
          <w14:textFill>
            <w14:solidFill>
              <w14:schemeClr w14:val="tx1"/>
            </w14:solidFill>
          </w14:textFill>
        </w:rPr>
        <w:t>1.6 违约责任</w:t>
      </w:r>
      <w:bookmarkEnd w:id="385"/>
      <w:bookmarkEnd w:id="386"/>
      <w:bookmarkEnd w:id="387"/>
    </w:p>
    <w:p w14:paraId="6E68CBEF">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u w:val="single"/>
          <w14:textFill>
            <w14:solidFill>
              <w14:schemeClr w14:val="tx1"/>
            </w14:solidFill>
          </w14:textFill>
        </w:rPr>
        <w:t xml:space="preserve">  0.05  </w:t>
      </w:r>
      <w:r>
        <w:rPr>
          <w:rFonts w:hint="eastAsia" w:ascii="宋体" w:hAnsi="宋体" w:eastAsia="宋体" w:cs="宋体"/>
          <w:color w:val="000000" w:themeColor="text1"/>
          <w14:textFill>
            <w14:solidFill>
              <w14:schemeClr w14:val="tx1"/>
            </w14:solidFill>
          </w14:textFill>
        </w:rPr>
        <w:t>%计算，最高限额为本合同总价的</w:t>
      </w:r>
      <w:r>
        <w:rPr>
          <w:rFonts w:hint="eastAsia" w:ascii="宋体" w:hAnsi="宋体" w:eastAsia="宋体" w:cs="宋体"/>
          <w:color w:val="000000" w:themeColor="text1"/>
          <w:u w:val="single"/>
          <w14:textFill>
            <w14:solidFill>
              <w14:schemeClr w14:val="tx1"/>
            </w14:solidFill>
          </w14:textFill>
        </w:rPr>
        <w:t xml:space="preserve"> 20  </w:t>
      </w:r>
      <w:r>
        <w:rPr>
          <w:rFonts w:hint="eastAsia" w:ascii="宋体" w:hAnsi="宋体" w:eastAsia="宋体" w:cs="宋体"/>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4CD2E72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u w:val="single"/>
          <w14:textFill>
            <w14:solidFill>
              <w14:schemeClr w14:val="tx1"/>
            </w14:solidFill>
          </w14:textFill>
        </w:rPr>
        <w:t xml:space="preserve">  0.05  </w:t>
      </w:r>
      <w:r>
        <w:rPr>
          <w:rFonts w:hint="eastAsia" w:ascii="宋体" w:hAnsi="宋体" w:eastAsia="宋体" w:cs="宋体"/>
          <w:color w:val="000000" w:themeColor="text1"/>
          <w14:textFill>
            <w14:solidFill>
              <w14:schemeClr w14:val="tx1"/>
            </w14:solidFill>
          </w14:textFill>
        </w:rPr>
        <w:t>%计算，最高限额为本合同总价的</w:t>
      </w:r>
      <w:r>
        <w:rPr>
          <w:rFonts w:hint="eastAsia" w:ascii="宋体" w:hAnsi="宋体" w:eastAsia="宋体" w:cs="宋体"/>
          <w:color w:val="000000" w:themeColor="text1"/>
          <w:u w:val="single"/>
          <w14:textFill>
            <w14:solidFill>
              <w14:schemeClr w14:val="tx1"/>
            </w14:solidFill>
          </w14:textFill>
        </w:rPr>
        <w:t xml:space="preserve">  20   </w:t>
      </w:r>
      <w:r>
        <w:rPr>
          <w:rFonts w:hint="eastAsia" w:ascii="宋体" w:hAnsi="宋体" w:eastAsia="宋体" w:cs="宋体"/>
          <w:color w:val="000000" w:themeColor="text1"/>
          <w14:textFill>
            <w14:solidFill>
              <w14:schemeClr w14:val="tx1"/>
            </w14:solidFill>
          </w14:textFill>
        </w:rPr>
        <w:t>%；迟延付款的违约金计算数额达到前述最高限额之日起，乙方有权在要求甲方支付违约金的同时，书面通知甲方解除本合同；</w:t>
      </w:r>
    </w:p>
    <w:p w14:paraId="1FA17E26">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A37FA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AD0B4C">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A029A3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6F37939B">
      <w:pPr>
        <w:spacing w:line="560" w:lineRule="exact"/>
        <w:ind w:left="-480" w:leftChars="-200" w:right="-480" w:rightChars="-200" w:firstLine="960" w:firstLineChars="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1.6.7违约责任</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另有约定的，从其约定。</w:t>
      </w:r>
    </w:p>
    <w:p w14:paraId="03A940E8">
      <w:pPr>
        <w:pStyle w:val="5"/>
        <w:rPr>
          <w:rFonts w:hint="eastAsia" w:ascii="宋体" w:hAnsi="宋体" w:eastAsia="宋体" w:cs="宋体"/>
          <w:color w:val="000000" w:themeColor="text1"/>
          <w14:textFill>
            <w14:solidFill>
              <w14:schemeClr w14:val="tx1"/>
            </w14:solidFill>
          </w14:textFill>
        </w:rPr>
      </w:pPr>
      <w:bookmarkStart w:id="388" w:name="_Toc15583"/>
      <w:bookmarkStart w:id="389" w:name="_Toc16021"/>
      <w:bookmarkStart w:id="390" w:name="_Toc28375"/>
      <w:r>
        <w:rPr>
          <w:rFonts w:hint="eastAsia" w:ascii="宋体" w:hAnsi="宋体" w:eastAsia="宋体" w:cs="宋体"/>
          <w:color w:val="000000" w:themeColor="text1"/>
          <w14:textFill>
            <w14:solidFill>
              <w14:schemeClr w14:val="tx1"/>
            </w14:solidFill>
          </w14:textFill>
        </w:rPr>
        <w:t>1.7 合同争议的解决</w:t>
      </w:r>
      <w:bookmarkEnd w:id="388"/>
      <w:bookmarkEnd w:id="389"/>
      <w:bookmarkEnd w:id="390"/>
    </w:p>
    <w:p w14:paraId="2B9C2936">
      <w:pPr>
        <w:spacing w:line="560" w:lineRule="exact"/>
        <w:ind w:left="-70" w:leftChars="-29" w:right="-480" w:rightChars="-200" w:firstLine="24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u w:val="single"/>
          <w14:textFill>
            <w14:solidFill>
              <w14:schemeClr w14:val="tx1"/>
            </w14:solidFill>
          </w14:textFill>
        </w:rPr>
        <w:t xml:space="preserve"> 合同专用条款  </w:t>
      </w:r>
      <w:r>
        <w:rPr>
          <w:rFonts w:hint="eastAsia" w:ascii="宋体" w:hAnsi="宋体" w:eastAsia="宋体" w:cs="宋体"/>
          <w:color w:val="000000" w:themeColor="text1"/>
          <w14:textFill>
            <w14:solidFill>
              <w14:schemeClr w14:val="tx1"/>
            </w14:solidFill>
          </w14:textFill>
        </w:rPr>
        <w:t>条款规定的方式解决：</w:t>
      </w:r>
    </w:p>
    <w:p w14:paraId="5F635165">
      <w:pPr>
        <w:spacing w:line="560" w:lineRule="exact"/>
        <w:ind w:left="-480" w:leftChars="-200" w:right="-480" w:rightChars="-200"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 将争议提交</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仲裁委员会依申请仲裁时其现行有效的仲裁规则裁决；</w:t>
      </w:r>
    </w:p>
    <w:p w14:paraId="330C218B">
      <w:pPr>
        <w:spacing w:line="560" w:lineRule="exact"/>
        <w:ind w:left="-480" w:leftChars="-200" w:right="-480" w:rightChars="-200" w:firstLine="600" w:firstLineChars="2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 向</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人民法院起诉。</w:t>
      </w:r>
    </w:p>
    <w:p w14:paraId="19313617">
      <w:pPr>
        <w:pStyle w:val="5"/>
        <w:rPr>
          <w:rFonts w:hint="eastAsia" w:ascii="宋体" w:hAnsi="宋体" w:eastAsia="宋体" w:cs="宋体"/>
          <w:color w:val="000000" w:themeColor="text1"/>
          <w14:textFill>
            <w14:solidFill>
              <w14:schemeClr w14:val="tx1"/>
            </w14:solidFill>
          </w14:textFill>
        </w:rPr>
      </w:pPr>
      <w:bookmarkStart w:id="391" w:name="_Toc7245"/>
      <w:bookmarkStart w:id="392" w:name="_Toc15322"/>
      <w:bookmarkStart w:id="393" w:name="_Toc11173"/>
      <w:r>
        <w:rPr>
          <w:rFonts w:hint="eastAsia" w:ascii="宋体" w:hAnsi="宋体" w:eastAsia="宋体" w:cs="宋体"/>
          <w:color w:val="000000" w:themeColor="text1"/>
          <w14:textFill>
            <w14:solidFill>
              <w14:schemeClr w14:val="tx1"/>
            </w14:solidFill>
          </w14:textFill>
        </w:rPr>
        <w:t>1.8 合同生效</w:t>
      </w:r>
      <w:bookmarkEnd w:id="391"/>
      <w:bookmarkEnd w:id="392"/>
      <w:bookmarkEnd w:id="393"/>
    </w:p>
    <w:p w14:paraId="445A8F42">
      <w:pPr>
        <w:spacing w:line="560" w:lineRule="exact"/>
        <w:ind w:firstLine="48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本合同自双方当事人盖章或者签字时生效。</w:t>
      </w:r>
    </w:p>
    <w:p w14:paraId="323C028C">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p>
    <w:p w14:paraId="4B0A86FB">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甲方</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b/>
          <w:color w:val="000000" w:themeColor="text1"/>
          <w:lang w:val="zh-CN"/>
          <w14:textFill>
            <w14:solidFill>
              <w14:schemeClr w14:val="tx1"/>
            </w14:solidFill>
          </w14:textFill>
        </w:rPr>
        <w:t xml:space="preserve">      乙方</w:t>
      </w:r>
      <w:r>
        <w:rPr>
          <w:rFonts w:hint="eastAsia" w:ascii="宋体" w:hAnsi="宋体" w:eastAsia="宋体" w:cs="宋体"/>
          <w:color w:val="000000" w:themeColor="text1"/>
          <w:lang w:val="zh-CN"/>
          <w14:textFill>
            <w14:solidFill>
              <w14:schemeClr w14:val="tx1"/>
            </w14:solidFill>
          </w14:textFill>
        </w:rPr>
        <w:t>：</w:t>
      </w:r>
    </w:p>
    <w:p w14:paraId="409734EE">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统一社会信用代码：                        统一社会信用代码或身份证号码：</w:t>
      </w:r>
    </w:p>
    <w:p w14:paraId="11B2593A">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p>
    <w:p w14:paraId="40636477">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住所：                                   住所：</w:t>
      </w:r>
    </w:p>
    <w:p w14:paraId="32B81124">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法定代表人或                             法定代表人</w:t>
      </w:r>
    </w:p>
    <w:p w14:paraId="010D5E8B">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授权代表（签字）：                        或授权代表（签字）: </w:t>
      </w:r>
    </w:p>
    <w:p w14:paraId="66BD51FE">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联系人：                                 联系人：</w:t>
      </w:r>
    </w:p>
    <w:p w14:paraId="50632F33">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约定送达地址：                           约定送达地址：</w:t>
      </w:r>
    </w:p>
    <w:p w14:paraId="10B41C73">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邮政编码：                               邮政编码：</w:t>
      </w:r>
    </w:p>
    <w:p w14:paraId="28DAF807">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电话:                                    电话: </w:t>
      </w:r>
    </w:p>
    <w:p w14:paraId="649E2592">
      <w:pPr>
        <w:autoSpaceDE w:val="0"/>
        <w:autoSpaceDN w:val="0"/>
        <w:spacing w:line="560" w:lineRule="exac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传真:                                    传真:</w:t>
      </w:r>
    </w:p>
    <w:p w14:paraId="7C46FC9A">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电子邮箱：                               电子邮箱：</w:t>
      </w:r>
    </w:p>
    <w:p w14:paraId="6A10AA88">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开户银行：                               开户银行： </w:t>
      </w:r>
    </w:p>
    <w:p w14:paraId="273BA502">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开户名称：                               开户名称： </w:t>
      </w:r>
    </w:p>
    <w:p w14:paraId="6E903AD3">
      <w:pPr>
        <w:autoSpaceDE w:val="0"/>
        <w:autoSpaceDN w:val="0"/>
        <w:spacing w:line="56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开户账号：</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开户账号：</w:t>
      </w:r>
    </w:p>
    <w:p w14:paraId="10759D54">
      <w:pPr>
        <w:spacing w:line="560" w:lineRule="exact"/>
        <w:rPr>
          <w:rFonts w:hint="eastAsia" w:ascii="宋体" w:hAnsi="宋体" w:eastAsia="宋体" w:cs="宋体"/>
          <w:b/>
          <w:color w:val="000000" w:themeColor="text1"/>
          <w14:textFill>
            <w14:solidFill>
              <w14:schemeClr w14:val="tx1"/>
            </w14:solidFill>
          </w14:textFill>
        </w:rPr>
      </w:pPr>
      <w:bookmarkStart w:id="394" w:name="_Toc331685783"/>
    </w:p>
    <w:p w14:paraId="12DCFE21">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合同一般条款</w:t>
      </w:r>
      <w:bookmarkEnd w:id="394"/>
    </w:p>
    <w:p w14:paraId="2E40E111">
      <w:pPr>
        <w:pStyle w:val="5"/>
        <w:rPr>
          <w:rFonts w:hint="eastAsia" w:ascii="宋体" w:hAnsi="宋体" w:eastAsia="宋体" w:cs="宋体"/>
          <w:color w:val="000000" w:themeColor="text1"/>
          <w14:textFill>
            <w14:solidFill>
              <w14:schemeClr w14:val="tx1"/>
            </w14:solidFill>
          </w14:textFill>
        </w:rPr>
      </w:pPr>
      <w:bookmarkStart w:id="395" w:name="_Ref467378404"/>
      <w:bookmarkStart w:id="396" w:name="_Ref467379225"/>
      <w:bookmarkStart w:id="397" w:name="_Ref467379214"/>
      <w:bookmarkStart w:id="398" w:name="_Toc259093669"/>
      <w:bookmarkStart w:id="399" w:name="_Ref467379101"/>
      <w:bookmarkStart w:id="400" w:name="_Toc487900349"/>
      <w:bookmarkStart w:id="401" w:name="_Ref467379205"/>
      <w:bookmarkStart w:id="402" w:name="_Toc16917"/>
      <w:bookmarkStart w:id="403" w:name="_Ref467379094"/>
      <w:bookmarkStart w:id="404" w:name="_Toc28763"/>
      <w:bookmarkStart w:id="405" w:name="_Ref467379195"/>
      <w:bookmarkStart w:id="406" w:name="_Ref467378463"/>
      <w:bookmarkStart w:id="407" w:name="_Toc279701240"/>
      <w:bookmarkStart w:id="408" w:name="_Toc19614"/>
      <w:bookmarkStart w:id="409" w:name="_Ref467379109"/>
      <w:bookmarkStart w:id="410" w:name="_Ref467378499"/>
      <w:r>
        <w:rPr>
          <w:rFonts w:hint="eastAsia" w:ascii="宋体" w:hAnsi="宋体" w:eastAsia="宋体" w:cs="宋体"/>
          <w:color w:val="000000" w:themeColor="text1"/>
          <w14:textFill>
            <w14:solidFill>
              <w14:schemeClr w14:val="tx1"/>
            </w14:solidFill>
          </w14:textFill>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591E23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本合同中的下列词语应按以下内容进行解释：</w:t>
      </w:r>
    </w:p>
    <w:p w14:paraId="52C85372">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2FABA3AC">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 “合同价”系指根据合同约定，中标供应商在完全履行合同义务后，采购人应支付给中标供应商的价格。</w:t>
      </w:r>
    </w:p>
    <w:p w14:paraId="69FE55B5">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7A1EE781">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11" w:name="_Ref467378840"/>
      <w:r>
        <w:rPr>
          <w:rFonts w:hint="eastAsia" w:ascii="宋体" w:hAnsi="宋体" w:eastAsia="宋体" w:cs="宋体"/>
          <w:color w:val="000000" w:themeColor="text1"/>
          <w14:textFill>
            <w14:solidFill>
              <w14:schemeClr w14:val="tx1"/>
            </w14:solidFill>
          </w14:textFill>
        </w:rPr>
        <w:t>2.1.4 “甲方”系指与中标供应商签署合同的采购人</w:t>
      </w:r>
      <w:bookmarkEnd w:id="411"/>
      <w:r>
        <w:rPr>
          <w:rFonts w:hint="eastAsia" w:ascii="宋体" w:hAnsi="宋体" w:eastAsia="宋体" w:cs="宋体"/>
          <w:color w:val="000000" w:themeColor="text1"/>
          <w14:textFill>
            <w14:solidFill>
              <w14:schemeClr w14:val="tx1"/>
            </w14:solidFill>
          </w14:textFill>
        </w:rPr>
        <w:t>；采购人委托采购代理机构代表其与乙方签订合同的，采购人的授权委托书作为合同附件。</w:t>
      </w:r>
    </w:p>
    <w:p w14:paraId="74686941">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12" w:name="_Ref467379400"/>
      <w:r>
        <w:rPr>
          <w:rFonts w:hint="eastAsia" w:ascii="宋体" w:hAnsi="宋体" w:eastAsia="宋体" w:cs="宋体"/>
          <w:color w:val="000000" w:themeColor="text1"/>
          <w14:textFill>
            <w14:solidFill>
              <w14:schemeClr w14:val="tx1"/>
            </w14:solidFill>
          </w14:textFill>
        </w:rPr>
        <w:t>2.1.5 “乙方”系指根据合同约定交付货物的中标供应商</w:t>
      </w:r>
      <w:bookmarkEnd w:id="412"/>
      <w:r>
        <w:rPr>
          <w:rFonts w:hint="eastAsia" w:ascii="宋体" w:hAnsi="宋体" w:eastAsia="宋体" w:cs="宋体"/>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FEEDDC">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13" w:name="_Ref467379436"/>
      <w:r>
        <w:rPr>
          <w:rFonts w:hint="eastAsia" w:ascii="宋体" w:hAnsi="宋体" w:eastAsia="宋体" w:cs="宋体"/>
          <w:color w:val="000000" w:themeColor="text1"/>
          <w14:textFill>
            <w14:solidFill>
              <w14:schemeClr w14:val="tx1"/>
            </w14:solidFill>
          </w14:textFill>
        </w:rPr>
        <w:t>2.1.6 “现场”系指合同约定货物将要运至或者安装的地点。</w:t>
      </w:r>
      <w:bookmarkEnd w:id="413"/>
    </w:p>
    <w:p w14:paraId="3AF34F58">
      <w:pPr>
        <w:pStyle w:val="5"/>
        <w:rPr>
          <w:rFonts w:hint="eastAsia" w:ascii="宋体" w:hAnsi="宋体" w:eastAsia="宋体" w:cs="宋体"/>
          <w:color w:val="000000" w:themeColor="text1"/>
          <w14:textFill>
            <w14:solidFill>
              <w14:schemeClr w14:val="tx1"/>
            </w14:solidFill>
          </w14:textFill>
        </w:rPr>
      </w:pPr>
      <w:bookmarkStart w:id="414" w:name="_Toc27635"/>
      <w:bookmarkStart w:id="415" w:name="_Toc32504"/>
      <w:bookmarkStart w:id="416" w:name="_Toc487900350"/>
      <w:bookmarkStart w:id="417" w:name="_Toc259093670"/>
      <w:bookmarkStart w:id="418" w:name="_Toc279701241"/>
      <w:bookmarkStart w:id="419" w:name="_Toc13336"/>
      <w:r>
        <w:rPr>
          <w:rFonts w:hint="eastAsia" w:ascii="宋体" w:hAnsi="宋体" w:eastAsia="宋体" w:cs="宋体"/>
          <w:color w:val="000000" w:themeColor="text1"/>
          <w14:textFill>
            <w14:solidFill>
              <w14:schemeClr w14:val="tx1"/>
            </w14:solidFill>
          </w14:textFill>
        </w:rPr>
        <w:t>2.2 技术规范</w:t>
      </w:r>
      <w:bookmarkEnd w:id="414"/>
      <w:bookmarkEnd w:id="415"/>
      <w:bookmarkEnd w:id="416"/>
      <w:bookmarkEnd w:id="417"/>
      <w:bookmarkEnd w:id="418"/>
      <w:bookmarkEnd w:id="419"/>
    </w:p>
    <w:p w14:paraId="54782AFF">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DF8B5AE">
      <w:pPr>
        <w:pStyle w:val="5"/>
        <w:rPr>
          <w:rFonts w:hint="eastAsia" w:ascii="宋体" w:hAnsi="宋体" w:eastAsia="宋体" w:cs="宋体"/>
          <w:color w:val="000000" w:themeColor="text1"/>
          <w14:textFill>
            <w14:solidFill>
              <w14:schemeClr w14:val="tx1"/>
            </w14:solidFill>
          </w14:textFill>
        </w:rPr>
      </w:pPr>
      <w:bookmarkStart w:id="420" w:name="_Toc259093671"/>
      <w:bookmarkStart w:id="421" w:name="_Toc279701242"/>
      <w:bookmarkStart w:id="422" w:name="_Toc487900351"/>
      <w:bookmarkStart w:id="423" w:name="_Toc9829"/>
      <w:bookmarkStart w:id="424" w:name="_Toc31634"/>
      <w:bookmarkStart w:id="425" w:name="_Toc27853"/>
      <w:r>
        <w:rPr>
          <w:rFonts w:hint="eastAsia" w:ascii="宋体" w:hAnsi="宋体" w:eastAsia="宋体" w:cs="宋体"/>
          <w:color w:val="000000" w:themeColor="text1"/>
          <w14:textFill>
            <w14:solidFill>
              <w14:schemeClr w14:val="tx1"/>
            </w14:solidFill>
          </w14:textFill>
        </w:rPr>
        <w:t>2.3 知识产权</w:t>
      </w:r>
      <w:bookmarkEnd w:id="420"/>
      <w:bookmarkEnd w:id="421"/>
      <w:bookmarkEnd w:id="422"/>
      <w:bookmarkEnd w:id="423"/>
      <w:bookmarkEnd w:id="424"/>
      <w:bookmarkEnd w:id="425"/>
    </w:p>
    <w:p w14:paraId="3C42704B">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53243ED">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2.3.2具有知识产权的计算机软件等货物的知识产权归属，详见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10DE3D26">
      <w:pPr>
        <w:pStyle w:val="5"/>
        <w:rPr>
          <w:rFonts w:hint="eastAsia" w:ascii="宋体" w:hAnsi="宋体" w:eastAsia="宋体" w:cs="宋体"/>
          <w:color w:val="000000" w:themeColor="text1"/>
          <w14:textFill>
            <w14:solidFill>
              <w14:schemeClr w14:val="tx1"/>
            </w14:solidFill>
          </w14:textFill>
        </w:rPr>
      </w:pPr>
      <w:bookmarkStart w:id="426" w:name="_Toc4194"/>
      <w:bookmarkStart w:id="427" w:name="_Toc29149"/>
      <w:bookmarkStart w:id="428" w:name="_Toc11932"/>
      <w:r>
        <w:rPr>
          <w:rFonts w:hint="eastAsia" w:ascii="宋体" w:hAnsi="宋体" w:eastAsia="宋体" w:cs="宋体"/>
          <w:color w:val="000000" w:themeColor="text1"/>
          <w14:textFill>
            <w14:solidFill>
              <w14:schemeClr w14:val="tx1"/>
            </w14:solidFill>
          </w14:textFill>
        </w:rPr>
        <w:t>2.4 包装和装运</w:t>
      </w:r>
      <w:bookmarkEnd w:id="426"/>
      <w:bookmarkEnd w:id="427"/>
      <w:bookmarkEnd w:id="428"/>
    </w:p>
    <w:p w14:paraId="75E044FE">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2.4.1除</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8010FD1">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77C156">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2.4.2 装运货物的要求和通知，详见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52D21706">
      <w:pPr>
        <w:pStyle w:val="5"/>
        <w:rPr>
          <w:rFonts w:hint="eastAsia" w:ascii="宋体" w:hAnsi="宋体" w:eastAsia="宋体" w:cs="宋体"/>
          <w:color w:val="000000" w:themeColor="text1"/>
          <w14:textFill>
            <w14:solidFill>
              <w14:schemeClr w14:val="tx1"/>
            </w14:solidFill>
          </w14:textFill>
        </w:rPr>
      </w:pPr>
      <w:bookmarkStart w:id="429" w:name="_Toc259093674"/>
      <w:bookmarkStart w:id="430" w:name="_Ref467378591"/>
      <w:bookmarkStart w:id="431" w:name="_Ref467378541"/>
      <w:bookmarkStart w:id="432" w:name="_Ref467379527"/>
      <w:bookmarkStart w:id="433" w:name="_Toc279701245"/>
      <w:bookmarkStart w:id="434" w:name="_Ref467379542"/>
      <w:bookmarkStart w:id="435" w:name="_Ref467379536"/>
      <w:bookmarkStart w:id="436" w:name="_Toc487900354"/>
      <w:bookmarkStart w:id="437" w:name="_Toc30272"/>
      <w:bookmarkStart w:id="438" w:name="_Toc26182"/>
      <w:bookmarkStart w:id="439" w:name="_Toc19074"/>
      <w:r>
        <w:rPr>
          <w:rFonts w:hint="eastAsia" w:ascii="宋体" w:hAnsi="宋体" w:eastAsia="宋体" w:cs="宋体"/>
          <w:color w:val="000000" w:themeColor="text1"/>
          <w14:textFill>
            <w14:solidFill>
              <w14:schemeClr w14:val="tx1"/>
            </w14:solidFill>
          </w14:textFill>
        </w:rPr>
        <w:t>2.</w:t>
      </w:r>
      <w:bookmarkEnd w:id="429"/>
      <w:bookmarkEnd w:id="430"/>
      <w:bookmarkEnd w:id="431"/>
      <w:bookmarkEnd w:id="432"/>
      <w:bookmarkEnd w:id="433"/>
      <w:bookmarkEnd w:id="434"/>
      <w:bookmarkEnd w:id="435"/>
      <w:bookmarkEnd w:id="436"/>
      <w:r>
        <w:rPr>
          <w:rFonts w:hint="eastAsia" w:ascii="宋体" w:hAnsi="宋体" w:eastAsia="宋体" w:cs="宋体"/>
          <w:color w:val="000000" w:themeColor="text1"/>
          <w14:textFill>
            <w14:solidFill>
              <w14:schemeClr w14:val="tx1"/>
            </w14:solidFill>
          </w14:textFill>
        </w:rPr>
        <w:t>5 履约检查和问题反馈</w:t>
      </w:r>
      <w:bookmarkEnd w:id="437"/>
      <w:bookmarkEnd w:id="438"/>
      <w:bookmarkEnd w:id="439"/>
    </w:p>
    <w:p w14:paraId="1A96CCCD">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440" w:name="_Ref467379657"/>
      <w:r>
        <w:rPr>
          <w:rFonts w:hint="eastAsia" w:ascii="宋体" w:hAnsi="宋体" w:eastAsia="宋体" w:cs="宋体"/>
          <w:color w:val="000000" w:themeColor="text1"/>
          <w14:textFill>
            <w14:solidFill>
              <w14:schemeClr w14:val="tx1"/>
            </w14:solidFill>
          </w14:textFill>
        </w:rPr>
        <w:t>2.5.1</w:t>
      </w:r>
      <w:bookmarkEnd w:id="440"/>
      <w:bookmarkStart w:id="441" w:name="_Toc186431854"/>
      <w:bookmarkStart w:id="442" w:name="_Toc487900357"/>
      <w:bookmarkStart w:id="443" w:name="_Toc259093676"/>
      <w:bookmarkStart w:id="444" w:name="_Toc279701247"/>
      <w:bookmarkStart w:id="445" w:name="_Ref467379793"/>
      <w:bookmarkStart w:id="446" w:name="_Ref467379807"/>
      <w:r>
        <w:rPr>
          <w:rFonts w:hint="eastAsia" w:ascii="宋体" w:hAnsi="宋体" w:eastAsia="宋体" w:cs="宋体"/>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DC3E220">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441"/>
      <w:bookmarkStart w:id="447" w:name="_Toc186431855"/>
      <w:r>
        <w:rPr>
          <w:rFonts w:hint="eastAsia" w:ascii="宋体" w:hAnsi="宋体" w:eastAsia="宋体" w:cs="宋体"/>
          <w:color w:val="000000" w:themeColor="text1"/>
          <w14:textFill>
            <w14:solidFill>
              <w14:schemeClr w14:val="tx1"/>
            </w14:solidFill>
          </w14:textFill>
        </w:rPr>
        <w:t>。</w:t>
      </w:r>
    </w:p>
    <w:bookmarkEnd w:id="442"/>
    <w:bookmarkEnd w:id="443"/>
    <w:bookmarkEnd w:id="444"/>
    <w:bookmarkEnd w:id="445"/>
    <w:bookmarkEnd w:id="446"/>
    <w:bookmarkEnd w:id="447"/>
    <w:p w14:paraId="3F6EA234">
      <w:pPr>
        <w:pStyle w:val="5"/>
        <w:rPr>
          <w:rFonts w:hint="eastAsia" w:ascii="宋体" w:hAnsi="宋体" w:eastAsia="宋体" w:cs="宋体"/>
          <w:color w:val="000000" w:themeColor="text1"/>
          <w14:textFill>
            <w14:solidFill>
              <w14:schemeClr w14:val="tx1"/>
            </w14:solidFill>
          </w14:textFill>
        </w:rPr>
      </w:pPr>
      <w:bookmarkStart w:id="448" w:name="_Toc259093677"/>
      <w:bookmarkStart w:id="449" w:name="_Toc487900358"/>
      <w:bookmarkStart w:id="450" w:name="_Toc279701248"/>
      <w:bookmarkStart w:id="451" w:name="_Ref467379863"/>
      <w:bookmarkStart w:id="452" w:name="_Ref467379923"/>
      <w:bookmarkStart w:id="453" w:name="_Ref467379852"/>
      <w:bookmarkStart w:id="454" w:name="_Toc774"/>
      <w:bookmarkStart w:id="455" w:name="_Toc3225"/>
      <w:bookmarkStart w:id="456" w:name="_Toc16110"/>
      <w:r>
        <w:rPr>
          <w:rFonts w:hint="eastAsia" w:ascii="宋体" w:hAnsi="宋体" w:eastAsia="宋体" w:cs="宋体"/>
          <w:color w:val="000000" w:themeColor="text1"/>
          <w14:textFill>
            <w14:solidFill>
              <w14:schemeClr w14:val="tx1"/>
            </w14:solidFill>
          </w14:textFill>
        </w:rPr>
        <w:t>2.6 技术资料</w:t>
      </w:r>
      <w:bookmarkEnd w:id="448"/>
      <w:bookmarkEnd w:id="449"/>
      <w:bookmarkEnd w:id="450"/>
      <w:bookmarkEnd w:id="451"/>
      <w:bookmarkEnd w:id="452"/>
      <w:bookmarkEnd w:id="453"/>
      <w:r>
        <w:rPr>
          <w:rFonts w:hint="eastAsia" w:ascii="宋体" w:hAnsi="宋体" w:eastAsia="宋体" w:cs="宋体"/>
          <w:color w:val="000000" w:themeColor="text1"/>
          <w14:textFill>
            <w14:solidFill>
              <w14:schemeClr w14:val="tx1"/>
            </w14:solidFill>
          </w14:textFill>
        </w:rPr>
        <w:t>和保密义务</w:t>
      </w:r>
      <w:bookmarkEnd w:id="454"/>
      <w:bookmarkEnd w:id="455"/>
      <w:bookmarkEnd w:id="456"/>
    </w:p>
    <w:p w14:paraId="46C85081">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2.6.1 乙方有权依据合同约定和项目需要，向甲方了解有关情况，调阅有关资料等，甲方应予积极配合；</w:t>
      </w:r>
    </w:p>
    <w:p w14:paraId="67776FF1">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2.6.2 乙方有义务妥善保管和保护由甲方提供的前款信息和资料等；</w:t>
      </w:r>
    </w:p>
    <w:p w14:paraId="59D1D19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5A4ABC">
      <w:pPr>
        <w:pStyle w:val="5"/>
        <w:rPr>
          <w:rFonts w:hint="eastAsia" w:ascii="宋体" w:hAnsi="宋体" w:eastAsia="宋体" w:cs="宋体"/>
          <w:color w:val="000000" w:themeColor="text1"/>
          <w14:textFill>
            <w14:solidFill>
              <w14:schemeClr w14:val="tx1"/>
            </w14:solidFill>
          </w14:textFill>
        </w:rPr>
      </w:pPr>
      <w:bookmarkStart w:id="457" w:name="_Toc7860"/>
      <w:r>
        <w:rPr>
          <w:rFonts w:hint="eastAsia" w:ascii="宋体" w:hAnsi="宋体" w:eastAsia="宋体" w:cs="宋体"/>
          <w:color w:val="000000" w:themeColor="text1"/>
          <w14:textFill>
            <w14:solidFill>
              <w14:schemeClr w14:val="tx1"/>
            </w14:solidFill>
          </w14:textFill>
        </w:rPr>
        <w:t>2.7 质量保证</w:t>
      </w:r>
      <w:bookmarkEnd w:id="457"/>
    </w:p>
    <w:p w14:paraId="43C15171">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2.7.1 乙方应建立和完善履行合同的内部质量保证体系，并提供相关内部规章制度给甲方，以便甲方进行监督检查；</w:t>
      </w:r>
    </w:p>
    <w:p w14:paraId="167CECC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2.7.2 乙方应保证履行合同的人员数量和素质、软件和硬件设备的配置、场地、环境和设施等满足全面履行合同的要求，并应接受甲方的监督检查。</w:t>
      </w:r>
    </w:p>
    <w:p w14:paraId="6DA91B0C">
      <w:pPr>
        <w:pStyle w:val="5"/>
        <w:rPr>
          <w:rFonts w:hint="eastAsia" w:ascii="宋体" w:hAnsi="宋体" w:eastAsia="宋体" w:cs="宋体"/>
          <w:color w:val="000000" w:themeColor="text1"/>
          <w14:textFill>
            <w14:solidFill>
              <w14:schemeClr w14:val="tx1"/>
            </w14:solidFill>
          </w14:textFill>
        </w:rPr>
      </w:pPr>
      <w:bookmarkStart w:id="458" w:name="_Toc17244"/>
      <w:bookmarkStart w:id="459" w:name="_Toc487900362"/>
      <w:bookmarkStart w:id="460" w:name="_Toc259093681"/>
      <w:bookmarkStart w:id="461" w:name="_Toc279701252"/>
      <w:r>
        <w:rPr>
          <w:rFonts w:hint="eastAsia" w:ascii="宋体" w:hAnsi="宋体" w:eastAsia="宋体" w:cs="宋体"/>
          <w:color w:val="000000" w:themeColor="text1"/>
          <w14:textFill>
            <w14:solidFill>
              <w14:schemeClr w14:val="tx1"/>
            </w14:solidFill>
          </w14:textFill>
        </w:rPr>
        <w:t>2.8 货物的风险负担</w:t>
      </w:r>
      <w:bookmarkEnd w:id="458"/>
    </w:p>
    <w:p w14:paraId="2CA3E225">
      <w:pPr>
        <w:spacing w:line="560" w:lineRule="exact"/>
        <w:ind w:firstLine="480"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货物或者在途货物或者交付给第一承运人后的货物毁损、灭失的风险负担详见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w:t>
      </w:r>
    </w:p>
    <w:p w14:paraId="220DCACF">
      <w:pPr>
        <w:pStyle w:val="5"/>
        <w:rPr>
          <w:rFonts w:hint="eastAsia" w:ascii="宋体" w:hAnsi="宋体" w:eastAsia="宋体" w:cs="宋体"/>
          <w:color w:val="000000" w:themeColor="text1"/>
          <w14:textFill>
            <w14:solidFill>
              <w14:schemeClr w14:val="tx1"/>
            </w14:solidFill>
          </w14:textFill>
        </w:rPr>
      </w:pPr>
      <w:bookmarkStart w:id="462" w:name="_Toc14055"/>
      <w:r>
        <w:rPr>
          <w:rFonts w:hint="eastAsia" w:ascii="宋体" w:hAnsi="宋体" w:eastAsia="宋体" w:cs="宋体"/>
          <w:color w:val="000000" w:themeColor="text1"/>
          <w14:textFill>
            <w14:solidFill>
              <w14:schemeClr w14:val="tx1"/>
            </w14:solidFill>
          </w14:textFill>
        </w:rPr>
        <w:t>2.9 延迟交货</w:t>
      </w:r>
      <w:bookmarkEnd w:id="459"/>
      <w:bookmarkEnd w:id="460"/>
      <w:bookmarkEnd w:id="461"/>
      <w:bookmarkEnd w:id="462"/>
    </w:p>
    <w:p w14:paraId="0B8C4AF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F3A863D">
      <w:pPr>
        <w:pStyle w:val="5"/>
        <w:rPr>
          <w:rFonts w:hint="eastAsia" w:ascii="宋体" w:hAnsi="宋体" w:eastAsia="宋体" w:cs="宋体"/>
          <w:color w:val="000000" w:themeColor="text1"/>
          <w14:textFill>
            <w14:solidFill>
              <w14:schemeClr w14:val="tx1"/>
            </w14:solidFill>
          </w14:textFill>
        </w:rPr>
      </w:pPr>
      <w:bookmarkStart w:id="463" w:name="_Toc7502"/>
      <w:bookmarkStart w:id="464" w:name="_Ref467378121"/>
      <w:bookmarkStart w:id="465" w:name="_Toc279701254"/>
      <w:bookmarkStart w:id="466" w:name="_Toc259093683"/>
      <w:bookmarkStart w:id="467" w:name="_Toc487900364"/>
      <w:r>
        <w:rPr>
          <w:rFonts w:hint="eastAsia" w:ascii="宋体" w:hAnsi="宋体" w:eastAsia="宋体" w:cs="宋体"/>
          <w:color w:val="000000" w:themeColor="text1"/>
          <w14:textFill>
            <w14:solidFill>
              <w14:schemeClr w14:val="tx1"/>
            </w14:solidFill>
          </w14:textFill>
        </w:rPr>
        <w:t>2.10 合同变更</w:t>
      </w:r>
      <w:bookmarkEnd w:id="463"/>
    </w:p>
    <w:p w14:paraId="20E9770A">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68" w:name="_Toc279701259"/>
      <w:bookmarkStart w:id="469" w:name="_Toc487900369"/>
      <w:bookmarkStart w:id="470" w:name="_Toc259093688"/>
    </w:p>
    <w:p w14:paraId="0732EF2C">
      <w:pPr>
        <w:pStyle w:val="5"/>
        <w:rPr>
          <w:rFonts w:hint="eastAsia" w:ascii="宋体" w:hAnsi="宋体" w:eastAsia="宋体" w:cs="宋体"/>
          <w:color w:val="000000" w:themeColor="text1"/>
          <w14:textFill>
            <w14:solidFill>
              <w14:schemeClr w14:val="tx1"/>
            </w14:solidFill>
          </w14:textFill>
        </w:rPr>
      </w:pPr>
      <w:bookmarkStart w:id="471" w:name="_Toc15237"/>
      <w:bookmarkStart w:id="472" w:name="_Toc10366"/>
      <w:bookmarkStart w:id="473" w:name="_Toc22955"/>
      <w:r>
        <w:rPr>
          <w:rFonts w:hint="eastAsia" w:ascii="宋体" w:hAnsi="宋体" w:eastAsia="宋体" w:cs="宋体"/>
          <w:color w:val="000000" w:themeColor="text1"/>
          <w14:textFill>
            <w14:solidFill>
              <w14:schemeClr w14:val="tx1"/>
            </w14:solidFill>
          </w14:textFill>
        </w:rPr>
        <w:t>2.11 合同转让</w:t>
      </w:r>
      <w:bookmarkEnd w:id="468"/>
      <w:bookmarkEnd w:id="469"/>
      <w:bookmarkEnd w:id="470"/>
      <w:r>
        <w:rPr>
          <w:rFonts w:hint="eastAsia" w:ascii="宋体" w:hAnsi="宋体" w:eastAsia="宋体" w:cs="宋体"/>
          <w:color w:val="000000" w:themeColor="text1"/>
          <w14:textFill>
            <w14:solidFill>
              <w14:schemeClr w14:val="tx1"/>
            </w14:solidFill>
          </w14:textFill>
        </w:rPr>
        <w:t>和分包</w:t>
      </w:r>
      <w:bookmarkEnd w:id="471"/>
      <w:bookmarkEnd w:id="472"/>
      <w:bookmarkEnd w:id="473"/>
    </w:p>
    <w:p w14:paraId="1E2EA04D">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4788A6">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2.11.2乙方采取分包方式履行合同的，甲方可直接向分包供应商支付款项。</w:t>
      </w:r>
    </w:p>
    <w:p w14:paraId="352C3F42">
      <w:pPr>
        <w:pStyle w:val="5"/>
        <w:rPr>
          <w:rFonts w:hint="eastAsia" w:ascii="宋体" w:hAnsi="宋体" w:eastAsia="宋体" w:cs="宋体"/>
          <w:color w:val="000000" w:themeColor="text1"/>
          <w14:textFill>
            <w14:solidFill>
              <w14:schemeClr w14:val="tx1"/>
            </w14:solidFill>
          </w14:textFill>
        </w:rPr>
      </w:pPr>
      <w:bookmarkStart w:id="474" w:name="_Toc13566"/>
      <w:bookmarkStart w:id="475" w:name="_Toc14066"/>
      <w:bookmarkStart w:id="476" w:name="_Toc16508"/>
      <w:r>
        <w:rPr>
          <w:rFonts w:hint="eastAsia" w:ascii="宋体" w:hAnsi="宋体" w:eastAsia="宋体" w:cs="宋体"/>
          <w:color w:val="000000" w:themeColor="text1"/>
          <w14:textFill>
            <w14:solidFill>
              <w14:schemeClr w14:val="tx1"/>
            </w14:solidFill>
          </w14:textFill>
        </w:rPr>
        <w:t>2.12 不可抗力</w:t>
      </w:r>
      <w:bookmarkEnd w:id="474"/>
      <w:bookmarkEnd w:id="475"/>
      <w:bookmarkEnd w:id="476"/>
    </w:p>
    <w:p w14:paraId="2ECEBDA9">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2.12.1如果任何一方遭遇法律规定的不可抗力，致使合同履行受阻时，履行合同的期限应予延长，延长的期限应相当于不可抗力所影响的时间；</w:t>
      </w:r>
    </w:p>
    <w:p w14:paraId="4576AAA4">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2.12.2 因不可抗力致使不能实现合同目的的，当事人可以解除合同；</w:t>
      </w:r>
    </w:p>
    <w:p w14:paraId="662DF5B6">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2.12.3 因不可抗力致使合同有变更必要的，双方当事人应在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约定时间内以书面形式变更合同；</w:t>
      </w:r>
    </w:p>
    <w:p w14:paraId="192B9AA4">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2.12.4受不可抗力影响的一方在不可抗力发生后，应在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约定时间内以书面形式通知对方当事人，并在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约定时间内，将有关部门出具的证明文件送达对方当事人。</w:t>
      </w:r>
    </w:p>
    <w:p w14:paraId="2D069B02">
      <w:pPr>
        <w:pStyle w:val="5"/>
        <w:rPr>
          <w:rFonts w:hint="eastAsia" w:ascii="宋体" w:hAnsi="宋体" w:eastAsia="宋体" w:cs="宋体"/>
          <w:color w:val="000000" w:themeColor="text1"/>
          <w14:textFill>
            <w14:solidFill>
              <w14:schemeClr w14:val="tx1"/>
            </w14:solidFill>
          </w14:textFill>
        </w:rPr>
      </w:pPr>
      <w:bookmarkStart w:id="477" w:name="_Toc487900365"/>
      <w:bookmarkStart w:id="478" w:name="_Toc30676"/>
      <w:bookmarkStart w:id="479" w:name="_Toc259093684"/>
      <w:bookmarkStart w:id="480" w:name="_Toc689"/>
      <w:bookmarkStart w:id="481" w:name="_Toc6969"/>
      <w:bookmarkStart w:id="482" w:name="_Toc279701255"/>
      <w:r>
        <w:rPr>
          <w:rFonts w:hint="eastAsia" w:ascii="宋体" w:hAnsi="宋体" w:eastAsia="宋体" w:cs="宋体"/>
          <w:color w:val="000000" w:themeColor="text1"/>
          <w14:textFill>
            <w14:solidFill>
              <w14:schemeClr w14:val="tx1"/>
            </w14:solidFill>
          </w14:textFill>
        </w:rPr>
        <w:t>2.13 税费</w:t>
      </w:r>
      <w:bookmarkEnd w:id="477"/>
      <w:bookmarkEnd w:id="478"/>
      <w:bookmarkEnd w:id="479"/>
      <w:bookmarkEnd w:id="480"/>
      <w:bookmarkEnd w:id="481"/>
      <w:bookmarkEnd w:id="482"/>
    </w:p>
    <w:p w14:paraId="3B6B733A">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与合同有关的一切税费，均按照中华人民共和国法律的相关规定。</w:t>
      </w:r>
    </w:p>
    <w:p w14:paraId="51EAEFCC">
      <w:pPr>
        <w:pStyle w:val="5"/>
        <w:rPr>
          <w:rFonts w:hint="eastAsia" w:ascii="宋体" w:hAnsi="宋体" w:eastAsia="宋体" w:cs="宋体"/>
          <w:color w:val="000000" w:themeColor="text1"/>
          <w14:textFill>
            <w14:solidFill>
              <w14:schemeClr w14:val="tx1"/>
            </w14:solidFill>
          </w14:textFill>
        </w:rPr>
      </w:pPr>
      <w:bookmarkStart w:id="483" w:name="_Toc16959"/>
      <w:bookmarkStart w:id="484" w:name="_Toc487900368"/>
      <w:bookmarkStart w:id="485" w:name="_Toc279701258"/>
      <w:bookmarkStart w:id="486" w:name="_Toc259093687"/>
      <w:bookmarkStart w:id="487" w:name="_Toc7102"/>
      <w:bookmarkStart w:id="488" w:name="_Toc8298"/>
      <w:r>
        <w:rPr>
          <w:rFonts w:hint="eastAsia" w:ascii="宋体" w:hAnsi="宋体" w:eastAsia="宋体" w:cs="宋体"/>
          <w:color w:val="000000" w:themeColor="text1"/>
          <w14:textFill>
            <w14:solidFill>
              <w14:schemeClr w14:val="tx1"/>
            </w14:solidFill>
          </w14:textFill>
        </w:rPr>
        <w:t>2.14乙方破产</w:t>
      </w:r>
      <w:bookmarkEnd w:id="483"/>
      <w:bookmarkEnd w:id="484"/>
      <w:bookmarkEnd w:id="485"/>
      <w:bookmarkEnd w:id="486"/>
      <w:bookmarkEnd w:id="487"/>
      <w:bookmarkEnd w:id="488"/>
    </w:p>
    <w:p w14:paraId="5E99EC11">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01F965">
      <w:pPr>
        <w:pStyle w:val="5"/>
        <w:rPr>
          <w:rFonts w:hint="eastAsia" w:ascii="宋体" w:hAnsi="宋体" w:eastAsia="宋体" w:cs="宋体"/>
          <w:color w:val="000000" w:themeColor="text1"/>
          <w14:textFill>
            <w14:solidFill>
              <w14:schemeClr w14:val="tx1"/>
            </w14:solidFill>
          </w14:textFill>
        </w:rPr>
      </w:pPr>
      <w:bookmarkStart w:id="489" w:name="_Toc29333"/>
      <w:bookmarkStart w:id="490" w:name="_Toc6134"/>
      <w:bookmarkStart w:id="491" w:name="_Toc15387"/>
      <w:r>
        <w:rPr>
          <w:rFonts w:hint="eastAsia" w:ascii="宋体" w:hAnsi="宋体" w:eastAsia="宋体" w:cs="宋体"/>
          <w:color w:val="000000" w:themeColor="text1"/>
          <w14:textFill>
            <w14:solidFill>
              <w14:schemeClr w14:val="tx1"/>
            </w14:solidFill>
          </w14:textFill>
        </w:rPr>
        <w:t>2.15 合同中止、终止</w:t>
      </w:r>
      <w:bookmarkEnd w:id="489"/>
      <w:bookmarkEnd w:id="490"/>
      <w:bookmarkEnd w:id="491"/>
    </w:p>
    <w:p w14:paraId="0B1C072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2.15.1 双方当事人不得擅自中止或者终止合同；</w:t>
      </w:r>
    </w:p>
    <w:p w14:paraId="3F1B2DEE">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7DADFD5A">
      <w:pPr>
        <w:pStyle w:val="5"/>
        <w:rPr>
          <w:rFonts w:hint="eastAsia" w:ascii="宋体" w:hAnsi="宋体" w:eastAsia="宋体" w:cs="宋体"/>
          <w:color w:val="000000" w:themeColor="text1"/>
          <w14:textFill>
            <w14:solidFill>
              <w14:schemeClr w14:val="tx1"/>
            </w14:solidFill>
          </w14:textFill>
        </w:rPr>
      </w:pPr>
      <w:bookmarkStart w:id="492" w:name="_Toc1125"/>
      <w:bookmarkStart w:id="493" w:name="_Toc6596"/>
      <w:bookmarkStart w:id="494" w:name="_Toc14563"/>
      <w:r>
        <w:rPr>
          <w:rFonts w:hint="eastAsia" w:ascii="宋体" w:hAnsi="宋体" w:eastAsia="宋体" w:cs="宋体"/>
          <w:color w:val="000000" w:themeColor="text1"/>
          <w14:textFill>
            <w14:solidFill>
              <w14:schemeClr w14:val="tx1"/>
            </w14:solidFill>
          </w14:textFill>
        </w:rPr>
        <w:t>2.16检验和验收</w:t>
      </w:r>
      <w:bookmarkEnd w:id="492"/>
      <w:bookmarkEnd w:id="493"/>
      <w:bookmarkEnd w:id="494"/>
    </w:p>
    <w:p w14:paraId="7970B46B">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约定时间内组织验收，并可依法邀请相关方参加，验收应出具验收书。</w:t>
      </w:r>
    </w:p>
    <w:p w14:paraId="48239FA6">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6EA4255">
      <w:pPr>
        <w:tabs>
          <w:tab w:val="left" w:pos="360"/>
          <w:tab w:val="left" w:pos="540"/>
          <w:tab w:val="left" w:pos="1080"/>
        </w:tabs>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2.16.3 检验和验收标准、程序等具体内容以及前述验收书的效力详见</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i/>
          <w:color w:val="000000" w:themeColor="text1"/>
          <w14:textFill>
            <w14:solidFill>
              <w14:schemeClr w14:val="tx1"/>
            </w14:solidFill>
          </w14:textFill>
        </w:rPr>
        <w:t>。</w:t>
      </w:r>
    </w:p>
    <w:bookmarkEnd w:id="464"/>
    <w:bookmarkEnd w:id="465"/>
    <w:bookmarkEnd w:id="466"/>
    <w:bookmarkEnd w:id="467"/>
    <w:p w14:paraId="0E30DF40">
      <w:pPr>
        <w:pStyle w:val="5"/>
        <w:rPr>
          <w:rFonts w:hint="eastAsia" w:ascii="宋体" w:hAnsi="宋体" w:eastAsia="宋体" w:cs="宋体"/>
          <w:color w:val="000000" w:themeColor="text1"/>
          <w14:textFill>
            <w14:solidFill>
              <w14:schemeClr w14:val="tx1"/>
            </w14:solidFill>
          </w14:textFill>
        </w:rPr>
      </w:pPr>
      <w:bookmarkStart w:id="495" w:name="_Toc279701261"/>
      <w:bookmarkStart w:id="496" w:name="_Toc259093690"/>
      <w:bookmarkStart w:id="497" w:name="_Toc487900371"/>
      <w:bookmarkStart w:id="498" w:name="_Toc25182"/>
      <w:bookmarkStart w:id="499" w:name="_Toc11284"/>
      <w:bookmarkStart w:id="500" w:name="_Toc19604"/>
      <w:r>
        <w:rPr>
          <w:rFonts w:hint="eastAsia" w:ascii="宋体" w:hAnsi="宋体" w:eastAsia="宋体" w:cs="宋体"/>
          <w:color w:val="000000" w:themeColor="text1"/>
          <w14:textFill>
            <w14:solidFill>
              <w14:schemeClr w14:val="tx1"/>
            </w14:solidFill>
          </w14:textFill>
        </w:rPr>
        <w:t>2.17 通知</w:t>
      </w:r>
      <w:bookmarkEnd w:id="495"/>
      <w:bookmarkEnd w:id="496"/>
      <w:bookmarkEnd w:id="497"/>
      <w:r>
        <w:rPr>
          <w:rFonts w:hint="eastAsia" w:ascii="宋体" w:hAnsi="宋体" w:eastAsia="宋体" w:cs="宋体"/>
          <w:color w:val="000000" w:themeColor="text1"/>
          <w14:textFill>
            <w14:solidFill>
              <w14:schemeClr w14:val="tx1"/>
            </w14:solidFill>
          </w14:textFill>
        </w:rPr>
        <w:t>和送达</w:t>
      </w:r>
      <w:bookmarkEnd w:id="498"/>
      <w:bookmarkEnd w:id="499"/>
      <w:bookmarkEnd w:id="500"/>
    </w:p>
    <w:p w14:paraId="20C7287E">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501" w:name="_Toc6698"/>
      <w:bookmarkStart w:id="502" w:name="_Toc3135"/>
      <w:bookmarkStart w:id="503" w:name="_Toc487900372"/>
      <w:bookmarkStart w:id="504" w:name="_Toc279701262"/>
      <w:bookmarkStart w:id="505" w:name="_Toc259093691"/>
      <w:r>
        <w:rPr>
          <w:rFonts w:hint="eastAsia" w:ascii="宋体" w:hAnsi="宋体" w:eastAsia="宋体" w:cs="宋体"/>
          <w:color w:val="000000" w:themeColor="text1"/>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501"/>
      <w:bookmarkEnd w:id="502"/>
    </w:p>
    <w:p w14:paraId="247C9A3B">
      <w:pPr>
        <w:spacing w:line="560" w:lineRule="exact"/>
        <w:ind w:firstLine="480" w:firstLineChars="200"/>
        <w:rPr>
          <w:rFonts w:hint="eastAsia" w:ascii="宋体" w:hAnsi="宋体" w:eastAsia="宋体" w:cs="宋体"/>
          <w:color w:val="000000" w:themeColor="text1"/>
          <w14:textFill>
            <w14:solidFill>
              <w14:schemeClr w14:val="tx1"/>
            </w14:solidFill>
          </w14:textFill>
        </w:rPr>
      </w:pPr>
      <w:bookmarkStart w:id="506" w:name="_Toc23128"/>
      <w:bookmarkStart w:id="507" w:name="_Toc23294"/>
      <w:r>
        <w:rPr>
          <w:rFonts w:hint="eastAsia" w:ascii="宋体" w:hAnsi="宋体" w:eastAsia="宋体" w:cs="宋体"/>
          <w:color w:val="000000" w:themeColor="text1"/>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7BE1BDE2">
      <w:pPr>
        <w:pStyle w:val="5"/>
        <w:rPr>
          <w:rFonts w:hint="eastAsia" w:ascii="宋体" w:hAnsi="宋体" w:eastAsia="宋体" w:cs="宋体"/>
          <w:color w:val="000000" w:themeColor="text1"/>
          <w14:textFill>
            <w14:solidFill>
              <w14:schemeClr w14:val="tx1"/>
            </w14:solidFill>
          </w14:textFill>
        </w:rPr>
      </w:pPr>
      <w:bookmarkStart w:id="508" w:name="_Toc30599"/>
      <w:bookmarkStart w:id="509" w:name="_Toc4355"/>
      <w:bookmarkStart w:id="510" w:name="_Toc18540"/>
      <w:r>
        <w:rPr>
          <w:rFonts w:hint="eastAsia" w:ascii="宋体" w:hAnsi="宋体" w:eastAsia="宋体" w:cs="宋体"/>
          <w:color w:val="000000" w:themeColor="text1"/>
          <w14:textFill>
            <w14:solidFill>
              <w14:schemeClr w14:val="tx1"/>
            </w14:solidFill>
          </w14:textFill>
        </w:rPr>
        <w:t>2.18 计量单位</w:t>
      </w:r>
      <w:bookmarkEnd w:id="503"/>
      <w:bookmarkEnd w:id="504"/>
      <w:bookmarkEnd w:id="505"/>
      <w:bookmarkEnd w:id="508"/>
      <w:bookmarkEnd w:id="509"/>
      <w:bookmarkEnd w:id="510"/>
    </w:p>
    <w:p w14:paraId="3FF26507">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除技术规范中另有规定外,合同的计量单位均使用国家法定计量单位。</w:t>
      </w:r>
    </w:p>
    <w:p w14:paraId="1D18A1B4">
      <w:pPr>
        <w:pStyle w:val="5"/>
        <w:rPr>
          <w:rFonts w:hint="eastAsia" w:ascii="宋体" w:hAnsi="宋体" w:eastAsia="宋体" w:cs="宋体"/>
          <w:color w:val="000000" w:themeColor="text1"/>
          <w14:textFill>
            <w14:solidFill>
              <w14:schemeClr w14:val="tx1"/>
            </w14:solidFill>
          </w14:textFill>
        </w:rPr>
      </w:pPr>
      <w:bookmarkStart w:id="511" w:name="_Toc10330"/>
      <w:bookmarkStart w:id="512" w:name="_Toc279701263"/>
      <w:bookmarkStart w:id="513" w:name="_Toc12773"/>
      <w:bookmarkStart w:id="514" w:name="_Toc259093692"/>
      <w:bookmarkStart w:id="515" w:name="_Toc487900373"/>
      <w:bookmarkStart w:id="516" w:name="_Toc18567"/>
      <w:r>
        <w:rPr>
          <w:rFonts w:hint="eastAsia" w:ascii="宋体" w:hAnsi="宋体" w:eastAsia="宋体" w:cs="宋体"/>
          <w:color w:val="000000" w:themeColor="text1"/>
          <w14:textFill>
            <w14:solidFill>
              <w14:schemeClr w14:val="tx1"/>
            </w14:solidFill>
          </w14:textFill>
        </w:rPr>
        <w:t>2.19 合同使用的文字和适用的法律</w:t>
      </w:r>
      <w:bookmarkEnd w:id="511"/>
      <w:bookmarkEnd w:id="512"/>
      <w:bookmarkEnd w:id="513"/>
      <w:bookmarkEnd w:id="514"/>
      <w:bookmarkEnd w:id="515"/>
      <w:bookmarkEnd w:id="516"/>
    </w:p>
    <w:p w14:paraId="12AC96A7">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2.19.1 合同使用汉语书就、变更和解释；</w:t>
      </w:r>
    </w:p>
    <w:p w14:paraId="5F0853FD">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2.19.2 合同适用中华人民共和国法律。</w:t>
      </w:r>
    </w:p>
    <w:p w14:paraId="60294BB8">
      <w:pPr>
        <w:pStyle w:val="5"/>
        <w:rPr>
          <w:rFonts w:hint="eastAsia" w:ascii="宋体" w:hAnsi="宋体" w:eastAsia="宋体" w:cs="宋体"/>
          <w:color w:val="000000" w:themeColor="text1"/>
          <w14:textFill>
            <w14:solidFill>
              <w14:schemeClr w14:val="tx1"/>
            </w14:solidFill>
          </w14:textFill>
        </w:rPr>
      </w:pPr>
      <w:bookmarkStart w:id="517" w:name="_Toc12004"/>
      <w:bookmarkStart w:id="518" w:name="_Toc259093693"/>
      <w:bookmarkStart w:id="519" w:name="_Toc3148"/>
      <w:bookmarkStart w:id="520" w:name="_Toc279701264"/>
      <w:bookmarkStart w:id="521" w:name="_Toc16673"/>
      <w:bookmarkStart w:id="522" w:name="_Toc487900374"/>
      <w:r>
        <w:rPr>
          <w:rFonts w:hint="eastAsia" w:ascii="宋体" w:hAnsi="宋体" w:eastAsia="宋体" w:cs="宋体"/>
          <w:color w:val="000000" w:themeColor="text1"/>
          <w14:textFill>
            <w14:solidFill>
              <w14:schemeClr w14:val="tx1"/>
            </w14:solidFill>
          </w14:textFill>
        </w:rPr>
        <w:t>2.20 履约保证金</w:t>
      </w:r>
      <w:bookmarkEnd w:id="517"/>
      <w:bookmarkEnd w:id="518"/>
      <w:bookmarkEnd w:id="519"/>
      <w:bookmarkEnd w:id="520"/>
      <w:bookmarkEnd w:id="521"/>
      <w:r>
        <w:rPr>
          <w:rFonts w:hint="eastAsia" w:ascii="宋体" w:hAnsi="宋体" w:eastAsia="宋体" w:cs="宋体"/>
          <w:color w:val="000000" w:themeColor="text1"/>
          <w14:textFill>
            <w14:solidFill>
              <w14:schemeClr w14:val="tx1"/>
            </w14:solidFill>
          </w14:textFill>
        </w:rPr>
        <w:t>：无</w:t>
      </w:r>
    </w:p>
    <w:p w14:paraId="57A6AAFB">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2.21对于因甲方原因导致变更、中止或者终止政府采购合同的，甲方应当依照合同约定对供应商受到的损失予以赔偿或者补偿。</w:t>
      </w:r>
    </w:p>
    <w:bookmarkEnd w:id="522"/>
    <w:p w14:paraId="50D0FF13">
      <w:pPr>
        <w:pStyle w:val="5"/>
        <w:rPr>
          <w:rFonts w:hint="eastAsia" w:ascii="宋体" w:hAnsi="宋体" w:eastAsia="宋体" w:cs="宋体"/>
          <w:color w:val="000000" w:themeColor="text1"/>
          <w14:textFill>
            <w14:solidFill>
              <w14:schemeClr w14:val="tx1"/>
            </w14:solidFill>
          </w14:textFill>
        </w:rPr>
      </w:pPr>
      <w:bookmarkStart w:id="523" w:name="_Toc14001"/>
      <w:bookmarkStart w:id="524" w:name="_Toc19890"/>
      <w:bookmarkStart w:id="525" w:name="_Toc6885"/>
      <w:r>
        <w:rPr>
          <w:rFonts w:hint="eastAsia" w:ascii="宋体" w:hAnsi="宋体" w:eastAsia="宋体" w:cs="宋体"/>
          <w:color w:val="000000" w:themeColor="text1"/>
          <w14:textFill>
            <w14:solidFill>
              <w14:schemeClr w14:val="tx1"/>
            </w14:solidFill>
          </w14:textFill>
        </w:rPr>
        <w:t>2.22合同份数</w:t>
      </w:r>
      <w:bookmarkEnd w:id="523"/>
      <w:bookmarkEnd w:id="524"/>
      <w:bookmarkEnd w:id="525"/>
    </w:p>
    <w:p w14:paraId="587075C3">
      <w:pPr>
        <w:spacing w:line="560" w:lineRule="exact"/>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合同份数按</w:t>
      </w:r>
      <w:r>
        <w:rPr>
          <w:rFonts w:hint="eastAsia" w:ascii="宋体" w:hAnsi="宋体" w:eastAsia="宋体" w:cs="宋体"/>
          <w:b/>
          <w:i/>
          <w:color w:val="000000" w:themeColor="text1"/>
          <w:u w:val="single"/>
          <w14:textFill>
            <w14:solidFill>
              <w14:schemeClr w14:val="tx1"/>
            </w14:solidFill>
          </w14:textFill>
        </w:rPr>
        <w:t>合同专用条款</w:t>
      </w:r>
      <w:r>
        <w:rPr>
          <w:rFonts w:hint="eastAsia" w:ascii="宋体" w:hAnsi="宋体" w:eastAsia="宋体" w:cs="宋体"/>
          <w:color w:val="000000" w:themeColor="text1"/>
          <w14:textFill>
            <w14:solidFill>
              <w14:schemeClr w14:val="tx1"/>
            </w14:solidFill>
          </w14:textFill>
        </w:rPr>
        <w:t>规定，每份均具有同等法律效力。</w:t>
      </w:r>
    </w:p>
    <w:p w14:paraId="36DAF013">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第三部分  合同专用条款</w:t>
      </w:r>
    </w:p>
    <w:p w14:paraId="00AC9DE4">
      <w:pPr>
        <w:spacing w:line="560" w:lineRule="exact"/>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14:paraId="06CC1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6" w:hRule="atLeast"/>
        </w:trPr>
        <w:tc>
          <w:tcPr>
            <w:tcW w:w="466" w:type="pct"/>
            <w:tcBorders>
              <w:left w:val="single" w:color="auto" w:sz="4" w:space="0"/>
            </w:tcBorders>
            <w:vAlign w:val="center"/>
          </w:tcPr>
          <w:p w14:paraId="692AA08D">
            <w:pPr>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条款号</w:t>
            </w:r>
          </w:p>
        </w:tc>
        <w:tc>
          <w:tcPr>
            <w:tcW w:w="4534" w:type="pct"/>
            <w:vAlign w:val="center"/>
          </w:tcPr>
          <w:p w14:paraId="51A3A959">
            <w:pPr>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约定内容</w:t>
            </w:r>
          </w:p>
        </w:tc>
      </w:tr>
      <w:tr w14:paraId="01EE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3A73D27">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w:t>
            </w:r>
          </w:p>
        </w:tc>
        <w:tc>
          <w:tcPr>
            <w:tcW w:w="4534" w:type="pct"/>
            <w:vAlign w:val="center"/>
          </w:tcPr>
          <w:p w14:paraId="01445A3A">
            <w:pPr>
              <w:spacing w:line="360" w:lineRule="auto"/>
              <w:rPr>
                <w:rFonts w:hint="eastAsia" w:ascii="宋体" w:hAnsi="宋体" w:eastAsia="宋体" w:cs="宋体"/>
                <w:color w:val="000000" w:themeColor="text1"/>
                <w14:textFill>
                  <w14:solidFill>
                    <w14:schemeClr w14:val="tx1"/>
                  </w14:solidFill>
                </w14:textFill>
              </w:rPr>
            </w:pPr>
          </w:p>
        </w:tc>
      </w:tr>
      <w:tr w14:paraId="18FA5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4CF1B2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1.5.1 </w:t>
            </w:r>
          </w:p>
        </w:tc>
        <w:tc>
          <w:tcPr>
            <w:tcW w:w="4534" w:type="pct"/>
            <w:vAlign w:val="center"/>
          </w:tcPr>
          <w:p w14:paraId="61E4AB45">
            <w:pPr>
              <w:spacing w:line="360" w:lineRule="auto"/>
              <w:rPr>
                <w:rFonts w:hint="eastAsia" w:ascii="宋体" w:hAnsi="宋体" w:eastAsia="宋体" w:cs="宋体"/>
                <w:color w:val="000000" w:themeColor="text1"/>
                <w14:textFill>
                  <w14:solidFill>
                    <w14:schemeClr w14:val="tx1"/>
                  </w14:solidFill>
                </w14:textFill>
              </w:rPr>
            </w:pPr>
          </w:p>
        </w:tc>
      </w:tr>
      <w:tr w14:paraId="65929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4BC5904">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1.5.2</w:t>
            </w:r>
          </w:p>
        </w:tc>
        <w:tc>
          <w:tcPr>
            <w:tcW w:w="4534" w:type="pct"/>
            <w:vAlign w:val="center"/>
          </w:tcPr>
          <w:p w14:paraId="00CAEFB0">
            <w:pPr>
              <w:spacing w:line="360" w:lineRule="auto"/>
              <w:rPr>
                <w:rFonts w:hint="eastAsia" w:ascii="宋体" w:hAnsi="宋体" w:eastAsia="宋体" w:cs="宋体"/>
                <w:color w:val="000000" w:themeColor="text1"/>
                <w14:textFill>
                  <w14:solidFill>
                    <w14:schemeClr w14:val="tx1"/>
                  </w14:solidFill>
                </w14:textFill>
              </w:rPr>
            </w:pPr>
          </w:p>
        </w:tc>
      </w:tr>
      <w:tr w14:paraId="2BB2E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50991B62">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1.5.3 </w:t>
            </w:r>
          </w:p>
        </w:tc>
        <w:tc>
          <w:tcPr>
            <w:tcW w:w="4534" w:type="pct"/>
            <w:vAlign w:val="center"/>
          </w:tcPr>
          <w:p w14:paraId="39589C97">
            <w:pPr>
              <w:spacing w:line="360" w:lineRule="auto"/>
              <w:rPr>
                <w:rFonts w:hint="eastAsia" w:ascii="宋体" w:hAnsi="宋体" w:eastAsia="宋体" w:cs="宋体"/>
                <w:color w:val="000000" w:themeColor="text1"/>
                <w14:textFill>
                  <w14:solidFill>
                    <w14:schemeClr w14:val="tx1"/>
                  </w14:solidFill>
                </w14:textFill>
              </w:rPr>
            </w:pPr>
          </w:p>
        </w:tc>
      </w:tr>
      <w:tr w14:paraId="26CC5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4CC6C9D">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1.6.7</w:t>
            </w:r>
          </w:p>
        </w:tc>
        <w:tc>
          <w:tcPr>
            <w:tcW w:w="4534" w:type="pct"/>
            <w:vAlign w:val="center"/>
          </w:tcPr>
          <w:p w14:paraId="63F2AD4A">
            <w:pPr>
              <w:spacing w:line="360" w:lineRule="auto"/>
              <w:rPr>
                <w:rFonts w:hint="eastAsia" w:ascii="宋体" w:hAnsi="宋体" w:eastAsia="宋体" w:cs="宋体"/>
                <w:color w:val="000000" w:themeColor="text1"/>
                <w14:textFill>
                  <w14:solidFill>
                    <w14:schemeClr w14:val="tx1"/>
                  </w14:solidFill>
                </w14:textFill>
              </w:rPr>
            </w:pPr>
          </w:p>
        </w:tc>
      </w:tr>
      <w:tr w14:paraId="528C8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20A1FF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4534" w:type="pct"/>
            <w:vAlign w:val="center"/>
          </w:tcPr>
          <w:p w14:paraId="44E4563F">
            <w:pPr>
              <w:spacing w:line="360" w:lineRule="auto"/>
              <w:rPr>
                <w:rFonts w:hint="eastAsia" w:ascii="宋体" w:hAnsi="宋体" w:eastAsia="宋体" w:cs="宋体"/>
                <w:color w:val="000000" w:themeColor="text1"/>
                <w14:textFill>
                  <w14:solidFill>
                    <w14:schemeClr w14:val="tx1"/>
                  </w14:solidFill>
                </w14:textFill>
              </w:rPr>
            </w:pPr>
          </w:p>
        </w:tc>
      </w:tr>
      <w:tr w14:paraId="20933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66DBB0E">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1.7.1</w:t>
            </w:r>
          </w:p>
        </w:tc>
        <w:tc>
          <w:tcPr>
            <w:tcW w:w="4534" w:type="pct"/>
            <w:vAlign w:val="center"/>
          </w:tcPr>
          <w:p w14:paraId="1AEA7DB3">
            <w:pPr>
              <w:spacing w:line="360" w:lineRule="auto"/>
              <w:rPr>
                <w:rFonts w:hint="eastAsia" w:ascii="宋体" w:hAnsi="宋体" w:eastAsia="宋体" w:cs="宋体"/>
                <w:color w:val="000000" w:themeColor="text1"/>
                <w14:textFill>
                  <w14:solidFill>
                    <w14:schemeClr w14:val="tx1"/>
                  </w14:solidFill>
                </w14:textFill>
              </w:rPr>
            </w:pPr>
          </w:p>
        </w:tc>
      </w:tr>
      <w:tr w14:paraId="521D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DCC319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1.7.2</w:t>
            </w:r>
          </w:p>
        </w:tc>
        <w:tc>
          <w:tcPr>
            <w:tcW w:w="4534" w:type="pct"/>
            <w:vAlign w:val="center"/>
          </w:tcPr>
          <w:p w14:paraId="6CEBFA28">
            <w:pPr>
              <w:spacing w:line="360" w:lineRule="auto"/>
              <w:rPr>
                <w:rFonts w:hint="eastAsia" w:ascii="宋体" w:hAnsi="宋体" w:eastAsia="宋体" w:cs="宋体"/>
                <w:color w:val="000000" w:themeColor="text1"/>
                <w14:textFill>
                  <w14:solidFill>
                    <w14:schemeClr w14:val="tx1"/>
                  </w14:solidFill>
                </w14:textFill>
              </w:rPr>
            </w:pPr>
          </w:p>
        </w:tc>
      </w:tr>
      <w:tr w14:paraId="6140D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050D6587">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w:t>
            </w:r>
          </w:p>
        </w:tc>
        <w:tc>
          <w:tcPr>
            <w:tcW w:w="4534" w:type="pct"/>
            <w:vAlign w:val="center"/>
          </w:tcPr>
          <w:p w14:paraId="7B14B892">
            <w:pPr>
              <w:spacing w:line="360" w:lineRule="auto"/>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p>
        </w:tc>
      </w:tr>
      <w:tr w14:paraId="095AE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337C382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2.4.1</w:t>
            </w:r>
          </w:p>
        </w:tc>
        <w:tc>
          <w:tcPr>
            <w:tcW w:w="4534" w:type="pct"/>
            <w:vAlign w:val="center"/>
          </w:tcPr>
          <w:p w14:paraId="1E58DE91">
            <w:pPr>
              <w:spacing w:line="360" w:lineRule="auto"/>
              <w:ind w:left="-480" w:leftChars="-200" w:right="-480" w:rightChars="-200" w:firstLine="480" w:firstLineChars="200"/>
              <w:rPr>
                <w:rFonts w:hint="eastAsia" w:ascii="宋体" w:hAnsi="宋体" w:eastAsia="宋体" w:cs="宋体"/>
                <w:color w:val="000000" w:themeColor="text1"/>
                <w14:textFill>
                  <w14:solidFill>
                    <w14:schemeClr w14:val="tx1"/>
                  </w14:solidFill>
                </w14:textFill>
              </w:rPr>
            </w:pPr>
          </w:p>
        </w:tc>
      </w:tr>
      <w:tr w14:paraId="695FB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6C4A247D">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2.4.2</w:t>
            </w:r>
          </w:p>
        </w:tc>
        <w:tc>
          <w:tcPr>
            <w:tcW w:w="4534" w:type="pct"/>
            <w:vAlign w:val="center"/>
          </w:tcPr>
          <w:p w14:paraId="7F3DF151">
            <w:pPr>
              <w:spacing w:line="360" w:lineRule="auto"/>
              <w:rPr>
                <w:rFonts w:hint="eastAsia" w:ascii="宋体" w:hAnsi="宋体" w:eastAsia="宋体" w:cs="宋体"/>
                <w:color w:val="000000" w:themeColor="text1"/>
                <w14:textFill>
                  <w14:solidFill>
                    <w14:schemeClr w14:val="tx1"/>
                  </w14:solidFill>
                </w14:textFill>
              </w:rPr>
            </w:pPr>
          </w:p>
        </w:tc>
      </w:tr>
      <w:tr w14:paraId="4CEBC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 w:hRule="atLeast"/>
        </w:trPr>
        <w:tc>
          <w:tcPr>
            <w:tcW w:w="466" w:type="pct"/>
            <w:tcBorders>
              <w:left w:val="single" w:color="auto" w:sz="4" w:space="0"/>
            </w:tcBorders>
          </w:tcPr>
          <w:p w14:paraId="32016CDF">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2.8 </w:t>
            </w:r>
          </w:p>
        </w:tc>
        <w:tc>
          <w:tcPr>
            <w:tcW w:w="4534" w:type="pct"/>
          </w:tcPr>
          <w:p w14:paraId="1823E53D">
            <w:pPr>
              <w:spacing w:line="360" w:lineRule="auto"/>
              <w:rPr>
                <w:rFonts w:hint="eastAsia" w:ascii="宋体" w:hAnsi="宋体" w:eastAsia="宋体" w:cs="宋体"/>
                <w:color w:val="000000" w:themeColor="text1"/>
                <w14:textFill>
                  <w14:solidFill>
                    <w14:schemeClr w14:val="tx1"/>
                  </w14:solidFill>
                </w14:textFill>
              </w:rPr>
            </w:pPr>
          </w:p>
        </w:tc>
      </w:tr>
      <w:tr w14:paraId="69FEC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1D8D00A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2.12.3</w:t>
            </w:r>
          </w:p>
        </w:tc>
        <w:tc>
          <w:tcPr>
            <w:tcW w:w="4534" w:type="pct"/>
            <w:vAlign w:val="center"/>
          </w:tcPr>
          <w:p w14:paraId="43217C7C">
            <w:pPr>
              <w:spacing w:line="360" w:lineRule="auto"/>
              <w:rPr>
                <w:rFonts w:hint="eastAsia" w:ascii="宋体" w:hAnsi="宋体" w:eastAsia="宋体" w:cs="宋体"/>
                <w:color w:val="000000" w:themeColor="text1"/>
                <w14:textFill>
                  <w14:solidFill>
                    <w14:schemeClr w14:val="tx1"/>
                  </w14:solidFill>
                </w14:textFill>
              </w:rPr>
            </w:pPr>
          </w:p>
        </w:tc>
      </w:tr>
      <w:tr w14:paraId="5A3B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2728A16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2.12.4</w:t>
            </w:r>
          </w:p>
        </w:tc>
        <w:tc>
          <w:tcPr>
            <w:tcW w:w="4534" w:type="pct"/>
            <w:vAlign w:val="center"/>
          </w:tcPr>
          <w:p w14:paraId="2251EDCB">
            <w:pPr>
              <w:spacing w:line="360" w:lineRule="auto"/>
              <w:rPr>
                <w:rFonts w:hint="eastAsia" w:ascii="宋体" w:hAnsi="宋体" w:eastAsia="宋体" w:cs="宋体"/>
                <w:color w:val="000000" w:themeColor="text1"/>
                <w14:textFill>
                  <w14:solidFill>
                    <w14:schemeClr w14:val="tx1"/>
                  </w14:solidFill>
                </w14:textFill>
              </w:rPr>
            </w:pPr>
          </w:p>
        </w:tc>
      </w:tr>
      <w:tr w14:paraId="1A4FE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14:paraId="4764FB6C">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2.16.1</w:t>
            </w:r>
          </w:p>
        </w:tc>
        <w:tc>
          <w:tcPr>
            <w:tcW w:w="4534" w:type="pct"/>
            <w:vAlign w:val="center"/>
          </w:tcPr>
          <w:p w14:paraId="343C21E7">
            <w:pPr>
              <w:spacing w:line="360" w:lineRule="auto"/>
              <w:rPr>
                <w:rFonts w:hint="eastAsia" w:ascii="宋体" w:hAnsi="宋体" w:eastAsia="宋体" w:cs="宋体"/>
                <w:color w:val="000000" w:themeColor="text1"/>
                <w14:textFill>
                  <w14:solidFill>
                    <w14:schemeClr w14:val="tx1"/>
                  </w14:solidFill>
                </w14:textFill>
              </w:rPr>
            </w:pPr>
          </w:p>
        </w:tc>
      </w:tr>
      <w:tr w14:paraId="4C3A9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14:paraId="73E8ED1D">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2.16.3</w:t>
            </w:r>
          </w:p>
        </w:tc>
        <w:tc>
          <w:tcPr>
            <w:tcW w:w="4534" w:type="pct"/>
            <w:vAlign w:val="center"/>
          </w:tcPr>
          <w:p w14:paraId="372E225A">
            <w:pPr>
              <w:spacing w:line="360" w:lineRule="auto"/>
              <w:rPr>
                <w:rFonts w:hint="eastAsia" w:ascii="宋体" w:hAnsi="宋体" w:eastAsia="宋体" w:cs="宋体"/>
                <w:color w:val="000000" w:themeColor="text1"/>
                <w14:textFill>
                  <w14:solidFill>
                    <w14:schemeClr w14:val="tx1"/>
                  </w14:solidFill>
                </w14:textFill>
              </w:rPr>
            </w:pPr>
          </w:p>
        </w:tc>
      </w:tr>
      <w:tr w14:paraId="6A45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14:paraId="5E62599A">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2.20.1</w:t>
            </w:r>
          </w:p>
        </w:tc>
        <w:tc>
          <w:tcPr>
            <w:tcW w:w="4534" w:type="pct"/>
          </w:tcPr>
          <w:p w14:paraId="4B516F6B">
            <w:pPr>
              <w:spacing w:line="360" w:lineRule="auto"/>
              <w:rPr>
                <w:rFonts w:hint="eastAsia" w:ascii="宋体" w:hAnsi="宋体" w:eastAsia="宋体" w:cs="宋体"/>
                <w:color w:val="000000" w:themeColor="text1"/>
                <w14:textFill>
                  <w14:solidFill>
                    <w14:schemeClr w14:val="tx1"/>
                  </w14:solidFill>
                </w14:textFill>
              </w:rPr>
            </w:pPr>
          </w:p>
        </w:tc>
      </w:tr>
      <w:tr w14:paraId="331B6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4382C38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2.20.2 </w:t>
            </w:r>
          </w:p>
        </w:tc>
        <w:tc>
          <w:tcPr>
            <w:tcW w:w="4534" w:type="pct"/>
            <w:vAlign w:val="center"/>
          </w:tcPr>
          <w:p w14:paraId="5123DFF2">
            <w:pPr>
              <w:spacing w:line="360" w:lineRule="auto"/>
              <w:rPr>
                <w:rFonts w:hint="eastAsia" w:ascii="宋体" w:hAnsi="宋体" w:eastAsia="宋体" w:cs="宋体"/>
                <w:color w:val="000000" w:themeColor="text1"/>
                <w14:textFill>
                  <w14:solidFill>
                    <w14:schemeClr w14:val="tx1"/>
                  </w14:solidFill>
                </w14:textFill>
              </w:rPr>
            </w:pPr>
          </w:p>
        </w:tc>
      </w:tr>
      <w:tr w14:paraId="084E5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14:paraId="32CC54BB">
            <w:pPr>
              <w:spacing w:line="360" w:lineRule="auto"/>
              <w:ind w:left="-480" w:leftChars="-200" w:right="-480" w:rightChars="-200" w:firstLine="480" w:firstLineChars="200"/>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2.22 </w:t>
            </w:r>
          </w:p>
        </w:tc>
        <w:tc>
          <w:tcPr>
            <w:tcW w:w="4534" w:type="pct"/>
            <w:vAlign w:val="center"/>
          </w:tcPr>
          <w:p w14:paraId="54AF59A7">
            <w:pPr>
              <w:spacing w:line="360" w:lineRule="auto"/>
              <w:rPr>
                <w:rFonts w:hint="eastAsia" w:ascii="宋体" w:hAnsi="宋体" w:eastAsia="宋体" w:cs="宋体"/>
                <w:color w:val="000000" w:themeColor="text1"/>
                <w14:textFill>
                  <w14:solidFill>
                    <w14:schemeClr w14:val="tx1"/>
                  </w14:solidFill>
                </w14:textFill>
              </w:rPr>
            </w:pPr>
          </w:p>
        </w:tc>
      </w:tr>
    </w:tbl>
    <w:p w14:paraId="17E8ECF7">
      <w:pPr>
        <w:rPr>
          <w:rFonts w:hint="eastAsia" w:ascii="宋体" w:hAnsi="宋体" w:eastAsia="宋体" w:cs="宋体"/>
          <w:color w:val="000000" w:themeColor="text1"/>
          <w14:textFill>
            <w14:solidFill>
              <w14:schemeClr w14:val="tx1"/>
            </w14:solidFill>
          </w14:textFill>
        </w:rPr>
      </w:pPr>
    </w:p>
    <w:p w14:paraId="30F8AA08">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378C818">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第六部分 应提交的有关格式范例</w:t>
      </w:r>
    </w:p>
    <w:p w14:paraId="6DBFFB51">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资格文件部分</w:t>
      </w:r>
    </w:p>
    <w:p w14:paraId="57EC3845">
      <w:pPr>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目录</w:t>
      </w:r>
    </w:p>
    <w:p w14:paraId="524E9428">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（1）符合参加政府采购活动应当具备的一般条件的承诺函……………（页码）</w:t>
      </w:r>
    </w:p>
    <w:p w14:paraId="40B9A753">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（2）落实政府采购政策需满足的资格要求………………………………（页码）</w:t>
      </w:r>
    </w:p>
    <w:p w14:paraId="1BEBA88A">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（3）本项目的特定资格要求………………………………………………（页码）</w:t>
      </w:r>
    </w:p>
    <w:p w14:paraId="2876B573">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2321CF2">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 符合参加政府采购活动应当具备的一般条件的承诺函</w:t>
      </w:r>
    </w:p>
    <w:p w14:paraId="4CE54EDB">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p>
    <w:p w14:paraId="23C06EFF">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我方参与（项目名称）【招标编号：（采购编号）】政府采购活动，郑重承诺：</w:t>
      </w:r>
    </w:p>
    <w:p w14:paraId="251CF290">
      <w:pPr>
        <w:snapToGrid w:val="0"/>
        <w:spacing w:line="360" w:lineRule="auto"/>
        <w:ind w:firstLine="360" w:firstLineChars="1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（一）具备《中华人民共和国政府采购法》第二十二条第一款规定的条件：</w:t>
      </w:r>
    </w:p>
    <w:p w14:paraId="2F940811">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1、具有独立承担民事责任的能力；</w:t>
      </w:r>
    </w:p>
    <w:p w14:paraId="04D6C820">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2、具有良好的商业信誉和健全的财务会计制度； </w:t>
      </w:r>
    </w:p>
    <w:p w14:paraId="58087856">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3、具有履行合同所必需的设备和专业技术能力；</w:t>
      </w:r>
    </w:p>
    <w:p w14:paraId="604A5949">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4、有依法缴纳税收和社会保障资金的良好记录；</w:t>
      </w:r>
    </w:p>
    <w:p w14:paraId="01254264">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5、参加政府采购活动前三年内，在经营活动中没有重大违法记录；</w:t>
      </w:r>
    </w:p>
    <w:p w14:paraId="6EB88800">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6、具有法律、行政法规规定的其他条件。</w:t>
      </w:r>
    </w:p>
    <w:p w14:paraId="14B14BB2">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88987AE">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（三）不存在以下情况：</w:t>
      </w:r>
    </w:p>
    <w:p w14:paraId="0ECAA068">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1、单位负责人为同一人或者存在直接控股、管理关系的不同供应商参加同一合同项下的政府采购活动的；</w:t>
      </w:r>
    </w:p>
    <w:p w14:paraId="7F991262">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2、为采购项目提供整体设计、规范编制或者项目管理、监理、检测等服务后再参加该采购项目的其他采购活动的。</w:t>
      </w:r>
    </w:p>
    <w:p w14:paraId="26DF4CCA">
      <w:pPr>
        <w:snapToGrid w:val="0"/>
        <w:spacing w:line="360" w:lineRule="auto"/>
        <w:ind w:firstLine="5520" w:firstLineChars="23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供应商名称(电子签名)：</w:t>
      </w:r>
    </w:p>
    <w:p w14:paraId="3767A68F">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日期</w:t>
      </w:r>
      <w:r>
        <w:rPr>
          <w:rFonts w:hint="eastAsia" w:ascii="宋体" w:hAnsi="宋体" w:eastAsia="宋体" w:cs="宋体"/>
          <w:color w:val="000000" w:themeColor="text1"/>
          <w14:textFill>
            <w14:solidFill>
              <w14:schemeClr w14:val="tx1"/>
            </w14:solidFill>
          </w14:textFill>
        </w:rPr>
        <w:t xml:space="preserve">：  年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w:t>
      </w:r>
    </w:p>
    <w:p w14:paraId="7FDB2DF7">
      <w:pPr>
        <w:snapToGrid w:val="0"/>
        <w:spacing w:line="360" w:lineRule="auto"/>
        <w:ind w:right="480"/>
        <w:jc w:val="center"/>
        <w:rPr>
          <w:rFonts w:hint="eastAsia" w:ascii="宋体" w:hAnsi="宋体" w:eastAsia="宋体" w:cs="宋体"/>
          <w:b/>
          <w:color w:val="000000" w:themeColor="text1"/>
          <w:sz w:val="32"/>
          <w:szCs w:val="32"/>
          <w14:textFill>
            <w14:solidFill>
              <w14:schemeClr w14:val="tx1"/>
            </w14:solidFill>
          </w14:textFill>
        </w:rPr>
      </w:pPr>
    </w:p>
    <w:p w14:paraId="7A9A068F">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二、落实政府采购政策需满足的资格要求</w:t>
      </w:r>
    </w:p>
    <w:p w14:paraId="2FB7A84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（根据交易公告落实政府采购政策需满足的资格要求选择提供相应的材料；未要求的，无需提供）</w:t>
      </w:r>
    </w:p>
    <w:p w14:paraId="08CD317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14:paraId="68325E8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要求以联合体形式参加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14:paraId="2EA82B8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14:paraId="6559FA80">
      <w:pPr>
        <w:jc w:val="center"/>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联合协议</w:t>
      </w:r>
    </w:p>
    <w:p w14:paraId="51226BE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（联合体所有成员名称）</w:t>
      </w:r>
      <w:r>
        <w:rPr>
          <w:rFonts w:hint="eastAsia" w:ascii="宋体" w:hAnsi="宋体" w:eastAsia="宋体" w:cs="宋体"/>
          <w:color w:val="000000" w:themeColor="text1"/>
          <w14:textFill>
            <w14:solidFill>
              <w14:schemeClr w14:val="tx1"/>
            </w14:solidFill>
          </w14:textFill>
        </w:rPr>
        <w:t>自愿</w:t>
      </w:r>
      <w:r>
        <w:rPr>
          <w:rFonts w:hint="eastAsia" w:ascii="宋体" w:hAnsi="宋体" w:eastAsia="宋体" w:cs="宋体"/>
          <w:color w:val="000000" w:themeColor="text1"/>
          <w:lang w:val="zh-CN"/>
          <w14:textFill>
            <w14:solidFill>
              <w14:schemeClr w14:val="tx1"/>
            </w14:solidFill>
          </w14:textFill>
        </w:rPr>
        <w:t>组成一个联合体，以一个供应商的身份</w:t>
      </w:r>
      <w:r>
        <w:rPr>
          <w:rFonts w:hint="eastAsia" w:ascii="宋体" w:hAnsi="宋体" w:eastAsia="宋体" w:cs="宋体"/>
          <w:color w:val="000000" w:themeColor="text1"/>
          <w14:textFill>
            <w14:solidFill>
              <w14:schemeClr w14:val="tx1"/>
            </w14:solidFill>
          </w14:textFill>
        </w:rPr>
        <w:t>参加（项目名称）【招标编号：（采购编号）】</w:t>
      </w:r>
      <w:r>
        <w:rPr>
          <w:rFonts w:hint="eastAsia" w:ascii="宋体" w:hAnsi="宋体" w:eastAsia="宋体" w:cs="宋体"/>
          <w:color w:val="000000" w:themeColor="text1"/>
          <w:lang w:val="zh-CN"/>
          <w14:textFill>
            <w14:solidFill>
              <w14:schemeClr w14:val="tx1"/>
            </w14:solidFill>
          </w14:textFill>
        </w:rPr>
        <w:t xml:space="preserve">投标。 </w:t>
      </w:r>
    </w:p>
    <w:p w14:paraId="1D58064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一、各方一致决定，</w:t>
      </w:r>
      <w:r>
        <w:rPr>
          <w:rFonts w:hint="eastAsia" w:ascii="宋体" w:hAnsi="宋体" w:eastAsia="宋体" w:cs="宋体"/>
          <w:color w:val="000000" w:themeColor="text1"/>
          <w:u w:val="single"/>
          <w14:textFill>
            <w14:solidFill>
              <w14:schemeClr w14:val="tx1"/>
            </w14:solidFill>
          </w14:textFill>
        </w:rPr>
        <w:t>（某联合体成员名称）</w:t>
      </w:r>
      <w:r>
        <w:rPr>
          <w:rFonts w:hint="eastAsia" w:ascii="宋体" w:hAnsi="宋体" w:eastAsia="宋体" w:cs="宋体"/>
          <w:color w:val="000000" w:themeColor="text1"/>
          <w14:textFill>
            <w14:solidFill>
              <w14:schemeClr w14:val="tx1"/>
            </w14:solidFill>
          </w14:textFill>
        </w:rPr>
        <w:t>为联合体</w:t>
      </w:r>
      <w:r>
        <w:rPr>
          <w:rFonts w:hint="eastAsia" w:ascii="宋体" w:hAnsi="宋体" w:eastAsia="宋体" w:cs="宋体"/>
          <w:color w:val="000000" w:themeColor="text1"/>
          <w:lang w:val="zh-CN"/>
          <w14:textFill>
            <w14:solidFill>
              <w14:schemeClr w14:val="tx1"/>
            </w14:solidFill>
          </w14:textFill>
        </w:rPr>
        <w:t>牵头人</w:t>
      </w:r>
      <w:r>
        <w:rPr>
          <w:rFonts w:hint="eastAsia" w:ascii="宋体" w:hAnsi="宋体" w:eastAsia="宋体" w:cs="宋体"/>
          <w:color w:val="000000" w:themeColor="text1"/>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lang w:val="zh-CN"/>
          <w14:textFill>
            <w14:solidFill>
              <w14:schemeClr w14:val="tx1"/>
            </w14:solidFill>
          </w14:textFill>
        </w:rPr>
        <w:t>。</w:t>
      </w:r>
    </w:p>
    <w:p w14:paraId="1341F8EE">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所有联合体成员各方签署授权书，授权书载明的</w:t>
      </w:r>
      <w:r>
        <w:rPr>
          <w:rFonts w:hint="eastAsia" w:ascii="宋体" w:hAnsi="宋体" w:eastAsia="宋体" w:cs="宋体"/>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7C59A0D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三、本次联合投标中，分工如下：</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 xml:space="preserve"> ；……。</w:t>
      </w:r>
    </w:p>
    <w:p w14:paraId="73453E2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w:t>
      </w:r>
      <w:r>
        <w:rPr>
          <w:rFonts w:hint="eastAsia" w:ascii="宋体" w:hAnsi="宋体" w:eastAsia="宋体" w:cs="宋体"/>
          <w:color w:val="000000" w:themeColor="text1"/>
          <w14:textFill>
            <w14:solidFill>
              <w14:schemeClr w14:val="tx1"/>
            </w14:solidFill>
          </w14:textFill>
        </w:rPr>
        <w:t>中小企业合同金额达到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%，小微企业合同金额达到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w:t>
      </w:r>
    </w:p>
    <w:p w14:paraId="2FD664C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五、如果中标，</w:t>
      </w:r>
      <w:r>
        <w:rPr>
          <w:rFonts w:hint="eastAsia" w:ascii="宋体" w:hAnsi="宋体" w:eastAsia="宋体" w:cs="宋体"/>
          <w:color w:val="000000" w:themeColor="text1"/>
          <w14:textFill>
            <w14:solidFill>
              <w14:schemeClr w14:val="tx1"/>
            </w14:solidFill>
          </w14:textFill>
        </w:rPr>
        <w:t>联合体各成员方共同与采购人签订合同，并就采购合同约定的事项对采购人承担连带责任。</w:t>
      </w:r>
    </w:p>
    <w:p w14:paraId="7C2EBB0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六、有关本次联合投标的其他事宜：</w:t>
      </w:r>
    </w:p>
    <w:p w14:paraId="42E2F74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1、联合体各方不再单独参加或者与其他供应商另外组成联合体参加同一合同项下的政府采购活动。</w:t>
      </w:r>
    </w:p>
    <w:p w14:paraId="0222057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17C5EC1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3、本协议提交采购人、采购机构后，联合体各方不得以任何形式对上述内容进行修改或撤销。</w:t>
      </w:r>
    </w:p>
    <w:p w14:paraId="1DF00E1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417B9AE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11902F9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695CBC53">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分包意向协议</w:t>
      </w:r>
    </w:p>
    <w:p w14:paraId="043E246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r>
        <w:rPr>
          <w:rFonts w:hint="eastAsia" w:ascii="宋体" w:hAnsi="宋体" w:eastAsia="宋体" w:cs="宋体"/>
          <w:color w:val="000000" w:themeColor="text1"/>
          <w14:textFill>
            <w14:solidFill>
              <w14:schemeClr w14:val="tx1"/>
            </w14:solidFill>
          </w14:textFill>
        </w:rPr>
        <w:t>）</w:t>
      </w:r>
    </w:p>
    <w:p w14:paraId="48D30035">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lang w:val="zh-CN"/>
          <w14:textFill>
            <w14:solidFill>
              <w14:schemeClr w14:val="tx1"/>
            </w14:solidFill>
          </w14:textFill>
        </w:rPr>
        <w:t>若成为</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的中标供应商，将依法采取分包方式履行合同。</w:t>
      </w: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14:textFill>
            <w14:solidFill>
              <w14:schemeClr w14:val="tx1"/>
            </w14:solidFill>
          </w14:textFill>
        </w:rPr>
        <w:t>与</w:t>
      </w:r>
      <w:r>
        <w:rPr>
          <w:rFonts w:hint="eastAsia" w:ascii="宋体" w:hAnsi="宋体" w:eastAsia="宋体" w:cs="宋体"/>
          <w:color w:val="000000" w:themeColor="text1"/>
          <w:u w:val="single"/>
          <w14:textFill>
            <w14:solidFill>
              <w14:schemeClr w14:val="tx1"/>
            </w14:solidFill>
          </w14:textFill>
        </w:rPr>
        <w:t>（所有分包供应商名称）</w:t>
      </w:r>
      <w:r>
        <w:rPr>
          <w:rFonts w:hint="eastAsia" w:ascii="宋体" w:hAnsi="宋体" w:eastAsia="宋体" w:cs="宋体"/>
          <w:color w:val="000000" w:themeColor="text1"/>
          <w14:textFill>
            <w14:solidFill>
              <w14:schemeClr w14:val="tx1"/>
            </w14:solidFill>
          </w14:textFill>
        </w:rPr>
        <w:t>达成分包意向协议</w:t>
      </w:r>
      <w:r>
        <w:rPr>
          <w:rFonts w:hint="eastAsia" w:ascii="宋体" w:hAnsi="宋体" w:eastAsia="宋体" w:cs="宋体"/>
          <w:color w:val="000000" w:themeColor="text1"/>
          <w:lang w:val="zh-CN"/>
          <w14:textFill>
            <w14:solidFill>
              <w14:schemeClr w14:val="tx1"/>
            </w14:solidFill>
          </w14:textFill>
        </w:rPr>
        <w:t xml:space="preserve">。 </w:t>
      </w:r>
    </w:p>
    <w:p w14:paraId="40FC2D2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一、分包标的及数量</w:t>
      </w:r>
    </w:p>
    <w:p w14:paraId="4D66649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14:textFill>
            <w14:solidFill>
              <w14:schemeClr w14:val="tx1"/>
            </w14:solidFill>
          </w14:textFill>
        </w:rPr>
        <w:t>分包给</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具备承</w:t>
      </w:r>
      <w:r>
        <w:rPr>
          <w:rFonts w:hint="eastAsia" w:ascii="宋体" w:hAnsi="宋体" w:eastAsia="宋体" w:cs="宋体"/>
          <w:color w:val="000000" w:themeColor="text1"/>
          <w14:textFill>
            <w14:solidFill>
              <w14:schemeClr w14:val="tx1"/>
            </w14:solidFill>
          </w14:textFill>
        </w:rPr>
        <w:t>担</w:t>
      </w:r>
      <w:r>
        <w:rPr>
          <w:rFonts w:hint="eastAsia" w:ascii="宋体" w:hAnsi="宋体" w:eastAsia="宋体" w:cs="宋体"/>
          <w:color w:val="000000" w:themeColor="text1"/>
          <w:u w:val="single"/>
          <w:lang w:val="zh-CN"/>
          <w14:textFill>
            <w14:solidFill>
              <w14:schemeClr w14:val="tx1"/>
            </w14:solidFill>
          </w14:textFill>
        </w:rPr>
        <w:t>XX工作内容</w:t>
      </w:r>
      <w:r>
        <w:rPr>
          <w:rFonts w:hint="eastAsia" w:ascii="宋体" w:hAnsi="宋体" w:eastAsia="宋体" w:cs="宋体"/>
          <w:color w:val="000000" w:themeColor="text1"/>
          <w:lang w:val="zh-CN"/>
          <w14:textFill>
            <w14:solidFill>
              <w14:schemeClr w14:val="tx1"/>
            </w14:solidFill>
          </w14:textFill>
        </w:rPr>
        <w:t>相应资质条件且不得再次分包；</w:t>
      </w:r>
    </w:p>
    <w:p w14:paraId="28EFD45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二、分包工作履行期限、地点、方式</w:t>
      </w:r>
    </w:p>
    <w:p w14:paraId="39AEFBB3">
      <w:pP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7185249F">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三、质量</w:t>
      </w:r>
    </w:p>
    <w:p w14:paraId="2503674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0464CA1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四、价款或者报酬</w:t>
      </w:r>
    </w:p>
    <w:p w14:paraId="32FC7E5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71621D3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五、违约责任</w:t>
      </w:r>
    </w:p>
    <w:p w14:paraId="3E6CED6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0A7D507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六、争议解决的办法</w:t>
      </w:r>
    </w:p>
    <w:p w14:paraId="453D5EC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2BD6EB0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七、其他</w:t>
      </w:r>
    </w:p>
    <w:p w14:paraId="399A4C2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中小企业合同金额达到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%，小微企业合同金额达到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 xml:space="preserve">  。                                           供应商名称(电子签名)：</w:t>
      </w:r>
    </w:p>
    <w:p w14:paraId="671E26A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分包供应商名称：</w:t>
      </w:r>
    </w:p>
    <w:p w14:paraId="7CD51548">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日期：  年  月   日</w:t>
      </w:r>
    </w:p>
    <w:p w14:paraId="4D80D6C4">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三、本项目的特定资格要求</w:t>
      </w:r>
    </w:p>
    <w:p w14:paraId="39FFD1F3">
      <w:pPr>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（根据交易公告本项目的特定资格要求提供相应的材料；未要求的，无需提供）</w:t>
      </w:r>
    </w:p>
    <w:p w14:paraId="10DD14EB">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B172DFE">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商务技术文件部分</w:t>
      </w:r>
    </w:p>
    <w:p w14:paraId="12377F3C">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目录</w:t>
      </w:r>
    </w:p>
    <w:p w14:paraId="63E8FD86">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（1）投标函……………………………………………………………………（页码）</w:t>
      </w:r>
    </w:p>
    <w:p w14:paraId="1C2CB66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（2）授权委托书或法定代表人（单位负责人、自然人本人）身份证明……（页码）</w:t>
      </w:r>
    </w:p>
    <w:p w14:paraId="35EA466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（3）联合协议……………………………………………………………………（页码）</w:t>
      </w:r>
    </w:p>
    <w:p w14:paraId="64FE2F5E">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（4）分包意向协议………………………………………………………………（页码）</w:t>
      </w:r>
    </w:p>
    <w:p w14:paraId="0FAFF5CA">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（5）符合性审查资料…………………………………………………………（页码）</w:t>
      </w:r>
    </w:p>
    <w:p w14:paraId="75A358AB">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评标标准相应的商务技术资料……………………………………………（页码）（7）投标标的清单………………………………………………………………（页码）（8）商务技术偏离表……………………………………………………………（页码）</w:t>
      </w:r>
    </w:p>
    <w:p w14:paraId="2E3FC835">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14:paraId="06E80E5D">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D3F2549">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一、投标函</w:t>
      </w:r>
    </w:p>
    <w:p w14:paraId="4F905D1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p>
    <w:p w14:paraId="24AFB03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我方参加你方组织的（项目名称）【招标编号：（采购编号）】招标的有关活动，并对此项目进行投标。为此：</w:t>
      </w:r>
    </w:p>
    <w:p w14:paraId="7D3DCCF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1、我方承诺投标有效期从提交响应文件的截止之日起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天（不少于90天），本响应文件在投标有效期满之前均具有约束力。</w:t>
      </w:r>
    </w:p>
    <w:p w14:paraId="7A40E47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2、我方的响应文件包括以下内容：</w:t>
      </w:r>
    </w:p>
    <w:p w14:paraId="63BA484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2.1资格文件：</w:t>
      </w:r>
    </w:p>
    <w:p w14:paraId="13A936A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2.1.1承诺函；</w:t>
      </w:r>
    </w:p>
    <w:p w14:paraId="0E27056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2.1.2落实政府采购政策需满足的资格要求（如果有）；</w:t>
      </w:r>
    </w:p>
    <w:p w14:paraId="5ED8016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2.1.3本项目的特定资格要求（如果有）。</w:t>
      </w:r>
    </w:p>
    <w:p w14:paraId="595B3AC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商务技术</w:t>
      </w:r>
      <w:r>
        <w:rPr>
          <w:rFonts w:hint="eastAsia" w:ascii="宋体" w:hAnsi="宋体" w:eastAsia="宋体" w:cs="宋体"/>
          <w:color w:val="000000" w:themeColor="text1"/>
          <w:lang w:val="zh-CN"/>
          <w14:textFill>
            <w14:solidFill>
              <w14:schemeClr w14:val="tx1"/>
            </w14:solidFill>
          </w14:textFill>
        </w:rPr>
        <w:t>文件：</w:t>
      </w:r>
    </w:p>
    <w:p w14:paraId="126027B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2.2.1投标函；</w:t>
      </w:r>
      <w:r>
        <w:rPr>
          <w:rFonts w:hint="eastAsia" w:ascii="宋体" w:hAnsi="宋体" w:eastAsia="宋体" w:cs="宋体"/>
          <w:color w:val="000000" w:themeColor="text1"/>
          <w:lang w:val="zh-CN"/>
          <w14:textFill>
            <w14:solidFill>
              <w14:schemeClr w14:val="tx1"/>
            </w14:solidFill>
          </w14:textFill>
        </w:rPr>
        <w:t xml:space="preserve"> </w:t>
      </w:r>
    </w:p>
    <w:p w14:paraId="2FFA5B6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2.2.2授权委托书或法定代表人（单位负责人）身份证明；</w:t>
      </w:r>
    </w:p>
    <w:p w14:paraId="7CD8CC0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2.2.3联合协议（如果有）；</w:t>
      </w:r>
    </w:p>
    <w:p w14:paraId="20473DD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2.2.4分包意向协议（如果有）；</w:t>
      </w:r>
    </w:p>
    <w:p w14:paraId="2F490EE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2.2.5符合性审查资料；</w:t>
      </w:r>
    </w:p>
    <w:p w14:paraId="4149A51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2.2.6评标标准相应的商务技术资料；</w:t>
      </w:r>
    </w:p>
    <w:p w14:paraId="7592A44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2.2.7投标标的清单；</w:t>
      </w:r>
    </w:p>
    <w:p w14:paraId="78FBEE4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2.2.8商务技术偏离表；</w:t>
      </w:r>
    </w:p>
    <w:p w14:paraId="1045468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729A984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3报价文件</w:t>
      </w:r>
    </w:p>
    <w:p w14:paraId="655173F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2.3.1开标一览表（报价表）；</w:t>
      </w:r>
    </w:p>
    <w:p w14:paraId="524DFF9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2.3.2中小企业声明函（如果有）。</w:t>
      </w:r>
    </w:p>
    <w:p w14:paraId="1F2B7C9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3、我方承诺除商务技术偏离表列出的偏离外，我方响应交易文件的全部要求。</w:t>
      </w:r>
    </w:p>
    <w:p w14:paraId="44943CE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4、如我方中标，我方承诺：</w:t>
      </w:r>
    </w:p>
    <w:p w14:paraId="0536DBE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4.1在收到中标通知书后，在中标通知书规定的期限内与你方签订合同； </w:t>
      </w:r>
    </w:p>
    <w:p w14:paraId="28A5B0A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4.2在签订合同时不向你方提出附加条件； </w:t>
      </w:r>
    </w:p>
    <w:p w14:paraId="62CD74E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4.3按照交易文件要求提交履约保证金； </w:t>
      </w:r>
    </w:p>
    <w:p w14:paraId="3DF21B2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4.4在合同约定的期限内完成合同规定的全部义务。 </w:t>
      </w:r>
    </w:p>
    <w:p w14:paraId="338A01E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5、其他补充说明:</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0DE7252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供应商名称（电子签名）：                          </w:t>
      </w:r>
    </w:p>
    <w:p w14:paraId="3A585EA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年   月   日</w:t>
      </w:r>
    </w:p>
    <w:p w14:paraId="118494A2">
      <w:pPr>
        <w:rPr>
          <w:rFonts w:hint="eastAsia" w:ascii="宋体" w:hAnsi="宋体" w:eastAsia="宋体" w:cs="宋体"/>
          <w:color w:val="000000" w:themeColor="text1"/>
          <w:u w:val="single"/>
          <w14:textFill>
            <w14:solidFill>
              <w14:schemeClr w14:val="tx1"/>
            </w14:solidFill>
          </w14:textFill>
        </w:rPr>
      </w:pPr>
    </w:p>
    <w:p w14:paraId="388D27C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2EA5BDB6">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2CA0917">
      <w:pPr>
        <w:pStyle w:val="4"/>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二、授权委托书或法定代表人（单位负责人、自然人本人）身份证明</w:t>
      </w:r>
    </w:p>
    <w:p w14:paraId="54C77DF4">
      <w:pPr>
        <w:snapToGrid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5E717ABC">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授权委托书（适用于非联合体投标）</w:t>
      </w:r>
    </w:p>
    <w:p w14:paraId="28DA6EB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0DBEE5F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w:t>
      </w:r>
      <w:r>
        <w:rPr>
          <w:rFonts w:hint="eastAsia" w:ascii="宋体" w:hAnsi="宋体" w:eastAsia="宋体" w:cs="宋体"/>
          <w:color w:val="000000" w:themeColor="text1"/>
          <w:lang w:val="zh-CN"/>
          <w14:textFill>
            <w14:solidFill>
              <w14:schemeClr w14:val="tx1"/>
            </w14:solidFill>
          </w14:textFill>
        </w:rPr>
        <w:t>委托</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（姓名）为我方代理人（身份证号码：</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），以我方名义处理</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政府采购投标的一切事项，其法律后果由我方承担。</w:t>
      </w:r>
    </w:p>
    <w:p w14:paraId="310A561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委托期限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日起至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日止。</w:t>
      </w:r>
    </w:p>
    <w:p w14:paraId="33997F3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特此告知。</w:t>
      </w:r>
    </w:p>
    <w:p w14:paraId="3D6BD26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供应商名称(电子签名)：</w:t>
      </w:r>
    </w:p>
    <w:p w14:paraId="1DB330A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签发日期：  年  月   日</w:t>
      </w:r>
    </w:p>
    <w:p w14:paraId="046947DC">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授权委托书（适用于联合体投标）</w:t>
      </w:r>
    </w:p>
    <w:p w14:paraId="486BE59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4509338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w:t>
      </w:r>
      <w:r>
        <w:rPr>
          <w:rFonts w:hint="eastAsia" w:ascii="宋体" w:hAnsi="宋体" w:eastAsia="宋体" w:cs="宋体"/>
          <w:color w:val="000000" w:themeColor="text1"/>
          <w:lang w:val="zh-CN"/>
          <w14:textFill>
            <w14:solidFill>
              <w14:schemeClr w14:val="tx1"/>
            </w14:solidFill>
          </w14:textFill>
        </w:rPr>
        <w:t>委托</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（姓名）为我方代理人（身份证号码：</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，手机：</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），以我方名义处理</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政府采购投标的一切事项，其法律后果由我方承担。</w:t>
      </w:r>
    </w:p>
    <w:p w14:paraId="70D43EF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委托期限</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自</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日起至</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年</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日止。</w:t>
      </w:r>
    </w:p>
    <w:p w14:paraId="423745F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特此告知。</w:t>
      </w:r>
    </w:p>
    <w:p w14:paraId="7EA7175D">
      <w:pPr>
        <w:rPr>
          <w:rFonts w:hint="eastAsia" w:ascii="宋体" w:hAnsi="宋体" w:eastAsia="宋体" w:cs="宋体"/>
          <w:color w:val="000000" w:themeColor="text1"/>
          <w14:textFill>
            <w14:solidFill>
              <w14:schemeClr w14:val="tx1"/>
            </w14:solidFill>
          </w14:textFill>
        </w:rPr>
      </w:pPr>
    </w:p>
    <w:p w14:paraId="2FDF3ED9">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4399F23D">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4A7A5873">
      <w:pPr>
        <w:snapToGrid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049227E6">
      <w:pPr>
        <w:spacing w:line="276" w:lineRule="auto"/>
        <w:rPr>
          <w:rFonts w:hint="eastAsia" w:ascii="宋体" w:hAnsi="宋体" w:eastAsia="宋体" w:cs="宋体"/>
          <w:b/>
          <w:color w:val="000000" w:themeColor="text1"/>
          <w:sz w:val="32"/>
          <w:szCs w:val="32"/>
          <w:lang w:val="zh-CN"/>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br w:type="page"/>
      </w:r>
    </w:p>
    <w:p w14:paraId="198F3A50">
      <w:pPr>
        <w:autoSpaceDE w:val="0"/>
        <w:autoSpaceDN w:val="0"/>
        <w:spacing w:line="360" w:lineRule="auto"/>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的身份证明（适用于法定代表人、单位负责人或者自然人本人代表供应商参加投标）</w:t>
      </w:r>
    </w:p>
    <w:p w14:paraId="0AA40659">
      <w:pPr>
        <w:pStyle w:val="76"/>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3F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B4F9156">
            <w:pPr>
              <w:pStyle w:val="76"/>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5993E9F8">
            <w:pPr>
              <w:pStyle w:val="76"/>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0578D58C">
      <w:pPr>
        <w:snapToGrid w:val="0"/>
        <w:spacing w:line="360" w:lineRule="auto"/>
        <w:ind w:firstLine="576"/>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w:t>
      </w:r>
    </w:p>
    <w:p w14:paraId="32C9D35B">
      <w:pPr>
        <w:snapToGrid w:val="0"/>
        <w:spacing w:line="360" w:lineRule="auto"/>
        <w:ind w:firstLine="576"/>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供应商名称(电子签名)：                              </w:t>
      </w:r>
    </w:p>
    <w:p w14:paraId="31870F85">
      <w:pPr>
        <w:spacing w:line="360" w:lineRule="auto"/>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417EDE03">
      <w:pPr>
        <w:spacing w:line="276"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p>
    <w:p w14:paraId="1C8E7C88">
      <w:pPr>
        <w:pStyle w:val="4"/>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w:t>
      </w:r>
      <w:r>
        <w:rPr>
          <w:rFonts w:hint="eastAsia" w:ascii="宋体" w:hAnsi="宋体" w:eastAsia="宋体" w:cs="宋体"/>
          <w:color w:val="000000" w:themeColor="text1"/>
          <w:lang w:val="zh-CN"/>
          <w14:textFill>
            <w14:solidFill>
              <w14:schemeClr w14:val="tx1"/>
            </w14:solidFill>
          </w14:textFill>
        </w:rPr>
        <w:t>联合协议</w:t>
      </w:r>
    </w:p>
    <w:p w14:paraId="66BC7D7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（以联合体形式投标的，提供联合协议；本项目不接受联合体投标或者供应商不以联合体形式投标的，则不需要提供）</w:t>
      </w:r>
    </w:p>
    <w:p w14:paraId="725A5DF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（联合体所有成员名称）</w:t>
      </w:r>
      <w:r>
        <w:rPr>
          <w:rFonts w:hint="eastAsia" w:ascii="宋体" w:hAnsi="宋体" w:eastAsia="宋体" w:cs="宋体"/>
          <w:color w:val="000000" w:themeColor="text1"/>
          <w14:textFill>
            <w14:solidFill>
              <w14:schemeClr w14:val="tx1"/>
            </w14:solidFill>
          </w14:textFill>
        </w:rPr>
        <w:t>自愿</w:t>
      </w:r>
      <w:r>
        <w:rPr>
          <w:rFonts w:hint="eastAsia" w:ascii="宋体" w:hAnsi="宋体" w:eastAsia="宋体" w:cs="宋体"/>
          <w:color w:val="000000" w:themeColor="text1"/>
          <w:lang w:val="zh-CN"/>
          <w14:textFill>
            <w14:solidFill>
              <w14:schemeClr w14:val="tx1"/>
            </w14:solidFill>
          </w14:textFill>
        </w:rPr>
        <w:t>组成一个联合体，以一个供应商的身份</w:t>
      </w:r>
      <w:r>
        <w:rPr>
          <w:rFonts w:hint="eastAsia" w:ascii="宋体" w:hAnsi="宋体" w:eastAsia="宋体" w:cs="宋体"/>
          <w:color w:val="000000" w:themeColor="text1"/>
          <w14:textFill>
            <w14:solidFill>
              <w14:schemeClr w14:val="tx1"/>
            </w14:solidFill>
          </w14:textFill>
        </w:rPr>
        <w:t>参加（项目名称）【招标编号：（采购编号）】</w:t>
      </w:r>
      <w:r>
        <w:rPr>
          <w:rFonts w:hint="eastAsia" w:ascii="宋体" w:hAnsi="宋体" w:eastAsia="宋体" w:cs="宋体"/>
          <w:color w:val="000000" w:themeColor="text1"/>
          <w:lang w:val="zh-CN"/>
          <w14:textFill>
            <w14:solidFill>
              <w14:schemeClr w14:val="tx1"/>
            </w14:solidFill>
          </w14:textFill>
        </w:rPr>
        <w:t xml:space="preserve">投标。 </w:t>
      </w:r>
    </w:p>
    <w:p w14:paraId="740B48E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一、各方一致决定，</w:t>
      </w:r>
      <w:r>
        <w:rPr>
          <w:rFonts w:hint="eastAsia" w:ascii="宋体" w:hAnsi="宋体" w:eastAsia="宋体" w:cs="宋体"/>
          <w:color w:val="000000" w:themeColor="text1"/>
          <w:u w:val="single"/>
          <w14:textFill>
            <w14:solidFill>
              <w14:schemeClr w14:val="tx1"/>
            </w14:solidFill>
          </w14:textFill>
        </w:rPr>
        <w:t>（某联合体成员名称）</w:t>
      </w:r>
      <w:r>
        <w:rPr>
          <w:rFonts w:hint="eastAsia" w:ascii="宋体" w:hAnsi="宋体" w:eastAsia="宋体" w:cs="宋体"/>
          <w:color w:val="000000" w:themeColor="text1"/>
          <w14:textFill>
            <w14:solidFill>
              <w14:schemeClr w14:val="tx1"/>
            </w14:solidFill>
          </w14:textFill>
        </w:rPr>
        <w:t>为联合体</w:t>
      </w:r>
      <w:r>
        <w:rPr>
          <w:rFonts w:hint="eastAsia" w:ascii="宋体" w:hAnsi="宋体" w:eastAsia="宋体" w:cs="宋体"/>
          <w:color w:val="000000" w:themeColor="text1"/>
          <w:lang w:val="zh-CN"/>
          <w14:textFill>
            <w14:solidFill>
              <w14:schemeClr w14:val="tx1"/>
            </w14:solidFill>
          </w14:textFill>
        </w:rPr>
        <w:t>牵头人</w:t>
      </w:r>
      <w:r>
        <w:rPr>
          <w:rFonts w:hint="eastAsia" w:ascii="宋体" w:hAnsi="宋体" w:eastAsia="宋体" w:cs="宋体"/>
          <w:color w:val="000000" w:themeColor="text1"/>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lang w:val="zh-CN"/>
          <w14:textFill>
            <w14:solidFill>
              <w14:schemeClr w14:val="tx1"/>
            </w14:solidFill>
          </w14:textFill>
        </w:rPr>
        <w:t>。</w:t>
      </w:r>
    </w:p>
    <w:p w14:paraId="15A0E69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所有联合体成员各方签署授权书，授权书载明的</w:t>
      </w:r>
      <w:r>
        <w:rPr>
          <w:rFonts w:hint="eastAsia" w:ascii="宋体" w:hAnsi="宋体" w:eastAsia="宋体" w:cs="宋体"/>
          <w:color w:val="000000" w:themeColor="text1"/>
          <w:lang w:val="zh-CN"/>
          <w14:textFill>
            <w14:solidFill>
              <w14:schemeClr w14:val="tx1"/>
            </w14:solidFill>
          </w14:textFill>
        </w:rPr>
        <w:t>授权代表根据交易文件规定及投标内容而对采购人、采购机构所作的任何合法承诺，包括书面澄清及相应等均对联合投标各方产生约束力。</w:t>
      </w:r>
    </w:p>
    <w:p w14:paraId="4C40425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三、本次联合投标中，分工如下：</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w:t>
      </w:r>
    </w:p>
    <w:p w14:paraId="56F8D253">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w:t>
      </w:r>
      <w:r>
        <w:rPr>
          <w:rFonts w:hint="eastAsia" w:ascii="宋体" w:hAnsi="宋体" w:eastAsia="宋体" w:cs="宋体"/>
          <w:color w:val="000000" w:themeColor="text1"/>
          <w:u w:val="single"/>
          <w14:textFill>
            <w14:solidFill>
              <w14:schemeClr w14:val="tx1"/>
            </w14:solidFill>
          </w14:textFill>
        </w:rPr>
        <w:t>（联合体其中一方成员名称）</w:t>
      </w:r>
      <w:r>
        <w:rPr>
          <w:rFonts w:hint="eastAsia" w:ascii="宋体" w:hAnsi="宋体" w:eastAsia="宋体" w:cs="宋体"/>
          <w:color w:val="000000" w:themeColor="text1"/>
          <w14:textFill>
            <w14:solidFill>
              <w14:schemeClr w14:val="tx1"/>
            </w14:solidFill>
          </w14:textFill>
        </w:rPr>
        <w:t>提供的全部货物由小微企业制造，其合同份额占到合同总金额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%以上；</w:t>
      </w:r>
      <w:r>
        <w:rPr>
          <w:rFonts w:hint="eastAsia" w:ascii="宋体" w:hAnsi="宋体" w:eastAsia="宋体" w:cs="宋体"/>
          <w:color w:val="000000" w:themeColor="text1"/>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14:paraId="58FF87E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五、如果中标，</w:t>
      </w:r>
      <w:r>
        <w:rPr>
          <w:rFonts w:hint="eastAsia" w:ascii="宋体" w:hAnsi="宋体" w:eastAsia="宋体" w:cs="宋体"/>
          <w:color w:val="000000" w:themeColor="text1"/>
          <w14:textFill>
            <w14:solidFill>
              <w14:schemeClr w14:val="tx1"/>
            </w14:solidFill>
          </w14:textFill>
        </w:rPr>
        <w:t>联合体各成员方共同与采购人签订合同，并就采购合同约定的事项对采购人承担连带责任。</w:t>
      </w:r>
    </w:p>
    <w:p w14:paraId="72D820B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六、有关本次联合投标的其他事宜：</w:t>
      </w:r>
    </w:p>
    <w:p w14:paraId="52C4081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1、联合体各方不再单独参加或者与其他供应商另外组成联合体参加同一合同项下的政府采购活动。</w:t>
      </w:r>
    </w:p>
    <w:p w14:paraId="5274BE4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2、联合体中有同类资质的各方按照联合体分工承担相同工作的，按照资质等级较低的供应商确定资质等级。</w:t>
      </w:r>
    </w:p>
    <w:p w14:paraId="4AE00CB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3、本协议提交采购人、采购机构后，联合体各方不得以任何形式对上述内容进行修改或撤销。</w:t>
      </w:r>
    </w:p>
    <w:p w14:paraId="68AB2498">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联合体成员名称(电子签名/公章)：</w:t>
      </w:r>
    </w:p>
    <w:p w14:paraId="29F81D5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5372BA9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249B4A70">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4E2F738">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四、分包意向协议</w:t>
      </w:r>
    </w:p>
    <w:p w14:paraId="00968F24">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（中标后以分包方式履行合同的，提供分包意向协议；采购人不同意分包或者供应商中标后不以分包方式履行合同的，则不需要提供。）</w:t>
      </w:r>
    </w:p>
    <w:p w14:paraId="4971DC2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lang w:val="zh-CN"/>
          <w14:textFill>
            <w14:solidFill>
              <w14:schemeClr w14:val="tx1"/>
            </w14:solidFill>
          </w14:textFill>
        </w:rPr>
        <w:t>若成为</w:t>
      </w:r>
      <w:r>
        <w:rPr>
          <w:rFonts w:hint="eastAsia" w:ascii="宋体" w:hAnsi="宋体" w:eastAsia="宋体" w:cs="宋体"/>
          <w:color w:val="000000" w:themeColor="text1"/>
          <w14:textFill>
            <w14:solidFill>
              <w14:schemeClr w14:val="tx1"/>
            </w14:solidFill>
          </w14:textFill>
        </w:rPr>
        <w:t>（项目名称）【招标编号：（采购编号）】</w:t>
      </w:r>
      <w:r>
        <w:rPr>
          <w:rFonts w:hint="eastAsia" w:ascii="宋体" w:hAnsi="宋体" w:eastAsia="宋体" w:cs="宋体"/>
          <w:color w:val="000000" w:themeColor="text1"/>
          <w:lang w:val="zh-CN"/>
          <w14:textFill>
            <w14:solidFill>
              <w14:schemeClr w14:val="tx1"/>
            </w14:solidFill>
          </w14:textFill>
        </w:rPr>
        <w:t>的中标供应商，将依法采取分包方式履行合同。</w:t>
      </w: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14:textFill>
            <w14:solidFill>
              <w14:schemeClr w14:val="tx1"/>
            </w14:solidFill>
          </w14:textFill>
        </w:rPr>
        <w:t>与</w:t>
      </w:r>
      <w:r>
        <w:rPr>
          <w:rFonts w:hint="eastAsia" w:ascii="宋体" w:hAnsi="宋体" w:eastAsia="宋体" w:cs="宋体"/>
          <w:color w:val="000000" w:themeColor="text1"/>
          <w:u w:val="single"/>
          <w14:textFill>
            <w14:solidFill>
              <w14:schemeClr w14:val="tx1"/>
            </w14:solidFill>
          </w14:textFill>
        </w:rPr>
        <w:t>（所有分包供应商名称）</w:t>
      </w:r>
      <w:r>
        <w:rPr>
          <w:rFonts w:hint="eastAsia" w:ascii="宋体" w:hAnsi="宋体" w:eastAsia="宋体" w:cs="宋体"/>
          <w:color w:val="000000" w:themeColor="text1"/>
          <w14:textFill>
            <w14:solidFill>
              <w14:schemeClr w14:val="tx1"/>
            </w14:solidFill>
          </w14:textFill>
        </w:rPr>
        <w:t>达成分包意向协议</w:t>
      </w:r>
      <w:r>
        <w:rPr>
          <w:rFonts w:hint="eastAsia" w:ascii="宋体" w:hAnsi="宋体" w:eastAsia="宋体" w:cs="宋体"/>
          <w:color w:val="000000" w:themeColor="text1"/>
          <w:lang w:val="zh-CN"/>
          <w14:textFill>
            <w14:solidFill>
              <w14:schemeClr w14:val="tx1"/>
            </w14:solidFill>
          </w14:textFill>
        </w:rPr>
        <w:t xml:space="preserve">。 </w:t>
      </w:r>
    </w:p>
    <w:p w14:paraId="643E50F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一、分包标的及数量</w:t>
      </w:r>
    </w:p>
    <w:p w14:paraId="649ED00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（供应商名称）</w:t>
      </w:r>
      <w:r>
        <w:rPr>
          <w:rFonts w:hint="eastAsia" w:ascii="宋体" w:hAnsi="宋体" w:eastAsia="宋体" w:cs="宋体"/>
          <w:color w:val="000000" w:themeColor="text1"/>
          <w:lang w:val="zh-CN"/>
          <w14:textFill>
            <w14:solidFill>
              <w14:schemeClr w14:val="tx1"/>
            </w14:solidFill>
          </w14:textFill>
        </w:rPr>
        <w:t>将</w:t>
      </w:r>
      <w:r>
        <w:rPr>
          <w:rFonts w:hint="eastAsia" w:ascii="宋体" w:hAnsi="宋体" w:eastAsia="宋体" w:cs="宋体"/>
          <w:color w:val="000000" w:themeColor="text1"/>
          <w:u w:val="single"/>
          <w14:textFill>
            <w14:solidFill>
              <w14:schemeClr w14:val="tx1"/>
            </w14:solidFill>
          </w14:textFill>
        </w:rPr>
        <w:t xml:space="preserve">   XX工作内容   </w:t>
      </w:r>
      <w:r>
        <w:rPr>
          <w:rFonts w:hint="eastAsia" w:ascii="宋体" w:hAnsi="宋体" w:eastAsia="宋体" w:cs="宋体"/>
          <w:color w:val="000000" w:themeColor="text1"/>
          <w14:textFill>
            <w14:solidFill>
              <w14:schemeClr w14:val="tx1"/>
            </w14:solidFill>
          </w14:textFill>
        </w:rPr>
        <w:t>分包给</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u w:val="single"/>
          <w14:textFill>
            <w14:solidFill>
              <w14:schemeClr w14:val="tx1"/>
            </w14:solidFill>
          </w14:textFill>
        </w:rPr>
        <w:t>（某分包供应商名称），</w:t>
      </w:r>
      <w:r>
        <w:rPr>
          <w:rFonts w:hint="eastAsia" w:ascii="宋体" w:hAnsi="宋体" w:eastAsia="宋体" w:cs="宋体"/>
          <w:color w:val="000000" w:themeColor="text1"/>
          <w:lang w:val="zh-CN"/>
          <w14:textFill>
            <w14:solidFill>
              <w14:schemeClr w14:val="tx1"/>
            </w14:solidFill>
          </w14:textFill>
        </w:rPr>
        <w:t>具备承</w:t>
      </w:r>
      <w:r>
        <w:rPr>
          <w:rFonts w:hint="eastAsia" w:ascii="宋体" w:hAnsi="宋体" w:eastAsia="宋体" w:cs="宋体"/>
          <w:color w:val="000000" w:themeColor="text1"/>
          <w14:textFill>
            <w14:solidFill>
              <w14:schemeClr w14:val="tx1"/>
            </w14:solidFill>
          </w14:textFill>
        </w:rPr>
        <w:t>担</w:t>
      </w:r>
      <w:r>
        <w:rPr>
          <w:rFonts w:hint="eastAsia" w:ascii="宋体" w:hAnsi="宋体" w:eastAsia="宋体" w:cs="宋体"/>
          <w:color w:val="000000" w:themeColor="text1"/>
          <w:u w:val="single"/>
          <w:lang w:val="zh-CN"/>
          <w14:textFill>
            <w14:solidFill>
              <w14:schemeClr w14:val="tx1"/>
            </w14:solidFill>
          </w14:textFill>
        </w:rPr>
        <w:t>XX工作内容</w:t>
      </w:r>
      <w:r>
        <w:rPr>
          <w:rFonts w:hint="eastAsia" w:ascii="宋体" w:hAnsi="宋体" w:eastAsia="宋体" w:cs="宋体"/>
          <w:color w:val="000000" w:themeColor="text1"/>
          <w:lang w:val="zh-CN"/>
          <w14:textFill>
            <w14:solidFill>
              <w14:schemeClr w14:val="tx1"/>
            </w14:solidFill>
          </w14:textFill>
        </w:rPr>
        <w:t>相应资质条件且不得再次分包；</w:t>
      </w:r>
    </w:p>
    <w:p w14:paraId="1D6F064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48D839A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二、分包工作履行期限、地点、方式</w:t>
      </w:r>
    </w:p>
    <w:p w14:paraId="5094CB34">
      <w:pPr>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17D36CA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三、质量</w:t>
      </w:r>
    </w:p>
    <w:p w14:paraId="4A7262DE">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50BD68A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四、价款或者报酬</w:t>
      </w:r>
    </w:p>
    <w:p w14:paraId="19C6D315">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427C674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五、违约责任</w:t>
      </w:r>
    </w:p>
    <w:p w14:paraId="2354F87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1A8567C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六、争议解决的办法</w:t>
      </w:r>
    </w:p>
    <w:p w14:paraId="40086EA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 xml:space="preserve">                                                                                  </w:t>
      </w:r>
    </w:p>
    <w:p w14:paraId="000F3FF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七、其他</w:t>
      </w:r>
    </w:p>
    <w:p w14:paraId="4A0547EB">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（分包供应商名称）提供的货物全部由小微企业制造，</w:t>
      </w:r>
      <w:r>
        <w:rPr>
          <w:rFonts w:hint="eastAsia" w:ascii="宋体" w:hAnsi="宋体" w:eastAsia="宋体" w:cs="宋体"/>
          <w:color w:val="000000" w:themeColor="text1"/>
          <w14:textFill>
            <w14:solidFill>
              <w14:schemeClr w14:val="tx1"/>
            </w14:solidFill>
          </w14:textFill>
        </w:rPr>
        <w:t>其合同份额占到合同总金额</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%以上。</w:t>
      </w:r>
      <w:r>
        <w:rPr>
          <w:rFonts w:hint="eastAsia" w:ascii="宋体" w:hAnsi="宋体" w:eastAsia="宋体" w:cs="宋体"/>
          <w:color w:val="000000" w:themeColor="text1"/>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35923B3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供应商名称(电子签名)：</w:t>
      </w:r>
    </w:p>
    <w:p w14:paraId="2321D9EE">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分包供应商名称：</w:t>
      </w:r>
    </w:p>
    <w:p w14:paraId="661D849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                                               日期：  年  月   日</w:t>
      </w:r>
    </w:p>
    <w:p w14:paraId="16A8A34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07151AAD">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14:paraId="1A40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36BBD15">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4140" w:type="dxa"/>
            <w:vAlign w:val="center"/>
          </w:tcPr>
          <w:p w14:paraId="78E7C02F">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实质性要求</w:t>
            </w:r>
          </w:p>
        </w:tc>
        <w:tc>
          <w:tcPr>
            <w:tcW w:w="2410" w:type="dxa"/>
            <w:vAlign w:val="center"/>
          </w:tcPr>
          <w:p w14:paraId="10C99EBF">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需要提供的符合性审查资料</w:t>
            </w:r>
          </w:p>
        </w:tc>
        <w:tc>
          <w:tcPr>
            <w:tcW w:w="1701" w:type="dxa"/>
            <w:vAlign w:val="center"/>
          </w:tcPr>
          <w:p w14:paraId="4825C1C7">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响应文件中的</w:t>
            </w:r>
          </w:p>
          <w:p w14:paraId="3947E682">
            <w:pPr>
              <w:snapToGrid w:val="0"/>
              <w:spacing w:line="240" w:lineRule="atLeast"/>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页码位置</w:t>
            </w:r>
          </w:p>
        </w:tc>
      </w:tr>
      <w:tr w14:paraId="49F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55FFB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140" w:type="dxa"/>
          </w:tcPr>
          <w:p w14:paraId="3D2B4DF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响应文件按照交易文件要求签署、盖章。</w:t>
            </w:r>
          </w:p>
        </w:tc>
        <w:tc>
          <w:tcPr>
            <w:tcW w:w="2410" w:type="dxa"/>
            <w:vAlign w:val="center"/>
          </w:tcPr>
          <w:p w14:paraId="3D86879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需要使用电子签名或者签字盖章的响应文件的组成部分</w:t>
            </w:r>
          </w:p>
        </w:tc>
        <w:tc>
          <w:tcPr>
            <w:tcW w:w="1701" w:type="dxa"/>
          </w:tcPr>
          <w:p w14:paraId="11496338">
            <w:pPr>
              <w:rPr>
                <w:rFonts w:hint="eastAsia" w:ascii="宋体" w:hAnsi="宋体" w:eastAsia="宋体" w:cs="宋体"/>
                <w:color w:val="000000" w:themeColor="text1"/>
                <w14:textFill>
                  <w14:solidFill>
                    <w14:schemeClr w14:val="tx1"/>
                  </w14:solidFill>
                </w14:textFill>
              </w:rPr>
            </w:pPr>
          </w:p>
          <w:p w14:paraId="5E05E11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见响应文件</w:t>
            </w:r>
          </w:p>
          <w:p w14:paraId="5C7B5D4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14:paraId="2949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F64EC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4140" w:type="dxa"/>
          </w:tcPr>
          <w:p w14:paraId="7A3F7F0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采购人拟采购的产品属于政府强制采购的节能产品品目清单范围的，供应商按交易文件要求提供国家确定的认证机构出具的、处于有效期之内的节能产品认证证书。</w:t>
            </w:r>
          </w:p>
        </w:tc>
        <w:tc>
          <w:tcPr>
            <w:tcW w:w="2410" w:type="dxa"/>
            <w:vAlign w:val="center"/>
          </w:tcPr>
          <w:p w14:paraId="6B2872C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节能产品认证证书（本项目拟采购的产品不属于政府强制采购的节能产品品目清单范围的，无需提供）</w:t>
            </w:r>
          </w:p>
        </w:tc>
        <w:tc>
          <w:tcPr>
            <w:tcW w:w="1701" w:type="dxa"/>
          </w:tcPr>
          <w:p w14:paraId="02FAC379">
            <w:pPr>
              <w:rPr>
                <w:rFonts w:hint="eastAsia" w:ascii="宋体" w:hAnsi="宋体" w:eastAsia="宋体" w:cs="宋体"/>
                <w:color w:val="000000" w:themeColor="text1"/>
                <w14:textFill>
                  <w14:solidFill>
                    <w14:schemeClr w14:val="tx1"/>
                  </w14:solidFill>
                </w14:textFill>
              </w:rPr>
            </w:pPr>
          </w:p>
          <w:p w14:paraId="3EC02D6E">
            <w:pPr>
              <w:rPr>
                <w:rFonts w:hint="eastAsia" w:ascii="宋体" w:hAnsi="宋体" w:eastAsia="宋体" w:cs="宋体"/>
                <w:color w:val="000000" w:themeColor="text1"/>
                <w14:textFill>
                  <w14:solidFill>
                    <w14:schemeClr w14:val="tx1"/>
                  </w14:solidFill>
                </w14:textFill>
              </w:rPr>
            </w:pPr>
          </w:p>
          <w:p w14:paraId="61FCA84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见响应文件</w:t>
            </w:r>
          </w:p>
          <w:p w14:paraId="36A2A20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14:paraId="68D8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13E5A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4140" w:type="dxa"/>
          </w:tcPr>
          <w:p w14:paraId="5EFB5C8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响应文件中承诺的投标有效期不少于交易文件中载明的投标有效期。</w:t>
            </w:r>
          </w:p>
        </w:tc>
        <w:tc>
          <w:tcPr>
            <w:tcW w:w="2410" w:type="dxa"/>
            <w:vAlign w:val="center"/>
          </w:tcPr>
          <w:p w14:paraId="50B3357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投标函</w:t>
            </w:r>
          </w:p>
        </w:tc>
        <w:tc>
          <w:tcPr>
            <w:tcW w:w="1701" w:type="dxa"/>
          </w:tcPr>
          <w:p w14:paraId="2C3D71D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见响应文件第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r w14:paraId="1CE6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64E4C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4140" w:type="dxa"/>
          </w:tcPr>
          <w:p w14:paraId="796511A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响应文件满足交易文件的其它实质性要求。</w:t>
            </w:r>
          </w:p>
        </w:tc>
        <w:tc>
          <w:tcPr>
            <w:tcW w:w="2410" w:type="dxa"/>
            <w:vAlign w:val="center"/>
          </w:tcPr>
          <w:p w14:paraId="2FF702E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交易文件其它实质性要求相应的材料（“▲” 系指实质性要求条款，交易文件无其它实质性要求的，无需提供）</w:t>
            </w:r>
          </w:p>
        </w:tc>
        <w:tc>
          <w:tcPr>
            <w:tcW w:w="1701" w:type="dxa"/>
          </w:tcPr>
          <w:p w14:paraId="16903E3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见响应文件第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页</w:t>
            </w:r>
          </w:p>
        </w:tc>
      </w:tr>
    </w:tbl>
    <w:p w14:paraId="450F804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1C8DBAF2">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59B833A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六、评标标准相应的商务技术资料</w:t>
      </w:r>
    </w:p>
    <w:p w14:paraId="62356188">
      <w:pPr>
        <w:snapToGrid w:val="0"/>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（按交易文件第四部分评标办法前附表中“响应文件中评标标准相应的商务技术资料目录”提供资料。）</w:t>
      </w:r>
    </w:p>
    <w:p w14:paraId="26C14BF9">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14:paraId="26F980C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959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0F68F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8AA5E0A">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9568D3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0153D1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B23D2F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C1F419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74CAD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14:paraId="2934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399B7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8E1C2B">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53C0AA6">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45F6E57">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8FFF353">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2F0BC33">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7536D41">
            <w:pPr>
              <w:rPr>
                <w:rFonts w:hint="eastAsia" w:ascii="宋体" w:hAnsi="宋体" w:eastAsia="宋体" w:cs="宋体"/>
                <w:color w:val="000000" w:themeColor="text1"/>
                <w14:textFill>
                  <w14:solidFill>
                    <w14:schemeClr w14:val="tx1"/>
                  </w14:solidFill>
                </w14:textFill>
              </w:rPr>
            </w:pPr>
          </w:p>
        </w:tc>
      </w:tr>
      <w:tr w14:paraId="5F0B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B8EF2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DE2927B">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430FE0D">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64A41A7">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6BCC3A6">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380ACDB">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EC59834">
            <w:pPr>
              <w:rPr>
                <w:rFonts w:hint="eastAsia" w:ascii="宋体" w:hAnsi="宋体" w:eastAsia="宋体" w:cs="宋体"/>
                <w:color w:val="000000" w:themeColor="text1"/>
                <w14:textFill>
                  <w14:solidFill>
                    <w14:schemeClr w14:val="tx1"/>
                  </w14:solidFill>
                </w14:textFill>
              </w:rPr>
            </w:pPr>
          </w:p>
        </w:tc>
      </w:tr>
      <w:tr w14:paraId="646B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74F8C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177CB177">
            <w:pPr>
              <w:rPr>
                <w:rFonts w:hint="eastAsia" w:ascii="宋体" w:hAnsi="宋体" w:eastAsia="宋体" w:cs="宋体"/>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C4C8626">
            <w:pPr>
              <w:rPr>
                <w:rFonts w:hint="eastAsia" w:ascii="宋体" w:hAnsi="宋体" w:eastAsia="宋体" w:cs="宋体"/>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F56C341">
            <w:pPr>
              <w:rPr>
                <w:rFonts w:hint="eastAsia" w:ascii="宋体" w:hAnsi="宋体" w:eastAsia="宋体" w:cs="宋体"/>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04F75FF">
            <w:pPr>
              <w:rPr>
                <w:rFonts w:hint="eastAsia" w:ascii="宋体" w:hAnsi="宋体" w:eastAsia="宋体" w:cs="宋体"/>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E1136D9">
            <w:pPr>
              <w:rPr>
                <w:rFonts w:hint="eastAsia" w:ascii="宋体" w:hAnsi="宋体" w:eastAsia="宋体" w:cs="宋体"/>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CE0BF69">
            <w:pPr>
              <w:rPr>
                <w:rFonts w:hint="eastAsia" w:ascii="宋体" w:hAnsi="宋体" w:eastAsia="宋体" w:cs="宋体"/>
                <w:color w:val="000000" w:themeColor="text1"/>
                <w14:textFill>
                  <w14:solidFill>
                    <w14:schemeClr w14:val="tx1"/>
                  </w14:solidFill>
                </w14:textFill>
              </w:rPr>
            </w:pPr>
          </w:p>
        </w:tc>
      </w:tr>
    </w:tbl>
    <w:p w14:paraId="63B0078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7D5426B7">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292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E3CE5D">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3683" w:type="dxa"/>
          </w:tcPr>
          <w:p w14:paraId="48C99810">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交易文件章节及具体内容</w:t>
            </w:r>
          </w:p>
        </w:tc>
        <w:tc>
          <w:tcPr>
            <w:tcW w:w="3546" w:type="dxa"/>
          </w:tcPr>
          <w:p w14:paraId="5E760C66">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响应文件章节及具体内容</w:t>
            </w:r>
          </w:p>
        </w:tc>
        <w:tc>
          <w:tcPr>
            <w:tcW w:w="1276" w:type="dxa"/>
          </w:tcPr>
          <w:p w14:paraId="33DDAF6B">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偏离说明</w:t>
            </w:r>
          </w:p>
        </w:tc>
      </w:tr>
      <w:tr w14:paraId="343C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79E73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3683" w:type="dxa"/>
          </w:tcPr>
          <w:p w14:paraId="018AF3F0">
            <w:pPr>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1A7438C3">
            <w:pPr>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4F708D7F">
            <w:pPr>
              <w:jc w:val="center"/>
              <w:rPr>
                <w:rFonts w:hint="eastAsia" w:ascii="宋体" w:hAnsi="宋体" w:eastAsia="宋体" w:cs="宋体"/>
                <w:b/>
                <w:color w:val="000000" w:themeColor="text1"/>
                <w:sz w:val="32"/>
                <w:szCs w:val="32"/>
                <w14:textFill>
                  <w14:solidFill>
                    <w14:schemeClr w14:val="tx1"/>
                  </w14:solidFill>
                </w14:textFill>
              </w:rPr>
            </w:pPr>
          </w:p>
        </w:tc>
      </w:tr>
      <w:tr w14:paraId="2E0D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21106C">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3683" w:type="dxa"/>
          </w:tcPr>
          <w:p w14:paraId="3278A334">
            <w:pPr>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0C0A9EC5">
            <w:pPr>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2A11F7C3">
            <w:pPr>
              <w:jc w:val="center"/>
              <w:rPr>
                <w:rFonts w:hint="eastAsia" w:ascii="宋体" w:hAnsi="宋体" w:eastAsia="宋体" w:cs="宋体"/>
                <w:b/>
                <w:color w:val="000000" w:themeColor="text1"/>
                <w:sz w:val="32"/>
                <w:szCs w:val="32"/>
                <w14:textFill>
                  <w14:solidFill>
                    <w14:schemeClr w14:val="tx1"/>
                  </w14:solidFill>
                </w14:textFill>
              </w:rPr>
            </w:pPr>
          </w:p>
        </w:tc>
      </w:tr>
      <w:tr w14:paraId="5933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B01DD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3683" w:type="dxa"/>
          </w:tcPr>
          <w:p w14:paraId="1D46DBBD">
            <w:pPr>
              <w:jc w:val="center"/>
              <w:rPr>
                <w:rFonts w:hint="eastAsia" w:ascii="宋体" w:hAnsi="宋体" w:eastAsia="宋体" w:cs="宋体"/>
                <w:b/>
                <w:color w:val="000000" w:themeColor="text1"/>
                <w:sz w:val="32"/>
                <w:szCs w:val="32"/>
                <w14:textFill>
                  <w14:solidFill>
                    <w14:schemeClr w14:val="tx1"/>
                  </w14:solidFill>
                </w14:textFill>
              </w:rPr>
            </w:pPr>
          </w:p>
        </w:tc>
        <w:tc>
          <w:tcPr>
            <w:tcW w:w="3546" w:type="dxa"/>
          </w:tcPr>
          <w:p w14:paraId="7B8509B0">
            <w:pPr>
              <w:jc w:val="center"/>
              <w:rPr>
                <w:rFonts w:hint="eastAsia" w:ascii="宋体" w:hAnsi="宋体" w:eastAsia="宋体" w:cs="宋体"/>
                <w:b/>
                <w:color w:val="000000" w:themeColor="text1"/>
                <w:sz w:val="32"/>
                <w:szCs w:val="32"/>
                <w14:textFill>
                  <w14:solidFill>
                    <w14:schemeClr w14:val="tx1"/>
                  </w14:solidFill>
                </w14:textFill>
              </w:rPr>
            </w:pPr>
          </w:p>
        </w:tc>
        <w:tc>
          <w:tcPr>
            <w:tcW w:w="1276" w:type="dxa"/>
          </w:tcPr>
          <w:p w14:paraId="27A8A575">
            <w:pPr>
              <w:jc w:val="center"/>
              <w:rPr>
                <w:rFonts w:hint="eastAsia" w:ascii="宋体" w:hAnsi="宋体" w:eastAsia="宋体" w:cs="宋体"/>
                <w:b/>
                <w:color w:val="000000" w:themeColor="text1"/>
                <w:sz w:val="32"/>
                <w:szCs w:val="32"/>
                <w14:textFill>
                  <w14:solidFill>
                    <w14:schemeClr w14:val="tx1"/>
                  </w14:solidFill>
                </w14:textFill>
              </w:rPr>
            </w:pPr>
          </w:p>
        </w:tc>
      </w:tr>
    </w:tbl>
    <w:p w14:paraId="21F0D85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供应商保证：除商务技术偏离表列出的偏离外，供应商响应交易文件的全部要求</w:t>
      </w:r>
    </w:p>
    <w:p w14:paraId="62643517">
      <w:pPr>
        <w:spacing w:line="360" w:lineRule="auto"/>
        <w:ind w:right="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0F58E971">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14:paraId="7EFD6074">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政府采购供应商廉洁自律承诺书</w:t>
      </w:r>
    </w:p>
    <w:p w14:paraId="149CAE6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6971C4E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我单位响应你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项目招标要求参加投标。在这次投标过程中和中标后，我们将严格遵守国家法律法规要求，并郑重承诺：</w:t>
      </w:r>
    </w:p>
    <w:p w14:paraId="6A3F1C51">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一、不向项目有关人员及部门赠送礼金礼物、有价证券、回扣以及中介费、介绍费、咨询费等好处费； </w:t>
      </w:r>
    </w:p>
    <w:p w14:paraId="3B2D177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二、不为项目有关人员及部门报销应由你方单位或个人支付的费用； </w:t>
      </w:r>
    </w:p>
    <w:p w14:paraId="53957BE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三、不向项目有关人员及部门提供有可能影响公正的宴请和健身娱乐等活动； </w:t>
      </w:r>
    </w:p>
    <w:p w14:paraId="14F124D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四、不为项目有关人员及部门出国（境）、旅游等提供方便；</w:t>
      </w:r>
    </w:p>
    <w:p w14:paraId="5F8A456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五、不为项目有关人员个人装修住房、婚丧嫁娶、配偶子女工作安排等提供</w:t>
      </w:r>
    </w:p>
    <w:p w14:paraId="5761033A">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好处；</w:t>
      </w:r>
    </w:p>
    <w:p w14:paraId="1B184C60">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六、严格遵守《中华人民共和国政府采购法》《中华人民共和国招标投标</w:t>
      </w:r>
    </w:p>
    <w:p w14:paraId="3143517D">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法》《中华人民共和国民法典》等法律法规，诚实守信，合法经营，坚决抵制各种违法违纪行为。 </w:t>
      </w:r>
    </w:p>
    <w:p w14:paraId="10376664">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如违反上述承诺，你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val="zh-CN"/>
          <w14:textFill>
            <w14:solidFill>
              <w14:schemeClr w14:val="tx1"/>
            </w14:solidFill>
          </w14:textFill>
        </w:rPr>
        <w:t>进行项目建设或其他经营活动，并通报市财政局。由此引起的相应损失均由我单位承担。</w:t>
      </w:r>
    </w:p>
    <w:p w14:paraId="2C4C1CEE">
      <w:pPr>
        <w:rPr>
          <w:rFonts w:hint="eastAsia" w:ascii="宋体" w:hAnsi="宋体" w:eastAsia="宋体" w:cs="宋体"/>
          <w:color w:val="000000" w:themeColor="text1"/>
          <w:lang w:val="zh-CN"/>
          <w14:textFill>
            <w14:solidFill>
              <w14:schemeClr w14:val="tx1"/>
            </w14:solidFill>
          </w14:textFill>
        </w:rPr>
      </w:pPr>
    </w:p>
    <w:p w14:paraId="342B1C03">
      <w:pPr>
        <w:rPr>
          <w:rFonts w:hint="eastAsia" w:ascii="宋体" w:hAnsi="宋体" w:eastAsia="宋体" w:cs="宋体"/>
          <w:color w:val="000000" w:themeColor="text1"/>
          <w:lang w:val="zh-CN"/>
          <w14:textFill>
            <w14:solidFill>
              <w14:schemeClr w14:val="tx1"/>
            </w14:solidFill>
          </w14:textFill>
        </w:rPr>
      </w:pPr>
    </w:p>
    <w:p w14:paraId="6075AA27">
      <w:pPr>
        <w:jc w:val="right"/>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供应商名称（</w:t>
      </w:r>
      <w:r>
        <w:rPr>
          <w:rFonts w:hint="eastAsia" w:ascii="宋体" w:hAnsi="宋体" w:eastAsia="宋体" w:cs="宋体"/>
          <w:color w:val="000000" w:themeColor="text1"/>
          <w14:textFill>
            <w14:solidFill>
              <w14:schemeClr w14:val="tx1"/>
            </w14:solidFill>
          </w14:textFill>
        </w:rPr>
        <w:t>电子签名</w:t>
      </w:r>
      <w:r>
        <w:rPr>
          <w:rFonts w:hint="eastAsia" w:ascii="宋体" w:hAnsi="宋体" w:eastAsia="宋体" w:cs="宋体"/>
          <w:color w:val="000000" w:themeColor="text1"/>
          <w:lang w:val="zh-CN"/>
          <w14:textFill>
            <w14:solidFill>
              <w14:schemeClr w14:val="tx1"/>
            </w14:solidFill>
          </w14:textFill>
        </w:rPr>
        <w:t xml:space="preserve">）： </w:t>
      </w:r>
    </w:p>
    <w:p w14:paraId="3F1ACAEC">
      <w:pPr>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日期</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zh-CN"/>
          <w14:textFill>
            <w14:solidFill>
              <w14:schemeClr w14:val="tx1"/>
            </w14:solidFill>
          </w14:textFill>
        </w:rPr>
        <w:t xml:space="preserve">   年   月   日</w:t>
      </w:r>
    </w:p>
    <w:p w14:paraId="2ECA4F42">
      <w:pPr>
        <w:rPr>
          <w:rFonts w:hint="eastAsia" w:ascii="宋体" w:hAnsi="宋体" w:eastAsia="宋体" w:cs="宋体"/>
          <w:b/>
          <w:bCs/>
          <w:color w:val="000000" w:themeColor="text1"/>
          <w14:textFill>
            <w14:solidFill>
              <w14:schemeClr w14:val="tx1"/>
            </w14:solidFill>
          </w14:textFill>
        </w:rPr>
      </w:pPr>
    </w:p>
    <w:p w14:paraId="0CE340F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注：按本格式和要求提供。</w:t>
      </w:r>
    </w:p>
    <w:p w14:paraId="2DB72D50">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227507B">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报价文件部分</w:t>
      </w:r>
    </w:p>
    <w:p w14:paraId="1281345B">
      <w:pPr>
        <w:jc w:val="center"/>
        <w:rPr>
          <w:rFonts w:hint="eastAsia" w:ascii="宋体" w:hAnsi="宋体" w:eastAsia="宋体" w:cs="宋体"/>
          <w:color w:val="000000" w:themeColor="text1"/>
          <w:sz w:val="40"/>
          <w14:textFill>
            <w14:solidFill>
              <w14:schemeClr w14:val="tx1"/>
            </w14:solidFill>
          </w14:textFill>
        </w:rPr>
      </w:pPr>
      <w:r>
        <w:rPr>
          <w:rFonts w:hint="eastAsia" w:ascii="宋体" w:hAnsi="宋体" w:eastAsia="宋体" w:cs="宋体"/>
          <w:color w:val="000000" w:themeColor="text1"/>
          <w:sz w:val="40"/>
          <w14:textFill>
            <w14:solidFill>
              <w14:schemeClr w14:val="tx1"/>
            </w14:solidFill>
          </w14:textFill>
        </w:rPr>
        <w:t>目录</w:t>
      </w:r>
    </w:p>
    <w:p w14:paraId="17915F8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（1）开标一览表（报价表）…………………………………………………（页码）</w:t>
      </w:r>
    </w:p>
    <w:p w14:paraId="3CC5CEEE">
      <w:pPr>
        <w:snapToGrid w:val="0"/>
        <w:spacing w:line="360" w:lineRule="auto"/>
        <w:ind w:right="480"/>
        <w:jc w:val="center"/>
        <w:rPr>
          <w:rFonts w:hint="eastAsia" w:ascii="宋体" w:hAnsi="宋体" w:eastAsia="宋体" w:cs="宋体"/>
          <w:b/>
          <w:color w:val="000000" w:themeColor="text1"/>
          <w:sz w:val="32"/>
          <w:szCs w:val="32"/>
          <w14:textFill>
            <w14:solidFill>
              <w14:schemeClr w14:val="tx1"/>
            </w14:solidFill>
          </w14:textFill>
        </w:rPr>
      </w:pPr>
    </w:p>
    <w:p w14:paraId="30805482">
      <w:pPr>
        <w:pStyle w:val="77"/>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headerReference r:id="rId5" w:type="default"/>
          <w:pgSz w:w="11906" w:h="16838"/>
          <w:pgMar w:top="1440" w:right="1700" w:bottom="1440" w:left="1800" w:header="851" w:footer="992" w:gutter="0"/>
          <w:cols w:space="425" w:num="1"/>
          <w:docGrid w:type="lines" w:linePitch="312" w:charSpace="0"/>
        </w:sectPr>
      </w:pPr>
    </w:p>
    <w:p w14:paraId="3B0B740F">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一、开标一览表（报价表）</w:t>
      </w:r>
    </w:p>
    <w:p w14:paraId="3B81D850">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（采购人）、（采购代理机构）</w:t>
      </w:r>
      <w:r>
        <w:rPr>
          <w:rFonts w:hint="eastAsia" w:ascii="宋体" w:hAnsi="宋体" w:eastAsia="宋体" w:cs="宋体"/>
          <w:color w:val="000000" w:themeColor="text1"/>
          <w:lang w:val="zh-CN"/>
          <w14:textFill>
            <w14:solidFill>
              <w14:schemeClr w14:val="tx1"/>
            </w14:solidFill>
          </w14:textFill>
        </w:rPr>
        <w:t>：</w:t>
      </w:r>
    </w:p>
    <w:p w14:paraId="5119E6D5">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按你方交易文件要求，我们，本响应文件签字方，谨此向你方发出要约如下：如你方接受本投标，我方承诺按照如下开标一览表（报价表）的价格完成</w:t>
      </w: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lang w:val="zh-CN"/>
          <w14:textFill>
            <w14:solidFill>
              <w14:schemeClr w14:val="tx1"/>
            </w14:solidFill>
          </w14:textFill>
        </w:rPr>
        <w:t>【招标编号：</w:t>
      </w:r>
      <w:r>
        <w:rPr>
          <w:rFonts w:hint="eastAsia" w:ascii="宋体" w:hAnsi="宋体" w:eastAsia="宋体" w:cs="宋体"/>
          <w:color w:val="000000" w:themeColor="text1"/>
          <w14:textFill>
            <w14:solidFill>
              <w14:schemeClr w14:val="tx1"/>
            </w14:solidFill>
          </w14:textFill>
        </w:rPr>
        <w:t>（采购编号）】的实施</w:t>
      </w:r>
      <w:r>
        <w:rPr>
          <w:rFonts w:hint="eastAsia" w:ascii="宋体" w:hAnsi="宋体" w:eastAsia="宋体" w:cs="宋体"/>
          <w:color w:val="000000" w:themeColor="text1"/>
          <w:lang w:val="zh-CN"/>
          <w14:textFill>
            <w14:solidFill>
              <w14:schemeClr w14:val="tx1"/>
            </w14:solidFill>
          </w14:textFill>
        </w:rPr>
        <w:t>。</w:t>
      </w:r>
    </w:p>
    <w:p w14:paraId="151743EF">
      <w:pPr>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开标一览表（报价表）(单位均为人民币元)</w:t>
      </w:r>
    </w:p>
    <w:tbl>
      <w:tblPr>
        <w:tblStyle w:val="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9FB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FAEA825">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417" w:type="dxa"/>
            <w:vAlign w:val="center"/>
          </w:tcPr>
          <w:p w14:paraId="36C41F00">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名称</w:t>
            </w:r>
          </w:p>
        </w:tc>
        <w:tc>
          <w:tcPr>
            <w:tcW w:w="1843" w:type="dxa"/>
          </w:tcPr>
          <w:p w14:paraId="02DD1AAE">
            <w:pPr>
              <w:rPr>
                <w:rFonts w:hint="eastAsia" w:ascii="宋体" w:hAnsi="宋体" w:eastAsia="宋体" w:cs="宋体"/>
                <w:b/>
                <w:color w:val="000000" w:themeColor="text1"/>
                <w14:textFill>
                  <w14:solidFill>
                    <w14:schemeClr w14:val="tx1"/>
                  </w14:solidFill>
                </w14:textFill>
              </w:rPr>
            </w:pPr>
          </w:p>
          <w:p w14:paraId="2886D69B">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品牌（如果有）</w:t>
            </w:r>
          </w:p>
        </w:tc>
        <w:tc>
          <w:tcPr>
            <w:tcW w:w="3118" w:type="dxa"/>
            <w:vAlign w:val="center"/>
          </w:tcPr>
          <w:p w14:paraId="1EEB7730">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规格型号（或具体服务）</w:t>
            </w:r>
          </w:p>
        </w:tc>
        <w:tc>
          <w:tcPr>
            <w:tcW w:w="993" w:type="dxa"/>
            <w:vAlign w:val="center"/>
          </w:tcPr>
          <w:p w14:paraId="4EE5DC2E">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数量</w:t>
            </w:r>
          </w:p>
        </w:tc>
        <w:tc>
          <w:tcPr>
            <w:tcW w:w="1559" w:type="dxa"/>
            <w:vAlign w:val="center"/>
          </w:tcPr>
          <w:p w14:paraId="306C2243">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单价</w:t>
            </w:r>
          </w:p>
        </w:tc>
        <w:tc>
          <w:tcPr>
            <w:tcW w:w="1984" w:type="dxa"/>
            <w:vAlign w:val="center"/>
          </w:tcPr>
          <w:p w14:paraId="4E166B48">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总价</w:t>
            </w:r>
          </w:p>
        </w:tc>
        <w:tc>
          <w:tcPr>
            <w:tcW w:w="3119" w:type="dxa"/>
            <w:vAlign w:val="center"/>
          </w:tcPr>
          <w:p w14:paraId="4D1C7399">
            <w:pPr>
              <w:rPr>
                <w:rFonts w:hint="eastAsia" w:ascii="宋体" w:hAnsi="宋体" w:eastAsia="宋体" w:cs="宋体"/>
                <w:b/>
                <w:color w:val="000000" w:themeColor="text1"/>
                <w14:textFill>
                  <w14:solidFill>
                    <w14:schemeClr w14:val="tx1"/>
                  </w14:solidFill>
                </w14:textFill>
              </w:rPr>
            </w:pPr>
          </w:p>
          <w:p w14:paraId="16282FA2">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质保或服务年限</w:t>
            </w:r>
          </w:p>
          <w:p w14:paraId="6AE515D8">
            <w:pPr>
              <w:rPr>
                <w:rFonts w:hint="eastAsia" w:ascii="宋体" w:hAnsi="宋体" w:eastAsia="宋体" w:cs="宋体"/>
                <w:b/>
                <w:color w:val="000000" w:themeColor="text1"/>
                <w14:textFill>
                  <w14:solidFill>
                    <w14:schemeClr w14:val="tx1"/>
                  </w14:solidFill>
                </w14:textFill>
              </w:rPr>
            </w:pPr>
          </w:p>
        </w:tc>
      </w:tr>
      <w:tr w14:paraId="3103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4D862C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417" w:type="dxa"/>
            <w:vAlign w:val="center"/>
          </w:tcPr>
          <w:p w14:paraId="69A017B2">
            <w:pPr>
              <w:rPr>
                <w:rFonts w:hint="eastAsia" w:ascii="宋体" w:hAnsi="宋体" w:eastAsia="宋体" w:cs="宋体"/>
                <w:color w:val="000000" w:themeColor="text1"/>
                <w14:textFill>
                  <w14:solidFill>
                    <w14:schemeClr w14:val="tx1"/>
                  </w14:solidFill>
                </w14:textFill>
              </w:rPr>
            </w:pPr>
          </w:p>
        </w:tc>
        <w:tc>
          <w:tcPr>
            <w:tcW w:w="1843" w:type="dxa"/>
            <w:vAlign w:val="center"/>
          </w:tcPr>
          <w:p w14:paraId="320253BA">
            <w:pPr>
              <w:rPr>
                <w:rFonts w:hint="eastAsia" w:ascii="宋体" w:hAnsi="宋体" w:eastAsia="宋体" w:cs="宋体"/>
                <w:color w:val="000000" w:themeColor="text1"/>
                <w14:textFill>
                  <w14:solidFill>
                    <w14:schemeClr w14:val="tx1"/>
                  </w14:solidFill>
                </w14:textFill>
              </w:rPr>
            </w:pPr>
          </w:p>
        </w:tc>
        <w:tc>
          <w:tcPr>
            <w:tcW w:w="3118" w:type="dxa"/>
            <w:vAlign w:val="center"/>
          </w:tcPr>
          <w:p w14:paraId="313B63BD">
            <w:pPr>
              <w:rPr>
                <w:rFonts w:hint="eastAsia" w:ascii="宋体" w:hAnsi="宋体" w:eastAsia="宋体" w:cs="宋体"/>
                <w:color w:val="000000" w:themeColor="text1"/>
                <w14:textFill>
                  <w14:solidFill>
                    <w14:schemeClr w14:val="tx1"/>
                  </w14:solidFill>
                </w14:textFill>
              </w:rPr>
            </w:pPr>
          </w:p>
        </w:tc>
        <w:tc>
          <w:tcPr>
            <w:tcW w:w="993" w:type="dxa"/>
            <w:vAlign w:val="center"/>
          </w:tcPr>
          <w:p w14:paraId="584082C5">
            <w:pPr>
              <w:rPr>
                <w:rFonts w:hint="eastAsia" w:ascii="宋体" w:hAnsi="宋体" w:eastAsia="宋体" w:cs="宋体"/>
                <w:color w:val="000000" w:themeColor="text1"/>
                <w14:textFill>
                  <w14:solidFill>
                    <w14:schemeClr w14:val="tx1"/>
                  </w14:solidFill>
                </w14:textFill>
              </w:rPr>
            </w:pPr>
          </w:p>
        </w:tc>
        <w:tc>
          <w:tcPr>
            <w:tcW w:w="1559" w:type="dxa"/>
            <w:vAlign w:val="center"/>
          </w:tcPr>
          <w:p w14:paraId="64FBBDFA">
            <w:pPr>
              <w:rPr>
                <w:rFonts w:hint="eastAsia" w:ascii="宋体" w:hAnsi="宋体" w:eastAsia="宋体" w:cs="宋体"/>
                <w:color w:val="000000" w:themeColor="text1"/>
                <w14:textFill>
                  <w14:solidFill>
                    <w14:schemeClr w14:val="tx1"/>
                  </w14:solidFill>
                </w14:textFill>
              </w:rPr>
            </w:pPr>
          </w:p>
        </w:tc>
        <w:tc>
          <w:tcPr>
            <w:tcW w:w="1984" w:type="dxa"/>
            <w:vAlign w:val="center"/>
          </w:tcPr>
          <w:p w14:paraId="621A7D60">
            <w:pPr>
              <w:rPr>
                <w:rFonts w:hint="eastAsia" w:ascii="宋体" w:hAnsi="宋体" w:eastAsia="宋体" w:cs="宋体"/>
                <w:color w:val="000000" w:themeColor="text1"/>
                <w14:textFill>
                  <w14:solidFill>
                    <w14:schemeClr w14:val="tx1"/>
                  </w14:solidFill>
                </w14:textFill>
              </w:rPr>
            </w:pPr>
          </w:p>
        </w:tc>
        <w:tc>
          <w:tcPr>
            <w:tcW w:w="3119" w:type="dxa"/>
            <w:vAlign w:val="center"/>
          </w:tcPr>
          <w:p w14:paraId="5302CBDF">
            <w:pPr>
              <w:rPr>
                <w:rFonts w:hint="eastAsia" w:ascii="宋体" w:hAnsi="宋体" w:eastAsia="宋体" w:cs="宋体"/>
                <w:color w:val="000000" w:themeColor="text1"/>
                <w14:textFill>
                  <w14:solidFill>
                    <w14:schemeClr w14:val="tx1"/>
                  </w14:solidFill>
                </w14:textFill>
              </w:rPr>
            </w:pPr>
          </w:p>
        </w:tc>
      </w:tr>
      <w:tr w14:paraId="4CFE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64FFB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417" w:type="dxa"/>
            <w:vAlign w:val="center"/>
          </w:tcPr>
          <w:p w14:paraId="7FD97E38">
            <w:pPr>
              <w:rPr>
                <w:rFonts w:hint="eastAsia" w:ascii="宋体" w:hAnsi="宋体" w:eastAsia="宋体" w:cs="宋体"/>
                <w:color w:val="000000" w:themeColor="text1"/>
                <w14:textFill>
                  <w14:solidFill>
                    <w14:schemeClr w14:val="tx1"/>
                  </w14:solidFill>
                </w14:textFill>
              </w:rPr>
            </w:pPr>
          </w:p>
        </w:tc>
        <w:tc>
          <w:tcPr>
            <w:tcW w:w="1843" w:type="dxa"/>
            <w:vAlign w:val="center"/>
          </w:tcPr>
          <w:p w14:paraId="46DE7726">
            <w:pPr>
              <w:rPr>
                <w:rFonts w:hint="eastAsia" w:ascii="宋体" w:hAnsi="宋体" w:eastAsia="宋体" w:cs="宋体"/>
                <w:color w:val="000000" w:themeColor="text1"/>
                <w14:textFill>
                  <w14:solidFill>
                    <w14:schemeClr w14:val="tx1"/>
                  </w14:solidFill>
                </w14:textFill>
              </w:rPr>
            </w:pPr>
          </w:p>
        </w:tc>
        <w:tc>
          <w:tcPr>
            <w:tcW w:w="3118" w:type="dxa"/>
            <w:vAlign w:val="center"/>
          </w:tcPr>
          <w:p w14:paraId="0C8CEE83">
            <w:pPr>
              <w:rPr>
                <w:rFonts w:hint="eastAsia" w:ascii="宋体" w:hAnsi="宋体" w:eastAsia="宋体" w:cs="宋体"/>
                <w:color w:val="000000" w:themeColor="text1"/>
                <w14:textFill>
                  <w14:solidFill>
                    <w14:schemeClr w14:val="tx1"/>
                  </w14:solidFill>
                </w14:textFill>
              </w:rPr>
            </w:pPr>
          </w:p>
        </w:tc>
        <w:tc>
          <w:tcPr>
            <w:tcW w:w="993" w:type="dxa"/>
            <w:vAlign w:val="center"/>
          </w:tcPr>
          <w:p w14:paraId="6B173A7B">
            <w:pPr>
              <w:rPr>
                <w:rFonts w:hint="eastAsia" w:ascii="宋体" w:hAnsi="宋体" w:eastAsia="宋体" w:cs="宋体"/>
                <w:color w:val="000000" w:themeColor="text1"/>
                <w14:textFill>
                  <w14:solidFill>
                    <w14:schemeClr w14:val="tx1"/>
                  </w14:solidFill>
                </w14:textFill>
              </w:rPr>
            </w:pPr>
          </w:p>
        </w:tc>
        <w:tc>
          <w:tcPr>
            <w:tcW w:w="1559" w:type="dxa"/>
            <w:vAlign w:val="center"/>
          </w:tcPr>
          <w:p w14:paraId="57457B8D">
            <w:pPr>
              <w:rPr>
                <w:rFonts w:hint="eastAsia" w:ascii="宋体" w:hAnsi="宋体" w:eastAsia="宋体" w:cs="宋体"/>
                <w:color w:val="000000" w:themeColor="text1"/>
                <w14:textFill>
                  <w14:solidFill>
                    <w14:schemeClr w14:val="tx1"/>
                  </w14:solidFill>
                </w14:textFill>
              </w:rPr>
            </w:pPr>
          </w:p>
        </w:tc>
        <w:tc>
          <w:tcPr>
            <w:tcW w:w="1984" w:type="dxa"/>
            <w:vAlign w:val="center"/>
          </w:tcPr>
          <w:p w14:paraId="37446194">
            <w:pPr>
              <w:rPr>
                <w:rFonts w:hint="eastAsia" w:ascii="宋体" w:hAnsi="宋体" w:eastAsia="宋体" w:cs="宋体"/>
                <w:color w:val="000000" w:themeColor="text1"/>
                <w14:textFill>
                  <w14:solidFill>
                    <w14:schemeClr w14:val="tx1"/>
                  </w14:solidFill>
                </w14:textFill>
              </w:rPr>
            </w:pPr>
          </w:p>
        </w:tc>
        <w:tc>
          <w:tcPr>
            <w:tcW w:w="3119" w:type="dxa"/>
            <w:vAlign w:val="center"/>
          </w:tcPr>
          <w:p w14:paraId="6C93D918">
            <w:pPr>
              <w:rPr>
                <w:rFonts w:hint="eastAsia" w:ascii="宋体" w:hAnsi="宋体" w:eastAsia="宋体" w:cs="宋体"/>
                <w:color w:val="000000" w:themeColor="text1"/>
                <w14:textFill>
                  <w14:solidFill>
                    <w14:schemeClr w14:val="tx1"/>
                  </w14:solidFill>
                </w14:textFill>
              </w:rPr>
            </w:pPr>
          </w:p>
        </w:tc>
      </w:tr>
      <w:tr w14:paraId="30E3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EAB03F9">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417" w:type="dxa"/>
            <w:vAlign w:val="center"/>
          </w:tcPr>
          <w:p w14:paraId="4C63C340">
            <w:pPr>
              <w:rPr>
                <w:rFonts w:hint="eastAsia" w:ascii="宋体" w:hAnsi="宋体" w:eastAsia="宋体" w:cs="宋体"/>
                <w:color w:val="000000" w:themeColor="text1"/>
                <w14:textFill>
                  <w14:solidFill>
                    <w14:schemeClr w14:val="tx1"/>
                  </w14:solidFill>
                </w14:textFill>
              </w:rPr>
            </w:pPr>
          </w:p>
        </w:tc>
        <w:tc>
          <w:tcPr>
            <w:tcW w:w="1843" w:type="dxa"/>
            <w:vAlign w:val="center"/>
          </w:tcPr>
          <w:p w14:paraId="5E693F7C">
            <w:pPr>
              <w:rPr>
                <w:rFonts w:hint="eastAsia" w:ascii="宋体" w:hAnsi="宋体" w:eastAsia="宋体" w:cs="宋体"/>
                <w:color w:val="000000" w:themeColor="text1"/>
                <w14:textFill>
                  <w14:solidFill>
                    <w14:schemeClr w14:val="tx1"/>
                  </w14:solidFill>
                </w14:textFill>
              </w:rPr>
            </w:pPr>
          </w:p>
        </w:tc>
        <w:tc>
          <w:tcPr>
            <w:tcW w:w="3118" w:type="dxa"/>
            <w:vAlign w:val="center"/>
          </w:tcPr>
          <w:p w14:paraId="18739CDB">
            <w:pPr>
              <w:rPr>
                <w:rFonts w:hint="eastAsia" w:ascii="宋体" w:hAnsi="宋体" w:eastAsia="宋体" w:cs="宋体"/>
                <w:color w:val="000000" w:themeColor="text1"/>
                <w14:textFill>
                  <w14:solidFill>
                    <w14:schemeClr w14:val="tx1"/>
                  </w14:solidFill>
                </w14:textFill>
              </w:rPr>
            </w:pPr>
          </w:p>
        </w:tc>
        <w:tc>
          <w:tcPr>
            <w:tcW w:w="993" w:type="dxa"/>
            <w:vAlign w:val="center"/>
          </w:tcPr>
          <w:p w14:paraId="42669194">
            <w:pPr>
              <w:rPr>
                <w:rFonts w:hint="eastAsia" w:ascii="宋体" w:hAnsi="宋体" w:eastAsia="宋体" w:cs="宋体"/>
                <w:color w:val="000000" w:themeColor="text1"/>
                <w14:textFill>
                  <w14:solidFill>
                    <w14:schemeClr w14:val="tx1"/>
                  </w14:solidFill>
                </w14:textFill>
              </w:rPr>
            </w:pPr>
          </w:p>
        </w:tc>
        <w:tc>
          <w:tcPr>
            <w:tcW w:w="1559" w:type="dxa"/>
            <w:vAlign w:val="center"/>
          </w:tcPr>
          <w:p w14:paraId="6101ADE4">
            <w:pPr>
              <w:rPr>
                <w:rFonts w:hint="eastAsia" w:ascii="宋体" w:hAnsi="宋体" w:eastAsia="宋体" w:cs="宋体"/>
                <w:color w:val="000000" w:themeColor="text1"/>
                <w14:textFill>
                  <w14:solidFill>
                    <w14:schemeClr w14:val="tx1"/>
                  </w14:solidFill>
                </w14:textFill>
              </w:rPr>
            </w:pPr>
          </w:p>
        </w:tc>
        <w:tc>
          <w:tcPr>
            <w:tcW w:w="1984" w:type="dxa"/>
            <w:vAlign w:val="center"/>
          </w:tcPr>
          <w:p w14:paraId="62704EFC">
            <w:pPr>
              <w:rPr>
                <w:rFonts w:hint="eastAsia" w:ascii="宋体" w:hAnsi="宋体" w:eastAsia="宋体" w:cs="宋体"/>
                <w:color w:val="000000" w:themeColor="text1"/>
                <w14:textFill>
                  <w14:solidFill>
                    <w14:schemeClr w14:val="tx1"/>
                  </w14:solidFill>
                </w14:textFill>
              </w:rPr>
            </w:pPr>
          </w:p>
        </w:tc>
        <w:tc>
          <w:tcPr>
            <w:tcW w:w="3119" w:type="dxa"/>
            <w:vAlign w:val="center"/>
          </w:tcPr>
          <w:p w14:paraId="191A4E19">
            <w:pPr>
              <w:rPr>
                <w:rFonts w:hint="eastAsia" w:ascii="宋体" w:hAnsi="宋体" w:eastAsia="宋体" w:cs="宋体"/>
                <w:color w:val="000000" w:themeColor="text1"/>
                <w14:textFill>
                  <w14:solidFill>
                    <w14:schemeClr w14:val="tx1"/>
                  </w14:solidFill>
                </w14:textFill>
              </w:rPr>
            </w:pPr>
          </w:p>
        </w:tc>
      </w:tr>
      <w:tr w14:paraId="34D4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FD379E">
            <w:pPr>
              <w:rPr>
                <w:rFonts w:hint="eastAsia" w:ascii="宋体" w:hAnsi="宋体" w:eastAsia="宋体" w:cs="宋体"/>
                <w:color w:val="000000" w:themeColor="text1"/>
                <w14:textFill>
                  <w14:solidFill>
                    <w14:schemeClr w14:val="tx1"/>
                  </w14:solidFill>
                </w14:textFill>
              </w:rPr>
            </w:pPr>
          </w:p>
        </w:tc>
        <w:tc>
          <w:tcPr>
            <w:tcW w:w="1417" w:type="dxa"/>
            <w:vAlign w:val="center"/>
          </w:tcPr>
          <w:p w14:paraId="1AFC6EB2">
            <w:pPr>
              <w:rPr>
                <w:rFonts w:hint="eastAsia" w:ascii="宋体" w:hAnsi="宋体" w:eastAsia="宋体" w:cs="宋体"/>
                <w:color w:val="000000" w:themeColor="text1"/>
                <w14:textFill>
                  <w14:solidFill>
                    <w14:schemeClr w14:val="tx1"/>
                  </w14:solidFill>
                </w14:textFill>
              </w:rPr>
            </w:pPr>
          </w:p>
        </w:tc>
        <w:tc>
          <w:tcPr>
            <w:tcW w:w="1843" w:type="dxa"/>
            <w:vAlign w:val="center"/>
          </w:tcPr>
          <w:p w14:paraId="38DED439">
            <w:pPr>
              <w:rPr>
                <w:rFonts w:hint="eastAsia" w:ascii="宋体" w:hAnsi="宋体" w:eastAsia="宋体" w:cs="宋体"/>
                <w:color w:val="000000" w:themeColor="text1"/>
                <w14:textFill>
                  <w14:solidFill>
                    <w14:schemeClr w14:val="tx1"/>
                  </w14:solidFill>
                </w14:textFill>
              </w:rPr>
            </w:pPr>
          </w:p>
        </w:tc>
        <w:tc>
          <w:tcPr>
            <w:tcW w:w="3118" w:type="dxa"/>
            <w:vAlign w:val="center"/>
          </w:tcPr>
          <w:p w14:paraId="2EB8C10D">
            <w:pPr>
              <w:rPr>
                <w:rFonts w:hint="eastAsia" w:ascii="宋体" w:hAnsi="宋体" w:eastAsia="宋体" w:cs="宋体"/>
                <w:color w:val="000000" w:themeColor="text1"/>
                <w14:textFill>
                  <w14:solidFill>
                    <w14:schemeClr w14:val="tx1"/>
                  </w14:solidFill>
                </w14:textFill>
              </w:rPr>
            </w:pPr>
          </w:p>
        </w:tc>
        <w:tc>
          <w:tcPr>
            <w:tcW w:w="993" w:type="dxa"/>
            <w:vAlign w:val="center"/>
          </w:tcPr>
          <w:p w14:paraId="1A1AD82C">
            <w:pPr>
              <w:rPr>
                <w:rFonts w:hint="eastAsia" w:ascii="宋体" w:hAnsi="宋体" w:eastAsia="宋体" w:cs="宋体"/>
                <w:color w:val="000000" w:themeColor="text1"/>
                <w14:textFill>
                  <w14:solidFill>
                    <w14:schemeClr w14:val="tx1"/>
                  </w14:solidFill>
                </w14:textFill>
              </w:rPr>
            </w:pPr>
          </w:p>
        </w:tc>
        <w:tc>
          <w:tcPr>
            <w:tcW w:w="1559" w:type="dxa"/>
            <w:vAlign w:val="center"/>
          </w:tcPr>
          <w:p w14:paraId="6EDC4AF4">
            <w:pPr>
              <w:rPr>
                <w:rFonts w:hint="eastAsia" w:ascii="宋体" w:hAnsi="宋体" w:eastAsia="宋体" w:cs="宋体"/>
                <w:color w:val="000000" w:themeColor="text1"/>
                <w14:textFill>
                  <w14:solidFill>
                    <w14:schemeClr w14:val="tx1"/>
                  </w14:solidFill>
                </w14:textFill>
              </w:rPr>
            </w:pPr>
          </w:p>
        </w:tc>
        <w:tc>
          <w:tcPr>
            <w:tcW w:w="1984" w:type="dxa"/>
            <w:vAlign w:val="center"/>
          </w:tcPr>
          <w:p w14:paraId="2BDD93FC">
            <w:pPr>
              <w:rPr>
                <w:rFonts w:hint="eastAsia" w:ascii="宋体" w:hAnsi="宋体" w:eastAsia="宋体" w:cs="宋体"/>
                <w:color w:val="000000" w:themeColor="text1"/>
                <w14:textFill>
                  <w14:solidFill>
                    <w14:schemeClr w14:val="tx1"/>
                  </w14:solidFill>
                </w14:textFill>
              </w:rPr>
            </w:pPr>
          </w:p>
        </w:tc>
        <w:tc>
          <w:tcPr>
            <w:tcW w:w="3119" w:type="dxa"/>
            <w:vAlign w:val="center"/>
          </w:tcPr>
          <w:p w14:paraId="11D62C2C">
            <w:pPr>
              <w:rPr>
                <w:rFonts w:hint="eastAsia" w:ascii="宋体" w:hAnsi="宋体" w:eastAsia="宋体" w:cs="宋体"/>
                <w:color w:val="000000" w:themeColor="text1"/>
                <w14:textFill>
                  <w14:solidFill>
                    <w14:schemeClr w14:val="tx1"/>
                  </w14:solidFill>
                </w14:textFill>
              </w:rPr>
            </w:pPr>
          </w:p>
        </w:tc>
      </w:tr>
      <w:tr w14:paraId="03F9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FBDCDE">
            <w:pPr>
              <w:rPr>
                <w:rFonts w:hint="eastAsia" w:ascii="宋体" w:hAnsi="宋体" w:eastAsia="宋体" w:cs="宋体"/>
                <w:color w:val="000000" w:themeColor="text1"/>
                <w14:textFill>
                  <w14:solidFill>
                    <w14:schemeClr w14:val="tx1"/>
                  </w14:solidFill>
                </w14:textFill>
              </w:rPr>
            </w:pPr>
          </w:p>
        </w:tc>
        <w:tc>
          <w:tcPr>
            <w:tcW w:w="1417" w:type="dxa"/>
            <w:vAlign w:val="center"/>
          </w:tcPr>
          <w:p w14:paraId="7E2A59DD">
            <w:pPr>
              <w:rPr>
                <w:rFonts w:hint="eastAsia" w:ascii="宋体" w:hAnsi="宋体" w:eastAsia="宋体" w:cs="宋体"/>
                <w:color w:val="000000" w:themeColor="text1"/>
                <w14:textFill>
                  <w14:solidFill>
                    <w14:schemeClr w14:val="tx1"/>
                  </w14:solidFill>
                </w14:textFill>
              </w:rPr>
            </w:pPr>
          </w:p>
        </w:tc>
        <w:tc>
          <w:tcPr>
            <w:tcW w:w="1843" w:type="dxa"/>
            <w:vAlign w:val="center"/>
          </w:tcPr>
          <w:p w14:paraId="4FCBC828">
            <w:pPr>
              <w:rPr>
                <w:rFonts w:hint="eastAsia" w:ascii="宋体" w:hAnsi="宋体" w:eastAsia="宋体" w:cs="宋体"/>
                <w:color w:val="000000" w:themeColor="text1"/>
                <w14:textFill>
                  <w14:solidFill>
                    <w14:schemeClr w14:val="tx1"/>
                  </w14:solidFill>
                </w14:textFill>
              </w:rPr>
            </w:pPr>
          </w:p>
        </w:tc>
        <w:tc>
          <w:tcPr>
            <w:tcW w:w="3118" w:type="dxa"/>
            <w:vAlign w:val="center"/>
          </w:tcPr>
          <w:p w14:paraId="4A0DF050">
            <w:pPr>
              <w:rPr>
                <w:rFonts w:hint="eastAsia" w:ascii="宋体" w:hAnsi="宋体" w:eastAsia="宋体" w:cs="宋体"/>
                <w:color w:val="000000" w:themeColor="text1"/>
                <w14:textFill>
                  <w14:solidFill>
                    <w14:schemeClr w14:val="tx1"/>
                  </w14:solidFill>
                </w14:textFill>
              </w:rPr>
            </w:pPr>
          </w:p>
        </w:tc>
        <w:tc>
          <w:tcPr>
            <w:tcW w:w="993" w:type="dxa"/>
            <w:vAlign w:val="center"/>
          </w:tcPr>
          <w:p w14:paraId="5F322511">
            <w:pPr>
              <w:rPr>
                <w:rFonts w:hint="eastAsia" w:ascii="宋体" w:hAnsi="宋体" w:eastAsia="宋体" w:cs="宋体"/>
                <w:color w:val="000000" w:themeColor="text1"/>
                <w14:textFill>
                  <w14:solidFill>
                    <w14:schemeClr w14:val="tx1"/>
                  </w14:solidFill>
                </w14:textFill>
              </w:rPr>
            </w:pPr>
          </w:p>
        </w:tc>
        <w:tc>
          <w:tcPr>
            <w:tcW w:w="1559" w:type="dxa"/>
            <w:vAlign w:val="center"/>
          </w:tcPr>
          <w:p w14:paraId="2348F847">
            <w:pPr>
              <w:rPr>
                <w:rFonts w:hint="eastAsia" w:ascii="宋体" w:hAnsi="宋体" w:eastAsia="宋体" w:cs="宋体"/>
                <w:color w:val="000000" w:themeColor="text1"/>
                <w14:textFill>
                  <w14:solidFill>
                    <w14:schemeClr w14:val="tx1"/>
                  </w14:solidFill>
                </w14:textFill>
              </w:rPr>
            </w:pPr>
          </w:p>
        </w:tc>
        <w:tc>
          <w:tcPr>
            <w:tcW w:w="1984" w:type="dxa"/>
            <w:vAlign w:val="center"/>
          </w:tcPr>
          <w:p w14:paraId="388BE74E">
            <w:pPr>
              <w:rPr>
                <w:rFonts w:hint="eastAsia" w:ascii="宋体" w:hAnsi="宋体" w:eastAsia="宋体" w:cs="宋体"/>
                <w:color w:val="000000" w:themeColor="text1"/>
                <w14:textFill>
                  <w14:solidFill>
                    <w14:schemeClr w14:val="tx1"/>
                  </w14:solidFill>
                </w14:textFill>
              </w:rPr>
            </w:pPr>
          </w:p>
        </w:tc>
        <w:tc>
          <w:tcPr>
            <w:tcW w:w="3119" w:type="dxa"/>
            <w:vAlign w:val="center"/>
          </w:tcPr>
          <w:p w14:paraId="717A21B7">
            <w:pPr>
              <w:rPr>
                <w:rFonts w:hint="eastAsia" w:ascii="宋体" w:hAnsi="宋体" w:eastAsia="宋体" w:cs="宋体"/>
                <w:color w:val="000000" w:themeColor="text1"/>
                <w14:textFill>
                  <w14:solidFill>
                    <w14:schemeClr w14:val="tx1"/>
                  </w14:solidFill>
                </w14:textFill>
              </w:rPr>
            </w:pPr>
          </w:p>
        </w:tc>
      </w:tr>
      <w:tr w14:paraId="62DD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B752DAC">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投标报价（小写）</w:t>
            </w:r>
          </w:p>
        </w:tc>
        <w:tc>
          <w:tcPr>
            <w:tcW w:w="7655" w:type="dxa"/>
            <w:gridSpan w:val="4"/>
            <w:vAlign w:val="center"/>
          </w:tcPr>
          <w:p w14:paraId="7F179E6D">
            <w:pPr>
              <w:rPr>
                <w:rFonts w:hint="eastAsia" w:ascii="宋体" w:hAnsi="宋体" w:eastAsia="宋体" w:cs="宋体"/>
                <w:color w:val="000000" w:themeColor="text1"/>
                <w14:textFill>
                  <w14:solidFill>
                    <w14:schemeClr w14:val="tx1"/>
                  </w14:solidFill>
                </w14:textFill>
              </w:rPr>
            </w:pPr>
          </w:p>
        </w:tc>
      </w:tr>
      <w:tr w14:paraId="0CBF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C7468D">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投标报价（大写）</w:t>
            </w:r>
          </w:p>
        </w:tc>
        <w:tc>
          <w:tcPr>
            <w:tcW w:w="7655" w:type="dxa"/>
            <w:gridSpan w:val="4"/>
            <w:vAlign w:val="center"/>
          </w:tcPr>
          <w:p w14:paraId="49B11199">
            <w:pPr>
              <w:rPr>
                <w:rFonts w:hint="eastAsia" w:ascii="宋体" w:hAnsi="宋体" w:eastAsia="宋体" w:cs="宋体"/>
                <w:color w:val="000000" w:themeColor="text1"/>
                <w14:textFill>
                  <w14:solidFill>
                    <w14:schemeClr w14:val="tx1"/>
                  </w14:solidFill>
                </w14:textFill>
              </w:rPr>
            </w:pPr>
          </w:p>
        </w:tc>
      </w:tr>
    </w:tbl>
    <w:p w14:paraId="6543E866">
      <w:pPr>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lang w:val="zh-CN"/>
          <w14:textFill>
            <w14:solidFill>
              <w14:schemeClr w14:val="tx1"/>
            </w14:solidFill>
          </w14:textFill>
        </w:rPr>
        <w:t>注：</w:t>
      </w:r>
    </w:p>
    <w:p w14:paraId="19C190E7">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1、供应商需按本表格式填写，不得自行更改。</w:t>
      </w:r>
      <w:r>
        <w:rPr>
          <w:rFonts w:hint="eastAsia" w:ascii="宋体" w:hAnsi="宋体" w:eastAsia="宋体" w:cs="宋体"/>
          <w:color w:val="000000" w:themeColor="text1"/>
          <w:lang w:val="zh-CN"/>
          <w14:textFill>
            <w14:solidFill>
              <w14:schemeClr w14:val="tx1"/>
            </w14:solidFill>
          </w14:textFill>
        </w:rPr>
        <w:tab/>
      </w:r>
    </w:p>
    <w:p w14:paraId="292868F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b/>
          <w:color w:val="000000" w:themeColor="text1"/>
          <w:lang w:val="zh-CN"/>
          <w14:textFill>
            <w14:solidFill>
              <w14:schemeClr w14:val="tx1"/>
            </w14:solidFill>
          </w14:textFill>
        </w:rPr>
        <w:t>不得出现“0元”“免费赠送”等形式的无偿报价，</w:t>
      </w:r>
      <w:r>
        <w:rPr>
          <w:rFonts w:hint="eastAsia" w:ascii="宋体" w:hAnsi="宋体" w:eastAsia="宋体" w:cs="宋体"/>
          <w:b/>
          <w:color w:val="000000" w:themeColor="text1"/>
          <w14:textFill>
            <w14:solidFill>
              <w14:schemeClr w14:val="tx1"/>
            </w14:solidFill>
          </w14:textFill>
        </w:rPr>
        <w:t>否则视为响应文件含有采购人不能接受的附加条件的，投标无效</w:t>
      </w:r>
      <w:r>
        <w:rPr>
          <w:rFonts w:hint="eastAsia" w:ascii="宋体" w:hAnsi="宋体" w:eastAsia="宋体" w:cs="宋体"/>
          <w:b/>
          <w:color w:val="000000" w:themeColor="text1"/>
          <w:lang w:val="zh-CN"/>
          <w14:textFill>
            <w14:solidFill>
              <w14:schemeClr w14:val="tx1"/>
            </w14:solidFill>
          </w14:textFill>
        </w:rPr>
        <w:t>；采购内容未包含在《开标一览表（报价表）》名称栏中，供应商不能作出合理解释的，</w:t>
      </w:r>
      <w:r>
        <w:rPr>
          <w:rFonts w:hint="eastAsia" w:ascii="宋体" w:hAnsi="宋体" w:eastAsia="宋体" w:cs="宋体"/>
          <w:b/>
          <w:color w:val="000000" w:themeColor="text1"/>
          <w14:textFill>
            <w14:solidFill>
              <w14:schemeClr w14:val="tx1"/>
            </w14:solidFill>
          </w14:textFill>
        </w:rPr>
        <w:t>视为响应文件含有采购人不能接受的附加条件的，投标无效。</w:t>
      </w:r>
    </w:p>
    <w:p w14:paraId="1E83DFB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3、以上表格要求细分项目及报价，在“规格型号（或具体服务）”一栏中，货物类项目填写规格型号，服务类项目填写具体服务。</w:t>
      </w:r>
    </w:p>
    <w:p w14:paraId="19239666">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14:paraId="3BB6DE4C">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szCs w:val="22"/>
          <w:lang w:val="zh-CN"/>
          <w14:textFill>
            <w14:solidFill>
              <w14:schemeClr w14:val="tx1"/>
            </w14:solidFill>
          </w14:textFill>
        </w:rPr>
        <w:t>5、</w:t>
      </w:r>
      <w:r>
        <w:rPr>
          <w:rFonts w:hint="eastAsia" w:ascii="宋体" w:hAnsi="宋体" w:eastAsia="宋体" w:cs="宋体"/>
          <w:color w:val="000000" w:themeColor="text1"/>
          <w:lang w:val="zh-CN"/>
          <w14:textFill>
            <w14:solidFill>
              <w14:schemeClr w14:val="tx1"/>
            </w14:solidFill>
          </w14:textFill>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0871A2D">
      <w:pPr>
        <w:spacing w:line="360" w:lineRule="auto"/>
        <w:ind w:firstLine="482" w:firstLineChars="200"/>
        <w:rPr>
          <w:rFonts w:hint="eastAsia" w:ascii="宋体" w:hAnsi="宋体" w:eastAsia="宋体" w:cs="宋体"/>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14:paraId="1E8BA664">
      <w:pPr>
        <w:spacing w:line="276"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附件2：质疑函范本及制作说明</w:t>
      </w:r>
    </w:p>
    <w:p w14:paraId="0BAD9748">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质疑函范本</w:t>
      </w:r>
    </w:p>
    <w:p w14:paraId="1FAEF56E">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一、质疑供应商基本信息</w:t>
      </w:r>
    </w:p>
    <w:p w14:paraId="1F14AE05">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质疑供应商：</w:t>
      </w:r>
      <w:r>
        <w:rPr>
          <w:rFonts w:hint="eastAsia" w:ascii="宋体" w:hAnsi="宋体" w:eastAsia="宋体" w:cs="宋体"/>
          <w:color w:val="000000" w:themeColor="text1"/>
          <w:u w:val="dotted"/>
          <w14:textFill>
            <w14:solidFill>
              <w14:schemeClr w14:val="tx1"/>
            </w14:solidFill>
          </w14:textFill>
        </w:rPr>
        <w:t xml:space="preserve">                                        </w:t>
      </w:r>
    </w:p>
    <w:p w14:paraId="28434A72">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60848C9B">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联系人：</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p>
    <w:p w14:paraId="5472255A">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授权代表：</w:t>
      </w:r>
      <w:r>
        <w:rPr>
          <w:rFonts w:hint="eastAsia" w:ascii="宋体" w:hAnsi="宋体" w:eastAsia="宋体" w:cs="宋体"/>
          <w:color w:val="000000" w:themeColor="text1"/>
          <w:u w:val="dotted"/>
          <w14:textFill>
            <w14:solidFill>
              <w14:schemeClr w14:val="tx1"/>
            </w14:solidFill>
          </w14:textFill>
        </w:rPr>
        <w:t xml:space="preserve">                                          </w:t>
      </w:r>
    </w:p>
    <w:p w14:paraId="11531157">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w:t>
      </w:r>
    </w:p>
    <w:p w14:paraId="6CB194ED">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地址： </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dotted"/>
          <w14:textFill>
            <w14:solidFill>
              <w14:schemeClr w14:val="tx1"/>
            </w14:solidFill>
          </w14:textFill>
        </w:rPr>
        <w:t xml:space="preserve">                                                </w:t>
      </w:r>
    </w:p>
    <w:p w14:paraId="4F0A7451">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二、质疑项目基本情况</w:t>
      </w:r>
    </w:p>
    <w:p w14:paraId="03AFD162">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质疑项目的名称：</w:t>
      </w:r>
      <w:r>
        <w:rPr>
          <w:rFonts w:hint="eastAsia" w:ascii="宋体" w:hAnsi="宋体" w:eastAsia="宋体" w:cs="宋体"/>
          <w:color w:val="000000" w:themeColor="text1"/>
          <w:u w:val="dotted"/>
          <w14:textFill>
            <w14:solidFill>
              <w14:schemeClr w14:val="tx1"/>
            </w14:solidFill>
          </w14:textFill>
        </w:rPr>
        <w:t xml:space="preserve">                                      </w:t>
      </w:r>
    </w:p>
    <w:p w14:paraId="7196A02E">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质疑项目的编号：</w:t>
      </w:r>
      <w:r>
        <w:rPr>
          <w:rFonts w:hint="eastAsia" w:ascii="宋体" w:hAnsi="宋体" w:eastAsia="宋体" w:cs="宋体"/>
          <w:color w:val="000000" w:themeColor="text1"/>
          <w:u w:val="dotted"/>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包号：</w:t>
      </w:r>
      <w:r>
        <w:rPr>
          <w:rFonts w:hint="eastAsia" w:ascii="宋体" w:hAnsi="宋体" w:eastAsia="宋体" w:cs="宋体"/>
          <w:color w:val="000000" w:themeColor="text1"/>
          <w:u w:val="dotted"/>
          <w14:textFill>
            <w14:solidFill>
              <w14:schemeClr w14:val="tx1"/>
            </w14:solidFill>
          </w14:textFill>
        </w:rPr>
        <w:t xml:space="preserve">                 </w:t>
      </w:r>
    </w:p>
    <w:p w14:paraId="5C849EB2">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采购人名称：</w:t>
      </w:r>
      <w:r>
        <w:rPr>
          <w:rFonts w:hint="eastAsia" w:ascii="宋体" w:hAnsi="宋体" w:eastAsia="宋体" w:cs="宋体"/>
          <w:color w:val="000000" w:themeColor="text1"/>
          <w:u w:val="dotted"/>
          <w14:textFill>
            <w14:solidFill>
              <w14:schemeClr w14:val="tx1"/>
            </w14:solidFill>
          </w14:textFill>
        </w:rPr>
        <w:t xml:space="preserve">                                         </w:t>
      </w:r>
    </w:p>
    <w:p w14:paraId="30A72EDE">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采购文件获取日期：</w:t>
      </w:r>
      <w:r>
        <w:rPr>
          <w:rFonts w:hint="eastAsia" w:ascii="宋体" w:hAnsi="宋体" w:eastAsia="宋体" w:cs="宋体"/>
          <w:color w:val="000000" w:themeColor="text1"/>
          <w:u w:val="dotted"/>
          <w14:textFill>
            <w14:solidFill>
              <w14:schemeClr w14:val="tx1"/>
            </w14:solidFill>
          </w14:textFill>
        </w:rPr>
        <w:t xml:space="preserve">                                           </w:t>
      </w:r>
    </w:p>
    <w:p w14:paraId="0D2D36AF">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三、质疑事项具体内容</w:t>
      </w:r>
    </w:p>
    <w:p w14:paraId="65F9A413">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质疑事项1：</w:t>
      </w:r>
      <w:r>
        <w:rPr>
          <w:rFonts w:hint="eastAsia" w:ascii="宋体" w:hAnsi="宋体" w:eastAsia="宋体" w:cs="宋体"/>
          <w:color w:val="000000" w:themeColor="text1"/>
          <w:u w:val="dotted"/>
          <w14:textFill>
            <w14:solidFill>
              <w14:schemeClr w14:val="tx1"/>
            </w14:solidFill>
          </w14:textFill>
        </w:rPr>
        <w:t xml:space="preserve">                                         </w:t>
      </w:r>
    </w:p>
    <w:p w14:paraId="65D10317">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事实依据：</w:t>
      </w:r>
      <w:r>
        <w:rPr>
          <w:rFonts w:hint="eastAsia" w:ascii="宋体" w:hAnsi="宋体" w:eastAsia="宋体" w:cs="宋体"/>
          <w:color w:val="000000" w:themeColor="text1"/>
          <w:u w:val="dotted"/>
          <w14:textFill>
            <w14:solidFill>
              <w14:schemeClr w14:val="tx1"/>
            </w14:solidFill>
          </w14:textFill>
        </w:rPr>
        <w:t xml:space="preserve">                                          </w:t>
      </w:r>
    </w:p>
    <w:p w14:paraId="312D6595">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3A2F3CFC">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法律依据：</w:t>
      </w:r>
      <w:r>
        <w:rPr>
          <w:rFonts w:hint="eastAsia" w:ascii="宋体" w:hAnsi="宋体" w:eastAsia="宋体" w:cs="宋体"/>
          <w:color w:val="000000" w:themeColor="text1"/>
          <w:u w:val="dotted"/>
          <w14:textFill>
            <w14:solidFill>
              <w14:schemeClr w14:val="tx1"/>
            </w14:solidFill>
          </w14:textFill>
        </w:rPr>
        <w:t xml:space="preserve">                                          </w:t>
      </w:r>
    </w:p>
    <w:p w14:paraId="539013C1">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u w:val="dotted"/>
          <w14:textFill>
            <w14:solidFill>
              <w14:schemeClr w14:val="tx1"/>
            </w14:solidFill>
          </w14:textFill>
        </w:rPr>
        <w:t xml:space="preserve">                                                     </w:t>
      </w:r>
    </w:p>
    <w:p w14:paraId="72160FD1">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质疑事项2</w:t>
      </w:r>
    </w:p>
    <w:p w14:paraId="68040151">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14:paraId="3755DAF5">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四、与质疑事项相关的质疑请求</w:t>
      </w:r>
    </w:p>
    <w:p w14:paraId="588DEE4E">
      <w:pPr>
        <w:pStyle w:val="62"/>
        <w:rPr>
          <w:rFonts w:hint="eastAsia" w:ascii="宋体" w:hAnsi="宋体" w:eastAsia="宋体" w:cs="宋体"/>
          <w:color w:val="000000" w:themeColor="text1"/>
          <w:u w:val="dotted"/>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请求：</w:t>
      </w:r>
      <w:r>
        <w:rPr>
          <w:rFonts w:hint="eastAsia" w:ascii="宋体" w:hAnsi="宋体" w:eastAsia="宋体" w:cs="宋体"/>
          <w:color w:val="000000" w:themeColor="text1"/>
          <w:u w:val="dotted"/>
          <w14:textFill>
            <w14:solidFill>
              <w14:schemeClr w14:val="tx1"/>
            </w14:solidFill>
          </w14:textFill>
        </w:rPr>
        <w:t xml:space="preserve">                                               </w:t>
      </w:r>
    </w:p>
    <w:p w14:paraId="75150923">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签字(签章)：                   公章：                      </w:t>
      </w:r>
    </w:p>
    <w:p w14:paraId="7890A461">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日期：    </w:t>
      </w:r>
    </w:p>
    <w:p w14:paraId="45FCDB70">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质疑函制作说明：</w:t>
      </w:r>
    </w:p>
    <w:p w14:paraId="197360FC">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1.供应商提出质疑时，应提交质疑函和必要的证明材料。</w:t>
      </w:r>
    </w:p>
    <w:p w14:paraId="2DEB315B">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09329E">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3.质疑供应商若对项目的某一分包进行质疑，质疑函中应列明具体分包号。</w:t>
      </w:r>
    </w:p>
    <w:p w14:paraId="48308EC3">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4.质疑函的质疑事项应具体、明确，并有必要的事实依据和法律依据。</w:t>
      </w:r>
    </w:p>
    <w:p w14:paraId="1BE739B9">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5.质疑函的质疑请求应与质疑事项相关。</w:t>
      </w:r>
    </w:p>
    <w:p w14:paraId="1625FF22">
      <w:pPr>
        <w:pStyle w:val="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DF59CB4">
      <w:pPr>
        <w:spacing w:line="360" w:lineRule="auto"/>
        <w:ind w:firstLine="600" w:firstLineChars="200"/>
        <w:rPr>
          <w:rFonts w:hint="eastAsia" w:ascii="宋体" w:hAnsi="宋体" w:eastAsia="宋体" w:cs="宋体"/>
          <w:color w:val="000000" w:themeColor="text1"/>
          <w:sz w:val="30"/>
          <w:szCs w:val="30"/>
          <w14:textFill>
            <w14:solidFill>
              <w14:schemeClr w14:val="tx1"/>
            </w14:solidFill>
          </w14:textFill>
        </w:rPr>
      </w:pPr>
    </w:p>
    <w:p w14:paraId="5C52C2A8">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14:paraId="4608AA1C">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p>
    <w:p w14:paraId="2A575FA3">
      <w:pPr>
        <w:spacing w:line="276"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br w:type="page"/>
      </w:r>
    </w:p>
    <w:p w14:paraId="202C716F">
      <w:pPr>
        <w:pStyle w:val="4"/>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14:textFill>
            <w14:solidFill>
              <w14:schemeClr w14:val="tx1"/>
            </w14:solidFill>
          </w14:textFill>
        </w:rPr>
        <w:t>附件4：</w:t>
      </w:r>
      <w:r>
        <w:rPr>
          <w:rFonts w:hint="eastAsia" w:ascii="宋体" w:hAnsi="宋体" w:eastAsia="宋体" w:cs="宋体"/>
          <w:color w:val="000000" w:themeColor="text1"/>
          <w14:textFill>
            <w14:solidFill>
              <w14:schemeClr w14:val="tx1"/>
            </w14:solidFill>
          </w14:textFill>
        </w:rPr>
        <w:t>业务专用章使用说明函</w:t>
      </w:r>
    </w:p>
    <w:p w14:paraId="7333CE82">
      <w:pPr>
        <w:spacing w:line="276" w:lineRule="auto"/>
        <w:jc w:val="center"/>
        <w:rPr>
          <w:rFonts w:hint="eastAsia" w:ascii="宋体" w:hAnsi="宋体" w:eastAsia="宋体" w:cs="宋体"/>
          <w:b/>
          <w:smallCaps/>
          <w:color w:val="000000" w:themeColor="text1"/>
          <w:spacing w:val="6"/>
          <w:sz w:val="36"/>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业务专用章使用说明函</w:t>
      </w:r>
    </w:p>
    <w:p w14:paraId="0C6DBF33">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（采购人）、（采购代理机构）</w:t>
      </w:r>
    </w:p>
    <w:p w14:paraId="6F5CA563">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我方</w:t>
      </w:r>
      <w:r>
        <w:rPr>
          <w:rFonts w:hint="eastAsia" w:ascii="宋体" w:hAnsi="宋体" w:eastAsia="宋体" w:cs="宋体"/>
          <w:color w:val="000000" w:themeColor="text1"/>
          <w:u w:val="single"/>
          <w:lang w:val="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(供应商全称)是中华人民共和国依法登记注册的合法企业，</w:t>
      </w:r>
      <w:r>
        <w:rPr>
          <w:rFonts w:hint="eastAsia" w:ascii="宋体" w:hAnsi="宋体" w:eastAsia="宋体" w:cs="宋体"/>
          <w:bCs/>
          <w:color w:val="000000" w:themeColor="text1"/>
          <w14:textFill>
            <w14:solidFill>
              <w14:schemeClr w14:val="tx1"/>
            </w14:solidFill>
          </w14:textFill>
        </w:rPr>
        <w:t>在参加</w:t>
      </w:r>
      <w:r>
        <w:rPr>
          <w:rFonts w:hint="eastAsia" w:ascii="宋体" w:hAnsi="宋体" w:eastAsia="宋体" w:cs="宋体"/>
          <w:color w:val="000000" w:themeColor="text1"/>
          <w14:textFill>
            <w14:solidFill>
              <w14:schemeClr w14:val="tx1"/>
            </w14:solidFill>
          </w14:textFill>
        </w:rPr>
        <w:t>你方组织的（项目名称）项目【招标编号：（采购编号）】</w:t>
      </w:r>
      <w:r>
        <w:rPr>
          <w:rFonts w:hint="eastAsia" w:ascii="宋体" w:hAnsi="宋体" w:eastAsia="宋体" w:cs="宋体"/>
          <w:bCs/>
          <w:color w:val="000000" w:themeColor="text1"/>
          <w14:textFill>
            <w14:solidFill>
              <w14:schemeClr w14:val="tx1"/>
            </w14:solidFill>
          </w14:textFill>
        </w:rPr>
        <w:t>投标活动中作如下说明：</w:t>
      </w:r>
      <w:r>
        <w:rPr>
          <w:rFonts w:hint="eastAsia" w:ascii="宋体" w:hAnsi="宋体" w:eastAsia="宋体" w:cs="宋体"/>
          <w:color w:val="000000" w:themeColor="text1"/>
          <w14:textFill>
            <w14:solidFill>
              <w14:schemeClr w14:val="tx1"/>
            </w14:solidFill>
          </w14:textFill>
        </w:rPr>
        <w:t xml:space="preserve">我方所使用的“XX专用章”与法定名称章具有同等的法律效力，对使用“XX专用章”的行为予以完全承认，并愿意承担相应责任。   </w:t>
      </w:r>
    </w:p>
    <w:p w14:paraId="01CB2B66">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特此说明。</w:t>
      </w:r>
    </w:p>
    <w:p w14:paraId="441FEE7D">
      <w:pPr>
        <w:spacing w:line="360" w:lineRule="auto"/>
        <w:ind w:firstLine="494"/>
        <w:rPr>
          <w:rFonts w:hint="eastAsia" w:ascii="宋体" w:hAnsi="宋体" w:eastAsia="宋体" w:cs="宋体"/>
          <w:color w:val="000000" w:themeColor="text1"/>
          <w14:textFill>
            <w14:solidFill>
              <w14:schemeClr w14:val="tx1"/>
            </w14:solidFill>
          </w14:textFill>
        </w:rPr>
      </w:pPr>
    </w:p>
    <w:p w14:paraId="75F0A4D9">
      <w:pPr>
        <w:spacing w:line="360" w:lineRule="auto"/>
        <w:ind w:right="480" w:firstLine="4080" w:firstLineChars="17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投标单位（法定名称章）：</w:t>
      </w:r>
    </w:p>
    <w:p w14:paraId="17B652CB">
      <w:pPr>
        <w:ind w:right="1440" w:firstLine="494"/>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日期：       年     月     日</w:t>
      </w:r>
    </w:p>
    <w:p w14:paraId="267D6E0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附：</w:t>
      </w:r>
    </w:p>
    <w:p w14:paraId="79A7BE1F">
      <w:pPr>
        <w:spacing w:line="360" w:lineRule="auto"/>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14A12A3">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14A12A3">
                      <w:pPr>
                        <w:jc w:val="center"/>
                      </w:pPr>
                    </w:p>
                  </w:txbxContent>
                </v:textbox>
              </v:rect>
            </w:pict>
          </mc:Fallback>
        </mc:AlternateContent>
      </w:r>
      <w:r>
        <w:rPr>
          <w:rFonts w:hint="eastAsia" w:ascii="宋体" w:hAnsi="宋体" w:eastAsia="宋体" w:cs="宋体"/>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352041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3520417">
                      <w:pPr>
                        <w:jc w:val="center"/>
                      </w:pPr>
                    </w:p>
                  </w:txbxContent>
                </v:textbox>
              </v:rect>
            </w:pict>
          </mc:Fallback>
        </mc:AlternateContent>
      </w:r>
      <w:r>
        <w:rPr>
          <w:rFonts w:hint="eastAsia" w:ascii="宋体" w:hAnsi="宋体" w:eastAsia="宋体" w:cs="宋体"/>
          <w:color w:val="000000" w:themeColor="text1"/>
          <w14:textFill>
            <w14:solidFill>
              <w14:schemeClr w14:val="tx1"/>
            </w14:solidFill>
          </w14:textFill>
        </w:rPr>
        <w:t>投标单位法定名称章（印模）                投标单位“XX专用章”（印模）</w:t>
      </w:r>
    </w:p>
    <w:p w14:paraId="471CD61E">
      <w:pPr>
        <w:spacing w:line="276" w:lineRule="auto"/>
        <w:rPr>
          <w:rFonts w:hint="eastAsia" w:ascii="宋体" w:hAnsi="宋体" w:eastAsia="宋体" w:cs="宋体"/>
          <w:b/>
          <w:color w:val="000000" w:themeColor="text1"/>
          <w:spacing w:val="6"/>
          <w:sz w:val="32"/>
          <w:szCs w:val="32"/>
          <w14:textFill>
            <w14:solidFill>
              <w14:schemeClr w14:val="tx1"/>
            </w14:solidFill>
          </w14:textFill>
        </w:rPr>
      </w:pPr>
    </w:p>
    <w:p w14:paraId="1B4B1F6B">
      <w:pPr>
        <w:spacing w:line="276" w:lineRule="auto"/>
        <w:rPr>
          <w:rFonts w:hint="eastAsia" w:ascii="宋体" w:hAnsi="宋体" w:eastAsia="宋体" w:cs="宋体"/>
          <w:b/>
          <w:smallCaps/>
          <w:color w:val="000000" w:themeColor="text1"/>
          <w:spacing w:val="6"/>
          <w:sz w:val="28"/>
          <w:szCs w:val="28"/>
          <w14:textFill>
            <w14:solidFill>
              <w14:schemeClr w14:val="tx1"/>
            </w14:solidFill>
          </w14:textFill>
        </w:rPr>
      </w:pPr>
    </w:p>
    <w:p w14:paraId="2874E1E0">
      <w:pPr>
        <w:spacing w:line="276" w:lineRule="auto"/>
        <w:rPr>
          <w:rFonts w:hint="eastAsia" w:ascii="宋体" w:hAnsi="宋体" w:eastAsia="宋体" w:cs="宋体"/>
          <w:b/>
          <w:smallCaps/>
          <w:color w:val="000000" w:themeColor="text1"/>
          <w:spacing w:val="6"/>
          <w:sz w:val="28"/>
          <w:szCs w:val="28"/>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2ACFA">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83BC">
    <w:pPr>
      <w:pStyle w:val="19"/>
      <w:pBdr>
        <w:bottom w:val="single" w:color="auto" w:sz="6" w:space="4"/>
      </w:pBdr>
      <w:jc w:val="right"/>
    </w:pPr>
    <w:r>
      <w:t></w:t>
    </w:r>
    <w:r>
      <w:rPr>
        <w:rFonts w:hint="eastAsia"/>
      </w:rPr>
      <w:t xml:space="preserve">            </w:t>
    </w:r>
  </w:p>
  <w:p w14:paraId="11D52AAC">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9F7C">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95E4"/>
    <w:multiLevelType w:val="singleLevel"/>
    <w:tmpl w:val="13B795E4"/>
    <w:lvl w:ilvl="0" w:tentative="0">
      <w:start w:val="1"/>
      <w:numFmt w:val="decimal"/>
      <w:suff w:val="nothing"/>
      <w:lvlText w:val="%1、"/>
      <w:lvlJc w:val="left"/>
    </w:lvl>
  </w:abstractNum>
  <w:abstractNum w:abstractNumId="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59833E"/>
    <w:multiLevelType w:val="singleLevel"/>
    <w:tmpl w:val="5559833E"/>
    <w:lvl w:ilvl="0" w:tentative="0">
      <w:start w:val="1"/>
      <w:numFmt w:val="chineseCounting"/>
      <w:suff w:val="nothing"/>
      <w:lvlText w:val="%1、"/>
      <w:lvlJc w:val="left"/>
    </w:lvl>
  </w:abstractNum>
  <w:abstractNum w:abstractNumId="3">
    <w:nsid w:val="727662DE"/>
    <w:multiLevelType w:val="multilevel"/>
    <w:tmpl w:val="727662DE"/>
    <w:lvl w:ilvl="0" w:tentative="0">
      <w:start w:val="1"/>
      <w:numFmt w:val="decimal"/>
      <w:pStyle w:val="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7650C2"/>
    <w:multiLevelType w:val="singleLevel"/>
    <w:tmpl w:val="7C7650C2"/>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zY2I0OTFkMmI1YTkyNDVkODhhMGNkMTBiN2E2ZTMifQ=="/>
  </w:docVars>
  <w:rsids>
    <w:rsidRoot w:val="004A31C0"/>
    <w:rsid w:val="000166EA"/>
    <w:rsid w:val="00021D82"/>
    <w:rsid w:val="00040E44"/>
    <w:rsid w:val="000506FE"/>
    <w:rsid w:val="00052F13"/>
    <w:rsid w:val="00062A5D"/>
    <w:rsid w:val="00083EEE"/>
    <w:rsid w:val="000C67BA"/>
    <w:rsid w:val="000E75F8"/>
    <w:rsid w:val="000E7A92"/>
    <w:rsid w:val="001375DB"/>
    <w:rsid w:val="001448FA"/>
    <w:rsid w:val="001478DA"/>
    <w:rsid w:val="00173428"/>
    <w:rsid w:val="001A3CF6"/>
    <w:rsid w:val="001E112B"/>
    <w:rsid w:val="00240685"/>
    <w:rsid w:val="0024401D"/>
    <w:rsid w:val="002534A7"/>
    <w:rsid w:val="002E02E0"/>
    <w:rsid w:val="00316013"/>
    <w:rsid w:val="003169BC"/>
    <w:rsid w:val="003240B4"/>
    <w:rsid w:val="0035778E"/>
    <w:rsid w:val="00380ED1"/>
    <w:rsid w:val="00381B1D"/>
    <w:rsid w:val="003A3435"/>
    <w:rsid w:val="004105E2"/>
    <w:rsid w:val="00424619"/>
    <w:rsid w:val="00424A1D"/>
    <w:rsid w:val="0043074A"/>
    <w:rsid w:val="00462F9D"/>
    <w:rsid w:val="004A31C0"/>
    <w:rsid w:val="004D5946"/>
    <w:rsid w:val="00501CA3"/>
    <w:rsid w:val="00516DE1"/>
    <w:rsid w:val="0054491C"/>
    <w:rsid w:val="00581054"/>
    <w:rsid w:val="00586819"/>
    <w:rsid w:val="005A325A"/>
    <w:rsid w:val="005A3BF2"/>
    <w:rsid w:val="0060320D"/>
    <w:rsid w:val="00604DF8"/>
    <w:rsid w:val="006511DA"/>
    <w:rsid w:val="00652051"/>
    <w:rsid w:val="0065383E"/>
    <w:rsid w:val="006600D1"/>
    <w:rsid w:val="00661973"/>
    <w:rsid w:val="006657BD"/>
    <w:rsid w:val="006E1E1F"/>
    <w:rsid w:val="006F2568"/>
    <w:rsid w:val="006F282E"/>
    <w:rsid w:val="00706DC6"/>
    <w:rsid w:val="0071005E"/>
    <w:rsid w:val="00711092"/>
    <w:rsid w:val="00716529"/>
    <w:rsid w:val="00725C59"/>
    <w:rsid w:val="00734973"/>
    <w:rsid w:val="00742C93"/>
    <w:rsid w:val="00744AB4"/>
    <w:rsid w:val="007607EC"/>
    <w:rsid w:val="007B07B1"/>
    <w:rsid w:val="00825212"/>
    <w:rsid w:val="008344A8"/>
    <w:rsid w:val="008344AD"/>
    <w:rsid w:val="00843A59"/>
    <w:rsid w:val="00852E70"/>
    <w:rsid w:val="00872DA1"/>
    <w:rsid w:val="00873B8A"/>
    <w:rsid w:val="008B1281"/>
    <w:rsid w:val="008C3320"/>
    <w:rsid w:val="008F729B"/>
    <w:rsid w:val="009040D0"/>
    <w:rsid w:val="009064F4"/>
    <w:rsid w:val="00924C3A"/>
    <w:rsid w:val="00973138"/>
    <w:rsid w:val="009823B1"/>
    <w:rsid w:val="009843A3"/>
    <w:rsid w:val="009863A6"/>
    <w:rsid w:val="0098739B"/>
    <w:rsid w:val="009B232A"/>
    <w:rsid w:val="009B7259"/>
    <w:rsid w:val="009E6B47"/>
    <w:rsid w:val="00A3503E"/>
    <w:rsid w:val="00A5394E"/>
    <w:rsid w:val="00A955FA"/>
    <w:rsid w:val="00AB3C03"/>
    <w:rsid w:val="00AC5A89"/>
    <w:rsid w:val="00B02E7E"/>
    <w:rsid w:val="00B34428"/>
    <w:rsid w:val="00B50722"/>
    <w:rsid w:val="00B638D9"/>
    <w:rsid w:val="00C13744"/>
    <w:rsid w:val="00C555C7"/>
    <w:rsid w:val="00CA5372"/>
    <w:rsid w:val="00CA5AB0"/>
    <w:rsid w:val="00CD55C3"/>
    <w:rsid w:val="00CF35F3"/>
    <w:rsid w:val="00D03E3B"/>
    <w:rsid w:val="00D31771"/>
    <w:rsid w:val="00D6417F"/>
    <w:rsid w:val="00D770BB"/>
    <w:rsid w:val="00D901E0"/>
    <w:rsid w:val="00DC6A16"/>
    <w:rsid w:val="00DE7F9D"/>
    <w:rsid w:val="00E01C27"/>
    <w:rsid w:val="00E1596E"/>
    <w:rsid w:val="00E33F6C"/>
    <w:rsid w:val="00E428C8"/>
    <w:rsid w:val="00E81776"/>
    <w:rsid w:val="00E94AF3"/>
    <w:rsid w:val="00E97222"/>
    <w:rsid w:val="00EB21FD"/>
    <w:rsid w:val="00ED389E"/>
    <w:rsid w:val="00ED5E76"/>
    <w:rsid w:val="00EE2D23"/>
    <w:rsid w:val="00EF1C3A"/>
    <w:rsid w:val="00F15E61"/>
    <w:rsid w:val="00F53962"/>
    <w:rsid w:val="00F577A9"/>
    <w:rsid w:val="00F66F6C"/>
    <w:rsid w:val="00F71EF6"/>
    <w:rsid w:val="00F82240"/>
    <w:rsid w:val="00F872C5"/>
    <w:rsid w:val="00F906B9"/>
    <w:rsid w:val="00FA64B5"/>
    <w:rsid w:val="00FA6A3A"/>
    <w:rsid w:val="00FD41D5"/>
    <w:rsid w:val="00FD5896"/>
    <w:rsid w:val="00FE4335"/>
    <w:rsid w:val="010E7FDF"/>
    <w:rsid w:val="02A94C71"/>
    <w:rsid w:val="032F1B83"/>
    <w:rsid w:val="03535800"/>
    <w:rsid w:val="0467091B"/>
    <w:rsid w:val="050D29FC"/>
    <w:rsid w:val="051F3E50"/>
    <w:rsid w:val="08975A73"/>
    <w:rsid w:val="08F0670A"/>
    <w:rsid w:val="096F2582"/>
    <w:rsid w:val="098C2B06"/>
    <w:rsid w:val="09C3197A"/>
    <w:rsid w:val="0B762C8E"/>
    <w:rsid w:val="0D7B3BE2"/>
    <w:rsid w:val="0D8932D9"/>
    <w:rsid w:val="0E4660AC"/>
    <w:rsid w:val="0E4C09E5"/>
    <w:rsid w:val="0F811E95"/>
    <w:rsid w:val="138D0A24"/>
    <w:rsid w:val="1404500D"/>
    <w:rsid w:val="14763473"/>
    <w:rsid w:val="166A1720"/>
    <w:rsid w:val="18573D64"/>
    <w:rsid w:val="196479CF"/>
    <w:rsid w:val="199D1B1F"/>
    <w:rsid w:val="1ADD18DA"/>
    <w:rsid w:val="1DD35264"/>
    <w:rsid w:val="1EDA35BF"/>
    <w:rsid w:val="201F5BA8"/>
    <w:rsid w:val="20873B99"/>
    <w:rsid w:val="215E49C8"/>
    <w:rsid w:val="21CC56A0"/>
    <w:rsid w:val="230B52C8"/>
    <w:rsid w:val="25DE232E"/>
    <w:rsid w:val="2648559D"/>
    <w:rsid w:val="26AA5F44"/>
    <w:rsid w:val="26CB50A9"/>
    <w:rsid w:val="28A077E8"/>
    <w:rsid w:val="29DA08EE"/>
    <w:rsid w:val="2B8D50C5"/>
    <w:rsid w:val="30247F34"/>
    <w:rsid w:val="304F1AB4"/>
    <w:rsid w:val="31824933"/>
    <w:rsid w:val="328F5F4B"/>
    <w:rsid w:val="32EF63B7"/>
    <w:rsid w:val="3B375546"/>
    <w:rsid w:val="3D08531B"/>
    <w:rsid w:val="3E3D6882"/>
    <w:rsid w:val="3F3423F7"/>
    <w:rsid w:val="41EC0438"/>
    <w:rsid w:val="42E6595F"/>
    <w:rsid w:val="444D5DA5"/>
    <w:rsid w:val="4534063D"/>
    <w:rsid w:val="4639574F"/>
    <w:rsid w:val="467A55F1"/>
    <w:rsid w:val="47305B9A"/>
    <w:rsid w:val="492E0DB6"/>
    <w:rsid w:val="49B570B6"/>
    <w:rsid w:val="4A777137"/>
    <w:rsid w:val="4B3034B0"/>
    <w:rsid w:val="4B8D1A8F"/>
    <w:rsid w:val="4BFE09C3"/>
    <w:rsid w:val="4EB70F0D"/>
    <w:rsid w:val="4FDA2B5D"/>
    <w:rsid w:val="51785811"/>
    <w:rsid w:val="51DC67CC"/>
    <w:rsid w:val="53FF2B7C"/>
    <w:rsid w:val="544067AC"/>
    <w:rsid w:val="580975E3"/>
    <w:rsid w:val="59146B6E"/>
    <w:rsid w:val="59C84718"/>
    <w:rsid w:val="5A0C3C57"/>
    <w:rsid w:val="5ABE7D87"/>
    <w:rsid w:val="5BD9704F"/>
    <w:rsid w:val="5C2D016A"/>
    <w:rsid w:val="5EB804F7"/>
    <w:rsid w:val="5FFF7D02"/>
    <w:rsid w:val="60255718"/>
    <w:rsid w:val="650869CE"/>
    <w:rsid w:val="6A842222"/>
    <w:rsid w:val="6CE90B36"/>
    <w:rsid w:val="6E2031CA"/>
    <w:rsid w:val="6FA80114"/>
    <w:rsid w:val="74441D0D"/>
    <w:rsid w:val="756C0A78"/>
    <w:rsid w:val="75ED12C4"/>
    <w:rsid w:val="76A11691"/>
    <w:rsid w:val="770F78D0"/>
    <w:rsid w:val="79701CA2"/>
    <w:rsid w:val="7E094382"/>
    <w:rsid w:val="7E900204"/>
    <w:rsid w:val="7EED6CFA"/>
    <w:rsid w:val="7F7D7013"/>
    <w:rsid w:val="7FA049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6"/>
    <w:qFormat/>
    <w:uiPriority w:val="9"/>
    <w:pPr>
      <w:spacing w:before="480"/>
      <w:contextualSpacing/>
      <w:jc w:val="center"/>
      <w:outlineLvl w:val="0"/>
    </w:pPr>
    <w:rPr>
      <w:rFonts w:ascii="仿宋_GB2312" w:hAnsi="仿宋" w:eastAsia="仿宋_GB2312" w:cstheme="majorBidi"/>
      <w:b/>
      <w:smallCaps/>
      <w:spacing w:val="5"/>
      <w:sz w:val="36"/>
      <w:szCs w:val="36"/>
    </w:rPr>
  </w:style>
  <w:style w:type="paragraph" w:styleId="4">
    <w:name w:val="heading 2"/>
    <w:basedOn w:val="1"/>
    <w:next w:val="1"/>
    <w:link w:val="37"/>
    <w:unhideWhenUsed/>
    <w:qFormat/>
    <w:uiPriority w:val="9"/>
    <w:pPr>
      <w:spacing w:before="200" w:line="271" w:lineRule="auto"/>
      <w:jc w:val="center"/>
      <w:outlineLvl w:val="1"/>
    </w:pPr>
    <w:rPr>
      <w:rFonts w:ascii="仿宋" w:hAnsi="仿宋" w:eastAsia="仿宋" w:cstheme="majorBidi"/>
      <w:b/>
      <w:smallCaps/>
      <w:sz w:val="28"/>
      <w:szCs w:val="28"/>
    </w:rPr>
  </w:style>
  <w:style w:type="paragraph" w:styleId="5">
    <w:name w:val="heading 3"/>
    <w:basedOn w:val="1"/>
    <w:next w:val="1"/>
    <w:link w:val="38"/>
    <w:unhideWhenUsed/>
    <w:qFormat/>
    <w:uiPriority w:val="9"/>
    <w:pPr>
      <w:spacing w:after="200"/>
      <w:outlineLvl w:val="2"/>
    </w:pPr>
    <w:rPr>
      <w:rFonts w:ascii="仿宋" w:hAnsi="仿宋" w:eastAsia="仿宋" w:cstheme="majorBidi"/>
      <w:b/>
    </w:rPr>
  </w:style>
  <w:style w:type="paragraph" w:styleId="2">
    <w:name w:val="heading 4"/>
    <w:basedOn w:val="1"/>
    <w:next w:val="1"/>
    <w:link w:val="39"/>
    <w:autoRedefine/>
    <w:unhideWhenUsed/>
    <w:qFormat/>
    <w:uiPriority w:val="9"/>
    <w:pPr>
      <w:spacing w:line="271" w:lineRule="auto"/>
      <w:outlineLvl w:val="3"/>
    </w:pPr>
    <w:rPr>
      <w:rFonts w:ascii="仿宋" w:hAnsi="仿宋" w:eastAsia="仿宋" w:cstheme="majorBidi"/>
      <w:b/>
      <w:bCs/>
      <w:spacing w:val="5"/>
    </w:rPr>
  </w:style>
  <w:style w:type="paragraph" w:styleId="6">
    <w:name w:val="heading 5"/>
    <w:basedOn w:val="1"/>
    <w:next w:val="1"/>
    <w:link w:val="40"/>
    <w:unhideWhenUsed/>
    <w:qFormat/>
    <w:uiPriority w:val="9"/>
    <w:pPr>
      <w:spacing w:line="271" w:lineRule="auto"/>
      <w:outlineLvl w:val="4"/>
    </w:pPr>
    <w:rPr>
      <w:rFonts w:ascii="仿宋" w:hAnsi="仿宋" w:eastAsia="仿宋" w:cstheme="majorBidi"/>
      <w:i/>
      <w:iCs/>
    </w:rPr>
  </w:style>
  <w:style w:type="paragraph" w:styleId="7">
    <w:name w:val="heading 6"/>
    <w:basedOn w:val="1"/>
    <w:next w:val="1"/>
    <w:link w:val="41"/>
    <w:autoRedefine/>
    <w:semiHidden/>
    <w:unhideWhenUsed/>
    <w:qFormat/>
    <w:uiPriority w:val="9"/>
    <w:pPr>
      <w:shd w:val="clear" w:color="auto" w:fill="FFFFFF" w:themeFill="background1"/>
      <w:spacing w:line="271" w:lineRule="auto"/>
      <w:outlineLvl w:val="5"/>
    </w:pPr>
    <w:rPr>
      <w:rFonts w:ascii="仿宋" w:hAnsi="仿宋" w:eastAsia="仿宋" w:cstheme="majorBidi"/>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2"/>
    <w:autoRedefine/>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3"/>
    <w:autoRedefine/>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4"/>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3"/>
    <w:autoRedefine/>
    <w:qFormat/>
    <w:uiPriority w:val="0"/>
    <w:pPr>
      <w:adjustRightInd w:val="0"/>
      <w:snapToGrid w:val="0"/>
      <w:spacing w:line="480" w:lineRule="exact"/>
      <w:ind w:firstLine="567"/>
      <w:jc w:val="both"/>
    </w:pPr>
    <w:rPr>
      <w:rFonts w:hAnsi="Times New Roman" w:cs="Times New Roman"/>
      <w:snapToGrid w:val="0"/>
      <w:color w:val="000000"/>
      <w:kern w:val="28"/>
      <w:sz w:val="28"/>
      <w:szCs w:val="20"/>
    </w:rPr>
  </w:style>
  <w:style w:type="paragraph" w:styleId="12">
    <w:name w:val="caption"/>
    <w:basedOn w:val="1"/>
    <w:next w:val="1"/>
    <w:autoRedefine/>
    <w:semiHidden/>
    <w:unhideWhenUsed/>
    <w:qFormat/>
    <w:uiPriority w:val="35"/>
    <w:rPr>
      <w:b/>
      <w:bCs/>
      <w:caps/>
      <w:sz w:val="16"/>
      <w:szCs w:val="18"/>
    </w:rPr>
  </w:style>
  <w:style w:type="paragraph" w:styleId="13">
    <w:name w:val="Body Text"/>
    <w:basedOn w:val="1"/>
    <w:next w:val="14"/>
    <w:link w:val="92"/>
    <w:autoRedefine/>
    <w:qFormat/>
    <w:uiPriority w:val="99"/>
    <w:pPr>
      <w:autoSpaceDE w:val="0"/>
      <w:autoSpaceDN w:val="0"/>
      <w:adjustRightInd w:val="0"/>
      <w:spacing w:after="200" w:line="360" w:lineRule="auto"/>
    </w:pPr>
    <w:rPr>
      <w:rFonts w:hAnsi="Arial" w:eastAsia="仿宋" w:cs="Arial"/>
      <w:snapToGrid w:val="0"/>
      <w:szCs w:val="21"/>
      <w:lang w:val="zh-CN"/>
    </w:rPr>
  </w:style>
  <w:style w:type="paragraph" w:styleId="14">
    <w:name w:val="Body Text First Indent"/>
    <w:basedOn w:val="13"/>
    <w:next w:val="1"/>
    <w:autoRedefine/>
    <w:qFormat/>
    <w:uiPriority w:val="0"/>
    <w:pPr>
      <w:ind w:firstLine="420"/>
    </w:pPr>
    <w:rPr>
      <w:rFonts w:hAnsi="Calibri" w:cs="Times New Roman"/>
      <w:snapToGrid/>
      <w:szCs w:val="20"/>
    </w:rPr>
  </w:style>
  <w:style w:type="paragraph" w:styleId="15">
    <w:name w:val="Body Text Indent"/>
    <w:basedOn w:val="1"/>
    <w:next w:val="1"/>
    <w:link w:val="66"/>
    <w:autoRedefine/>
    <w:qFormat/>
    <w:uiPriority w:val="0"/>
    <w:pPr>
      <w:widowControl w:val="0"/>
      <w:adjustRightInd w:val="0"/>
      <w:spacing w:line="480" w:lineRule="exact"/>
      <w:ind w:firstLine="480" w:firstLineChars="200"/>
      <w:jc w:val="both"/>
    </w:pPr>
    <w:rPr>
      <w:rFonts w:cs="Times New Roman"/>
      <w:kern w:val="2"/>
    </w:rPr>
  </w:style>
  <w:style w:type="paragraph" w:styleId="16">
    <w:name w:val="Plain Text"/>
    <w:basedOn w:val="1"/>
    <w:link w:val="64"/>
    <w:autoRedefine/>
    <w:qFormat/>
    <w:uiPriority w:val="0"/>
    <w:pPr>
      <w:widowControl w:val="0"/>
      <w:adjustRightInd w:val="0"/>
      <w:jc w:val="both"/>
    </w:pPr>
    <w:rPr>
      <w:rFonts w:hAnsi="Courier New" w:cs="Arial"/>
      <w:snapToGrid w:val="0"/>
      <w:kern w:val="2"/>
      <w:sz w:val="21"/>
      <w:szCs w:val="21"/>
    </w:rPr>
  </w:style>
  <w:style w:type="paragraph" w:styleId="17">
    <w:name w:val="Balloon Text"/>
    <w:basedOn w:val="1"/>
    <w:link w:val="78"/>
    <w:autoRedefine/>
    <w:semiHidden/>
    <w:unhideWhenUsed/>
    <w:qFormat/>
    <w:uiPriority w:val="99"/>
    <w:rPr>
      <w:sz w:val="18"/>
      <w:szCs w:val="18"/>
    </w:rPr>
  </w:style>
  <w:style w:type="paragraph" w:styleId="18">
    <w:name w:val="footer"/>
    <w:basedOn w:val="1"/>
    <w:link w:val="35"/>
    <w:autoRedefine/>
    <w:unhideWhenUsed/>
    <w:qFormat/>
    <w:uiPriority w:val="99"/>
    <w:pPr>
      <w:tabs>
        <w:tab w:val="center" w:pos="4153"/>
        <w:tab w:val="right" w:pos="8306"/>
      </w:tabs>
      <w:snapToGrid w:val="0"/>
      <w:spacing w:after="200"/>
    </w:pPr>
    <w:rPr>
      <w:rFonts w:ascii="仿宋" w:hAnsi="仿宋" w:eastAsia="仿宋" w:cstheme="majorBidi"/>
      <w:sz w:val="18"/>
      <w:szCs w:val="18"/>
    </w:rPr>
  </w:style>
  <w:style w:type="paragraph" w:styleId="19">
    <w:name w:val="header"/>
    <w:basedOn w:val="1"/>
    <w:link w:val="34"/>
    <w:autoRedefine/>
    <w:unhideWhenUsed/>
    <w:qFormat/>
    <w:uiPriority w:val="99"/>
    <w:pPr>
      <w:pBdr>
        <w:bottom w:val="single" w:color="auto" w:sz="6" w:space="1"/>
      </w:pBdr>
      <w:tabs>
        <w:tab w:val="center" w:pos="4153"/>
        <w:tab w:val="right" w:pos="8306"/>
      </w:tabs>
      <w:snapToGrid w:val="0"/>
      <w:spacing w:after="200"/>
      <w:jc w:val="center"/>
    </w:pPr>
    <w:rPr>
      <w:rFonts w:ascii="仿宋" w:hAnsi="仿宋" w:eastAsia="仿宋" w:cstheme="majorBidi"/>
      <w:sz w:val="18"/>
      <w:szCs w:val="18"/>
    </w:rPr>
  </w:style>
  <w:style w:type="paragraph" w:styleId="20">
    <w:name w:val="toc 1"/>
    <w:basedOn w:val="1"/>
    <w:next w:val="1"/>
    <w:autoRedefine/>
    <w:qFormat/>
    <w:uiPriority w:val="0"/>
    <w:pPr>
      <w:spacing w:after="200"/>
    </w:pPr>
    <w:rPr>
      <w:rFonts w:ascii="仿宋" w:hAnsi="仿宋" w:eastAsia="仿宋" w:cstheme="majorBidi"/>
    </w:rPr>
  </w:style>
  <w:style w:type="paragraph" w:styleId="21">
    <w:name w:val="Subtitle"/>
    <w:basedOn w:val="1"/>
    <w:next w:val="1"/>
    <w:link w:val="46"/>
    <w:autoRedefine/>
    <w:qFormat/>
    <w:uiPriority w:val="11"/>
    <w:pPr>
      <w:spacing w:after="200"/>
    </w:pPr>
    <w:rPr>
      <w:rFonts w:ascii="仿宋" w:hAnsi="仿宋" w:eastAsia="仿宋" w:cstheme="majorBidi"/>
      <w:i/>
      <w:iCs/>
      <w:smallCaps/>
      <w:spacing w:val="10"/>
      <w:sz w:val="28"/>
      <w:szCs w:val="28"/>
    </w:rPr>
  </w:style>
  <w:style w:type="paragraph" w:styleId="22">
    <w:name w:val="Normal (Web)"/>
    <w:basedOn w:val="1"/>
    <w:autoRedefine/>
    <w:qFormat/>
    <w:uiPriority w:val="99"/>
    <w:pPr>
      <w:spacing w:before="100" w:beforeAutospacing="1" w:after="100" w:afterAutospacing="1"/>
    </w:pPr>
    <w:rPr>
      <w:rFonts w:ascii="仿宋" w:hAnsi="仿宋" w:eastAsia="仿宋" w:cstheme="majorBidi"/>
    </w:rPr>
  </w:style>
  <w:style w:type="paragraph" w:styleId="23">
    <w:name w:val="Title"/>
    <w:basedOn w:val="1"/>
    <w:next w:val="1"/>
    <w:link w:val="45"/>
    <w:autoRedefine/>
    <w:qFormat/>
    <w:uiPriority w:val="10"/>
    <w:pPr>
      <w:spacing w:after="300"/>
      <w:contextualSpacing/>
    </w:pPr>
    <w:rPr>
      <w:rFonts w:ascii="仿宋" w:hAnsi="仿宋" w:eastAsia="仿宋" w:cstheme="majorBidi"/>
      <w:smallCaps/>
      <w:sz w:val="52"/>
      <w:szCs w:val="52"/>
    </w:rPr>
  </w:style>
  <w:style w:type="paragraph" w:styleId="24">
    <w:name w:val="Body Text First Indent 2"/>
    <w:basedOn w:val="15"/>
    <w:autoRedefine/>
    <w:semiHidden/>
    <w:unhideWhenUsed/>
    <w:qFormat/>
    <w:uiPriority w:val="99"/>
    <w:pPr>
      <w:ind w:firstLine="42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bCs/>
    </w:rPr>
  </w:style>
  <w:style w:type="character" w:styleId="29">
    <w:name w:val="FollowedHyperlink"/>
    <w:basedOn w:val="27"/>
    <w:autoRedefine/>
    <w:semiHidden/>
    <w:unhideWhenUsed/>
    <w:qFormat/>
    <w:uiPriority w:val="99"/>
    <w:rPr>
      <w:color w:val="954F72"/>
      <w:u w:val="single"/>
    </w:rPr>
  </w:style>
  <w:style w:type="character" w:styleId="30">
    <w:name w:val="Emphasis"/>
    <w:autoRedefine/>
    <w:qFormat/>
    <w:uiPriority w:val="20"/>
    <w:rPr>
      <w:b/>
      <w:bCs/>
      <w:i/>
      <w:iCs/>
      <w:spacing w:val="10"/>
    </w:rPr>
  </w:style>
  <w:style w:type="character" w:styleId="31">
    <w:name w:val="Hyperlink"/>
    <w:autoRedefine/>
    <w:qFormat/>
    <w:uiPriority w:val="99"/>
    <w:rPr>
      <w:rFonts w:ascii="Arial" w:hAnsi="Arial" w:eastAsia="黑体" w:cs="Arial"/>
      <w:snapToGrid w:val="0"/>
      <w:color w:val="000000"/>
      <w:kern w:val="0"/>
      <w:sz w:val="18"/>
      <w:szCs w:val="18"/>
      <w:u w:val="none"/>
    </w:rPr>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正文文本首行缩进 21"/>
    <w:basedOn w:val="15"/>
    <w:autoRedefine/>
    <w:qFormat/>
    <w:uiPriority w:val="99"/>
    <w:pPr>
      <w:spacing w:line="200" w:lineRule="atLeast"/>
      <w:ind w:firstLine="420"/>
    </w:pPr>
    <w:rPr>
      <w:rFonts w:hAnsi="Courier New" w:asciiTheme="minorHAnsi" w:eastAsiaTheme="minorEastAsia" w:cstheme="minorBidi"/>
      <w:spacing w:val="-4"/>
      <w:sz w:val="18"/>
      <w:szCs w:val="22"/>
    </w:rPr>
  </w:style>
  <w:style w:type="character" w:customStyle="1" w:styleId="34">
    <w:name w:val="页眉 字符"/>
    <w:basedOn w:val="27"/>
    <w:link w:val="19"/>
    <w:autoRedefine/>
    <w:qFormat/>
    <w:uiPriority w:val="99"/>
    <w:rPr>
      <w:sz w:val="18"/>
      <w:szCs w:val="18"/>
    </w:rPr>
  </w:style>
  <w:style w:type="character" w:customStyle="1" w:styleId="35">
    <w:name w:val="页脚 字符"/>
    <w:basedOn w:val="27"/>
    <w:link w:val="18"/>
    <w:autoRedefine/>
    <w:qFormat/>
    <w:uiPriority w:val="99"/>
    <w:rPr>
      <w:sz w:val="18"/>
      <w:szCs w:val="18"/>
    </w:rPr>
  </w:style>
  <w:style w:type="character" w:customStyle="1" w:styleId="36">
    <w:name w:val="标题 1 字符"/>
    <w:basedOn w:val="27"/>
    <w:link w:val="3"/>
    <w:autoRedefine/>
    <w:qFormat/>
    <w:uiPriority w:val="9"/>
    <w:rPr>
      <w:rFonts w:ascii="仿宋_GB2312" w:hAnsi="仿宋" w:eastAsia="仿宋_GB2312"/>
      <w:b/>
      <w:smallCaps/>
      <w:spacing w:val="5"/>
      <w:sz w:val="36"/>
      <w:szCs w:val="36"/>
    </w:rPr>
  </w:style>
  <w:style w:type="character" w:customStyle="1" w:styleId="37">
    <w:name w:val="标题 2 字符"/>
    <w:basedOn w:val="27"/>
    <w:link w:val="4"/>
    <w:autoRedefine/>
    <w:qFormat/>
    <w:uiPriority w:val="9"/>
    <w:rPr>
      <w:rFonts w:ascii="仿宋" w:hAnsi="仿宋" w:eastAsia="仿宋"/>
      <w:b/>
      <w:smallCaps/>
      <w:sz w:val="28"/>
      <w:szCs w:val="28"/>
    </w:rPr>
  </w:style>
  <w:style w:type="character" w:customStyle="1" w:styleId="38">
    <w:name w:val="标题 3 字符"/>
    <w:basedOn w:val="27"/>
    <w:link w:val="5"/>
    <w:autoRedefine/>
    <w:qFormat/>
    <w:uiPriority w:val="9"/>
    <w:rPr>
      <w:rFonts w:ascii="仿宋" w:hAnsi="仿宋" w:eastAsia="仿宋"/>
      <w:b/>
      <w:sz w:val="24"/>
      <w:szCs w:val="24"/>
    </w:rPr>
  </w:style>
  <w:style w:type="character" w:customStyle="1" w:styleId="39">
    <w:name w:val="标题 4 字符"/>
    <w:basedOn w:val="27"/>
    <w:link w:val="2"/>
    <w:autoRedefine/>
    <w:qFormat/>
    <w:uiPriority w:val="9"/>
    <w:rPr>
      <w:b/>
      <w:bCs/>
      <w:spacing w:val="5"/>
      <w:sz w:val="24"/>
      <w:szCs w:val="24"/>
    </w:rPr>
  </w:style>
  <w:style w:type="character" w:customStyle="1" w:styleId="40">
    <w:name w:val="标题 5 字符"/>
    <w:basedOn w:val="27"/>
    <w:link w:val="6"/>
    <w:autoRedefine/>
    <w:qFormat/>
    <w:uiPriority w:val="9"/>
    <w:rPr>
      <w:i/>
      <w:iCs/>
      <w:sz w:val="24"/>
      <w:szCs w:val="24"/>
    </w:rPr>
  </w:style>
  <w:style w:type="character" w:customStyle="1" w:styleId="41">
    <w:name w:val="标题 6 字符"/>
    <w:basedOn w:val="27"/>
    <w:link w:val="7"/>
    <w:autoRedefine/>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2">
    <w:name w:val="标题 7 字符"/>
    <w:basedOn w:val="27"/>
    <w:link w:val="8"/>
    <w:autoRedefine/>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3">
    <w:name w:val="标题 8 字符"/>
    <w:basedOn w:val="27"/>
    <w:link w:val="9"/>
    <w:autoRedefine/>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4">
    <w:name w:val="标题 9 字符"/>
    <w:basedOn w:val="27"/>
    <w:link w:val="10"/>
    <w:autoRedefine/>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5">
    <w:name w:val="标题 字符"/>
    <w:basedOn w:val="27"/>
    <w:link w:val="23"/>
    <w:autoRedefine/>
    <w:qFormat/>
    <w:uiPriority w:val="10"/>
    <w:rPr>
      <w:smallCaps/>
      <w:sz w:val="52"/>
      <w:szCs w:val="52"/>
    </w:rPr>
  </w:style>
  <w:style w:type="character" w:customStyle="1" w:styleId="46">
    <w:name w:val="副标题 字符"/>
    <w:basedOn w:val="27"/>
    <w:link w:val="21"/>
    <w:autoRedefine/>
    <w:qFormat/>
    <w:uiPriority w:val="11"/>
    <w:rPr>
      <w:i/>
      <w:iCs/>
      <w:smallCaps/>
      <w:spacing w:val="10"/>
      <w:sz w:val="28"/>
      <w:szCs w:val="28"/>
    </w:rPr>
  </w:style>
  <w:style w:type="paragraph" w:styleId="47">
    <w:name w:val="No Spacing"/>
    <w:basedOn w:val="1"/>
    <w:link w:val="59"/>
    <w:autoRedefine/>
    <w:qFormat/>
    <w:uiPriority w:val="1"/>
    <w:rPr>
      <w:rFonts w:ascii="仿宋" w:hAnsi="仿宋" w:eastAsia="仿宋" w:cstheme="majorBidi"/>
    </w:rPr>
  </w:style>
  <w:style w:type="paragraph" w:styleId="48">
    <w:name w:val="List Paragraph"/>
    <w:basedOn w:val="1"/>
    <w:autoRedefine/>
    <w:qFormat/>
    <w:uiPriority w:val="34"/>
    <w:pPr>
      <w:spacing w:after="200"/>
      <w:ind w:left="720"/>
      <w:contextualSpacing/>
    </w:pPr>
    <w:rPr>
      <w:rFonts w:ascii="仿宋" w:hAnsi="仿宋" w:eastAsia="仿宋" w:cstheme="majorBidi"/>
    </w:rPr>
  </w:style>
  <w:style w:type="paragraph" w:styleId="49">
    <w:name w:val="Quote"/>
    <w:basedOn w:val="1"/>
    <w:next w:val="1"/>
    <w:link w:val="50"/>
    <w:autoRedefine/>
    <w:qFormat/>
    <w:uiPriority w:val="29"/>
    <w:pPr>
      <w:spacing w:after="200"/>
    </w:pPr>
    <w:rPr>
      <w:rFonts w:ascii="仿宋" w:hAnsi="仿宋" w:eastAsia="仿宋" w:cstheme="majorBidi"/>
      <w:i/>
      <w:iCs/>
    </w:rPr>
  </w:style>
  <w:style w:type="character" w:customStyle="1" w:styleId="50">
    <w:name w:val="引用 字符"/>
    <w:basedOn w:val="27"/>
    <w:link w:val="49"/>
    <w:autoRedefine/>
    <w:qFormat/>
    <w:uiPriority w:val="29"/>
    <w:rPr>
      <w:i/>
      <w:iCs/>
    </w:rPr>
  </w:style>
  <w:style w:type="paragraph" w:styleId="51">
    <w:name w:val="Intense Quote"/>
    <w:basedOn w:val="1"/>
    <w:next w:val="1"/>
    <w:link w:val="52"/>
    <w:autoRedefine/>
    <w:qFormat/>
    <w:uiPriority w:val="30"/>
    <w:pPr>
      <w:pBdr>
        <w:top w:val="single" w:color="auto" w:sz="4" w:space="10"/>
        <w:bottom w:val="single" w:color="auto" w:sz="4" w:space="10"/>
      </w:pBdr>
      <w:spacing w:before="240" w:after="240" w:line="300" w:lineRule="auto"/>
      <w:ind w:left="1152" w:right="1152"/>
      <w:jc w:val="both"/>
    </w:pPr>
    <w:rPr>
      <w:rFonts w:ascii="仿宋" w:hAnsi="仿宋" w:eastAsia="仿宋" w:cstheme="majorBidi"/>
      <w:i/>
      <w:iCs/>
    </w:rPr>
  </w:style>
  <w:style w:type="character" w:customStyle="1" w:styleId="52">
    <w:name w:val="明显引用 字符"/>
    <w:basedOn w:val="27"/>
    <w:link w:val="51"/>
    <w:autoRedefine/>
    <w:qFormat/>
    <w:uiPriority w:val="30"/>
    <w:rPr>
      <w:i/>
      <w:iCs/>
    </w:rPr>
  </w:style>
  <w:style w:type="character" w:customStyle="1" w:styleId="53">
    <w:name w:val="不明显强调1"/>
    <w:autoRedefine/>
    <w:qFormat/>
    <w:uiPriority w:val="19"/>
    <w:rPr>
      <w:i/>
      <w:iCs/>
    </w:rPr>
  </w:style>
  <w:style w:type="character" w:customStyle="1" w:styleId="54">
    <w:name w:val="明显强调1"/>
    <w:autoRedefine/>
    <w:qFormat/>
    <w:uiPriority w:val="21"/>
    <w:rPr>
      <w:b/>
      <w:bCs/>
      <w:i/>
      <w:iCs/>
    </w:rPr>
  </w:style>
  <w:style w:type="character" w:customStyle="1" w:styleId="55">
    <w:name w:val="不明显参考1"/>
    <w:basedOn w:val="27"/>
    <w:autoRedefine/>
    <w:qFormat/>
    <w:uiPriority w:val="31"/>
    <w:rPr>
      <w:smallCaps/>
    </w:rPr>
  </w:style>
  <w:style w:type="character" w:customStyle="1" w:styleId="56">
    <w:name w:val="明显参考1"/>
    <w:qFormat/>
    <w:uiPriority w:val="32"/>
    <w:rPr>
      <w:b/>
      <w:bCs/>
      <w:smallCaps/>
    </w:rPr>
  </w:style>
  <w:style w:type="character" w:customStyle="1" w:styleId="57">
    <w:name w:val="书籍标题1"/>
    <w:basedOn w:val="27"/>
    <w:autoRedefine/>
    <w:qFormat/>
    <w:uiPriority w:val="33"/>
    <w:rPr>
      <w:i/>
      <w:iCs/>
      <w:smallCaps/>
      <w:spacing w:val="5"/>
    </w:rPr>
  </w:style>
  <w:style w:type="paragraph" w:customStyle="1" w:styleId="58">
    <w:name w:val="TOC 标题1"/>
    <w:basedOn w:val="3"/>
    <w:next w:val="1"/>
    <w:semiHidden/>
    <w:unhideWhenUsed/>
    <w:qFormat/>
    <w:uiPriority w:val="39"/>
    <w:pPr>
      <w:outlineLvl w:val="9"/>
    </w:pPr>
    <w:rPr>
      <w:lang w:bidi="en-US"/>
    </w:rPr>
  </w:style>
  <w:style w:type="character" w:customStyle="1" w:styleId="59">
    <w:name w:val="无间隔 字符"/>
    <w:basedOn w:val="27"/>
    <w:link w:val="47"/>
    <w:autoRedefine/>
    <w:qFormat/>
    <w:uiPriority w:val="1"/>
  </w:style>
  <w:style w:type="paragraph" w:customStyle="1" w:styleId="60">
    <w:name w:val="Personal Name"/>
    <w:basedOn w:val="23"/>
    <w:autoRedefine/>
    <w:qFormat/>
    <w:uiPriority w:val="0"/>
    <w:rPr>
      <w:b/>
      <w:caps/>
      <w:color w:val="000000"/>
      <w:sz w:val="28"/>
      <w:szCs w:val="28"/>
    </w:rPr>
  </w:style>
  <w:style w:type="character" w:customStyle="1" w:styleId="61">
    <w:name w:val="正文2 Char Char"/>
    <w:link w:val="62"/>
    <w:qFormat/>
    <w:uiPriority w:val="0"/>
    <w:rPr>
      <w:rFonts w:ascii="仿宋" w:hAnsi="仿宋" w:eastAsia="仿宋"/>
      <w:sz w:val="24"/>
      <w:szCs w:val="24"/>
    </w:rPr>
  </w:style>
  <w:style w:type="paragraph" w:customStyle="1" w:styleId="62">
    <w:name w:val="正文2"/>
    <w:basedOn w:val="1"/>
    <w:link w:val="61"/>
    <w:autoRedefine/>
    <w:qFormat/>
    <w:uiPriority w:val="0"/>
    <w:pPr>
      <w:spacing w:after="200" w:line="360" w:lineRule="auto"/>
    </w:pPr>
    <w:rPr>
      <w:rFonts w:ascii="仿宋" w:hAnsi="仿宋" w:eastAsia="仿宋" w:cstheme="majorBidi"/>
    </w:rPr>
  </w:style>
  <w:style w:type="character" w:customStyle="1" w:styleId="63">
    <w:name w:val="正文缩进 字符"/>
    <w:link w:val="11"/>
    <w:autoRedefine/>
    <w:qFormat/>
    <w:uiPriority w:val="0"/>
    <w:rPr>
      <w:rFonts w:ascii="宋体" w:hAnsi="Times New Roman" w:eastAsia="宋体" w:cs="Times New Roman"/>
      <w:snapToGrid w:val="0"/>
      <w:color w:val="000000"/>
      <w:kern w:val="28"/>
      <w:sz w:val="28"/>
      <w:szCs w:val="20"/>
    </w:rPr>
  </w:style>
  <w:style w:type="character" w:customStyle="1" w:styleId="64">
    <w:name w:val="纯文本 字符"/>
    <w:basedOn w:val="27"/>
    <w:link w:val="16"/>
    <w:autoRedefine/>
    <w:qFormat/>
    <w:uiPriority w:val="0"/>
    <w:rPr>
      <w:rFonts w:ascii="宋体" w:hAnsi="Courier New" w:eastAsia="宋体" w:cs="Arial"/>
      <w:snapToGrid w:val="0"/>
      <w:kern w:val="2"/>
      <w:sz w:val="21"/>
      <w:szCs w:val="21"/>
    </w:rPr>
  </w:style>
  <w:style w:type="character" w:customStyle="1" w:styleId="65">
    <w:name w:val="正文文本缩进 Char"/>
    <w:basedOn w:val="27"/>
    <w:autoRedefine/>
    <w:semiHidden/>
    <w:qFormat/>
    <w:uiPriority w:val="99"/>
    <w:rPr>
      <w:rFonts w:ascii="仿宋" w:hAnsi="仿宋" w:eastAsia="仿宋"/>
      <w:sz w:val="24"/>
      <w:szCs w:val="24"/>
    </w:rPr>
  </w:style>
  <w:style w:type="character" w:customStyle="1" w:styleId="66">
    <w:name w:val="正文文本缩进 字符"/>
    <w:link w:val="15"/>
    <w:autoRedefine/>
    <w:qFormat/>
    <w:uiPriority w:val="0"/>
    <w:rPr>
      <w:rFonts w:ascii="宋体" w:hAnsi="宋体" w:eastAsia="宋体" w:cs="Times New Roman"/>
      <w:kern w:val="2"/>
      <w:sz w:val="24"/>
      <w:szCs w:val="24"/>
    </w:rPr>
  </w:style>
  <w:style w:type="character" w:customStyle="1" w:styleId="67">
    <w:name w:val="标题 Char2"/>
    <w:autoRedefine/>
    <w:qFormat/>
    <w:uiPriority w:val="10"/>
    <w:rPr>
      <w:b/>
      <w:sz w:val="24"/>
      <w:lang w:val="en-GB"/>
    </w:rPr>
  </w:style>
  <w:style w:type="character" w:customStyle="1" w:styleId="68">
    <w:name w:val="纯文本 Char1"/>
    <w:link w:val="69"/>
    <w:autoRedefine/>
    <w:qFormat/>
    <w:uiPriority w:val="0"/>
    <w:rPr>
      <w:rFonts w:ascii="宋体" w:hAnsi="Courier New"/>
    </w:rPr>
  </w:style>
  <w:style w:type="paragraph" w:customStyle="1" w:styleId="69">
    <w:name w:val="纯文本1"/>
    <w:basedOn w:val="1"/>
    <w:link w:val="68"/>
    <w:autoRedefine/>
    <w:qFormat/>
    <w:uiPriority w:val="0"/>
    <w:pPr>
      <w:widowControl w:val="0"/>
      <w:jc w:val="both"/>
    </w:pPr>
    <w:rPr>
      <w:rFonts w:hAnsi="Courier New" w:eastAsiaTheme="majorEastAsia" w:cstheme="majorBidi"/>
      <w:sz w:val="22"/>
      <w:szCs w:val="22"/>
    </w:rPr>
  </w:style>
  <w:style w:type="character" w:customStyle="1" w:styleId="70">
    <w:name w:val="页脚 Char2"/>
    <w:autoRedefine/>
    <w:qFormat/>
    <w:locked/>
    <w:uiPriority w:val="99"/>
    <w:rPr>
      <w:kern w:val="2"/>
      <w:sz w:val="18"/>
      <w:szCs w:val="18"/>
    </w:rPr>
  </w:style>
  <w:style w:type="character" w:customStyle="1" w:styleId="71">
    <w:name w:val="页眉 Char2"/>
    <w:autoRedefine/>
    <w:qFormat/>
    <w:uiPriority w:val="99"/>
    <w:rPr>
      <w:kern w:val="2"/>
      <w:sz w:val="18"/>
      <w:szCs w:val="18"/>
    </w:rPr>
  </w:style>
  <w:style w:type="paragraph" w:customStyle="1" w:styleId="72">
    <w:name w:val="索引 11"/>
    <w:basedOn w:val="1"/>
    <w:next w:val="1"/>
    <w:autoRedefine/>
    <w:qFormat/>
    <w:uiPriority w:val="99"/>
    <w:pPr>
      <w:widowControl w:val="0"/>
      <w:spacing w:line="360" w:lineRule="auto"/>
      <w:jc w:val="both"/>
    </w:pPr>
    <w:rPr>
      <w:rFonts w:ascii="仿宋_GB2312" w:hAnsi="Times New Roman" w:eastAsia="仿宋_GB2312" w:cs="Times New Roman"/>
      <w:kern w:val="2"/>
      <w:szCs w:val="20"/>
    </w:rPr>
  </w:style>
  <w:style w:type="paragraph" w:customStyle="1" w:styleId="73">
    <w:name w:val="正文缩进1"/>
    <w:basedOn w:val="1"/>
    <w:next w:val="15"/>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cs="Times New Roman"/>
      <w:kern w:val="2"/>
      <w:szCs w:val="21"/>
    </w:rPr>
  </w:style>
  <w:style w:type="paragraph" w:customStyle="1" w:styleId="74">
    <w:name w:val="text-tag"/>
    <w:basedOn w:val="1"/>
    <w:autoRedefine/>
    <w:semiHidden/>
    <w:qFormat/>
    <w:uiPriority w:val="99"/>
    <w:pPr>
      <w:spacing w:before="100" w:beforeAutospacing="1" w:after="100" w:afterAutospacing="1"/>
    </w:pPr>
  </w:style>
  <w:style w:type="character" w:customStyle="1" w:styleId="75">
    <w:name w:val="纯文本 Char_0"/>
    <w:link w:val="76"/>
    <w:autoRedefine/>
    <w:qFormat/>
    <w:uiPriority w:val="0"/>
    <w:rPr>
      <w:rFonts w:ascii="宋体" w:hAnsi="Courier New"/>
      <w:kern w:val="2"/>
      <w:sz w:val="21"/>
      <w:szCs w:val="21"/>
    </w:rPr>
  </w:style>
  <w:style w:type="paragraph" w:customStyle="1" w:styleId="76">
    <w:name w:val="纯文本_0_0"/>
    <w:basedOn w:val="1"/>
    <w:link w:val="75"/>
    <w:autoRedefine/>
    <w:qFormat/>
    <w:uiPriority w:val="0"/>
    <w:pPr>
      <w:widowControl w:val="0"/>
      <w:jc w:val="both"/>
    </w:pPr>
    <w:rPr>
      <w:rFonts w:hAnsi="Courier New" w:eastAsiaTheme="majorEastAsia" w:cstheme="majorBidi"/>
      <w:kern w:val="2"/>
      <w:sz w:val="21"/>
      <w:szCs w:val="21"/>
    </w:rPr>
  </w:style>
  <w:style w:type="paragraph" w:customStyle="1" w:styleId="77">
    <w:name w:val="部分1"/>
    <w:basedOn w:val="1"/>
    <w:autoRedefine/>
    <w:qFormat/>
    <w:uiPriority w:val="0"/>
    <w:pPr>
      <w:keepNext/>
      <w:pageBreakBefore/>
      <w:widowControl w:val="0"/>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78">
    <w:name w:val="批注框文本 字符"/>
    <w:basedOn w:val="27"/>
    <w:link w:val="17"/>
    <w:autoRedefine/>
    <w:semiHidden/>
    <w:qFormat/>
    <w:uiPriority w:val="99"/>
    <w:rPr>
      <w:rFonts w:ascii="仿宋" w:hAnsi="仿宋" w:eastAsia="仿宋"/>
      <w:sz w:val="18"/>
      <w:szCs w:val="18"/>
    </w:rPr>
  </w:style>
  <w:style w:type="paragraph" w:customStyle="1" w:styleId="79">
    <w:name w:val="3级"/>
    <w:basedOn w:val="1"/>
    <w:autoRedefine/>
    <w:qFormat/>
    <w:uiPriority w:val="0"/>
    <w:pPr>
      <w:numPr>
        <w:ilvl w:val="0"/>
        <w:numId w:val="1"/>
      </w:numPr>
      <w:spacing w:after="200" w:line="360" w:lineRule="auto"/>
      <w:outlineLvl w:val="2"/>
    </w:pPr>
    <w:rPr>
      <w:rFonts w:ascii="仿宋" w:hAnsi="仿宋" w:eastAsia="仿宋" w:cstheme="majorBidi"/>
      <w:b/>
    </w:rPr>
  </w:style>
  <w:style w:type="paragraph" w:customStyle="1" w:styleId="80">
    <w:name w:val="zhengwen"/>
    <w:basedOn w:val="1"/>
    <w:autoRedefine/>
    <w:qFormat/>
    <w:uiPriority w:val="0"/>
    <w:pPr>
      <w:spacing w:after="200" w:line="360" w:lineRule="auto"/>
      <w:ind w:left="-2" w:leftChars="-1" w:firstLine="425" w:firstLineChars="177"/>
    </w:pPr>
    <w:rPr>
      <w:rFonts w:ascii="仿宋" w:hAnsi="仿宋" w:eastAsia="仿宋" w:cstheme="majorBidi"/>
    </w:rPr>
  </w:style>
  <w:style w:type="paragraph" w:customStyle="1" w:styleId="81">
    <w:name w:val="文档正文"/>
    <w:basedOn w:val="1"/>
    <w:autoRedefine/>
    <w:qFormat/>
    <w:uiPriority w:val="0"/>
    <w:pPr>
      <w:spacing w:after="200" w:line="480" w:lineRule="atLeast"/>
      <w:ind w:firstLine="567"/>
      <w:textAlignment w:val="baseline"/>
    </w:pPr>
    <w:rPr>
      <w:rFonts w:ascii="仿宋" w:hAnsi="仿宋" w:eastAsia="仿宋" w:cstheme="majorBidi"/>
      <w:szCs w:val="20"/>
    </w:rPr>
  </w:style>
  <w:style w:type="paragraph" w:customStyle="1" w:styleId="82">
    <w:name w:val="正常"/>
    <w:autoRedefine/>
    <w:qFormat/>
    <w:uiPriority w:val="0"/>
    <w:pPr>
      <w:widowControl w:val="0"/>
      <w:jc w:val="both"/>
    </w:pPr>
    <w:rPr>
      <w:rFonts w:ascii="宋体" w:hAnsi="宋体" w:eastAsia="宋体" w:cs="Times New Roman"/>
      <w:snapToGrid w:val="0"/>
      <w:sz w:val="24"/>
      <w:szCs w:val="24"/>
      <w:lang w:val="en-US" w:eastAsia="zh-CN" w:bidi="ar-SA"/>
    </w:rPr>
  </w:style>
  <w:style w:type="paragraph" w:customStyle="1" w:styleId="83">
    <w:name w:val="首行缩进"/>
    <w:autoRedefine/>
    <w:qFormat/>
    <w:uiPriority w:val="0"/>
    <w:pPr>
      <w:widowControl w:val="0"/>
      <w:adjustRightInd w:val="0"/>
      <w:spacing w:line="360" w:lineRule="auto"/>
      <w:ind w:firstLine="480" w:firstLineChars="200"/>
      <w:jc w:val="both"/>
    </w:pPr>
    <w:rPr>
      <w:rFonts w:ascii="宋体" w:hAnsi="Times New Roman" w:eastAsia="宋体" w:cs="Times New Roman"/>
      <w:kern w:val="2"/>
      <w:sz w:val="24"/>
      <w:lang w:val="en-US" w:eastAsia="zh-CN" w:bidi="ar-SA"/>
    </w:rPr>
  </w:style>
  <w:style w:type="paragraph" w:customStyle="1" w:styleId="84">
    <w:name w:val="一级条标题"/>
    <w:next w:val="85"/>
    <w:autoRedefine/>
    <w:qFormat/>
    <w:uiPriority w:val="0"/>
    <w:pPr>
      <w:tabs>
        <w:tab w:val="left" w:pos="1260"/>
        <w:tab w:val="left" w:pos="1680"/>
      </w:tabs>
      <w:ind w:left="1680" w:hanging="420"/>
      <w:jc w:val="both"/>
      <w:outlineLvl w:val="2"/>
    </w:pPr>
    <w:rPr>
      <w:rFonts w:ascii="黑体" w:hAnsi="Times New Roman" w:eastAsia="黑体" w:cs="Times New Roman"/>
      <w:sz w:val="21"/>
      <w:lang w:val="en-US" w:eastAsia="zh-CN" w:bidi="ar-SA"/>
    </w:rPr>
  </w:style>
  <w:style w:type="paragraph" w:customStyle="1" w:styleId="8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章标题"/>
    <w:next w:val="8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87">
    <w:name w:val="3级标题"/>
    <w:autoRedefine/>
    <w:qFormat/>
    <w:uiPriority w:val="0"/>
    <w:pPr>
      <w:widowControl w:val="0"/>
      <w:spacing w:beforeLines="10" w:afterLines="10" w:line="360" w:lineRule="auto"/>
      <w:outlineLvl w:val="2"/>
    </w:pPr>
    <w:rPr>
      <w:rFonts w:ascii="Times New Roman" w:hAnsi="Times New Roman" w:eastAsia="仿宋" w:cs="Times New Roman"/>
      <w:b/>
      <w:kern w:val="2"/>
      <w:sz w:val="30"/>
      <w:szCs w:val="22"/>
      <w:lang w:val="en-US" w:eastAsia="zh-CN" w:bidi="ar-SA"/>
    </w:rPr>
  </w:style>
  <w:style w:type="paragraph" w:customStyle="1" w:styleId="88">
    <w:name w:val="2级标题"/>
    <w:autoRedefine/>
    <w:qFormat/>
    <w:uiPriority w:val="0"/>
    <w:pPr>
      <w:widowControl w:val="0"/>
      <w:spacing w:beforeLines="10" w:afterLines="10" w:line="360" w:lineRule="auto"/>
      <w:outlineLvl w:val="1"/>
    </w:pPr>
    <w:rPr>
      <w:rFonts w:ascii="Times New Roman" w:hAnsi="Times New Roman" w:eastAsia="仿宋" w:cs="Times New Roman"/>
      <w:b/>
      <w:kern w:val="2"/>
      <w:sz w:val="30"/>
      <w:szCs w:val="22"/>
      <w:lang w:val="en-US" w:eastAsia="zh-CN" w:bidi="ar-SA"/>
    </w:rPr>
  </w:style>
  <w:style w:type="paragraph" w:customStyle="1" w:styleId="89">
    <w:name w:val="1级标题"/>
    <w:autoRedefine/>
    <w:qFormat/>
    <w:uiPriority w:val="0"/>
    <w:pPr>
      <w:widowControl w:val="0"/>
      <w:spacing w:beforeLines="10" w:afterLines="10" w:line="360" w:lineRule="auto"/>
      <w:jc w:val="center"/>
      <w:outlineLvl w:val="0"/>
    </w:pPr>
    <w:rPr>
      <w:rFonts w:ascii="Calibri" w:hAnsi="Calibri" w:eastAsia="宋体" w:cs="Times New Roman"/>
      <w:b/>
      <w:kern w:val="2"/>
      <w:sz w:val="44"/>
      <w:szCs w:val="22"/>
      <w:lang w:val="en-US" w:eastAsia="zh-CN" w:bidi="ar-SA"/>
    </w:rPr>
  </w:style>
  <w:style w:type="paragraph" w:customStyle="1" w:styleId="90">
    <w:name w:val="此正文"/>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91">
    <w:name w:val="样式 首行缩进:  0 字符"/>
    <w:basedOn w:val="1"/>
    <w:autoRedefine/>
    <w:qFormat/>
    <w:uiPriority w:val="0"/>
    <w:pPr>
      <w:widowControl w:val="0"/>
      <w:spacing w:line="360" w:lineRule="auto"/>
      <w:ind w:firstLine="200" w:firstLineChars="200"/>
      <w:jc w:val="both"/>
    </w:pPr>
    <w:rPr>
      <w:rFonts w:ascii="Verdana" w:hAnsi="Verdana"/>
      <w:kern w:val="2"/>
      <w:szCs w:val="20"/>
    </w:rPr>
  </w:style>
  <w:style w:type="character" w:customStyle="1" w:styleId="92">
    <w:name w:val="正文文本 字符"/>
    <w:basedOn w:val="27"/>
    <w:link w:val="13"/>
    <w:autoRedefine/>
    <w:qFormat/>
    <w:uiPriority w:val="99"/>
    <w:rPr>
      <w:rFonts w:ascii="宋体" w:hAnsi="Arial" w:eastAsia="仿宋" w:cs="Arial"/>
      <w:snapToGrid w:val="0"/>
      <w:sz w:val="24"/>
      <w:szCs w:val="21"/>
      <w:lang w:val="zh-CN"/>
    </w:rPr>
  </w:style>
  <w:style w:type="paragraph" w:customStyle="1" w:styleId="93">
    <w:name w:val="msonormal"/>
    <w:basedOn w:val="1"/>
    <w:autoRedefine/>
    <w:qFormat/>
    <w:uiPriority w:val="0"/>
    <w:pPr>
      <w:spacing w:before="100" w:beforeAutospacing="1" w:after="100" w:afterAutospacing="1"/>
    </w:pPr>
  </w:style>
  <w:style w:type="paragraph" w:customStyle="1" w:styleId="94">
    <w:name w:val="font5"/>
    <w:basedOn w:val="1"/>
    <w:autoRedefine/>
    <w:qFormat/>
    <w:uiPriority w:val="0"/>
    <w:pPr>
      <w:spacing w:before="100" w:beforeAutospacing="1" w:after="100" w:afterAutospacing="1"/>
    </w:pPr>
    <w:rPr>
      <w:rFonts w:ascii="等线" w:hAnsi="等线" w:eastAsia="等线"/>
      <w:sz w:val="18"/>
      <w:szCs w:val="18"/>
    </w:rPr>
  </w:style>
  <w:style w:type="paragraph" w:customStyle="1" w:styleId="95">
    <w:name w:val="xl6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96">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color w:val="000000"/>
      <w:sz w:val="20"/>
      <w:szCs w:val="20"/>
    </w:rPr>
  </w:style>
  <w:style w:type="paragraph" w:customStyle="1" w:styleId="97">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98">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99">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00">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1">
    <w:name w:val="xl6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0"/>
      <w:szCs w:val="20"/>
    </w:rPr>
  </w:style>
  <w:style w:type="paragraph" w:customStyle="1" w:styleId="102">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sz w:val="20"/>
      <w:szCs w:val="20"/>
    </w:rPr>
  </w:style>
  <w:style w:type="paragraph" w:customStyle="1" w:styleId="103">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104">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105">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06">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07">
    <w:name w:val="xl75"/>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8">
    <w:name w:val="xl76"/>
    <w:basedOn w:val="1"/>
    <w:autoRedefine/>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09">
    <w:name w:val="xl7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0">
    <w:name w:val="xl78"/>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1">
    <w:name w:val="xl79"/>
    <w:basedOn w:val="1"/>
    <w:autoRedefine/>
    <w:qFormat/>
    <w:uiPriority w:val="0"/>
    <w:pPr>
      <w:pBdr>
        <w:top w:val="single" w:color="auto" w:sz="4" w:space="0"/>
        <w:bottom w:val="single" w:color="auto" w:sz="4" w:space="0"/>
      </w:pBdr>
      <w:spacing w:before="100" w:beforeAutospacing="1" w:after="100" w:afterAutospacing="1"/>
      <w:jc w:val="center"/>
      <w:textAlignment w:val="center"/>
    </w:pPr>
    <w:rPr>
      <w:b/>
      <w:bCs/>
      <w:color w:val="000000"/>
      <w:sz w:val="20"/>
      <w:szCs w:val="20"/>
    </w:rPr>
  </w:style>
  <w:style w:type="paragraph" w:customStyle="1" w:styleId="112">
    <w:name w:val="xl80"/>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color w:val="000000"/>
      <w:sz w:val="20"/>
      <w:szCs w:val="20"/>
    </w:rPr>
  </w:style>
  <w:style w:type="paragraph" w:customStyle="1" w:styleId="113">
    <w:name w:val="xl81"/>
    <w:basedOn w:val="1"/>
    <w:autoRedefine/>
    <w:qFormat/>
    <w:uiPriority w:val="0"/>
    <w:pPr>
      <w:pBdr>
        <w:top w:val="single" w:color="auto" w:sz="4" w:space="0"/>
        <w:left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4">
    <w:name w:val="xl82"/>
    <w:basedOn w:val="1"/>
    <w:autoRedefine/>
    <w:qFormat/>
    <w:uiPriority w:val="0"/>
    <w:pPr>
      <w:pBdr>
        <w:top w:val="single" w:color="auto" w:sz="4" w:space="0"/>
        <w:bottom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5">
    <w:name w:val="xl83"/>
    <w:basedOn w:val="1"/>
    <w:autoRedefine/>
    <w:qFormat/>
    <w:uiPriority w:val="0"/>
    <w:pPr>
      <w:pBdr>
        <w:top w:val="single" w:color="auto" w:sz="4" w:space="0"/>
        <w:bottom w:val="single" w:color="auto" w:sz="4" w:space="0"/>
        <w:right w:val="single" w:color="auto" w:sz="4" w:space="0"/>
      </w:pBdr>
      <w:shd w:val="clear" w:color="000000" w:fill="A5A5A5"/>
      <w:spacing w:before="100" w:beforeAutospacing="1" w:after="100" w:afterAutospacing="1"/>
      <w:jc w:val="center"/>
      <w:textAlignment w:val="center"/>
    </w:pPr>
    <w:rPr>
      <w:rFonts w:ascii="黑体" w:hAnsi="黑体" w:eastAsia="黑体"/>
      <w:b/>
      <w:bCs/>
      <w:color w:val="000000"/>
      <w:sz w:val="21"/>
      <w:szCs w:val="21"/>
    </w:rPr>
  </w:style>
  <w:style w:type="paragraph" w:customStyle="1" w:styleId="116">
    <w:name w:val="列出段落1"/>
    <w:basedOn w:val="1"/>
    <w:autoRedefine/>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198</Words>
  <Characters>245</Characters>
  <Lines>315</Lines>
  <Paragraphs>88</Paragraphs>
  <TotalTime>2</TotalTime>
  <ScaleCrop>false</ScaleCrop>
  <LinksUpToDate>false</LinksUpToDate>
  <CharactersWithSpaces>330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2023-04-18T16:58:00Z</dcterms:created>
  <dc:creator>admin</dc:creator>
  <cp:lastModifiedBy>豐</cp:lastModifiedBy>
  <cp:lastPrinted>2022-06-11T01:02:00Z</cp:lastPrinted>
  <dcterms:modified xsi:type="dcterms:W3CDTF">2024-11-20T01:15:01Z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B895C2575093F94D19CC5265158B9832_43</vt:lpwstr>
  </property>
</Properties>
</file>