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C84BFC">
      <w:pPr>
        <w:pStyle w:val="3"/>
        <w:jc w:val="both"/>
        <w:rPr>
          <w:rFonts w:hint="eastAsia" w:ascii="仿宋" w:hAnsi="仿宋" w:eastAsia="仿宋" w:cs="仿宋"/>
          <w:lang w:val="en-US" w:eastAsia="zh-CN"/>
        </w:rPr>
      </w:pPr>
    </w:p>
    <w:p w14:paraId="21BFA163">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color w:val="auto"/>
          <w:sz w:val="44"/>
          <w:szCs w:val="44"/>
          <w:highlight w:val="none"/>
          <w:lang w:val="en-US" w:eastAsia="zh-CN"/>
        </w:rPr>
      </w:pPr>
      <w:r>
        <w:rPr>
          <w:rFonts w:hint="eastAsia" w:ascii="仿宋" w:hAnsi="仿宋" w:eastAsia="仿宋" w:cs="仿宋"/>
          <w:color w:val="auto"/>
          <w:sz w:val="44"/>
          <w:szCs w:val="44"/>
          <w:highlight w:val="none"/>
          <w:lang w:val="en-US" w:eastAsia="zh-CN"/>
        </w:rPr>
        <w:t>杭州市萧山区社会保险管理服务中心2025年职工疗休养项目</w:t>
      </w:r>
    </w:p>
    <w:p w14:paraId="0AF8FFFA">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color w:val="auto"/>
          <w:sz w:val="44"/>
          <w:szCs w:val="44"/>
          <w:highlight w:val="none"/>
          <w:lang w:val="en-US" w:eastAsia="zh-CN"/>
        </w:rPr>
      </w:pPr>
    </w:p>
    <w:p w14:paraId="29714FD9">
      <w:pPr>
        <w:pStyle w:val="2"/>
        <w:rPr>
          <w:rFonts w:hint="eastAsia" w:ascii="仿宋" w:hAnsi="仿宋" w:eastAsia="仿宋" w:cs="仿宋"/>
          <w:color w:val="auto"/>
          <w:highlight w:val="none"/>
          <w:lang w:val="en-US" w:eastAsia="zh-CN"/>
        </w:rPr>
      </w:pPr>
    </w:p>
    <w:p w14:paraId="71539C15">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b/>
          <w:bCs/>
          <w:color w:val="auto"/>
          <w:sz w:val="72"/>
          <w:szCs w:val="72"/>
          <w:highlight w:val="none"/>
          <w:lang w:val="en-US" w:eastAsia="zh-CN"/>
        </w:rPr>
      </w:pPr>
      <w:r>
        <w:rPr>
          <w:rFonts w:hint="eastAsia" w:ascii="仿宋" w:hAnsi="仿宋" w:eastAsia="仿宋" w:cs="仿宋"/>
          <w:b/>
          <w:bCs/>
          <w:color w:val="auto"/>
          <w:sz w:val="72"/>
          <w:szCs w:val="72"/>
          <w:highlight w:val="none"/>
          <w:lang w:val="en-US" w:eastAsia="zh-CN"/>
        </w:rPr>
        <w:t>交易文件</w:t>
      </w:r>
    </w:p>
    <w:p w14:paraId="25CBD850">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color w:val="auto"/>
          <w:sz w:val="36"/>
          <w:highlight w:val="none"/>
          <w:lang w:val="en-US" w:eastAsia="zh-CN"/>
        </w:rPr>
      </w:pPr>
      <w:r>
        <w:rPr>
          <w:rFonts w:hint="eastAsia" w:ascii="仿宋" w:hAnsi="仿宋" w:eastAsia="仿宋" w:cs="仿宋"/>
          <w:color w:val="auto"/>
          <w:sz w:val="36"/>
          <w:highlight w:val="none"/>
          <w:lang w:val="en-US" w:eastAsia="zh-CN"/>
        </w:rPr>
        <w:t>项目编号:</w:t>
      </w:r>
      <w:r>
        <w:rPr>
          <w:rFonts w:hint="eastAsia" w:ascii="仿宋" w:hAnsi="仿宋" w:eastAsia="仿宋" w:cs="仿宋"/>
          <w:sz w:val="30"/>
          <w:szCs w:val="30"/>
          <w:lang w:val="en-US" w:eastAsia="zh-CN"/>
        </w:rPr>
        <w:t>SCGKZB-2025-003</w:t>
      </w:r>
    </w:p>
    <w:p w14:paraId="6D4064D5">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color w:val="auto"/>
          <w:sz w:val="36"/>
          <w:highlight w:val="none"/>
        </w:rPr>
      </w:pPr>
    </w:p>
    <w:p w14:paraId="34BD79AE">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color w:val="auto"/>
          <w:sz w:val="36"/>
          <w:highlight w:val="none"/>
        </w:rPr>
      </w:pPr>
    </w:p>
    <w:p w14:paraId="27E6E849">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color w:val="auto"/>
          <w:sz w:val="36"/>
          <w:highlight w:val="none"/>
        </w:rPr>
      </w:pPr>
    </w:p>
    <w:p w14:paraId="64B3DF72">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color w:val="auto"/>
          <w:sz w:val="36"/>
          <w:highlight w:val="none"/>
        </w:rPr>
      </w:pPr>
    </w:p>
    <w:p w14:paraId="184C9439">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color w:val="auto"/>
          <w:sz w:val="36"/>
          <w:highlight w:val="none"/>
        </w:rPr>
      </w:pPr>
    </w:p>
    <w:p w14:paraId="2131005B">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p>
    <w:p w14:paraId="633F505C">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color w:val="auto"/>
          <w:highlight w:val="none"/>
        </w:rPr>
      </w:pPr>
    </w:p>
    <w:p w14:paraId="09AA0EF9">
      <w:pPr>
        <w:jc w:val="center"/>
        <w:rPr>
          <w:rFonts w:hint="eastAsia" w:ascii="仿宋" w:hAnsi="仿宋" w:eastAsia="仿宋" w:cs="仿宋"/>
          <w:sz w:val="36"/>
        </w:rPr>
      </w:pPr>
    </w:p>
    <w:p w14:paraId="4784780E">
      <w:pPr>
        <w:jc w:val="center"/>
        <w:rPr>
          <w:rFonts w:hint="eastAsia" w:ascii="仿宋" w:hAnsi="仿宋" w:eastAsia="仿宋" w:cs="仿宋"/>
          <w:sz w:val="36"/>
          <w:lang w:eastAsia="zh-CN"/>
        </w:rPr>
      </w:pPr>
      <w:r>
        <w:rPr>
          <w:rFonts w:hint="eastAsia" w:ascii="仿宋" w:hAnsi="仿宋" w:eastAsia="仿宋" w:cs="仿宋"/>
          <w:sz w:val="36"/>
          <w:lang w:eastAsia="zh-CN"/>
        </w:rPr>
        <w:t>杭州市萧山区社会保险管理服务中心</w:t>
      </w:r>
    </w:p>
    <w:p w14:paraId="02EE053F">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color w:val="auto"/>
          <w:sz w:val="36"/>
          <w:highlight w:val="none"/>
          <w:lang w:eastAsia="zh-CN"/>
        </w:rPr>
      </w:pPr>
      <w:r>
        <w:rPr>
          <w:rFonts w:hint="eastAsia" w:ascii="仿宋" w:hAnsi="仿宋" w:eastAsia="仿宋" w:cs="仿宋"/>
          <w:color w:val="auto"/>
          <w:sz w:val="36"/>
          <w:highlight w:val="none"/>
          <w:lang w:eastAsia="zh-CN"/>
        </w:rPr>
        <w:t>杭州三才工程管理咨询有限公司</w:t>
      </w:r>
    </w:p>
    <w:p w14:paraId="5E6BD441">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b/>
          <w:smallCaps/>
          <w:color w:val="auto"/>
          <w:spacing w:val="5"/>
          <w:sz w:val="36"/>
          <w:szCs w:val="36"/>
          <w:highlight w:val="none"/>
        </w:rPr>
      </w:pPr>
      <w:r>
        <w:rPr>
          <w:rFonts w:hint="eastAsia" w:ascii="仿宋" w:hAnsi="仿宋" w:eastAsia="仿宋" w:cs="仿宋"/>
          <w:color w:val="auto"/>
          <w:sz w:val="36"/>
          <w:highlight w:val="none"/>
          <w:lang w:val="en-US" w:eastAsia="zh-CN"/>
        </w:rPr>
        <w:t>2025</w:t>
      </w:r>
      <w:r>
        <w:rPr>
          <w:rFonts w:hint="eastAsia" w:ascii="仿宋" w:hAnsi="仿宋" w:eastAsia="仿宋" w:cs="仿宋"/>
          <w:color w:val="auto"/>
          <w:sz w:val="36"/>
          <w:highlight w:val="none"/>
        </w:rPr>
        <w:t>年</w:t>
      </w:r>
      <w:r>
        <w:rPr>
          <w:rFonts w:hint="eastAsia" w:ascii="仿宋" w:hAnsi="仿宋" w:eastAsia="仿宋" w:cs="仿宋"/>
          <w:color w:val="auto"/>
          <w:sz w:val="36"/>
          <w:highlight w:val="none"/>
          <w:lang w:val="en-US" w:eastAsia="zh-CN"/>
        </w:rPr>
        <w:t>03</w:t>
      </w:r>
      <w:r>
        <w:rPr>
          <w:rFonts w:hint="eastAsia" w:ascii="仿宋" w:hAnsi="仿宋" w:eastAsia="仿宋" w:cs="仿宋"/>
          <w:color w:val="auto"/>
          <w:sz w:val="36"/>
          <w:highlight w:val="none"/>
        </w:rPr>
        <w:t>月</w:t>
      </w:r>
      <w:r>
        <w:rPr>
          <w:rFonts w:hint="eastAsia" w:ascii="仿宋" w:hAnsi="仿宋" w:eastAsia="仿宋" w:cs="仿宋"/>
          <w:color w:val="auto"/>
          <w:sz w:val="36"/>
          <w:highlight w:val="none"/>
          <w:lang w:val="en-US" w:eastAsia="zh-CN"/>
        </w:rPr>
        <w:t>22</w:t>
      </w:r>
      <w:r>
        <w:rPr>
          <w:rFonts w:hint="eastAsia" w:ascii="仿宋" w:hAnsi="仿宋" w:eastAsia="仿宋" w:cs="仿宋"/>
          <w:color w:val="auto"/>
          <w:sz w:val="36"/>
          <w:highlight w:val="none"/>
        </w:rPr>
        <w:t>日</w:t>
      </w:r>
      <w:r>
        <w:rPr>
          <w:rFonts w:hint="eastAsia" w:ascii="仿宋" w:hAnsi="仿宋" w:eastAsia="仿宋" w:cs="仿宋"/>
          <w:color w:val="auto"/>
          <w:highlight w:val="none"/>
        </w:rPr>
        <w:br w:type="page"/>
      </w:r>
    </w:p>
    <w:p w14:paraId="4C69EDC2">
      <w:pPr>
        <w:pStyle w:val="3"/>
        <w:rPr>
          <w:rFonts w:hint="eastAsia" w:ascii="仿宋" w:hAnsi="仿宋" w:eastAsia="仿宋" w:cs="仿宋"/>
          <w:color w:val="auto"/>
          <w:highlight w:val="none"/>
        </w:rPr>
      </w:pPr>
      <w:r>
        <w:rPr>
          <w:rFonts w:hint="eastAsia" w:ascii="仿宋" w:hAnsi="仿宋" w:eastAsia="仿宋" w:cs="仿宋"/>
          <w:color w:val="auto"/>
          <w:highlight w:val="none"/>
        </w:rPr>
        <w:t>目  录</w:t>
      </w:r>
    </w:p>
    <w:p w14:paraId="3E9ADBC2">
      <w:pPr>
        <w:rPr>
          <w:rFonts w:hint="eastAsia" w:ascii="仿宋" w:hAnsi="仿宋" w:eastAsia="仿宋" w:cs="仿宋"/>
          <w:color w:val="auto"/>
          <w:highlight w:val="none"/>
        </w:rPr>
      </w:pPr>
    </w:p>
    <w:p w14:paraId="195EC41B">
      <w:pPr>
        <w:rPr>
          <w:rFonts w:hint="eastAsia" w:ascii="仿宋" w:hAnsi="仿宋" w:eastAsia="仿宋" w:cs="仿宋"/>
          <w:color w:val="auto"/>
          <w:highlight w:val="none"/>
        </w:rPr>
      </w:pPr>
    </w:p>
    <w:p w14:paraId="174F760E">
      <w:pPr>
        <w:rPr>
          <w:rFonts w:hint="eastAsia" w:ascii="仿宋" w:hAnsi="仿宋" w:eastAsia="仿宋" w:cs="仿宋"/>
          <w:color w:val="auto"/>
          <w:sz w:val="32"/>
          <w:highlight w:val="none"/>
          <w:lang w:eastAsia="zh-CN"/>
        </w:rPr>
      </w:pPr>
      <w:r>
        <w:rPr>
          <w:rFonts w:hint="eastAsia" w:ascii="仿宋" w:hAnsi="仿宋" w:eastAsia="仿宋" w:cs="仿宋"/>
          <w:color w:val="auto"/>
          <w:sz w:val="32"/>
          <w:highlight w:val="none"/>
        </w:rPr>
        <w:t xml:space="preserve">第一部分      </w:t>
      </w:r>
      <w:r>
        <w:rPr>
          <w:rFonts w:hint="eastAsia" w:ascii="仿宋" w:hAnsi="仿宋" w:eastAsia="仿宋" w:cs="仿宋"/>
          <w:color w:val="auto"/>
          <w:sz w:val="32"/>
          <w:highlight w:val="none"/>
          <w:lang w:eastAsia="zh-CN"/>
        </w:rPr>
        <w:t>交易公告</w:t>
      </w:r>
    </w:p>
    <w:p w14:paraId="5EB79F94">
      <w:pPr>
        <w:rPr>
          <w:rFonts w:hint="eastAsia" w:ascii="仿宋" w:hAnsi="仿宋" w:eastAsia="仿宋" w:cs="仿宋"/>
          <w:color w:val="auto"/>
          <w:sz w:val="32"/>
          <w:highlight w:val="none"/>
          <w:lang w:eastAsia="zh-CN"/>
        </w:rPr>
      </w:pPr>
      <w:r>
        <w:rPr>
          <w:rFonts w:hint="eastAsia" w:ascii="仿宋" w:hAnsi="仿宋" w:eastAsia="仿宋" w:cs="仿宋"/>
          <w:color w:val="auto"/>
          <w:sz w:val="32"/>
          <w:highlight w:val="none"/>
        </w:rPr>
        <w:t xml:space="preserve">第二部分      </w:t>
      </w:r>
      <w:r>
        <w:rPr>
          <w:rFonts w:hint="eastAsia" w:ascii="仿宋" w:hAnsi="仿宋" w:eastAsia="仿宋" w:cs="仿宋"/>
          <w:color w:val="auto"/>
          <w:sz w:val="32"/>
          <w:highlight w:val="none"/>
          <w:lang w:eastAsia="zh-CN"/>
        </w:rPr>
        <w:t>供应商须知</w:t>
      </w:r>
    </w:p>
    <w:p w14:paraId="1CE9B95D">
      <w:pPr>
        <w:rPr>
          <w:rFonts w:hint="eastAsia" w:ascii="仿宋" w:hAnsi="仿宋" w:eastAsia="仿宋" w:cs="仿宋"/>
          <w:color w:val="auto"/>
          <w:sz w:val="32"/>
          <w:highlight w:val="none"/>
        </w:rPr>
      </w:pPr>
      <w:r>
        <w:rPr>
          <w:rFonts w:hint="eastAsia" w:ascii="仿宋" w:hAnsi="仿宋" w:eastAsia="仿宋" w:cs="仿宋"/>
          <w:color w:val="auto"/>
          <w:sz w:val="32"/>
          <w:highlight w:val="none"/>
        </w:rPr>
        <w:t>第三部分      采购需求</w:t>
      </w:r>
    </w:p>
    <w:p w14:paraId="27B3D265">
      <w:pPr>
        <w:rPr>
          <w:rFonts w:hint="eastAsia" w:ascii="仿宋" w:hAnsi="仿宋" w:eastAsia="仿宋" w:cs="仿宋"/>
          <w:color w:val="auto"/>
          <w:sz w:val="32"/>
          <w:highlight w:val="none"/>
        </w:rPr>
      </w:pPr>
      <w:r>
        <w:rPr>
          <w:rFonts w:hint="eastAsia" w:ascii="仿宋" w:hAnsi="仿宋" w:eastAsia="仿宋" w:cs="仿宋"/>
          <w:color w:val="auto"/>
          <w:sz w:val="32"/>
          <w:highlight w:val="none"/>
        </w:rPr>
        <w:t xml:space="preserve">第四部分      </w:t>
      </w:r>
      <w:r>
        <w:rPr>
          <w:rFonts w:hint="eastAsia" w:ascii="仿宋" w:hAnsi="仿宋" w:eastAsia="仿宋" w:cs="仿宋"/>
          <w:color w:val="auto"/>
          <w:sz w:val="32"/>
          <w:highlight w:val="none"/>
          <w:lang w:eastAsia="zh-CN"/>
        </w:rPr>
        <w:t>评审</w:t>
      </w:r>
      <w:r>
        <w:rPr>
          <w:rFonts w:hint="eastAsia" w:ascii="仿宋" w:hAnsi="仿宋" w:eastAsia="仿宋" w:cs="仿宋"/>
          <w:color w:val="auto"/>
          <w:sz w:val="32"/>
          <w:highlight w:val="none"/>
        </w:rPr>
        <w:t>办法</w:t>
      </w:r>
    </w:p>
    <w:p w14:paraId="3192EC95">
      <w:pPr>
        <w:rPr>
          <w:rFonts w:hint="eastAsia" w:ascii="仿宋" w:hAnsi="仿宋" w:eastAsia="仿宋" w:cs="仿宋"/>
          <w:color w:val="auto"/>
          <w:sz w:val="32"/>
          <w:highlight w:val="none"/>
        </w:rPr>
      </w:pPr>
      <w:r>
        <w:rPr>
          <w:rFonts w:hint="eastAsia" w:ascii="仿宋" w:hAnsi="仿宋" w:eastAsia="仿宋" w:cs="仿宋"/>
          <w:color w:val="auto"/>
          <w:sz w:val="32"/>
          <w:highlight w:val="none"/>
        </w:rPr>
        <w:t>第五部分      拟签订的合同文本</w:t>
      </w:r>
    </w:p>
    <w:p w14:paraId="6CEE1796">
      <w:pPr>
        <w:rPr>
          <w:rFonts w:hint="eastAsia" w:ascii="仿宋" w:hAnsi="仿宋" w:eastAsia="仿宋" w:cs="仿宋"/>
          <w:color w:val="auto"/>
          <w:sz w:val="32"/>
          <w:highlight w:val="none"/>
        </w:rPr>
      </w:pPr>
      <w:r>
        <w:rPr>
          <w:rFonts w:hint="eastAsia" w:ascii="仿宋" w:hAnsi="仿宋" w:eastAsia="仿宋" w:cs="仿宋"/>
          <w:color w:val="auto"/>
          <w:sz w:val="32"/>
          <w:highlight w:val="none"/>
        </w:rPr>
        <w:t>第六部分      应提交的有关格式范例</w:t>
      </w:r>
    </w:p>
    <w:p w14:paraId="2ECD04C9">
      <w:pPr>
        <w:spacing w:line="276" w:lineRule="auto"/>
        <w:rPr>
          <w:rFonts w:hint="eastAsia" w:ascii="仿宋" w:hAnsi="仿宋" w:eastAsia="仿宋" w:cs="仿宋"/>
          <w:color w:val="auto"/>
          <w:sz w:val="32"/>
          <w:highlight w:val="none"/>
        </w:rPr>
      </w:pPr>
    </w:p>
    <w:p w14:paraId="37D858B1">
      <w:pPr>
        <w:spacing w:line="276" w:lineRule="auto"/>
        <w:rPr>
          <w:rFonts w:hint="eastAsia" w:ascii="仿宋" w:hAnsi="仿宋" w:eastAsia="仿宋" w:cs="仿宋"/>
          <w:b/>
          <w:smallCaps/>
          <w:color w:val="auto"/>
          <w:spacing w:val="5"/>
          <w:sz w:val="36"/>
          <w:szCs w:val="36"/>
          <w:highlight w:val="none"/>
        </w:rPr>
      </w:pPr>
      <w:r>
        <w:rPr>
          <w:rFonts w:hint="eastAsia" w:ascii="仿宋" w:hAnsi="仿宋" w:eastAsia="仿宋" w:cs="仿宋"/>
          <w:color w:val="auto"/>
          <w:highlight w:val="none"/>
        </w:rPr>
        <w:br w:type="page"/>
      </w:r>
    </w:p>
    <w:p w14:paraId="79863585">
      <w:pPr>
        <w:pStyle w:val="3"/>
        <w:rPr>
          <w:rFonts w:hint="eastAsia" w:ascii="仿宋" w:hAnsi="仿宋" w:eastAsia="仿宋" w:cs="仿宋"/>
          <w:color w:val="auto"/>
          <w:highlight w:val="none"/>
          <w:lang w:eastAsia="zh-CN"/>
        </w:rPr>
      </w:pPr>
      <w:r>
        <w:rPr>
          <w:rFonts w:hint="eastAsia" w:ascii="仿宋" w:hAnsi="仿宋" w:eastAsia="仿宋" w:cs="仿宋"/>
          <w:color w:val="auto"/>
          <w:highlight w:val="none"/>
        </w:rPr>
        <w:t xml:space="preserve">第一部分 </w:t>
      </w:r>
      <w:r>
        <w:rPr>
          <w:rFonts w:hint="eastAsia" w:ascii="仿宋" w:hAnsi="仿宋" w:eastAsia="仿宋" w:cs="仿宋"/>
          <w:color w:val="auto"/>
          <w:highlight w:val="none"/>
          <w:lang w:eastAsia="zh-CN"/>
        </w:rPr>
        <w:t>交易公告</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16"/>
      </w:tblGrid>
      <w:tr w14:paraId="0EA33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14:paraId="69D88BA0">
            <w:pPr>
              <w:spacing w:after="0"/>
              <w:rPr>
                <w:rFonts w:hint="eastAsia" w:ascii="仿宋" w:hAnsi="仿宋" w:eastAsia="仿宋" w:cs="仿宋"/>
                <w:color w:val="auto"/>
                <w:highlight w:val="none"/>
              </w:rPr>
            </w:pPr>
            <w:r>
              <w:rPr>
                <w:rFonts w:hint="eastAsia" w:ascii="仿宋" w:hAnsi="仿宋" w:eastAsia="仿宋" w:cs="仿宋"/>
                <w:color w:val="auto"/>
                <w:highlight w:val="none"/>
              </w:rPr>
              <w:t>项目概况</w:t>
            </w:r>
          </w:p>
          <w:p w14:paraId="66D866FF">
            <w:pPr>
              <w:keepNext w:val="0"/>
              <w:keepLines w:val="0"/>
              <w:pageBreakBefore w:val="0"/>
              <w:widowControl/>
              <w:kinsoku/>
              <w:wordWrap/>
              <w:overflowPunct/>
              <w:topLinePunct w:val="0"/>
              <w:autoSpaceDE/>
              <w:autoSpaceDN/>
              <w:bidi w:val="0"/>
              <w:adjustRightInd/>
              <w:snapToGrid/>
              <w:spacing w:after="0" w:line="360" w:lineRule="auto"/>
              <w:ind w:firstLine="480" w:firstLineChars="200"/>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杭州市萧山区社会保险管理服务中心2025年职工疗休养项目</w:t>
            </w:r>
            <w:r>
              <w:rPr>
                <w:rFonts w:hint="eastAsia" w:ascii="仿宋" w:hAnsi="仿宋" w:eastAsia="仿宋" w:cs="仿宋"/>
                <w:color w:val="auto"/>
                <w:highlight w:val="none"/>
              </w:rPr>
              <w:t>的潜在</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应在乐采云（萧采云）平台（https://www.zcygov.cn/）</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"https://www.zcygov.cn/）获取（下载）招标文件，并于2021年" </w:instrText>
            </w:r>
            <w:r>
              <w:rPr>
                <w:rFonts w:hint="eastAsia" w:ascii="仿宋" w:hAnsi="仿宋" w:eastAsia="仿宋" w:cs="仿宋"/>
                <w:color w:val="auto"/>
                <w:highlight w:val="none"/>
              </w:rPr>
              <w:fldChar w:fldCharType="separate"/>
            </w:r>
            <w:r>
              <w:rPr>
                <w:rStyle w:val="31"/>
                <w:rFonts w:hint="eastAsia" w:ascii="仿宋" w:hAnsi="仿宋" w:eastAsia="仿宋" w:cs="仿宋"/>
                <w:color w:val="auto"/>
                <w:kern w:val="2"/>
                <w:sz w:val="24"/>
                <w:szCs w:val="24"/>
                <w:highlight w:val="none"/>
              </w:rPr>
              <w:t>获取（下载）</w:t>
            </w:r>
            <w:r>
              <w:rPr>
                <w:rStyle w:val="31"/>
                <w:rFonts w:hint="eastAsia" w:ascii="仿宋" w:hAnsi="仿宋" w:eastAsia="仿宋" w:cs="仿宋"/>
                <w:color w:val="auto"/>
                <w:kern w:val="2"/>
                <w:sz w:val="24"/>
                <w:szCs w:val="24"/>
                <w:highlight w:val="none"/>
                <w:lang w:eastAsia="zh-CN"/>
              </w:rPr>
              <w:t>交易文件</w:t>
            </w:r>
            <w:r>
              <w:rPr>
                <w:rStyle w:val="31"/>
                <w:rFonts w:hint="eastAsia" w:ascii="仿宋" w:hAnsi="仿宋" w:eastAsia="仿宋" w:cs="仿宋"/>
                <w:color w:val="auto"/>
                <w:kern w:val="2"/>
                <w:sz w:val="24"/>
                <w:szCs w:val="24"/>
                <w:highlight w:val="none"/>
              </w:rPr>
              <w:t>，并于</w:t>
            </w:r>
            <w:r>
              <w:rPr>
                <w:rFonts w:hint="eastAsia" w:ascii="仿宋" w:hAnsi="仿宋" w:eastAsia="仿宋" w:cs="仿宋"/>
                <w:color w:val="auto"/>
                <w:highlight w:val="none"/>
                <w:u w:val="single"/>
                <w:lang w:val="en-US" w:eastAsia="zh-CN"/>
              </w:rPr>
              <w:t>2025</w:t>
            </w:r>
            <w:r>
              <w:rPr>
                <w:rFonts w:hint="eastAsia" w:ascii="仿宋" w:hAnsi="仿宋" w:eastAsia="仿宋" w:cs="仿宋"/>
                <w:color w:val="auto"/>
                <w:highlight w:val="none"/>
                <w:u w:val="single"/>
                <w:lang w:eastAsia="zh-CN"/>
              </w:rPr>
              <w:t>年</w:t>
            </w:r>
            <w:r>
              <w:rPr>
                <w:rFonts w:hint="eastAsia" w:cs="仿宋"/>
                <w:color w:val="auto"/>
                <w:highlight w:val="none"/>
                <w:u w:val="single"/>
                <w:lang w:val="en-US" w:eastAsia="zh-CN"/>
              </w:rPr>
              <w:t>4</w:t>
            </w:r>
            <w:r>
              <w:rPr>
                <w:rFonts w:hint="eastAsia" w:ascii="仿宋" w:hAnsi="仿宋" w:eastAsia="仿宋" w:cs="仿宋"/>
                <w:color w:val="auto"/>
                <w:highlight w:val="none"/>
                <w:u w:val="single"/>
                <w:lang w:val="en-US" w:eastAsia="zh-CN"/>
              </w:rPr>
              <w:t>月</w:t>
            </w:r>
            <w:r>
              <w:rPr>
                <w:rFonts w:hint="eastAsia" w:cs="仿宋"/>
                <w:color w:val="auto"/>
                <w:highlight w:val="none"/>
                <w:u w:val="single"/>
                <w:lang w:val="en-US" w:eastAsia="zh-CN"/>
              </w:rPr>
              <w:t>7</w:t>
            </w:r>
            <w:r>
              <w:rPr>
                <w:rFonts w:hint="eastAsia" w:ascii="仿宋" w:hAnsi="仿宋" w:eastAsia="仿宋" w:cs="仿宋"/>
                <w:color w:val="auto"/>
                <w:highlight w:val="none"/>
                <w:u w:val="single"/>
                <w:lang w:eastAsia="zh-CN"/>
              </w:rPr>
              <w:t>日</w:t>
            </w:r>
            <w:r>
              <w:rPr>
                <w:rFonts w:hint="eastAsia" w:cs="仿宋"/>
                <w:color w:val="auto"/>
                <w:highlight w:val="none"/>
                <w:u w:val="single"/>
                <w:lang w:val="en-US" w:eastAsia="zh-CN"/>
              </w:rPr>
              <w:t>14</w:t>
            </w:r>
            <w:r>
              <w:rPr>
                <w:rFonts w:hint="eastAsia" w:ascii="仿宋" w:hAnsi="仿宋" w:eastAsia="仿宋" w:cs="仿宋"/>
                <w:color w:val="auto"/>
                <w:highlight w:val="none"/>
                <w:u w:val="single"/>
              </w:rPr>
              <w:t>点</w:t>
            </w:r>
            <w:r>
              <w:rPr>
                <w:rFonts w:hint="eastAsia" w:cs="仿宋"/>
                <w:color w:val="auto"/>
                <w:highlight w:val="none"/>
                <w:u w:val="single"/>
                <w:lang w:val="en-US" w:eastAsia="zh-CN"/>
              </w:rPr>
              <w:t>0</w:t>
            </w:r>
            <w:r>
              <w:rPr>
                <w:rFonts w:hint="eastAsia" w:ascii="仿宋" w:hAnsi="仿宋" w:eastAsia="仿宋" w:cs="仿宋"/>
                <w:color w:val="auto"/>
                <w:highlight w:val="none"/>
                <w:u w:val="single"/>
                <w:lang w:val="en-US" w:eastAsia="zh-CN"/>
              </w:rPr>
              <w:t>0</w:t>
            </w:r>
            <w:r>
              <w:rPr>
                <w:rFonts w:hint="eastAsia" w:ascii="仿宋" w:hAnsi="仿宋" w:eastAsia="仿宋" w:cs="仿宋"/>
                <w:color w:val="auto"/>
                <w:highlight w:val="none"/>
                <w:u w:val="single"/>
              </w:rPr>
              <w:t>分</w:t>
            </w:r>
            <w:r>
              <w:rPr>
                <w:rFonts w:hint="eastAsia" w:ascii="仿宋" w:hAnsi="仿宋" w:eastAsia="仿宋" w:cs="仿宋"/>
                <w:bCs/>
                <w:color w:val="auto"/>
                <w:highlight w:val="none"/>
                <w:u w:val="single"/>
              </w:rPr>
              <w:t>00秒</w:t>
            </w:r>
            <w:r>
              <w:rPr>
                <w:rFonts w:hint="eastAsia" w:ascii="仿宋" w:hAnsi="仿宋" w:eastAsia="仿宋" w:cs="仿宋"/>
                <w:bCs/>
                <w:color w:val="auto"/>
                <w:highlight w:val="none"/>
                <w:u w:val="single"/>
              </w:rPr>
              <w:fldChar w:fldCharType="end"/>
            </w:r>
            <w:r>
              <w:rPr>
                <w:rFonts w:hint="eastAsia" w:ascii="仿宋" w:hAnsi="仿宋" w:eastAsia="仿宋" w:cs="仿宋"/>
                <w:bCs/>
                <w:color w:val="auto"/>
                <w:highlight w:val="none"/>
              </w:rPr>
              <w:t>（北京时间）前</w:t>
            </w:r>
            <w:r>
              <w:rPr>
                <w:rFonts w:hint="eastAsia" w:ascii="仿宋" w:hAnsi="仿宋" w:eastAsia="仿宋" w:cs="仿宋"/>
                <w:color w:val="auto"/>
                <w:highlight w:val="none"/>
              </w:rPr>
              <w:t>递交（上传）</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w:t>
            </w:r>
          </w:p>
        </w:tc>
      </w:tr>
    </w:tbl>
    <w:p w14:paraId="4B8C0D78">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 xml:space="preserve">一、项目基本情况  </w:t>
      </w:r>
      <w:r>
        <w:rPr>
          <w:rFonts w:hint="eastAsia" w:ascii="仿宋" w:hAnsi="仿宋" w:eastAsia="仿宋" w:cs="仿宋"/>
          <w:b/>
          <w:color w:val="auto"/>
          <w:highlight w:val="none"/>
          <w:lang w:val="en-US" w:eastAsia="zh-CN"/>
        </w:rPr>
        <w:t xml:space="preserve">  </w:t>
      </w:r>
      <w:r>
        <w:rPr>
          <w:rFonts w:hint="eastAsia" w:ascii="仿宋" w:hAnsi="仿宋" w:eastAsia="仿宋" w:cs="仿宋"/>
          <w:b/>
          <w:color w:val="auto"/>
          <w:highlight w:val="none"/>
        </w:rPr>
        <w:t xml:space="preserve">                                          </w:t>
      </w:r>
    </w:p>
    <w:p w14:paraId="3FEFC702">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eastAsia="zh-CN"/>
        </w:rPr>
        <w:t>项目编号：</w:t>
      </w:r>
      <w:r>
        <w:rPr>
          <w:rFonts w:hint="eastAsia" w:ascii="仿宋" w:hAnsi="仿宋" w:eastAsia="仿宋" w:cs="仿宋"/>
          <w:color w:val="auto"/>
          <w:highlight w:val="none"/>
          <w:lang w:val="en-US" w:eastAsia="zh-CN"/>
        </w:rPr>
        <w:t>SCGKZB-2025-003</w:t>
      </w:r>
    </w:p>
    <w:p w14:paraId="764B9880">
      <w:pPr>
        <w:keepNext w:val="0"/>
        <w:keepLines w:val="0"/>
        <w:pageBreakBefore w:val="0"/>
        <w:widowControl/>
        <w:kinsoku/>
        <w:wordWrap/>
        <w:overflowPunct/>
        <w:topLinePunct w:val="0"/>
        <w:autoSpaceDE/>
        <w:autoSpaceDN/>
        <w:bidi w:val="0"/>
        <w:adjustRightInd/>
        <w:snapToGrid/>
        <w:spacing w:after="0" w:line="360" w:lineRule="auto"/>
        <w:jc w:val="both"/>
        <w:textAlignment w:val="auto"/>
        <w:rPr>
          <w:rFonts w:hint="eastAsia" w:ascii="仿宋" w:hAnsi="仿宋" w:eastAsia="仿宋" w:cs="仿宋"/>
          <w:color w:val="auto"/>
          <w:sz w:val="44"/>
          <w:szCs w:val="44"/>
          <w:highlight w:val="none"/>
          <w:lang w:val="en-US" w:eastAsia="zh-CN"/>
        </w:rPr>
      </w:pPr>
      <w:r>
        <w:rPr>
          <w:rFonts w:hint="eastAsia" w:ascii="仿宋" w:hAnsi="仿宋" w:eastAsia="仿宋" w:cs="仿宋"/>
          <w:color w:val="auto"/>
          <w:highlight w:val="none"/>
        </w:rPr>
        <w:t>项目名称：</w:t>
      </w:r>
      <w:r>
        <w:rPr>
          <w:rFonts w:hint="eastAsia" w:ascii="仿宋" w:hAnsi="仿宋" w:eastAsia="仿宋" w:cs="仿宋"/>
          <w:color w:val="auto"/>
          <w:sz w:val="21"/>
          <w:szCs w:val="21"/>
          <w:highlight w:val="none"/>
          <w:lang w:val="en-US" w:eastAsia="zh-CN"/>
        </w:rPr>
        <w:t>杭州市萧山区社会保险管理服务中心2025年职工疗休养项目</w:t>
      </w:r>
    </w:p>
    <w:p w14:paraId="27D334D1">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预算金额（元）：</w:t>
      </w:r>
      <w:r>
        <w:rPr>
          <w:rFonts w:hint="eastAsia" w:ascii="仿宋" w:hAnsi="仿宋" w:eastAsia="仿宋" w:cs="仿宋"/>
          <w:color w:val="auto"/>
          <w:highlight w:val="none"/>
          <w:lang w:val="en-US" w:eastAsia="zh-CN"/>
        </w:rPr>
        <w:t>183000元</w:t>
      </w:r>
    </w:p>
    <w:p w14:paraId="38D51EB6">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最高限价（元）：</w:t>
      </w:r>
      <w:r>
        <w:rPr>
          <w:rFonts w:hint="eastAsia" w:ascii="仿宋" w:hAnsi="仿宋" w:eastAsia="仿宋" w:cs="仿宋"/>
          <w:color w:val="auto"/>
          <w:highlight w:val="none"/>
          <w:lang w:val="en-US" w:eastAsia="zh-CN"/>
        </w:rPr>
        <w:t>183000元</w:t>
      </w:r>
    </w:p>
    <w:p w14:paraId="5AD6F941">
      <w:pPr>
        <w:keepNext w:val="0"/>
        <w:keepLines w:val="0"/>
        <w:pageBreakBefore w:val="0"/>
        <w:widowControl/>
        <w:kinsoku/>
        <w:wordWrap/>
        <w:overflowPunct/>
        <w:topLinePunct w:val="0"/>
        <w:autoSpaceDE/>
        <w:autoSpaceDN/>
        <w:bidi w:val="0"/>
        <w:adjustRightInd/>
        <w:snapToGrid/>
        <w:spacing w:after="0" w:line="360" w:lineRule="auto"/>
        <w:jc w:val="both"/>
        <w:textAlignment w:val="auto"/>
        <w:rPr>
          <w:rFonts w:hint="eastAsia" w:ascii="仿宋" w:hAnsi="仿宋" w:eastAsia="仿宋" w:cs="仿宋"/>
          <w:color w:val="auto"/>
          <w:highlight w:val="none"/>
        </w:rPr>
      </w:pPr>
      <w:r>
        <w:rPr>
          <w:rFonts w:hint="eastAsia" w:ascii="仿宋" w:hAnsi="仿宋" w:eastAsia="仿宋" w:cs="仿宋"/>
          <w:color w:val="auto"/>
          <w:highlight w:val="none"/>
        </w:rPr>
        <w:t>采购需求：</w:t>
      </w:r>
      <w:r>
        <w:rPr>
          <w:rFonts w:hint="eastAsia" w:ascii="仿宋" w:hAnsi="仿宋" w:eastAsia="仿宋" w:cs="仿宋"/>
          <w:color w:val="auto"/>
          <w:highlight w:val="none"/>
          <w:lang w:val="en-US" w:eastAsia="zh-CN"/>
        </w:rPr>
        <w:t>杭州市萧山区社会保险管理服务中心2025年职工疗休养项目</w:t>
      </w:r>
      <w:r>
        <w:rPr>
          <w:rFonts w:hint="eastAsia" w:ascii="仿宋" w:hAnsi="仿宋" w:eastAsia="仿宋" w:cs="仿宋"/>
          <w:color w:val="auto"/>
          <w:highlight w:val="none"/>
        </w:rPr>
        <w:t>。详见</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第三部分采购需求。</w:t>
      </w:r>
    </w:p>
    <w:p w14:paraId="6834BB19">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合同履约期限：</w:t>
      </w:r>
      <w:r>
        <w:rPr>
          <w:rFonts w:hint="eastAsia" w:ascii="仿宋" w:hAnsi="仿宋" w:eastAsia="仿宋" w:cs="仿宋"/>
          <w:color w:val="auto"/>
          <w:highlight w:val="none"/>
          <w:lang w:val="en-US" w:eastAsia="zh-CN"/>
        </w:rPr>
        <w:t>详见交易文件</w:t>
      </w:r>
    </w:p>
    <w:p w14:paraId="59B8F16E">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本项目接受联合体</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：（√）否 。</w:t>
      </w:r>
    </w:p>
    <w:p w14:paraId="6CB965F3">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b/>
          <w:color w:val="auto"/>
          <w:highlight w:val="none"/>
        </w:rPr>
        <w:t>二、申请人的资格要求</w:t>
      </w:r>
      <w:r>
        <w:rPr>
          <w:rFonts w:hint="eastAsia" w:ascii="仿宋" w:hAnsi="仿宋" w:eastAsia="仿宋" w:cs="仿宋"/>
          <w:color w:val="auto"/>
          <w:highlight w:val="none"/>
        </w:rPr>
        <w:t>：</w:t>
      </w:r>
    </w:p>
    <w:p w14:paraId="2AA64602">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1、具有独立承担民事责任的能力；</w:t>
      </w:r>
    </w:p>
    <w:p w14:paraId="7CF4B600">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2、具有良好的商业信誉和健全的财务会计制度；</w:t>
      </w:r>
    </w:p>
    <w:p w14:paraId="09F6144D">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3、具有履行合同所必需的设备和专业技术能力；</w:t>
      </w:r>
    </w:p>
    <w:p w14:paraId="50BCC460">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4、有依法缴纳税收和社会保障资金的良好记录；</w:t>
      </w:r>
    </w:p>
    <w:p w14:paraId="3BD1B494">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5、参加采购活动前三年内，在经营活动中没有重大违法记录；</w:t>
      </w:r>
    </w:p>
    <w:p w14:paraId="366DD544">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6、法律、行政法规规定的其他条件；</w:t>
      </w:r>
    </w:p>
    <w:p w14:paraId="71AEEF33">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7、本项目的特定资格要求：具有旅行社业务经营许可证；</w:t>
      </w:r>
    </w:p>
    <w:p w14:paraId="5C284EBB">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8、落实采购政策需满足的资格要求：无；</w:t>
      </w:r>
    </w:p>
    <w:p w14:paraId="7262E1D3">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9、本项目不接受联合体参与（潜在供应商能独立完成本项目）；</w:t>
      </w:r>
    </w:p>
    <w:p w14:paraId="1E37F3FF">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10、单位负责人为同一人或者存在直接控股、管理关系的不同供应商，不得参加同一合同项下的交易活动；为项目提供整体设计、规范编制或者项目管理、监理、检测等服务后不得再参加该项目的其他活动。</w:t>
      </w:r>
    </w:p>
    <w:p w14:paraId="7662DEE6">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三、获取</w:t>
      </w:r>
      <w:r>
        <w:rPr>
          <w:rFonts w:hint="eastAsia" w:ascii="仿宋" w:hAnsi="仿宋" w:eastAsia="仿宋" w:cs="仿宋"/>
          <w:b/>
          <w:color w:val="auto"/>
          <w:highlight w:val="none"/>
          <w:lang w:eastAsia="zh-CN"/>
        </w:rPr>
        <w:t>交易文件</w:t>
      </w:r>
      <w:r>
        <w:rPr>
          <w:rFonts w:hint="eastAsia" w:ascii="仿宋" w:hAnsi="仿宋" w:eastAsia="仿宋" w:cs="仿宋"/>
          <w:b/>
          <w:color w:val="auto"/>
          <w:highlight w:val="none"/>
        </w:rPr>
        <w:t xml:space="preserve"> </w:t>
      </w:r>
    </w:p>
    <w:p w14:paraId="2319B905">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时间：/至</w:t>
      </w:r>
      <w:r>
        <w:rPr>
          <w:rFonts w:hint="eastAsia" w:ascii="仿宋" w:hAnsi="仿宋" w:eastAsia="仿宋" w:cs="仿宋"/>
          <w:color w:val="auto"/>
          <w:highlight w:val="none"/>
          <w:lang w:eastAsia="zh-CN"/>
        </w:rPr>
        <w:t>202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年</w:t>
      </w:r>
      <w:r>
        <w:rPr>
          <w:rFonts w:hint="eastAsia" w:cs="仿宋"/>
          <w:color w:val="auto"/>
          <w:highlight w:val="none"/>
          <w:lang w:val="en-US" w:eastAsia="zh-CN"/>
        </w:rPr>
        <w:t>4</w:t>
      </w:r>
      <w:r>
        <w:rPr>
          <w:rFonts w:hint="eastAsia" w:ascii="仿宋" w:hAnsi="仿宋" w:eastAsia="仿宋" w:cs="仿宋"/>
          <w:color w:val="auto"/>
          <w:highlight w:val="none"/>
          <w:lang w:eastAsia="zh-CN"/>
        </w:rPr>
        <w:t>月</w:t>
      </w:r>
      <w:r>
        <w:rPr>
          <w:rFonts w:hint="eastAsia" w:cs="仿宋"/>
          <w:color w:val="auto"/>
          <w:highlight w:val="none"/>
          <w:lang w:val="en-US" w:eastAsia="zh-CN"/>
        </w:rPr>
        <w:t>7</w:t>
      </w:r>
      <w:r>
        <w:rPr>
          <w:rFonts w:hint="eastAsia" w:ascii="仿宋" w:hAnsi="仿宋" w:eastAsia="仿宋" w:cs="仿宋"/>
          <w:color w:val="auto"/>
          <w:highlight w:val="none"/>
          <w:lang w:eastAsia="zh-CN"/>
        </w:rPr>
        <w:t>日</w:t>
      </w:r>
      <w:r>
        <w:rPr>
          <w:rFonts w:hint="eastAsia" w:ascii="仿宋" w:hAnsi="仿宋" w:eastAsia="仿宋" w:cs="仿宋"/>
          <w:color w:val="auto"/>
          <w:highlight w:val="none"/>
        </w:rPr>
        <w:t>，每天上午00:00至12:00 ，下午12:00至23:59（北京时间，线上获取法定节假日均可，线下获取文件法定节假日除外）</w:t>
      </w:r>
    </w:p>
    <w:p w14:paraId="0713675B">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地点（网址）：乐采云(萧采云)平台（https://www.lecaiyun.com/） </w:t>
      </w:r>
    </w:p>
    <w:p w14:paraId="1DBC025A">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方式：供应商登录乐采云(萧采云)平台（https://www.lecaiyun.com/）在线申请获取采购文件（进入“项目采购”应用，在获取采购文件菜单中选择项目，申请获取采购文件）。 </w:t>
      </w:r>
    </w:p>
    <w:p w14:paraId="092E427C">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售价（元）：0 </w:t>
      </w:r>
      <w:r>
        <w:rPr>
          <w:rFonts w:hint="eastAsia" w:ascii="仿宋" w:hAnsi="仿宋" w:eastAsia="仿宋" w:cs="仿宋"/>
          <w:color w:val="auto"/>
          <w:highlight w:val="none"/>
        </w:rPr>
        <w:tab/>
      </w:r>
    </w:p>
    <w:p w14:paraId="1B4CA3CC">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四、提交</w:t>
      </w:r>
      <w:r>
        <w:rPr>
          <w:rFonts w:hint="eastAsia" w:ascii="仿宋" w:hAnsi="仿宋" w:eastAsia="仿宋" w:cs="仿宋"/>
          <w:b/>
          <w:color w:val="auto"/>
          <w:highlight w:val="none"/>
          <w:lang w:eastAsia="zh-CN"/>
        </w:rPr>
        <w:t>响应文件</w:t>
      </w:r>
      <w:r>
        <w:rPr>
          <w:rFonts w:hint="eastAsia" w:ascii="仿宋" w:hAnsi="仿宋" w:eastAsia="仿宋" w:cs="仿宋"/>
          <w:b/>
          <w:color w:val="auto"/>
          <w:highlight w:val="none"/>
        </w:rPr>
        <w:t>截止时间、</w:t>
      </w:r>
      <w:r>
        <w:rPr>
          <w:rFonts w:hint="eastAsia" w:ascii="仿宋" w:hAnsi="仿宋" w:eastAsia="仿宋" w:cs="仿宋"/>
          <w:b/>
          <w:color w:val="auto"/>
          <w:highlight w:val="none"/>
          <w:lang w:val="en-US" w:eastAsia="zh-CN"/>
        </w:rPr>
        <w:t>交易</w:t>
      </w:r>
      <w:r>
        <w:rPr>
          <w:rFonts w:hint="eastAsia" w:ascii="仿宋" w:hAnsi="仿宋" w:eastAsia="仿宋" w:cs="仿宋"/>
          <w:b/>
          <w:color w:val="auto"/>
          <w:highlight w:val="none"/>
        </w:rPr>
        <w:t>时间和地点</w:t>
      </w:r>
    </w:p>
    <w:p w14:paraId="59D68BB5">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提交</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 xml:space="preserve">截止时间： </w:t>
      </w:r>
      <w:r>
        <w:rPr>
          <w:rFonts w:hint="eastAsia" w:ascii="仿宋" w:hAnsi="仿宋" w:eastAsia="仿宋" w:cs="仿宋"/>
          <w:color w:val="auto"/>
          <w:highlight w:val="none"/>
          <w:u w:val="single"/>
          <w:lang w:eastAsia="zh-CN"/>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lang w:eastAsia="zh-CN"/>
        </w:rPr>
        <w:t>年</w:t>
      </w:r>
      <w:r>
        <w:rPr>
          <w:rFonts w:hint="eastAsia" w:cs="仿宋"/>
          <w:color w:val="auto"/>
          <w:highlight w:val="none"/>
          <w:u w:val="single"/>
          <w:lang w:val="en-US" w:eastAsia="zh-CN"/>
        </w:rPr>
        <w:t>4</w:t>
      </w:r>
      <w:r>
        <w:rPr>
          <w:rFonts w:hint="eastAsia" w:ascii="仿宋" w:hAnsi="仿宋" w:eastAsia="仿宋" w:cs="仿宋"/>
          <w:color w:val="auto"/>
          <w:highlight w:val="none"/>
          <w:u w:val="single"/>
          <w:lang w:eastAsia="zh-CN"/>
        </w:rPr>
        <w:t>月</w:t>
      </w:r>
      <w:r>
        <w:rPr>
          <w:rFonts w:hint="eastAsia" w:cs="仿宋"/>
          <w:color w:val="auto"/>
          <w:highlight w:val="none"/>
          <w:u w:val="single"/>
          <w:lang w:val="en-US" w:eastAsia="zh-CN"/>
        </w:rPr>
        <w:t>7</w:t>
      </w:r>
      <w:r>
        <w:rPr>
          <w:rFonts w:hint="eastAsia" w:ascii="仿宋" w:hAnsi="仿宋" w:eastAsia="仿宋" w:cs="仿宋"/>
          <w:color w:val="auto"/>
          <w:highlight w:val="none"/>
          <w:u w:val="single"/>
          <w:lang w:eastAsia="zh-CN"/>
        </w:rPr>
        <w:t>日</w:t>
      </w:r>
      <w:r>
        <w:rPr>
          <w:rFonts w:hint="eastAsia" w:ascii="仿宋" w:hAnsi="仿宋" w:eastAsia="仿宋" w:cs="仿宋"/>
          <w:color w:val="auto"/>
          <w:highlight w:val="none"/>
          <w:u w:val="single"/>
          <w:lang w:val="en-US" w:eastAsia="zh-CN"/>
        </w:rPr>
        <w:t xml:space="preserve"> </w:t>
      </w:r>
      <w:r>
        <w:rPr>
          <w:rFonts w:hint="eastAsia" w:cs="仿宋"/>
          <w:color w:val="auto"/>
          <w:highlight w:val="none"/>
          <w:u w:val="single"/>
          <w:lang w:val="en-US" w:eastAsia="zh-CN"/>
        </w:rPr>
        <w:t>14</w:t>
      </w:r>
      <w:r>
        <w:rPr>
          <w:rFonts w:hint="eastAsia" w:ascii="仿宋" w:hAnsi="仿宋" w:eastAsia="仿宋" w:cs="仿宋"/>
          <w:color w:val="auto"/>
          <w:highlight w:val="none"/>
          <w:u w:val="single"/>
        </w:rPr>
        <w:t>点</w:t>
      </w:r>
      <w:r>
        <w:rPr>
          <w:rFonts w:hint="eastAsia" w:ascii="仿宋" w:hAnsi="仿宋" w:eastAsia="仿宋" w:cs="仿宋"/>
          <w:color w:val="auto"/>
          <w:highlight w:val="none"/>
          <w:u w:val="single"/>
          <w:lang w:val="en-US" w:eastAsia="zh-CN"/>
        </w:rPr>
        <w:t xml:space="preserve"> </w:t>
      </w:r>
      <w:r>
        <w:rPr>
          <w:rFonts w:hint="eastAsia" w:cs="仿宋"/>
          <w:color w:val="auto"/>
          <w:highlight w:val="none"/>
          <w:u w:val="single"/>
          <w:lang w:val="en-US" w:eastAsia="zh-CN"/>
        </w:rPr>
        <w:t>00</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u w:val="single"/>
        </w:rPr>
        <w:t>分</w:t>
      </w:r>
      <w:r>
        <w:rPr>
          <w:rFonts w:hint="eastAsia" w:ascii="仿宋" w:hAnsi="仿宋" w:eastAsia="仿宋" w:cs="仿宋"/>
          <w:color w:val="auto"/>
          <w:highlight w:val="none"/>
        </w:rPr>
        <w:t xml:space="preserve"> （北京时间）</w:t>
      </w:r>
    </w:p>
    <w:p w14:paraId="733C73BC">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 xml:space="preserve">地点（网址）：乐采云(萧采云)平台（https://www.zcygov.cn/） </w:t>
      </w:r>
    </w:p>
    <w:p w14:paraId="3F18DC1B">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交易</w:t>
      </w:r>
      <w:r>
        <w:rPr>
          <w:rFonts w:hint="eastAsia" w:ascii="仿宋" w:hAnsi="仿宋" w:eastAsia="仿宋" w:cs="仿宋"/>
          <w:color w:val="auto"/>
          <w:highlight w:val="none"/>
        </w:rPr>
        <w:t xml:space="preserve">时间： </w:t>
      </w:r>
      <w:r>
        <w:rPr>
          <w:rFonts w:hint="eastAsia" w:ascii="仿宋" w:hAnsi="仿宋" w:eastAsia="仿宋" w:cs="仿宋"/>
          <w:color w:val="auto"/>
          <w:highlight w:val="none"/>
          <w:u w:val="single"/>
          <w:lang w:eastAsia="zh-CN"/>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lang w:eastAsia="zh-CN"/>
        </w:rPr>
        <w:t>年</w:t>
      </w:r>
      <w:r>
        <w:rPr>
          <w:rFonts w:hint="eastAsia" w:cs="仿宋"/>
          <w:color w:val="auto"/>
          <w:highlight w:val="none"/>
          <w:u w:val="single"/>
          <w:lang w:val="en-US" w:eastAsia="zh-CN"/>
        </w:rPr>
        <w:t>4</w:t>
      </w:r>
      <w:r>
        <w:rPr>
          <w:rFonts w:hint="eastAsia" w:ascii="仿宋" w:hAnsi="仿宋" w:eastAsia="仿宋" w:cs="仿宋"/>
          <w:color w:val="auto"/>
          <w:highlight w:val="none"/>
          <w:u w:val="single"/>
          <w:lang w:eastAsia="zh-CN"/>
        </w:rPr>
        <w:t>月</w:t>
      </w:r>
      <w:r>
        <w:rPr>
          <w:rFonts w:hint="eastAsia" w:cs="仿宋"/>
          <w:color w:val="auto"/>
          <w:highlight w:val="none"/>
          <w:u w:val="single"/>
          <w:lang w:val="en-US" w:eastAsia="zh-CN"/>
        </w:rPr>
        <w:t>7</w:t>
      </w:r>
      <w:r>
        <w:rPr>
          <w:rFonts w:hint="eastAsia" w:ascii="仿宋" w:hAnsi="仿宋" w:eastAsia="仿宋" w:cs="仿宋"/>
          <w:color w:val="auto"/>
          <w:highlight w:val="none"/>
          <w:u w:val="single"/>
          <w:lang w:eastAsia="zh-CN"/>
        </w:rPr>
        <w:t>日</w:t>
      </w:r>
      <w:r>
        <w:rPr>
          <w:rFonts w:hint="eastAsia" w:ascii="仿宋" w:hAnsi="仿宋" w:eastAsia="仿宋" w:cs="仿宋"/>
          <w:color w:val="auto"/>
          <w:highlight w:val="none"/>
          <w:u w:val="single"/>
          <w:lang w:val="en-US" w:eastAsia="zh-CN"/>
        </w:rPr>
        <w:t xml:space="preserve"> </w:t>
      </w:r>
      <w:r>
        <w:rPr>
          <w:rFonts w:hint="eastAsia" w:cs="仿宋"/>
          <w:color w:val="auto"/>
          <w:highlight w:val="none"/>
          <w:u w:val="single"/>
          <w:lang w:val="en-US" w:eastAsia="zh-CN"/>
        </w:rPr>
        <w:t>14</w:t>
      </w:r>
      <w:r>
        <w:rPr>
          <w:rFonts w:hint="eastAsia" w:ascii="仿宋" w:hAnsi="仿宋" w:eastAsia="仿宋" w:cs="仿宋"/>
          <w:color w:val="auto"/>
          <w:highlight w:val="none"/>
          <w:u w:val="single"/>
        </w:rPr>
        <w:t>点</w:t>
      </w:r>
      <w:r>
        <w:rPr>
          <w:rFonts w:hint="eastAsia" w:ascii="仿宋" w:hAnsi="仿宋" w:eastAsia="仿宋" w:cs="仿宋"/>
          <w:color w:val="auto"/>
          <w:highlight w:val="none"/>
          <w:u w:val="single"/>
          <w:lang w:val="en-US" w:eastAsia="zh-CN"/>
        </w:rPr>
        <w:t xml:space="preserve"> </w:t>
      </w:r>
      <w:r>
        <w:rPr>
          <w:rFonts w:hint="eastAsia" w:cs="仿宋"/>
          <w:color w:val="auto"/>
          <w:highlight w:val="none"/>
          <w:u w:val="single"/>
          <w:lang w:val="en-US" w:eastAsia="zh-CN"/>
        </w:rPr>
        <w:t>00</w:t>
      </w:r>
      <w:bookmarkStart w:id="370" w:name="_GoBack"/>
      <w:bookmarkEnd w:id="370"/>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u w:val="single"/>
        </w:rPr>
        <w:t>分</w:t>
      </w:r>
      <w:r>
        <w:rPr>
          <w:rFonts w:hint="eastAsia" w:ascii="仿宋" w:hAnsi="仿宋" w:eastAsia="仿宋" w:cs="仿宋"/>
          <w:color w:val="auto"/>
          <w:highlight w:val="none"/>
        </w:rPr>
        <w:t xml:space="preserve"> </w:t>
      </w:r>
    </w:p>
    <w:p w14:paraId="15DB9E1E">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交易</w:t>
      </w:r>
      <w:r>
        <w:rPr>
          <w:rFonts w:hint="eastAsia" w:ascii="仿宋" w:hAnsi="仿宋" w:eastAsia="仿宋" w:cs="仿宋"/>
          <w:color w:val="auto"/>
          <w:highlight w:val="none"/>
        </w:rPr>
        <w:t>地点（网址）：乐采云(萧采云)平台（https://www.zcygov.cn/）。</w:t>
      </w:r>
    </w:p>
    <w:p w14:paraId="3C8732BD">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 xml:space="preserve">五、公告期限 </w:t>
      </w:r>
    </w:p>
    <w:p w14:paraId="5A88F351">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自本公告发布之日起5个工作日。</w:t>
      </w:r>
    </w:p>
    <w:p w14:paraId="48FC15D1">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六、其他补充事宜</w:t>
      </w:r>
    </w:p>
    <w:p w14:paraId="46473E22">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1.供应商认为</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使自己的权益受到损害的，可以自获取</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之日或者</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公告期限届满之日（公告期限届满后获取</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的，以公告期限届满之日为准）起7个工作日内，以书面形式向</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和采购代理机构提出质疑。质疑供应商对</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、采购代理机构的答复不满意或者</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、采购代理机构未在规定的时间内作出答复的，可以在答复期满后十五个工作日内向同级监督管理部门投诉。质疑函范本、投诉书范本请到浙江政府采购网下载专区下载。</w:t>
      </w:r>
    </w:p>
    <w:p w14:paraId="3B3CB3EC">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2.其他事项：（1）需要落实的政府采购政策：</w:t>
      </w:r>
      <w:r>
        <w:rPr>
          <w:rFonts w:hint="eastAsia" w:ascii="仿宋" w:hAnsi="仿宋" w:eastAsia="仿宋" w:cs="仿宋"/>
          <w:color w:val="auto"/>
          <w:highlight w:val="none"/>
          <w:lang w:val="en-US" w:eastAsia="zh-CN"/>
        </w:rPr>
        <w:t>无</w:t>
      </w:r>
      <w:r>
        <w:rPr>
          <w:rFonts w:hint="eastAsia" w:ascii="仿宋" w:hAnsi="仿宋" w:eastAsia="仿宋" w:cs="仿宋"/>
          <w:color w:val="auto"/>
          <w:highlight w:val="none"/>
        </w:rPr>
        <w:t>。（2）电子招投标的说明：①电子招投标：本项目以数据电文形式，依托“政府采购云平台（www.zcygov.cn）”进行招投标活动，不接受纸质</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的获取：使用账号登录或者使用CA登录政采云平台；进入“项目采购”应用，在获取采购文件菜单中选择项目，获取</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；④</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的制作：在“政采云电子交易客户端”中完成“填写基本信息”、“导入</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”、“标书关联”、“标书检查”、“电子签名”、“生成电子标书”等操作；⑤</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将依托政采云平台完成本项目的电子交易活动，平台不接受未按上述方式获取</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的供应商进行投标活动； ⑥对未按上述方式获取</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的供应商对该文件提出的质疑，</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或采购代理机构将不予处理；⑦不提供</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纸质版；⑧</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的传输递交：</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在</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截止时间前将加密的</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上传至政府采购云平台，还可以在</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截止时间前直接提交或者以邮政快递方式递交备份</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1份。备份</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的制作、存储、密封详见</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第二部分第15点—“备份</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”；⑨</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的解密：</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按照平台提示和</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的规定在半小时内完成在线解密。通过“政府采购云平台”上传递交的</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无法按时解密，</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供应商递交了备份</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的，以备份</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为依据，否则视为</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撤回。通过“政府采购云平台”上传递交的</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已按时解密的，备份</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自动失效。</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仅提交备份</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，未在电子交易平台传输递交</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w:t>
      </w:r>
      <w:r>
        <w:rPr>
          <w:rFonts w:hint="eastAsia" w:ascii="仿宋" w:hAnsi="仿宋" w:eastAsia="仿宋" w:cs="仿宋"/>
          <w:color w:val="auto"/>
          <w:highlight w:val="none"/>
          <w:lang w:eastAsia="zh-CN"/>
        </w:rPr>
        <w:t>响应无效</w:t>
      </w:r>
      <w:r>
        <w:rPr>
          <w:rFonts w:hint="eastAsia" w:ascii="仿宋" w:hAnsi="仿宋" w:eastAsia="仿宋" w:cs="仿宋"/>
          <w:color w:val="auto"/>
          <w:highlight w:val="none"/>
        </w:rPr>
        <w:t>；⑩具体操作指南：详见政采云平台“服务中心-帮助文档-项目采购-操作流程-电子招投标-政府采购项目电子交易管理操作指南-供应商”。</w:t>
      </w:r>
    </w:p>
    <w:p w14:paraId="51877ADB">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七、对本次采购提出询问、质疑、投诉，请按以下方式联系</w:t>
      </w:r>
    </w:p>
    <w:p w14:paraId="756C116D">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1.</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信息</w:t>
      </w:r>
    </w:p>
    <w:p w14:paraId="6E89BBC5">
      <w:pPr>
        <w:rPr>
          <w:rFonts w:hint="eastAsia" w:ascii="仿宋" w:hAnsi="仿宋" w:eastAsia="仿宋" w:cs="仿宋"/>
        </w:rPr>
      </w:pPr>
      <w:r>
        <w:rPr>
          <w:rFonts w:hint="eastAsia" w:ascii="仿宋" w:hAnsi="仿宋" w:eastAsia="仿宋" w:cs="仿宋"/>
          <w:color w:val="auto"/>
          <w:highlight w:val="none"/>
        </w:rPr>
        <w:t>名 称：</w:t>
      </w:r>
      <w:r>
        <w:rPr>
          <w:rFonts w:hint="eastAsia" w:ascii="仿宋" w:hAnsi="仿宋" w:eastAsia="仿宋" w:cs="仿宋"/>
          <w:color w:val="auto"/>
          <w:highlight w:val="none"/>
          <w:lang w:eastAsia="zh-CN"/>
        </w:rPr>
        <w:t>杭州市萧山区社会保险管理服务中心</w:t>
      </w:r>
    </w:p>
    <w:p w14:paraId="48D593D2">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highlight w:val="none"/>
          <w:lang w:val="en-US" w:eastAsia="zh-CN"/>
        </w:rPr>
      </w:pPr>
      <w:r>
        <w:rPr>
          <w:rFonts w:hint="eastAsia" w:ascii="仿宋" w:hAnsi="仿宋" w:eastAsia="仿宋" w:cs="仿宋"/>
          <w:color w:val="auto"/>
          <w:highlight w:val="none"/>
        </w:rPr>
        <w:t>地址：</w:t>
      </w:r>
      <w:r>
        <w:rPr>
          <w:rFonts w:hint="eastAsia" w:ascii="仿宋" w:hAnsi="仿宋" w:eastAsia="仿宋" w:cs="仿宋"/>
          <w:color w:val="auto"/>
          <w:highlight w:val="none"/>
          <w:lang w:eastAsia="zh-CN"/>
        </w:rPr>
        <w:t>萧山区</w:t>
      </w:r>
      <w:r>
        <w:rPr>
          <w:rFonts w:hint="eastAsia" w:ascii="仿宋" w:hAnsi="仿宋" w:eastAsia="仿宋" w:cs="仿宋"/>
          <w:color w:val="auto"/>
          <w:highlight w:val="none"/>
          <w:lang w:val="en-US" w:eastAsia="zh-CN"/>
        </w:rPr>
        <w:t>城厢街道萧然南路373号</w:t>
      </w:r>
    </w:p>
    <w:p w14:paraId="157D955C">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项目联系人：陈钊娇</w:t>
      </w:r>
    </w:p>
    <w:p w14:paraId="767F8E81">
      <w:pPr>
        <w:keepNext w:val="0"/>
        <w:keepLines w:val="0"/>
        <w:pageBreakBefore w:val="0"/>
        <w:widowControl/>
        <w:kinsoku/>
        <w:wordWrap/>
        <w:overflowPunct/>
        <w:topLinePunct w:val="0"/>
        <w:autoSpaceDE/>
        <w:autoSpaceDN/>
        <w:bidi w:val="0"/>
        <w:adjustRightInd/>
        <w:snapToGrid/>
        <w:spacing w:after="0" w:line="360" w:lineRule="auto"/>
        <w:textAlignment w:val="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项目联系方式：</w:t>
      </w:r>
      <w:bookmarkStart w:id="0" w:name="_Toc28359009"/>
      <w:bookmarkStart w:id="1" w:name="_Toc28359086"/>
      <w:r>
        <w:rPr>
          <w:rFonts w:hint="eastAsia" w:ascii="仿宋" w:hAnsi="仿宋" w:eastAsia="仿宋" w:cs="仿宋"/>
          <w:color w:val="auto"/>
          <w:highlight w:val="none"/>
          <w:lang w:val="en-US" w:eastAsia="zh-CN"/>
        </w:rPr>
        <w:t>0571-83893253</w:t>
      </w:r>
    </w:p>
    <w:p w14:paraId="6DB57334">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2.采购代理机构信息</w:t>
      </w:r>
      <w:bookmarkEnd w:id="0"/>
      <w:bookmarkEnd w:id="1"/>
    </w:p>
    <w:p w14:paraId="355A42C0">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rPr>
        <w:t>名 称：</w:t>
      </w:r>
      <w:r>
        <w:rPr>
          <w:rFonts w:hint="eastAsia" w:ascii="仿宋" w:hAnsi="仿宋" w:eastAsia="仿宋" w:cs="仿宋"/>
          <w:color w:val="auto"/>
          <w:highlight w:val="none"/>
          <w:lang w:eastAsia="zh-CN"/>
        </w:rPr>
        <w:t>杭州三才工程管理咨询有限公司</w:t>
      </w:r>
    </w:p>
    <w:p w14:paraId="131D90FF">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地址：</w:t>
      </w:r>
      <w:r>
        <w:rPr>
          <w:rFonts w:hint="eastAsia" w:ascii="仿宋" w:hAnsi="仿宋" w:eastAsia="仿宋" w:cs="仿宋"/>
          <w:color w:val="auto"/>
          <w:sz w:val="24"/>
          <w:highlight w:val="none"/>
        </w:rPr>
        <w:t>杭州市滨江区长河街道钱龙大厦五楼</w:t>
      </w:r>
    </w:p>
    <w:p w14:paraId="71D851BA">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项目联系人：</w:t>
      </w:r>
      <w:r>
        <w:rPr>
          <w:rFonts w:hint="eastAsia" w:ascii="仿宋" w:hAnsi="仿宋" w:eastAsia="仿宋" w:cs="仿宋"/>
          <w:color w:val="auto"/>
          <w:sz w:val="24"/>
          <w:highlight w:val="none"/>
        </w:rPr>
        <w:t xml:space="preserve">王工 </w:t>
      </w:r>
    </w:p>
    <w:p w14:paraId="65728C97">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rPr>
        <w:t>项目联系方式：</w:t>
      </w:r>
      <w:r>
        <w:rPr>
          <w:rFonts w:hint="eastAsia" w:ascii="仿宋" w:hAnsi="仿宋" w:eastAsia="仿宋" w:cs="仿宋"/>
          <w:color w:val="auto"/>
          <w:sz w:val="24"/>
          <w:highlight w:val="none"/>
        </w:rPr>
        <w:t>13958196794</w:t>
      </w:r>
    </w:p>
    <w:p w14:paraId="4F5AC6E9">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若对项目采购电子交易系统操作有疑问，可登录乐采云(萧采云)（https://www.lecaiyun.com/），点击右侧咨询小采，获取采小蜜智能服务管家帮助，或拨打乐采云(萧采云)服务热线400-881-7190获取热线服务帮助。</w:t>
      </w:r>
    </w:p>
    <w:p w14:paraId="3D45D6EE">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CA问题联系电话（人工）：汇信CA 400-888-4636；天谷CA 400-087-8198。</w:t>
      </w:r>
      <w:r>
        <w:rPr>
          <w:rFonts w:hint="eastAsia" w:ascii="仿宋" w:hAnsi="仿宋" w:eastAsia="仿宋" w:cs="仿宋"/>
          <w:color w:val="auto"/>
          <w:highlight w:val="none"/>
        </w:rPr>
        <w:br w:type="page"/>
      </w:r>
    </w:p>
    <w:p w14:paraId="6F2B18B4">
      <w:pPr>
        <w:pStyle w:val="3"/>
        <w:rPr>
          <w:rFonts w:hint="eastAsia" w:ascii="仿宋" w:hAnsi="仿宋" w:eastAsia="仿宋" w:cs="仿宋"/>
          <w:color w:val="auto"/>
          <w:highlight w:val="none"/>
          <w:lang w:eastAsia="zh-CN"/>
        </w:rPr>
      </w:pPr>
      <w:r>
        <w:rPr>
          <w:rFonts w:hint="eastAsia" w:ascii="仿宋" w:hAnsi="仿宋" w:eastAsia="仿宋" w:cs="仿宋"/>
          <w:color w:val="auto"/>
          <w:highlight w:val="none"/>
        </w:rPr>
        <w:t xml:space="preserve">第二部分 </w:t>
      </w:r>
      <w:r>
        <w:rPr>
          <w:rFonts w:hint="eastAsia" w:ascii="仿宋" w:hAnsi="仿宋" w:eastAsia="仿宋" w:cs="仿宋"/>
          <w:color w:val="auto"/>
          <w:highlight w:val="none"/>
          <w:lang w:eastAsia="zh-CN"/>
        </w:rPr>
        <w:t>供应商须知</w:t>
      </w:r>
    </w:p>
    <w:p w14:paraId="73629A51">
      <w:pPr>
        <w:pStyle w:val="4"/>
        <w:rPr>
          <w:rFonts w:hint="eastAsia" w:ascii="仿宋" w:hAnsi="仿宋" w:eastAsia="仿宋" w:cs="仿宋"/>
          <w:color w:val="auto"/>
          <w:highlight w:val="none"/>
        </w:rPr>
      </w:pPr>
      <w:r>
        <w:rPr>
          <w:rFonts w:hint="eastAsia" w:ascii="仿宋" w:hAnsi="仿宋" w:eastAsia="仿宋" w:cs="仿宋"/>
          <w:color w:val="auto"/>
          <w:highlight w:val="none"/>
        </w:rPr>
        <w:t>前附表</w:t>
      </w:r>
    </w:p>
    <w:tbl>
      <w:tblPr>
        <w:tblStyle w:val="27"/>
        <w:tblW w:w="505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9"/>
        <w:gridCol w:w="1608"/>
        <w:gridCol w:w="6236"/>
      </w:tblGrid>
      <w:tr w14:paraId="66E263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440" w:type="pct"/>
            <w:vAlign w:val="center"/>
          </w:tcPr>
          <w:p w14:paraId="4EFD60CE">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序号</w:t>
            </w:r>
          </w:p>
        </w:tc>
        <w:tc>
          <w:tcPr>
            <w:tcW w:w="934" w:type="pct"/>
            <w:vAlign w:val="center"/>
          </w:tcPr>
          <w:p w14:paraId="719785F6">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事项</w:t>
            </w:r>
          </w:p>
        </w:tc>
        <w:tc>
          <w:tcPr>
            <w:tcW w:w="3624" w:type="pct"/>
            <w:vAlign w:val="center"/>
          </w:tcPr>
          <w:p w14:paraId="07971F43">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本项目特别规定</w:t>
            </w:r>
          </w:p>
        </w:tc>
      </w:tr>
      <w:tr w14:paraId="453C8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440" w:type="pct"/>
            <w:vAlign w:val="center"/>
          </w:tcPr>
          <w:p w14:paraId="2CA6069E">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p>
        </w:tc>
        <w:tc>
          <w:tcPr>
            <w:tcW w:w="934" w:type="pct"/>
            <w:vAlign w:val="center"/>
          </w:tcPr>
          <w:p w14:paraId="5D774DFB">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项目属性与核心产品</w:t>
            </w:r>
          </w:p>
        </w:tc>
        <w:tc>
          <w:tcPr>
            <w:tcW w:w="3624" w:type="pct"/>
            <w:vAlign w:val="center"/>
          </w:tcPr>
          <w:p w14:paraId="0F060670">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r>
              <w:rPr>
                <w:rFonts w:hint="eastAsia" w:ascii="仿宋" w:hAnsi="仿宋" w:eastAsia="仿宋" w:cs="仿宋"/>
                <w:color w:val="auto"/>
                <w:sz w:val="22"/>
                <w:szCs w:val="22"/>
                <w:highlight w:val="none"/>
                <w:lang w:val="en-US" w:eastAsia="zh-CN"/>
              </w:rPr>
              <w:t xml:space="preserve"> </w:t>
            </w:r>
            <w:r>
              <w:rPr>
                <w:rFonts w:hint="eastAsia" w:ascii="仿宋" w:hAnsi="仿宋" w:eastAsia="仿宋" w:cs="仿宋"/>
                <w:b/>
                <w:color w:val="auto"/>
                <w:sz w:val="22"/>
                <w:szCs w:val="22"/>
                <w:highlight w:val="none"/>
                <w:lang w:val="en-US" w:eastAsia="zh-CN"/>
              </w:rPr>
              <w:t xml:space="preserve"> </w:t>
            </w:r>
            <w:r>
              <w:rPr>
                <w:rFonts w:hint="eastAsia" w:ascii="仿宋" w:hAnsi="仿宋" w:eastAsia="仿宋" w:cs="仿宋"/>
                <w:color w:val="auto"/>
                <w:sz w:val="22"/>
                <w:szCs w:val="22"/>
                <w:highlight w:val="none"/>
              </w:rPr>
              <w:t>)A货物类，单一产品或核心产品为：</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u w:val="single"/>
                <w:lang w:val="en-US" w:eastAsia="zh-CN"/>
              </w:rPr>
              <w:t>/</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w:t>
            </w:r>
          </w:p>
          <w:p w14:paraId="26BAF879">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r>
              <w:rPr>
                <w:rFonts w:hint="eastAsia" w:ascii="仿宋" w:hAnsi="仿宋" w:eastAsia="仿宋" w:cs="仿宋"/>
                <w:b/>
                <w:color w:val="auto"/>
                <w:sz w:val="22"/>
                <w:szCs w:val="22"/>
                <w:highlight w:val="none"/>
              </w:rPr>
              <w:t>√</w:t>
            </w:r>
            <w:r>
              <w:rPr>
                <w:rFonts w:hint="eastAsia" w:ascii="仿宋" w:hAnsi="仿宋" w:eastAsia="仿宋" w:cs="仿宋"/>
                <w:color w:val="auto"/>
                <w:sz w:val="22"/>
                <w:szCs w:val="22"/>
                <w:highlight w:val="none"/>
              </w:rPr>
              <w:t>)B服务类。</w:t>
            </w:r>
          </w:p>
        </w:tc>
      </w:tr>
      <w:tr w14:paraId="05B5C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768" w:type="dxa"/>
            <w:vAlign w:val="center"/>
          </w:tcPr>
          <w:p w14:paraId="40E3D204">
            <w:pPr>
              <w:snapToGrid w:val="0"/>
              <w:spacing w:line="240" w:lineRule="auto"/>
              <w:jc w:val="center"/>
              <w:rPr>
                <w:rFonts w:hint="eastAsia" w:ascii="仿宋" w:hAnsi="仿宋" w:eastAsia="仿宋" w:cs="仿宋"/>
                <w:color w:val="auto"/>
                <w:sz w:val="22"/>
                <w:szCs w:val="22"/>
                <w:highlight w:val="none"/>
              </w:rPr>
            </w:pPr>
            <w:r>
              <w:rPr>
                <w:rFonts w:hint="eastAsia" w:ascii="仿宋" w:hAnsi="仿宋" w:eastAsia="仿宋" w:cs="仿宋"/>
                <w:b/>
                <w:color w:val="auto"/>
                <w:sz w:val="24"/>
                <w:highlight w:val="none"/>
              </w:rPr>
              <w:t>2</w:t>
            </w:r>
          </w:p>
        </w:tc>
        <w:tc>
          <w:tcPr>
            <w:tcW w:w="1628" w:type="dxa"/>
            <w:vAlign w:val="center"/>
          </w:tcPr>
          <w:p w14:paraId="17CBED7C">
            <w:pPr>
              <w:snapToGrid w:val="0"/>
              <w:spacing w:line="240" w:lineRule="auto"/>
              <w:jc w:val="center"/>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标的对应的中小企业划分标准所属行业</w:t>
            </w:r>
          </w:p>
        </w:tc>
        <w:tc>
          <w:tcPr>
            <w:tcW w:w="6314" w:type="dxa"/>
            <w:vAlign w:val="center"/>
          </w:tcPr>
          <w:p w14:paraId="4BC0B3F5">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lang w:val="en-US"/>
              </w:rPr>
            </w:pPr>
            <w:r>
              <w:rPr>
                <w:rFonts w:hint="eastAsia" w:ascii="仿宋" w:hAnsi="仿宋" w:eastAsia="仿宋" w:cs="仿宋"/>
                <w:color w:val="auto"/>
                <w:sz w:val="22"/>
                <w:szCs w:val="22"/>
                <w:highlight w:val="none"/>
              </w:rPr>
              <w:t>（1）标的</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职工疗休养服务</w:t>
            </w:r>
            <w:r>
              <w:rPr>
                <w:rFonts w:hint="eastAsia" w:ascii="仿宋" w:hAnsi="仿宋" w:eastAsia="仿宋" w:cs="仿宋"/>
                <w:color w:val="auto"/>
                <w:sz w:val="22"/>
                <w:szCs w:val="22"/>
                <w:highlight w:val="none"/>
                <w:lang w:eastAsia="zh-CN"/>
              </w:rPr>
              <w:t>，属于</w:t>
            </w:r>
            <w:r>
              <w:rPr>
                <w:rFonts w:hint="eastAsia" w:ascii="仿宋" w:hAnsi="仿宋" w:eastAsia="仿宋" w:cs="仿宋"/>
                <w:color w:val="auto"/>
                <w:sz w:val="22"/>
                <w:szCs w:val="22"/>
                <w:highlight w:val="none"/>
              </w:rPr>
              <w:t>其他未列明行业；</w:t>
            </w:r>
          </w:p>
          <w:p w14:paraId="2C18AA38">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行业划分标准：</w:t>
            </w:r>
          </w:p>
          <w:p w14:paraId="1D98D5CA">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《关于印发中小企业划型标准规定的通知》工信部联企业〔2011〕300号</w:t>
            </w:r>
          </w:p>
        </w:tc>
      </w:tr>
      <w:tr w14:paraId="214C2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440" w:type="pct"/>
            <w:vAlign w:val="center"/>
          </w:tcPr>
          <w:p w14:paraId="4CF34348">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3</w:t>
            </w:r>
          </w:p>
        </w:tc>
        <w:tc>
          <w:tcPr>
            <w:tcW w:w="934" w:type="pct"/>
            <w:vAlign w:val="center"/>
          </w:tcPr>
          <w:p w14:paraId="01616D8D">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是否允许采购进口产品</w:t>
            </w:r>
          </w:p>
        </w:tc>
        <w:tc>
          <w:tcPr>
            <w:tcW w:w="3624" w:type="pct"/>
            <w:vAlign w:val="center"/>
          </w:tcPr>
          <w:p w14:paraId="2A041D5D">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w:t>
            </w:r>
            <w:r>
              <w:rPr>
                <w:rFonts w:hint="eastAsia" w:ascii="仿宋" w:hAnsi="仿宋" w:eastAsia="仿宋" w:cs="仿宋"/>
                <w:b/>
                <w:color w:val="auto"/>
                <w:sz w:val="22"/>
                <w:szCs w:val="22"/>
                <w:highlight w:val="none"/>
              </w:rPr>
              <w:t>√</w:t>
            </w:r>
            <w:r>
              <w:rPr>
                <w:rFonts w:hint="eastAsia" w:ascii="仿宋" w:hAnsi="仿宋" w:eastAsia="仿宋" w:cs="仿宋"/>
                <w:b/>
                <w:color w:val="auto"/>
                <w:sz w:val="22"/>
                <w:szCs w:val="22"/>
                <w:highlight w:val="none"/>
                <w:lang w:val="en-US" w:eastAsia="zh-CN"/>
              </w:rPr>
              <w:t xml:space="preserve"> </w:t>
            </w:r>
            <w:r>
              <w:rPr>
                <w:rFonts w:hint="eastAsia" w:ascii="仿宋" w:hAnsi="仿宋" w:eastAsia="仿宋" w:cs="仿宋"/>
                <w:color w:val="auto"/>
                <w:sz w:val="22"/>
                <w:szCs w:val="22"/>
                <w:highlight w:val="none"/>
              </w:rPr>
              <w:t>)本项目不允许采购进口产品。</w:t>
            </w:r>
          </w:p>
          <w:p w14:paraId="7D7673E7">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   )可以就</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u w:val="single"/>
                <w:lang w:val="en-US" w:eastAsia="zh-CN"/>
              </w:rPr>
              <w:t>/</w:t>
            </w:r>
            <w:r>
              <w:rPr>
                <w:rFonts w:hint="eastAsia" w:ascii="仿宋" w:hAnsi="仿宋" w:eastAsia="仿宋" w:cs="仿宋"/>
                <w:color w:val="auto"/>
                <w:sz w:val="22"/>
                <w:szCs w:val="22"/>
                <w:highlight w:val="none"/>
                <w:u w:val="single"/>
              </w:rPr>
              <w:t xml:space="preserve">  </w:t>
            </w:r>
            <w:r>
              <w:rPr>
                <w:rFonts w:hint="eastAsia" w:ascii="仿宋" w:hAnsi="仿宋" w:eastAsia="仿宋" w:cs="仿宋"/>
                <w:color w:val="auto"/>
                <w:sz w:val="22"/>
                <w:szCs w:val="22"/>
                <w:highlight w:val="none"/>
              </w:rPr>
              <w:t>采购进口产品。</w:t>
            </w:r>
          </w:p>
          <w:p w14:paraId="078F6777">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进口产品是指通过中国海关保关验放进入中国境内且产自境关外的产品。</w:t>
            </w:r>
          </w:p>
        </w:tc>
      </w:tr>
      <w:tr w14:paraId="4CE67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440" w:type="pct"/>
            <w:vAlign w:val="center"/>
          </w:tcPr>
          <w:p w14:paraId="5279AB31">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4</w:t>
            </w:r>
          </w:p>
        </w:tc>
        <w:tc>
          <w:tcPr>
            <w:tcW w:w="934" w:type="pct"/>
            <w:vAlign w:val="center"/>
          </w:tcPr>
          <w:p w14:paraId="0632C44C">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联合体和分包</w:t>
            </w:r>
          </w:p>
        </w:tc>
        <w:tc>
          <w:tcPr>
            <w:tcW w:w="3624" w:type="pct"/>
            <w:vAlign w:val="center"/>
          </w:tcPr>
          <w:p w14:paraId="2A0A5E1C">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w:t>
            </w:r>
            <w:r>
              <w:rPr>
                <w:rFonts w:hint="eastAsia" w:ascii="仿宋" w:hAnsi="仿宋" w:eastAsia="仿宋" w:cs="仿宋"/>
                <w:color w:val="auto"/>
                <w:sz w:val="22"/>
                <w:szCs w:val="22"/>
                <w:highlight w:val="none"/>
              </w:rPr>
              <w:t>B不同意分包。</w:t>
            </w:r>
          </w:p>
        </w:tc>
      </w:tr>
      <w:tr w14:paraId="04D23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440" w:type="pct"/>
            <w:vAlign w:val="center"/>
          </w:tcPr>
          <w:p w14:paraId="066E5B11">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5</w:t>
            </w:r>
          </w:p>
        </w:tc>
        <w:tc>
          <w:tcPr>
            <w:tcW w:w="934" w:type="pct"/>
            <w:vAlign w:val="center"/>
          </w:tcPr>
          <w:p w14:paraId="21A4D382">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开标前答疑会或现场考察</w:t>
            </w:r>
          </w:p>
        </w:tc>
        <w:tc>
          <w:tcPr>
            <w:tcW w:w="3624" w:type="pct"/>
            <w:vAlign w:val="center"/>
          </w:tcPr>
          <w:p w14:paraId="62EBE2F2">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w:t>
            </w:r>
            <w:r>
              <w:rPr>
                <w:rFonts w:hint="eastAsia" w:ascii="仿宋" w:hAnsi="仿宋" w:eastAsia="仿宋" w:cs="仿宋"/>
                <w:color w:val="auto"/>
                <w:sz w:val="22"/>
                <w:szCs w:val="22"/>
                <w:highlight w:val="none"/>
              </w:rPr>
              <w:t>A不组织。</w:t>
            </w:r>
          </w:p>
        </w:tc>
      </w:tr>
      <w:tr w14:paraId="022E7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440" w:type="pct"/>
            <w:vAlign w:val="center"/>
          </w:tcPr>
          <w:p w14:paraId="3F23F74E">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6</w:t>
            </w:r>
          </w:p>
        </w:tc>
        <w:tc>
          <w:tcPr>
            <w:tcW w:w="934" w:type="pct"/>
            <w:vAlign w:val="center"/>
          </w:tcPr>
          <w:p w14:paraId="7C6D6846">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样品提供</w:t>
            </w:r>
          </w:p>
        </w:tc>
        <w:tc>
          <w:tcPr>
            <w:tcW w:w="3624" w:type="pct"/>
            <w:vAlign w:val="center"/>
          </w:tcPr>
          <w:p w14:paraId="031EAD5D">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bCs/>
                <w:color w:val="auto"/>
                <w:sz w:val="22"/>
                <w:szCs w:val="22"/>
                <w:highlight w:val="none"/>
              </w:rPr>
            </w:pPr>
            <w:r>
              <w:rPr>
                <w:rFonts w:hint="eastAsia" w:ascii="仿宋" w:hAnsi="仿宋" w:eastAsia="仿宋" w:cs="仿宋"/>
                <w:b/>
                <w:bCs w:val="0"/>
                <w:color w:val="auto"/>
                <w:sz w:val="22"/>
                <w:szCs w:val="22"/>
                <w:highlight w:val="none"/>
                <w:lang w:eastAsia="zh-CN"/>
              </w:rPr>
              <w:t>（</w:t>
            </w:r>
            <w:r>
              <w:rPr>
                <w:rFonts w:hint="eastAsia" w:ascii="仿宋" w:hAnsi="仿宋" w:eastAsia="仿宋" w:cs="仿宋"/>
                <w:b/>
                <w:bCs w:val="0"/>
                <w:color w:val="auto"/>
                <w:sz w:val="22"/>
                <w:szCs w:val="22"/>
                <w:highlight w:val="none"/>
              </w:rPr>
              <w:t>√）</w:t>
            </w:r>
            <w:r>
              <w:rPr>
                <w:rFonts w:hint="eastAsia" w:ascii="仿宋" w:hAnsi="仿宋" w:eastAsia="仿宋" w:cs="仿宋"/>
                <w:bCs/>
                <w:color w:val="auto"/>
                <w:sz w:val="22"/>
                <w:szCs w:val="22"/>
                <w:highlight w:val="none"/>
              </w:rPr>
              <w:t>A不要求提供。</w:t>
            </w:r>
          </w:p>
          <w:p w14:paraId="44C5EC35">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lang w:eastAsia="zh-CN"/>
              </w:rPr>
            </w:pPr>
            <w:r>
              <w:rPr>
                <w:rFonts w:hint="eastAsia" w:ascii="仿宋" w:hAnsi="仿宋" w:eastAsia="仿宋" w:cs="仿宋"/>
                <w:bCs/>
                <w:color w:val="auto"/>
                <w:sz w:val="22"/>
                <w:szCs w:val="22"/>
                <w:highlight w:val="none"/>
              </w:rPr>
              <w:t>（</w:t>
            </w:r>
            <w:r>
              <w:rPr>
                <w:rFonts w:hint="eastAsia" w:ascii="仿宋" w:hAnsi="仿宋" w:eastAsia="仿宋" w:cs="仿宋"/>
                <w:bCs/>
                <w:color w:val="auto"/>
                <w:sz w:val="22"/>
                <w:szCs w:val="22"/>
                <w:highlight w:val="none"/>
                <w:lang w:val="en-US" w:eastAsia="zh-CN"/>
              </w:rPr>
              <w:t xml:space="preserve">  </w:t>
            </w:r>
            <w:r>
              <w:rPr>
                <w:rFonts w:hint="eastAsia" w:ascii="仿宋" w:hAnsi="仿宋" w:eastAsia="仿宋" w:cs="仿宋"/>
                <w:bCs/>
                <w:color w:val="auto"/>
                <w:sz w:val="22"/>
                <w:szCs w:val="22"/>
                <w:highlight w:val="none"/>
              </w:rPr>
              <w:t>）B要求提供</w:t>
            </w:r>
            <w:r>
              <w:rPr>
                <w:rFonts w:hint="eastAsia" w:ascii="仿宋" w:hAnsi="仿宋" w:eastAsia="仿宋" w:cs="仿宋"/>
                <w:bCs/>
                <w:color w:val="auto"/>
                <w:sz w:val="22"/>
                <w:szCs w:val="22"/>
                <w:highlight w:val="none"/>
                <w:lang w:eastAsia="zh-CN"/>
              </w:rPr>
              <w:t>。</w:t>
            </w:r>
          </w:p>
        </w:tc>
      </w:tr>
      <w:tr w14:paraId="20F33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trPr>
        <w:tc>
          <w:tcPr>
            <w:tcW w:w="440" w:type="pct"/>
            <w:vAlign w:val="center"/>
          </w:tcPr>
          <w:p w14:paraId="771182CB">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7</w:t>
            </w:r>
          </w:p>
        </w:tc>
        <w:tc>
          <w:tcPr>
            <w:tcW w:w="934" w:type="pct"/>
            <w:vAlign w:val="center"/>
          </w:tcPr>
          <w:p w14:paraId="79C8C5B1">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方案讲解演示</w:t>
            </w:r>
          </w:p>
        </w:tc>
        <w:tc>
          <w:tcPr>
            <w:tcW w:w="3624" w:type="pct"/>
            <w:vAlign w:val="center"/>
          </w:tcPr>
          <w:p w14:paraId="43E35A3C">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b/>
                <w:bCs w:val="0"/>
                <w:color w:val="auto"/>
                <w:sz w:val="22"/>
                <w:szCs w:val="22"/>
                <w:highlight w:val="none"/>
              </w:rPr>
              <w:t>（√）</w:t>
            </w:r>
            <w:r>
              <w:rPr>
                <w:rFonts w:hint="eastAsia" w:ascii="仿宋" w:hAnsi="仿宋" w:eastAsia="仿宋" w:cs="仿宋"/>
                <w:bCs/>
                <w:color w:val="auto"/>
                <w:sz w:val="22"/>
                <w:szCs w:val="22"/>
                <w:highlight w:val="none"/>
                <w:lang w:val="en-US" w:eastAsia="zh-CN"/>
              </w:rPr>
              <w:t>A不</w:t>
            </w:r>
            <w:r>
              <w:rPr>
                <w:rFonts w:hint="eastAsia" w:ascii="仿宋" w:hAnsi="仿宋" w:eastAsia="仿宋" w:cs="仿宋"/>
                <w:bCs/>
                <w:color w:val="auto"/>
                <w:sz w:val="22"/>
                <w:szCs w:val="22"/>
                <w:highlight w:val="none"/>
              </w:rPr>
              <w:t>要求演示</w:t>
            </w:r>
          </w:p>
        </w:tc>
      </w:tr>
      <w:tr w14:paraId="00A4C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440" w:type="pct"/>
            <w:vAlign w:val="center"/>
          </w:tcPr>
          <w:p w14:paraId="6ADB45E9">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8</w:t>
            </w:r>
          </w:p>
        </w:tc>
        <w:tc>
          <w:tcPr>
            <w:tcW w:w="934" w:type="pct"/>
            <w:vAlign w:val="center"/>
          </w:tcPr>
          <w:p w14:paraId="103E17D6">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lang w:eastAsia="zh-CN"/>
              </w:rPr>
              <w:t>供应商</w:t>
            </w:r>
            <w:r>
              <w:rPr>
                <w:rFonts w:hint="eastAsia" w:ascii="仿宋" w:hAnsi="仿宋" w:eastAsia="仿宋" w:cs="仿宋"/>
                <w:b/>
                <w:color w:val="auto"/>
                <w:sz w:val="22"/>
                <w:szCs w:val="22"/>
                <w:highlight w:val="none"/>
              </w:rPr>
              <w:t>应当提供的资格、资信证明文件</w:t>
            </w:r>
          </w:p>
        </w:tc>
        <w:tc>
          <w:tcPr>
            <w:tcW w:w="3624" w:type="pct"/>
            <w:vAlign w:val="center"/>
          </w:tcPr>
          <w:p w14:paraId="67059DA7">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（1）资格证明文件：见</w:t>
            </w:r>
            <w:r>
              <w:rPr>
                <w:rFonts w:hint="eastAsia" w:ascii="仿宋" w:hAnsi="仿宋" w:eastAsia="仿宋" w:cs="仿宋"/>
                <w:color w:val="auto"/>
                <w:sz w:val="22"/>
                <w:szCs w:val="22"/>
                <w:highlight w:val="none"/>
                <w:lang w:eastAsia="zh-CN"/>
              </w:rPr>
              <w:t>交易文件</w:t>
            </w:r>
            <w:r>
              <w:rPr>
                <w:rFonts w:hint="eastAsia" w:ascii="仿宋" w:hAnsi="仿宋" w:eastAsia="仿宋" w:cs="仿宋"/>
                <w:color w:val="auto"/>
                <w:sz w:val="22"/>
                <w:szCs w:val="22"/>
                <w:highlight w:val="none"/>
              </w:rPr>
              <w:t>第二部分11.1。</w:t>
            </w:r>
          </w:p>
          <w:p w14:paraId="4310A0F7">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lang w:val="zh-CN"/>
              </w:rPr>
            </w:pP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lang w:val="zh-CN"/>
              </w:rPr>
              <w:t>未提供有效的资格证明文件的，视为</w:t>
            </w:r>
            <w:r>
              <w:rPr>
                <w:rFonts w:hint="eastAsia" w:ascii="仿宋" w:hAnsi="仿宋" w:eastAsia="仿宋" w:cs="仿宋"/>
                <w:color w:val="auto"/>
                <w:sz w:val="22"/>
                <w:szCs w:val="22"/>
                <w:highlight w:val="none"/>
                <w:lang w:val="en-US" w:eastAsia="zh-CN"/>
              </w:rPr>
              <w:t>供应商</w:t>
            </w:r>
            <w:r>
              <w:rPr>
                <w:rFonts w:hint="eastAsia" w:ascii="仿宋" w:hAnsi="仿宋" w:eastAsia="仿宋" w:cs="仿宋"/>
                <w:color w:val="auto"/>
                <w:sz w:val="22"/>
                <w:szCs w:val="22"/>
                <w:highlight w:val="none"/>
                <w:lang w:val="zh-CN"/>
              </w:rPr>
              <w:t>不具备交易文件中规定的资格要求，响应无效。</w:t>
            </w:r>
          </w:p>
          <w:p w14:paraId="5CAA8224">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（2）资信证明文件：根据</w:t>
            </w:r>
            <w:r>
              <w:rPr>
                <w:rFonts w:hint="eastAsia" w:ascii="仿宋" w:hAnsi="仿宋" w:eastAsia="仿宋" w:cs="仿宋"/>
                <w:color w:val="auto"/>
                <w:sz w:val="22"/>
                <w:szCs w:val="22"/>
                <w:highlight w:val="none"/>
                <w:lang w:eastAsia="zh-CN"/>
              </w:rPr>
              <w:t>交易文件</w:t>
            </w:r>
            <w:r>
              <w:rPr>
                <w:rFonts w:hint="eastAsia" w:ascii="仿宋" w:hAnsi="仿宋" w:eastAsia="仿宋" w:cs="仿宋"/>
                <w:color w:val="auto"/>
                <w:sz w:val="22"/>
                <w:szCs w:val="22"/>
                <w:highlight w:val="none"/>
              </w:rPr>
              <w:t>第四部分</w:t>
            </w:r>
            <w:r>
              <w:rPr>
                <w:rFonts w:hint="eastAsia" w:ascii="仿宋" w:hAnsi="仿宋" w:eastAsia="仿宋" w:cs="仿宋"/>
                <w:color w:val="auto"/>
                <w:sz w:val="22"/>
                <w:szCs w:val="22"/>
                <w:highlight w:val="none"/>
                <w:lang w:eastAsia="zh-CN"/>
              </w:rPr>
              <w:t>评审</w:t>
            </w:r>
            <w:r>
              <w:rPr>
                <w:rFonts w:hint="eastAsia" w:ascii="仿宋" w:hAnsi="仿宋" w:eastAsia="仿宋" w:cs="仿宋"/>
                <w:color w:val="auto"/>
                <w:sz w:val="22"/>
                <w:szCs w:val="22"/>
                <w:highlight w:val="none"/>
              </w:rPr>
              <w:t>标准提供。</w:t>
            </w:r>
          </w:p>
        </w:tc>
      </w:tr>
      <w:tr w14:paraId="730F0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4" w:hRule="atLeast"/>
        </w:trPr>
        <w:tc>
          <w:tcPr>
            <w:tcW w:w="440" w:type="pct"/>
            <w:vAlign w:val="center"/>
          </w:tcPr>
          <w:p w14:paraId="73F91FEE">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val="en-US" w:eastAsia="zh-CN"/>
              </w:rPr>
              <w:t>9</w:t>
            </w:r>
          </w:p>
        </w:tc>
        <w:tc>
          <w:tcPr>
            <w:tcW w:w="934" w:type="pct"/>
            <w:vAlign w:val="center"/>
          </w:tcPr>
          <w:p w14:paraId="6B55D79A">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报价要求</w:t>
            </w:r>
          </w:p>
        </w:tc>
        <w:tc>
          <w:tcPr>
            <w:tcW w:w="3624" w:type="pct"/>
            <w:vAlign w:val="center"/>
          </w:tcPr>
          <w:p w14:paraId="01076E05">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bCs/>
                <w:color w:val="auto"/>
                <w:sz w:val="22"/>
                <w:szCs w:val="22"/>
                <w:highlight w:val="none"/>
                <w:lang w:val="zh-CN"/>
              </w:rPr>
            </w:pPr>
            <w:r>
              <w:rPr>
                <w:rFonts w:hint="eastAsia" w:ascii="仿宋" w:hAnsi="仿宋" w:eastAsia="仿宋" w:cs="仿宋"/>
                <w:bCs/>
                <w:color w:val="auto"/>
                <w:sz w:val="22"/>
                <w:szCs w:val="22"/>
                <w:highlight w:val="none"/>
                <w:lang w:val="zh-CN"/>
              </w:rPr>
              <w:t>有关本项目实施所需的所有费用（含税费）均计入报价。</w:t>
            </w:r>
            <w:r>
              <w:rPr>
                <w:rFonts w:hint="eastAsia" w:ascii="仿宋" w:hAnsi="仿宋" w:eastAsia="仿宋" w:cs="仿宋"/>
                <w:bCs/>
                <w:color w:val="auto"/>
                <w:sz w:val="22"/>
                <w:szCs w:val="22"/>
                <w:highlight w:val="none"/>
                <w:lang w:eastAsia="zh-CN"/>
              </w:rPr>
              <w:t>交易一览标</w:t>
            </w:r>
            <w:r>
              <w:rPr>
                <w:rFonts w:hint="eastAsia" w:ascii="仿宋" w:hAnsi="仿宋" w:eastAsia="仿宋" w:cs="仿宋"/>
                <w:bCs/>
                <w:color w:val="auto"/>
                <w:sz w:val="22"/>
                <w:szCs w:val="22"/>
                <w:highlight w:val="none"/>
              </w:rPr>
              <w:t>（报价表）是报价的唯一载体</w:t>
            </w:r>
            <w:r>
              <w:rPr>
                <w:rFonts w:hint="eastAsia" w:ascii="仿宋" w:hAnsi="仿宋" w:eastAsia="仿宋" w:cs="仿宋"/>
                <w:bCs/>
                <w:color w:val="auto"/>
                <w:sz w:val="22"/>
                <w:szCs w:val="22"/>
                <w:highlight w:val="none"/>
                <w:lang w:val="zh-CN"/>
              </w:rPr>
              <w:t>。响应文件中价格全部采用人民币报价。交易文件未列明，而</w:t>
            </w:r>
            <w:r>
              <w:rPr>
                <w:rFonts w:hint="eastAsia" w:ascii="仿宋" w:hAnsi="仿宋" w:eastAsia="仿宋" w:cs="仿宋"/>
                <w:bCs/>
                <w:color w:val="auto"/>
                <w:sz w:val="22"/>
                <w:szCs w:val="22"/>
                <w:highlight w:val="none"/>
                <w:lang w:val="en-US" w:eastAsia="zh-CN"/>
              </w:rPr>
              <w:t>供应商</w:t>
            </w:r>
            <w:r>
              <w:rPr>
                <w:rFonts w:hint="eastAsia" w:ascii="仿宋" w:hAnsi="仿宋" w:eastAsia="仿宋" w:cs="仿宋"/>
                <w:bCs/>
                <w:color w:val="auto"/>
                <w:sz w:val="22"/>
                <w:szCs w:val="22"/>
                <w:highlight w:val="none"/>
                <w:lang w:val="zh-CN"/>
              </w:rPr>
              <w:t>认为必需的费用也需列入报价。提醒：验收时检测费用由交易发起人承担，不包含在</w:t>
            </w:r>
            <w:r>
              <w:rPr>
                <w:rFonts w:hint="eastAsia" w:ascii="仿宋" w:hAnsi="仿宋" w:eastAsia="仿宋" w:cs="仿宋"/>
                <w:bCs/>
                <w:color w:val="auto"/>
                <w:sz w:val="22"/>
                <w:szCs w:val="22"/>
                <w:highlight w:val="none"/>
                <w:lang w:val="en-US" w:eastAsia="zh-CN"/>
              </w:rPr>
              <w:t>响应</w:t>
            </w:r>
            <w:r>
              <w:rPr>
                <w:rFonts w:hint="eastAsia" w:ascii="仿宋" w:hAnsi="仿宋" w:eastAsia="仿宋" w:cs="仿宋"/>
                <w:bCs/>
                <w:color w:val="auto"/>
                <w:sz w:val="22"/>
                <w:szCs w:val="22"/>
                <w:highlight w:val="none"/>
                <w:lang w:val="zh-CN"/>
              </w:rPr>
              <w:t>总价中。</w:t>
            </w:r>
          </w:p>
          <w:p w14:paraId="4F631A89">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bCs/>
                <w:color w:val="auto"/>
                <w:sz w:val="22"/>
                <w:szCs w:val="22"/>
                <w:highlight w:val="none"/>
                <w:lang w:val="zh-CN"/>
              </w:rPr>
            </w:pPr>
            <w:r>
              <w:rPr>
                <w:rFonts w:hint="eastAsia" w:ascii="仿宋" w:hAnsi="仿宋" w:eastAsia="仿宋" w:cs="仿宋"/>
                <w:bCs/>
                <w:color w:val="auto"/>
                <w:sz w:val="22"/>
                <w:szCs w:val="22"/>
                <w:highlight w:val="none"/>
                <w:lang w:val="en-US" w:eastAsia="zh-CN"/>
              </w:rPr>
              <w:t>响应</w:t>
            </w:r>
            <w:r>
              <w:rPr>
                <w:rFonts w:hint="eastAsia" w:ascii="仿宋" w:hAnsi="仿宋" w:eastAsia="仿宋" w:cs="仿宋"/>
                <w:bCs/>
                <w:color w:val="auto"/>
                <w:sz w:val="22"/>
                <w:szCs w:val="22"/>
                <w:highlight w:val="none"/>
                <w:lang w:val="zh-CN"/>
              </w:rPr>
              <w:t>报价出现下列情形的，响应无效：</w:t>
            </w:r>
          </w:p>
          <w:p w14:paraId="236F3F42">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bCs/>
                <w:color w:val="auto"/>
                <w:sz w:val="22"/>
                <w:szCs w:val="22"/>
                <w:highlight w:val="none"/>
                <w:lang w:val="zh-CN"/>
              </w:rPr>
            </w:pPr>
            <w:r>
              <w:rPr>
                <w:rFonts w:hint="eastAsia" w:ascii="仿宋" w:hAnsi="仿宋" w:eastAsia="仿宋" w:cs="仿宋"/>
                <w:bCs/>
                <w:color w:val="auto"/>
                <w:sz w:val="22"/>
                <w:szCs w:val="22"/>
                <w:highlight w:val="none"/>
                <w:lang w:val="zh-CN"/>
              </w:rPr>
              <w:t>响应文件出现不是唯一的、有选择性</w:t>
            </w:r>
            <w:r>
              <w:rPr>
                <w:rFonts w:hint="eastAsia" w:ascii="仿宋" w:hAnsi="仿宋" w:eastAsia="仿宋" w:cs="仿宋"/>
                <w:bCs/>
                <w:color w:val="auto"/>
                <w:sz w:val="22"/>
                <w:szCs w:val="22"/>
                <w:highlight w:val="none"/>
                <w:lang w:val="en-US" w:eastAsia="zh-CN"/>
              </w:rPr>
              <w:t>响应</w:t>
            </w:r>
            <w:r>
              <w:rPr>
                <w:rFonts w:hint="eastAsia" w:ascii="仿宋" w:hAnsi="仿宋" w:eastAsia="仿宋" w:cs="仿宋"/>
                <w:bCs/>
                <w:color w:val="auto"/>
                <w:sz w:val="22"/>
                <w:szCs w:val="22"/>
                <w:highlight w:val="none"/>
                <w:lang w:val="zh-CN"/>
              </w:rPr>
              <w:t>报价的；</w:t>
            </w:r>
          </w:p>
          <w:p w14:paraId="186E77AD">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bCs/>
                <w:color w:val="auto"/>
                <w:sz w:val="22"/>
                <w:szCs w:val="22"/>
                <w:highlight w:val="none"/>
                <w:lang w:val="zh-CN"/>
              </w:rPr>
            </w:pPr>
            <w:r>
              <w:rPr>
                <w:rFonts w:hint="eastAsia" w:ascii="仿宋" w:hAnsi="仿宋" w:eastAsia="仿宋" w:cs="仿宋"/>
                <w:bCs/>
                <w:color w:val="auto"/>
                <w:sz w:val="22"/>
                <w:szCs w:val="22"/>
                <w:highlight w:val="none"/>
                <w:lang w:val="en-US" w:eastAsia="zh-CN"/>
              </w:rPr>
              <w:t>响应</w:t>
            </w:r>
            <w:r>
              <w:rPr>
                <w:rFonts w:hint="eastAsia" w:ascii="仿宋" w:hAnsi="仿宋" w:eastAsia="仿宋" w:cs="仿宋"/>
                <w:bCs/>
                <w:color w:val="auto"/>
                <w:sz w:val="22"/>
                <w:szCs w:val="22"/>
                <w:highlight w:val="none"/>
                <w:lang w:val="zh-CN"/>
              </w:rPr>
              <w:t>报价超过交易文件中规定的预算金额或者最高限价的;</w:t>
            </w:r>
          </w:p>
          <w:p w14:paraId="448D5E90">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报价明显低于其他通过符合性审查</w:t>
            </w:r>
            <w:r>
              <w:rPr>
                <w:rFonts w:hint="eastAsia" w:ascii="仿宋" w:hAnsi="仿宋" w:eastAsia="仿宋" w:cs="仿宋"/>
                <w:bCs/>
                <w:color w:val="auto"/>
                <w:sz w:val="22"/>
                <w:szCs w:val="22"/>
                <w:highlight w:val="none"/>
                <w:lang w:val="en-US" w:eastAsia="zh-CN"/>
              </w:rPr>
              <w:t>供应商</w:t>
            </w:r>
            <w:r>
              <w:rPr>
                <w:rFonts w:hint="eastAsia" w:ascii="仿宋" w:hAnsi="仿宋" w:eastAsia="仿宋" w:cs="仿宋"/>
                <w:bCs/>
                <w:color w:val="auto"/>
                <w:sz w:val="22"/>
                <w:szCs w:val="22"/>
                <w:highlight w:val="none"/>
              </w:rPr>
              <w:t>的报价，有可能影响产品质量或者不能诚信履约的，未能按要求提供书面说明或者提交相关证明材料证明其报价合理性的;</w:t>
            </w:r>
          </w:p>
          <w:p w14:paraId="11362CC3">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lang w:val="en-US" w:eastAsia="zh-CN"/>
              </w:rPr>
              <w:t>供应商</w:t>
            </w:r>
            <w:r>
              <w:rPr>
                <w:rFonts w:hint="eastAsia" w:ascii="仿宋" w:hAnsi="仿宋" w:eastAsia="仿宋" w:cs="仿宋"/>
                <w:bCs/>
                <w:color w:val="auto"/>
                <w:sz w:val="22"/>
                <w:szCs w:val="22"/>
                <w:highlight w:val="none"/>
              </w:rPr>
              <w:t>对根据修正原则修正后的报价不确认的。</w:t>
            </w:r>
          </w:p>
          <w:p w14:paraId="47CA93FC">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rPr>
              <w:t>资格文件、商务技术文件与报价文件未分开制作。</w:t>
            </w:r>
          </w:p>
        </w:tc>
      </w:tr>
      <w:tr w14:paraId="28063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40" w:type="pct"/>
            <w:vAlign w:val="center"/>
          </w:tcPr>
          <w:p w14:paraId="6DCD6680">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10</w:t>
            </w:r>
          </w:p>
        </w:tc>
        <w:tc>
          <w:tcPr>
            <w:tcW w:w="934" w:type="pct"/>
            <w:vAlign w:val="center"/>
          </w:tcPr>
          <w:p w14:paraId="030CBAB9">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lang w:eastAsia="zh-CN"/>
              </w:rPr>
            </w:pPr>
            <w:r>
              <w:rPr>
                <w:rFonts w:hint="eastAsia" w:ascii="仿宋" w:hAnsi="仿宋" w:eastAsia="仿宋" w:cs="仿宋"/>
                <w:b/>
                <w:color w:val="auto"/>
                <w:sz w:val="22"/>
                <w:szCs w:val="22"/>
                <w:highlight w:val="none"/>
              </w:rPr>
              <w:t>备份</w:t>
            </w:r>
            <w:r>
              <w:rPr>
                <w:rFonts w:hint="eastAsia" w:ascii="仿宋" w:hAnsi="仿宋" w:eastAsia="仿宋" w:cs="仿宋"/>
                <w:b/>
                <w:color w:val="auto"/>
                <w:sz w:val="22"/>
                <w:szCs w:val="22"/>
                <w:highlight w:val="none"/>
                <w:lang w:eastAsia="zh-CN"/>
              </w:rPr>
              <w:t>响应文件</w:t>
            </w:r>
          </w:p>
        </w:tc>
        <w:tc>
          <w:tcPr>
            <w:tcW w:w="3624" w:type="pct"/>
            <w:vAlign w:val="center"/>
          </w:tcPr>
          <w:p w14:paraId="2569BD5A">
            <w:pPr>
              <w:pStyle w:val="2"/>
              <w:keepNext w:val="0"/>
              <w:keepLines w:val="0"/>
              <w:pageBreakBefore w:val="0"/>
              <w:kinsoku/>
              <w:wordWrap/>
              <w:overflowPunct/>
              <w:topLinePunct w:val="0"/>
              <w:autoSpaceDE/>
              <w:autoSpaceDN/>
              <w:bidi w:val="0"/>
              <w:spacing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color w:val="auto"/>
                <w:kern w:val="28"/>
                <w:sz w:val="22"/>
                <w:szCs w:val="22"/>
                <w:highlight w:val="none"/>
              </w:rPr>
              <w:t>备份文件是否收取：不收取</w:t>
            </w:r>
          </w:p>
        </w:tc>
      </w:tr>
      <w:tr w14:paraId="1F5D3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440" w:type="pct"/>
            <w:vAlign w:val="center"/>
          </w:tcPr>
          <w:p w14:paraId="0475816A">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11</w:t>
            </w:r>
          </w:p>
        </w:tc>
        <w:tc>
          <w:tcPr>
            <w:tcW w:w="934" w:type="pct"/>
            <w:vAlign w:val="center"/>
          </w:tcPr>
          <w:p w14:paraId="4DCBC1AB">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lang w:eastAsia="zh-CN"/>
              </w:rPr>
              <w:t>代理机构</w:t>
            </w:r>
            <w:r>
              <w:rPr>
                <w:rFonts w:hint="eastAsia" w:ascii="仿宋" w:hAnsi="仿宋" w:eastAsia="仿宋" w:cs="仿宋"/>
                <w:b/>
                <w:color w:val="auto"/>
                <w:sz w:val="22"/>
                <w:szCs w:val="22"/>
                <w:highlight w:val="none"/>
              </w:rPr>
              <w:t>代理费用</w:t>
            </w:r>
          </w:p>
        </w:tc>
        <w:tc>
          <w:tcPr>
            <w:tcW w:w="3624" w:type="pct"/>
            <w:vAlign w:val="center"/>
          </w:tcPr>
          <w:p w14:paraId="4EDF4FA5">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lang w:val="en-US" w:eastAsia="zh-CN"/>
              </w:rPr>
            </w:pPr>
            <w:r>
              <w:rPr>
                <w:rFonts w:hint="eastAsia" w:ascii="仿宋" w:hAnsi="仿宋" w:eastAsia="仿宋" w:cs="仿宋"/>
                <w:color w:val="auto"/>
                <w:kern w:val="28"/>
                <w:sz w:val="24"/>
                <w:szCs w:val="24"/>
                <w:highlight w:val="none"/>
                <w:lang w:val="en-US" w:eastAsia="zh-CN"/>
              </w:rPr>
              <w:t>本项目的采购代理费由中标人支付，计费标准按《计价格［2002］1980号》文件中招标代理服务类收费标准规定的计算办法计取，不足2000元按2000元结算，专家费按实结算。</w:t>
            </w:r>
          </w:p>
        </w:tc>
      </w:tr>
      <w:tr w14:paraId="0517A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440" w:type="pct"/>
            <w:vAlign w:val="center"/>
          </w:tcPr>
          <w:p w14:paraId="4CAFC779">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12</w:t>
            </w:r>
          </w:p>
        </w:tc>
        <w:tc>
          <w:tcPr>
            <w:tcW w:w="934" w:type="pct"/>
            <w:vAlign w:val="center"/>
          </w:tcPr>
          <w:p w14:paraId="4CC3D414">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履约保证金</w:t>
            </w:r>
          </w:p>
        </w:tc>
        <w:tc>
          <w:tcPr>
            <w:tcW w:w="3624" w:type="pct"/>
            <w:vAlign w:val="center"/>
          </w:tcPr>
          <w:p w14:paraId="44FCC249">
            <w:pPr>
              <w:pStyle w:val="2"/>
              <w:keepNext w:val="0"/>
              <w:keepLines w:val="0"/>
              <w:pageBreakBefore w:val="0"/>
              <w:kinsoku/>
              <w:wordWrap/>
              <w:overflowPunct/>
              <w:topLinePunct w:val="0"/>
              <w:autoSpaceDE/>
              <w:autoSpaceDN/>
              <w:bidi w:val="0"/>
              <w:spacing w:line="240" w:lineRule="auto"/>
              <w:ind w:hanging="4"/>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履约保证金：</w:t>
            </w:r>
            <w:r>
              <w:rPr>
                <w:rFonts w:hint="eastAsia" w:ascii="仿宋" w:hAnsi="仿宋" w:eastAsia="仿宋" w:cs="仿宋"/>
                <w:color w:val="auto"/>
                <w:sz w:val="22"/>
                <w:szCs w:val="22"/>
                <w:highlight w:val="none"/>
                <w:lang w:eastAsia="zh-CN"/>
              </w:rPr>
              <w:t>不收取</w:t>
            </w:r>
            <w:r>
              <w:rPr>
                <w:rFonts w:hint="eastAsia" w:ascii="仿宋" w:hAnsi="仿宋" w:eastAsia="仿宋" w:cs="仿宋"/>
                <w:color w:val="auto"/>
                <w:sz w:val="22"/>
                <w:szCs w:val="22"/>
                <w:highlight w:val="none"/>
              </w:rPr>
              <w:t>。</w:t>
            </w:r>
          </w:p>
        </w:tc>
      </w:tr>
      <w:tr w14:paraId="58EA2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440" w:type="pct"/>
            <w:vAlign w:val="center"/>
          </w:tcPr>
          <w:p w14:paraId="144A824A">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13</w:t>
            </w:r>
          </w:p>
        </w:tc>
        <w:tc>
          <w:tcPr>
            <w:tcW w:w="934" w:type="pct"/>
            <w:vAlign w:val="center"/>
          </w:tcPr>
          <w:p w14:paraId="4BCA2102">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资格审查和信用信息审查</w:t>
            </w:r>
          </w:p>
        </w:tc>
        <w:tc>
          <w:tcPr>
            <w:tcW w:w="3624" w:type="pct"/>
            <w:vAlign w:val="center"/>
          </w:tcPr>
          <w:p w14:paraId="16F05A1B">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本项目由</w:t>
            </w:r>
            <w:r>
              <w:rPr>
                <w:rFonts w:hint="eastAsia" w:ascii="仿宋" w:hAnsi="仿宋" w:eastAsia="仿宋" w:cs="仿宋"/>
                <w:color w:val="auto"/>
                <w:sz w:val="22"/>
                <w:szCs w:val="22"/>
                <w:highlight w:val="none"/>
                <w:lang w:eastAsia="zh-CN"/>
              </w:rPr>
              <w:t>交易发起人</w:t>
            </w:r>
            <w:r>
              <w:rPr>
                <w:rFonts w:hint="eastAsia" w:ascii="仿宋" w:hAnsi="仿宋" w:eastAsia="仿宋" w:cs="仿宋"/>
                <w:color w:val="auto"/>
                <w:sz w:val="22"/>
                <w:szCs w:val="22"/>
                <w:highlight w:val="none"/>
              </w:rPr>
              <w:t>进行资格文件及信用信息查询。</w:t>
            </w:r>
          </w:p>
        </w:tc>
      </w:tr>
      <w:tr w14:paraId="04483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5" w:hRule="atLeast"/>
        </w:trPr>
        <w:tc>
          <w:tcPr>
            <w:tcW w:w="440" w:type="pct"/>
            <w:vAlign w:val="center"/>
          </w:tcPr>
          <w:p w14:paraId="21764BD5">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14</w:t>
            </w:r>
          </w:p>
        </w:tc>
        <w:tc>
          <w:tcPr>
            <w:tcW w:w="934" w:type="pct"/>
            <w:vAlign w:val="center"/>
          </w:tcPr>
          <w:p w14:paraId="37373A6B">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质疑接收人及答复</w:t>
            </w:r>
          </w:p>
        </w:tc>
        <w:tc>
          <w:tcPr>
            <w:tcW w:w="3624" w:type="pct"/>
            <w:vAlign w:val="center"/>
          </w:tcPr>
          <w:p w14:paraId="61417891">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bCs/>
                <w:color w:val="auto"/>
                <w:sz w:val="22"/>
                <w:szCs w:val="22"/>
                <w:highlight w:val="none"/>
                <w:lang w:val="en-US" w:eastAsia="zh-CN"/>
              </w:rPr>
            </w:pPr>
            <w:r>
              <w:rPr>
                <w:rFonts w:hint="eastAsia" w:ascii="仿宋" w:hAnsi="仿宋" w:eastAsia="仿宋" w:cs="仿宋"/>
                <w:bCs/>
                <w:color w:val="auto"/>
                <w:sz w:val="22"/>
                <w:szCs w:val="22"/>
                <w:highlight w:val="none"/>
                <w:lang w:val="en-US" w:eastAsia="zh-CN"/>
              </w:rPr>
              <w:t xml:space="preserve">交易人质疑接收人：裘震翔     联系方式：0571-82623015    </w:t>
            </w:r>
          </w:p>
          <w:p w14:paraId="6DFABB34">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地址：</w:t>
            </w:r>
            <w:r>
              <w:rPr>
                <w:rFonts w:hint="eastAsia" w:ascii="仿宋" w:hAnsi="仿宋" w:eastAsia="仿宋" w:cs="仿宋"/>
                <w:bCs/>
                <w:color w:val="auto"/>
                <w:sz w:val="22"/>
                <w:szCs w:val="22"/>
                <w:highlight w:val="none"/>
                <w:lang w:eastAsia="zh-CN"/>
              </w:rPr>
              <w:t>萧山区</w:t>
            </w:r>
            <w:r>
              <w:rPr>
                <w:rFonts w:hint="eastAsia" w:ascii="仿宋" w:hAnsi="仿宋" w:eastAsia="仿宋" w:cs="仿宋"/>
                <w:bCs/>
                <w:color w:val="auto"/>
                <w:sz w:val="22"/>
                <w:szCs w:val="22"/>
                <w:highlight w:val="none"/>
                <w:lang w:val="en-US" w:eastAsia="zh-CN"/>
              </w:rPr>
              <w:t>城厢街道萧然南路373号</w:t>
            </w:r>
          </w:p>
          <w:p w14:paraId="5D8B49E0">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bCs/>
                <w:color w:val="auto"/>
                <w:sz w:val="22"/>
                <w:szCs w:val="22"/>
                <w:highlight w:val="none"/>
                <w:lang w:val="en-US" w:eastAsia="zh-CN"/>
              </w:rPr>
            </w:pPr>
            <w:r>
              <w:rPr>
                <w:rFonts w:hint="eastAsia" w:ascii="仿宋" w:hAnsi="仿宋" w:eastAsia="仿宋" w:cs="仿宋"/>
                <w:bCs/>
                <w:color w:val="auto"/>
                <w:sz w:val="22"/>
                <w:szCs w:val="22"/>
                <w:highlight w:val="none"/>
                <w:lang w:eastAsia="zh-CN"/>
              </w:rPr>
              <w:t>代理机构</w:t>
            </w:r>
            <w:r>
              <w:rPr>
                <w:rFonts w:hint="eastAsia" w:ascii="仿宋" w:hAnsi="仿宋" w:eastAsia="仿宋" w:cs="仿宋"/>
                <w:bCs/>
                <w:color w:val="auto"/>
                <w:sz w:val="22"/>
                <w:szCs w:val="22"/>
                <w:highlight w:val="none"/>
              </w:rPr>
              <w:t>质疑接收人：</w:t>
            </w:r>
            <w:r>
              <w:rPr>
                <w:rFonts w:hint="eastAsia" w:ascii="仿宋" w:hAnsi="仿宋" w:eastAsia="仿宋" w:cs="仿宋"/>
                <w:color w:val="auto"/>
                <w:sz w:val="24"/>
                <w:highlight w:val="none"/>
              </w:rPr>
              <w:t>虞杰</w:t>
            </w:r>
            <w:r>
              <w:rPr>
                <w:rFonts w:hint="eastAsia" w:ascii="仿宋" w:hAnsi="仿宋" w:eastAsia="仿宋" w:cs="仿宋"/>
                <w:color w:val="auto"/>
                <w:sz w:val="24"/>
                <w:highlight w:val="none"/>
                <w:lang w:val="en-US" w:eastAsia="zh-CN"/>
              </w:rPr>
              <w:t xml:space="preserve">  </w:t>
            </w:r>
            <w:r>
              <w:rPr>
                <w:rFonts w:hint="eastAsia" w:ascii="仿宋" w:hAnsi="仿宋" w:eastAsia="仿宋" w:cs="仿宋"/>
                <w:bCs/>
                <w:color w:val="auto"/>
                <w:sz w:val="22"/>
                <w:szCs w:val="22"/>
                <w:highlight w:val="none"/>
              </w:rPr>
              <w:t xml:space="preserve"> 联系方式：</w:t>
            </w:r>
            <w:r>
              <w:rPr>
                <w:rFonts w:hint="eastAsia" w:ascii="仿宋" w:hAnsi="仿宋" w:eastAsia="仿宋" w:cs="仿宋"/>
                <w:color w:val="auto"/>
                <w:sz w:val="24"/>
                <w:highlight w:val="none"/>
              </w:rPr>
              <w:t>0571-86606506</w:t>
            </w:r>
          </w:p>
          <w:p w14:paraId="21A6ABBA">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地址：杭州市滨江区长河街道钱龙大厦五楼</w:t>
            </w:r>
          </w:p>
          <w:p w14:paraId="3FF110B7">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bCs/>
                <w:color w:val="auto"/>
                <w:sz w:val="22"/>
                <w:szCs w:val="22"/>
                <w:highlight w:val="none"/>
                <w:lang w:eastAsia="zh-CN"/>
              </w:rPr>
            </w:pPr>
            <w:r>
              <w:rPr>
                <w:rFonts w:hint="eastAsia" w:ascii="仿宋" w:hAnsi="仿宋" w:eastAsia="仿宋" w:cs="仿宋"/>
                <w:bCs/>
                <w:color w:val="auto"/>
                <w:sz w:val="22"/>
                <w:szCs w:val="22"/>
                <w:highlight w:val="none"/>
              </w:rPr>
              <w:t>邮箱：</w:t>
            </w:r>
            <w:r>
              <w:rPr>
                <w:rFonts w:hint="eastAsia" w:ascii="仿宋" w:hAnsi="仿宋" w:eastAsia="仿宋" w:cs="仿宋"/>
                <w:bCs/>
                <w:color w:val="auto"/>
                <w:sz w:val="22"/>
                <w:szCs w:val="22"/>
                <w:highlight w:val="none"/>
                <w:lang w:val="en-US" w:eastAsia="zh-CN"/>
              </w:rPr>
              <w:t>363457661@qq.com</w:t>
            </w:r>
          </w:p>
          <w:p w14:paraId="3BA647BB">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b/>
                <w:bCs w:val="0"/>
                <w:color w:val="auto"/>
                <w:sz w:val="22"/>
                <w:szCs w:val="22"/>
                <w:highlight w:val="none"/>
              </w:rPr>
            </w:pPr>
            <w:r>
              <w:rPr>
                <w:rFonts w:hint="eastAsia" w:ascii="仿宋" w:hAnsi="仿宋" w:eastAsia="仿宋" w:cs="仿宋"/>
                <w:b/>
                <w:bCs w:val="0"/>
                <w:color w:val="auto"/>
                <w:sz w:val="22"/>
                <w:szCs w:val="22"/>
                <w:highlight w:val="none"/>
              </w:rPr>
              <w:t>如通过邮箱方式发送质疑，须提交符合法规及</w:t>
            </w:r>
            <w:r>
              <w:rPr>
                <w:rFonts w:hint="eastAsia" w:ascii="仿宋" w:hAnsi="仿宋" w:eastAsia="仿宋" w:cs="仿宋"/>
                <w:b/>
                <w:bCs w:val="0"/>
                <w:color w:val="auto"/>
                <w:sz w:val="22"/>
                <w:szCs w:val="22"/>
                <w:highlight w:val="none"/>
                <w:lang w:eastAsia="zh-CN"/>
              </w:rPr>
              <w:t>交易文件</w:t>
            </w:r>
            <w:r>
              <w:rPr>
                <w:rFonts w:hint="eastAsia" w:ascii="仿宋" w:hAnsi="仿宋" w:eastAsia="仿宋" w:cs="仿宋"/>
                <w:b/>
                <w:bCs w:val="0"/>
                <w:color w:val="auto"/>
                <w:sz w:val="22"/>
                <w:szCs w:val="22"/>
                <w:highlight w:val="none"/>
              </w:rPr>
              <w:t>要求的质疑文件（参考附件2），盖章扫描后发送，质疑的受理按答复主体划分以</w:t>
            </w:r>
            <w:r>
              <w:rPr>
                <w:rFonts w:hint="eastAsia" w:ascii="仿宋" w:hAnsi="仿宋" w:eastAsia="仿宋" w:cs="仿宋"/>
                <w:b/>
                <w:bCs w:val="0"/>
                <w:color w:val="auto"/>
                <w:sz w:val="22"/>
                <w:szCs w:val="22"/>
                <w:highlight w:val="none"/>
                <w:lang w:eastAsia="zh-CN"/>
              </w:rPr>
              <w:t>交易人</w:t>
            </w:r>
            <w:r>
              <w:rPr>
                <w:rFonts w:hint="eastAsia" w:ascii="仿宋" w:hAnsi="仿宋" w:eastAsia="仿宋" w:cs="仿宋"/>
                <w:b/>
                <w:bCs w:val="0"/>
                <w:color w:val="auto"/>
                <w:sz w:val="22"/>
                <w:szCs w:val="22"/>
                <w:highlight w:val="none"/>
              </w:rPr>
              <w:t>或</w:t>
            </w:r>
            <w:r>
              <w:rPr>
                <w:rFonts w:hint="eastAsia" w:ascii="仿宋" w:hAnsi="仿宋" w:eastAsia="仿宋" w:cs="仿宋"/>
                <w:b/>
                <w:bCs w:val="0"/>
                <w:color w:val="auto"/>
                <w:sz w:val="22"/>
                <w:szCs w:val="22"/>
                <w:highlight w:val="none"/>
                <w:lang w:eastAsia="zh-CN"/>
              </w:rPr>
              <w:t>代理机构</w:t>
            </w:r>
            <w:r>
              <w:rPr>
                <w:rFonts w:hint="eastAsia" w:ascii="仿宋" w:hAnsi="仿宋" w:eastAsia="仿宋" w:cs="仿宋"/>
                <w:b/>
                <w:bCs w:val="0"/>
                <w:color w:val="auto"/>
                <w:sz w:val="22"/>
                <w:szCs w:val="22"/>
                <w:highlight w:val="none"/>
              </w:rPr>
              <w:t>邮箱回复确认受理为准。</w:t>
            </w:r>
          </w:p>
          <w:p w14:paraId="11E502C3">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bCs/>
                <w:color w:val="auto"/>
                <w:sz w:val="22"/>
                <w:szCs w:val="22"/>
                <w:highlight w:val="none"/>
              </w:rPr>
            </w:pPr>
            <w:r>
              <w:rPr>
                <w:rFonts w:hint="eastAsia" w:ascii="仿宋" w:hAnsi="仿宋" w:eastAsia="仿宋" w:cs="仿宋"/>
                <w:bCs/>
                <w:color w:val="auto"/>
                <w:sz w:val="22"/>
                <w:szCs w:val="22"/>
                <w:highlight w:val="none"/>
              </w:rPr>
              <w:t>本项目涉及资格条件、</w:t>
            </w:r>
            <w:r>
              <w:rPr>
                <w:rFonts w:hint="eastAsia" w:ascii="仿宋" w:hAnsi="仿宋" w:eastAsia="仿宋" w:cs="仿宋"/>
                <w:bCs/>
                <w:color w:val="auto"/>
                <w:sz w:val="22"/>
                <w:szCs w:val="22"/>
                <w:highlight w:val="none"/>
                <w:lang w:val="en-US" w:eastAsia="zh-CN"/>
              </w:rPr>
              <w:t>交易</w:t>
            </w:r>
            <w:r>
              <w:rPr>
                <w:rFonts w:hint="eastAsia" w:ascii="仿宋" w:hAnsi="仿宋" w:eastAsia="仿宋" w:cs="仿宋"/>
                <w:bCs/>
                <w:color w:val="auto"/>
                <w:sz w:val="22"/>
                <w:szCs w:val="22"/>
                <w:highlight w:val="none"/>
              </w:rPr>
              <w:t>需求、评分办法及</w:t>
            </w:r>
            <w:r>
              <w:rPr>
                <w:rFonts w:hint="eastAsia" w:ascii="仿宋" w:hAnsi="仿宋" w:eastAsia="仿宋" w:cs="仿宋"/>
                <w:bCs/>
                <w:color w:val="auto"/>
                <w:sz w:val="22"/>
                <w:szCs w:val="22"/>
                <w:highlight w:val="none"/>
                <w:lang w:val="en-US" w:eastAsia="zh-CN"/>
              </w:rPr>
              <w:t>交易</w:t>
            </w:r>
            <w:r>
              <w:rPr>
                <w:rFonts w:hint="eastAsia" w:ascii="仿宋" w:hAnsi="仿宋" w:eastAsia="仿宋" w:cs="仿宋"/>
                <w:bCs/>
                <w:color w:val="auto"/>
                <w:sz w:val="22"/>
                <w:szCs w:val="22"/>
                <w:highlight w:val="none"/>
              </w:rPr>
              <w:t>过程中有关现场考察或开标前答疑会事项由</w:t>
            </w:r>
            <w:r>
              <w:rPr>
                <w:rFonts w:hint="eastAsia" w:ascii="仿宋" w:hAnsi="仿宋" w:eastAsia="仿宋" w:cs="仿宋"/>
                <w:bCs/>
                <w:color w:val="auto"/>
                <w:sz w:val="22"/>
                <w:szCs w:val="22"/>
                <w:highlight w:val="none"/>
                <w:lang w:eastAsia="zh-CN"/>
              </w:rPr>
              <w:t>交易人</w:t>
            </w:r>
            <w:r>
              <w:rPr>
                <w:rFonts w:hint="eastAsia" w:ascii="仿宋" w:hAnsi="仿宋" w:eastAsia="仿宋" w:cs="仿宋"/>
                <w:bCs/>
                <w:color w:val="auto"/>
                <w:sz w:val="22"/>
                <w:szCs w:val="22"/>
                <w:highlight w:val="none"/>
              </w:rPr>
              <w:t>进行答复。</w:t>
            </w:r>
          </w:p>
          <w:p w14:paraId="14D0269C">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bCs/>
                <w:color w:val="auto"/>
                <w:sz w:val="22"/>
                <w:szCs w:val="22"/>
                <w:highlight w:val="none"/>
              </w:rPr>
              <w:t>涉及流程组织等相关事项，由</w:t>
            </w:r>
            <w:r>
              <w:rPr>
                <w:rFonts w:hint="eastAsia" w:ascii="仿宋" w:hAnsi="仿宋" w:eastAsia="仿宋" w:cs="仿宋"/>
                <w:bCs/>
                <w:color w:val="auto"/>
                <w:sz w:val="22"/>
                <w:szCs w:val="22"/>
                <w:highlight w:val="none"/>
                <w:lang w:eastAsia="zh-CN"/>
              </w:rPr>
              <w:t>代理机构</w:t>
            </w:r>
            <w:r>
              <w:rPr>
                <w:rFonts w:hint="eastAsia" w:ascii="仿宋" w:hAnsi="仿宋" w:eastAsia="仿宋" w:cs="仿宋"/>
                <w:bCs/>
                <w:color w:val="auto"/>
                <w:sz w:val="22"/>
                <w:szCs w:val="22"/>
                <w:highlight w:val="none"/>
              </w:rPr>
              <w:t>进行答复。</w:t>
            </w:r>
          </w:p>
        </w:tc>
      </w:tr>
      <w:tr w14:paraId="01401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440" w:type="pct"/>
            <w:vAlign w:val="center"/>
          </w:tcPr>
          <w:p w14:paraId="1EEC4D99">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15</w:t>
            </w:r>
          </w:p>
        </w:tc>
        <w:tc>
          <w:tcPr>
            <w:tcW w:w="934" w:type="pct"/>
            <w:vAlign w:val="center"/>
          </w:tcPr>
          <w:p w14:paraId="2BD3D811">
            <w:pPr>
              <w:keepNext w:val="0"/>
              <w:keepLines w:val="0"/>
              <w:pageBreakBefore w:val="0"/>
              <w:kinsoku/>
              <w:wordWrap/>
              <w:overflowPunct/>
              <w:topLinePunct w:val="0"/>
              <w:autoSpaceDE/>
              <w:autoSpaceDN/>
              <w:bidi w:val="0"/>
              <w:spacing w:after="0" w:line="240" w:lineRule="auto"/>
              <w:jc w:val="center"/>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特别说明</w:t>
            </w:r>
          </w:p>
        </w:tc>
        <w:tc>
          <w:tcPr>
            <w:tcW w:w="3624" w:type="pct"/>
            <w:vAlign w:val="center"/>
          </w:tcPr>
          <w:p w14:paraId="36E14D1B">
            <w:pPr>
              <w:keepNext w:val="0"/>
              <w:keepLines w:val="0"/>
              <w:pageBreakBefore w:val="0"/>
              <w:kinsoku/>
              <w:wordWrap/>
              <w:overflowPunct/>
              <w:topLinePunct w:val="0"/>
              <w:autoSpaceDE/>
              <w:autoSpaceDN/>
              <w:bidi w:val="0"/>
              <w:spacing w:after="0" w:line="240" w:lineRule="auto"/>
              <w:textAlignment w:val="auto"/>
              <w:rPr>
                <w:rFonts w:hint="eastAsia" w:ascii="仿宋" w:hAnsi="仿宋" w:eastAsia="仿宋" w:cs="仿宋"/>
                <w:color w:val="auto"/>
                <w:sz w:val="22"/>
                <w:szCs w:val="22"/>
                <w:highlight w:val="none"/>
              </w:rPr>
            </w:pPr>
            <w:r>
              <w:rPr>
                <w:rFonts w:hint="eastAsia" w:ascii="仿宋" w:hAnsi="仿宋" w:eastAsia="仿宋" w:cs="仿宋"/>
                <w:b/>
                <w:color w:val="auto"/>
                <w:sz w:val="22"/>
                <w:szCs w:val="22"/>
                <w:highlight w:val="none"/>
              </w:rPr>
              <w:t>本项目通用总则条款与前附表等专用特别规定有冲突之处，以专用条款（特别规定）为准</w:t>
            </w:r>
          </w:p>
        </w:tc>
      </w:tr>
    </w:tbl>
    <w:p w14:paraId="6A059DF4">
      <w:pPr>
        <w:rPr>
          <w:rFonts w:hint="eastAsia" w:ascii="仿宋" w:hAnsi="仿宋" w:eastAsia="仿宋" w:cs="仿宋"/>
          <w:color w:val="auto"/>
          <w:highlight w:val="none"/>
        </w:rPr>
      </w:pPr>
    </w:p>
    <w:p w14:paraId="1936675C">
      <w:pPr>
        <w:spacing w:line="276"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320C014C">
      <w:pPr>
        <w:pStyle w:val="4"/>
        <w:keepNext w:val="0"/>
        <w:keepLines w:val="0"/>
        <w:pageBreakBefore w:val="0"/>
        <w:widowControl/>
        <w:kinsoku/>
        <w:wordWrap/>
        <w:overflowPunct/>
        <w:topLinePunct w:val="0"/>
        <w:autoSpaceDE/>
        <w:autoSpaceDN/>
        <w:bidi w:val="0"/>
        <w:adjustRightInd/>
        <w:snapToGrid/>
        <w:spacing w:before="0" w:after="0" w:line="360" w:lineRule="auto"/>
        <w:ind w:firstLine="56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一、总则</w:t>
      </w:r>
    </w:p>
    <w:p w14:paraId="70C237CE">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适用范围</w:t>
      </w:r>
    </w:p>
    <w:p w14:paraId="717CA43B">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本</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适用于该项目的</w:t>
      </w:r>
      <w:r>
        <w:rPr>
          <w:rFonts w:hint="eastAsia" w:ascii="仿宋" w:hAnsi="仿宋" w:eastAsia="仿宋" w:cs="仿宋"/>
          <w:color w:val="auto"/>
          <w:highlight w:val="none"/>
          <w:lang w:val="en-US" w:eastAsia="zh-CN"/>
        </w:rPr>
        <w:t>交易</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交易会</w:t>
      </w:r>
      <w:r>
        <w:rPr>
          <w:rFonts w:hint="eastAsia" w:ascii="仿宋" w:hAnsi="仿宋" w:eastAsia="仿宋" w:cs="仿宋"/>
          <w:color w:val="auto"/>
          <w:highlight w:val="none"/>
        </w:rPr>
        <w:t>、资格审查及信用信息查询、</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、定标、合同、验收等行为（法律、法规另有规定的，从其规定）。</w:t>
      </w:r>
    </w:p>
    <w:p w14:paraId="684225A5">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2.定义</w:t>
      </w:r>
    </w:p>
    <w:p w14:paraId="378AC1EB">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2.1“</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”系指</w:t>
      </w:r>
      <w:r>
        <w:rPr>
          <w:rFonts w:hint="eastAsia" w:ascii="仿宋" w:hAnsi="仿宋" w:eastAsia="仿宋" w:cs="仿宋"/>
          <w:color w:val="auto"/>
          <w:highlight w:val="none"/>
          <w:lang w:eastAsia="zh-CN"/>
        </w:rPr>
        <w:t>交易公告</w:t>
      </w:r>
      <w:r>
        <w:rPr>
          <w:rFonts w:hint="eastAsia" w:ascii="仿宋" w:hAnsi="仿宋" w:eastAsia="仿宋" w:cs="仿宋"/>
          <w:color w:val="auto"/>
          <w:highlight w:val="none"/>
        </w:rPr>
        <w:t>中载明的本项目的</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w:t>
      </w:r>
    </w:p>
    <w:p w14:paraId="2A49B007">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2.2“</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”系指</w:t>
      </w:r>
      <w:r>
        <w:rPr>
          <w:rFonts w:hint="eastAsia" w:ascii="仿宋" w:hAnsi="仿宋" w:eastAsia="仿宋" w:cs="仿宋"/>
          <w:color w:val="auto"/>
          <w:highlight w:val="none"/>
          <w:lang w:eastAsia="zh-CN"/>
        </w:rPr>
        <w:t>交易公告</w:t>
      </w:r>
      <w:r>
        <w:rPr>
          <w:rFonts w:hint="eastAsia" w:ascii="仿宋" w:hAnsi="仿宋" w:eastAsia="仿宋" w:cs="仿宋"/>
          <w:color w:val="auto"/>
          <w:highlight w:val="none"/>
        </w:rPr>
        <w:t>中载明的本项目的</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w:t>
      </w:r>
    </w:p>
    <w:p w14:paraId="32314ED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2.3“</w:t>
      </w:r>
      <w:r>
        <w:rPr>
          <w:rFonts w:hint="eastAsia" w:ascii="仿宋" w:hAnsi="仿宋" w:eastAsia="仿宋" w:cs="仿宋"/>
          <w:color w:val="auto"/>
          <w:highlight w:val="none"/>
          <w:lang w:val="en-US" w:eastAsia="zh-CN"/>
        </w:rPr>
        <w:t>供应商</w:t>
      </w:r>
      <w:r>
        <w:rPr>
          <w:rFonts w:hint="eastAsia" w:ascii="仿宋" w:hAnsi="仿宋" w:eastAsia="仿宋" w:cs="仿宋"/>
          <w:color w:val="auto"/>
          <w:highlight w:val="none"/>
        </w:rPr>
        <w:t>”系指是指响应</w:t>
      </w:r>
      <w:r>
        <w:rPr>
          <w:rFonts w:hint="eastAsia" w:ascii="仿宋" w:hAnsi="仿宋" w:eastAsia="仿宋" w:cs="仿宋"/>
          <w:color w:val="auto"/>
          <w:highlight w:val="none"/>
          <w:lang w:val="en-US" w:eastAsia="zh-CN"/>
        </w:rPr>
        <w:t>交易</w:t>
      </w:r>
      <w:r>
        <w:rPr>
          <w:rFonts w:hint="eastAsia" w:ascii="仿宋" w:hAnsi="仿宋" w:eastAsia="仿宋" w:cs="仿宋"/>
          <w:color w:val="auto"/>
          <w:highlight w:val="none"/>
        </w:rPr>
        <w:t>、参加</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竞争的法人、其他组织或者自然人。</w:t>
      </w:r>
    </w:p>
    <w:p w14:paraId="4EFE9D6D">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2.4“负责人”系指法人企业的法定负责人，或其他组织为法律、行政法规规定代表单位行使职权的主要负责人，或自然人本人。</w:t>
      </w:r>
    </w:p>
    <w:p w14:paraId="15611268">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2.5“电子签名”系指数据电文中以电子形式所含、所附用于识别签名人身份并表明签名人认可其中内容的数据，</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电子签名指</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电子公章；“公章”系指单位法定名称章。因特殊原因需要使用冠以法定名称的业务专用章的，</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时须提供《业务专用章使用说明函》（附件4）。</w:t>
      </w:r>
    </w:p>
    <w:p w14:paraId="1128E2D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2.6“电子交易平台”是指本项目政府采购活动所依托的政府采购云平台（https://www.zcygov.cn/）。</w:t>
      </w:r>
    </w:p>
    <w:p w14:paraId="14A8E62D">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2.7“▲” 系指实质性要求条款，“（√）” 系指适用本项目的要求，“（  ）”系指不适用本项目的要求。</w:t>
      </w:r>
    </w:p>
    <w:p w14:paraId="6F56BAF4">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支持中小企业发展</w:t>
      </w:r>
    </w:p>
    <w:p w14:paraId="5E744FF3">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BBB4EE9">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符合中小企业划分标准的个体工商户，在政府采购活动中视同中小企业。</w:t>
      </w:r>
    </w:p>
    <w:p w14:paraId="35E2B7DB">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3.3.2在政府采购活动中，投标人提供的货物、工程或者服务符合下列情形的，享受中小企业扶持政策：</w:t>
      </w:r>
    </w:p>
    <w:p w14:paraId="309AFE15">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3.3.2.1在货物采购项目中，货物由中小企业制造，即货物由中小企业生产且使用该中小企业商号或者注册商标；</w:t>
      </w:r>
    </w:p>
    <w:p w14:paraId="2ADF7DC4">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3.3.2.2在工程采购项目中，工程由中小企业承建，即工程施工单位为中小企业；</w:t>
      </w:r>
    </w:p>
    <w:p w14:paraId="2C2ECF90">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3.3.2.3在服务采购项目中，服务由中小企业承接，即提供服务的人员为中小企业依照《中华人民共和国劳动合同法》订立劳动合同的从业人员。</w:t>
      </w:r>
    </w:p>
    <w:p w14:paraId="0B3EA65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在货物采购项目中，投标人提供的货物既有中小企业制造货物，也有大型企业制造货物的，不享受中小企业扶持政策。</w:t>
      </w:r>
    </w:p>
    <w:p w14:paraId="418F100D">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以联合体形式参加政府采购活动，联合体各方均为中小企业的，联合体视同中小企业。其中，联合体各方均为小微企业的，联合体视同小微企业。</w:t>
      </w:r>
    </w:p>
    <w:p w14:paraId="7D8FB17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3.3.3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4331B50A">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3.3.4符合《关于促进残疾人就业政府采购政策的通知》（财库〔2017〕141号）规定的条件并提供《残疾人福利性单位声明函》（附件1）的残疾人福利性单位视同小型、微型企业；</w:t>
      </w:r>
    </w:p>
    <w:p w14:paraId="383D59C0">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59A77EC">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5D1B76C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3.3.7中小企业享受扶持政策获得政府采购合同的，小微企业不得将合同分包给大中型企业，中型企业不得将合同分包给大型企业。</w:t>
      </w:r>
    </w:p>
    <w:p w14:paraId="75BBFA7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3.4支持创新发展</w:t>
      </w:r>
    </w:p>
    <w:p w14:paraId="2551CCF0">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3.4.1 采购人优先采购被认定为首台套产品和“制造精品”的自主创新产品。</w:t>
      </w:r>
    </w:p>
    <w:p w14:paraId="1B53FF32">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30C4D7C0">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 </w:t>
      </w:r>
    </w:p>
    <w:p w14:paraId="0B35EF83">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4.询问、质疑、投诉</w:t>
      </w:r>
    </w:p>
    <w:p w14:paraId="30AF2EAD">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4.1供应商询问</w:t>
      </w:r>
    </w:p>
    <w:p w14:paraId="7FB661A3">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供应商对政府采购活动事项有疑问的，可以提出询问，</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或者采购代理机构应当在3个工作日内对供应商依法提出的询问作出答复，但答复的内容不得涉及商业秘密。供应商提出的询问超出</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对采购代理机构委托授权范围的，采购代理机构应当告知供应商向</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提出。</w:t>
      </w:r>
    </w:p>
    <w:p w14:paraId="458E64C2">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4.2供应商质疑</w:t>
      </w:r>
    </w:p>
    <w:p w14:paraId="270217A5">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4.2.1提出质疑的供应商应当是参与所质疑项目采购活动的供应商。潜在供应商已依法获取其可质疑的</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的，可以对该文件提出质疑。</w:t>
      </w:r>
    </w:p>
    <w:p w14:paraId="576FE11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4.2.2供应商认为</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、采购过程和</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结果使自己的权益受到损害的，可以在知道或者应知其权益受到损害之日起七个工作日内，以书面形式向</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或者</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提出质疑，否则，</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或者</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不予受理：</w:t>
      </w:r>
    </w:p>
    <w:p w14:paraId="4F3CAA9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4.2.2.1对</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提出质疑的，质疑期限为供应商获得</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之日或者</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公告期限届满之日起计算。</w:t>
      </w:r>
    </w:p>
    <w:p w14:paraId="3E82CD67">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4.2.2.2对采购过程提出质疑的，质疑期限为各采购程序环节结束之日起计算。对同一采购程序环节的质疑，供应商须一次性提出。</w:t>
      </w:r>
    </w:p>
    <w:p w14:paraId="3BE18C55">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4.2.2.3对采购结果提出质疑的，质疑期限自采购结果公告期限届满之日起计算。</w:t>
      </w:r>
    </w:p>
    <w:p w14:paraId="348C69F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4.2.3供应商提出质疑应当提交质疑函和必要的证明材料。质疑函应当包括下列内容：</w:t>
      </w:r>
    </w:p>
    <w:p w14:paraId="1429161B">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4.2.3.1供应商的姓名或者名称、地址、邮编、联系人及联系电话；</w:t>
      </w:r>
    </w:p>
    <w:p w14:paraId="63D7B36D">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4.2.3.2质疑项目的名称、编号；</w:t>
      </w:r>
    </w:p>
    <w:p w14:paraId="4EC980C9">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4.2.3.3具体、明确的质疑事项和与质疑事项相关的请求；</w:t>
      </w:r>
    </w:p>
    <w:p w14:paraId="423136B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4.2.3.4事实依据；</w:t>
      </w:r>
    </w:p>
    <w:p w14:paraId="63DE25C0">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4.2.3.5必要的法律依据；</w:t>
      </w:r>
    </w:p>
    <w:p w14:paraId="64457A47">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4.2.3.6提出质疑的日期。</w:t>
      </w:r>
    </w:p>
    <w:p w14:paraId="151ED505">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127BCC24">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14:paraId="39AB040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4.2.4</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或者</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应当在收到供应商的书面质疑后七个工作日内作出答复，并以书面形式通知质疑供应商和其他与质疑处理结果有利害关系的政府采购当事人，但答复的内容不得涉及商业秘密。</w:t>
      </w:r>
    </w:p>
    <w:p w14:paraId="1EA252C0">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4.2.5询问或者质疑事项可能影响采购结果的，</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应当暂停签订合同，已经签订合同的，应当中止履行合同。</w:t>
      </w:r>
    </w:p>
    <w:p w14:paraId="65D16AB0">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4.3供应商投诉</w:t>
      </w:r>
    </w:p>
    <w:p w14:paraId="21A52579">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4.3.1质疑供应商对</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的答复不满意或者</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未在规定的时间内作出答复的，可以在答复期满后十五个工作日内向同级采购监督管理部门提出投诉。</w:t>
      </w:r>
    </w:p>
    <w:p w14:paraId="2D685532">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4.3.2供应商投诉的事项不得超出已质疑事项的范围，基于质疑答复内容提出的投诉事项除外。</w:t>
      </w:r>
    </w:p>
    <w:p w14:paraId="6349135D">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4.3.3供应商投诉应当有明确的请求和必要的证明材料。</w:t>
      </w:r>
    </w:p>
    <w:p w14:paraId="08133E1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4.3.4 以联合体形式参加政府采购活动的，其投诉应当由组成联合体的所有供应商共同提出。</w:t>
      </w:r>
    </w:p>
    <w:p w14:paraId="6120516B">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14:paraId="42D79AE3">
      <w:pPr>
        <w:pStyle w:val="4"/>
        <w:keepNext w:val="0"/>
        <w:keepLines w:val="0"/>
        <w:pageBreakBefore w:val="0"/>
        <w:widowControl/>
        <w:kinsoku/>
        <w:wordWrap/>
        <w:overflowPunct/>
        <w:topLinePunct w:val="0"/>
        <w:autoSpaceDE/>
        <w:autoSpaceDN/>
        <w:bidi w:val="0"/>
        <w:adjustRightInd/>
        <w:snapToGrid/>
        <w:spacing w:before="0" w:after="0" w:line="360" w:lineRule="auto"/>
        <w:ind w:firstLine="56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二、</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的构成、澄清、修改</w:t>
      </w:r>
    </w:p>
    <w:p w14:paraId="147693D2">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的构成</w:t>
      </w:r>
    </w:p>
    <w:p w14:paraId="532A65D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5.1 </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包括下列文件及附件：</w:t>
      </w:r>
    </w:p>
    <w:p w14:paraId="14F3CB71">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5.1.1</w:t>
      </w:r>
      <w:r>
        <w:rPr>
          <w:rFonts w:hint="eastAsia" w:ascii="仿宋" w:hAnsi="仿宋" w:eastAsia="仿宋" w:cs="仿宋"/>
          <w:color w:val="auto"/>
          <w:highlight w:val="none"/>
          <w:lang w:eastAsia="zh-CN"/>
        </w:rPr>
        <w:t>交易公告</w:t>
      </w:r>
      <w:r>
        <w:rPr>
          <w:rFonts w:hint="eastAsia" w:ascii="仿宋" w:hAnsi="仿宋" w:eastAsia="仿宋" w:cs="仿宋"/>
          <w:color w:val="auto"/>
          <w:highlight w:val="none"/>
        </w:rPr>
        <w:t>；</w:t>
      </w:r>
    </w:p>
    <w:p w14:paraId="321CF7E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5.1.2</w:t>
      </w:r>
      <w:r>
        <w:rPr>
          <w:rFonts w:hint="eastAsia" w:ascii="仿宋" w:hAnsi="仿宋" w:eastAsia="仿宋" w:cs="仿宋"/>
          <w:color w:val="auto"/>
          <w:highlight w:val="none"/>
          <w:lang w:eastAsia="zh-CN"/>
        </w:rPr>
        <w:t>供应商须知</w:t>
      </w:r>
      <w:r>
        <w:rPr>
          <w:rFonts w:hint="eastAsia" w:ascii="仿宋" w:hAnsi="仿宋" w:eastAsia="仿宋" w:cs="仿宋"/>
          <w:color w:val="auto"/>
          <w:highlight w:val="none"/>
        </w:rPr>
        <w:t>；</w:t>
      </w:r>
    </w:p>
    <w:p w14:paraId="4B815B3C">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5.1.3采购需求；</w:t>
      </w:r>
    </w:p>
    <w:p w14:paraId="329F4E4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5.1.4</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办法；</w:t>
      </w:r>
    </w:p>
    <w:p w14:paraId="170CC219">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5.1.5拟签订的合同文本；</w:t>
      </w:r>
    </w:p>
    <w:p w14:paraId="62ED6A20">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5.1.6应提交的有关格式范例。</w:t>
      </w:r>
    </w:p>
    <w:p w14:paraId="4FE588F5">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5.2与本项目有关的澄清或者修改的内容为</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的组成部分。</w:t>
      </w:r>
    </w:p>
    <w:p w14:paraId="5D4F67D3">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6. </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的澄清、修改</w:t>
      </w:r>
    </w:p>
    <w:p w14:paraId="48014284">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6.1已获取</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的潜在</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，若有问题需要澄清，应于</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截止时间前，以书面形式向</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提出。</w:t>
      </w:r>
    </w:p>
    <w:p w14:paraId="00D725B0">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6.2 </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对</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进行澄清或修改的，将同时通过电子交易平台通知已获取</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的潜在</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。依法应当公告的，将按规定公告，同时视情况延长</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截止时间和开标时间。该澄清或者修改的内容为</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的组成部分。</w:t>
      </w:r>
    </w:p>
    <w:p w14:paraId="2634CB38">
      <w:pPr>
        <w:pStyle w:val="4"/>
        <w:keepNext w:val="0"/>
        <w:keepLines w:val="0"/>
        <w:pageBreakBefore w:val="0"/>
        <w:widowControl/>
        <w:kinsoku/>
        <w:wordWrap/>
        <w:overflowPunct/>
        <w:topLinePunct w:val="0"/>
        <w:autoSpaceDE/>
        <w:autoSpaceDN/>
        <w:bidi w:val="0"/>
        <w:adjustRightInd/>
        <w:snapToGrid/>
        <w:spacing w:before="0" w:after="0" w:line="360" w:lineRule="auto"/>
        <w:ind w:firstLine="562"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rPr>
        <w:t>三、</w:t>
      </w:r>
      <w:r>
        <w:rPr>
          <w:rFonts w:hint="eastAsia" w:ascii="仿宋" w:hAnsi="仿宋" w:eastAsia="仿宋" w:cs="仿宋"/>
          <w:color w:val="auto"/>
          <w:highlight w:val="none"/>
          <w:lang w:val="en-US" w:eastAsia="zh-CN"/>
        </w:rPr>
        <w:t>响应</w:t>
      </w:r>
    </w:p>
    <w:p w14:paraId="15CBFCFE">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7. </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的获取</w:t>
      </w:r>
    </w:p>
    <w:p w14:paraId="17D27870">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详见</w:t>
      </w:r>
      <w:r>
        <w:rPr>
          <w:rFonts w:hint="eastAsia" w:ascii="仿宋" w:hAnsi="仿宋" w:eastAsia="仿宋" w:cs="仿宋"/>
          <w:color w:val="auto"/>
          <w:highlight w:val="none"/>
          <w:lang w:eastAsia="zh-CN"/>
        </w:rPr>
        <w:t>交易公告</w:t>
      </w:r>
      <w:r>
        <w:rPr>
          <w:rFonts w:hint="eastAsia" w:ascii="仿宋" w:hAnsi="仿宋" w:eastAsia="仿宋" w:cs="仿宋"/>
          <w:color w:val="auto"/>
          <w:highlight w:val="none"/>
        </w:rPr>
        <w:t>中获取</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的时间期限、地点、方式及</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售价。</w:t>
      </w:r>
    </w:p>
    <w:p w14:paraId="5E4D28BA">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8.开标前答疑会或现场考察</w:t>
      </w:r>
    </w:p>
    <w:p w14:paraId="73E82445">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组织潜在</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现场考察或者召开开标前答疑会的，潜在</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按第二部分</w:t>
      </w:r>
      <w:r>
        <w:rPr>
          <w:rFonts w:hint="eastAsia" w:ascii="仿宋" w:hAnsi="仿宋" w:eastAsia="仿宋" w:cs="仿宋"/>
          <w:color w:val="auto"/>
          <w:highlight w:val="none"/>
          <w:lang w:eastAsia="zh-CN"/>
        </w:rPr>
        <w:t>供应商须知</w:t>
      </w:r>
      <w:r>
        <w:rPr>
          <w:rFonts w:hint="eastAsia" w:ascii="仿宋" w:hAnsi="仿宋" w:eastAsia="仿宋" w:cs="仿宋"/>
          <w:color w:val="auto"/>
          <w:highlight w:val="none"/>
        </w:rPr>
        <w:t>前附表的规定参加现场考察或者开标前答疑会。</w:t>
      </w:r>
    </w:p>
    <w:p w14:paraId="2E61265B">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9.</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保证金</w:t>
      </w:r>
    </w:p>
    <w:p w14:paraId="35AD205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本项目不需缴纳</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保证金。</w:t>
      </w:r>
    </w:p>
    <w:p w14:paraId="32318E2A">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10. </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的语言</w:t>
      </w:r>
    </w:p>
    <w:p w14:paraId="52ED6AC1">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及</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与采购有关的来往通知、函件和文件均应使用中文。</w:t>
      </w:r>
    </w:p>
    <w:p w14:paraId="5CE39DD8">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11. </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的组成</w:t>
      </w:r>
    </w:p>
    <w:p w14:paraId="5001F435">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11.1资格文件：</w:t>
      </w:r>
    </w:p>
    <w:p w14:paraId="6A606CF9">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11.1.1</w:t>
      </w:r>
      <w:r>
        <w:rPr>
          <w:rFonts w:hint="eastAsia" w:ascii="仿宋" w:hAnsi="仿宋" w:eastAsia="仿宋" w:cs="仿宋"/>
          <w:color w:val="auto"/>
          <w:highlight w:val="none"/>
          <w:lang w:eastAsia="zh-CN"/>
        </w:rPr>
        <w:t>符合参加采购活动应当具备的一般条件的承诺函</w:t>
      </w:r>
      <w:r>
        <w:rPr>
          <w:rFonts w:hint="eastAsia" w:ascii="仿宋" w:hAnsi="仿宋" w:eastAsia="仿宋" w:cs="仿宋"/>
          <w:color w:val="auto"/>
          <w:highlight w:val="none"/>
        </w:rPr>
        <w:t>；</w:t>
      </w:r>
    </w:p>
    <w:p w14:paraId="3D873ED7">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.1.2落实政府采购政策需满足的资格要求；</w:t>
      </w:r>
    </w:p>
    <w:p w14:paraId="742DF979">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.1.</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本项目的特定资格要求。</w:t>
      </w:r>
    </w:p>
    <w:p w14:paraId="045C27A7">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11.2  商务技术文件：</w:t>
      </w:r>
    </w:p>
    <w:p w14:paraId="204E60AD">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11.2.1</w:t>
      </w:r>
      <w:r>
        <w:rPr>
          <w:rFonts w:hint="eastAsia" w:ascii="仿宋" w:hAnsi="仿宋" w:eastAsia="仿宋" w:cs="仿宋"/>
          <w:color w:val="auto"/>
          <w:highlight w:val="none"/>
          <w:lang w:eastAsia="zh-CN"/>
        </w:rPr>
        <w:t>响应函</w:t>
      </w:r>
      <w:r>
        <w:rPr>
          <w:rFonts w:hint="eastAsia" w:ascii="仿宋" w:hAnsi="仿宋" w:eastAsia="仿宋" w:cs="仿宋"/>
          <w:color w:val="auto"/>
          <w:highlight w:val="none"/>
        </w:rPr>
        <w:t xml:space="preserve">； </w:t>
      </w:r>
    </w:p>
    <w:p w14:paraId="0755D85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11.2.2授权委托书或法定代表人（单位负责人、自然人本人）身份证明；</w:t>
      </w:r>
    </w:p>
    <w:p w14:paraId="71CBDDD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11.2.3</w:t>
      </w:r>
      <w:r>
        <w:rPr>
          <w:rFonts w:hint="eastAsia" w:ascii="仿宋" w:hAnsi="仿宋" w:eastAsia="仿宋" w:cs="仿宋"/>
          <w:color w:val="auto"/>
          <w:highlight w:val="none"/>
          <w:lang w:eastAsia="zh-CN"/>
        </w:rPr>
        <w:t>营业执照</w:t>
      </w:r>
      <w:r>
        <w:rPr>
          <w:rFonts w:hint="eastAsia" w:ascii="仿宋" w:hAnsi="仿宋" w:eastAsia="仿宋" w:cs="仿宋"/>
          <w:color w:val="auto"/>
          <w:highlight w:val="none"/>
        </w:rPr>
        <w:t>；</w:t>
      </w:r>
    </w:p>
    <w:p w14:paraId="31A44CC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11.2.</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符合性审查资料；</w:t>
      </w:r>
    </w:p>
    <w:p w14:paraId="5D4E6309">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11.2.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标准相应的商务技术资料；</w:t>
      </w:r>
    </w:p>
    <w:p w14:paraId="58136C1A">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11.2.</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商务技术偏离表；</w:t>
      </w:r>
    </w:p>
    <w:p w14:paraId="4AD9381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11.2.</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政府采购供应商廉洁自律承诺书；</w:t>
      </w:r>
    </w:p>
    <w:p w14:paraId="79A9DA9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11.3报价文件： </w:t>
      </w:r>
    </w:p>
    <w:p w14:paraId="0AB27868">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11.3.1</w:t>
      </w:r>
      <w:r>
        <w:rPr>
          <w:rFonts w:hint="eastAsia" w:ascii="仿宋" w:hAnsi="仿宋" w:eastAsia="仿宋" w:cs="仿宋"/>
          <w:color w:val="auto"/>
          <w:highlight w:val="none"/>
          <w:lang w:eastAsia="zh-CN"/>
        </w:rPr>
        <w:t>交易一览标</w:t>
      </w:r>
      <w:r>
        <w:rPr>
          <w:rFonts w:hint="eastAsia" w:ascii="仿宋" w:hAnsi="仿宋" w:eastAsia="仿宋" w:cs="仿宋"/>
          <w:color w:val="auto"/>
          <w:highlight w:val="none"/>
        </w:rPr>
        <w:t>（报价表）；</w:t>
      </w:r>
    </w:p>
    <w:p w14:paraId="6E0AD1B5">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含有</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不能接受的附加条件的，</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无效；</w:t>
      </w:r>
    </w:p>
    <w:p w14:paraId="0DD0E1D0">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提供虚假材料</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的，</w:t>
      </w:r>
      <w:r>
        <w:rPr>
          <w:rFonts w:hint="eastAsia" w:ascii="仿宋" w:hAnsi="仿宋" w:eastAsia="仿宋" w:cs="仿宋"/>
          <w:color w:val="auto"/>
          <w:highlight w:val="none"/>
          <w:lang w:eastAsia="zh-CN"/>
        </w:rPr>
        <w:t>响应无效</w:t>
      </w:r>
      <w:r>
        <w:rPr>
          <w:rFonts w:hint="eastAsia" w:ascii="仿宋" w:hAnsi="仿宋" w:eastAsia="仿宋" w:cs="仿宋"/>
          <w:color w:val="auto"/>
          <w:highlight w:val="none"/>
        </w:rPr>
        <w:t>。</w:t>
      </w:r>
    </w:p>
    <w:p w14:paraId="011B987D">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12. </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的编制</w:t>
      </w:r>
    </w:p>
    <w:p w14:paraId="065A1D0D">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12.1</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分为资格文件、商务技术文件、报价文件三部分。各</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在编制</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时请按照</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第六部分规定的格式进行，混乱的编排导致</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被误读或</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委员会查找不到有效文件是</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的风险。</w:t>
      </w:r>
    </w:p>
    <w:p w14:paraId="57DB5189">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12.2</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进行电子</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应安装客户端软件—“政采云电子交易客户端”，并按照</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和电子交易平台的要求编制并加密</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未按规定加密的</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，电子交易平台将拒收并提示。</w:t>
      </w:r>
    </w:p>
    <w:p w14:paraId="133785A1">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12.3使用“政采云电子交易客户端”需要提前申领CA数字证书，申领流程请自行前往“浙江政府采购网-下载专区-电子交易客户端-CA驱动和申领流程”进行查阅。</w:t>
      </w:r>
    </w:p>
    <w:p w14:paraId="39CCF6F4">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13.</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的签署、盖章</w:t>
      </w:r>
    </w:p>
    <w:p w14:paraId="20CDE1B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13.1</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按照</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第六部分格式要求进行签署、盖章。▲</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未按照</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要求签署、盖章的，其</w:t>
      </w:r>
      <w:r>
        <w:rPr>
          <w:rFonts w:hint="eastAsia" w:ascii="仿宋" w:hAnsi="仿宋" w:eastAsia="仿宋" w:cs="仿宋"/>
          <w:color w:val="auto"/>
          <w:highlight w:val="none"/>
          <w:lang w:eastAsia="zh-CN"/>
        </w:rPr>
        <w:t>响应无效</w:t>
      </w:r>
      <w:r>
        <w:rPr>
          <w:rFonts w:hint="eastAsia" w:ascii="仿宋" w:hAnsi="仿宋" w:eastAsia="仿宋" w:cs="仿宋"/>
          <w:color w:val="auto"/>
          <w:highlight w:val="none"/>
        </w:rPr>
        <w:t>。</w:t>
      </w:r>
    </w:p>
    <w:p w14:paraId="3262D8C4">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应当在</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截止时间前完成在“政府采购云平台”的身份认证，确保在电子投标过程中能够对相关数据电文进行加密和使用电子签名。</w:t>
      </w:r>
    </w:p>
    <w:p w14:paraId="372D253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13.3</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对</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签署、盖章的要求适用于电子签名。</w:t>
      </w:r>
    </w:p>
    <w:p w14:paraId="467CF0D1">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14. </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的提交、补充、修改、撤回</w:t>
      </w:r>
    </w:p>
    <w:p w14:paraId="24ABFBE0">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14.1 供应商应当在</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截止时间前完成</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的传输递交，并可以补充、修改或者撤回</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。补充或者修改</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的，应当先行撤回原文件，补充、修改后重新传输递交。</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截止时间前未完成传输的，视为撤回</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截止时间后递交的</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，电子交易平台将拒收。</w:t>
      </w:r>
    </w:p>
    <w:p w14:paraId="3D0E0791">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14.2电子交易平台收到</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，将妥善保存并即时向供应商发出确认回执通知。在响应截止时间前，除供应商补充、修改或者撤回</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外，任何单位和个人不得解密或提取</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w:t>
      </w:r>
    </w:p>
    <w:p w14:paraId="5C5B9200">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14.3</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可以视情况延长</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提交的截止时间。在上述情况下，</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与</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以前在</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截止期方面的全部权利、责任和义务，将适用于延长至新的</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截止期。</w:t>
      </w:r>
    </w:p>
    <w:p w14:paraId="5D176346">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rPr>
        <w:t>15.备份</w:t>
      </w:r>
      <w:r>
        <w:rPr>
          <w:rFonts w:hint="eastAsia" w:ascii="仿宋" w:hAnsi="仿宋" w:eastAsia="仿宋" w:cs="仿宋"/>
          <w:color w:val="auto"/>
          <w:highlight w:val="none"/>
          <w:lang w:eastAsia="zh-CN"/>
        </w:rPr>
        <w:t>响应文件</w:t>
      </w:r>
    </w:p>
    <w:p w14:paraId="39F90A0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不收取备份响应文件。</w:t>
      </w:r>
    </w:p>
    <w:p w14:paraId="5A7A3CE3">
      <w:pPr>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b/>
          <w:bCs/>
          <w:color w:val="auto"/>
          <w:highlight w:val="none"/>
        </w:rPr>
      </w:pPr>
      <w:r>
        <w:rPr>
          <w:rFonts w:hint="eastAsia" w:ascii="仿宋" w:hAnsi="仿宋" w:eastAsia="仿宋" w:cs="仿宋"/>
          <w:b/>
          <w:bCs/>
          <w:color w:val="auto"/>
          <w:highlight w:val="none"/>
        </w:rPr>
        <w:t>16.</w:t>
      </w:r>
      <w:r>
        <w:rPr>
          <w:rFonts w:hint="eastAsia" w:ascii="仿宋" w:hAnsi="仿宋" w:eastAsia="仿宋" w:cs="仿宋"/>
          <w:b/>
          <w:bCs/>
          <w:color w:val="auto"/>
          <w:highlight w:val="none"/>
          <w:lang w:eastAsia="zh-CN"/>
        </w:rPr>
        <w:t>响应文件</w:t>
      </w:r>
      <w:r>
        <w:rPr>
          <w:rFonts w:hint="eastAsia" w:ascii="仿宋" w:hAnsi="仿宋" w:eastAsia="仿宋" w:cs="仿宋"/>
          <w:b/>
          <w:bCs/>
          <w:color w:val="auto"/>
          <w:highlight w:val="none"/>
        </w:rPr>
        <w:t>的无效处理</w:t>
      </w:r>
    </w:p>
    <w:p w14:paraId="090AD2C1">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有</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第四部分4.2规定的情形之一的，响应无效：</w:t>
      </w:r>
    </w:p>
    <w:p w14:paraId="74B0966F">
      <w:pPr>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b/>
          <w:bCs/>
          <w:color w:val="auto"/>
          <w:highlight w:val="none"/>
        </w:rPr>
      </w:pPr>
      <w:r>
        <w:rPr>
          <w:rFonts w:hint="eastAsia" w:ascii="仿宋" w:hAnsi="仿宋" w:eastAsia="仿宋" w:cs="仿宋"/>
          <w:b/>
          <w:bCs/>
          <w:color w:val="auto"/>
          <w:highlight w:val="none"/>
        </w:rPr>
        <w:t>17.响应有效期</w:t>
      </w:r>
    </w:p>
    <w:p w14:paraId="02D9D0B7">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17.1响应有效期为从提交</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的截止之日起90天。▲</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中承诺的</w:t>
      </w:r>
      <w:r>
        <w:rPr>
          <w:rFonts w:hint="eastAsia" w:ascii="仿宋" w:hAnsi="仿宋" w:eastAsia="仿宋" w:cs="仿宋"/>
          <w:color w:val="auto"/>
          <w:highlight w:val="none"/>
          <w:lang w:eastAsia="zh-CN"/>
        </w:rPr>
        <w:t>响应有效期</w:t>
      </w:r>
      <w:r>
        <w:rPr>
          <w:rFonts w:hint="eastAsia" w:ascii="仿宋" w:hAnsi="仿宋" w:eastAsia="仿宋" w:cs="仿宋"/>
          <w:color w:val="auto"/>
          <w:highlight w:val="none"/>
        </w:rPr>
        <w:t>少于</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中载明的</w:t>
      </w:r>
      <w:r>
        <w:rPr>
          <w:rFonts w:hint="eastAsia" w:ascii="仿宋" w:hAnsi="仿宋" w:eastAsia="仿宋" w:cs="仿宋"/>
          <w:color w:val="auto"/>
          <w:highlight w:val="none"/>
          <w:lang w:eastAsia="zh-CN"/>
        </w:rPr>
        <w:t>响应有效期</w:t>
      </w:r>
      <w:r>
        <w:rPr>
          <w:rFonts w:hint="eastAsia" w:ascii="仿宋" w:hAnsi="仿宋" w:eastAsia="仿宋" w:cs="仿宋"/>
          <w:color w:val="auto"/>
          <w:highlight w:val="none"/>
        </w:rPr>
        <w:t>的，响应无效。</w:t>
      </w:r>
    </w:p>
    <w:p w14:paraId="50EC7395">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17.2</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合格投递后，自</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截止日期起，在</w:t>
      </w:r>
      <w:r>
        <w:rPr>
          <w:rFonts w:hint="eastAsia" w:ascii="仿宋" w:hAnsi="仿宋" w:eastAsia="仿宋" w:cs="仿宋"/>
          <w:color w:val="auto"/>
          <w:highlight w:val="none"/>
          <w:lang w:eastAsia="zh-CN"/>
        </w:rPr>
        <w:t>响应有效期</w:t>
      </w:r>
      <w:r>
        <w:rPr>
          <w:rFonts w:hint="eastAsia" w:ascii="仿宋" w:hAnsi="仿宋" w:eastAsia="仿宋" w:cs="仿宋"/>
          <w:color w:val="auto"/>
          <w:highlight w:val="none"/>
        </w:rPr>
        <w:t>内有效。</w:t>
      </w:r>
    </w:p>
    <w:p w14:paraId="0E55CD5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17.3在原定响应有效期满之前，如果出现特殊情况，</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可以以书面形式通知</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延长响应有效期。</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同意延长的，不得要求或被允许修改其</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拒绝延长的，其响应无效。</w:t>
      </w:r>
    </w:p>
    <w:p w14:paraId="12D34759">
      <w:pPr>
        <w:pStyle w:val="4"/>
        <w:keepNext w:val="0"/>
        <w:keepLines w:val="0"/>
        <w:pageBreakBefore w:val="0"/>
        <w:widowControl/>
        <w:kinsoku/>
        <w:wordWrap/>
        <w:overflowPunct/>
        <w:topLinePunct w:val="0"/>
        <w:autoSpaceDE/>
        <w:autoSpaceDN/>
        <w:bidi w:val="0"/>
        <w:adjustRightInd/>
        <w:snapToGrid/>
        <w:spacing w:before="0" w:after="0" w:line="360" w:lineRule="auto"/>
        <w:ind w:firstLine="56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四、</w:t>
      </w:r>
      <w:r>
        <w:rPr>
          <w:rFonts w:hint="eastAsia" w:ascii="仿宋" w:hAnsi="仿宋" w:eastAsia="仿宋" w:cs="仿宋"/>
          <w:color w:val="auto"/>
          <w:highlight w:val="none"/>
          <w:lang w:val="en-US" w:eastAsia="zh-CN"/>
        </w:rPr>
        <w:t>交易会</w:t>
      </w:r>
      <w:r>
        <w:rPr>
          <w:rFonts w:hint="eastAsia" w:ascii="仿宋" w:hAnsi="仿宋" w:eastAsia="仿宋" w:cs="仿宋"/>
          <w:color w:val="auto"/>
          <w:highlight w:val="none"/>
        </w:rPr>
        <w:t>、资格审查与信用信息查询</w:t>
      </w:r>
    </w:p>
    <w:p w14:paraId="0ED152B8">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18.</w:t>
      </w:r>
      <w:r>
        <w:rPr>
          <w:rFonts w:hint="eastAsia" w:ascii="仿宋" w:hAnsi="仿宋" w:eastAsia="仿宋" w:cs="仿宋"/>
          <w:color w:val="auto"/>
          <w:highlight w:val="none"/>
          <w:lang w:val="en-US" w:eastAsia="zh-CN"/>
        </w:rPr>
        <w:t>交易会</w:t>
      </w:r>
      <w:r>
        <w:rPr>
          <w:rFonts w:hint="eastAsia" w:ascii="仿宋" w:hAnsi="仿宋" w:eastAsia="仿宋" w:cs="仿宋"/>
          <w:color w:val="auto"/>
          <w:highlight w:val="none"/>
        </w:rPr>
        <w:t xml:space="preserve"> </w:t>
      </w:r>
    </w:p>
    <w:p w14:paraId="6226547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18.1</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按照</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规定的时间通过电子交易平台组织</w:t>
      </w:r>
      <w:r>
        <w:rPr>
          <w:rFonts w:hint="eastAsia" w:ascii="仿宋" w:hAnsi="仿宋" w:eastAsia="仿宋" w:cs="仿宋"/>
          <w:color w:val="auto"/>
          <w:highlight w:val="none"/>
          <w:lang w:val="en-US" w:eastAsia="zh-CN"/>
        </w:rPr>
        <w:t>交易</w:t>
      </w:r>
      <w:r>
        <w:rPr>
          <w:rFonts w:hint="eastAsia" w:ascii="仿宋" w:hAnsi="仿宋" w:eastAsia="仿宋" w:cs="仿宋"/>
          <w:color w:val="auto"/>
          <w:highlight w:val="none"/>
        </w:rPr>
        <w:t>，所有</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均应当准时在线参加。</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不足3家的，不得开标。</w:t>
      </w:r>
    </w:p>
    <w:p w14:paraId="6884033D">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18.2</w:t>
      </w:r>
      <w:r>
        <w:rPr>
          <w:rFonts w:hint="eastAsia" w:ascii="仿宋" w:hAnsi="仿宋" w:eastAsia="仿宋" w:cs="仿宋"/>
          <w:color w:val="auto"/>
          <w:highlight w:val="none"/>
          <w:lang w:val="en-US" w:eastAsia="zh-CN"/>
        </w:rPr>
        <w:t>交易</w:t>
      </w:r>
      <w:r>
        <w:rPr>
          <w:rFonts w:hint="eastAsia" w:ascii="仿宋" w:hAnsi="仿宋" w:eastAsia="仿宋" w:cs="仿宋"/>
          <w:color w:val="auto"/>
          <w:highlight w:val="none"/>
        </w:rPr>
        <w:t>时，电子交易平台按</w:t>
      </w:r>
      <w:r>
        <w:rPr>
          <w:rFonts w:hint="eastAsia" w:ascii="仿宋" w:hAnsi="仿宋" w:eastAsia="仿宋" w:cs="仿宋"/>
          <w:color w:val="auto"/>
          <w:highlight w:val="none"/>
          <w:lang w:val="en-US" w:eastAsia="zh-CN"/>
        </w:rPr>
        <w:t>交易</w:t>
      </w:r>
      <w:r>
        <w:rPr>
          <w:rFonts w:hint="eastAsia" w:ascii="仿宋" w:hAnsi="仿宋" w:eastAsia="仿宋" w:cs="仿宋"/>
          <w:color w:val="auto"/>
          <w:highlight w:val="none"/>
        </w:rPr>
        <w:t>时间自动提取所有</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依托电子交易平台发起开始解密指令，</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按照平台提示和</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的规定在半小时内完成在线解密。</w:t>
      </w:r>
    </w:p>
    <w:p w14:paraId="4F3395B9">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18.3</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未按时解密，</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提供了备份</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的，以备份</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作为依据，否则视为</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撤回。</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已按时解密的，备份</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自动失效。</w:t>
      </w:r>
    </w:p>
    <w:p w14:paraId="4FB898E1">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19</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资格审查</w:t>
      </w:r>
    </w:p>
    <w:p w14:paraId="37A0F8AD">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19.1</w:t>
      </w:r>
      <w:r>
        <w:rPr>
          <w:rFonts w:hint="eastAsia" w:ascii="仿宋" w:hAnsi="仿宋" w:eastAsia="仿宋" w:cs="仿宋"/>
          <w:color w:val="auto"/>
          <w:highlight w:val="none"/>
          <w:lang w:val="en-US" w:eastAsia="zh-CN"/>
        </w:rPr>
        <w:t>交易会开始</w:t>
      </w:r>
      <w:r>
        <w:rPr>
          <w:rFonts w:hint="eastAsia" w:ascii="仿宋" w:hAnsi="仿宋" w:eastAsia="仿宋" w:cs="仿宋"/>
          <w:color w:val="auto"/>
          <w:highlight w:val="none"/>
        </w:rPr>
        <w:t>后，</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或</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将依法对</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的资格进行审查。</w:t>
      </w:r>
    </w:p>
    <w:p w14:paraId="647967F3">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19.2</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或</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依据法律法规和</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的规定，对</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的基本资格条件、特定资格条件进行审查。</w:t>
      </w:r>
    </w:p>
    <w:p w14:paraId="4E10FAC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19.3</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未按照</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要求提供与基本资格条件、特定资格条件相应的有效资格证明材料的，视为</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不具备</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中规定的资格要求，其</w:t>
      </w:r>
      <w:r>
        <w:rPr>
          <w:rFonts w:hint="eastAsia" w:ascii="仿宋" w:hAnsi="仿宋" w:eastAsia="仿宋" w:cs="仿宋"/>
          <w:color w:val="auto"/>
          <w:highlight w:val="none"/>
          <w:lang w:eastAsia="zh-CN"/>
        </w:rPr>
        <w:t>响应无效</w:t>
      </w:r>
      <w:r>
        <w:rPr>
          <w:rFonts w:hint="eastAsia" w:ascii="仿宋" w:hAnsi="仿宋" w:eastAsia="仿宋" w:cs="仿宋"/>
          <w:color w:val="auto"/>
          <w:highlight w:val="none"/>
        </w:rPr>
        <w:t>。</w:t>
      </w:r>
    </w:p>
    <w:p w14:paraId="5B34A9D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19.4对未通过资格审查的</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或</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告知其未通过的原因。</w:t>
      </w:r>
    </w:p>
    <w:p w14:paraId="7EC32083">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19.5合格</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不足3家的，不再</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w:t>
      </w:r>
    </w:p>
    <w:p w14:paraId="3C6CA608">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20</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信用信息查询</w:t>
      </w:r>
    </w:p>
    <w:p w14:paraId="3AC504FA">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20.1信用信息查询渠道及截止时间：</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将通过“信用中国”网站(www.creditchina.gov.cn)、中国政府采购网(www.ccgp.gov.cn)渠道查询</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截止时间当天的信用记录。</w:t>
      </w:r>
    </w:p>
    <w:p w14:paraId="4AF535D1">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20.2信用信息查询记录和证据留存的具体方式：现场查询的</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的信用记录、查询结果经确认后将与采购文件一起存档。</w:t>
      </w:r>
    </w:p>
    <w:p w14:paraId="3A03879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20.3信用信息的使用规则：经查询列入失信被执行人名单、重大税收违法案件当事人名单（税收违法黑名单）、政府采购严重违法失信行为记录名单的</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将被拒绝参与政府采购活动。</w:t>
      </w:r>
    </w:p>
    <w:p w14:paraId="59334E7C">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012E35B0">
      <w:pPr>
        <w:pStyle w:val="4"/>
        <w:keepNext w:val="0"/>
        <w:keepLines w:val="0"/>
        <w:pageBreakBefore w:val="0"/>
        <w:widowControl/>
        <w:kinsoku/>
        <w:wordWrap/>
        <w:overflowPunct/>
        <w:topLinePunct w:val="0"/>
        <w:autoSpaceDE/>
        <w:autoSpaceDN/>
        <w:bidi w:val="0"/>
        <w:adjustRightInd/>
        <w:snapToGrid/>
        <w:spacing w:before="0" w:after="0" w:line="360" w:lineRule="auto"/>
        <w:ind w:firstLine="562"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rPr>
        <w:t>五、</w:t>
      </w:r>
      <w:r>
        <w:rPr>
          <w:rFonts w:hint="eastAsia" w:ascii="仿宋" w:hAnsi="仿宋" w:eastAsia="仿宋" w:cs="仿宋"/>
          <w:color w:val="auto"/>
          <w:highlight w:val="none"/>
          <w:lang w:eastAsia="zh-CN"/>
        </w:rPr>
        <w:t>评审</w:t>
      </w:r>
    </w:p>
    <w:p w14:paraId="268DF261">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rPr>
        <w:t>21.</w:t>
      </w:r>
      <w:r>
        <w:rPr>
          <w:rFonts w:hint="eastAsia" w:ascii="仿宋" w:hAnsi="仿宋" w:eastAsia="仿宋" w:cs="仿宋"/>
          <w:color w:val="auto"/>
          <w:highlight w:val="none"/>
          <w:lang w:eastAsia="zh-CN"/>
        </w:rPr>
        <w:t>评审</w:t>
      </w:r>
    </w:p>
    <w:p w14:paraId="693D860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委员会将根据</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和有关规定，履行</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工作职责，并按照</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方法及评分标准，全面衡量各</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对</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的响应情况。对实质上响应</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，按照评审因素的量化指标排出推荐</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的</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的先后顺序，并按顺序提出授标建议。详见</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第四部分</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办法。</w:t>
      </w:r>
    </w:p>
    <w:p w14:paraId="3939FA46">
      <w:pPr>
        <w:pStyle w:val="4"/>
        <w:keepNext w:val="0"/>
        <w:keepLines w:val="0"/>
        <w:pageBreakBefore w:val="0"/>
        <w:widowControl/>
        <w:kinsoku/>
        <w:wordWrap/>
        <w:overflowPunct/>
        <w:topLinePunct w:val="0"/>
        <w:autoSpaceDE/>
        <w:autoSpaceDN/>
        <w:bidi w:val="0"/>
        <w:adjustRightInd/>
        <w:snapToGrid/>
        <w:spacing w:before="0" w:after="0" w:line="360" w:lineRule="auto"/>
        <w:ind w:firstLine="56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六、定 标</w:t>
      </w:r>
    </w:p>
    <w:p w14:paraId="1E7672B7">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22.确定</w:t>
      </w:r>
      <w:r>
        <w:rPr>
          <w:rFonts w:hint="eastAsia" w:ascii="仿宋" w:hAnsi="仿宋" w:eastAsia="仿宋" w:cs="仿宋"/>
          <w:color w:val="auto"/>
          <w:highlight w:val="none"/>
          <w:lang w:val="en-US" w:eastAsia="zh-CN"/>
        </w:rPr>
        <w:t>成交</w:t>
      </w:r>
      <w:r>
        <w:rPr>
          <w:rFonts w:hint="eastAsia" w:ascii="仿宋" w:hAnsi="仿宋" w:eastAsia="仿宋" w:cs="仿宋"/>
          <w:color w:val="auto"/>
          <w:highlight w:val="none"/>
        </w:rPr>
        <w:t>供应商</w:t>
      </w:r>
    </w:p>
    <w:p w14:paraId="14D2D3AC">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将自收到评审报告之日起5个工作日内通过电子交易平台在评审报告推荐的</w:t>
      </w:r>
      <w:r>
        <w:rPr>
          <w:rFonts w:hint="eastAsia" w:ascii="仿宋" w:hAnsi="仿宋" w:eastAsia="仿宋" w:cs="仿宋"/>
          <w:color w:val="auto"/>
          <w:highlight w:val="none"/>
          <w:lang w:eastAsia="zh-CN"/>
        </w:rPr>
        <w:t>成交候选人</w:t>
      </w:r>
      <w:r>
        <w:rPr>
          <w:rFonts w:hint="eastAsia" w:ascii="仿宋" w:hAnsi="仿宋" w:eastAsia="仿宋" w:cs="仿宋"/>
          <w:color w:val="auto"/>
          <w:highlight w:val="none"/>
        </w:rPr>
        <w:t>中按顺序确定</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供应商。</w:t>
      </w:r>
    </w:p>
    <w:p w14:paraId="74867652">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23.</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通知与</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结果公告</w:t>
      </w:r>
    </w:p>
    <w:p w14:paraId="6E2CBC7A">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23.1自</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人确定之日起2个工作日内，</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通过电子交易平台向</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人发出</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通知书，同时编制发布采购结果公告。</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也可以以纸质形式进行</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通知。</w:t>
      </w:r>
    </w:p>
    <w:p w14:paraId="7086435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23.2</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结果公告内容包括</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及其委托的</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的名称、地址、联系方式，项目名称和项目编号，</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人名称、地址和</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金额，主要</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标的的名称、规格型号、数量、单价、服务要求，开标记录、未</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情况说明、</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公告期限以及评审专家名单、评分汇总及明细。</w:t>
      </w:r>
    </w:p>
    <w:p w14:paraId="5FE3775B">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23.3公告期限为1个工作日。</w:t>
      </w:r>
    </w:p>
    <w:p w14:paraId="4555EF6B">
      <w:pPr>
        <w:pStyle w:val="4"/>
        <w:keepNext w:val="0"/>
        <w:keepLines w:val="0"/>
        <w:pageBreakBefore w:val="0"/>
        <w:widowControl/>
        <w:kinsoku/>
        <w:wordWrap/>
        <w:overflowPunct/>
        <w:topLinePunct w:val="0"/>
        <w:autoSpaceDE/>
        <w:autoSpaceDN/>
        <w:bidi w:val="0"/>
        <w:adjustRightInd/>
        <w:snapToGrid/>
        <w:spacing w:before="0" w:after="0" w:line="360" w:lineRule="auto"/>
        <w:ind w:firstLine="56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七、合同授予</w:t>
      </w:r>
    </w:p>
    <w:p w14:paraId="3013F1C8">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24.合同主要条款详见第五部分拟签订的合同文本。</w:t>
      </w:r>
    </w:p>
    <w:p w14:paraId="6371E8CE">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25.合同的签订</w:t>
      </w:r>
    </w:p>
    <w:p w14:paraId="60F15C7B">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25.1</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与</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人应当通过电子交易平台在</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通知书发出之日起三十日内，按照</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确定的事项签订政府采购合同，并在合同签订之日起2个工作日内依法发布合同公告。</w:t>
      </w:r>
    </w:p>
    <w:p w14:paraId="5DF49B12">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25.2</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人按规定的日期、时间、地点，由法定代表人或其授权代表与</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代表签订合同。如</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人为联合体的，由联合体成员各方法定代表人或其授权代表与</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代表签订合同。</w:t>
      </w:r>
    </w:p>
    <w:p w14:paraId="23984AD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3CC1192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25.4</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供应商拒绝与</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签订合同的，</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可以按照评审报告推荐的</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或者成交候选人名单排序，确定下一候选人为</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供应商，也可以重新开展政府采购活动。</w:t>
      </w:r>
    </w:p>
    <w:p w14:paraId="1907F312">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25.5采购合同由</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与</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供应商根据</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等内容通过政府采购电子交易平台在线签订，自动备案。</w:t>
      </w:r>
    </w:p>
    <w:p w14:paraId="49145337">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26.履约保证金</w:t>
      </w:r>
    </w:p>
    <w:p w14:paraId="2FD74309">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拟签订的合同文本要求</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不得拒收履约保函，项目验收结束后应及时退还。</w:t>
      </w:r>
    </w:p>
    <w:p w14:paraId="6E405119">
      <w:pPr>
        <w:pStyle w:val="4"/>
        <w:keepNext w:val="0"/>
        <w:keepLines w:val="0"/>
        <w:pageBreakBefore w:val="0"/>
        <w:widowControl/>
        <w:kinsoku/>
        <w:wordWrap/>
        <w:overflowPunct/>
        <w:topLinePunct w:val="0"/>
        <w:autoSpaceDE/>
        <w:autoSpaceDN/>
        <w:bidi w:val="0"/>
        <w:adjustRightInd/>
        <w:snapToGrid/>
        <w:spacing w:before="0" w:after="0" w:line="360" w:lineRule="auto"/>
        <w:ind w:firstLine="56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八、电子交易活动的中止</w:t>
      </w:r>
    </w:p>
    <w:p w14:paraId="18587E8A">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27.电子交易活动的中止。</w:t>
      </w:r>
    </w:p>
    <w:p w14:paraId="7CE7972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采购过程中出现以下情形，导致电子交易平台无法正常运行，或者无法保证电子交易的公平、公正和安全时，</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可中止电子交易活动：</w:t>
      </w:r>
    </w:p>
    <w:p w14:paraId="35F2E9F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27.1电子交易平台发生故障而无法登录访问的； </w:t>
      </w:r>
    </w:p>
    <w:p w14:paraId="2ACAB27C">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27.2电子交易平台应用或数据库出现错误，不能进行正常操作的；</w:t>
      </w:r>
    </w:p>
    <w:p w14:paraId="449E6C7A">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27.3电子交易平台发现严重安全漏洞，有潜在泄密危险的；</w:t>
      </w:r>
    </w:p>
    <w:p w14:paraId="10156607">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27.4病毒发作导致不能进行正常操作的； </w:t>
      </w:r>
    </w:p>
    <w:p w14:paraId="7494BA8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27.5其他无法保证电子交易的公平、公正和安全的情况。</w:t>
      </w:r>
    </w:p>
    <w:p w14:paraId="67357701">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28.出现以上情形，不影响采购公平、公正性的，采购组织机构可以待上述情形消除后继续组织电子交易活动，也可以决定某些环节以纸质形式进行；影响或可能影响采购公平、公正性的，应当重新采购。</w:t>
      </w:r>
    </w:p>
    <w:p w14:paraId="73764622">
      <w:pPr>
        <w:pStyle w:val="4"/>
        <w:keepNext w:val="0"/>
        <w:keepLines w:val="0"/>
        <w:pageBreakBefore w:val="0"/>
        <w:widowControl/>
        <w:kinsoku/>
        <w:wordWrap/>
        <w:overflowPunct/>
        <w:topLinePunct w:val="0"/>
        <w:autoSpaceDE/>
        <w:autoSpaceDN/>
        <w:bidi w:val="0"/>
        <w:adjustRightInd/>
        <w:snapToGrid/>
        <w:spacing w:before="0" w:after="0" w:line="360" w:lineRule="auto"/>
        <w:ind w:firstLine="56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九、验收</w:t>
      </w:r>
    </w:p>
    <w:p w14:paraId="2A92EC30">
      <w:pPr>
        <w:pStyle w:val="5"/>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29.验收</w:t>
      </w:r>
    </w:p>
    <w:p w14:paraId="5FF98F5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29.1</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应当组织对供应商履约的验收。</w:t>
      </w:r>
    </w:p>
    <w:p w14:paraId="2C6EC0A3">
      <w:pPr>
        <w:spacing w:line="276"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77BA24BF">
      <w:pPr>
        <w:pStyle w:val="3"/>
        <w:rPr>
          <w:rFonts w:hint="eastAsia" w:ascii="仿宋" w:hAnsi="仿宋" w:eastAsia="仿宋" w:cs="仿宋"/>
          <w:color w:val="auto"/>
          <w:highlight w:val="none"/>
        </w:rPr>
      </w:pPr>
      <w:r>
        <w:rPr>
          <w:rFonts w:hint="eastAsia" w:ascii="仿宋" w:hAnsi="仿宋" w:eastAsia="仿宋" w:cs="仿宋"/>
          <w:color w:val="auto"/>
          <w:highlight w:val="none"/>
        </w:rPr>
        <w:t>第三部分   采购需求</w:t>
      </w:r>
    </w:p>
    <w:p w14:paraId="6B34F186">
      <w:pPr>
        <w:snapToGrid w:val="0"/>
        <w:jc w:val="center"/>
        <w:rPr>
          <w:rStyle w:val="54"/>
          <w:rFonts w:hint="eastAsia" w:ascii="仿宋" w:hAnsi="仿宋" w:eastAsia="仿宋" w:cs="仿宋"/>
          <w:i w:val="0"/>
          <w:iCs w:val="0"/>
          <w:color w:val="auto"/>
          <w:highlight w:val="none"/>
        </w:rPr>
      </w:pPr>
      <w:r>
        <w:rPr>
          <w:rStyle w:val="54"/>
          <w:rFonts w:hint="eastAsia" w:ascii="仿宋" w:hAnsi="仿宋" w:eastAsia="仿宋" w:cs="仿宋"/>
          <w:i w:val="0"/>
          <w:iCs w:val="0"/>
          <w:color w:val="auto"/>
          <w:highlight w:val="none"/>
        </w:rPr>
        <w:t>属于实质性要求条款的，请用符号“▲”标明，否则属于非实质性要求。</w:t>
      </w:r>
    </w:p>
    <w:p w14:paraId="139BB70B">
      <w:pPr>
        <w:numPr>
          <w:ilvl w:val="0"/>
          <w:numId w:val="1"/>
        </w:numPr>
        <w:spacing w:line="360" w:lineRule="auto"/>
        <w:jc w:val="center"/>
        <w:rPr>
          <w:rFonts w:hint="eastAsia" w:ascii="仿宋" w:hAnsi="仿宋" w:eastAsia="仿宋" w:cs="仿宋"/>
          <w:color w:val="auto"/>
        </w:rPr>
      </w:pPr>
      <w:bookmarkStart w:id="2" w:name="_Toc518046410"/>
      <w:r>
        <w:rPr>
          <w:rFonts w:hint="eastAsia" w:ascii="仿宋" w:hAnsi="仿宋" w:eastAsia="仿宋" w:cs="仿宋"/>
          <w:b/>
          <w:color w:val="auto"/>
          <w:sz w:val="24"/>
          <w:highlight w:val="none"/>
        </w:rPr>
        <w:t>交易一览表</w:t>
      </w:r>
      <w:bookmarkStart w:id="3" w:name="_二期网络工程项目改造需求"/>
      <w:bookmarkEnd w:id="3"/>
    </w:p>
    <w:p w14:paraId="167794F0">
      <w:pPr>
        <w:keepNext w:val="0"/>
        <w:keepLines w:val="0"/>
        <w:pageBreakBefore w:val="0"/>
        <w:widowControl/>
        <w:kinsoku/>
        <w:wordWrap/>
        <w:overflowPunct/>
        <w:topLinePunct w:val="0"/>
        <w:autoSpaceDE/>
        <w:autoSpaceDN/>
        <w:bidi w:val="0"/>
        <w:adjustRightInd/>
        <w:snapToGrid/>
        <w:spacing w:after="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标项：1</w:t>
      </w:r>
    </w:p>
    <w:tbl>
      <w:tblPr>
        <w:tblStyle w:val="26"/>
        <w:tblW w:w="93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71"/>
        <w:gridCol w:w="3791"/>
        <w:gridCol w:w="1896"/>
        <w:gridCol w:w="881"/>
        <w:gridCol w:w="881"/>
        <w:gridCol w:w="1109"/>
      </w:tblGrid>
      <w:tr w14:paraId="22257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13" w:hRule="atLeast"/>
          <w:jc w:val="center"/>
        </w:trPr>
        <w:tc>
          <w:tcPr>
            <w:tcW w:w="77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B255AE3">
            <w:pPr>
              <w:keepNext w:val="0"/>
              <w:keepLines w:val="0"/>
              <w:pageBreakBefore w:val="0"/>
              <w:widowControl/>
              <w:kinsoku/>
              <w:wordWrap/>
              <w:overflowPunct/>
              <w:topLinePunct w:val="0"/>
              <w:autoSpaceDE/>
              <w:autoSpaceDN/>
              <w:bidi w:val="0"/>
              <w:adjustRightInd/>
              <w:snapToGrid/>
              <w:spacing w:after="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37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790C712">
            <w:pPr>
              <w:keepNext w:val="0"/>
              <w:keepLines w:val="0"/>
              <w:pageBreakBefore w:val="0"/>
              <w:widowControl/>
              <w:kinsoku/>
              <w:wordWrap/>
              <w:overflowPunct/>
              <w:topLinePunct w:val="0"/>
              <w:autoSpaceDE/>
              <w:autoSpaceDN/>
              <w:bidi w:val="0"/>
              <w:adjustRightInd/>
              <w:snapToGrid/>
              <w:spacing w:after="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名称</w:t>
            </w:r>
          </w:p>
        </w:tc>
        <w:tc>
          <w:tcPr>
            <w:tcW w:w="189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16626F5D">
            <w:pPr>
              <w:keepNext w:val="0"/>
              <w:keepLines w:val="0"/>
              <w:pageBreakBefore w:val="0"/>
              <w:widowControl/>
              <w:kinsoku/>
              <w:wordWrap/>
              <w:overflowPunct/>
              <w:topLinePunct w:val="0"/>
              <w:autoSpaceDE/>
              <w:autoSpaceDN/>
              <w:bidi w:val="0"/>
              <w:adjustRightInd/>
              <w:snapToGrid/>
              <w:spacing w:after="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规格型号与参数</w:t>
            </w:r>
          </w:p>
        </w:tc>
        <w:tc>
          <w:tcPr>
            <w:tcW w:w="88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1A15AA34">
            <w:pPr>
              <w:keepNext w:val="0"/>
              <w:keepLines w:val="0"/>
              <w:pageBreakBefore w:val="0"/>
              <w:widowControl/>
              <w:kinsoku/>
              <w:wordWrap/>
              <w:overflowPunct/>
              <w:topLinePunct w:val="0"/>
              <w:autoSpaceDE/>
              <w:autoSpaceDN/>
              <w:bidi w:val="0"/>
              <w:adjustRightInd/>
              <w:snapToGrid/>
              <w:spacing w:after="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单位</w:t>
            </w:r>
          </w:p>
        </w:tc>
        <w:tc>
          <w:tcPr>
            <w:tcW w:w="88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190BE24">
            <w:pPr>
              <w:keepNext w:val="0"/>
              <w:keepLines w:val="0"/>
              <w:pageBreakBefore w:val="0"/>
              <w:widowControl/>
              <w:kinsoku/>
              <w:wordWrap/>
              <w:overflowPunct/>
              <w:topLinePunct w:val="0"/>
              <w:autoSpaceDE/>
              <w:autoSpaceDN/>
              <w:bidi w:val="0"/>
              <w:adjustRightInd/>
              <w:snapToGrid/>
              <w:spacing w:after="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数量</w:t>
            </w:r>
          </w:p>
        </w:tc>
        <w:tc>
          <w:tcPr>
            <w:tcW w:w="1109" w:type="dxa"/>
            <w:tcBorders>
              <w:top w:val="single" w:color="auto" w:sz="4" w:space="0"/>
              <w:left w:val="single" w:color="auto" w:sz="4" w:space="0"/>
              <w:bottom w:val="single" w:color="auto" w:sz="4" w:space="0"/>
              <w:right w:val="single" w:color="auto" w:sz="4" w:space="0"/>
            </w:tcBorders>
            <w:vAlign w:val="center"/>
          </w:tcPr>
          <w:p w14:paraId="74AA85B8">
            <w:pPr>
              <w:keepNext w:val="0"/>
              <w:keepLines w:val="0"/>
              <w:pageBreakBefore w:val="0"/>
              <w:widowControl/>
              <w:kinsoku/>
              <w:wordWrap/>
              <w:overflowPunct/>
              <w:topLinePunct w:val="0"/>
              <w:autoSpaceDE/>
              <w:autoSpaceDN/>
              <w:bidi w:val="0"/>
              <w:adjustRightInd/>
              <w:snapToGrid/>
              <w:spacing w:after="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45427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03" w:hRule="atLeast"/>
          <w:jc w:val="center"/>
        </w:trPr>
        <w:tc>
          <w:tcPr>
            <w:tcW w:w="77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106F2A2">
            <w:pPr>
              <w:keepNext w:val="0"/>
              <w:keepLines w:val="0"/>
              <w:pageBreakBefore w:val="0"/>
              <w:widowControl/>
              <w:kinsoku/>
              <w:wordWrap/>
              <w:overflowPunct/>
              <w:topLinePunct w:val="0"/>
              <w:autoSpaceDE/>
              <w:autoSpaceDN/>
              <w:bidi w:val="0"/>
              <w:adjustRightInd/>
              <w:snapToGrid/>
              <w:spacing w:after="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379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9C95E32">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highlight w:val="none"/>
                <w:lang w:val="en-US" w:eastAsia="zh-CN"/>
              </w:rPr>
              <w:t>杭州市萧山区社会保险管理服务中心2025年职工疗休养项目</w:t>
            </w:r>
          </w:p>
        </w:tc>
        <w:tc>
          <w:tcPr>
            <w:tcW w:w="189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1E12536E">
            <w:pPr>
              <w:keepNext w:val="0"/>
              <w:keepLines w:val="0"/>
              <w:pageBreakBefore w:val="0"/>
              <w:widowControl/>
              <w:kinsoku/>
              <w:wordWrap/>
              <w:overflowPunct/>
              <w:topLinePunct w:val="0"/>
              <w:autoSpaceDE/>
              <w:autoSpaceDN/>
              <w:bidi w:val="0"/>
              <w:adjustRightInd/>
              <w:snapToGrid/>
              <w:spacing w:after="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详见交易需求</w:t>
            </w:r>
          </w:p>
        </w:tc>
        <w:tc>
          <w:tcPr>
            <w:tcW w:w="88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751C20CD">
            <w:pPr>
              <w:keepNext w:val="0"/>
              <w:keepLines w:val="0"/>
              <w:pageBreakBefore w:val="0"/>
              <w:widowControl/>
              <w:kinsoku/>
              <w:wordWrap/>
              <w:overflowPunct/>
              <w:topLinePunct w:val="0"/>
              <w:autoSpaceDE/>
              <w:autoSpaceDN/>
              <w:bidi w:val="0"/>
              <w:adjustRightInd/>
              <w:snapToGrid/>
              <w:spacing w:after="0"/>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项</w:t>
            </w:r>
          </w:p>
        </w:tc>
        <w:tc>
          <w:tcPr>
            <w:tcW w:w="88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66A7ABC">
            <w:pPr>
              <w:keepNext w:val="0"/>
              <w:keepLines w:val="0"/>
              <w:pageBreakBefore w:val="0"/>
              <w:widowControl/>
              <w:kinsoku/>
              <w:wordWrap/>
              <w:overflowPunct/>
              <w:topLinePunct w:val="0"/>
              <w:autoSpaceDE/>
              <w:autoSpaceDN/>
              <w:bidi w:val="0"/>
              <w:adjustRightInd/>
              <w:snapToGrid/>
              <w:spacing w:after="0"/>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w:t>
            </w:r>
          </w:p>
        </w:tc>
        <w:tc>
          <w:tcPr>
            <w:tcW w:w="1109" w:type="dxa"/>
            <w:tcBorders>
              <w:top w:val="single" w:color="auto" w:sz="4" w:space="0"/>
              <w:left w:val="single" w:color="auto" w:sz="4" w:space="0"/>
              <w:bottom w:val="single" w:color="auto" w:sz="4" w:space="0"/>
              <w:right w:val="single" w:color="auto" w:sz="4" w:space="0"/>
            </w:tcBorders>
            <w:vAlign w:val="center"/>
          </w:tcPr>
          <w:p w14:paraId="370AF187">
            <w:pPr>
              <w:keepNext w:val="0"/>
              <w:keepLines w:val="0"/>
              <w:pageBreakBefore w:val="0"/>
              <w:widowControl/>
              <w:kinsoku/>
              <w:wordWrap/>
              <w:overflowPunct/>
              <w:topLinePunct w:val="0"/>
              <w:autoSpaceDE/>
              <w:autoSpaceDN/>
              <w:bidi w:val="0"/>
              <w:adjustRightInd/>
              <w:snapToGrid/>
              <w:spacing w:after="0"/>
              <w:jc w:val="center"/>
              <w:textAlignment w:val="auto"/>
              <w:rPr>
                <w:rFonts w:hint="eastAsia" w:ascii="仿宋" w:hAnsi="仿宋" w:eastAsia="仿宋" w:cs="仿宋"/>
                <w:color w:val="auto"/>
                <w:sz w:val="24"/>
                <w:highlight w:val="none"/>
              </w:rPr>
            </w:pPr>
          </w:p>
        </w:tc>
      </w:tr>
    </w:tbl>
    <w:p w14:paraId="20BD770D">
      <w:pPr>
        <w:keepNext w:val="0"/>
        <w:keepLines w:val="0"/>
        <w:pageBreakBefore w:val="0"/>
        <w:widowControl/>
        <w:numPr>
          <w:ilvl w:val="0"/>
          <w:numId w:val="0"/>
        </w:numPr>
        <w:kinsoku/>
        <w:wordWrap/>
        <w:overflowPunct/>
        <w:topLinePunct w:val="0"/>
        <w:autoSpaceDE/>
        <w:autoSpaceDN/>
        <w:bidi w:val="0"/>
        <w:adjustRightInd/>
        <w:snapToGrid/>
        <w:spacing w:after="0" w:line="360" w:lineRule="auto"/>
        <w:jc w:val="both"/>
        <w:textAlignment w:val="auto"/>
        <w:rPr>
          <w:rFonts w:hint="eastAsia" w:ascii="仿宋" w:hAnsi="仿宋" w:eastAsia="仿宋" w:cs="仿宋"/>
          <w:b/>
          <w:color w:val="auto"/>
          <w:sz w:val="24"/>
          <w:highlight w:val="none"/>
        </w:rPr>
      </w:pPr>
    </w:p>
    <w:bookmarkEnd w:id="2"/>
    <w:p w14:paraId="1378F499">
      <w:pPr>
        <w:keepNext w:val="0"/>
        <w:keepLines w:val="0"/>
        <w:pageBreakBefore w:val="0"/>
        <w:widowControl/>
        <w:numPr>
          <w:ilvl w:val="0"/>
          <w:numId w:val="0"/>
        </w:numPr>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二、交易</w:t>
      </w:r>
      <w:r>
        <w:rPr>
          <w:rFonts w:hint="eastAsia" w:ascii="仿宋" w:hAnsi="仿宋" w:eastAsia="仿宋" w:cs="仿宋"/>
          <w:b/>
          <w:color w:val="auto"/>
          <w:sz w:val="24"/>
          <w:highlight w:val="none"/>
        </w:rPr>
        <w:t>需求</w:t>
      </w:r>
    </w:p>
    <w:p w14:paraId="64DB65DF">
      <w:pPr>
        <w:keepNext w:val="0"/>
        <w:keepLines w:val="0"/>
        <w:pageBreakBefore w:val="0"/>
        <w:widowControl/>
        <w:kinsoku/>
        <w:wordWrap/>
        <w:overflowPunct/>
        <w:topLinePunct w:val="0"/>
        <w:autoSpaceDE/>
        <w:autoSpaceDN/>
        <w:bidi w:val="0"/>
        <w:adjustRightInd/>
        <w:spacing w:after="0" w:line="360" w:lineRule="auto"/>
        <w:jc w:val="left"/>
        <w:textAlignment w:val="auto"/>
        <w:rPr>
          <w:rFonts w:hint="eastAsia" w:ascii="仿宋" w:hAnsi="仿宋" w:eastAsia="仿宋" w:cs="仿宋"/>
          <w:b/>
          <w:sz w:val="24"/>
        </w:rPr>
      </w:pPr>
      <w:r>
        <w:rPr>
          <w:rFonts w:hint="eastAsia" w:ascii="仿宋" w:hAnsi="仿宋" w:eastAsia="仿宋" w:cs="仿宋"/>
          <w:b/>
          <w:sz w:val="24"/>
        </w:rPr>
        <w:t>1、技术需求</w:t>
      </w:r>
    </w:p>
    <w:p w14:paraId="6662FB06">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kern w:val="0"/>
          <w:sz w:val="24"/>
        </w:rPr>
      </w:pPr>
      <w:r>
        <w:rPr>
          <w:rFonts w:hint="eastAsia" w:ascii="仿宋" w:hAnsi="仿宋" w:eastAsia="仿宋" w:cs="仿宋"/>
          <w:sz w:val="24"/>
        </w:rPr>
        <w:t>本项目为</w:t>
      </w:r>
      <w:r>
        <w:rPr>
          <w:rFonts w:hint="eastAsia" w:ascii="仿宋" w:hAnsi="仿宋" w:eastAsia="仿宋" w:cs="仿宋"/>
          <w:bCs/>
          <w:sz w:val="24"/>
          <w:lang w:eastAsia="zh-CN"/>
        </w:rPr>
        <w:t>杭州市萧山区社会保险管理服务中心202</w:t>
      </w:r>
      <w:r>
        <w:rPr>
          <w:rFonts w:hint="eastAsia" w:ascii="仿宋" w:hAnsi="仿宋" w:eastAsia="仿宋" w:cs="仿宋"/>
          <w:bCs/>
          <w:sz w:val="24"/>
          <w:lang w:val="en-US" w:eastAsia="zh-CN"/>
        </w:rPr>
        <w:t>5</w:t>
      </w:r>
      <w:r>
        <w:rPr>
          <w:rFonts w:hint="eastAsia" w:ascii="仿宋" w:hAnsi="仿宋" w:eastAsia="仿宋" w:cs="仿宋"/>
          <w:bCs/>
          <w:sz w:val="24"/>
          <w:lang w:eastAsia="zh-CN"/>
        </w:rPr>
        <w:t>年职工疗休养项目</w:t>
      </w:r>
      <w:r>
        <w:rPr>
          <w:rFonts w:hint="eastAsia" w:ascii="仿宋" w:hAnsi="仿宋" w:eastAsia="仿宋" w:cs="仿宋"/>
          <w:sz w:val="24"/>
        </w:rPr>
        <w:t>，暂定人数</w:t>
      </w:r>
      <w:r>
        <w:rPr>
          <w:rFonts w:hint="eastAsia" w:ascii="仿宋" w:hAnsi="仿宋" w:eastAsia="仿宋" w:cs="仿宋"/>
          <w:sz w:val="24"/>
          <w:lang w:val="en-US" w:eastAsia="zh-CN"/>
        </w:rPr>
        <w:t>61</w:t>
      </w:r>
      <w:r>
        <w:rPr>
          <w:rFonts w:hint="eastAsia" w:ascii="仿宋" w:hAnsi="仿宋" w:eastAsia="仿宋" w:cs="仿宋"/>
          <w:sz w:val="24"/>
        </w:rPr>
        <w:t>人，前往康定或</w:t>
      </w:r>
      <w:r>
        <w:rPr>
          <w:rFonts w:hint="eastAsia" w:ascii="仿宋" w:hAnsi="仿宋" w:eastAsia="仿宋" w:cs="仿宋"/>
          <w:sz w:val="24"/>
          <w:lang w:val="en-US" w:eastAsia="zh-CN"/>
        </w:rPr>
        <w:t>衢州</w:t>
      </w:r>
      <w:r>
        <w:rPr>
          <w:rFonts w:hint="eastAsia" w:ascii="仿宋" w:hAnsi="仿宋" w:eastAsia="仿宋" w:cs="仿宋"/>
          <w:sz w:val="24"/>
        </w:rPr>
        <w:t>或萧山区内开展疗休养活动。</w:t>
      </w:r>
      <w:r>
        <w:rPr>
          <w:rFonts w:hint="eastAsia" w:ascii="仿宋" w:hAnsi="仿宋" w:eastAsia="仿宋" w:cs="仿宋"/>
          <w:kern w:val="0"/>
          <w:sz w:val="24"/>
        </w:rPr>
        <w:t>响应人需在</w:t>
      </w:r>
      <w:r>
        <w:rPr>
          <w:rFonts w:hint="eastAsia" w:ascii="仿宋" w:hAnsi="仿宋" w:eastAsia="仿宋" w:cs="仿宋"/>
          <w:kern w:val="0"/>
          <w:sz w:val="24"/>
          <w:lang w:eastAsia="zh-CN"/>
        </w:rPr>
        <w:t>响应文件</w:t>
      </w:r>
      <w:r>
        <w:rPr>
          <w:rFonts w:hint="eastAsia" w:ascii="仿宋" w:hAnsi="仿宋" w:eastAsia="仿宋" w:cs="仿宋"/>
          <w:kern w:val="0"/>
          <w:sz w:val="24"/>
        </w:rPr>
        <w:t>中提供具体行程、出行方式、就餐标准等具体明细，投标报价根据要求提供每人次的单价。</w:t>
      </w:r>
    </w:p>
    <w:p w14:paraId="59E2359B">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▲每人预算标准：不超过3000元/人。</w:t>
      </w:r>
    </w:p>
    <w:p w14:paraId="06DE3875">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bCs/>
          <w:sz w:val="24"/>
        </w:rPr>
      </w:pPr>
      <w:r>
        <w:rPr>
          <w:rFonts w:hint="eastAsia" w:ascii="仿宋" w:hAnsi="仿宋" w:eastAsia="仿宋" w:cs="仿宋"/>
          <w:sz w:val="24"/>
        </w:rPr>
        <w:t>每人预算标准</w:t>
      </w:r>
      <w:r>
        <w:rPr>
          <w:rFonts w:hint="eastAsia" w:ascii="仿宋" w:hAnsi="仿宋" w:eastAsia="仿宋" w:cs="仿宋"/>
          <w:bCs/>
          <w:sz w:val="24"/>
        </w:rPr>
        <w:t>包括</w:t>
      </w:r>
      <w:r>
        <w:rPr>
          <w:rFonts w:hint="eastAsia" w:ascii="仿宋" w:hAnsi="仿宋" w:eastAsia="仿宋" w:cs="仿宋"/>
          <w:kern w:val="0"/>
          <w:sz w:val="24"/>
          <w:lang w:val="zh-CN"/>
        </w:rPr>
        <w:t>中标人</w:t>
      </w:r>
      <w:r>
        <w:rPr>
          <w:rFonts w:hint="eastAsia" w:ascii="仿宋" w:hAnsi="仿宋" w:eastAsia="仿宋" w:cs="仿宋"/>
          <w:bCs/>
          <w:sz w:val="24"/>
        </w:rPr>
        <w:t>完成本项目所需的一切费用，包括但不限于：交通费（含燃油费、过路费、停车费、景点交通费等）、住宿费、伙食费、景点门票、导游费、保险费及涉及的其他所有费用、税金。</w:t>
      </w:r>
    </w:p>
    <w:p w14:paraId="5081DBBC">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职工赴</w:t>
      </w:r>
      <w:r>
        <w:rPr>
          <w:rFonts w:hint="eastAsia" w:ascii="仿宋" w:hAnsi="仿宋" w:eastAsia="仿宋" w:cs="仿宋"/>
          <w:bCs/>
          <w:sz w:val="24"/>
        </w:rPr>
        <w:t>四川康定</w:t>
      </w:r>
      <w:r>
        <w:rPr>
          <w:rFonts w:hint="eastAsia" w:ascii="仿宋" w:hAnsi="仿宋" w:eastAsia="仿宋" w:cs="仿宋"/>
          <w:sz w:val="24"/>
        </w:rPr>
        <w:t>疗休养费用3000元/人标准不含往返大交通费(回来飞机或火车费)，产生的大交通费由交易发起人自理。</w:t>
      </w:r>
    </w:p>
    <w:p w14:paraId="3115557F">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b/>
          <w:sz w:val="24"/>
        </w:rPr>
      </w:pPr>
      <w:r>
        <w:rPr>
          <w:rFonts w:hint="eastAsia" w:ascii="仿宋" w:hAnsi="仿宋" w:eastAsia="仿宋" w:cs="仿宋"/>
          <w:sz w:val="24"/>
        </w:rPr>
        <w:t>1.1</w:t>
      </w:r>
      <w:r>
        <w:rPr>
          <w:rFonts w:hint="eastAsia" w:ascii="仿宋" w:hAnsi="仿宋" w:eastAsia="仿宋" w:cs="仿宋"/>
          <w:b/>
          <w:sz w:val="24"/>
        </w:rPr>
        <w:t>服务内容（包括但不限于）</w:t>
      </w:r>
    </w:p>
    <w:p w14:paraId="13203B67">
      <w:pPr>
        <w:keepNext w:val="0"/>
        <w:keepLines w:val="0"/>
        <w:pageBreakBefore w:val="0"/>
        <w:widowControl/>
        <w:numPr>
          <w:ilvl w:val="0"/>
          <w:numId w:val="2"/>
        </w:numPr>
        <w:kinsoku/>
        <w:wordWrap/>
        <w:overflowPunct/>
        <w:topLinePunct w:val="0"/>
        <w:autoSpaceDE/>
        <w:autoSpaceDN/>
        <w:bidi w:val="0"/>
        <w:adjustRightInd/>
        <w:spacing w:after="0" w:line="360" w:lineRule="auto"/>
        <w:ind w:left="240" w:leftChars="100" w:firstLine="480" w:firstLineChars="200"/>
        <w:textAlignment w:val="auto"/>
        <w:rPr>
          <w:rFonts w:hint="eastAsia" w:ascii="仿宋" w:hAnsi="仿宋" w:eastAsia="仿宋" w:cs="仿宋"/>
          <w:sz w:val="24"/>
        </w:rPr>
      </w:pPr>
      <w:r>
        <w:rPr>
          <w:rFonts w:hint="eastAsia" w:ascii="仿宋" w:hAnsi="仿宋" w:eastAsia="仿宋" w:cs="仿宋"/>
          <w:sz w:val="24"/>
        </w:rPr>
        <w:t>疗休养策划方案；</w:t>
      </w:r>
    </w:p>
    <w:p w14:paraId="37F01C6E">
      <w:pPr>
        <w:keepNext w:val="0"/>
        <w:keepLines w:val="0"/>
        <w:pageBreakBefore w:val="0"/>
        <w:widowControl/>
        <w:numPr>
          <w:ilvl w:val="0"/>
          <w:numId w:val="2"/>
        </w:numPr>
        <w:kinsoku/>
        <w:wordWrap/>
        <w:overflowPunct/>
        <w:topLinePunct w:val="0"/>
        <w:autoSpaceDE/>
        <w:autoSpaceDN/>
        <w:bidi w:val="0"/>
        <w:adjustRightInd/>
        <w:spacing w:after="0" w:line="360" w:lineRule="auto"/>
        <w:ind w:left="240" w:leftChars="100" w:firstLine="480" w:firstLineChars="200"/>
        <w:textAlignment w:val="auto"/>
        <w:rPr>
          <w:rFonts w:hint="eastAsia" w:ascii="仿宋" w:hAnsi="仿宋" w:eastAsia="仿宋" w:cs="仿宋"/>
          <w:sz w:val="24"/>
        </w:rPr>
      </w:pPr>
      <w:r>
        <w:rPr>
          <w:rFonts w:hint="eastAsia" w:ascii="仿宋" w:hAnsi="仿宋" w:eastAsia="仿宋" w:cs="仿宋"/>
          <w:sz w:val="24"/>
        </w:rPr>
        <w:t>服务实施计划，包括与地接人员接头计划；</w:t>
      </w:r>
    </w:p>
    <w:p w14:paraId="7000981E">
      <w:pPr>
        <w:keepNext w:val="0"/>
        <w:keepLines w:val="0"/>
        <w:pageBreakBefore w:val="0"/>
        <w:widowControl/>
        <w:numPr>
          <w:ilvl w:val="0"/>
          <w:numId w:val="2"/>
        </w:numPr>
        <w:kinsoku/>
        <w:wordWrap/>
        <w:overflowPunct/>
        <w:topLinePunct w:val="0"/>
        <w:autoSpaceDE/>
        <w:autoSpaceDN/>
        <w:bidi w:val="0"/>
        <w:adjustRightInd/>
        <w:spacing w:after="0" w:line="360" w:lineRule="auto"/>
        <w:ind w:left="240" w:leftChars="100" w:firstLine="480" w:firstLineChars="200"/>
        <w:textAlignment w:val="auto"/>
        <w:rPr>
          <w:rFonts w:hint="eastAsia" w:ascii="仿宋" w:hAnsi="仿宋" w:eastAsia="仿宋" w:cs="仿宋"/>
          <w:sz w:val="24"/>
        </w:rPr>
      </w:pPr>
      <w:r>
        <w:rPr>
          <w:rFonts w:hint="eastAsia" w:ascii="仿宋" w:hAnsi="仿宋" w:eastAsia="仿宋" w:cs="仿宋"/>
          <w:sz w:val="24"/>
        </w:rPr>
        <w:t>交通工具选择情况（包括车型、车龄等）、安排情况；</w:t>
      </w:r>
    </w:p>
    <w:p w14:paraId="4C306F62">
      <w:pPr>
        <w:keepNext w:val="0"/>
        <w:keepLines w:val="0"/>
        <w:pageBreakBefore w:val="0"/>
        <w:widowControl/>
        <w:numPr>
          <w:ilvl w:val="0"/>
          <w:numId w:val="2"/>
        </w:numPr>
        <w:kinsoku/>
        <w:wordWrap/>
        <w:overflowPunct/>
        <w:topLinePunct w:val="0"/>
        <w:autoSpaceDE/>
        <w:autoSpaceDN/>
        <w:bidi w:val="0"/>
        <w:adjustRightInd/>
        <w:spacing w:after="0" w:line="360" w:lineRule="auto"/>
        <w:ind w:left="240" w:leftChars="100" w:firstLine="480" w:firstLineChars="200"/>
        <w:textAlignment w:val="auto"/>
        <w:rPr>
          <w:rFonts w:hint="eastAsia" w:ascii="仿宋" w:hAnsi="仿宋" w:eastAsia="仿宋" w:cs="仿宋"/>
          <w:sz w:val="24"/>
        </w:rPr>
      </w:pPr>
      <w:r>
        <w:rPr>
          <w:rFonts w:hint="eastAsia" w:ascii="仿宋" w:hAnsi="仿宋" w:eastAsia="仿宋" w:cs="仿宋"/>
          <w:sz w:val="24"/>
        </w:rPr>
        <w:t>安排酒店入住情况；</w:t>
      </w:r>
    </w:p>
    <w:p w14:paraId="0C960958">
      <w:pPr>
        <w:keepNext w:val="0"/>
        <w:keepLines w:val="0"/>
        <w:pageBreakBefore w:val="0"/>
        <w:widowControl/>
        <w:numPr>
          <w:ilvl w:val="0"/>
          <w:numId w:val="2"/>
        </w:numPr>
        <w:kinsoku/>
        <w:wordWrap/>
        <w:overflowPunct/>
        <w:topLinePunct w:val="0"/>
        <w:autoSpaceDE/>
        <w:autoSpaceDN/>
        <w:bidi w:val="0"/>
        <w:adjustRightInd/>
        <w:spacing w:after="0" w:line="360" w:lineRule="auto"/>
        <w:ind w:left="240" w:leftChars="100" w:firstLine="480" w:firstLineChars="200"/>
        <w:textAlignment w:val="auto"/>
        <w:rPr>
          <w:rFonts w:hint="eastAsia" w:ascii="仿宋" w:hAnsi="仿宋" w:eastAsia="仿宋" w:cs="仿宋"/>
          <w:sz w:val="24"/>
        </w:rPr>
      </w:pPr>
      <w:r>
        <w:rPr>
          <w:rFonts w:hint="eastAsia" w:ascii="仿宋" w:hAnsi="仿宋" w:eastAsia="仿宋" w:cs="仿宋"/>
          <w:sz w:val="24"/>
        </w:rPr>
        <w:t>用餐服务计划；</w:t>
      </w:r>
    </w:p>
    <w:p w14:paraId="09C6255F">
      <w:pPr>
        <w:keepNext w:val="0"/>
        <w:keepLines w:val="0"/>
        <w:pageBreakBefore w:val="0"/>
        <w:widowControl/>
        <w:numPr>
          <w:ilvl w:val="0"/>
          <w:numId w:val="2"/>
        </w:numPr>
        <w:kinsoku/>
        <w:wordWrap/>
        <w:overflowPunct/>
        <w:topLinePunct w:val="0"/>
        <w:autoSpaceDE/>
        <w:autoSpaceDN/>
        <w:bidi w:val="0"/>
        <w:adjustRightInd/>
        <w:spacing w:after="0" w:line="360" w:lineRule="auto"/>
        <w:ind w:left="240" w:leftChars="100" w:firstLine="480" w:firstLineChars="200"/>
        <w:textAlignment w:val="auto"/>
        <w:rPr>
          <w:rFonts w:hint="eastAsia" w:ascii="仿宋" w:hAnsi="仿宋" w:eastAsia="仿宋" w:cs="仿宋"/>
          <w:sz w:val="24"/>
        </w:rPr>
      </w:pPr>
      <w:r>
        <w:rPr>
          <w:rFonts w:hint="eastAsia" w:ascii="仿宋" w:hAnsi="仿宋" w:eastAsia="仿宋" w:cs="仿宋"/>
          <w:sz w:val="24"/>
        </w:rPr>
        <w:t>针对突发情况的预案；</w:t>
      </w:r>
    </w:p>
    <w:p w14:paraId="764CFDB3">
      <w:pPr>
        <w:keepNext w:val="0"/>
        <w:keepLines w:val="0"/>
        <w:pageBreakBefore w:val="0"/>
        <w:widowControl/>
        <w:numPr>
          <w:ilvl w:val="0"/>
          <w:numId w:val="2"/>
        </w:numPr>
        <w:kinsoku/>
        <w:wordWrap/>
        <w:overflowPunct/>
        <w:topLinePunct w:val="0"/>
        <w:autoSpaceDE/>
        <w:autoSpaceDN/>
        <w:bidi w:val="0"/>
        <w:adjustRightInd/>
        <w:spacing w:after="0" w:line="360" w:lineRule="auto"/>
        <w:ind w:left="240" w:leftChars="100" w:firstLine="480" w:firstLineChars="200"/>
        <w:textAlignment w:val="auto"/>
        <w:rPr>
          <w:rFonts w:hint="eastAsia" w:ascii="仿宋" w:hAnsi="仿宋" w:eastAsia="仿宋" w:cs="仿宋"/>
          <w:sz w:val="24"/>
        </w:rPr>
      </w:pPr>
      <w:r>
        <w:rPr>
          <w:rFonts w:hint="eastAsia" w:ascii="仿宋" w:hAnsi="仿宋" w:eastAsia="仿宋" w:cs="仿宋"/>
          <w:sz w:val="24"/>
        </w:rPr>
        <w:t>超值服务。</w:t>
      </w:r>
    </w:p>
    <w:p w14:paraId="53450042">
      <w:pPr>
        <w:keepNext w:val="0"/>
        <w:keepLines w:val="0"/>
        <w:pageBreakBefore w:val="0"/>
        <w:widowControl/>
        <w:kinsoku/>
        <w:wordWrap/>
        <w:overflowPunct/>
        <w:topLinePunct w:val="0"/>
        <w:autoSpaceDE/>
        <w:autoSpaceDN/>
        <w:bidi w:val="0"/>
        <w:adjustRightInd/>
        <w:spacing w:after="0" w:line="360" w:lineRule="auto"/>
        <w:ind w:firstLine="482" w:firstLineChars="200"/>
        <w:textAlignment w:val="auto"/>
        <w:rPr>
          <w:rFonts w:hint="eastAsia" w:ascii="仿宋" w:hAnsi="仿宋" w:eastAsia="仿宋" w:cs="仿宋"/>
          <w:b/>
          <w:sz w:val="24"/>
        </w:rPr>
      </w:pPr>
    </w:p>
    <w:p w14:paraId="38C03425">
      <w:pPr>
        <w:keepNext w:val="0"/>
        <w:keepLines w:val="0"/>
        <w:pageBreakBefore w:val="0"/>
        <w:widowControl/>
        <w:kinsoku/>
        <w:wordWrap/>
        <w:overflowPunct/>
        <w:topLinePunct w:val="0"/>
        <w:autoSpaceDE/>
        <w:autoSpaceDN/>
        <w:bidi w:val="0"/>
        <w:adjustRightInd/>
        <w:spacing w:after="0" w:line="360" w:lineRule="auto"/>
        <w:ind w:firstLine="482" w:firstLineChars="200"/>
        <w:textAlignment w:val="auto"/>
        <w:rPr>
          <w:rFonts w:hint="eastAsia" w:ascii="仿宋" w:hAnsi="仿宋" w:eastAsia="仿宋" w:cs="仿宋"/>
          <w:b/>
          <w:sz w:val="24"/>
        </w:rPr>
      </w:pPr>
      <w:r>
        <w:rPr>
          <w:rFonts w:hint="eastAsia" w:ascii="仿宋" w:hAnsi="仿宋" w:eastAsia="仿宋" w:cs="仿宋"/>
          <w:b/>
          <w:sz w:val="24"/>
        </w:rPr>
        <w:t>1.2线路要求</w:t>
      </w:r>
    </w:p>
    <w:p w14:paraId="4D92CE18">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b/>
          <w:sz w:val="24"/>
        </w:rPr>
      </w:pPr>
      <w:r>
        <w:rPr>
          <w:rFonts w:hint="eastAsia" w:ascii="仿宋" w:hAnsi="仿宋" w:eastAsia="仿宋" w:cs="仿宋"/>
          <w:bCs/>
          <w:sz w:val="24"/>
        </w:rPr>
        <w:t>路线一：</w:t>
      </w:r>
      <w:r>
        <w:rPr>
          <w:rFonts w:hint="eastAsia" w:ascii="仿宋" w:hAnsi="仿宋" w:eastAsia="仿宋" w:cs="仿宋"/>
          <w:sz w:val="24"/>
        </w:rPr>
        <w:t>四川康定</w:t>
      </w:r>
      <w:r>
        <w:rPr>
          <w:rFonts w:hint="eastAsia" w:ascii="仿宋" w:hAnsi="仿宋" w:eastAsia="仿宋" w:cs="仿宋"/>
          <w:bCs/>
          <w:sz w:val="24"/>
        </w:rPr>
        <w:t>线</w:t>
      </w:r>
    </w:p>
    <w:p w14:paraId="361E52FA">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a、主题：提供</w:t>
      </w:r>
      <w:r>
        <w:rPr>
          <w:rFonts w:hint="eastAsia" w:ascii="仿宋" w:hAnsi="仿宋" w:eastAsia="仿宋" w:cs="仿宋"/>
          <w:sz w:val="24"/>
        </w:rPr>
        <w:t>四川康</w:t>
      </w:r>
      <w:r>
        <w:rPr>
          <w:rFonts w:hint="eastAsia" w:ascii="仿宋" w:hAnsi="仿宋" w:eastAsia="仿宋" w:cs="仿宋"/>
          <w:color w:val="auto"/>
          <w:sz w:val="24"/>
        </w:rPr>
        <w:t>定</w:t>
      </w:r>
      <w:r>
        <w:rPr>
          <w:rFonts w:hint="eastAsia" w:ascii="仿宋" w:hAnsi="仿宋" w:eastAsia="仿宋" w:cs="仿宋"/>
          <w:color w:val="auto"/>
          <w:kern w:val="0"/>
          <w:sz w:val="24"/>
          <w:lang w:val="zh-CN"/>
        </w:rPr>
        <w:t>线路方案一个或多个。</w:t>
      </w:r>
      <w:r>
        <w:rPr>
          <w:rFonts w:hint="eastAsia" w:ascii="仿宋" w:hAnsi="仿宋" w:eastAsia="仿宋" w:cs="仿宋"/>
          <w:kern w:val="0"/>
          <w:sz w:val="24"/>
          <w:lang w:val="zh-CN"/>
        </w:rPr>
        <w:t>今后由交易发起人在中标人提供的线路方案中进行选择，具体详细的地址及疗休养路线节点由响应人自行编制（响应人在编制疗休养路线时必须符合本项目疗休养的主题，安排住宿及相应路线时必须合理）；</w:t>
      </w:r>
    </w:p>
    <w:p w14:paraId="072F29E2">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b、组织批次：具体批次根据交易发起人安排时间进行确定；</w:t>
      </w:r>
    </w:p>
    <w:p w14:paraId="4C319F6A">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c、出行方式（包含旅游过程中短接）：中标人负责大交通（飞机或火车）订票等服务，费用由</w:t>
      </w:r>
      <w:r>
        <w:rPr>
          <w:rFonts w:hint="eastAsia" w:ascii="仿宋" w:hAnsi="仿宋" w:eastAsia="仿宋" w:cs="仿宋"/>
          <w:sz w:val="24"/>
        </w:rPr>
        <w:t>交易发起人自理</w:t>
      </w:r>
      <w:r>
        <w:rPr>
          <w:rFonts w:hint="eastAsia" w:ascii="仿宋" w:hAnsi="仿宋" w:eastAsia="仿宋" w:cs="仿宋"/>
          <w:kern w:val="0"/>
          <w:sz w:val="24"/>
          <w:lang w:val="zh-CN"/>
        </w:rPr>
        <w:t xml:space="preserve">；来回豪华大巴，景点间及其他交通费由中标人负责； </w:t>
      </w:r>
    </w:p>
    <w:p w14:paraId="2C8E469C">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d、疗休养时间：每次在疗休养出发前</w:t>
      </w:r>
      <w:r>
        <w:rPr>
          <w:rFonts w:hint="eastAsia" w:ascii="仿宋" w:hAnsi="仿宋" w:eastAsia="仿宋" w:cs="仿宋"/>
          <w:kern w:val="0"/>
          <w:sz w:val="24"/>
        </w:rPr>
        <w:t>5</w:t>
      </w:r>
      <w:r>
        <w:rPr>
          <w:rFonts w:hint="eastAsia" w:ascii="仿宋" w:hAnsi="仿宋" w:eastAsia="仿宋" w:cs="仿宋"/>
          <w:kern w:val="0"/>
          <w:sz w:val="24"/>
          <w:lang w:val="zh-CN"/>
        </w:rPr>
        <w:t>天商定，合同生效之日起至202</w:t>
      </w:r>
      <w:r>
        <w:rPr>
          <w:rFonts w:hint="eastAsia" w:ascii="仿宋" w:hAnsi="仿宋" w:eastAsia="仿宋" w:cs="仿宋"/>
          <w:kern w:val="0"/>
          <w:sz w:val="24"/>
          <w:lang w:val="en-US" w:eastAsia="zh-CN"/>
        </w:rPr>
        <w:t>5</w:t>
      </w:r>
      <w:r>
        <w:rPr>
          <w:rFonts w:hint="eastAsia" w:ascii="仿宋" w:hAnsi="仿宋" w:eastAsia="仿宋" w:cs="仿宋"/>
          <w:kern w:val="0"/>
          <w:sz w:val="24"/>
          <w:lang w:val="zh-CN"/>
        </w:rPr>
        <w:t>年12月31日前完成疗休养，具体以交易发起人要求为准；</w:t>
      </w:r>
    </w:p>
    <w:p w14:paraId="401F2994">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e、疗休养天数：往返五天四晚。</w:t>
      </w:r>
    </w:p>
    <w:p w14:paraId="5B1FAE45">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color w:val="FF0000"/>
          <w:sz w:val="24"/>
        </w:rPr>
      </w:pPr>
    </w:p>
    <w:p w14:paraId="6D26C21E">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color w:val="auto"/>
          <w:sz w:val="24"/>
        </w:rPr>
      </w:pPr>
      <w:r>
        <w:rPr>
          <w:rFonts w:hint="eastAsia" w:ascii="仿宋" w:hAnsi="仿宋" w:eastAsia="仿宋" w:cs="仿宋"/>
          <w:bCs/>
          <w:color w:val="auto"/>
          <w:sz w:val="24"/>
        </w:rPr>
        <w:t>路线二：</w:t>
      </w:r>
      <w:r>
        <w:rPr>
          <w:rFonts w:hint="eastAsia" w:ascii="仿宋" w:hAnsi="仿宋" w:eastAsia="仿宋" w:cs="仿宋"/>
          <w:color w:val="auto"/>
          <w:sz w:val="24"/>
          <w:lang w:val="en-US" w:eastAsia="zh-CN"/>
        </w:rPr>
        <w:t>衢州</w:t>
      </w:r>
      <w:r>
        <w:rPr>
          <w:rFonts w:hint="eastAsia" w:ascii="仿宋" w:hAnsi="仿宋" w:eastAsia="仿宋" w:cs="仿宋"/>
          <w:color w:val="auto"/>
          <w:sz w:val="24"/>
        </w:rPr>
        <w:t>线</w:t>
      </w:r>
    </w:p>
    <w:p w14:paraId="5387BC21">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a、主题：提供</w:t>
      </w:r>
      <w:r>
        <w:rPr>
          <w:rFonts w:hint="eastAsia" w:ascii="仿宋" w:hAnsi="仿宋" w:eastAsia="仿宋" w:cs="仿宋"/>
          <w:color w:val="auto"/>
          <w:sz w:val="24"/>
        </w:rPr>
        <w:t>浙江</w:t>
      </w:r>
      <w:r>
        <w:rPr>
          <w:rFonts w:hint="eastAsia" w:ascii="仿宋" w:hAnsi="仿宋" w:eastAsia="仿宋" w:cs="仿宋"/>
          <w:color w:val="auto"/>
          <w:sz w:val="24"/>
          <w:lang w:val="en-US" w:eastAsia="zh-CN"/>
        </w:rPr>
        <w:t>衢州</w:t>
      </w:r>
      <w:r>
        <w:rPr>
          <w:rFonts w:hint="eastAsia" w:ascii="仿宋" w:hAnsi="仿宋" w:eastAsia="仿宋" w:cs="仿宋"/>
          <w:bCs/>
          <w:color w:val="auto"/>
          <w:sz w:val="24"/>
        </w:rPr>
        <w:t>线</w:t>
      </w:r>
      <w:r>
        <w:rPr>
          <w:rFonts w:hint="eastAsia" w:ascii="仿宋" w:hAnsi="仿宋" w:eastAsia="仿宋" w:cs="仿宋"/>
          <w:color w:val="auto"/>
          <w:kern w:val="0"/>
          <w:sz w:val="24"/>
          <w:lang w:val="zh-CN"/>
        </w:rPr>
        <w:t xml:space="preserve">路方案一个或多个。今后由交易发起人在中标人提供的线路方案中进行选择，具体详细的地址及疗休养路线节点由响应人自行编制（响应人在编制疗休养路线时必须符合本项目疗休养的主题，安排住宿及相应路线时必须合理）； </w:t>
      </w:r>
    </w:p>
    <w:p w14:paraId="30F73E68">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b、组织批次：具体批次根据交易发起人安排时间进行确定；</w:t>
      </w:r>
    </w:p>
    <w:p w14:paraId="6DD9A7DD">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c、出行方式（包含旅游过程中短接）：来回豪华大巴，景点间及其他交通费由中标人负责；</w:t>
      </w:r>
    </w:p>
    <w:p w14:paraId="75B1E07E">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d、疗休养时间：每次在疗休养出发前</w:t>
      </w:r>
      <w:r>
        <w:rPr>
          <w:rFonts w:hint="eastAsia" w:ascii="仿宋" w:hAnsi="仿宋" w:eastAsia="仿宋" w:cs="仿宋"/>
          <w:color w:val="auto"/>
          <w:kern w:val="0"/>
          <w:sz w:val="24"/>
        </w:rPr>
        <w:t>5</w:t>
      </w:r>
      <w:r>
        <w:rPr>
          <w:rFonts w:hint="eastAsia" w:ascii="仿宋" w:hAnsi="仿宋" w:eastAsia="仿宋" w:cs="仿宋"/>
          <w:color w:val="auto"/>
          <w:kern w:val="0"/>
          <w:sz w:val="24"/>
          <w:lang w:val="zh-CN"/>
        </w:rPr>
        <w:t>天商定，合同生效之日起至202</w:t>
      </w:r>
      <w:r>
        <w:rPr>
          <w:rFonts w:hint="eastAsia" w:ascii="仿宋" w:hAnsi="仿宋" w:eastAsia="仿宋" w:cs="仿宋"/>
          <w:color w:val="auto"/>
          <w:kern w:val="0"/>
          <w:sz w:val="24"/>
          <w:lang w:val="en-US" w:eastAsia="zh-CN"/>
        </w:rPr>
        <w:t>5</w:t>
      </w:r>
      <w:r>
        <w:rPr>
          <w:rFonts w:hint="eastAsia" w:ascii="仿宋" w:hAnsi="仿宋" w:eastAsia="仿宋" w:cs="仿宋"/>
          <w:color w:val="auto"/>
          <w:kern w:val="0"/>
          <w:sz w:val="24"/>
          <w:lang w:val="zh-CN"/>
        </w:rPr>
        <w:t>年12月31日前完成疗休养，具体以交易发起人要求为准；</w:t>
      </w:r>
    </w:p>
    <w:p w14:paraId="50C0B579">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e、疗休养天数：往返</w:t>
      </w:r>
      <w:r>
        <w:rPr>
          <w:rFonts w:hint="eastAsia" w:ascii="仿宋" w:hAnsi="仿宋" w:eastAsia="仿宋" w:cs="仿宋"/>
          <w:color w:val="auto"/>
          <w:kern w:val="0"/>
          <w:sz w:val="24"/>
          <w:lang w:val="en-US" w:eastAsia="zh-CN"/>
        </w:rPr>
        <w:t>四</w:t>
      </w:r>
      <w:r>
        <w:rPr>
          <w:rFonts w:hint="eastAsia" w:ascii="仿宋" w:hAnsi="仿宋" w:eastAsia="仿宋" w:cs="仿宋"/>
          <w:color w:val="auto"/>
          <w:kern w:val="0"/>
          <w:sz w:val="24"/>
          <w:lang w:val="zh-CN"/>
        </w:rPr>
        <w:t>天</w:t>
      </w:r>
      <w:r>
        <w:rPr>
          <w:rFonts w:hint="eastAsia" w:ascii="仿宋" w:hAnsi="仿宋" w:eastAsia="仿宋" w:cs="仿宋"/>
          <w:color w:val="auto"/>
          <w:kern w:val="0"/>
          <w:sz w:val="24"/>
          <w:lang w:val="en-US" w:eastAsia="zh-CN"/>
        </w:rPr>
        <w:t>三</w:t>
      </w:r>
      <w:r>
        <w:rPr>
          <w:rFonts w:hint="eastAsia" w:ascii="仿宋" w:hAnsi="仿宋" w:eastAsia="仿宋" w:cs="仿宋"/>
          <w:color w:val="auto"/>
          <w:kern w:val="0"/>
          <w:sz w:val="24"/>
          <w:lang w:val="zh-CN"/>
        </w:rPr>
        <w:t>晚。</w:t>
      </w:r>
    </w:p>
    <w:p w14:paraId="2A9DCD9B">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color w:val="FF0000"/>
          <w:sz w:val="24"/>
        </w:rPr>
      </w:pPr>
    </w:p>
    <w:p w14:paraId="4FBDF2C1">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bCs/>
          <w:sz w:val="24"/>
        </w:rPr>
      </w:pPr>
      <w:r>
        <w:rPr>
          <w:rFonts w:hint="eastAsia" w:ascii="仿宋" w:hAnsi="仿宋" w:eastAsia="仿宋" w:cs="仿宋"/>
          <w:bCs/>
          <w:sz w:val="24"/>
        </w:rPr>
        <w:t>路线三：</w:t>
      </w:r>
      <w:r>
        <w:rPr>
          <w:rFonts w:hint="eastAsia" w:ascii="仿宋" w:hAnsi="仿宋" w:eastAsia="仿宋" w:cs="仿宋"/>
          <w:sz w:val="24"/>
        </w:rPr>
        <w:t>萧山区内</w:t>
      </w:r>
      <w:r>
        <w:rPr>
          <w:rFonts w:hint="eastAsia" w:ascii="仿宋" w:hAnsi="仿宋" w:eastAsia="仿宋" w:cs="仿宋"/>
          <w:bCs/>
          <w:sz w:val="24"/>
        </w:rPr>
        <w:t>线</w:t>
      </w:r>
    </w:p>
    <w:p w14:paraId="19A158C6">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a、主题：提供</w:t>
      </w:r>
      <w:r>
        <w:rPr>
          <w:rFonts w:hint="eastAsia" w:ascii="仿宋" w:hAnsi="仿宋" w:eastAsia="仿宋" w:cs="仿宋"/>
          <w:sz w:val="24"/>
        </w:rPr>
        <w:t>萧山区内</w:t>
      </w:r>
      <w:r>
        <w:rPr>
          <w:rFonts w:hint="eastAsia" w:ascii="仿宋" w:hAnsi="仿宋" w:eastAsia="仿宋" w:cs="仿宋"/>
          <w:bCs/>
          <w:sz w:val="24"/>
        </w:rPr>
        <w:t>线</w:t>
      </w:r>
      <w:r>
        <w:rPr>
          <w:rFonts w:hint="eastAsia" w:ascii="仿宋" w:hAnsi="仿宋" w:eastAsia="仿宋" w:cs="仿宋"/>
          <w:kern w:val="0"/>
          <w:sz w:val="24"/>
          <w:lang w:val="zh-CN"/>
        </w:rPr>
        <w:t xml:space="preserve">路方案一个或多个。今后由交易发起人在中标人提供的线路方案中进行选择，具体详细的地址及疗休养路线节点由响应人自行编制（响应人在编制疗休养路线时必须符合本项目疗休养的主题，安排住宿及相应路线时必须合理）； </w:t>
      </w:r>
    </w:p>
    <w:p w14:paraId="79D42ACC">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b、组织批次：具体批次根据交易发起人安排时间进行确定；</w:t>
      </w:r>
    </w:p>
    <w:p w14:paraId="3C16E403">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c、出行方式（包含旅游过程中短接）：来回豪华大巴，景点间及其他交通费由中标人负责；</w:t>
      </w:r>
    </w:p>
    <w:p w14:paraId="6FAD69BB">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d、疗休养时间：每次在疗休养出发前</w:t>
      </w:r>
      <w:r>
        <w:rPr>
          <w:rFonts w:hint="eastAsia" w:ascii="仿宋" w:hAnsi="仿宋" w:eastAsia="仿宋" w:cs="仿宋"/>
          <w:kern w:val="0"/>
          <w:sz w:val="24"/>
        </w:rPr>
        <w:t>5</w:t>
      </w:r>
      <w:r>
        <w:rPr>
          <w:rFonts w:hint="eastAsia" w:ascii="仿宋" w:hAnsi="仿宋" w:eastAsia="仿宋" w:cs="仿宋"/>
          <w:kern w:val="0"/>
          <w:sz w:val="24"/>
          <w:lang w:val="zh-CN"/>
        </w:rPr>
        <w:t>天商定，合同生效之日起至202</w:t>
      </w:r>
      <w:r>
        <w:rPr>
          <w:rFonts w:hint="eastAsia" w:ascii="仿宋" w:hAnsi="仿宋" w:eastAsia="仿宋" w:cs="仿宋"/>
          <w:kern w:val="0"/>
          <w:sz w:val="24"/>
          <w:lang w:val="en-US" w:eastAsia="zh-CN"/>
        </w:rPr>
        <w:t>5</w:t>
      </w:r>
      <w:r>
        <w:rPr>
          <w:rFonts w:hint="eastAsia" w:ascii="仿宋" w:hAnsi="仿宋" w:eastAsia="仿宋" w:cs="仿宋"/>
          <w:kern w:val="0"/>
          <w:sz w:val="24"/>
          <w:lang w:val="zh-CN"/>
        </w:rPr>
        <w:t>年12月31日前完成疗休养，具体以交易发起人要求为准；</w:t>
      </w:r>
    </w:p>
    <w:p w14:paraId="2FB3E24B">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e、疗休养天数：</w:t>
      </w:r>
      <w:r>
        <w:rPr>
          <w:rFonts w:hint="eastAsia" w:ascii="仿宋" w:hAnsi="仿宋" w:eastAsia="仿宋" w:cs="仿宋"/>
          <w:color w:val="auto"/>
          <w:kern w:val="0"/>
          <w:sz w:val="24"/>
          <w:lang w:val="zh-CN"/>
        </w:rPr>
        <w:t>往返</w:t>
      </w:r>
      <w:r>
        <w:rPr>
          <w:rFonts w:hint="eastAsia" w:ascii="仿宋" w:hAnsi="仿宋" w:eastAsia="仿宋" w:cs="仿宋"/>
          <w:color w:val="auto"/>
          <w:kern w:val="0"/>
          <w:sz w:val="24"/>
          <w:lang w:val="en-US" w:eastAsia="zh-CN"/>
        </w:rPr>
        <w:t>三</w:t>
      </w:r>
      <w:r>
        <w:rPr>
          <w:rFonts w:hint="eastAsia" w:ascii="仿宋" w:hAnsi="仿宋" w:eastAsia="仿宋" w:cs="仿宋"/>
          <w:color w:val="auto"/>
          <w:kern w:val="0"/>
          <w:sz w:val="24"/>
          <w:lang w:val="zh-CN"/>
        </w:rPr>
        <w:t>天</w:t>
      </w:r>
      <w:r>
        <w:rPr>
          <w:rFonts w:hint="eastAsia" w:ascii="仿宋" w:hAnsi="仿宋" w:eastAsia="仿宋" w:cs="仿宋"/>
          <w:color w:val="auto"/>
          <w:kern w:val="0"/>
          <w:sz w:val="24"/>
          <w:lang w:val="en-US" w:eastAsia="zh-CN"/>
        </w:rPr>
        <w:t>两</w:t>
      </w:r>
      <w:r>
        <w:rPr>
          <w:rFonts w:hint="eastAsia" w:ascii="仿宋" w:hAnsi="仿宋" w:eastAsia="仿宋" w:cs="仿宋"/>
          <w:color w:val="auto"/>
          <w:kern w:val="0"/>
          <w:sz w:val="24"/>
          <w:lang w:val="zh-CN"/>
        </w:rPr>
        <w:t>晚</w:t>
      </w:r>
      <w:r>
        <w:rPr>
          <w:rFonts w:hint="eastAsia" w:ascii="仿宋" w:hAnsi="仿宋" w:eastAsia="仿宋" w:cs="仿宋"/>
          <w:kern w:val="0"/>
          <w:sz w:val="24"/>
          <w:lang w:val="zh-CN"/>
        </w:rPr>
        <w:t>。</w:t>
      </w:r>
    </w:p>
    <w:p w14:paraId="228C69D1">
      <w:pPr>
        <w:pStyle w:val="86"/>
        <w:keepNext w:val="0"/>
        <w:keepLines w:val="0"/>
        <w:pageBreakBefore w:val="0"/>
        <w:widowControl/>
        <w:kinsoku/>
        <w:wordWrap/>
        <w:overflowPunct/>
        <w:topLinePunct w:val="0"/>
        <w:autoSpaceDE/>
        <w:autoSpaceDN/>
        <w:bidi w:val="0"/>
        <w:adjustRightInd/>
        <w:spacing w:after="0" w:line="360" w:lineRule="auto"/>
        <w:ind w:firstLine="480"/>
        <w:textAlignment w:val="auto"/>
        <w:rPr>
          <w:rFonts w:hint="eastAsia" w:ascii="仿宋" w:hAnsi="仿宋" w:eastAsia="仿宋" w:cs="仿宋"/>
          <w:bCs/>
          <w:szCs w:val="24"/>
        </w:rPr>
      </w:pPr>
      <w:r>
        <w:rPr>
          <w:rFonts w:hint="eastAsia" w:ascii="仿宋" w:hAnsi="仿宋" w:eastAsia="仿宋" w:cs="仿宋"/>
          <w:bCs/>
          <w:szCs w:val="24"/>
        </w:rPr>
        <w:t>注：</w:t>
      </w:r>
    </w:p>
    <w:p w14:paraId="6DFE06CC">
      <w:pPr>
        <w:pStyle w:val="86"/>
        <w:keepNext w:val="0"/>
        <w:keepLines w:val="0"/>
        <w:pageBreakBefore w:val="0"/>
        <w:widowControl/>
        <w:kinsoku/>
        <w:wordWrap/>
        <w:overflowPunct/>
        <w:topLinePunct w:val="0"/>
        <w:autoSpaceDE/>
        <w:autoSpaceDN/>
        <w:bidi w:val="0"/>
        <w:adjustRightInd/>
        <w:spacing w:after="0" w:line="360" w:lineRule="auto"/>
        <w:ind w:firstLine="480"/>
        <w:textAlignment w:val="auto"/>
        <w:rPr>
          <w:rFonts w:hint="eastAsia" w:ascii="仿宋" w:hAnsi="仿宋" w:eastAsia="仿宋" w:cs="仿宋"/>
          <w:bCs/>
          <w:szCs w:val="24"/>
        </w:rPr>
      </w:pPr>
      <w:r>
        <w:rPr>
          <w:rFonts w:hint="eastAsia" w:ascii="仿宋" w:hAnsi="仿宋" w:eastAsia="仿宋" w:cs="仿宋"/>
          <w:bCs/>
          <w:szCs w:val="24"/>
        </w:rPr>
        <w:fldChar w:fldCharType="begin"/>
      </w:r>
      <w:r>
        <w:rPr>
          <w:rFonts w:hint="eastAsia" w:ascii="仿宋" w:hAnsi="仿宋" w:eastAsia="仿宋" w:cs="仿宋"/>
          <w:bCs/>
          <w:szCs w:val="24"/>
        </w:rPr>
        <w:instrText xml:space="preserve"> = 1 \* GB3 \* MERGEFORMAT </w:instrText>
      </w:r>
      <w:r>
        <w:rPr>
          <w:rFonts w:hint="eastAsia" w:ascii="仿宋" w:hAnsi="仿宋" w:eastAsia="仿宋" w:cs="仿宋"/>
          <w:bCs/>
          <w:szCs w:val="24"/>
        </w:rPr>
        <w:fldChar w:fldCharType="separate"/>
      </w:r>
      <w:r>
        <w:rPr>
          <w:rFonts w:hint="eastAsia" w:ascii="仿宋" w:hAnsi="仿宋" w:eastAsia="仿宋" w:cs="仿宋"/>
          <w:bCs/>
          <w:szCs w:val="24"/>
        </w:rPr>
        <w:t>①</w:t>
      </w:r>
      <w:r>
        <w:rPr>
          <w:rFonts w:hint="eastAsia" w:ascii="仿宋" w:hAnsi="仿宋" w:eastAsia="仿宋" w:cs="仿宋"/>
          <w:bCs/>
          <w:szCs w:val="24"/>
        </w:rPr>
        <w:fldChar w:fldCharType="end"/>
      </w:r>
      <w:r>
        <w:rPr>
          <w:rFonts w:hint="eastAsia" w:ascii="仿宋" w:hAnsi="仿宋" w:eastAsia="仿宋" w:cs="仿宋"/>
          <w:bCs/>
          <w:szCs w:val="24"/>
        </w:rPr>
        <w:t>、响应人需在</w:t>
      </w:r>
      <w:r>
        <w:rPr>
          <w:rFonts w:hint="eastAsia" w:ascii="仿宋" w:hAnsi="仿宋" w:eastAsia="仿宋" w:cs="仿宋"/>
          <w:bCs/>
          <w:szCs w:val="24"/>
          <w:lang w:eastAsia="zh-CN"/>
        </w:rPr>
        <w:t>响应文件</w:t>
      </w:r>
      <w:r>
        <w:rPr>
          <w:rFonts w:hint="eastAsia" w:ascii="仿宋" w:hAnsi="仿宋" w:eastAsia="仿宋" w:cs="仿宋"/>
          <w:bCs/>
          <w:szCs w:val="24"/>
        </w:rPr>
        <w:t>中提供具体服务方案，供评标委员会评审。项目具体实施过程中如需线路增加、调整等，费用按响应报价执行，不再另外增加费用。</w:t>
      </w:r>
    </w:p>
    <w:p w14:paraId="3FE06254">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iCs/>
          <w:sz w:val="28"/>
        </w:rPr>
      </w:pPr>
      <w:r>
        <w:rPr>
          <w:rFonts w:hint="eastAsia" w:ascii="仿宋" w:hAnsi="仿宋" w:eastAsia="仿宋" w:cs="仿宋"/>
          <w:bCs/>
          <w:sz w:val="24"/>
        </w:rPr>
        <w:fldChar w:fldCharType="begin"/>
      </w:r>
      <w:r>
        <w:rPr>
          <w:rFonts w:hint="eastAsia" w:ascii="仿宋" w:hAnsi="仿宋" w:eastAsia="仿宋" w:cs="仿宋"/>
          <w:bCs/>
          <w:sz w:val="24"/>
        </w:rPr>
        <w:instrText xml:space="preserve"> = 2 \* GB3 \* MERGEFORMAT </w:instrText>
      </w:r>
      <w:r>
        <w:rPr>
          <w:rFonts w:hint="eastAsia" w:ascii="仿宋" w:hAnsi="仿宋" w:eastAsia="仿宋" w:cs="仿宋"/>
          <w:bCs/>
          <w:sz w:val="24"/>
        </w:rPr>
        <w:fldChar w:fldCharType="separate"/>
      </w:r>
      <w:r>
        <w:rPr>
          <w:rFonts w:hint="eastAsia" w:ascii="仿宋" w:hAnsi="仿宋" w:eastAsia="仿宋" w:cs="仿宋"/>
          <w:bCs/>
          <w:sz w:val="24"/>
        </w:rPr>
        <w:t>②</w:t>
      </w:r>
      <w:r>
        <w:rPr>
          <w:rFonts w:hint="eastAsia" w:ascii="仿宋" w:hAnsi="仿宋" w:eastAsia="仿宋" w:cs="仿宋"/>
          <w:bCs/>
          <w:sz w:val="24"/>
        </w:rPr>
        <w:fldChar w:fldCharType="end"/>
      </w:r>
      <w:r>
        <w:rPr>
          <w:rFonts w:hint="eastAsia" w:ascii="仿宋" w:hAnsi="仿宋" w:eastAsia="仿宋" w:cs="仿宋"/>
          <w:bCs/>
          <w:sz w:val="24"/>
        </w:rPr>
        <w:t>、</w:t>
      </w:r>
      <w:r>
        <w:rPr>
          <w:rFonts w:hint="eastAsia" w:ascii="仿宋" w:hAnsi="仿宋" w:eastAsia="仿宋" w:cs="仿宋"/>
          <w:bCs/>
          <w:kern w:val="0"/>
          <w:sz w:val="24"/>
        </w:rPr>
        <w:t>具体线路、景点由响应人自行设计方案进行细化（需详细说明线路、景点、自费项目及自费费用），由评标委员会横向对比。</w:t>
      </w:r>
    </w:p>
    <w:p w14:paraId="531D39B2">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bCs/>
          <w:sz w:val="24"/>
        </w:rPr>
      </w:pPr>
      <w:r>
        <w:rPr>
          <w:rFonts w:hint="eastAsia" w:ascii="仿宋" w:hAnsi="仿宋" w:eastAsia="仿宋" w:cs="仿宋"/>
          <w:bCs/>
          <w:sz w:val="24"/>
        </w:rPr>
        <w:fldChar w:fldCharType="begin"/>
      </w:r>
      <w:r>
        <w:rPr>
          <w:rFonts w:hint="eastAsia" w:ascii="仿宋" w:hAnsi="仿宋" w:eastAsia="仿宋" w:cs="仿宋"/>
          <w:bCs/>
          <w:sz w:val="24"/>
        </w:rPr>
        <w:instrText xml:space="preserve"> = 3 \* GB3 \* MERGEFORMAT </w:instrText>
      </w:r>
      <w:r>
        <w:rPr>
          <w:rFonts w:hint="eastAsia" w:ascii="仿宋" w:hAnsi="仿宋" w:eastAsia="仿宋" w:cs="仿宋"/>
          <w:bCs/>
          <w:sz w:val="24"/>
        </w:rPr>
        <w:fldChar w:fldCharType="separate"/>
      </w:r>
      <w:r>
        <w:rPr>
          <w:rFonts w:hint="eastAsia" w:ascii="仿宋" w:hAnsi="仿宋" w:eastAsia="仿宋" w:cs="仿宋"/>
          <w:bCs/>
          <w:sz w:val="24"/>
        </w:rPr>
        <w:t>③</w:t>
      </w:r>
      <w:r>
        <w:rPr>
          <w:rFonts w:hint="eastAsia" w:ascii="仿宋" w:hAnsi="仿宋" w:eastAsia="仿宋" w:cs="仿宋"/>
          <w:bCs/>
          <w:sz w:val="24"/>
        </w:rPr>
        <w:fldChar w:fldCharType="end"/>
      </w:r>
      <w:r>
        <w:rPr>
          <w:rFonts w:hint="eastAsia" w:ascii="仿宋" w:hAnsi="仿宋" w:eastAsia="仿宋" w:cs="仿宋"/>
          <w:bCs/>
          <w:sz w:val="24"/>
        </w:rPr>
        <w:t>活动过程中除了个人购物或景点个人娱乐（包含景点中明确需要个人承担的费用）以外的所有费用（包含项目需求中列明的内容）包含在响应报价中。</w:t>
      </w:r>
    </w:p>
    <w:p w14:paraId="473C3488">
      <w:pPr>
        <w:keepNext w:val="0"/>
        <w:keepLines w:val="0"/>
        <w:pageBreakBefore w:val="0"/>
        <w:widowControl/>
        <w:kinsoku/>
        <w:wordWrap/>
        <w:overflowPunct/>
        <w:topLinePunct w:val="0"/>
        <w:autoSpaceDE/>
        <w:autoSpaceDN/>
        <w:bidi w:val="0"/>
        <w:adjustRightInd/>
        <w:snapToGrid w:val="0"/>
        <w:spacing w:after="0" w:line="360" w:lineRule="auto"/>
        <w:ind w:firstLine="482" w:firstLineChars="200"/>
        <w:textAlignment w:val="auto"/>
        <w:rPr>
          <w:rFonts w:hint="eastAsia" w:ascii="仿宋" w:hAnsi="仿宋" w:eastAsia="仿宋" w:cs="仿宋"/>
          <w:b/>
          <w:bCs/>
          <w:sz w:val="24"/>
        </w:rPr>
      </w:pPr>
    </w:p>
    <w:p w14:paraId="5CE7A5D6">
      <w:pPr>
        <w:keepNext w:val="0"/>
        <w:keepLines w:val="0"/>
        <w:pageBreakBefore w:val="0"/>
        <w:widowControl/>
        <w:kinsoku/>
        <w:wordWrap/>
        <w:overflowPunct/>
        <w:topLinePunct w:val="0"/>
        <w:autoSpaceDE/>
        <w:autoSpaceDN/>
        <w:bidi w:val="0"/>
        <w:adjustRightInd/>
        <w:snapToGrid w:val="0"/>
        <w:spacing w:after="0" w:line="360" w:lineRule="auto"/>
        <w:ind w:firstLine="482" w:firstLineChars="200"/>
        <w:textAlignment w:val="auto"/>
        <w:rPr>
          <w:rFonts w:hint="eastAsia" w:ascii="仿宋" w:hAnsi="仿宋" w:eastAsia="仿宋" w:cs="仿宋"/>
          <w:b/>
          <w:sz w:val="24"/>
        </w:rPr>
      </w:pPr>
      <w:r>
        <w:rPr>
          <w:rFonts w:hint="eastAsia" w:ascii="仿宋" w:hAnsi="仿宋" w:eastAsia="仿宋" w:cs="仿宋"/>
          <w:b/>
          <w:bCs/>
          <w:sz w:val="24"/>
        </w:rPr>
        <w:t>1.3、服务标准</w:t>
      </w:r>
      <w:r>
        <w:rPr>
          <w:rFonts w:hint="eastAsia" w:ascii="仿宋" w:hAnsi="仿宋" w:eastAsia="仿宋" w:cs="仿宋"/>
          <w:b/>
          <w:sz w:val="24"/>
        </w:rPr>
        <w:t>：</w:t>
      </w:r>
    </w:p>
    <w:p w14:paraId="6C5CDE29">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bCs/>
          <w:sz w:val="24"/>
        </w:rPr>
      </w:pPr>
      <w:r>
        <w:rPr>
          <w:rFonts w:hint="eastAsia" w:ascii="仿宋" w:hAnsi="仿宋" w:eastAsia="仿宋" w:cs="仿宋"/>
          <w:bCs/>
          <w:sz w:val="24"/>
          <w:lang w:val="zh-CN"/>
        </w:rPr>
        <w:t>a、</w:t>
      </w:r>
      <w:r>
        <w:rPr>
          <w:rFonts w:hint="eastAsia" w:ascii="仿宋" w:hAnsi="仿宋" w:eastAsia="仿宋" w:cs="仿宋"/>
          <w:bCs/>
          <w:sz w:val="24"/>
        </w:rPr>
        <w:t>门 票：</w:t>
      </w:r>
      <w:r>
        <w:rPr>
          <w:rFonts w:hint="eastAsia" w:ascii="仿宋" w:hAnsi="仿宋" w:eastAsia="仿宋" w:cs="仿宋"/>
          <w:sz w:val="24"/>
        </w:rPr>
        <w:t>必须包含各景区大门票及景区内的电瓶车、索道、缆车、游船票等费用</w:t>
      </w:r>
      <w:r>
        <w:rPr>
          <w:rFonts w:hint="eastAsia" w:ascii="仿宋" w:hAnsi="仿宋" w:eastAsia="仿宋" w:cs="仿宋"/>
          <w:bCs/>
          <w:sz w:val="24"/>
        </w:rPr>
        <w:t>；</w:t>
      </w:r>
    </w:p>
    <w:p w14:paraId="541E9823">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bCs/>
          <w:sz w:val="24"/>
        </w:rPr>
      </w:pPr>
      <w:r>
        <w:rPr>
          <w:rFonts w:hint="eastAsia" w:ascii="仿宋" w:hAnsi="仿宋" w:eastAsia="仿宋" w:cs="仿宋"/>
          <w:kern w:val="0"/>
          <w:sz w:val="24"/>
          <w:lang w:val="zh-CN"/>
        </w:rPr>
        <w:t>b、</w:t>
      </w:r>
      <w:r>
        <w:rPr>
          <w:rFonts w:hint="eastAsia" w:ascii="仿宋" w:hAnsi="仿宋" w:eastAsia="仿宋" w:cs="仿宋"/>
          <w:sz w:val="24"/>
        </w:rPr>
        <w:t>住宿：住宿综合环境好，</w:t>
      </w:r>
      <w:r>
        <w:rPr>
          <w:rFonts w:hint="eastAsia" w:ascii="仿宋" w:hAnsi="仿宋" w:eastAsia="仿宋" w:cs="仿宋"/>
          <w:bCs/>
          <w:sz w:val="24"/>
        </w:rPr>
        <w:t>四川康定线路要求挂牌三星级及以上或网评四钻及以上酒店（需有免费自助早餐），如产生单房差则不予补差；其他地区</w:t>
      </w:r>
      <w:r>
        <w:rPr>
          <w:rFonts w:hint="eastAsia" w:ascii="仿宋" w:hAnsi="仿宋" w:eastAsia="仿宋" w:cs="仿宋"/>
          <w:sz w:val="24"/>
        </w:rPr>
        <w:t>要求挂牌四星级及以上酒店（需有免费自助早餐）</w:t>
      </w:r>
      <w:r>
        <w:rPr>
          <w:rFonts w:hint="eastAsia" w:ascii="仿宋" w:hAnsi="仿宋" w:eastAsia="仿宋" w:cs="仿宋"/>
          <w:bCs/>
          <w:sz w:val="24"/>
        </w:rPr>
        <w:t>，如产生单房差则不予补差。</w:t>
      </w:r>
      <w:r>
        <w:rPr>
          <w:rFonts w:hint="eastAsia" w:ascii="仿宋" w:hAnsi="仿宋" w:eastAsia="仿宋" w:cs="仿宋"/>
          <w:sz w:val="24"/>
        </w:rPr>
        <w:t>住宿酒店要求交通便利、环境较好、干净卫生、服务优质，有较强的接待能力，同时配套设施齐全、使用安全方便。若住宿不符合交易发起人要求，交易发起人有权更换，中标人应当给予调换，直至交易发起人满意为止。</w:t>
      </w:r>
    </w:p>
    <w:p w14:paraId="0FF7AD03">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c、</w:t>
      </w:r>
      <w:r>
        <w:rPr>
          <w:rFonts w:hint="eastAsia" w:ascii="仿宋" w:hAnsi="仿宋" w:eastAsia="仿宋" w:cs="仿宋"/>
          <w:sz w:val="24"/>
        </w:rPr>
        <w:t>用 餐：标准团队餐，中餐不低于60元/人</w:t>
      </w:r>
      <w:r>
        <w:rPr>
          <w:rFonts w:hint="eastAsia" w:ascii="仿宋" w:hAnsi="仿宋" w:eastAsia="仿宋" w:cs="仿宋"/>
          <w:sz w:val="24"/>
          <w:szCs w:val="24"/>
        </w:rPr>
        <w:t>/餐</w:t>
      </w:r>
      <w:r>
        <w:rPr>
          <w:rFonts w:hint="eastAsia" w:ascii="仿宋" w:hAnsi="仿宋" w:eastAsia="仿宋" w:cs="仿宋"/>
          <w:sz w:val="24"/>
        </w:rPr>
        <w:t>，晚餐不低于80元/人</w:t>
      </w:r>
      <w:r>
        <w:rPr>
          <w:rFonts w:hint="eastAsia" w:ascii="仿宋" w:hAnsi="仿宋" w:eastAsia="仿宋" w:cs="仿宋"/>
          <w:sz w:val="24"/>
          <w:szCs w:val="24"/>
        </w:rPr>
        <w:t>/餐</w:t>
      </w:r>
      <w:r>
        <w:rPr>
          <w:rFonts w:hint="eastAsia" w:ascii="仿宋" w:hAnsi="仿宋" w:eastAsia="仿宋" w:cs="仿宋"/>
          <w:sz w:val="24"/>
          <w:lang w:val="zh-CN"/>
        </w:rPr>
        <w:t>，在正规饭店或农家乐就餐，以10人一桌为标准。</w:t>
      </w:r>
      <w:r>
        <w:rPr>
          <w:rFonts w:hint="eastAsia" w:ascii="仿宋" w:hAnsi="仿宋" w:eastAsia="仿宋" w:cs="仿宋"/>
          <w:sz w:val="24"/>
        </w:rPr>
        <w:t>餐厅必须有接待资质、环境好的饭店就餐，允许团队等额退餐，自己点菜。中晚餐每桌提供一瓶可乐、雪碧、果粒橙各一瓶（均为5升）。如交易发起人对菜品质量不满意的，有权更换菜品，中标人应当给予调换，直至交易发起人满意为止。</w:t>
      </w:r>
    </w:p>
    <w:p w14:paraId="6F1E3F84">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d</w:t>
      </w:r>
      <w:r>
        <w:rPr>
          <w:rFonts w:hint="eastAsia" w:ascii="仿宋" w:hAnsi="仿宋" w:eastAsia="仿宋" w:cs="仿宋"/>
          <w:sz w:val="24"/>
        </w:rPr>
        <w:t>、用车要求：汽车统一为</w:t>
      </w:r>
      <w:r>
        <w:rPr>
          <w:rFonts w:hint="eastAsia" w:ascii="仿宋" w:hAnsi="仿宋" w:eastAsia="仿宋" w:cs="仿宋"/>
          <w:kern w:val="0"/>
          <w:sz w:val="24"/>
          <w:lang w:val="zh-CN"/>
        </w:rPr>
        <w:t>豪华大巴空调旅游车</w:t>
      </w:r>
      <w:r>
        <w:rPr>
          <w:rFonts w:hint="eastAsia" w:ascii="仿宋" w:hAnsi="仿宋" w:eastAsia="仿宋" w:cs="仿宋"/>
          <w:sz w:val="24"/>
        </w:rPr>
        <w:t>（3年内购置），必须保证每人一正座（座位按人数1：1.2比例配备）要求车况好，冷暖空调效果好，车内整洁、明亮，司机必须安全行车5年或以上且无重大安全事故和严重交通违规记录，车上需配备晕车药和一次性塑料袋。</w:t>
      </w:r>
    </w:p>
    <w:p w14:paraId="17CB6B1D">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e、导游：全程优秀导游讲解服务（含地接导游服务，要求熟悉当地情况。地陪导游须持有导游证3年以上，出团前1周提交疗休养方审核）。</w:t>
      </w:r>
    </w:p>
    <w:p w14:paraId="051089E6">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f、保险：购买疗休养过程中的各类保险（包括：旅行社责任险，旅游意外伤害保险等），做到应保则保，</w:t>
      </w:r>
      <w:r>
        <w:rPr>
          <w:rFonts w:hint="eastAsia" w:ascii="仿宋" w:hAnsi="仿宋" w:eastAsia="仿宋" w:cs="仿宋"/>
          <w:sz w:val="24"/>
          <w:lang w:eastAsia="zh-CN"/>
        </w:rPr>
        <w:t>响应文件</w:t>
      </w:r>
      <w:r>
        <w:rPr>
          <w:rFonts w:hint="eastAsia" w:ascii="仿宋" w:hAnsi="仿宋" w:eastAsia="仿宋" w:cs="仿宋"/>
          <w:sz w:val="24"/>
        </w:rPr>
        <w:t>中应说明具体险种和单人保额。其中旅游安全人身意外伤害保险不少于100万元/人。实际实施过程中，旅行社必须提供每批休养人员购买保险的原始凭证的复印件给交易发起人。</w:t>
      </w:r>
    </w:p>
    <w:p w14:paraId="5D352298">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g、其他：要求为参加疗休养职工提供每人每天2瓶矿泉水，适当零食，水果 ，应急药物等；要求不进任何购物店,不组织任何自费项目。针对疗休养活动中可能发生的突发状况、意外情况等（如：投诉、纠纷、安全事故等），中标人须制定周密、可靠的安全保障和突发事件应急预案，确保在各种情况下参团人员的人身及财产安全，响应人应在</w:t>
      </w:r>
      <w:r>
        <w:rPr>
          <w:rFonts w:hint="eastAsia" w:ascii="仿宋" w:hAnsi="仿宋" w:eastAsia="仿宋" w:cs="仿宋"/>
          <w:sz w:val="24"/>
          <w:lang w:eastAsia="zh-CN"/>
        </w:rPr>
        <w:t>响应文件</w:t>
      </w:r>
      <w:r>
        <w:rPr>
          <w:rFonts w:hint="eastAsia" w:ascii="仿宋" w:hAnsi="仿宋" w:eastAsia="仿宋" w:cs="仿宋"/>
          <w:sz w:val="24"/>
        </w:rPr>
        <w:t>中提供详细说明。</w:t>
      </w:r>
    </w:p>
    <w:p w14:paraId="705B8485">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h、纯玩团，不得主动带领旅游团成员去购物点，除非旅游团成员提出要求。</w:t>
      </w:r>
    </w:p>
    <w:p w14:paraId="378FF8C4">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kern w:val="0"/>
          <w:sz w:val="24"/>
        </w:rPr>
        <w:t>i、</w:t>
      </w:r>
      <w:r>
        <w:rPr>
          <w:rFonts w:hint="eastAsia" w:ascii="仿宋" w:hAnsi="仿宋" w:eastAsia="仿宋" w:cs="仿宋"/>
          <w:sz w:val="24"/>
        </w:rPr>
        <w:t>如遇政策性调整等各项不确定因素，交易发起人有权终止合同。</w:t>
      </w:r>
    </w:p>
    <w:p w14:paraId="587EC950">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rPr>
        <w:t>j、</w:t>
      </w:r>
      <w:r>
        <w:rPr>
          <w:rFonts w:hint="eastAsia" w:ascii="仿宋" w:hAnsi="仿宋" w:eastAsia="仿宋" w:cs="仿宋"/>
          <w:kern w:val="0"/>
          <w:sz w:val="24"/>
          <w:lang w:val="zh-CN"/>
        </w:rPr>
        <w:t>参加疗休养人员名单和个人信息不得外泄，否则将追究相关单位及人员责任，严重的报公安机关追究法律责任。</w:t>
      </w:r>
    </w:p>
    <w:p w14:paraId="4EDED029">
      <w:pPr>
        <w:keepNext w:val="0"/>
        <w:keepLines w:val="0"/>
        <w:pageBreakBefore w:val="0"/>
        <w:widowControl/>
        <w:kinsoku/>
        <w:wordWrap/>
        <w:overflowPunct/>
        <w:topLinePunct w:val="0"/>
        <w:autoSpaceDE/>
        <w:autoSpaceDN/>
        <w:bidi w:val="0"/>
        <w:adjustRightInd/>
        <w:spacing w:after="0" w:line="360" w:lineRule="auto"/>
        <w:textAlignment w:val="auto"/>
        <w:rPr>
          <w:rFonts w:hint="eastAsia" w:ascii="仿宋" w:hAnsi="仿宋" w:eastAsia="仿宋" w:cs="仿宋"/>
          <w:b/>
          <w:bCs/>
          <w:sz w:val="24"/>
        </w:rPr>
      </w:pPr>
    </w:p>
    <w:p w14:paraId="19967BAA">
      <w:pPr>
        <w:keepNext w:val="0"/>
        <w:keepLines w:val="0"/>
        <w:pageBreakBefore w:val="0"/>
        <w:widowControl/>
        <w:kinsoku/>
        <w:wordWrap/>
        <w:overflowPunct/>
        <w:topLinePunct w:val="0"/>
        <w:autoSpaceDE/>
        <w:autoSpaceDN/>
        <w:bidi w:val="0"/>
        <w:adjustRightInd/>
        <w:spacing w:after="0" w:line="360" w:lineRule="auto"/>
        <w:textAlignment w:val="auto"/>
        <w:rPr>
          <w:rFonts w:hint="eastAsia" w:ascii="仿宋" w:hAnsi="仿宋" w:eastAsia="仿宋" w:cs="仿宋"/>
          <w:b/>
          <w:bCs/>
          <w:sz w:val="24"/>
        </w:rPr>
      </w:pPr>
      <w:r>
        <w:rPr>
          <w:rFonts w:hint="eastAsia" w:ascii="仿宋" w:hAnsi="仿宋" w:eastAsia="仿宋" w:cs="仿宋"/>
          <w:b/>
          <w:sz w:val="24"/>
        </w:rPr>
        <w:t>2</w:t>
      </w:r>
      <w:r>
        <w:rPr>
          <w:rFonts w:hint="eastAsia" w:ascii="仿宋" w:hAnsi="仿宋" w:eastAsia="仿宋" w:cs="仿宋"/>
          <w:b/>
          <w:bCs/>
          <w:sz w:val="24"/>
        </w:rPr>
        <w:t>、商务需求：</w:t>
      </w:r>
    </w:p>
    <w:p w14:paraId="6F07FBEF">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2.1服务期限：具体以交易发起人要求为准。</w:t>
      </w:r>
    </w:p>
    <w:p w14:paraId="7E3E7C08">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2.2服务质量承诺：</w:t>
      </w:r>
    </w:p>
    <w:p w14:paraId="77CBD7CA">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bCs/>
          <w:sz w:val="24"/>
          <w:lang w:val="zh-CN"/>
        </w:rPr>
        <w:t>a、</w:t>
      </w:r>
      <w:r>
        <w:rPr>
          <w:rFonts w:hint="eastAsia" w:ascii="仿宋" w:hAnsi="仿宋" w:eastAsia="仿宋" w:cs="仿宋"/>
          <w:sz w:val="24"/>
        </w:rPr>
        <w:t>为确保服务质量及与交易发起人沟通联络，中标人须设置兼职主管，负责对承包项目、范围、服务质量的检查监督及与交易发起人日常业务联系；</w:t>
      </w:r>
    </w:p>
    <w:p w14:paraId="4104E426">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b、</w:t>
      </w:r>
      <w:r>
        <w:rPr>
          <w:rFonts w:hint="eastAsia" w:ascii="仿宋" w:hAnsi="仿宋" w:eastAsia="仿宋" w:cs="仿宋"/>
          <w:sz w:val="24"/>
        </w:rPr>
        <w:t>中标人需提供员工管理服务规范要求及确保服务质量达标的具体措施；</w:t>
      </w:r>
    </w:p>
    <w:p w14:paraId="521F9317">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c、</w:t>
      </w:r>
      <w:r>
        <w:rPr>
          <w:rFonts w:hint="eastAsia" w:ascii="仿宋" w:hAnsi="仿宋" w:eastAsia="仿宋" w:cs="仿宋"/>
          <w:sz w:val="24"/>
        </w:rPr>
        <w:t>中标人需向交易发起人提供服务承诺；</w:t>
      </w:r>
    </w:p>
    <w:p w14:paraId="31CB5995">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d</w:t>
      </w:r>
      <w:r>
        <w:rPr>
          <w:rFonts w:hint="eastAsia" w:ascii="仿宋" w:hAnsi="仿宋" w:eastAsia="仿宋" w:cs="仿宋"/>
          <w:sz w:val="24"/>
        </w:rPr>
        <w:t>、中标人须主动接受交易发起人的指导、检查、监督及协调；</w:t>
      </w:r>
    </w:p>
    <w:p w14:paraId="6EE28F8B">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e、现有服务范围内，由于调整而增加的工作量，不再增加费用；</w:t>
      </w:r>
    </w:p>
    <w:p w14:paraId="402AC35D">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f、因中标人工作人员的失误造成的损失由中标人负责；</w:t>
      </w:r>
    </w:p>
    <w:p w14:paraId="0CF855F8">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g、中标人在工作及服务期间发生的一切安全事故由中标人负责，与交易发起人无关。</w:t>
      </w:r>
    </w:p>
    <w:p w14:paraId="5C6747FF">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2.3付款方式</w:t>
      </w:r>
    </w:p>
    <w:p w14:paraId="20D22F39">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sz w:val="24"/>
        </w:rPr>
      </w:pPr>
      <w:r>
        <w:rPr>
          <w:rFonts w:hint="eastAsia" w:ascii="仿宋" w:hAnsi="仿宋" w:eastAsia="仿宋" w:cs="仿宋"/>
          <w:sz w:val="24"/>
        </w:rPr>
        <w:t>结算时按实结算，最终结算价按照实际参加人数*中标单价，按实结算，全部批次人员返程后一个月内付清。</w:t>
      </w:r>
    </w:p>
    <w:p w14:paraId="1EA1BDBF">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bCs/>
          <w:sz w:val="24"/>
        </w:rPr>
      </w:pPr>
      <w:r>
        <w:rPr>
          <w:rFonts w:hint="eastAsia" w:ascii="仿宋" w:hAnsi="仿宋" w:eastAsia="仿宋" w:cs="仿宋"/>
          <w:bCs/>
          <w:sz w:val="24"/>
        </w:rPr>
        <w:t>2.4其他说明</w:t>
      </w:r>
    </w:p>
    <w:p w14:paraId="102C2B38">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bCs/>
          <w:sz w:val="24"/>
        </w:rPr>
      </w:pPr>
      <w:r>
        <w:rPr>
          <w:rFonts w:hint="eastAsia" w:ascii="仿宋" w:hAnsi="仿宋" w:eastAsia="仿宋" w:cs="仿宋"/>
          <w:bCs/>
          <w:sz w:val="24"/>
          <w:lang w:val="zh-CN"/>
        </w:rPr>
        <w:t>a、</w:t>
      </w:r>
      <w:r>
        <w:rPr>
          <w:rFonts w:hint="eastAsia" w:ascii="仿宋" w:hAnsi="仿宋" w:eastAsia="仿宋" w:cs="仿宋"/>
          <w:sz w:val="24"/>
        </w:rPr>
        <w:t>响应人</w:t>
      </w:r>
      <w:r>
        <w:rPr>
          <w:rFonts w:hint="eastAsia" w:ascii="仿宋" w:hAnsi="仿宋" w:eastAsia="仿宋" w:cs="仿宋"/>
          <w:bCs/>
          <w:sz w:val="24"/>
        </w:rPr>
        <w:t>需在</w:t>
      </w:r>
      <w:r>
        <w:rPr>
          <w:rFonts w:hint="eastAsia" w:ascii="仿宋" w:hAnsi="仿宋" w:eastAsia="仿宋" w:cs="仿宋"/>
          <w:bCs/>
          <w:sz w:val="24"/>
          <w:lang w:eastAsia="zh-CN"/>
        </w:rPr>
        <w:t>响应文件</w:t>
      </w:r>
      <w:r>
        <w:rPr>
          <w:rFonts w:hint="eastAsia" w:ascii="仿宋" w:hAnsi="仿宋" w:eastAsia="仿宋" w:cs="仿宋"/>
          <w:bCs/>
          <w:sz w:val="24"/>
        </w:rPr>
        <w:t>中需提供具体行程、出行方式、就餐标准等具体明细，报价根据要求提供每人次的单价，结算时按实际参加人数*中标单价计算。投标单价为</w:t>
      </w:r>
      <w:r>
        <w:rPr>
          <w:rFonts w:hint="eastAsia" w:ascii="仿宋" w:hAnsi="仿宋" w:eastAsia="仿宋" w:cs="仿宋"/>
          <w:sz w:val="24"/>
        </w:rPr>
        <w:t>响应人</w:t>
      </w:r>
      <w:r>
        <w:rPr>
          <w:rFonts w:hint="eastAsia" w:ascii="仿宋" w:hAnsi="仿宋" w:eastAsia="仿宋" w:cs="仿宋"/>
          <w:bCs/>
          <w:sz w:val="24"/>
        </w:rPr>
        <w:t>综合考虑后的统一单价，不得再有淡季旺季的价格区别。本项目各</w:t>
      </w:r>
      <w:r>
        <w:rPr>
          <w:rFonts w:hint="eastAsia" w:ascii="仿宋" w:hAnsi="仿宋" w:eastAsia="仿宋" w:cs="仿宋"/>
          <w:sz w:val="24"/>
        </w:rPr>
        <w:t>响应人</w:t>
      </w:r>
      <w:r>
        <w:rPr>
          <w:rFonts w:hint="eastAsia" w:ascii="仿宋" w:hAnsi="仿宋" w:eastAsia="仿宋" w:cs="仿宋"/>
          <w:bCs/>
          <w:sz w:val="24"/>
        </w:rPr>
        <w:t>须考虑出行时间、人数、目的地、淡旺季等情况，各</w:t>
      </w:r>
      <w:r>
        <w:rPr>
          <w:rFonts w:hint="eastAsia" w:ascii="仿宋" w:hAnsi="仿宋" w:eastAsia="仿宋" w:cs="仿宋"/>
          <w:sz w:val="24"/>
        </w:rPr>
        <w:t>响应人</w:t>
      </w:r>
      <w:r>
        <w:rPr>
          <w:rFonts w:hint="eastAsia" w:ascii="仿宋" w:hAnsi="仿宋" w:eastAsia="仿宋" w:cs="仿宋"/>
          <w:bCs/>
          <w:sz w:val="24"/>
        </w:rPr>
        <w:t>自行承担报价风险，均以响应单价为结算依据。</w:t>
      </w:r>
    </w:p>
    <w:p w14:paraId="1B60257D">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bCs/>
          <w:sz w:val="24"/>
        </w:rPr>
      </w:pPr>
      <w:r>
        <w:rPr>
          <w:rFonts w:hint="eastAsia" w:ascii="仿宋" w:hAnsi="仿宋" w:eastAsia="仿宋" w:cs="仿宋"/>
          <w:kern w:val="0"/>
          <w:sz w:val="24"/>
          <w:lang w:val="zh-CN"/>
        </w:rPr>
        <w:t>b、</w:t>
      </w:r>
      <w:r>
        <w:rPr>
          <w:rFonts w:hint="eastAsia" w:ascii="仿宋" w:hAnsi="仿宋" w:eastAsia="仿宋" w:cs="仿宋"/>
          <w:sz w:val="24"/>
        </w:rPr>
        <w:t>本次项目暂定疗休养</w:t>
      </w:r>
      <w:r>
        <w:rPr>
          <w:rFonts w:hint="eastAsia" w:ascii="仿宋" w:hAnsi="仿宋" w:eastAsia="仿宋" w:cs="仿宋"/>
          <w:sz w:val="24"/>
          <w:lang w:val="en-US" w:eastAsia="zh-CN"/>
        </w:rPr>
        <w:t>61</w:t>
      </w:r>
      <w:r>
        <w:rPr>
          <w:rFonts w:hint="eastAsia" w:ascii="仿宋" w:hAnsi="仿宋" w:eastAsia="仿宋" w:cs="仿宋"/>
          <w:sz w:val="24"/>
        </w:rPr>
        <w:t>人，疗休养不超过3000元/人标准；响应人需在投标（开标）一览表中填报疗休养投标单价，最终结算价按实际结算。</w:t>
      </w:r>
    </w:p>
    <w:p w14:paraId="7CD0F3C2">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rPr>
      </w:pPr>
      <w:r>
        <w:rPr>
          <w:rFonts w:hint="eastAsia" w:ascii="仿宋" w:hAnsi="仿宋" w:eastAsia="仿宋" w:cs="仿宋"/>
          <w:kern w:val="0"/>
          <w:sz w:val="24"/>
          <w:lang w:val="zh-CN"/>
        </w:rPr>
        <w:t>c、疗休养天数如因上级要求作出调整，</w:t>
      </w:r>
      <w:r>
        <w:rPr>
          <w:rFonts w:hint="eastAsia" w:ascii="仿宋" w:hAnsi="仿宋" w:eastAsia="仿宋" w:cs="仿宋"/>
          <w:sz w:val="24"/>
        </w:rPr>
        <w:t>交易发起人</w:t>
      </w:r>
      <w:r>
        <w:rPr>
          <w:rFonts w:hint="eastAsia" w:ascii="仿宋" w:hAnsi="仿宋" w:eastAsia="仿宋" w:cs="仿宋"/>
          <w:kern w:val="0"/>
          <w:sz w:val="24"/>
          <w:lang w:val="zh-CN"/>
        </w:rPr>
        <w:t>与中标人在响应文件的基础上双方协商确定，中标人无条件配合</w:t>
      </w:r>
      <w:r>
        <w:rPr>
          <w:rFonts w:hint="eastAsia" w:ascii="仿宋" w:hAnsi="仿宋" w:eastAsia="仿宋" w:cs="仿宋"/>
          <w:sz w:val="24"/>
        </w:rPr>
        <w:t>交易发起人</w:t>
      </w:r>
      <w:r>
        <w:rPr>
          <w:rFonts w:hint="eastAsia" w:ascii="仿宋" w:hAnsi="仿宋" w:eastAsia="仿宋" w:cs="仿宋"/>
          <w:kern w:val="0"/>
          <w:sz w:val="24"/>
          <w:lang w:val="zh-CN"/>
        </w:rPr>
        <w:t>。</w:t>
      </w:r>
    </w:p>
    <w:p w14:paraId="03BCD0F2">
      <w:pPr>
        <w:spacing w:line="500" w:lineRule="exact"/>
        <w:rPr>
          <w:rFonts w:hint="eastAsia" w:ascii="仿宋" w:hAnsi="仿宋" w:eastAsia="仿宋" w:cs="仿宋"/>
        </w:rPr>
      </w:pPr>
      <w:r>
        <w:rPr>
          <w:rFonts w:hint="eastAsia" w:ascii="仿宋" w:hAnsi="仿宋" w:eastAsia="仿宋" w:cs="仿宋"/>
        </w:rPr>
        <w:t>注：</w:t>
      </w:r>
    </w:p>
    <w:p w14:paraId="261605E0">
      <w:pPr>
        <w:spacing w:line="500" w:lineRule="exact"/>
        <w:rPr>
          <w:rFonts w:hint="eastAsia" w:ascii="仿宋" w:hAnsi="仿宋" w:eastAsia="仿宋" w:cs="仿宋"/>
        </w:rPr>
      </w:pPr>
      <w:r>
        <w:rPr>
          <w:rFonts w:hint="eastAsia" w:ascii="仿宋" w:hAnsi="仿宋" w:eastAsia="仿宋" w:cs="仿宋"/>
          <w:lang w:val="en-US" w:eastAsia="zh-CN"/>
        </w:rPr>
        <w:t>1</w:t>
      </w:r>
      <w:r>
        <w:rPr>
          <w:rFonts w:hint="eastAsia" w:ascii="仿宋" w:hAnsi="仿宋" w:eastAsia="仿宋" w:cs="仿宋"/>
        </w:rPr>
        <w:t>、如有附图，仅作参考。</w:t>
      </w:r>
    </w:p>
    <w:p w14:paraId="7AC4260C">
      <w:pPr>
        <w:spacing w:line="500" w:lineRule="exact"/>
        <w:rPr>
          <w:rFonts w:hint="eastAsia" w:ascii="仿宋" w:hAnsi="仿宋" w:eastAsia="仿宋" w:cs="仿宋"/>
        </w:rPr>
      </w:pPr>
      <w:r>
        <w:rPr>
          <w:rFonts w:hint="eastAsia" w:ascii="仿宋" w:hAnsi="仿宋" w:eastAsia="仿宋" w:cs="仿宋"/>
          <w:lang w:val="en-US" w:eastAsia="zh-CN"/>
        </w:rPr>
        <w:t>2</w:t>
      </w:r>
      <w:r>
        <w:rPr>
          <w:rFonts w:hint="eastAsia" w:ascii="仿宋" w:hAnsi="仿宋" w:eastAsia="仿宋" w:cs="仿宋"/>
        </w:rPr>
        <w:t>、打▲内容为实质性要求，不允许有负偏离，否则将以涉及无效投标条款作无效投标。</w:t>
      </w:r>
    </w:p>
    <w:p w14:paraId="61F9F83F">
      <w:pPr>
        <w:spacing w:line="500" w:lineRule="exact"/>
        <w:rPr>
          <w:rFonts w:hint="eastAsia" w:ascii="仿宋" w:hAnsi="仿宋" w:eastAsia="仿宋" w:cs="仿宋"/>
        </w:rPr>
      </w:pPr>
      <w:r>
        <w:rPr>
          <w:rFonts w:hint="eastAsia" w:ascii="仿宋" w:hAnsi="仿宋" w:eastAsia="仿宋" w:cs="仿宋"/>
          <w:lang w:val="en-US" w:eastAsia="zh-CN"/>
        </w:rPr>
        <w:t>3</w:t>
      </w:r>
      <w:r>
        <w:rPr>
          <w:rFonts w:hint="eastAsia" w:ascii="仿宋" w:hAnsi="仿宋" w:eastAsia="仿宋" w:cs="仿宋"/>
        </w:rPr>
        <w:t>、中标人所提供的货物、服务须与投标承诺一致，不得以次充好、偷工减料，若在项目验收中发现有上述情况，将向有关部门举报，根据相关规定进行处理。</w:t>
      </w:r>
    </w:p>
    <w:p w14:paraId="381D3E8C">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59C6746A">
      <w:pPr>
        <w:pStyle w:val="3"/>
        <w:keepNext w:val="0"/>
        <w:keepLines w:val="0"/>
        <w:pageBreakBefore w:val="0"/>
        <w:widowControl/>
        <w:kinsoku/>
        <w:wordWrap/>
        <w:overflowPunct/>
        <w:topLinePunct w:val="0"/>
        <w:autoSpaceDE/>
        <w:autoSpaceDN/>
        <w:bidi w:val="0"/>
        <w:adjustRightInd/>
        <w:snapToGrid/>
        <w:spacing w:before="0"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第四部分   </w:t>
      </w:r>
      <w:bookmarkStart w:id="4" w:name="_Toc184312089"/>
      <w:bookmarkEnd w:id="4"/>
      <w:bookmarkStart w:id="5" w:name="_Toc184312094"/>
      <w:bookmarkEnd w:id="5"/>
      <w:bookmarkStart w:id="6" w:name="_Toc184310319"/>
      <w:bookmarkEnd w:id="6"/>
      <w:bookmarkStart w:id="7" w:name="_Toc184310322"/>
      <w:bookmarkEnd w:id="7"/>
      <w:bookmarkStart w:id="8" w:name="_Toc184314449"/>
      <w:bookmarkEnd w:id="8"/>
      <w:bookmarkStart w:id="9" w:name="_Toc184314426"/>
      <w:bookmarkEnd w:id="9"/>
      <w:bookmarkStart w:id="10" w:name="_Toc184314450"/>
      <w:bookmarkEnd w:id="10"/>
      <w:bookmarkStart w:id="11" w:name="_Toc184310277"/>
      <w:bookmarkEnd w:id="11"/>
      <w:bookmarkStart w:id="12" w:name="_Toc184314474"/>
      <w:bookmarkEnd w:id="12"/>
      <w:bookmarkStart w:id="13" w:name="_Toc184308079"/>
      <w:bookmarkEnd w:id="13"/>
      <w:bookmarkStart w:id="14" w:name="_Toc184310333"/>
      <w:bookmarkEnd w:id="14"/>
      <w:bookmarkStart w:id="15" w:name="_Toc184310272"/>
      <w:bookmarkEnd w:id="15"/>
      <w:bookmarkStart w:id="16" w:name="_Toc184314454"/>
      <w:bookmarkEnd w:id="16"/>
      <w:bookmarkStart w:id="17" w:name="_Toc184312081"/>
      <w:bookmarkEnd w:id="17"/>
      <w:bookmarkStart w:id="18" w:name="_Toc184314457"/>
      <w:bookmarkEnd w:id="18"/>
      <w:bookmarkStart w:id="19" w:name="_Toc184314427"/>
      <w:bookmarkEnd w:id="19"/>
      <w:bookmarkStart w:id="20" w:name="_Toc184308089"/>
      <w:bookmarkEnd w:id="20"/>
      <w:bookmarkStart w:id="21" w:name="_Toc184308062"/>
      <w:bookmarkEnd w:id="21"/>
      <w:bookmarkStart w:id="22" w:name="_Toc184310273"/>
      <w:bookmarkEnd w:id="22"/>
      <w:bookmarkStart w:id="23" w:name="_Toc184312071"/>
      <w:bookmarkEnd w:id="23"/>
      <w:bookmarkStart w:id="24" w:name="_Toc184313297"/>
      <w:bookmarkEnd w:id="24"/>
      <w:bookmarkStart w:id="25" w:name="_Toc184310283"/>
      <w:bookmarkEnd w:id="25"/>
      <w:bookmarkStart w:id="26" w:name="_Toc184310309"/>
      <w:bookmarkEnd w:id="26"/>
      <w:bookmarkStart w:id="27" w:name="_Toc184310310"/>
      <w:bookmarkEnd w:id="27"/>
      <w:bookmarkStart w:id="28" w:name="_Toc184313246"/>
      <w:bookmarkEnd w:id="28"/>
      <w:bookmarkStart w:id="29" w:name="_Toc184313275"/>
      <w:bookmarkEnd w:id="29"/>
      <w:bookmarkStart w:id="30" w:name="_Toc184308069"/>
      <w:bookmarkEnd w:id="30"/>
      <w:bookmarkStart w:id="31" w:name="_Toc184308080"/>
      <w:bookmarkEnd w:id="31"/>
      <w:bookmarkStart w:id="32" w:name="_Toc184310280"/>
      <w:bookmarkEnd w:id="32"/>
      <w:bookmarkStart w:id="33" w:name="_Toc184308059"/>
      <w:bookmarkEnd w:id="33"/>
      <w:bookmarkStart w:id="34" w:name="_Toc184308044"/>
      <w:bookmarkEnd w:id="34"/>
      <w:bookmarkStart w:id="35" w:name="_Toc184314418"/>
      <w:bookmarkEnd w:id="35"/>
      <w:bookmarkStart w:id="36" w:name="_Toc184312078"/>
      <w:bookmarkEnd w:id="36"/>
      <w:bookmarkStart w:id="37" w:name="_Toc184314451"/>
      <w:bookmarkEnd w:id="37"/>
      <w:bookmarkStart w:id="38" w:name="_Toc184313257"/>
      <w:bookmarkEnd w:id="38"/>
      <w:bookmarkStart w:id="39" w:name="_Toc184313243"/>
      <w:bookmarkEnd w:id="39"/>
      <w:bookmarkStart w:id="40" w:name="_Toc184310321"/>
      <w:bookmarkEnd w:id="40"/>
      <w:bookmarkStart w:id="41" w:name="_Toc184313244"/>
      <w:bookmarkEnd w:id="41"/>
      <w:bookmarkStart w:id="42" w:name="_Toc184310297"/>
      <w:bookmarkEnd w:id="42"/>
      <w:bookmarkStart w:id="43" w:name="_Toc184313289"/>
      <w:bookmarkEnd w:id="43"/>
      <w:bookmarkStart w:id="44" w:name="_Toc184312124"/>
      <w:bookmarkEnd w:id="44"/>
      <w:bookmarkStart w:id="45" w:name="_Toc184313304"/>
      <w:bookmarkEnd w:id="45"/>
      <w:bookmarkStart w:id="46" w:name="_Toc184313309"/>
      <w:bookmarkEnd w:id="46"/>
      <w:bookmarkStart w:id="47" w:name="_Toc184314437"/>
      <w:bookmarkEnd w:id="47"/>
      <w:bookmarkStart w:id="48" w:name="_Toc184313288"/>
      <w:bookmarkEnd w:id="48"/>
      <w:bookmarkStart w:id="49" w:name="_Toc184312100"/>
      <w:bookmarkEnd w:id="49"/>
      <w:bookmarkStart w:id="50" w:name="_Toc184313291"/>
      <w:bookmarkEnd w:id="50"/>
      <w:bookmarkStart w:id="51" w:name="_Toc184313270"/>
      <w:bookmarkEnd w:id="51"/>
      <w:bookmarkStart w:id="52" w:name="_Toc184314410"/>
      <w:bookmarkEnd w:id="52"/>
      <w:bookmarkStart w:id="53" w:name="_Toc184308096"/>
      <w:bookmarkEnd w:id="53"/>
      <w:bookmarkStart w:id="54" w:name="_Toc184310320"/>
      <w:bookmarkEnd w:id="54"/>
      <w:bookmarkStart w:id="55" w:name="_Toc184310293"/>
      <w:bookmarkEnd w:id="55"/>
      <w:bookmarkStart w:id="56" w:name="_Toc184310331"/>
      <w:bookmarkEnd w:id="56"/>
      <w:bookmarkStart w:id="57" w:name="_Toc184310323"/>
      <w:bookmarkEnd w:id="57"/>
      <w:bookmarkStart w:id="58" w:name="_Toc184308091"/>
      <w:bookmarkEnd w:id="58"/>
      <w:bookmarkStart w:id="59" w:name="_Toc184308085"/>
      <w:bookmarkEnd w:id="59"/>
      <w:bookmarkStart w:id="60" w:name="_Toc184310281"/>
      <w:bookmarkEnd w:id="60"/>
      <w:bookmarkStart w:id="61" w:name="_Toc184314453"/>
      <w:bookmarkEnd w:id="61"/>
      <w:bookmarkStart w:id="62" w:name="_Toc184310339"/>
      <w:bookmarkEnd w:id="62"/>
      <w:bookmarkStart w:id="63" w:name="_Toc184313259"/>
      <w:bookmarkEnd w:id="63"/>
      <w:bookmarkStart w:id="64" w:name="_Toc184313250"/>
      <w:bookmarkEnd w:id="64"/>
      <w:bookmarkStart w:id="65" w:name="_Toc184312114"/>
      <w:bookmarkEnd w:id="65"/>
      <w:bookmarkStart w:id="66" w:name="_Toc184312137"/>
      <w:bookmarkEnd w:id="66"/>
      <w:bookmarkStart w:id="67" w:name="_Toc184314430"/>
      <w:bookmarkEnd w:id="67"/>
      <w:bookmarkStart w:id="68" w:name="_Toc184308090"/>
      <w:bookmarkEnd w:id="68"/>
      <w:bookmarkStart w:id="69" w:name="_Toc184310302"/>
      <w:bookmarkEnd w:id="69"/>
      <w:bookmarkStart w:id="70" w:name="_Toc184308055"/>
      <w:bookmarkEnd w:id="70"/>
      <w:bookmarkStart w:id="71" w:name="_Toc184314446"/>
      <w:bookmarkEnd w:id="71"/>
      <w:bookmarkStart w:id="72" w:name="_Toc184308078"/>
      <w:bookmarkEnd w:id="72"/>
      <w:bookmarkStart w:id="73" w:name="_Toc184312126"/>
      <w:bookmarkEnd w:id="73"/>
      <w:bookmarkStart w:id="74" w:name="_Toc184313283"/>
      <w:bookmarkEnd w:id="74"/>
      <w:bookmarkStart w:id="75" w:name="_Toc184314465"/>
      <w:bookmarkEnd w:id="75"/>
      <w:bookmarkStart w:id="76" w:name="_Toc184308047"/>
      <w:bookmarkEnd w:id="76"/>
      <w:bookmarkStart w:id="77" w:name="_Toc184308107"/>
      <w:bookmarkEnd w:id="77"/>
      <w:bookmarkStart w:id="78" w:name="_Toc184312103"/>
      <w:bookmarkEnd w:id="78"/>
      <w:bookmarkStart w:id="79" w:name="_Toc184313251"/>
      <w:bookmarkEnd w:id="79"/>
      <w:bookmarkStart w:id="80" w:name="_Toc184312110"/>
      <w:bookmarkEnd w:id="80"/>
      <w:bookmarkStart w:id="81" w:name="_Toc184312125"/>
      <w:bookmarkEnd w:id="81"/>
      <w:bookmarkStart w:id="82" w:name="_Toc184312122"/>
      <w:bookmarkEnd w:id="82"/>
      <w:bookmarkStart w:id="83" w:name="_Toc184313264"/>
      <w:bookmarkEnd w:id="83"/>
      <w:bookmarkStart w:id="84" w:name="_Toc184312129"/>
      <w:bookmarkEnd w:id="84"/>
      <w:bookmarkStart w:id="85" w:name="_Toc184308103"/>
      <w:bookmarkEnd w:id="85"/>
      <w:bookmarkStart w:id="86" w:name="_Toc184310276"/>
      <w:bookmarkEnd w:id="86"/>
      <w:bookmarkStart w:id="87" w:name="_Toc184312088"/>
      <w:bookmarkEnd w:id="87"/>
      <w:bookmarkStart w:id="88" w:name="_Toc184314464"/>
      <w:bookmarkEnd w:id="88"/>
      <w:bookmarkStart w:id="89" w:name="_Toc184313287"/>
      <w:bookmarkEnd w:id="89"/>
      <w:bookmarkStart w:id="90" w:name="_Toc184312123"/>
      <w:bookmarkEnd w:id="90"/>
      <w:bookmarkStart w:id="91" w:name="_Toc184312076"/>
      <w:bookmarkEnd w:id="91"/>
      <w:bookmarkStart w:id="92" w:name="_Toc184308045"/>
      <w:bookmarkEnd w:id="92"/>
      <w:bookmarkStart w:id="93" w:name="_Toc184308058"/>
      <w:bookmarkEnd w:id="93"/>
      <w:bookmarkStart w:id="94" w:name="_Toc184313247"/>
      <w:bookmarkEnd w:id="94"/>
      <w:bookmarkStart w:id="95" w:name="_Toc184313307"/>
      <w:bookmarkEnd w:id="95"/>
      <w:bookmarkStart w:id="96" w:name="_Toc184313296"/>
      <w:bookmarkEnd w:id="96"/>
      <w:bookmarkStart w:id="97" w:name="_Toc184313273"/>
      <w:bookmarkEnd w:id="97"/>
      <w:bookmarkStart w:id="98" w:name="_Toc184313258"/>
      <w:bookmarkEnd w:id="98"/>
      <w:bookmarkStart w:id="99" w:name="_Toc184308048"/>
      <w:bookmarkEnd w:id="99"/>
      <w:bookmarkStart w:id="100" w:name="_Toc184308039"/>
      <w:bookmarkEnd w:id="100"/>
      <w:bookmarkStart w:id="101" w:name="_Toc184312080"/>
      <w:bookmarkEnd w:id="101"/>
      <w:bookmarkStart w:id="102" w:name="_Toc184308088"/>
      <w:bookmarkEnd w:id="102"/>
      <w:bookmarkStart w:id="103" w:name="_Toc184314482"/>
      <w:bookmarkEnd w:id="103"/>
      <w:bookmarkStart w:id="104" w:name="_Toc184310291"/>
      <w:bookmarkEnd w:id="104"/>
      <w:bookmarkStart w:id="105" w:name="_Toc184308053"/>
      <w:bookmarkEnd w:id="105"/>
      <w:bookmarkStart w:id="106" w:name="_Toc184313240"/>
      <w:bookmarkEnd w:id="106"/>
      <w:bookmarkStart w:id="107" w:name="_Toc184314413"/>
      <w:bookmarkEnd w:id="107"/>
      <w:bookmarkStart w:id="108" w:name="_Toc184314469"/>
      <w:bookmarkEnd w:id="108"/>
      <w:bookmarkStart w:id="109" w:name="_Toc184310315"/>
      <w:bookmarkEnd w:id="109"/>
      <w:bookmarkStart w:id="110" w:name="_Toc184314436"/>
      <w:bookmarkEnd w:id="110"/>
      <w:bookmarkStart w:id="111" w:name="_Toc184310299"/>
      <w:bookmarkEnd w:id="111"/>
      <w:bookmarkStart w:id="112" w:name="_Toc184314422"/>
      <w:bookmarkEnd w:id="112"/>
      <w:bookmarkStart w:id="113" w:name="_Toc184314475"/>
      <w:bookmarkEnd w:id="113"/>
      <w:bookmarkStart w:id="114" w:name="_Toc184313306"/>
      <w:bookmarkEnd w:id="114"/>
      <w:bookmarkStart w:id="115" w:name="_Toc184313295"/>
      <w:bookmarkEnd w:id="115"/>
      <w:bookmarkStart w:id="116" w:name="_Toc184308064"/>
      <w:bookmarkEnd w:id="116"/>
      <w:bookmarkStart w:id="117" w:name="_Toc184312119"/>
      <w:bookmarkEnd w:id="117"/>
      <w:bookmarkStart w:id="118" w:name="_Toc184308104"/>
      <w:bookmarkEnd w:id="118"/>
      <w:bookmarkStart w:id="119" w:name="_Toc184312130"/>
      <w:bookmarkEnd w:id="119"/>
      <w:bookmarkStart w:id="120" w:name="_Toc184312139"/>
      <w:bookmarkEnd w:id="120"/>
      <w:bookmarkStart w:id="121" w:name="_Toc184312120"/>
      <w:bookmarkEnd w:id="121"/>
      <w:bookmarkStart w:id="122" w:name="_Toc184310337"/>
      <w:bookmarkEnd w:id="122"/>
      <w:bookmarkStart w:id="123" w:name="_Toc184314431"/>
      <w:bookmarkEnd w:id="123"/>
      <w:bookmarkStart w:id="124" w:name="_Toc184308098"/>
      <w:bookmarkEnd w:id="124"/>
      <w:bookmarkStart w:id="125" w:name="_Toc184310300"/>
      <w:bookmarkEnd w:id="125"/>
      <w:bookmarkStart w:id="126" w:name="_Toc184314421"/>
      <w:bookmarkEnd w:id="126"/>
      <w:bookmarkStart w:id="127" w:name="_Toc184314471"/>
      <w:bookmarkEnd w:id="127"/>
      <w:bookmarkStart w:id="128" w:name="_Toc184310303"/>
      <w:bookmarkEnd w:id="128"/>
      <w:bookmarkStart w:id="129" w:name="_Toc184312116"/>
      <w:bookmarkEnd w:id="129"/>
      <w:bookmarkStart w:id="130" w:name="_Toc184308095"/>
      <w:bookmarkEnd w:id="130"/>
      <w:bookmarkStart w:id="131" w:name="_Toc184313276"/>
      <w:bookmarkEnd w:id="131"/>
      <w:bookmarkStart w:id="132" w:name="_Toc184312096"/>
      <w:bookmarkEnd w:id="132"/>
      <w:bookmarkStart w:id="133" w:name="_Toc184313262"/>
      <w:bookmarkEnd w:id="133"/>
      <w:bookmarkStart w:id="134" w:name="_Toc184313239"/>
      <w:bookmarkEnd w:id="134"/>
      <w:bookmarkStart w:id="135" w:name="_Toc184313300"/>
      <w:bookmarkEnd w:id="135"/>
      <w:bookmarkStart w:id="136" w:name="_Toc184312107"/>
      <w:bookmarkEnd w:id="136"/>
      <w:bookmarkStart w:id="137" w:name="_Toc184313241"/>
      <w:bookmarkEnd w:id="137"/>
      <w:bookmarkStart w:id="138" w:name="_Toc184312074"/>
      <w:bookmarkEnd w:id="138"/>
      <w:bookmarkStart w:id="139" w:name="_Toc184310304"/>
      <w:bookmarkEnd w:id="139"/>
      <w:bookmarkStart w:id="140" w:name="_Toc184310284"/>
      <w:bookmarkEnd w:id="140"/>
      <w:bookmarkStart w:id="141" w:name="_Toc184310329"/>
      <w:bookmarkEnd w:id="141"/>
      <w:bookmarkStart w:id="142" w:name="_Toc184310278"/>
      <w:bookmarkEnd w:id="142"/>
      <w:bookmarkStart w:id="143" w:name="_Toc184308099"/>
      <w:bookmarkEnd w:id="143"/>
      <w:bookmarkStart w:id="144" w:name="_Toc184314463"/>
      <w:bookmarkEnd w:id="144"/>
      <w:bookmarkStart w:id="145" w:name="_Toc184313272"/>
      <w:bookmarkEnd w:id="145"/>
      <w:bookmarkStart w:id="146" w:name="_Toc184312084"/>
      <w:bookmarkEnd w:id="146"/>
      <w:bookmarkStart w:id="147" w:name="_Toc184308101"/>
      <w:bookmarkEnd w:id="147"/>
      <w:bookmarkStart w:id="148" w:name="_Toc184312134"/>
      <w:bookmarkEnd w:id="148"/>
      <w:bookmarkStart w:id="149" w:name="_Toc184314462"/>
      <w:bookmarkEnd w:id="149"/>
      <w:bookmarkStart w:id="150" w:name="_Toc184310305"/>
      <w:bookmarkEnd w:id="150"/>
      <w:bookmarkStart w:id="151" w:name="_Toc184313255"/>
      <w:bookmarkEnd w:id="151"/>
      <w:bookmarkStart w:id="152" w:name="_Toc184314458"/>
      <w:bookmarkEnd w:id="152"/>
      <w:bookmarkStart w:id="153" w:name="_Toc184314447"/>
      <w:bookmarkEnd w:id="153"/>
      <w:bookmarkStart w:id="154" w:name="_Toc184313301"/>
      <w:bookmarkEnd w:id="154"/>
      <w:bookmarkStart w:id="155" w:name="_Toc184313263"/>
      <w:bookmarkEnd w:id="155"/>
      <w:bookmarkStart w:id="156" w:name="_Toc184313285"/>
      <w:bookmarkEnd w:id="156"/>
      <w:bookmarkStart w:id="157" w:name="_Toc184312112"/>
      <w:bookmarkEnd w:id="157"/>
      <w:bookmarkStart w:id="158" w:name="_Toc184310275"/>
      <w:bookmarkEnd w:id="158"/>
      <w:bookmarkStart w:id="159" w:name="_Toc184310324"/>
      <w:bookmarkEnd w:id="159"/>
      <w:bookmarkStart w:id="160" w:name="_Toc184310289"/>
      <w:bookmarkEnd w:id="160"/>
      <w:bookmarkStart w:id="161" w:name="_Toc184308105"/>
      <w:bookmarkEnd w:id="161"/>
      <w:bookmarkStart w:id="162" w:name="_Toc184308081"/>
      <w:bookmarkEnd w:id="162"/>
      <w:bookmarkStart w:id="163" w:name="_Toc184308073"/>
      <w:bookmarkEnd w:id="163"/>
      <w:bookmarkStart w:id="164" w:name="_Toc184314473"/>
      <w:bookmarkEnd w:id="164"/>
      <w:bookmarkStart w:id="165" w:name="_Toc184313293"/>
      <w:bookmarkEnd w:id="165"/>
      <w:bookmarkStart w:id="166" w:name="_Toc184313290"/>
      <w:bookmarkEnd w:id="166"/>
      <w:bookmarkStart w:id="167" w:name="_Toc184314417"/>
      <w:bookmarkEnd w:id="167"/>
      <w:bookmarkStart w:id="168" w:name="_Toc184312108"/>
      <w:bookmarkEnd w:id="168"/>
      <w:bookmarkStart w:id="169" w:name="_Toc184312131"/>
      <w:bookmarkEnd w:id="169"/>
      <w:bookmarkStart w:id="170" w:name="_Toc184308041"/>
      <w:bookmarkEnd w:id="170"/>
      <w:bookmarkStart w:id="171" w:name="_Toc184314434"/>
      <w:bookmarkEnd w:id="171"/>
      <w:bookmarkStart w:id="172" w:name="_Toc184308050"/>
      <w:bookmarkEnd w:id="172"/>
      <w:bookmarkStart w:id="173" w:name="_Toc184310285"/>
      <w:bookmarkEnd w:id="173"/>
      <w:bookmarkStart w:id="174" w:name="_Toc184314424"/>
      <w:bookmarkEnd w:id="174"/>
      <w:bookmarkStart w:id="175" w:name="_Toc184313274"/>
      <w:bookmarkEnd w:id="175"/>
      <w:bookmarkStart w:id="176" w:name="_Toc184314440"/>
      <w:bookmarkEnd w:id="176"/>
      <w:bookmarkStart w:id="177" w:name="_Toc184308092"/>
      <w:bookmarkEnd w:id="177"/>
      <w:bookmarkStart w:id="178" w:name="_Toc184312127"/>
      <w:bookmarkEnd w:id="178"/>
      <w:bookmarkStart w:id="179" w:name="_Toc184312068"/>
      <w:bookmarkEnd w:id="179"/>
      <w:bookmarkStart w:id="180" w:name="_Toc184308108"/>
      <w:bookmarkEnd w:id="180"/>
      <w:bookmarkStart w:id="181" w:name="_Toc184314470"/>
      <w:bookmarkEnd w:id="181"/>
      <w:bookmarkStart w:id="182" w:name="_Toc184308057"/>
      <w:bookmarkEnd w:id="182"/>
      <w:bookmarkStart w:id="183" w:name="_Toc184310311"/>
      <w:bookmarkEnd w:id="183"/>
      <w:bookmarkStart w:id="184" w:name="_Toc184310343"/>
      <w:bookmarkEnd w:id="184"/>
      <w:bookmarkStart w:id="185" w:name="_Toc184314480"/>
      <w:bookmarkEnd w:id="185"/>
      <w:bookmarkStart w:id="186" w:name="_Toc184313242"/>
      <w:bookmarkEnd w:id="186"/>
      <w:bookmarkStart w:id="187" w:name="_Toc184314428"/>
      <w:bookmarkEnd w:id="187"/>
      <w:bookmarkStart w:id="188" w:name="_Toc184308074"/>
      <w:bookmarkEnd w:id="188"/>
      <w:bookmarkStart w:id="189" w:name="_Toc184310295"/>
      <w:bookmarkEnd w:id="189"/>
      <w:bookmarkStart w:id="190" w:name="_Toc184312099"/>
      <w:bookmarkEnd w:id="190"/>
      <w:bookmarkStart w:id="191" w:name="_Toc184314444"/>
      <w:bookmarkEnd w:id="191"/>
      <w:bookmarkStart w:id="192" w:name="_Toc184314441"/>
      <w:bookmarkEnd w:id="192"/>
      <w:bookmarkStart w:id="193" w:name="_Toc184310327"/>
      <w:bookmarkEnd w:id="193"/>
      <w:bookmarkStart w:id="194" w:name="_Toc184308100"/>
      <w:bookmarkEnd w:id="194"/>
      <w:bookmarkStart w:id="195" w:name="_Toc184314414"/>
      <w:bookmarkEnd w:id="195"/>
      <w:bookmarkStart w:id="196" w:name="_Toc184314472"/>
      <w:bookmarkEnd w:id="196"/>
      <w:bookmarkStart w:id="197" w:name="_Toc184310287"/>
      <w:bookmarkEnd w:id="197"/>
      <w:bookmarkStart w:id="198" w:name="_Toc184310279"/>
      <w:bookmarkEnd w:id="198"/>
      <w:bookmarkStart w:id="199" w:name="_Toc184308106"/>
      <w:bookmarkEnd w:id="199"/>
      <w:bookmarkStart w:id="200" w:name="_Toc184310282"/>
      <w:bookmarkEnd w:id="200"/>
      <w:bookmarkStart w:id="201" w:name="_Toc184313280"/>
      <w:bookmarkEnd w:id="201"/>
      <w:bookmarkStart w:id="202" w:name="_Toc184310308"/>
      <w:bookmarkEnd w:id="202"/>
      <w:bookmarkStart w:id="203" w:name="_Toc184313282"/>
      <w:bookmarkEnd w:id="203"/>
      <w:bookmarkStart w:id="204" w:name="_Toc184314445"/>
      <w:bookmarkEnd w:id="204"/>
      <w:bookmarkStart w:id="205" w:name="_Toc184313261"/>
      <w:bookmarkEnd w:id="205"/>
      <w:bookmarkStart w:id="206" w:name="_Toc184313256"/>
      <w:bookmarkEnd w:id="206"/>
      <w:bookmarkStart w:id="207" w:name="_Toc184308102"/>
      <w:bookmarkEnd w:id="207"/>
      <w:bookmarkStart w:id="208" w:name="_Toc184314411"/>
      <w:bookmarkEnd w:id="208"/>
      <w:bookmarkStart w:id="209" w:name="_Toc184310328"/>
      <w:bookmarkEnd w:id="209"/>
      <w:bookmarkStart w:id="210" w:name="_Toc184314419"/>
      <w:bookmarkEnd w:id="210"/>
      <w:bookmarkStart w:id="211" w:name="_Toc184313278"/>
      <w:bookmarkEnd w:id="211"/>
      <w:bookmarkStart w:id="212" w:name="_Toc184312138"/>
      <w:bookmarkEnd w:id="212"/>
      <w:bookmarkStart w:id="213" w:name="_Toc184312077"/>
      <w:bookmarkEnd w:id="213"/>
      <w:bookmarkStart w:id="214" w:name="_Toc184310312"/>
      <w:bookmarkEnd w:id="214"/>
      <w:bookmarkStart w:id="215" w:name="_Toc184313267"/>
      <w:bookmarkEnd w:id="215"/>
      <w:bookmarkStart w:id="216" w:name="_Toc184314476"/>
      <w:bookmarkEnd w:id="216"/>
      <w:bookmarkStart w:id="217" w:name="_Toc184314477"/>
      <w:bookmarkEnd w:id="217"/>
      <w:bookmarkStart w:id="218" w:name="_Toc184314467"/>
      <w:bookmarkEnd w:id="218"/>
      <w:bookmarkStart w:id="219" w:name="_Toc184312069"/>
      <w:bookmarkEnd w:id="219"/>
      <w:bookmarkStart w:id="220" w:name="_Toc184314478"/>
      <w:bookmarkEnd w:id="220"/>
      <w:bookmarkStart w:id="221" w:name="_Toc184312118"/>
      <w:bookmarkEnd w:id="221"/>
      <w:bookmarkStart w:id="222" w:name="_Toc184314466"/>
      <w:bookmarkEnd w:id="222"/>
      <w:bookmarkStart w:id="223" w:name="_Toc184310296"/>
      <w:bookmarkEnd w:id="223"/>
      <w:bookmarkStart w:id="224" w:name="_Toc184313299"/>
      <w:bookmarkEnd w:id="224"/>
      <w:bookmarkStart w:id="225" w:name="_Toc184312072"/>
      <w:bookmarkEnd w:id="225"/>
      <w:bookmarkStart w:id="226" w:name="_Toc184310334"/>
      <w:bookmarkEnd w:id="226"/>
      <w:bookmarkStart w:id="227" w:name="_Toc184312087"/>
      <w:bookmarkEnd w:id="227"/>
      <w:bookmarkStart w:id="228" w:name="_Toc184313310"/>
      <w:bookmarkEnd w:id="228"/>
      <w:bookmarkStart w:id="229" w:name="_Toc184308065"/>
      <w:bookmarkEnd w:id="229"/>
      <w:bookmarkStart w:id="230" w:name="_Toc184308040"/>
      <w:bookmarkEnd w:id="230"/>
      <w:bookmarkStart w:id="231" w:name="_Toc184314412"/>
      <w:bookmarkEnd w:id="231"/>
      <w:bookmarkStart w:id="232" w:name="_Toc184313294"/>
      <w:bookmarkEnd w:id="232"/>
      <w:bookmarkStart w:id="233" w:name="_Toc184312133"/>
      <w:bookmarkEnd w:id="233"/>
      <w:bookmarkStart w:id="234" w:name="_Toc184310335"/>
      <w:bookmarkEnd w:id="234"/>
      <w:bookmarkStart w:id="235" w:name="_Toc184308077"/>
      <w:bookmarkEnd w:id="235"/>
      <w:bookmarkStart w:id="236" w:name="_Toc184310330"/>
      <w:bookmarkEnd w:id="236"/>
      <w:bookmarkStart w:id="237" w:name="_Toc184313245"/>
      <w:bookmarkEnd w:id="237"/>
      <w:bookmarkStart w:id="238" w:name="_Toc184308070"/>
      <w:bookmarkEnd w:id="238"/>
      <w:bookmarkStart w:id="239" w:name="_Toc184314455"/>
      <w:bookmarkEnd w:id="239"/>
      <w:bookmarkStart w:id="240" w:name="_Toc184314459"/>
      <w:bookmarkEnd w:id="240"/>
      <w:bookmarkStart w:id="241" w:name="_Toc184308036"/>
      <w:bookmarkEnd w:id="241"/>
      <w:bookmarkStart w:id="242" w:name="_Toc184314479"/>
      <w:bookmarkEnd w:id="242"/>
      <w:bookmarkStart w:id="243" w:name="_Toc184314429"/>
      <w:bookmarkEnd w:id="243"/>
      <w:bookmarkStart w:id="244" w:name="_Toc184313271"/>
      <w:bookmarkEnd w:id="244"/>
      <w:bookmarkStart w:id="245" w:name="_Toc184312113"/>
      <w:bookmarkEnd w:id="245"/>
      <w:bookmarkStart w:id="246" w:name="_Toc184314461"/>
      <w:bookmarkEnd w:id="246"/>
      <w:bookmarkStart w:id="247" w:name="_Toc184308056"/>
      <w:bookmarkEnd w:id="247"/>
      <w:bookmarkStart w:id="248" w:name="_Toc184308087"/>
      <w:bookmarkEnd w:id="248"/>
      <w:bookmarkStart w:id="249" w:name="_Toc184308067"/>
      <w:bookmarkEnd w:id="249"/>
      <w:bookmarkStart w:id="250" w:name="_Toc184310286"/>
      <w:bookmarkEnd w:id="250"/>
      <w:bookmarkStart w:id="251" w:name="_Toc184312115"/>
      <w:bookmarkEnd w:id="251"/>
      <w:bookmarkStart w:id="252" w:name="_Toc184314425"/>
      <w:bookmarkEnd w:id="252"/>
      <w:bookmarkStart w:id="253" w:name="_Toc184308072"/>
      <w:bookmarkEnd w:id="253"/>
      <w:bookmarkStart w:id="254" w:name="_Toc184312097"/>
      <w:bookmarkEnd w:id="254"/>
      <w:bookmarkStart w:id="255" w:name="_Toc184308068"/>
      <w:bookmarkEnd w:id="255"/>
      <w:bookmarkStart w:id="256" w:name="_Toc184308075"/>
      <w:bookmarkEnd w:id="256"/>
      <w:bookmarkStart w:id="257" w:name="_Toc184308083"/>
      <w:bookmarkEnd w:id="257"/>
      <w:bookmarkStart w:id="258" w:name="_Toc184310274"/>
      <w:bookmarkEnd w:id="258"/>
      <w:bookmarkStart w:id="259" w:name="_Toc184312070"/>
      <w:bookmarkEnd w:id="259"/>
      <w:bookmarkStart w:id="260" w:name="_Toc184308063"/>
      <w:bookmarkEnd w:id="260"/>
      <w:bookmarkStart w:id="261" w:name="_Toc184313249"/>
      <w:bookmarkEnd w:id="261"/>
      <w:bookmarkStart w:id="262" w:name="_Toc184313266"/>
      <w:bookmarkEnd w:id="262"/>
      <w:bookmarkStart w:id="263" w:name="_Toc184310316"/>
      <w:bookmarkEnd w:id="263"/>
      <w:bookmarkStart w:id="264" w:name="_Toc184314443"/>
      <w:bookmarkEnd w:id="264"/>
      <w:bookmarkStart w:id="265" w:name="_Toc184308052"/>
      <w:bookmarkEnd w:id="265"/>
      <w:bookmarkStart w:id="266" w:name="_Toc184314433"/>
      <w:bookmarkEnd w:id="266"/>
      <w:bookmarkStart w:id="267" w:name="_Toc184313253"/>
      <w:bookmarkEnd w:id="267"/>
      <w:bookmarkStart w:id="268" w:name="_Toc184308061"/>
      <w:bookmarkEnd w:id="268"/>
      <w:bookmarkStart w:id="269" w:name="_Toc184308093"/>
      <w:bookmarkEnd w:id="269"/>
      <w:bookmarkStart w:id="270" w:name="_Toc184314438"/>
      <w:bookmarkEnd w:id="270"/>
      <w:bookmarkStart w:id="271" w:name="_Toc184310294"/>
      <w:bookmarkEnd w:id="271"/>
      <w:bookmarkStart w:id="272" w:name="_Toc184312083"/>
      <w:bookmarkEnd w:id="272"/>
      <w:bookmarkStart w:id="273" w:name="_Toc184314416"/>
      <w:bookmarkEnd w:id="273"/>
      <w:bookmarkStart w:id="274" w:name="_Toc184310341"/>
      <w:bookmarkEnd w:id="274"/>
      <w:bookmarkStart w:id="275" w:name="_Toc184313298"/>
      <w:bookmarkEnd w:id="275"/>
      <w:bookmarkStart w:id="276" w:name="_Toc184308037"/>
      <w:bookmarkEnd w:id="276"/>
      <w:bookmarkStart w:id="277" w:name="_Toc184308060"/>
      <w:bookmarkEnd w:id="277"/>
      <w:bookmarkStart w:id="278" w:name="_Toc184314439"/>
      <w:bookmarkEnd w:id="278"/>
      <w:bookmarkStart w:id="279" w:name="_Toc184310342"/>
      <w:bookmarkEnd w:id="279"/>
      <w:bookmarkStart w:id="280" w:name="_Toc184314448"/>
      <w:bookmarkEnd w:id="280"/>
      <w:bookmarkStart w:id="281" w:name="_Toc184310288"/>
      <w:bookmarkEnd w:id="281"/>
      <w:bookmarkStart w:id="282" w:name="_Toc184310326"/>
      <w:bookmarkEnd w:id="282"/>
      <w:bookmarkStart w:id="283" w:name="_Toc184308054"/>
      <w:bookmarkEnd w:id="283"/>
      <w:bookmarkStart w:id="284" w:name="_Toc184308076"/>
      <w:bookmarkEnd w:id="284"/>
      <w:bookmarkStart w:id="285" w:name="_Toc184314420"/>
      <w:bookmarkEnd w:id="285"/>
      <w:bookmarkStart w:id="286" w:name="_Toc184313238"/>
      <w:bookmarkEnd w:id="286"/>
      <w:bookmarkStart w:id="287" w:name="_Toc184314460"/>
      <w:bookmarkEnd w:id="287"/>
      <w:bookmarkStart w:id="288" w:name="_Toc184310298"/>
      <w:bookmarkEnd w:id="288"/>
      <w:bookmarkStart w:id="289" w:name="_Toc184308071"/>
      <w:bookmarkEnd w:id="289"/>
      <w:bookmarkStart w:id="290" w:name="_Toc184314423"/>
      <w:bookmarkEnd w:id="290"/>
      <w:bookmarkStart w:id="291" w:name="_Toc184313269"/>
      <w:bookmarkEnd w:id="291"/>
      <w:bookmarkStart w:id="292" w:name="_Toc184312102"/>
      <w:bookmarkEnd w:id="292"/>
      <w:bookmarkStart w:id="293" w:name="_Toc184313254"/>
      <w:bookmarkEnd w:id="293"/>
      <w:bookmarkStart w:id="294" w:name="_Toc184313284"/>
      <w:bookmarkEnd w:id="294"/>
      <w:bookmarkStart w:id="295" w:name="_Toc184312136"/>
      <w:bookmarkEnd w:id="295"/>
      <w:bookmarkStart w:id="296" w:name="_Toc184314481"/>
      <w:bookmarkEnd w:id="296"/>
      <w:bookmarkStart w:id="297" w:name="_Toc184313248"/>
      <w:bookmarkEnd w:id="297"/>
      <w:bookmarkStart w:id="298" w:name="_Toc184312121"/>
      <w:bookmarkEnd w:id="298"/>
      <w:bookmarkStart w:id="299" w:name="_Toc184312092"/>
      <w:bookmarkEnd w:id="299"/>
      <w:bookmarkStart w:id="300" w:name="_Toc184312082"/>
      <w:bookmarkEnd w:id="300"/>
      <w:bookmarkStart w:id="301" w:name="_Toc184312135"/>
      <w:bookmarkEnd w:id="301"/>
      <w:bookmarkStart w:id="302" w:name="_Toc184310290"/>
      <w:bookmarkEnd w:id="302"/>
      <w:bookmarkStart w:id="303" w:name="_Toc184312104"/>
      <w:bookmarkEnd w:id="303"/>
      <w:bookmarkStart w:id="304" w:name="_Toc184308051"/>
      <w:bookmarkEnd w:id="304"/>
      <w:bookmarkStart w:id="305" w:name="_Toc184313268"/>
      <w:bookmarkEnd w:id="305"/>
      <w:bookmarkStart w:id="306" w:name="_Toc184310307"/>
      <w:bookmarkEnd w:id="306"/>
      <w:bookmarkStart w:id="307" w:name="_Toc184308097"/>
      <w:bookmarkEnd w:id="307"/>
      <w:bookmarkStart w:id="308" w:name="_Toc184313260"/>
      <w:bookmarkEnd w:id="308"/>
      <w:bookmarkStart w:id="309" w:name="_Toc184312090"/>
      <w:bookmarkEnd w:id="309"/>
      <w:bookmarkStart w:id="310" w:name="_Toc184310306"/>
      <w:bookmarkEnd w:id="310"/>
      <w:bookmarkStart w:id="311" w:name="_Toc184312085"/>
      <w:bookmarkEnd w:id="311"/>
      <w:bookmarkStart w:id="312" w:name="_Toc184312098"/>
      <w:bookmarkEnd w:id="312"/>
      <w:bookmarkStart w:id="313" w:name="_Toc184312109"/>
      <w:bookmarkEnd w:id="313"/>
      <w:bookmarkStart w:id="314" w:name="_Toc184310332"/>
      <w:bookmarkEnd w:id="314"/>
      <w:bookmarkStart w:id="315" w:name="_Toc184310344"/>
      <w:bookmarkEnd w:id="315"/>
      <w:bookmarkStart w:id="316" w:name="_Toc184310301"/>
      <w:bookmarkEnd w:id="316"/>
      <w:bookmarkStart w:id="317" w:name="_Toc184310325"/>
      <w:bookmarkEnd w:id="317"/>
      <w:bookmarkStart w:id="318" w:name="_Toc184314432"/>
      <w:bookmarkEnd w:id="318"/>
      <w:bookmarkStart w:id="319" w:name="_Toc184308066"/>
      <w:bookmarkEnd w:id="319"/>
      <w:bookmarkStart w:id="320" w:name="_Toc184308046"/>
      <w:bookmarkEnd w:id="320"/>
      <w:bookmarkStart w:id="321" w:name="_Toc184313265"/>
      <w:bookmarkEnd w:id="321"/>
      <w:bookmarkStart w:id="322" w:name="_Toc184312117"/>
      <w:bookmarkEnd w:id="322"/>
      <w:bookmarkStart w:id="323" w:name="_Toc184308042"/>
      <w:bookmarkEnd w:id="323"/>
      <w:bookmarkStart w:id="324" w:name="_Toc184313305"/>
      <w:bookmarkEnd w:id="324"/>
      <w:bookmarkStart w:id="325" w:name="_Toc184313292"/>
      <w:bookmarkEnd w:id="325"/>
      <w:bookmarkStart w:id="326" w:name="_Toc184314415"/>
      <w:bookmarkEnd w:id="326"/>
      <w:bookmarkStart w:id="327" w:name="_Toc184313308"/>
      <w:bookmarkEnd w:id="327"/>
      <w:bookmarkStart w:id="328" w:name="_Toc184312106"/>
      <w:bookmarkEnd w:id="328"/>
      <w:bookmarkStart w:id="329" w:name="_Toc184314442"/>
      <w:bookmarkEnd w:id="329"/>
      <w:bookmarkStart w:id="330" w:name="_Toc184308082"/>
      <w:bookmarkEnd w:id="330"/>
      <w:bookmarkStart w:id="331" w:name="_Toc184312091"/>
      <w:bookmarkEnd w:id="331"/>
      <w:bookmarkStart w:id="332" w:name="_Toc184308043"/>
      <w:bookmarkEnd w:id="332"/>
      <w:bookmarkStart w:id="333" w:name="_Toc184308038"/>
      <w:bookmarkEnd w:id="333"/>
      <w:bookmarkStart w:id="334" w:name="_Toc184313281"/>
      <w:bookmarkEnd w:id="334"/>
      <w:bookmarkStart w:id="335" w:name="_Toc184312075"/>
      <w:bookmarkEnd w:id="335"/>
      <w:bookmarkStart w:id="336" w:name="_Toc184313286"/>
      <w:bookmarkEnd w:id="336"/>
      <w:bookmarkStart w:id="337" w:name="_Toc184312132"/>
      <w:bookmarkEnd w:id="337"/>
      <w:bookmarkStart w:id="338" w:name="_Toc184308084"/>
      <w:bookmarkEnd w:id="338"/>
      <w:bookmarkStart w:id="339" w:name="_Toc184312128"/>
      <w:bookmarkEnd w:id="339"/>
      <w:bookmarkStart w:id="340" w:name="_Toc184312111"/>
      <w:bookmarkEnd w:id="340"/>
      <w:bookmarkStart w:id="341" w:name="_Toc184312093"/>
      <w:bookmarkEnd w:id="341"/>
      <w:bookmarkStart w:id="342" w:name="_Toc184313302"/>
      <w:bookmarkEnd w:id="342"/>
      <w:bookmarkStart w:id="343" w:name="_Toc184314435"/>
      <w:bookmarkEnd w:id="343"/>
      <w:bookmarkStart w:id="344" w:name="_Toc184308094"/>
      <w:bookmarkEnd w:id="344"/>
      <w:bookmarkStart w:id="345" w:name="_Toc184308049"/>
      <w:bookmarkEnd w:id="345"/>
      <w:bookmarkStart w:id="346" w:name="_Toc184312101"/>
      <w:bookmarkEnd w:id="346"/>
      <w:bookmarkStart w:id="347" w:name="_Toc184312067"/>
      <w:bookmarkEnd w:id="347"/>
      <w:bookmarkStart w:id="348" w:name="_Toc184314468"/>
      <w:bookmarkEnd w:id="348"/>
      <w:bookmarkStart w:id="349" w:name="_Toc184312073"/>
      <w:bookmarkEnd w:id="349"/>
      <w:bookmarkStart w:id="350" w:name="_Toc184310336"/>
      <w:bookmarkEnd w:id="350"/>
      <w:bookmarkStart w:id="351" w:name="_Toc184310292"/>
      <w:bookmarkEnd w:id="351"/>
      <w:bookmarkStart w:id="352" w:name="_Toc184310313"/>
      <w:bookmarkEnd w:id="352"/>
      <w:bookmarkStart w:id="353" w:name="_Toc184312086"/>
      <w:bookmarkEnd w:id="353"/>
      <w:bookmarkStart w:id="354" w:name="_Toc184310318"/>
      <w:bookmarkEnd w:id="354"/>
      <w:bookmarkStart w:id="355" w:name="_Toc184313279"/>
      <w:bookmarkEnd w:id="355"/>
      <w:bookmarkStart w:id="356" w:name="_Toc184313303"/>
      <w:bookmarkEnd w:id="356"/>
      <w:bookmarkStart w:id="357" w:name="_Toc184310314"/>
      <w:bookmarkEnd w:id="357"/>
      <w:bookmarkStart w:id="358" w:name="_Toc184310340"/>
      <w:bookmarkEnd w:id="358"/>
      <w:bookmarkStart w:id="359" w:name="_Toc184313252"/>
      <w:bookmarkEnd w:id="359"/>
      <w:bookmarkStart w:id="360" w:name="_Toc184313277"/>
      <w:bookmarkEnd w:id="360"/>
      <w:bookmarkStart w:id="361" w:name="_Toc184310338"/>
      <w:bookmarkEnd w:id="361"/>
      <w:bookmarkStart w:id="362" w:name="_Toc184312079"/>
      <w:bookmarkEnd w:id="362"/>
      <w:bookmarkStart w:id="363" w:name="_Toc184312095"/>
      <w:bookmarkEnd w:id="363"/>
      <w:bookmarkStart w:id="364" w:name="_Toc184314456"/>
      <w:bookmarkEnd w:id="364"/>
      <w:bookmarkStart w:id="365" w:name="_Toc184312105"/>
      <w:bookmarkEnd w:id="365"/>
      <w:bookmarkStart w:id="366" w:name="_Toc184310317"/>
      <w:bookmarkEnd w:id="366"/>
      <w:bookmarkStart w:id="367" w:name="_Toc184308086"/>
      <w:bookmarkEnd w:id="367"/>
      <w:bookmarkStart w:id="368" w:name="_Toc184314452"/>
      <w:bookmarkEnd w:id="368"/>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办法</w:t>
      </w:r>
    </w:p>
    <w:p w14:paraId="327951E4">
      <w:pPr>
        <w:pStyle w:val="4"/>
        <w:keepNext w:val="0"/>
        <w:keepLines w:val="0"/>
        <w:pageBreakBefore w:val="0"/>
        <w:widowControl/>
        <w:kinsoku/>
        <w:wordWrap/>
        <w:overflowPunct/>
        <w:topLinePunct w:val="0"/>
        <w:autoSpaceDE/>
        <w:autoSpaceDN/>
        <w:bidi w:val="0"/>
        <w:adjustRightInd/>
        <w:snapToGrid/>
        <w:spacing w:before="0"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办法前附表</w:t>
      </w:r>
    </w:p>
    <w:p w14:paraId="3E40A25A">
      <w:pPr>
        <w:snapToGrid w:val="0"/>
        <w:spacing w:line="360" w:lineRule="auto"/>
        <w:jc w:val="center"/>
        <w:rPr>
          <w:rFonts w:hint="eastAsia" w:ascii="仿宋" w:hAnsi="仿宋" w:eastAsia="仿宋" w:cs="仿宋"/>
          <w:b/>
          <w:sz w:val="32"/>
          <w:szCs w:val="20"/>
        </w:rPr>
      </w:pPr>
      <w:r>
        <w:rPr>
          <w:rFonts w:hint="eastAsia" w:ascii="仿宋" w:hAnsi="仿宋" w:eastAsia="仿宋" w:cs="仿宋"/>
          <w:b/>
          <w:sz w:val="32"/>
          <w:szCs w:val="20"/>
        </w:rPr>
        <w:t>评标办法前附表</w:t>
      </w:r>
    </w:p>
    <w:p w14:paraId="7423DD24">
      <w:pPr>
        <w:widowControl/>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1、商务资信（</w:t>
      </w:r>
      <w:r>
        <w:rPr>
          <w:rFonts w:hint="eastAsia" w:ascii="仿宋" w:hAnsi="仿宋" w:eastAsia="仿宋" w:cs="仿宋"/>
          <w:sz w:val="24"/>
          <w:szCs w:val="24"/>
          <w:lang w:val="en-US" w:eastAsia="zh-CN"/>
        </w:rPr>
        <w:t>15</w:t>
      </w:r>
      <w:r>
        <w:rPr>
          <w:rFonts w:hint="eastAsia" w:ascii="仿宋" w:hAnsi="仿宋" w:eastAsia="仿宋" w:cs="仿宋"/>
          <w:sz w:val="24"/>
          <w:szCs w:val="24"/>
        </w:rPr>
        <w:t>分）</w:t>
      </w:r>
    </w:p>
    <w:tbl>
      <w:tblPr>
        <w:tblStyle w:val="26"/>
        <w:tblW w:w="9498" w:type="dxa"/>
        <w:tblInd w:w="-176" w:type="dxa"/>
        <w:tblLayout w:type="fixed"/>
        <w:tblCellMar>
          <w:top w:w="0" w:type="dxa"/>
          <w:left w:w="108" w:type="dxa"/>
          <w:bottom w:w="0" w:type="dxa"/>
          <w:right w:w="108" w:type="dxa"/>
        </w:tblCellMar>
      </w:tblPr>
      <w:tblGrid>
        <w:gridCol w:w="826"/>
        <w:gridCol w:w="579"/>
        <w:gridCol w:w="5967"/>
        <w:gridCol w:w="992"/>
        <w:gridCol w:w="1134"/>
      </w:tblGrid>
      <w:tr w14:paraId="31451276">
        <w:tblPrEx>
          <w:tblCellMar>
            <w:top w:w="0" w:type="dxa"/>
            <w:left w:w="108" w:type="dxa"/>
            <w:bottom w:w="0" w:type="dxa"/>
            <w:right w:w="108" w:type="dxa"/>
          </w:tblCellMar>
        </w:tblPrEx>
        <w:trPr>
          <w:trHeight w:val="934" w:hRule="atLeast"/>
        </w:trPr>
        <w:tc>
          <w:tcPr>
            <w:tcW w:w="826" w:type="dxa"/>
            <w:tcBorders>
              <w:top w:val="single" w:color="auto" w:sz="8" w:space="0"/>
              <w:left w:val="single" w:color="auto" w:sz="8" w:space="0"/>
              <w:bottom w:val="single" w:color="auto" w:sz="4" w:space="0"/>
              <w:right w:val="single" w:color="auto" w:sz="4" w:space="0"/>
            </w:tcBorders>
            <w:vAlign w:val="center"/>
          </w:tcPr>
          <w:p w14:paraId="4B6E3154">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序号</w:t>
            </w:r>
          </w:p>
        </w:tc>
        <w:tc>
          <w:tcPr>
            <w:tcW w:w="6546" w:type="dxa"/>
            <w:gridSpan w:val="2"/>
            <w:tcBorders>
              <w:top w:val="single" w:color="auto" w:sz="8" w:space="0"/>
              <w:left w:val="nil"/>
              <w:bottom w:val="single" w:color="auto" w:sz="4" w:space="0"/>
              <w:right w:val="single" w:color="auto" w:sz="4" w:space="0"/>
            </w:tcBorders>
            <w:vAlign w:val="center"/>
          </w:tcPr>
          <w:p w14:paraId="5E5F8EB6">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评分内容和标准</w:t>
            </w:r>
          </w:p>
        </w:tc>
        <w:tc>
          <w:tcPr>
            <w:tcW w:w="992" w:type="dxa"/>
            <w:tcBorders>
              <w:top w:val="single" w:color="auto" w:sz="8" w:space="0"/>
              <w:left w:val="nil"/>
              <w:bottom w:val="single" w:color="auto" w:sz="4" w:space="0"/>
              <w:right w:val="single" w:color="auto" w:sz="4" w:space="0"/>
            </w:tcBorders>
            <w:vAlign w:val="center"/>
          </w:tcPr>
          <w:p w14:paraId="7BA66195">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权重</w:t>
            </w:r>
          </w:p>
        </w:tc>
        <w:tc>
          <w:tcPr>
            <w:tcW w:w="1134" w:type="dxa"/>
            <w:tcBorders>
              <w:top w:val="single" w:color="auto" w:sz="8" w:space="0"/>
              <w:left w:val="nil"/>
              <w:bottom w:val="single" w:color="auto" w:sz="4" w:space="0"/>
              <w:right w:val="single" w:color="auto" w:sz="4" w:space="0"/>
            </w:tcBorders>
            <w:vAlign w:val="center"/>
          </w:tcPr>
          <w:p w14:paraId="52AC8DD3">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打分</w:t>
            </w:r>
          </w:p>
          <w:p w14:paraId="0EA848F4">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方法</w:t>
            </w:r>
          </w:p>
        </w:tc>
      </w:tr>
      <w:tr w14:paraId="76410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1" w:hRule="atLeast"/>
        </w:trPr>
        <w:tc>
          <w:tcPr>
            <w:tcW w:w="826" w:type="dxa"/>
            <w:vMerge w:val="restart"/>
            <w:vAlign w:val="center"/>
          </w:tcPr>
          <w:p w14:paraId="758000B4">
            <w:pPr>
              <w:pStyle w:val="17"/>
              <w:snapToGrid w:val="0"/>
              <w:spacing w:line="240" w:lineRule="auto"/>
              <w:ind w:firstLine="0" w:firstLineChars="0"/>
              <w:jc w:val="center"/>
              <w:rPr>
                <w:rFonts w:hint="eastAsia" w:ascii="仿宋" w:hAnsi="仿宋" w:eastAsia="仿宋" w:cs="仿宋"/>
                <w:sz w:val="24"/>
                <w:szCs w:val="24"/>
              </w:rPr>
            </w:pPr>
            <w:r>
              <w:rPr>
                <w:rFonts w:hint="eastAsia" w:ascii="仿宋" w:hAnsi="仿宋" w:eastAsia="仿宋" w:cs="仿宋"/>
                <w:sz w:val="24"/>
                <w:szCs w:val="24"/>
              </w:rPr>
              <w:t>商务资信分</w:t>
            </w:r>
          </w:p>
          <w:p w14:paraId="202D62DF">
            <w:pPr>
              <w:pStyle w:val="17"/>
              <w:snapToGrid w:val="0"/>
              <w:spacing w:line="240" w:lineRule="auto"/>
              <w:ind w:firstLine="0" w:firstLineChars="0"/>
              <w:jc w:val="center"/>
              <w:rPr>
                <w:rFonts w:hint="eastAsia" w:ascii="仿宋" w:hAnsi="仿宋" w:eastAsia="仿宋" w:cs="仿宋"/>
                <w:kern w:val="0"/>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15</w:t>
            </w:r>
            <w:r>
              <w:rPr>
                <w:rFonts w:hint="eastAsia" w:ascii="仿宋" w:hAnsi="仿宋" w:eastAsia="仿宋" w:cs="仿宋"/>
                <w:sz w:val="24"/>
                <w:szCs w:val="24"/>
              </w:rPr>
              <w:t>分）</w:t>
            </w:r>
          </w:p>
        </w:tc>
        <w:tc>
          <w:tcPr>
            <w:tcW w:w="579" w:type="dxa"/>
            <w:vAlign w:val="center"/>
          </w:tcPr>
          <w:p w14:paraId="75D5FC07">
            <w:pPr>
              <w:snapToGrid w:val="0"/>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5967" w:type="dxa"/>
            <w:vAlign w:val="center"/>
          </w:tcPr>
          <w:p w14:paraId="361BB553">
            <w:pPr>
              <w:rPr>
                <w:rFonts w:hint="eastAsia" w:ascii="仿宋" w:hAnsi="仿宋" w:eastAsia="仿宋" w:cs="仿宋"/>
                <w:kern w:val="0"/>
                <w:sz w:val="24"/>
                <w:szCs w:val="24"/>
              </w:rPr>
            </w:pPr>
            <w:r>
              <w:rPr>
                <w:rFonts w:hint="eastAsia" w:ascii="仿宋" w:hAnsi="仿宋" w:eastAsia="仿宋" w:cs="仿宋"/>
                <w:kern w:val="0"/>
                <w:sz w:val="24"/>
                <w:szCs w:val="24"/>
              </w:rPr>
              <w:t>响应人</w:t>
            </w:r>
            <w:r>
              <w:rPr>
                <w:rFonts w:hint="eastAsia" w:ascii="仿宋" w:hAnsi="仿宋" w:eastAsia="仿宋" w:cs="仿宋"/>
                <w:sz w:val="24"/>
                <w:szCs w:val="24"/>
              </w:rPr>
              <w:t>被评为四星级及以上品质旅行社的得</w:t>
            </w:r>
            <w:r>
              <w:rPr>
                <w:rFonts w:hint="eastAsia" w:ascii="仿宋" w:hAnsi="仿宋" w:eastAsia="仿宋" w:cs="仿宋"/>
                <w:sz w:val="24"/>
                <w:szCs w:val="24"/>
                <w:lang w:val="en-US" w:eastAsia="zh-CN"/>
              </w:rPr>
              <w:t>4</w:t>
            </w:r>
            <w:r>
              <w:rPr>
                <w:rFonts w:hint="eastAsia" w:ascii="仿宋" w:hAnsi="仿宋" w:eastAsia="仿宋" w:cs="仿宋"/>
                <w:sz w:val="24"/>
                <w:szCs w:val="24"/>
              </w:rPr>
              <w:t>分，被评为三星级品质旅行社的得2分，其余不得分。（</w:t>
            </w:r>
            <w:r>
              <w:rPr>
                <w:rFonts w:hint="eastAsia" w:ascii="仿宋" w:hAnsi="仿宋" w:eastAsia="仿宋" w:cs="仿宋"/>
                <w:sz w:val="24"/>
                <w:szCs w:val="24"/>
                <w:lang w:eastAsia="zh-CN"/>
              </w:rPr>
              <w:t>响应文件</w:t>
            </w:r>
            <w:r>
              <w:rPr>
                <w:rFonts w:hint="eastAsia" w:ascii="仿宋" w:hAnsi="仿宋" w:eastAsia="仿宋" w:cs="仿宋"/>
                <w:sz w:val="24"/>
                <w:szCs w:val="24"/>
              </w:rPr>
              <w:t>中提供当地旅游局等单位颁发的相关文件，加盖公章。）</w:t>
            </w:r>
          </w:p>
        </w:tc>
        <w:tc>
          <w:tcPr>
            <w:tcW w:w="992" w:type="dxa"/>
            <w:vAlign w:val="center"/>
          </w:tcPr>
          <w:p w14:paraId="105CF22F">
            <w:pPr>
              <w:snapToGrid w:val="0"/>
              <w:jc w:val="center"/>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分</w:t>
            </w:r>
          </w:p>
        </w:tc>
        <w:tc>
          <w:tcPr>
            <w:tcW w:w="1134" w:type="dxa"/>
            <w:vAlign w:val="center"/>
          </w:tcPr>
          <w:p w14:paraId="4BC1FB98">
            <w:pPr>
              <w:snapToGrid w:val="0"/>
              <w:jc w:val="center"/>
              <w:rPr>
                <w:rFonts w:hint="eastAsia" w:ascii="仿宋" w:hAnsi="仿宋" w:eastAsia="仿宋" w:cs="仿宋"/>
                <w:sz w:val="24"/>
                <w:szCs w:val="24"/>
              </w:rPr>
            </w:pPr>
            <w:r>
              <w:rPr>
                <w:rFonts w:hint="eastAsia" w:ascii="仿宋" w:hAnsi="仿宋" w:eastAsia="仿宋" w:cs="仿宋"/>
                <w:sz w:val="24"/>
                <w:szCs w:val="24"/>
              </w:rPr>
              <w:t>客观分</w:t>
            </w:r>
          </w:p>
        </w:tc>
      </w:tr>
      <w:tr w14:paraId="5B2FC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trPr>
        <w:tc>
          <w:tcPr>
            <w:tcW w:w="826" w:type="dxa"/>
            <w:vMerge w:val="continue"/>
            <w:vAlign w:val="center"/>
          </w:tcPr>
          <w:p w14:paraId="696C9656">
            <w:pPr>
              <w:pStyle w:val="17"/>
              <w:snapToGrid w:val="0"/>
              <w:spacing w:line="240" w:lineRule="auto"/>
              <w:ind w:firstLine="0" w:firstLineChars="0"/>
              <w:jc w:val="center"/>
              <w:rPr>
                <w:rFonts w:hint="eastAsia" w:ascii="仿宋" w:hAnsi="仿宋" w:eastAsia="仿宋" w:cs="仿宋"/>
                <w:sz w:val="24"/>
                <w:szCs w:val="24"/>
              </w:rPr>
            </w:pPr>
          </w:p>
        </w:tc>
        <w:tc>
          <w:tcPr>
            <w:tcW w:w="579" w:type="dxa"/>
            <w:vAlign w:val="center"/>
          </w:tcPr>
          <w:p w14:paraId="129C766C">
            <w:pPr>
              <w:snapToGrid w:val="0"/>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2</w:t>
            </w:r>
          </w:p>
        </w:tc>
        <w:tc>
          <w:tcPr>
            <w:tcW w:w="5967" w:type="dxa"/>
            <w:vAlign w:val="center"/>
          </w:tcPr>
          <w:p w14:paraId="43EECB1E">
            <w:pPr>
              <w:autoSpaceDE w:val="0"/>
              <w:autoSpaceDN w:val="0"/>
              <w:jc w:val="left"/>
              <w:rPr>
                <w:rFonts w:hint="eastAsia" w:ascii="仿宋" w:hAnsi="仿宋" w:eastAsia="仿宋" w:cs="仿宋"/>
                <w:sz w:val="24"/>
                <w:szCs w:val="24"/>
              </w:rPr>
            </w:pPr>
            <w:r>
              <w:rPr>
                <w:rFonts w:hint="eastAsia" w:ascii="仿宋" w:hAnsi="仿宋" w:eastAsia="仿宋" w:cs="仿宋"/>
                <w:kern w:val="0"/>
                <w:sz w:val="24"/>
                <w:szCs w:val="24"/>
              </w:rPr>
              <w:t>响应人</w:t>
            </w:r>
            <w:r>
              <w:rPr>
                <w:rFonts w:hint="eastAsia" w:ascii="仿宋" w:hAnsi="仿宋" w:eastAsia="仿宋" w:cs="仿宋"/>
                <w:color w:val="auto"/>
                <w:kern w:val="0"/>
                <w:sz w:val="24"/>
                <w:szCs w:val="24"/>
              </w:rPr>
              <w:t>自2</w:t>
            </w:r>
            <w:r>
              <w:rPr>
                <w:rFonts w:hint="eastAsia" w:ascii="仿宋" w:hAnsi="仿宋" w:eastAsia="仿宋" w:cs="仿宋"/>
                <w:color w:val="auto"/>
                <w:kern w:val="0"/>
                <w:sz w:val="24"/>
                <w:szCs w:val="24"/>
                <w:lang w:val="en-US" w:eastAsia="zh-CN"/>
              </w:rPr>
              <w:t>022</w:t>
            </w:r>
            <w:r>
              <w:rPr>
                <w:rFonts w:hint="eastAsia" w:ascii="仿宋" w:hAnsi="仿宋" w:eastAsia="仿宋" w:cs="仿宋"/>
                <w:color w:val="auto"/>
                <w:kern w:val="0"/>
                <w:sz w:val="24"/>
                <w:szCs w:val="24"/>
              </w:rPr>
              <w:t>年1月1日起，获得行政部门</w:t>
            </w:r>
            <w:r>
              <w:rPr>
                <w:rFonts w:hint="eastAsia" w:ascii="仿宋" w:hAnsi="仿宋" w:eastAsia="仿宋" w:cs="仿宋"/>
                <w:color w:val="auto"/>
                <w:kern w:val="0"/>
                <w:sz w:val="24"/>
                <w:szCs w:val="24"/>
                <w:lang w:val="en-US" w:eastAsia="zh-CN"/>
              </w:rPr>
              <w:t>或行业协会</w:t>
            </w:r>
            <w:r>
              <w:rPr>
                <w:rFonts w:hint="eastAsia" w:ascii="仿宋" w:hAnsi="仿宋" w:eastAsia="仿宋" w:cs="仿宋"/>
                <w:color w:val="auto"/>
                <w:kern w:val="0"/>
                <w:sz w:val="24"/>
                <w:szCs w:val="24"/>
              </w:rPr>
              <w:t>颁发的区（县）级荣誉的，每个得</w:t>
            </w: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rPr>
              <w:t>分，最多得</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分；</w:t>
            </w:r>
            <w:r>
              <w:rPr>
                <w:rFonts w:hint="eastAsia" w:ascii="仿宋" w:hAnsi="仿宋" w:eastAsia="仿宋" w:cs="仿宋"/>
                <w:color w:val="auto"/>
                <w:kern w:val="0"/>
                <w:sz w:val="24"/>
                <w:szCs w:val="24"/>
                <w:lang w:val="en-US" w:eastAsia="zh-CN"/>
              </w:rPr>
              <w:t>市级及以上</w:t>
            </w:r>
            <w:r>
              <w:rPr>
                <w:rFonts w:hint="eastAsia" w:ascii="仿宋" w:hAnsi="仿宋" w:eastAsia="仿宋" w:cs="仿宋"/>
                <w:color w:val="auto"/>
                <w:kern w:val="0"/>
                <w:sz w:val="24"/>
                <w:szCs w:val="24"/>
              </w:rPr>
              <w:t>荣誉的，每个得</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分，最多得</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分。（</w:t>
            </w:r>
            <w:r>
              <w:rPr>
                <w:rFonts w:hint="eastAsia" w:ascii="仿宋" w:hAnsi="仿宋" w:eastAsia="仿宋" w:cs="仿宋"/>
                <w:sz w:val="24"/>
                <w:szCs w:val="24"/>
                <w:lang w:eastAsia="zh-CN"/>
              </w:rPr>
              <w:t>响应文件</w:t>
            </w:r>
            <w:r>
              <w:rPr>
                <w:rFonts w:hint="eastAsia" w:ascii="仿宋" w:hAnsi="仿宋" w:eastAsia="仿宋" w:cs="仿宋"/>
                <w:color w:val="auto"/>
                <w:kern w:val="0"/>
                <w:sz w:val="24"/>
                <w:szCs w:val="24"/>
              </w:rPr>
              <w:t>中提供荣誉证书复印件，加盖公章。荣誉证书高级别可代替低级别使用。）</w:t>
            </w:r>
          </w:p>
        </w:tc>
        <w:tc>
          <w:tcPr>
            <w:tcW w:w="992" w:type="dxa"/>
            <w:vAlign w:val="center"/>
          </w:tcPr>
          <w:p w14:paraId="6C50D659">
            <w:pPr>
              <w:snapToGrid w:val="0"/>
              <w:jc w:val="center"/>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分</w:t>
            </w:r>
          </w:p>
        </w:tc>
        <w:tc>
          <w:tcPr>
            <w:tcW w:w="1134" w:type="dxa"/>
            <w:vAlign w:val="center"/>
          </w:tcPr>
          <w:p w14:paraId="7B75A5EE">
            <w:pPr>
              <w:snapToGrid w:val="0"/>
              <w:jc w:val="center"/>
              <w:rPr>
                <w:rFonts w:hint="eastAsia" w:ascii="仿宋" w:hAnsi="仿宋" w:eastAsia="仿宋" w:cs="仿宋"/>
                <w:sz w:val="24"/>
                <w:szCs w:val="24"/>
              </w:rPr>
            </w:pPr>
            <w:r>
              <w:rPr>
                <w:rFonts w:hint="eastAsia" w:ascii="仿宋" w:hAnsi="仿宋" w:eastAsia="仿宋" w:cs="仿宋"/>
                <w:sz w:val="24"/>
                <w:szCs w:val="24"/>
              </w:rPr>
              <w:t>客观分</w:t>
            </w:r>
          </w:p>
        </w:tc>
      </w:tr>
      <w:tr w14:paraId="3BCE2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7" w:hRule="atLeast"/>
        </w:trPr>
        <w:tc>
          <w:tcPr>
            <w:tcW w:w="826" w:type="dxa"/>
            <w:vMerge w:val="continue"/>
            <w:vAlign w:val="center"/>
          </w:tcPr>
          <w:p w14:paraId="338F08F4">
            <w:pPr>
              <w:pStyle w:val="17"/>
              <w:snapToGrid w:val="0"/>
              <w:spacing w:line="240" w:lineRule="auto"/>
              <w:ind w:firstLine="0" w:firstLineChars="0"/>
              <w:jc w:val="center"/>
              <w:rPr>
                <w:rFonts w:hint="eastAsia" w:ascii="仿宋" w:hAnsi="仿宋" w:eastAsia="仿宋" w:cs="仿宋"/>
                <w:sz w:val="24"/>
                <w:szCs w:val="24"/>
              </w:rPr>
            </w:pPr>
          </w:p>
        </w:tc>
        <w:tc>
          <w:tcPr>
            <w:tcW w:w="579" w:type="dxa"/>
            <w:vAlign w:val="center"/>
          </w:tcPr>
          <w:p w14:paraId="386D91F7">
            <w:pPr>
              <w:snapToGrid w:val="0"/>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3</w:t>
            </w:r>
          </w:p>
        </w:tc>
        <w:tc>
          <w:tcPr>
            <w:tcW w:w="5967" w:type="dxa"/>
            <w:vAlign w:val="center"/>
          </w:tcPr>
          <w:p w14:paraId="7A1F5D91">
            <w:pPr>
              <w:rPr>
                <w:rFonts w:hint="eastAsia" w:ascii="仿宋" w:hAnsi="仿宋" w:eastAsia="仿宋" w:cs="仿宋"/>
                <w:kern w:val="0"/>
                <w:sz w:val="24"/>
                <w:szCs w:val="24"/>
              </w:rPr>
            </w:pPr>
            <w:r>
              <w:rPr>
                <w:rFonts w:hint="eastAsia" w:ascii="仿宋" w:hAnsi="仿宋" w:eastAsia="仿宋" w:cs="仿宋"/>
                <w:kern w:val="0"/>
                <w:sz w:val="24"/>
                <w:szCs w:val="24"/>
              </w:rPr>
              <w:t>响应人自202</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年1月1日起具有类似项目合同业绩的每个得0.5分，最高得</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响应文件</w:t>
            </w:r>
            <w:r>
              <w:rPr>
                <w:rFonts w:hint="eastAsia" w:ascii="仿宋" w:hAnsi="仿宋" w:eastAsia="仿宋" w:cs="仿宋"/>
                <w:kern w:val="0"/>
                <w:sz w:val="24"/>
                <w:szCs w:val="24"/>
              </w:rPr>
              <w:t>中提供合同复印件，加盖公章。）</w:t>
            </w:r>
          </w:p>
        </w:tc>
        <w:tc>
          <w:tcPr>
            <w:tcW w:w="992" w:type="dxa"/>
            <w:vAlign w:val="center"/>
          </w:tcPr>
          <w:p w14:paraId="343D25A0">
            <w:pPr>
              <w:snapToGrid w:val="0"/>
              <w:jc w:val="center"/>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分</w:t>
            </w:r>
          </w:p>
        </w:tc>
        <w:tc>
          <w:tcPr>
            <w:tcW w:w="1134" w:type="dxa"/>
            <w:vAlign w:val="center"/>
          </w:tcPr>
          <w:p w14:paraId="13D6008F">
            <w:pPr>
              <w:snapToGrid w:val="0"/>
              <w:jc w:val="center"/>
              <w:rPr>
                <w:rFonts w:hint="eastAsia" w:ascii="仿宋" w:hAnsi="仿宋" w:eastAsia="仿宋" w:cs="仿宋"/>
                <w:sz w:val="24"/>
                <w:szCs w:val="24"/>
              </w:rPr>
            </w:pPr>
            <w:r>
              <w:rPr>
                <w:rFonts w:hint="eastAsia" w:ascii="仿宋" w:hAnsi="仿宋" w:eastAsia="仿宋" w:cs="仿宋"/>
                <w:sz w:val="24"/>
                <w:szCs w:val="24"/>
              </w:rPr>
              <w:t>客观分</w:t>
            </w:r>
          </w:p>
        </w:tc>
      </w:tr>
      <w:tr w14:paraId="3754F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trPr>
        <w:tc>
          <w:tcPr>
            <w:tcW w:w="826" w:type="dxa"/>
            <w:vMerge w:val="continue"/>
            <w:vAlign w:val="center"/>
          </w:tcPr>
          <w:p w14:paraId="228BA3E5">
            <w:pPr>
              <w:pStyle w:val="17"/>
              <w:snapToGrid w:val="0"/>
              <w:spacing w:line="240" w:lineRule="auto"/>
              <w:ind w:firstLine="0" w:firstLineChars="0"/>
              <w:jc w:val="center"/>
              <w:rPr>
                <w:rFonts w:hint="eastAsia" w:ascii="仿宋" w:hAnsi="仿宋" w:eastAsia="仿宋" w:cs="仿宋"/>
                <w:sz w:val="24"/>
                <w:szCs w:val="24"/>
              </w:rPr>
            </w:pPr>
          </w:p>
        </w:tc>
        <w:tc>
          <w:tcPr>
            <w:tcW w:w="579" w:type="dxa"/>
            <w:vAlign w:val="center"/>
          </w:tcPr>
          <w:p w14:paraId="549E6A24">
            <w:pPr>
              <w:snapToGrid w:val="0"/>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4</w:t>
            </w:r>
          </w:p>
        </w:tc>
        <w:tc>
          <w:tcPr>
            <w:tcW w:w="5967" w:type="dxa"/>
            <w:vAlign w:val="center"/>
          </w:tcPr>
          <w:p w14:paraId="5392E9CE">
            <w:pPr>
              <w:rPr>
                <w:rFonts w:hint="eastAsia" w:ascii="仿宋" w:hAnsi="仿宋" w:eastAsia="仿宋" w:cs="仿宋"/>
                <w:kern w:val="0"/>
                <w:sz w:val="24"/>
                <w:szCs w:val="24"/>
              </w:rPr>
            </w:pPr>
            <w:r>
              <w:rPr>
                <w:rFonts w:hint="eastAsia" w:ascii="仿宋" w:hAnsi="仿宋" w:eastAsia="仿宋" w:cs="仿宋"/>
                <w:kern w:val="0"/>
                <w:sz w:val="24"/>
                <w:szCs w:val="24"/>
              </w:rPr>
              <w:t>根据</w:t>
            </w:r>
            <w:r>
              <w:rPr>
                <w:rFonts w:hint="eastAsia" w:ascii="仿宋" w:hAnsi="仿宋" w:eastAsia="仿宋" w:cs="仿宋"/>
                <w:sz w:val="24"/>
                <w:szCs w:val="24"/>
                <w:lang w:eastAsia="zh-CN"/>
              </w:rPr>
              <w:t>响应文件</w:t>
            </w:r>
            <w:r>
              <w:rPr>
                <w:rFonts w:hint="eastAsia" w:ascii="仿宋" w:hAnsi="仿宋" w:eastAsia="仿宋" w:cs="仿宋"/>
                <w:kern w:val="0"/>
                <w:sz w:val="24"/>
                <w:szCs w:val="24"/>
              </w:rPr>
              <w:t>中提供的响应人202</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年1月1日以来已完成的类似项目获得所服务的业主单位满意评价的，每提供1份得1分，满分</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rPr>
              <w:t>分。（</w:t>
            </w:r>
            <w:r>
              <w:rPr>
                <w:rFonts w:hint="eastAsia" w:ascii="仿宋" w:hAnsi="仿宋" w:eastAsia="仿宋" w:cs="仿宋"/>
                <w:sz w:val="24"/>
                <w:szCs w:val="24"/>
                <w:lang w:eastAsia="zh-CN"/>
              </w:rPr>
              <w:t>响应文件</w:t>
            </w:r>
            <w:r>
              <w:rPr>
                <w:rFonts w:hint="eastAsia" w:ascii="仿宋" w:hAnsi="仿宋" w:eastAsia="仿宋" w:cs="仿宋"/>
                <w:kern w:val="0"/>
                <w:sz w:val="24"/>
                <w:szCs w:val="24"/>
              </w:rPr>
              <w:t>中提供满意评价证明材料，格式不做要求，但须加盖业主公章</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w:t>
            </w:r>
          </w:p>
        </w:tc>
        <w:tc>
          <w:tcPr>
            <w:tcW w:w="992" w:type="dxa"/>
            <w:vAlign w:val="center"/>
          </w:tcPr>
          <w:p w14:paraId="3B842E51">
            <w:pPr>
              <w:snapToGrid w:val="0"/>
              <w:jc w:val="center"/>
              <w:rPr>
                <w:rFonts w:hint="eastAsia" w:ascii="仿宋" w:hAnsi="仿宋" w:eastAsia="仿宋" w:cs="仿宋"/>
                <w:sz w:val="24"/>
                <w:szCs w:val="24"/>
              </w:rPr>
            </w:pPr>
            <w:r>
              <w:rPr>
                <w:rFonts w:hint="eastAsia" w:ascii="仿宋" w:hAnsi="仿宋" w:eastAsia="仿宋" w:cs="仿宋"/>
                <w:sz w:val="24"/>
                <w:szCs w:val="24"/>
                <w:lang w:val="en-US" w:eastAsia="zh-CN"/>
              </w:rPr>
              <w:t>4</w:t>
            </w:r>
            <w:r>
              <w:rPr>
                <w:rFonts w:hint="eastAsia" w:ascii="仿宋" w:hAnsi="仿宋" w:eastAsia="仿宋" w:cs="仿宋"/>
                <w:sz w:val="24"/>
                <w:szCs w:val="24"/>
              </w:rPr>
              <w:t>分</w:t>
            </w:r>
          </w:p>
        </w:tc>
        <w:tc>
          <w:tcPr>
            <w:tcW w:w="1134" w:type="dxa"/>
            <w:vAlign w:val="center"/>
          </w:tcPr>
          <w:p w14:paraId="6D76CABF">
            <w:pPr>
              <w:snapToGrid w:val="0"/>
              <w:jc w:val="center"/>
              <w:rPr>
                <w:rFonts w:hint="eastAsia" w:ascii="仿宋" w:hAnsi="仿宋" w:eastAsia="仿宋" w:cs="仿宋"/>
                <w:sz w:val="24"/>
                <w:szCs w:val="24"/>
              </w:rPr>
            </w:pPr>
            <w:r>
              <w:rPr>
                <w:rFonts w:hint="eastAsia" w:ascii="仿宋" w:hAnsi="仿宋" w:eastAsia="仿宋" w:cs="仿宋"/>
                <w:sz w:val="24"/>
                <w:szCs w:val="24"/>
              </w:rPr>
              <w:t>客观分</w:t>
            </w:r>
          </w:p>
        </w:tc>
      </w:tr>
    </w:tbl>
    <w:p w14:paraId="5B797F82">
      <w:pPr>
        <w:widowControl/>
        <w:snapToGrid w:val="0"/>
        <w:rPr>
          <w:rFonts w:hint="eastAsia" w:ascii="仿宋" w:hAnsi="仿宋" w:eastAsia="仿宋" w:cs="仿宋"/>
          <w:sz w:val="24"/>
          <w:szCs w:val="24"/>
        </w:rPr>
      </w:pPr>
    </w:p>
    <w:p w14:paraId="550FE0FD">
      <w:pPr>
        <w:widowControl/>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2、技术和服务方案（</w:t>
      </w:r>
      <w:r>
        <w:rPr>
          <w:rFonts w:hint="eastAsia" w:ascii="仿宋" w:hAnsi="仿宋" w:eastAsia="仿宋" w:cs="仿宋"/>
          <w:sz w:val="24"/>
          <w:szCs w:val="24"/>
          <w:lang w:val="en-US" w:eastAsia="zh-CN"/>
        </w:rPr>
        <w:t>75</w:t>
      </w:r>
      <w:r>
        <w:rPr>
          <w:rFonts w:hint="eastAsia" w:ascii="仿宋" w:hAnsi="仿宋" w:eastAsia="仿宋" w:cs="仿宋"/>
          <w:sz w:val="24"/>
          <w:szCs w:val="24"/>
        </w:rPr>
        <w:t>分）</w:t>
      </w:r>
    </w:p>
    <w:tbl>
      <w:tblPr>
        <w:tblStyle w:val="27"/>
        <w:tblW w:w="97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8"/>
        <w:gridCol w:w="696"/>
        <w:gridCol w:w="1127"/>
        <w:gridCol w:w="5775"/>
        <w:gridCol w:w="800"/>
        <w:gridCol w:w="898"/>
      </w:tblGrid>
      <w:tr w14:paraId="17818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50" w:hRule="atLeast"/>
          <w:jc w:val="center"/>
        </w:trPr>
        <w:tc>
          <w:tcPr>
            <w:tcW w:w="488" w:type="dxa"/>
            <w:vAlign w:val="center"/>
          </w:tcPr>
          <w:p w14:paraId="1B9BFFC0">
            <w:pPr>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7598" w:type="dxa"/>
            <w:gridSpan w:val="3"/>
            <w:vAlign w:val="center"/>
          </w:tcPr>
          <w:p w14:paraId="15208780">
            <w:pPr>
              <w:jc w:val="center"/>
              <w:rPr>
                <w:rFonts w:hint="eastAsia" w:ascii="仿宋" w:hAnsi="仿宋" w:eastAsia="仿宋" w:cs="仿宋"/>
                <w:color w:val="auto"/>
                <w:sz w:val="24"/>
                <w:szCs w:val="24"/>
              </w:rPr>
            </w:pPr>
            <w:r>
              <w:rPr>
                <w:rFonts w:hint="eastAsia" w:ascii="仿宋" w:hAnsi="仿宋" w:eastAsia="仿宋" w:cs="仿宋"/>
                <w:color w:val="auto"/>
                <w:sz w:val="24"/>
                <w:szCs w:val="24"/>
              </w:rPr>
              <w:t>评分内容和标准</w:t>
            </w:r>
          </w:p>
        </w:tc>
        <w:tc>
          <w:tcPr>
            <w:tcW w:w="800" w:type="dxa"/>
            <w:vAlign w:val="center"/>
          </w:tcPr>
          <w:p w14:paraId="30D6C6FF">
            <w:pPr>
              <w:jc w:val="center"/>
              <w:rPr>
                <w:rFonts w:hint="eastAsia" w:ascii="仿宋" w:hAnsi="仿宋" w:eastAsia="仿宋" w:cs="仿宋"/>
                <w:color w:val="auto"/>
                <w:sz w:val="24"/>
                <w:szCs w:val="24"/>
              </w:rPr>
            </w:pPr>
            <w:r>
              <w:rPr>
                <w:rFonts w:hint="eastAsia" w:ascii="仿宋" w:hAnsi="仿宋" w:eastAsia="仿宋" w:cs="仿宋"/>
                <w:kern w:val="0"/>
                <w:sz w:val="24"/>
                <w:szCs w:val="24"/>
              </w:rPr>
              <w:t>权重</w:t>
            </w:r>
          </w:p>
        </w:tc>
        <w:tc>
          <w:tcPr>
            <w:tcW w:w="898" w:type="dxa"/>
            <w:vAlign w:val="center"/>
          </w:tcPr>
          <w:p w14:paraId="2B7AD221">
            <w:pPr>
              <w:jc w:val="center"/>
              <w:rPr>
                <w:rFonts w:hint="eastAsia" w:ascii="仿宋" w:hAnsi="仿宋" w:eastAsia="仿宋" w:cs="仿宋"/>
                <w:color w:val="auto"/>
                <w:sz w:val="24"/>
                <w:szCs w:val="24"/>
              </w:rPr>
            </w:pPr>
            <w:r>
              <w:rPr>
                <w:rFonts w:hint="eastAsia" w:ascii="仿宋" w:hAnsi="仿宋" w:eastAsia="仿宋" w:cs="仿宋"/>
                <w:color w:val="auto"/>
                <w:sz w:val="24"/>
                <w:szCs w:val="24"/>
              </w:rPr>
              <w:t>主客</w:t>
            </w:r>
          </w:p>
          <w:p w14:paraId="57112673">
            <w:pPr>
              <w:jc w:val="center"/>
              <w:rPr>
                <w:rFonts w:hint="eastAsia" w:ascii="仿宋" w:hAnsi="仿宋" w:eastAsia="仿宋" w:cs="仿宋"/>
                <w:color w:val="auto"/>
                <w:sz w:val="24"/>
                <w:szCs w:val="24"/>
              </w:rPr>
            </w:pPr>
            <w:r>
              <w:rPr>
                <w:rFonts w:hint="eastAsia" w:ascii="仿宋" w:hAnsi="仿宋" w:eastAsia="仿宋" w:cs="仿宋"/>
                <w:color w:val="auto"/>
                <w:sz w:val="24"/>
                <w:szCs w:val="24"/>
              </w:rPr>
              <w:t>观分</w:t>
            </w:r>
          </w:p>
        </w:tc>
      </w:tr>
      <w:tr w14:paraId="5C2C9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8" w:hRule="atLeast"/>
          <w:jc w:val="center"/>
        </w:trPr>
        <w:tc>
          <w:tcPr>
            <w:tcW w:w="488" w:type="dxa"/>
            <w:vAlign w:val="center"/>
          </w:tcPr>
          <w:p w14:paraId="745C4F5A">
            <w:pPr>
              <w:pStyle w:val="49"/>
              <w:spacing w:line="240" w:lineRule="auto"/>
              <w:ind w:firstLine="0" w:firstLineChars="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5</w:t>
            </w:r>
          </w:p>
        </w:tc>
        <w:tc>
          <w:tcPr>
            <w:tcW w:w="696" w:type="dxa"/>
            <w:vMerge w:val="restart"/>
            <w:vAlign w:val="center"/>
          </w:tcPr>
          <w:p w14:paraId="23F6AAF7">
            <w:pPr>
              <w:jc w:val="center"/>
              <w:rPr>
                <w:rFonts w:hint="eastAsia" w:ascii="仿宋" w:hAnsi="仿宋" w:eastAsia="仿宋" w:cs="仿宋"/>
                <w:color w:val="auto"/>
                <w:sz w:val="24"/>
                <w:szCs w:val="24"/>
              </w:rPr>
            </w:pPr>
            <w:r>
              <w:rPr>
                <w:rFonts w:hint="eastAsia" w:ascii="仿宋" w:hAnsi="仿宋" w:eastAsia="仿宋" w:cs="仿宋"/>
                <w:color w:val="auto"/>
                <w:sz w:val="24"/>
                <w:szCs w:val="24"/>
              </w:rPr>
              <w:t>技术和服务方案</w:t>
            </w:r>
          </w:p>
          <w:p w14:paraId="665A14F2">
            <w:pPr>
              <w:pStyle w:val="49"/>
              <w:spacing w:line="240" w:lineRule="auto"/>
              <w:ind w:firstLine="0" w:firstLineChars="0"/>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75</w:t>
            </w:r>
            <w:r>
              <w:rPr>
                <w:rFonts w:hint="eastAsia" w:ascii="仿宋" w:hAnsi="仿宋" w:eastAsia="仿宋" w:cs="仿宋"/>
                <w:color w:val="auto"/>
                <w:sz w:val="24"/>
                <w:szCs w:val="24"/>
              </w:rPr>
              <w:t>分）</w:t>
            </w:r>
          </w:p>
        </w:tc>
        <w:tc>
          <w:tcPr>
            <w:tcW w:w="6902" w:type="dxa"/>
            <w:gridSpan w:val="2"/>
            <w:vAlign w:val="center"/>
          </w:tcPr>
          <w:p w14:paraId="6117E596">
            <w:pP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根据提供详细疗休养整体方案（包括吃、行、线路策划等方案以及对本次疗休养主题的吻合程度）综合评定。方案内容完整且与项目匹配度好的得5分；方案内容基本完整且与项目匹配度较好的得3分；方案内容存在欠缺或与项目匹配度一般的得1分；方案内容缺失严重或与项目不匹配的不得分。</w:t>
            </w:r>
          </w:p>
        </w:tc>
        <w:tc>
          <w:tcPr>
            <w:tcW w:w="800" w:type="dxa"/>
            <w:vAlign w:val="center"/>
          </w:tcPr>
          <w:p w14:paraId="2989F236">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w:t>
            </w:r>
          </w:p>
        </w:tc>
        <w:tc>
          <w:tcPr>
            <w:tcW w:w="898" w:type="dxa"/>
            <w:vAlign w:val="center"/>
          </w:tcPr>
          <w:p w14:paraId="15DD4141">
            <w:pPr>
              <w:jc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主观分</w:t>
            </w:r>
          </w:p>
        </w:tc>
      </w:tr>
      <w:tr w14:paraId="63B9D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jc w:val="center"/>
        </w:trPr>
        <w:tc>
          <w:tcPr>
            <w:tcW w:w="488" w:type="dxa"/>
            <w:vMerge w:val="restart"/>
            <w:vAlign w:val="center"/>
          </w:tcPr>
          <w:p w14:paraId="5370B04F">
            <w:pPr>
              <w:pStyle w:val="49"/>
              <w:spacing w:line="240" w:lineRule="auto"/>
              <w:ind w:firstLine="0" w:firstLineChars="0"/>
              <w:jc w:val="center"/>
              <w:rPr>
                <w:rFonts w:hint="eastAsia" w:ascii="仿宋" w:hAnsi="仿宋" w:eastAsia="仿宋" w:cs="仿宋"/>
                <w:color w:val="FF0000"/>
                <w:kern w:val="2"/>
                <w:sz w:val="24"/>
                <w:szCs w:val="24"/>
                <w:lang w:val="en-US" w:eastAsia="zh-CN" w:bidi="ar-SA"/>
              </w:rPr>
            </w:pPr>
            <w:r>
              <w:rPr>
                <w:rFonts w:hint="eastAsia" w:ascii="仿宋" w:hAnsi="仿宋" w:eastAsia="仿宋" w:cs="仿宋"/>
                <w:color w:val="auto"/>
                <w:sz w:val="24"/>
                <w:szCs w:val="24"/>
                <w:lang w:val="en-US" w:eastAsia="zh-CN"/>
              </w:rPr>
              <w:t>6</w:t>
            </w:r>
          </w:p>
        </w:tc>
        <w:tc>
          <w:tcPr>
            <w:tcW w:w="696" w:type="dxa"/>
            <w:vMerge w:val="continue"/>
            <w:vAlign w:val="center"/>
          </w:tcPr>
          <w:p w14:paraId="3897848D">
            <w:pPr>
              <w:pStyle w:val="49"/>
              <w:spacing w:line="240" w:lineRule="auto"/>
              <w:ind w:firstLine="0" w:firstLineChars="0"/>
              <w:rPr>
                <w:rFonts w:hint="eastAsia" w:ascii="仿宋" w:hAnsi="仿宋" w:eastAsia="仿宋" w:cs="仿宋"/>
                <w:color w:val="FF0000"/>
                <w:sz w:val="24"/>
                <w:szCs w:val="24"/>
              </w:rPr>
            </w:pPr>
          </w:p>
        </w:tc>
        <w:tc>
          <w:tcPr>
            <w:tcW w:w="1127" w:type="dxa"/>
            <w:vMerge w:val="restart"/>
            <w:vAlign w:val="center"/>
          </w:tcPr>
          <w:p w14:paraId="51461B4C">
            <w:pPr>
              <w:jc w:val="center"/>
              <w:rPr>
                <w:rFonts w:hint="eastAsia" w:ascii="仿宋" w:hAnsi="仿宋" w:eastAsia="仿宋" w:cs="仿宋"/>
                <w:color w:val="FF0000"/>
                <w:sz w:val="24"/>
                <w:szCs w:val="24"/>
                <w:highlight w:val="green"/>
                <w:lang w:val="en-US" w:eastAsia="zh-CN"/>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根据疗休养期间住宿安排方案综合评定</w:t>
            </w:r>
          </w:p>
        </w:tc>
        <w:tc>
          <w:tcPr>
            <w:tcW w:w="5775" w:type="dxa"/>
            <w:vAlign w:val="center"/>
          </w:tcPr>
          <w:p w14:paraId="713FC0DB">
            <w:pPr>
              <w:rPr>
                <w:rFonts w:hint="eastAsia" w:ascii="仿宋" w:hAnsi="仿宋" w:eastAsia="仿宋" w:cs="仿宋"/>
                <w:color w:val="FF0000"/>
                <w:sz w:val="24"/>
                <w:szCs w:val="24"/>
                <w:highlight w:val="green"/>
                <w:lang w:val="en-US" w:eastAsia="zh-CN"/>
              </w:rPr>
            </w:pPr>
            <w:r>
              <w:rPr>
                <w:rFonts w:hint="eastAsia" w:ascii="仿宋" w:hAnsi="仿宋" w:eastAsia="仿宋" w:cs="仿宋"/>
                <w:bCs/>
                <w:sz w:val="24"/>
                <w:szCs w:val="24"/>
              </w:rPr>
              <w:t>四川康定线路</w:t>
            </w:r>
            <w:r>
              <w:rPr>
                <w:rFonts w:hint="eastAsia" w:ascii="仿宋" w:hAnsi="仿宋" w:eastAsia="仿宋" w:cs="仿宋"/>
                <w:kern w:val="0"/>
                <w:sz w:val="24"/>
                <w:szCs w:val="24"/>
              </w:rPr>
              <w:t>住宿酒店满足国内</w:t>
            </w:r>
            <w:r>
              <w:rPr>
                <w:rFonts w:hint="eastAsia" w:ascii="仿宋" w:hAnsi="仿宋" w:eastAsia="仿宋" w:cs="仿宋"/>
                <w:bCs/>
                <w:sz w:val="24"/>
                <w:szCs w:val="24"/>
              </w:rPr>
              <w:t>挂牌三星级或网评四钻酒店；其他路线</w:t>
            </w:r>
            <w:r>
              <w:rPr>
                <w:rFonts w:hint="eastAsia" w:ascii="仿宋" w:hAnsi="仿宋" w:eastAsia="仿宋" w:cs="仿宋"/>
                <w:kern w:val="0"/>
                <w:sz w:val="24"/>
                <w:szCs w:val="24"/>
              </w:rPr>
              <w:t>住宿酒店满足国内挂牌四星或同等标准（含），住宿为标准间，得基础分</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分。</w:t>
            </w:r>
          </w:p>
        </w:tc>
        <w:tc>
          <w:tcPr>
            <w:tcW w:w="800" w:type="dxa"/>
            <w:vAlign w:val="center"/>
          </w:tcPr>
          <w:p w14:paraId="21EB1926">
            <w:pPr>
              <w:widowControl/>
              <w:jc w:val="center"/>
              <w:textAlignment w:val="center"/>
              <w:rPr>
                <w:rFonts w:hint="eastAsia" w:ascii="仿宋" w:hAnsi="仿宋" w:eastAsia="仿宋" w:cs="仿宋"/>
                <w:color w:val="FF0000"/>
                <w:sz w:val="24"/>
                <w:szCs w:val="24"/>
                <w:highlight w:val="green"/>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w:t>
            </w:r>
          </w:p>
        </w:tc>
        <w:tc>
          <w:tcPr>
            <w:tcW w:w="898" w:type="dxa"/>
            <w:vAlign w:val="center"/>
          </w:tcPr>
          <w:p w14:paraId="25A36005">
            <w:pPr>
              <w:jc w:val="center"/>
              <w:rPr>
                <w:rFonts w:hint="eastAsia" w:ascii="仿宋" w:hAnsi="仿宋" w:eastAsia="仿宋" w:cs="仿宋"/>
                <w:color w:val="FF0000"/>
                <w:kern w:val="0"/>
                <w:sz w:val="24"/>
                <w:szCs w:val="24"/>
                <w:highlight w:val="green"/>
                <w:lang w:bidi="ar"/>
              </w:rPr>
            </w:pPr>
            <w:r>
              <w:rPr>
                <w:rFonts w:hint="eastAsia" w:ascii="仿宋" w:hAnsi="仿宋" w:eastAsia="仿宋" w:cs="仿宋"/>
                <w:sz w:val="24"/>
                <w:szCs w:val="24"/>
              </w:rPr>
              <w:t>客观分</w:t>
            </w:r>
          </w:p>
        </w:tc>
      </w:tr>
      <w:tr w14:paraId="76105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jc w:val="center"/>
        </w:trPr>
        <w:tc>
          <w:tcPr>
            <w:tcW w:w="488" w:type="dxa"/>
            <w:vMerge w:val="continue"/>
            <w:vAlign w:val="center"/>
          </w:tcPr>
          <w:p w14:paraId="5EABA3B8">
            <w:pPr>
              <w:pStyle w:val="49"/>
              <w:spacing w:line="240" w:lineRule="auto"/>
              <w:ind w:firstLine="0" w:firstLineChars="0"/>
              <w:jc w:val="center"/>
              <w:rPr>
                <w:rFonts w:hint="eastAsia" w:ascii="仿宋" w:hAnsi="仿宋" w:eastAsia="仿宋" w:cs="仿宋"/>
                <w:color w:val="auto"/>
                <w:sz w:val="24"/>
                <w:szCs w:val="24"/>
                <w:lang w:val="en-US" w:eastAsia="zh-CN"/>
              </w:rPr>
            </w:pPr>
          </w:p>
        </w:tc>
        <w:tc>
          <w:tcPr>
            <w:tcW w:w="696" w:type="dxa"/>
            <w:vMerge w:val="continue"/>
            <w:vAlign w:val="center"/>
          </w:tcPr>
          <w:p w14:paraId="5F776A45">
            <w:pPr>
              <w:pStyle w:val="49"/>
              <w:spacing w:line="240" w:lineRule="auto"/>
              <w:ind w:firstLine="0" w:firstLineChars="0"/>
              <w:rPr>
                <w:rFonts w:hint="eastAsia" w:ascii="仿宋" w:hAnsi="仿宋" w:eastAsia="仿宋" w:cs="仿宋"/>
                <w:color w:val="FF0000"/>
                <w:sz w:val="24"/>
                <w:szCs w:val="24"/>
              </w:rPr>
            </w:pPr>
          </w:p>
        </w:tc>
        <w:tc>
          <w:tcPr>
            <w:tcW w:w="1127" w:type="dxa"/>
            <w:vMerge w:val="continue"/>
            <w:vAlign w:val="center"/>
          </w:tcPr>
          <w:p w14:paraId="6E5A5F97">
            <w:pPr>
              <w:rPr>
                <w:rFonts w:hint="eastAsia" w:ascii="仿宋" w:hAnsi="仿宋" w:eastAsia="仿宋" w:cs="仿宋"/>
                <w:color w:val="FF0000"/>
                <w:sz w:val="24"/>
                <w:szCs w:val="24"/>
                <w:highlight w:val="green"/>
                <w:lang w:val="en-US" w:eastAsia="zh-CN"/>
              </w:rPr>
            </w:pPr>
          </w:p>
        </w:tc>
        <w:tc>
          <w:tcPr>
            <w:tcW w:w="5775" w:type="dxa"/>
            <w:vAlign w:val="center"/>
          </w:tcPr>
          <w:p w14:paraId="71B0C5AF">
            <w:pPr>
              <w:rPr>
                <w:rFonts w:hint="eastAsia" w:ascii="仿宋" w:hAnsi="仿宋" w:eastAsia="仿宋" w:cs="仿宋"/>
                <w:color w:val="FF0000"/>
                <w:sz w:val="24"/>
                <w:szCs w:val="24"/>
                <w:highlight w:val="green"/>
                <w:lang w:val="en-US" w:eastAsia="zh-CN"/>
              </w:rPr>
            </w:pPr>
            <w:r>
              <w:rPr>
                <w:rFonts w:hint="eastAsia" w:ascii="仿宋" w:hAnsi="仿宋" w:eastAsia="仿宋" w:cs="仿宋"/>
                <w:kern w:val="0"/>
                <w:sz w:val="24"/>
                <w:szCs w:val="24"/>
              </w:rPr>
              <w:t>除</w:t>
            </w:r>
            <w:r>
              <w:rPr>
                <w:rFonts w:hint="eastAsia" w:ascii="仿宋" w:hAnsi="仿宋" w:eastAsia="仿宋" w:cs="仿宋"/>
                <w:bCs/>
                <w:sz w:val="24"/>
                <w:szCs w:val="24"/>
              </w:rPr>
              <w:t>四川康定线路外其他路线</w:t>
            </w:r>
            <w:r>
              <w:rPr>
                <w:rFonts w:hint="eastAsia" w:ascii="仿宋" w:hAnsi="仿宋" w:eastAsia="仿宋" w:cs="仿宋"/>
                <w:kern w:val="0"/>
                <w:sz w:val="24"/>
                <w:szCs w:val="24"/>
              </w:rPr>
              <w:t>住宿酒店高于国内挂牌四星</w:t>
            </w:r>
            <w:r>
              <w:rPr>
                <w:rFonts w:hint="eastAsia" w:ascii="仿宋" w:hAnsi="仿宋" w:eastAsia="仿宋" w:cs="仿宋"/>
                <w:bCs/>
                <w:sz w:val="24"/>
                <w:szCs w:val="24"/>
              </w:rPr>
              <w:t>级</w:t>
            </w:r>
            <w:r>
              <w:rPr>
                <w:rFonts w:hint="eastAsia" w:ascii="仿宋" w:hAnsi="仿宋" w:eastAsia="仿宋" w:cs="仿宋"/>
                <w:kern w:val="0"/>
                <w:sz w:val="24"/>
                <w:szCs w:val="24"/>
              </w:rPr>
              <w:t>以上或同等标准（含）的加3分。</w:t>
            </w:r>
          </w:p>
        </w:tc>
        <w:tc>
          <w:tcPr>
            <w:tcW w:w="800" w:type="dxa"/>
            <w:vAlign w:val="center"/>
          </w:tcPr>
          <w:p w14:paraId="25A9CDA9">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w:t>
            </w:r>
          </w:p>
        </w:tc>
        <w:tc>
          <w:tcPr>
            <w:tcW w:w="898" w:type="dxa"/>
            <w:vAlign w:val="center"/>
          </w:tcPr>
          <w:p w14:paraId="76B0A21E">
            <w:pPr>
              <w:jc w:val="center"/>
              <w:rPr>
                <w:rFonts w:hint="eastAsia" w:ascii="仿宋" w:hAnsi="仿宋" w:eastAsia="仿宋" w:cs="仿宋"/>
                <w:color w:val="auto"/>
                <w:kern w:val="0"/>
                <w:sz w:val="24"/>
                <w:szCs w:val="24"/>
                <w:lang w:bidi="ar"/>
              </w:rPr>
            </w:pPr>
            <w:r>
              <w:rPr>
                <w:rFonts w:hint="eastAsia" w:ascii="仿宋" w:hAnsi="仿宋" w:eastAsia="仿宋" w:cs="仿宋"/>
                <w:sz w:val="24"/>
                <w:szCs w:val="24"/>
              </w:rPr>
              <w:t>客观分</w:t>
            </w:r>
          </w:p>
        </w:tc>
      </w:tr>
      <w:tr w14:paraId="6D903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488" w:type="dxa"/>
            <w:vMerge w:val="continue"/>
            <w:vAlign w:val="center"/>
          </w:tcPr>
          <w:p w14:paraId="6875E047">
            <w:pPr>
              <w:pStyle w:val="49"/>
              <w:spacing w:line="240" w:lineRule="auto"/>
              <w:ind w:firstLine="0" w:firstLineChars="0"/>
              <w:jc w:val="center"/>
              <w:rPr>
                <w:rFonts w:hint="eastAsia" w:ascii="仿宋" w:hAnsi="仿宋" w:eastAsia="仿宋" w:cs="仿宋"/>
                <w:color w:val="auto"/>
                <w:sz w:val="24"/>
                <w:szCs w:val="24"/>
                <w:lang w:val="en-US" w:eastAsia="zh-CN"/>
              </w:rPr>
            </w:pPr>
          </w:p>
        </w:tc>
        <w:tc>
          <w:tcPr>
            <w:tcW w:w="696" w:type="dxa"/>
            <w:vMerge w:val="continue"/>
            <w:vAlign w:val="center"/>
          </w:tcPr>
          <w:p w14:paraId="3149380E">
            <w:pPr>
              <w:pStyle w:val="49"/>
              <w:spacing w:line="240" w:lineRule="auto"/>
              <w:ind w:firstLine="0" w:firstLineChars="0"/>
              <w:rPr>
                <w:rFonts w:hint="eastAsia" w:ascii="仿宋" w:hAnsi="仿宋" w:eastAsia="仿宋" w:cs="仿宋"/>
                <w:color w:val="FF0000"/>
                <w:sz w:val="24"/>
                <w:szCs w:val="24"/>
              </w:rPr>
            </w:pPr>
          </w:p>
        </w:tc>
        <w:tc>
          <w:tcPr>
            <w:tcW w:w="1127" w:type="dxa"/>
            <w:vMerge w:val="continue"/>
            <w:vAlign w:val="center"/>
          </w:tcPr>
          <w:p w14:paraId="199B87B2">
            <w:pPr>
              <w:rPr>
                <w:rFonts w:hint="eastAsia" w:ascii="仿宋" w:hAnsi="仿宋" w:eastAsia="仿宋" w:cs="仿宋"/>
                <w:color w:val="FF0000"/>
                <w:sz w:val="24"/>
                <w:szCs w:val="24"/>
                <w:highlight w:val="green"/>
                <w:lang w:val="en-US" w:eastAsia="zh-CN"/>
              </w:rPr>
            </w:pPr>
          </w:p>
        </w:tc>
        <w:tc>
          <w:tcPr>
            <w:tcW w:w="5775" w:type="dxa"/>
            <w:vAlign w:val="center"/>
          </w:tcPr>
          <w:p w14:paraId="07F58FF4">
            <w:pPr>
              <w:rPr>
                <w:rFonts w:hint="eastAsia" w:ascii="仿宋" w:hAnsi="仿宋" w:eastAsia="仿宋" w:cs="仿宋"/>
                <w:color w:val="FF0000"/>
                <w:sz w:val="24"/>
                <w:szCs w:val="24"/>
                <w:highlight w:val="green"/>
                <w:lang w:val="en-US" w:eastAsia="zh-CN"/>
              </w:rPr>
            </w:pPr>
            <w:r>
              <w:rPr>
                <w:rFonts w:hint="eastAsia" w:ascii="仿宋" w:hAnsi="仿宋" w:eastAsia="仿宋" w:cs="仿宋"/>
                <w:kern w:val="0"/>
                <w:sz w:val="24"/>
                <w:szCs w:val="24"/>
              </w:rPr>
              <w:t>根据酒店设施、新旧程度、地理位置等，最高加5分，其余依次加4分、3分，最低加分不少于1分。</w:t>
            </w:r>
          </w:p>
        </w:tc>
        <w:tc>
          <w:tcPr>
            <w:tcW w:w="800" w:type="dxa"/>
            <w:vAlign w:val="center"/>
          </w:tcPr>
          <w:p w14:paraId="4D82325C">
            <w:pPr>
              <w:widowControl/>
              <w:jc w:val="center"/>
              <w:textAlignment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w:t>
            </w:r>
          </w:p>
        </w:tc>
        <w:tc>
          <w:tcPr>
            <w:tcW w:w="898" w:type="dxa"/>
            <w:vAlign w:val="center"/>
          </w:tcPr>
          <w:p w14:paraId="65B9EA35">
            <w:pPr>
              <w:jc w:val="center"/>
              <w:rPr>
                <w:rFonts w:hint="eastAsia" w:ascii="仿宋" w:hAnsi="仿宋" w:eastAsia="仿宋" w:cs="仿宋"/>
                <w:color w:val="auto"/>
                <w:kern w:val="0"/>
                <w:sz w:val="24"/>
                <w:szCs w:val="24"/>
                <w:lang w:bidi="ar"/>
              </w:rPr>
            </w:pPr>
            <w:r>
              <w:rPr>
                <w:rFonts w:hint="eastAsia" w:ascii="仿宋" w:hAnsi="仿宋" w:eastAsia="仿宋" w:cs="仿宋"/>
                <w:color w:val="auto"/>
                <w:kern w:val="0"/>
                <w:sz w:val="24"/>
                <w:szCs w:val="24"/>
                <w:lang w:bidi="ar"/>
              </w:rPr>
              <w:t>主观分</w:t>
            </w:r>
          </w:p>
        </w:tc>
      </w:tr>
      <w:tr w14:paraId="5B626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7" w:hRule="atLeast"/>
          <w:jc w:val="center"/>
        </w:trPr>
        <w:tc>
          <w:tcPr>
            <w:tcW w:w="488" w:type="dxa"/>
            <w:vAlign w:val="center"/>
          </w:tcPr>
          <w:p w14:paraId="4EE94223">
            <w:pPr>
              <w:pStyle w:val="49"/>
              <w:spacing w:line="24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7</w:t>
            </w:r>
          </w:p>
        </w:tc>
        <w:tc>
          <w:tcPr>
            <w:tcW w:w="696" w:type="dxa"/>
            <w:vMerge w:val="continue"/>
            <w:vAlign w:val="center"/>
          </w:tcPr>
          <w:p w14:paraId="0E8121E0">
            <w:pPr>
              <w:pStyle w:val="49"/>
              <w:spacing w:line="240" w:lineRule="auto"/>
              <w:ind w:firstLine="0" w:firstLineChars="0"/>
              <w:rPr>
                <w:rFonts w:hint="eastAsia" w:ascii="仿宋" w:hAnsi="仿宋" w:eastAsia="仿宋" w:cs="仿宋"/>
                <w:color w:val="FF0000"/>
                <w:sz w:val="24"/>
                <w:szCs w:val="24"/>
              </w:rPr>
            </w:pPr>
          </w:p>
        </w:tc>
        <w:tc>
          <w:tcPr>
            <w:tcW w:w="6902" w:type="dxa"/>
            <w:gridSpan w:val="2"/>
            <w:vAlign w:val="center"/>
          </w:tcPr>
          <w:p w14:paraId="45C5E9F1">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餐饮承诺</w:t>
            </w:r>
            <w:r>
              <w:rPr>
                <w:rFonts w:hint="eastAsia" w:ascii="仿宋" w:hAnsi="仿宋" w:eastAsia="仿宋" w:cs="仿宋"/>
                <w:color w:val="auto"/>
                <w:sz w:val="24"/>
                <w:szCs w:val="24"/>
              </w:rPr>
              <w:t>交易发起人</w:t>
            </w:r>
            <w:r>
              <w:rPr>
                <w:rFonts w:hint="eastAsia" w:ascii="仿宋" w:hAnsi="仿宋" w:eastAsia="仿宋" w:cs="仿宋"/>
                <w:color w:val="auto"/>
                <w:sz w:val="24"/>
                <w:szCs w:val="24"/>
                <w:highlight w:val="none"/>
                <w:lang w:val="en-US" w:eastAsia="zh-CN"/>
              </w:rPr>
              <w:t>基本餐标的费用标准（</w:t>
            </w:r>
            <w:r>
              <w:rPr>
                <w:rFonts w:hint="eastAsia" w:ascii="仿宋" w:hAnsi="仿宋" w:eastAsia="仿宋" w:cs="仿宋"/>
                <w:color w:val="auto"/>
                <w:sz w:val="24"/>
                <w:szCs w:val="24"/>
              </w:rPr>
              <w:t>中餐60元/人/餐</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晚餐80元/人/餐</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highlight w:val="none"/>
                <w:lang w:val="en-US" w:eastAsia="zh-CN"/>
              </w:rPr>
              <w:t>）的得6分，比采购要求更高的，每人每天</w:t>
            </w:r>
            <w:r>
              <w:rPr>
                <w:rFonts w:hint="eastAsia" w:ascii="仿宋" w:hAnsi="仿宋" w:eastAsia="仿宋" w:cs="仿宋"/>
                <w:color w:val="auto"/>
                <w:kern w:val="0"/>
                <w:sz w:val="24"/>
                <w:szCs w:val="24"/>
              </w:rPr>
              <w:t>每餐</w:t>
            </w:r>
            <w:r>
              <w:rPr>
                <w:rFonts w:hint="eastAsia" w:ascii="仿宋" w:hAnsi="仿宋" w:eastAsia="仿宋" w:cs="仿宋"/>
                <w:color w:val="auto"/>
                <w:sz w:val="24"/>
                <w:szCs w:val="24"/>
                <w:highlight w:val="none"/>
                <w:lang w:val="en-US" w:eastAsia="zh-CN"/>
              </w:rPr>
              <w:t>的餐标每提高5元的加1分，最高加4分。</w:t>
            </w:r>
          </w:p>
        </w:tc>
        <w:tc>
          <w:tcPr>
            <w:tcW w:w="800" w:type="dxa"/>
            <w:vAlign w:val="center"/>
          </w:tcPr>
          <w:p w14:paraId="3F1E41FE">
            <w:pPr>
              <w:widowControl/>
              <w:adjustRightInd/>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分</w:t>
            </w:r>
          </w:p>
        </w:tc>
        <w:tc>
          <w:tcPr>
            <w:tcW w:w="898" w:type="dxa"/>
            <w:vAlign w:val="center"/>
          </w:tcPr>
          <w:p w14:paraId="4206D0FC">
            <w:pPr>
              <w:widowControl/>
              <w:adjustRightInd/>
              <w:jc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客观分</w:t>
            </w:r>
          </w:p>
        </w:tc>
      </w:tr>
      <w:tr w14:paraId="710F1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9" w:hRule="atLeast"/>
          <w:jc w:val="center"/>
        </w:trPr>
        <w:tc>
          <w:tcPr>
            <w:tcW w:w="488" w:type="dxa"/>
            <w:vAlign w:val="center"/>
          </w:tcPr>
          <w:p w14:paraId="5F01173A">
            <w:pPr>
              <w:pStyle w:val="49"/>
              <w:spacing w:line="240" w:lineRule="auto"/>
              <w:ind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w:t>
            </w:r>
          </w:p>
        </w:tc>
        <w:tc>
          <w:tcPr>
            <w:tcW w:w="696" w:type="dxa"/>
            <w:vMerge w:val="continue"/>
            <w:vAlign w:val="center"/>
          </w:tcPr>
          <w:p w14:paraId="5F33E646">
            <w:pPr>
              <w:pStyle w:val="49"/>
              <w:spacing w:line="240" w:lineRule="auto"/>
              <w:ind w:firstLine="0" w:firstLineChars="0"/>
              <w:rPr>
                <w:rFonts w:hint="eastAsia" w:ascii="仿宋" w:hAnsi="仿宋" w:eastAsia="仿宋" w:cs="仿宋"/>
                <w:color w:val="FF0000"/>
                <w:sz w:val="24"/>
                <w:szCs w:val="24"/>
              </w:rPr>
            </w:pPr>
          </w:p>
        </w:tc>
        <w:tc>
          <w:tcPr>
            <w:tcW w:w="6902" w:type="dxa"/>
            <w:gridSpan w:val="2"/>
            <w:vAlign w:val="center"/>
          </w:tcPr>
          <w:p w14:paraId="64DD9110">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为更好的体现</w:t>
            </w:r>
            <w:r>
              <w:rPr>
                <w:rFonts w:hint="eastAsia" w:ascii="仿宋" w:hAnsi="仿宋" w:eastAsia="仿宋" w:cs="仿宋"/>
                <w:color w:val="auto"/>
                <w:kern w:val="0"/>
                <w:sz w:val="24"/>
                <w:szCs w:val="24"/>
                <w:lang w:val="zh-CN"/>
              </w:rPr>
              <w:t>疗休养的主题服务本项目，</w:t>
            </w:r>
            <w:r>
              <w:rPr>
                <w:rFonts w:hint="eastAsia" w:ascii="仿宋" w:hAnsi="仿宋" w:eastAsia="仿宋" w:cs="仿宋"/>
                <w:kern w:val="0"/>
                <w:sz w:val="24"/>
                <w:szCs w:val="24"/>
              </w:rPr>
              <w:t>响应人</w:t>
            </w:r>
            <w:r>
              <w:rPr>
                <w:rFonts w:hint="eastAsia" w:ascii="仿宋" w:hAnsi="仿宋" w:eastAsia="仿宋" w:cs="仿宋"/>
                <w:kern w:val="0"/>
                <w:sz w:val="24"/>
                <w:szCs w:val="24"/>
                <w:lang w:eastAsia="zh-CN"/>
              </w:rPr>
              <w:t>在萧山区</w:t>
            </w:r>
            <w:r>
              <w:rPr>
                <w:rFonts w:hint="eastAsia" w:ascii="仿宋" w:hAnsi="仿宋" w:eastAsia="仿宋" w:cs="仿宋"/>
                <w:kern w:val="0"/>
                <w:sz w:val="24"/>
                <w:szCs w:val="24"/>
              </w:rPr>
              <w:t>自有或集团内部具有疗休养基地的得</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rPr>
              <w:t>分</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响应人</w:t>
            </w:r>
            <w:r>
              <w:rPr>
                <w:rFonts w:hint="eastAsia" w:ascii="仿宋" w:hAnsi="仿宋" w:eastAsia="仿宋" w:cs="仿宋"/>
                <w:kern w:val="0"/>
                <w:sz w:val="24"/>
                <w:szCs w:val="24"/>
                <w:lang w:eastAsia="zh-CN"/>
              </w:rPr>
              <w:t>在萧山区</w:t>
            </w:r>
            <w:r>
              <w:rPr>
                <w:rFonts w:hint="eastAsia" w:ascii="仿宋" w:hAnsi="仿宋" w:eastAsia="仿宋" w:cs="仿宋"/>
                <w:kern w:val="0"/>
                <w:sz w:val="24"/>
                <w:szCs w:val="24"/>
              </w:rPr>
              <w:t>具有</w:t>
            </w:r>
            <w:r>
              <w:rPr>
                <w:rFonts w:hint="eastAsia" w:ascii="仿宋" w:hAnsi="仿宋" w:eastAsia="仿宋" w:cs="仿宋"/>
                <w:kern w:val="0"/>
                <w:sz w:val="24"/>
                <w:szCs w:val="24"/>
                <w:lang w:eastAsia="zh-CN"/>
              </w:rPr>
              <w:t>合作的</w:t>
            </w:r>
            <w:r>
              <w:rPr>
                <w:rFonts w:hint="eastAsia" w:ascii="仿宋" w:hAnsi="仿宋" w:eastAsia="仿宋" w:cs="仿宋"/>
                <w:kern w:val="0"/>
                <w:sz w:val="24"/>
                <w:szCs w:val="24"/>
              </w:rPr>
              <w:t>疗休养基地的得</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分。（疗休养基地</w:t>
            </w:r>
            <w:r>
              <w:rPr>
                <w:rFonts w:hint="eastAsia" w:ascii="仿宋" w:hAnsi="仿宋" w:eastAsia="仿宋" w:cs="仿宋"/>
                <w:kern w:val="0"/>
                <w:sz w:val="24"/>
                <w:szCs w:val="24"/>
                <w:lang w:eastAsia="zh-CN"/>
              </w:rPr>
              <w:t>须在</w:t>
            </w:r>
            <w:r>
              <w:rPr>
                <w:rFonts w:hint="eastAsia" w:ascii="仿宋" w:hAnsi="仿宋" w:eastAsia="仿宋" w:cs="仿宋"/>
                <w:bCs/>
                <w:sz w:val="24"/>
                <w:szCs w:val="24"/>
              </w:rPr>
              <w:t>路线三</w:t>
            </w:r>
            <w:r>
              <w:rPr>
                <w:rFonts w:hint="eastAsia" w:ascii="仿宋" w:hAnsi="仿宋" w:eastAsia="仿宋" w:cs="仿宋"/>
                <w:sz w:val="24"/>
                <w:szCs w:val="24"/>
              </w:rPr>
              <w:t>萧山区内</w:t>
            </w:r>
            <w:r>
              <w:rPr>
                <w:rFonts w:hint="eastAsia" w:ascii="仿宋" w:hAnsi="仿宋" w:eastAsia="仿宋" w:cs="仿宋"/>
                <w:bCs/>
                <w:sz w:val="24"/>
                <w:szCs w:val="24"/>
              </w:rPr>
              <w:t>线</w:t>
            </w:r>
            <w:r>
              <w:rPr>
                <w:rFonts w:hint="eastAsia" w:ascii="仿宋" w:hAnsi="仿宋" w:eastAsia="仿宋" w:cs="仿宋"/>
                <w:bCs/>
                <w:sz w:val="24"/>
                <w:szCs w:val="24"/>
                <w:lang w:eastAsia="zh-CN"/>
              </w:rPr>
              <w:t>作为景点之一。</w:t>
            </w:r>
            <w:r>
              <w:rPr>
                <w:rFonts w:hint="eastAsia" w:ascii="仿宋" w:hAnsi="仿宋" w:eastAsia="仿宋" w:cs="仿宋"/>
                <w:kern w:val="0"/>
                <w:sz w:val="24"/>
                <w:szCs w:val="24"/>
                <w:lang w:val="en-US" w:eastAsia="zh-CN"/>
              </w:rPr>
              <w:t xml:space="preserve"> 自有的</w:t>
            </w:r>
            <w:r>
              <w:rPr>
                <w:rFonts w:hint="eastAsia" w:ascii="仿宋" w:hAnsi="仿宋" w:eastAsia="仿宋" w:cs="仿宋"/>
                <w:kern w:val="0"/>
                <w:sz w:val="24"/>
                <w:szCs w:val="24"/>
                <w:lang w:eastAsia="zh-CN"/>
              </w:rPr>
              <w:t>响应文件</w:t>
            </w:r>
            <w:r>
              <w:rPr>
                <w:rFonts w:hint="eastAsia" w:ascii="仿宋" w:hAnsi="仿宋" w:eastAsia="仿宋" w:cs="仿宋"/>
                <w:kern w:val="0"/>
                <w:sz w:val="24"/>
                <w:szCs w:val="24"/>
              </w:rPr>
              <w:t>中提供</w:t>
            </w:r>
            <w:r>
              <w:rPr>
                <w:rFonts w:hint="eastAsia" w:ascii="仿宋" w:hAnsi="仿宋" w:eastAsia="仿宋" w:cs="仿宋"/>
                <w:kern w:val="0"/>
                <w:sz w:val="24"/>
                <w:szCs w:val="24"/>
                <w:lang w:eastAsia="zh-CN"/>
              </w:rPr>
              <w:t>自有</w:t>
            </w:r>
            <w:r>
              <w:rPr>
                <w:rFonts w:hint="eastAsia" w:ascii="仿宋" w:hAnsi="仿宋" w:eastAsia="仿宋" w:cs="仿宋"/>
                <w:kern w:val="0"/>
                <w:sz w:val="24"/>
                <w:szCs w:val="24"/>
              </w:rPr>
              <w:t>相关证明</w:t>
            </w:r>
            <w:r>
              <w:rPr>
                <w:rFonts w:hint="eastAsia" w:ascii="仿宋" w:hAnsi="仿宋" w:eastAsia="仿宋" w:cs="仿宋"/>
                <w:kern w:val="0"/>
                <w:sz w:val="24"/>
                <w:szCs w:val="24"/>
                <w:lang w:eastAsia="zh-CN"/>
              </w:rPr>
              <w:t>；合作的响应文件</w:t>
            </w:r>
            <w:r>
              <w:rPr>
                <w:rFonts w:hint="eastAsia" w:ascii="仿宋" w:hAnsi="仿宋" w:eastAsia="仿宋" w:cs="仿宋"/>
                <w:kern w:val="0"/>
                <w:sz w:val="24"/>
                <w:szCs w:val="24"/>
              </w:rPr>
              <w:t>中提供</w:t>
            </w:r>
            <w:r>
              <w:rPr>
                <w:rFonts w:hint="eastAsia" w:ascii="仿宋" w:hAnsi="仿宋" w:eastAsia="仿宋" w:cs="仿宋"/>
                <w:kern w:val="0"/>
                <w:sz w:val="24"/>
                <w:szCs w:val="24"/>
                <w:lang w:eastAsia="zh-CN"/>
              </w:rPr>
              <w:t>合作</w:t>
            </w:r>
            <w:r>
              <w:rPr>
                <w:rFonts w:hint="eastAsia" w:ascii="仿宋" w:hAnsi="仿宋" w:eastAsia="仿宋" w:cs="仿宋"/>
                <w:kern w:val="0"/>
                <w:sz w:val="24"/>
                <w:szCs w:val="24"/>
              </w:rPr>
              <w:t>相关证明，加盖公章。）</w:t>
            </w:r>
          </w:p>
        </w:tc>
        <w:tc>
          <w:tcPr>
            <w:tcW w:w="800" w:type="dxa"/>
            <w:vAlign w:val="center"/>
          </w:tcPr>
          <w:p w14:paraId="4C5EBA91">
            <w:pPr>
              <w:snapToGrid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sz w:val="24"/>
                <w:szCs w:val="24"/>
                <w:lang w:val="en-US" w:eastAsia="zh-CN"/>
              </w:rPr>
              <w:t>4</w:t>
            </w:r>
            <w:r>
              <w:rPr>
                <w:rFonts w:hint="eastAsia" w:ascii="仿宋" w:hAnsi="仿宋" w:eastAsia="仿宋" w:cs="仿宋"/>
                <w:sz w:val="24"/>
                <w:szCs w:val="24"/>
              </w:rPr>
              <w:t>分</w:t>
            </w:r>
          </w:p>
        </w:tc>
        <w:tc>
          <w:tcPr>
            <w:tcW w:w="898" w:type="dxa"/>
            <w:vAlign w:val="center"/>
          </w:tcPr>
          <w:p w14:paraId="2BA0AE05">
            <w:pPr>
              <w:snapToGrid w:val="0"/>
              <w:jc w:val="center"/>
              <w:rPr>
                <w:rFonts w:hint="eastAsia" w:ascii="仿宋" w:hAnsi="仿宋" w:eastAsia="仿宋" w:cs="仿宋"/>
                <w:color w:val="auto"/>
                <w:kern w:val="0"/>
                <w:sz w:val="24"/>
                <w:szCs w:val="24"/>
                <w:highlight w:val="none"/>
                <w:lang w:bidi="ar"/>
              </w:rPr>
            </w:pPr>
            <w:r>
              <w:rPr>
                <w:rFonts w:hint="eastAsia" w:ascii="仿宋" w:hAnsi="仿宋" w:eastAsia="仿宋" w:cs="仿宋"/>
                <w:sz w:val="24"/>
                <w:szCs w:val="24"/>
              </w:rPr>
              <w:t>客观分</w:t>
            </w:r>
          </w:p>
        </w:tc>
      </w:tr>
      <w:tr w14:paraId="5DEBA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9" w:hRule="atLeast"/>
          <w:jc w:val="center"/>
        </w:trPr>
        <w:tc>
          <w:tcPr>
            <w:tcW w:w="488" w:type="dxa"/>
            <w:vAlign w:val="center"/>
          </w:tcPr>
          <w:p w14:paraId="479CDE88">
            <w:pPr>
              <w:pStyle w:val="49"/>
              <w:spacing w:line="240" w:lineRule="auto"/>
              <w:ind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p>
        </w:tc>
        <w:tc>
          <w:tcPr>
            <w:tcW w:w="696" w:type="dxa"/>
            <w:vMerge w:val="continue"/>
            <w:vAlign w:val="center"/>
          </w:tcPr>
          <w:p w14:paraId="54A21D93">
            <w:pPr>
              <w:pStyle w:val="49"/>
              <w:ind w:firstLine="480"/>
              <w:jc w:val="center"/>
              <w:rPr>
                <w:rFonts w:hint="eastAsia" w:ascii="仿宋" w:hAnsi="仿宋" w:eastAsia="仿宋" w:cs="仿宋"/>
                <w:color w:val="auto"/>
                <w:sz w:val="24"/>
                <w:szCs w:val="24"/>
              </w:rPr>
            </w:pPr>
          </w:p>
        </w:tc>
        <w:tc>
          <w:tcPr>
            <w:tcW w:w="6902" w:type="dxa"/>
            <w:gridSpan w:val="2"/>
            <w:vAlign w:val="center"/>
          </w:tcPr>
          <w:p w14:paraId="19498BC8">
            <w:pP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根据交通工具（包括车型、当地用车情况、座位比、司机驾龄、车队服务能力等）等选择情况是否符合本次需求综合评定。</w:t>
            </w:r>
            <w:r>
              <w:rPr>
                <w:rFonts w:hint="eastAsia" w:ascii="仿宋" w:hAnsi="仿宋" w:eastAsia="仿宋" w:cs="仿宋"/>
                <w:color w:val="auto"/>
                <w:sz w:val="24"/>
                <w:szCs w:val="24"/>
              </w:rPr>
              <w:t>方案内容完整且与项目匹配度好的得5分；方案内容基本完整且与项目匹配度较好的得3分；方案内容存在欠缺或与项目匹配度一般的得</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分；方案内容缺失严重或与项目不匹配的不得分。</w:t>
            </w:r>
          </w:p>
        </w:tc>
        <w:tc>
          <w:tcPr>
            <w:tcW w:w="800" w:type="dxa"/>
            <w:vAlign w:val="center"/>
          </w:tcPr>
          <w:p w14:paraId="7DAF6BA2">
            <w:pPr>
              <w:widowControl/>
              <w:adjustRightInd/>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w:t>
            </w:r>
          </w:p>
        </w:tc>
        <w:tc>
          <w:tcPr>
            <w:tcW w:w="898" w:type="dxa"/>
            <w:vAlign w:val="center"/>
          </w:tcPr>
          <w:p w14:paraId="1CAA9781">
            <w:pPr>
              <w:widowControl/>
              <w:adjustRightInd/>
              <w:jc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主观分</w:t>
            </w:r>
          </w:p>
        </w:tc>
      </w:tr>
      <w:tr w14:paraId="40FF1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3" w:hRule="atLeast"/>
          <w:jc w:val="center"/>
        </w:trPr>
        <w:tc>
          <w:tcPr>
            <w:tcW w:w="488" w:type="dxa"/>
            <w:vAlign w:val="center"/>
          </w:tcPr>
          <w:p w14:paraId="0B7059D6">
            <w:pPr>
              <w:pStyle w:val="49"/>
              <w:spacing w:line="24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10</w:t>
            </w:r>
          </w:p>
        </w:tc>
        <w:tc>
          <w:tcPr>
            <w:tcW w:w="696" w:type="dxa"/>
            <w:vMerge w:val="continue"/>
            <w:vAlign w:val="center"/>
          </w:tcPr>
          <w:p w14:paraId="314B5D82">
            <w:pPr>
              <w:pStyle w:val="49"/>
              <w:ind w:firstLine="480"/>
              <w:jc w:val="center"/>
              <w:rPr>
                <w:rFonts w:hint="eastAsia" w:ascii="仿宋" w:hAnsi="仿宋" w:eastAsia="仿宋" w:cs="仿宋"/>
                <w:color w:val="auto"/>
                <w:sz w:val="24"/>
                <w:szCs w:val="24"/>
              </w:rPr>
            </w:pPr>
          </w:p>
        </w:tc>
        <w:tc>
          <w:tcPr>
            <w:tcW w:w="6902" w:type="dxa"/>
            <w:gridSpan w:val="2"/>
            <w:vAlign w:val="center"/>
          </w:tcPr>
          <w:p w14:paraId="1EECCD5B">
            <w:pPr>
              <w:widowControl/>
              <w:adjustRightInd/>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根据</w:t>
            </w:r>
            <w:r>
              <w:rPr>
                <w:rFonts w:hint="eastAsia" w:ascii="仿宋" w:hAnsi="仿宋" w:eastAsia="仿宋" w:cs="仿宋"/>
                <w:color w:val="auto"/>
                <w:sz w:val="24"/>
                <w:szCs w:val="24"/>
              </w:rPr>
              <w:t>本次疗休养实施</w:t>
            </w:r>
            <w:r>
              <w:rPr>
                <w:rFonts w:hint="eastAsia" w:ascii="仿宋" w:hAnsi="仿宋" w:eastAsia="仿宋" w:cs="仿宋"/>
                <w:color w:val="auto"/>
                <w:sz w:val="24"/>
                <w:szCs w:val="24"/>
                <w:lang w:val="zh-CN"/>
              </w:rPr>
              <w:t>工作程序和步骤、管理和协调方法以及关键步骤和要点等综合评定。</w:t>
            </w:r>
            <w:r>
              <w:rPr>
                <w:rFonts w:hint="eastAsia" w:ascii="仿宋" w:hAnsi="仿宋" w:eastAsia="仿宋" w:cs="仿宋"/>
                <w:color w:val="auto"/>
                <w:sz w:val="24"/>
                <w:szCs w:val="24"/>
              </w:rPr>
              <w:t>方案内容完整且与项目匹配度好的得5分；方案内容基本完整且与项目匹配度较好的得3分；方案内容存在欠缺或与项目匹配度一般的得</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分；方案内容缺失严重或与项目不匹配的不得分。</w:t>
            </w:r>
          </w:p>
        </w:tc>
        <w:tc>
          <w:tcPr>
            <w:tcW w:w="800" w:type="dxa"/>
            <w:vAlign w:val="center"/>
          </w:tcPr>
          <w:p w14:paraId="114D9EDC">
            <w:pPr>
              <w:widowControl/>
              <w:adjustRightInd/>
              <w:jc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rPr>
              <w:t>5</w:t>
            </w:r>
            <w:r>
              <w:rPr>
                <w:rFonts w:hint="eastAsia" w:ascii="仿宋" w:hAnsi="仿宋" w:eastAsia="仿宋" w:cs="仿宋"/>
                <w:color w:val="auto"/>
                <w:sz w:val="24"/>
                <w:szCs w:val="24"/>
              </w:rPr>
              <w:t>分</w:t>
            </w:r>
          </w:p>
        </w:tc>
        <w:tc>
          <w:tcPr>
            <w:tcW w:w="898" w:type="dxa"/>
            <w:vAlign w:val="center"/>
          </w:tcPr>
          <w:p w14:paraId="61F790D4">
            <w:pPr>
              <w:widowControl/>
              <w:adjustRightInd/>
              <w:jc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bidi="ar"/>
              </w:rPr>
              <w:t>主观分</w:t>
            </w:r>
          </w:p>
        </w:tc>
      </w:tr>
      <w:tr w14:paraId="4FA07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3" w:hRule="atLeast"/>
          <w:jc w:val="center"/>
        </w:trPr>
        <w:tc>
          <w:tcPr>
            <w:tcW w:w="488" w:type="dxa"/>
            <w:vAlign w:val="center"/>
          </w:tcPr>
          <w:p w14:paraId="5A39BD3E">
            <w:pPr>
              <w:pStyle w:val="49"/>
              <w:spacing w:line="24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11</w:t>
            </w:r>
          </w:p>
        </w:tc>
        <w:tc>
          <w:tcPr>
            <w:tcW w:w="696" w:type="dxa"/>
            <w:vMerge w:val="continue"/>
            <w:vAlign w:val="center"/>
          </w:tcPr>
          <w:p w14:paraId="4D4B0A6F">
            <w:pPr>
              <w:pStyle w:val="49"/>
              <w:ind w:firstLine="480"/>
              <w:jc w:val="center"/>
              <w:rPr>
                <w:rFonts w:hint="eastAsia" w:ascii="仿宋" w:hAnsi="仿宋" w:eastAsia="仿宋" w:cs="仿宋"/>
                <w:color w:val="auto"/>
                <w:sz w:val="24"/>
                <w:szCs w:val="24"/>
              </w:rPr>
            </w:pPr>
          </w:p>
        </w:tc>
        <w:tc>
          <w:tcPr>
            <w:tcW w:w="6902" w:type="dxa"/>
            <w:gridSpan w:val="2"/>
            <w:vAlign w:val="center"/>
          </w:tcPr>
          <w:p w14:paraId="781638BC">
            <w:pPr>
              <w:widowControl/>
              <w:adjustRightInd/>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zh-CN"/>
              </w:rPr>
              <w:t>根据项目负责人的专业素质、技术能力、经验以及调动各项资源的能力、有否学历及职业证书等；项目组成员专业素质、能力、经验等综合评定。</w:t>
            </w:r>
            <w:r>
              <w:rPr>
                <w:rFonts w:hint="eastAsia" w:ascii="仿宋" w:hAnsi="仿宋" w:eastAsia="仿宋" w:cs="仿宋"/>
                <w:color w:val="auto"/>
                <w:sz w:val="24"/>
                <w:szCs w:val="24"/>
                <w:lang w:eastAsia="zh-CN"/>
              </w:rPr>
              <w:t>分工明确、</w:t>
            </w:r>
            <w:r>
              <w:rPr>
                <w:rFonts w:hint="eastAsia" w:ascii="仿宋" w:hAnsi="仿宋" w:eastAsia="仿宋" w:cs="仿宋"/>
                <w:color w:val="auto"/>
                <w:sz w:val="24"/>
                <w:szCs w:val="24"/>
              </w:rPr>
              <w:t>人员安排</w:t>
            </w:r>
            <w:r>
              <w:rPr>
                <w:rFonts w:hint="eastAsia" w:ascii="仿宋" w:hAnsi="仿宋" w:eastAsia="仿宋" w:cs="仿宋"/>
                <w:color w:val="auto"/>
                <w:sz w:val="24"/>
                <w:szCs w:val="24"/>
                <w:lang w:eastAsia="zh-CN"/>
              </w:rPr>
              <w:t>充足、经验丰富的得</w:t>
            </w:r>
            <w:r>
              <w:rPr>
                <w:rFonts w:hint="eastAsia" w:ascii="仿宋" w:hAnsi="仿宋" w:eastAsia="仿宋" w:cs="仿宋"/>
                <w:color w:val="auto"/>
                <w:sz w:val="24"/>
                <w:szCs w:val="24"/>
                <w:lang w:val="en-US" w:eastAsia="zh-CN"/>
              </w:rPr>
              <w:t>5分；</w:t>
            </w:r>
            <w:r>
              <w:rPr>
                <w:rFonts w:hint="eastAsia" w:ascii="仿宋" w:hAnsi="仿宋" w:eastAsia="仿宋" w:cs="仿宋"/>
                <w:color w:val="auto"/>
                <w:sz w:val="24"/>
                <w:szCs w:val="24"/>
                <w:lang w:eastAsia="zh-CN"/>
              </w:rPr>
              <w:t>分工较明确、</w:t>
            </w:r>
            <w:r>
              <w:rPr>
                <w:rFonts w:hint="eastAsia" w:ascii="仿宋" w:hAnsi="仿宋" w:eastAsia="仿宋" w:cs="仿宋"/>
                <w:color w:val="auto"/>
                <w:sz w:val="24"/>
                <w:szCs w:val="24"/>
              </w:rPr>
              <w:t>人员安排</w:t>
            </w:r>
            <w:r>
              <w:rPr>
                <w:rFonts w:hint="eastAsia" w:ascii="仿宋" w:hAnsi="仿宋" w:eastAsia="仿宋" w:cs="仿宋"/>
                <w:color w:val="auto"/>
                <w:sz w:val="24"/>
                <w:szCs w:val="24"/>
                <w:lang w:eastAsia="zh-CN"/>
              </w:rPr>
              <w:t>较充足、经验较丰富的得</w:t>
            </w:r>
            <w:r>
              <w:rPr>
                <w:rFonts w:hint="eastAsia" w:ascii="仿宋" w:hAnsi="仿宋" w:eastAsia="仿宋" w:cs="仿宋"/>
                <w:color w:val="auto"/>
                <w:sz w:val="24"/>
                <w:szCs w:val="24"/>
                <w:lang w:val="en-US" w:eastAsia="zh-CN"/>
              </w:rPr>
              <w:t>3分；</w:t>
            </w:r>
            <w:r>
              <w:rPr>
                <w:rFonts w:hint="eastAsia" w:ascii="仿宋" w:hAnsi="仿宋" w:eastAsia="仿宋" w:cs="仿宋"/>
                <w:color w:val="auto"/>
                <w:sz w:val="24"/>
                <w:szCs w:val="24"/>
                <w:lang w:eastAsia="zh-CN"/>
              </w:rPr>
              <w:t>分工明确一般、</w:t>
            </w:r>
            <w:r>
              <w:rPr>
                <w:rFonts w:hint="eastAsia" w:ascii="仿宋" w:hAnsi="仿宋" w:eastAsia="仿宋" w:cs="仿宋"/>
                <w:color w:val="auto"/>
                <w:sz w:val="24"/>
                <w:szCs w:val="24"/>
              </w:rPr>
              <w:t>人员安排</w:t>
            </w:r>
            <w:r>
              <w:rPr>
                <w:rFonts w:hint="eastAsia" w:ascii="仿宋" w:hAnsi="仿宋" w:eastAsia="仿宋" w:cs="仿宋"/>
                <w:color w:val="auto"/>
                <w:sz w:val="24"/>
                <w:szCs w:val="24"/>
                <w:lang w:eastAsia="zh-CN"/>
              </w:rPr>
              <w:t>一般、经验一般的得</w:t>
            </w:r>
            <w:r>
              <w:rPr>
                <w:rFonts w:hint="eastAsia" w:ascii="仿宋" w:hAnsi="仿宋" w:eastAsia="仿宋" w:cs="仿宋"/>
                <w:color w:val="auto"/>
                <w:sz w:val="24"/>
                <w:szCs w:val="24"/>
                <w:lang w:val="en-US" w:eastAsia="zh-CN"/>
              </w:rPr>
              <w:t>1分；</w:t>
            </w:r>
            <w:r>
              <w:rPr>
                <w:rFonts w:hint="eastAsia" w:ascii="仿宋" w:hAnsi="仿宋" w:eastAsia="仿宋" w:cs="仿宋"/>
                <w:color w:val="auto"/>
                <w:sz w:val="24"/>
                <w:szCs w:val="24"/>
                <w:lang w:eastAsia="zh-CN"/>
              </w:rPr>
              <w:t>分工不明确、</w:t>
            </w:r>
            <w:r>
              <w:rPr>
                <w:rFonts w:hint="eastAsia" w:ascii="仿宋" w:hAnsi="仿宋" w:eastAsia="仿宋" w:cs="仿宋"/>
                <w:color w:val="auto"/>
                <w:sz w:val="24"/>
                <w:szCs w:val="24"/>
              </w:rPr>
              <w:t>人员安排</w:t>
            </w:r>
            <w:r>
              <w:rPr>
                <w:rFonts w:hint="eastAsia" w:ascii="仿宋" w:hAnsi="仿宋" w:eastAsia="仿宋" w:cs="仿宋"/>
                <w:color w:val="auto"/>
                <w:sz w:val="24"/>
                <w:szCs w:val="24"/>
                <w:lang w:eastAsia="zh-CN"/>
              </w:rPr>
              <w:t>不充足、无经验的不得分。</w:t>
            </w:r>
          </w:p>
        </w:tc>
        <w:tc>
          <w:tcPr>
            <w:tcW w:w="800" w:type="dxa"/>
            <w:vAlign w:val="center"/>
          </w:tcPr>
          <w:p w14:paraId="5CA01702">
            <w:pPr>
              <w:widowControl/>
              <w:adjustRightInd/>
              <w:jc w:val="center"/>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rPr>
              <w:t>5</w:t>
            </w:r>
            <w:r>
              <w:rPr>
                <w:rFonts w:hint="eastAsia" w:ascii="仿宋" w:hAnsi="仿宋" w:eastAsia="仿宋" w:cs="仿宋"/>
                <w:color w:val="auto"/>
                <w:sz w:val="24"/>
                <w:szCs w:val="24"/>
              </w:rPr>
              <w:t>分</w:t>
            </w:r>
          </w:p>
        </w:tc>
        <w:tc>
          <w:tcPr>
            <w:tcW w:w="898" w:type="dxa"/>
            <w:vAlign w:val="center"/>
          </w:tcPr>
          <w:p w14:paraId="3398E421">
            <w:pPr>
              <w:widowControl/>
              <w:adjustRightInd/>
              <w:jc w:val="center"/>
              <w:rPr>
                <w:rFonts w:hint="eastAsia" w:ascii="仿宋" w:hAnsi="仿宋" w:eastAsia="仿宋" w:cs="仿宋"/>
                <w:color w:val="auto"/>
                <w:sz w:val="24"/>
                <w:szCs w:val="24"/>
                <w:shd w:val="clear" w:color="auto" w:fill="FFFFFF"/>
              </w:rPr>
            </w:pPr>
            <w:r>
              <w:rPr>
                <w:rFonts w:hint="eastAsia" w:ascii="仿宋" w:hAnsi="仿宋" w:eastAsia="仿宋" w:cs="仿宋"/>
                <w:color w:val="auto"/>
                <w:kern w:val="0"/>
                <w:sz w:val="24"/>
                <w:szCs w:val="24"/>
                <w:lang w:bidi="ar"/>
              </w:rPr>
              <w:t>主观分</w:t>
            </w:r>
          </w:p>
        </w:tc>
      </w:tr>
      <w:tr w14:paraId="6D3CB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6" w:hRule="atLeast"/>
          <w:jc w:val="center"/>
        </w:trPr>
        <w:tc>
          <w:tcPr>
            <w:tcW w:w="488" w:type="dxa"/>
            <w:vAlign w:val="center"/>
          </w:tcPr>
          <w:p w14:paraId="6E57467A">
            <w:pPr>
              <w:pStyle w:val="49"/>
              <w:spacing w:line="24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12</w:t>
            </w:r>
          </w:p>
        </w:tc>
        <w:tc>
          <w:tcPr>
            <w:tcW w:w="696" w:type="dxa"/>
            <w:vMerge w:val="continue"/>
            <w:vAlign w:val="center"/>
          </w:tcPr>
          <w:p w14:paraId="4E693317">
            <w:pPr>
              <w:pStyle w:val="49"/>
              <w:ind w:firstLine="480"/>
              <w:jc w:val="center"/>
              <w:rPr>
                <w:rFonts w:hint="eastAsia" w:ascii="仿宋" w:hAnsi="仿宋" w:eastAsia="仿宋" w:cs="仿宋"/>
                <w:color w:val="auto"/>
                <w:sz w:val="24"/>
                <w:szCs w:val="24"/>
              </w:rPr>
            </w:pPr>
          </w:p>
        </w:tc>
        <w:tc>
          <w:tcPr>
            <w:tcW w:w="6902" w:type="dxa"/>
            <w:gridSpan w:val="2"/>
            <w:vAlign w:val="center"/>
          </w:tcPr>
          <w:p w14:paraId="4FD9B984">
            <w:pPr>
              <w:widowControl/>
              <w:adjustRightInd/>
              <w:rPr>
                <w:rFonts w:hint="eastAsia" w:ascii="仿宋" w:hAnsi="仿宋" w:eastAsia="仿宋" w:cs="仿宋"/>
                <w:color w:val="auto"/>
                <w:sz w:val="24"/>
                <w:szCs w:val="24"/>
              </w:rPr>
            </w:pPr>
            <w:r>
              <w:rPr>
                <w:rFonts w:hint="eastAsia" w:ascii="仿宋" w:hAnsi="仿宋" w:eastAsia="仿宋" w:cs="仿宋"/>
                <w:color w:val="auto"/>
                <w:sz w:val="24"/>
                <w:szCs w:val="24"/>
              </w:rPr>
              <w:t>在</w:t>
            </w:r>
            <w:r>
              <w:rPr>
                <w:rFonts w:hint="eastAsia" w:ascii="仿宋" w:hAnsi="仿宋" w:eastAsia="仿宋" w:cs="仿宋"/>
                <w:color w:val="auto"/>
                <w:sz w:val="24"/>
                <w:szCs w:val="24"/>
                <w:lang w:eastAsia="zh-CN"/>
              </w:rPr>
              <w:t>招标文件</w:t>
            </w:r>
            <w:r>
              <w:rPr>
                <w:rFonts w:hint="eastAsia" w:ascii="仿宋" w:hAnsi="仿宋" w:eastAsia="仿宋" w:cs="仿宋"/>
                <w:color w:val="auto"/>
                <w:sz w:val="24"/>
                <w:szCs w:val="24"/>
              </w:rPr>
              <w:t>中规定的线路标准的基础上，根据投标方优化方案，提出合理化建议</w:t>
            </w:r>
            <w:r>
              <w:rPr>
                <w:rFonts w:hint="eastAsia" w:ascii="仿宋" w:hAnsi="仿宋" w:eastAsia="仿宋" w:cs="仿宋"/>
                <w:color w:val="auto"/>
                <w:sz w:val="24"/>
                <w:szCs w:val="24"/>
                <w:lang w:eastAsia="zh-CN"/>
              </w:rPr>
              <w:t>等综合评定。</w:t>
            </w:r>
            <w:r>
              <w:rPr>
                <w:rFonts w:hint="eastAsia" w:ascii="仿宋" w:hAnsi="仿宋" w:eastAsia="仿宋" w:cs="仿宋"/>
                <w:color w:val="auto"/>
                <w:sz w:val="24"/>
                <w:szCs w:val="24"/>
              </w:rPr>
              <w:t>内容详实且有针对性的得</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分；内容较详实且较有针对性的得</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分；内容</w:t>
            </w:r>
            <w:r>
              <w:rPr>
                <w:rFonts w:hint="eastAsia" w:ascii="仿宋" w:hAnsi="仿宋" w:eastAsia="仿宋" w:cs="仿宋"/>
                <w:color w:val="auto"/>
                <w:sz w:val="24"/>
                <w:szCs w:val="24"/>
                <w:lang w:eastAsia="zh-CN"/>
              </w:rPr>
              <w:t>一般</w:t>
            </w:r>
            <w:r>
              <w:rPr>
                <w:rFonts w:hint="eastAsia" w:ascii="仿宋" w:hAnsi="仿宋" w:eastAsia="仿宋" w:cs="仿宋"/>
                <w:color w:val="auto"/>
                <w:sz w:val="24"/>
                <w:szCs w:val="24"/>
              </w:rPr>
              <w:t>且针对性</w:t>
            </w:r>
            <w:r>
              <w:rPr>
                <w:rFonts w:hint="eastAsia" w:ascii="仿宋" w:hAnsi="仿宋" w:eastAsia="仿宋" w:cs="仿宋"/>
                <w:color w:val="auto"/>
                <w:sz w:val="24"/>
                <w:szCs w:val="24"/>
                <w:lang w:eastAsia="zh-CN"/>
              </w:rPr>
              <w:t>一般</w:t>
            </w:r>
            <w:r>
              <w:rPr>
                <w:rFonts w:hint="eastAsia" w:ascii="仿宋" w:hAnsi="仿宋" w:eastAsia="仿宋" w:cs="仿宋"/>
                <w:color w:val="auto"/>
                <w:sz w:val="24"/>
                <w:szCs w:val="24"/>
              </w:rPr>
              <w:t>的得</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分；内容不详实且无针对性的</w:t>
            </w:r>
            <w:r>
              <w:rPr>
                <w:rFonts w:hint="eastAsia" w:ascii="仿宋" w:hAnsi="仿宋" w:eastAsia="仿宋" w:cs="仿宋"/>
                <w:color w:val="auto"/>
                <w:sz w:val="24"/>
                <w:szCs w:val="24"/>
                <w:lang w:eastAsia="zh-CN"/>
              </w:rPr>
              <w:t>不得分</w:t>
            </w:r>
            <w:r>
              <w:rPr>
                <w:rFonts w:hint="eastAsia" w:ascii="仿宋" w:hAnsi="仿宋" w:eastAsia="仿宋" w:cs="仿宋"/>
                <w:color w:val="auto"/>
                <w:sz w:val="24"/>
                <w:szCs w:val="24"/>
              </w:rPr>
              <w:t>。</w:t>
            </w:r>
          </w:p>
        </w:tc>
        <w:tc>
          <w:tcPr>
            <w:tcW w:w="800" w:type="dxa"/>
            <w:vAlign w:val="center"/>
          </w:tcPr>
          <w:p w14:paraId="5430410F">
            <w:pPr>
              <w:widowControl/>
              <w:adjustRightInd/>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5</w:t>
            </w:r>
            <w:r>
              <w:rPr>
                <w:rFonts w:hint="eastAsia" w:ascii="仿宋" w:hAnsi="仿宋" w:eastAsia="仿宋" w:cs="仿宋"/>
                <w:color w:val="auto"/>
                <w:sz w:val="24"/>
                <w:szCs w:val="24"/>
              </w:rPr>
              <w:t>分</w:t>
            </w:r>
          </w:p>
        </w:tc>
        <w:tc>
          <w:tcPr>
            <w:tcW w:w="898" w:type="dxa"/>
            <w:vAlign w:val="center"/>
          </w:tcPr>
          <w:p w14:paraId="3F837249">
            <w:pPr>
              <w:widowControl/>
              <w:adjustRightInd/>
              <w:jc w:val="center"/>
              <w:rPr>
                <w:rFonts w:hint="eastAsia" w:ascii="仿宋" w:hAnsi="仿宋" w:eastAsia="仿宋" w:cs="仿宋"/>
                <w:color w:val="auto"/>
                <w:kern w:val="0"/>
                <w:sz w:val="24"/>
                <w:szCs w:val="24"/>
                <w:lang w:bidi="ar"/>
              </w:rPr>
            </w:pPr>
            <w:r>
              <w:rPr>
                <w:rFonts w:hint="eastAsia" w:ascii="仿宋" w:hAnsi="仿宋" w:eastAsia="仿宋" w:cs="仿宋"/>
                <w:color w:val="auto"/>
                <w:kern w:val="0"/>
                <w:sz w:val="24"/>
                <w:szCs w:val="24"/>
                <w:lang w:bidi="ar"/>
              </w:rPr>
              <w:t>主观分</w:t>
            </w:r>
          </w:p>
        </w:tc>
      </w:tr>
      <w:tr w14:paraId="603BB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1" w:hRule="atLeast"/>
          <w:jc w:val="center"/>
        </w:trPr>
        <w:tc>
          <w:tcPr>
            <w:tcW w:w="488" w:type="dxa"/>
            <w:vAlign w:val="center"/>
          </w:tcPr>
          <w:p w14:paraId="37229249">
            <w:pPr>
              <w:pStyle w:val="49"/>
              <w:spacing w:line="24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13</w:t>
            </w:r>
          </w:p>
        </w:tc>
        <w:tc>
          <w:tcPr>
            <w:tcW w:w="696" w:type="dxa"/>
            <w:vMerge w:val="continue"/>
            <w:vAlign w:val="center"/>
          </w:tcPr>
          <w:p w14:paraId="22D40325">
            <w:pPr>
              <w:pStyle w:val="49"/>
              <w:ind w:firstLine="480"/>
              <w:jc w:val="center"/>
              <w:rPr>
                <w:rFonts w:hint="eastAsia" w:ascii="仿宋" w:hAnsi="仿宋" w:eastAsia="仿宋" w:cs="仿宋"/>
                <w:color w:val="auto"/>
                <w:sz w:val="24"/>
                <w:szCs w:val="24"/>
              </w:rPr>
            </w:pPr>
          </w:p>
        </w:tc>
        <w:tc>
          <w:tcPr>
            <w:tcW w:w="6902" w:type="dxa"/>
            <w:gridSpan w:val="2"/>
            <w:vAlign w:val="center"/>
          </w:tcPr>
          <w:p w14:paraId="2434AE44">
            <w:pPr>
              <w:widowControl/>
              <w:adjustRightInd/>
              <w:rPr>
                <w:rFonts w:hint="eastAsia" w:ascii="仿宋" w:hAnsi="仿宋" w:eastAsia="仿宋" w:cs="仿宋"/>
                <w:color w:val="auto"/>
                <w:sz w:val="24"/>
                <w:szCs w:val="24"/>
                <w:lang w:eastAsia="zh-CN"/>
              </w:rPr>
            </w:pPr>
            <w:r>
              <w:rPr>
                <w:rFonts w:hint="eastAsia" w:ascii="仿宋" w:hAnsi="仿宋" w:eastAsia="仿宋" w:cs="仿宋"/>
                <w:color w:val="auto"/>
                <w:sz w:val="24"/>
                <w:szCs w:val="24"/>
              </w:rPr>
              <w:t>根据出行服务、人性化服务、与地接人员衔接服务、安排入住酒店、用餐服务等与本次疗休养有关的服务质量情况</w:t>
            </w:r>
            <w:r>
              <w:rPr>
                <w:rFonts w:hint="eastAsia" w:ascii="仿宋" w:hAnsi="仿宋" w:eastAsia="仿宋" w:cs="仿宋"/>
                <w:color w:val="auto"/>
                <w:sz w:val="24"/>
                <w:szCs w:val="24"/>
                <w:lang w:eastAsia="zh-CN"/>
              </w:rPr>
              <w:t>综合评定。</w:t>
            </w:r>
            <w:r>
              <w:rPr>
                <w:rFonts w:hint="eastAsia" w:ascii="仿宋" w:hAnsi="仿宋" w:eastAsia="仿宋" w:cs="仿宋"/>
                <w:color w:val="auto"/>
                <w:sz w:val="24"/>
                <w:szCs w:val="24"/>
              </w:rPr>
              <w:t>方案内容完整且与项目匹配度好的得5分；方案内容基本完整且与项目匹配度较好的得3分；方案内容存在欠缺或与项目匹配度一般的得</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分；方案内容缺失严重或与项目不匹配的不得分。</w:t>
            </w:r>
          </w:p>
        </w:tc>
        <w:tc>
          <w:tcPr>
            <w:tcW w:w="800" w:type="dxa"/>
            <w:vAlign w:val="center"/>
          </w:tcPr>
          <w:p w14:paraId="4E3444A8">
            <w:pPr>
              <w:widowControl/>
              <w:adjustRightInd/>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分</w:t>
            </w:r>
          </w:p>
        </w:tc>
        <w:tc>
          <w:tcPr>
            <w:tcW w:w="898" w:type="dxa"/>
            <w:vAlign w:val="center"/>
          </w:tcPr>
          <w:p w14:paraId="0881899D">
            <w:pPr>
              <w:widowControl/>
              <w:adjustRightInd/>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bidi="ar"/>
              </w:rPr>
              <w:t>主观分</w:t>
            </w:r>
          </w:p>
        </w:tc>
      </w:tr>
      <w:tr w14:paraId="0313C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4" w:hRule="atLeast"/>
          <w:jc w:val="center"/>
        </w:trPr>
        <w:tc>
          <w:tcPr>
            <w:tcW w:w="488" w:type="dxa"/>
            <w:vAlign w:val="center"/>
          </w:tcPr>
          <w:p w14:paraId="22855626">
            <w:pPr>
              <w:pStyle w:val="49"/>
              <w:spacing w:line="24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14</w:t>
            </w:r>
          </w:p>
        </w:tc>
        <w:tc>
          <w:tcPr>
            <w:tcW w:w="696" w:type="dxa"/>
            <w:vMerge w:val="continue"/>
            <w:vAlign w:val="center"/>
          </w:tcPr>
          <w:p w14:paraId="7943C765">
            <w:pPr>
              <w:pStyle w:val="49"/>
              <w:ind w:firstLine="480"/>
              <w:jc w:val="center"/>
              <w:rPr>
                <w:rFonts w:hint="eastAsia" w:ascii="仿宋" w:hAnsi="仿宋" w:eastAsia="仿宋" w:cs="仿宋"/>
                <w:color w:val="auto"/>
                <w:sz w:val="24"/>
                <w:szCs w:val="24"/>
              </w:rPr>
            </w:pPr>
          </w:p>
        </w:tc>
        <w:tc>
          <w:tcPr>
            <w:tcW w:w="6902" w:type="dxa"/>
            <w:gridSpan w:val="2"/>
            <w:vAlign w:val="center"/>
          </w:tcPr>
          <w:p w14:paraId="7D773732">
            <w:pP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根据</w:t>
            </w:r>
            <w:r>
              <w:rPr>
                <w:rFonts w:hint="eastAsia" w:ascii="仿宋" w:hAnsi="仿宋" w:eastAsia="仿宋" w:cs="仿宋"/>
                <w:color w:val="auto"/>
                <w:sz w:val="24"/>
                <w:szCs w:val="24"/>
              </w:rPr>
              <w:t>提供详细的突发事件处理方案、安防措施、投诉处理、纠纷处理方案</w:t>
            </w:r>
            <w:r>
              <w:rPr>
                <w:rFonts w:hint="eastAsia" w:ascii="仿宋" w:hAnsi="仿宋" w:eastAsia="仿宋" w:cs="仿宋"/>
                <w:color w:val="auto"/>
                <w:sz w:val="24"/>
                <w:szCs w:val="24"/>
                <w:lang w:eastAsia="zh-CN"/>
              </w:rPr>
              <w:t>等综合评定。</w:t>
            </w:r>
            <w:r>
              <w:rPr>
                <w:rFonts w:hint="eastAsia" w:ascii="仿宋" w:hAnsi="仿宋" w:eastAsia="仿宋" w:cs="仿宋"/>
                <w:color w:val="auto"/>
                <w:sz w:val="24"/>
                <w:szCs w:val="24"/>
              </w:rPr>
              <w:t>方案内容完整且与项目匹配度好的得5分；方案内容基本完整且与项目匹配度较好的得3分；方案内容存在欠缺或与项目匹配度一般的得</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分；方案内容缺失严重或与项目不匹配的不得分。</w:t>
            </w:r>
          </w:p>
        </w:tc>
        <w:tc>
          <w:tcPr>
            <w:tcW w:w="800" w:type="dxa"/>
            <w:vAlign w:val="center"/>
          </w:tcPr>
          <w:p w14:paraId="263060E7">
            <w:pPr>
              <w:widowControl/>
              <w:adjustRightInd/>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分</w:t>
            </w:r>
          </w:p>
        </w:tc>
        <w:tc>
          <w:tcPr>
            <w:tcW w:w="898" w:type="dxa"/>
            <w:vAlign w:val="center"/>
          </w:tcPr>
          <w:p w14:paraId="68B32012">
            <w:pPr>
              <w:widowControl/>
              <w:adjustRightInd/>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bidi="ar"/>
              </w:rPr>
              <w:t>主观分</w:t>
            </w:r>
          </w:p>
        </w:tc>
      </w:tr>
      <w:tr w14:paraId="4255F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jc w:val="center"/>
        </w:trPr>
        <w:tc>
          <w:tcPr>
            <w:tcW w:w="488" w:type="dxa"/>
            <w:vAlign w:val="center"/>
          </w:tcPr>
          <w:p w14:paraId="3809CDEF">
            <w:pPr>
              <w:pStyle w:val="49"/>
              <w:spacing w:line="240" w:lineRule="auto"/>
              <w:ind w:firstLine="0" w:firstLineChars="0"/>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15</w:t>
            </w:r>
          </w:p>
        </w:tc>
        <w:tc>
          <w:tcPr>
            <w:tcW w:w="696" w:type="dxa"/>
            <w:vMerge w:val="continue"/>
            <w:vAlign w:val="center"/>
          </w:tcPr>
          <w:p w14:paraId="7778FE2D">
            <w:pPr>
              <w:pStyle w:val="49"/>
              <w:ind w:firstLine="480"/>
              <w:jc w:val="center"/>
              <w:rPr>
                <w:rFonts w:hint="eastAsia" w:ascii="仿宋" w:hAnsi="仿宋" w:eastAsia="仿宋" w:cs="仿宋"/>
                <w:color w:val="auto"/>
                <w:sz w:val="24"/>
                <w:szCs w:val="24"/>
              </w:rPr>
            </w:pPr>
          </w:p>
        </w:tc>
        <w:tc>
          <w:tcPr>
            <w:tcW w:w="6902" w:type="dxa"/>
            <w:gridSpan w:val="2"/>
            <w:vAlign w:val="center"/>
          </w:tcPr>
          <w:p w14:paraId="52BD8EEF">
            <w:pPr>
              <w:widowControl/>
              <w:adjustRightInd/>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根据提供的</w:t>
            </w:r>
            <w:r>
              <w:rPr>
                <w:rFonts w:hint="eastAsia" w:ascii="仿宋" w:hAnsi="仿宋" w:eastAsia="仿宋" w:cs="仿宋"/>
                <w:color w:val="auto"/>
                <w:sz w:val="24"/>
                <w:szCs w:val="24"/>
              </w:rPr>
              <w:t>增值（特色）服务、优惠措施等</w:t>
            </w:r>
            <w:r>
              <w:rPr>
                <w:rFonts w:hint="eastAsia" w:ascii="仿宋" w:hAnsi="仿宋" w:eastAsia="仿宋" w:cs="仿宋"/>
                <w:color w:val="auto"/>
                <w:sz w:val="24"/>
                <w:szCs w:val="24"/>
                <w:lang w:eastAsia="zh-CN"/>
              </w:rPr>
              <w:t>综合评定。</w:t>
            </w:r>
            <w:r>
              <w:rPr>
                <w:rFonts w:hint="eastAsia" w:ascii="仿宋" w:hAnsi="仿宋" w:eastAsia="仿宋" w:cs="仿宋"/>
                <w:color w:val="auto"/>
                <w:sz w:val="24"/>
                <w:szCs w:val="24"/>
              </w:rPr>
              <w:t>内容详实且有针对性的得</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分；内容较详实且较有针对性的得</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分；内容</w:t>
            </w:r>
            <w:r>
              <w:rPr>
                <w:rFonts w:hint="eastAsia" w:ascii="仿宋" w:hAnsi="仿宋" w:eastAsia="仿宋" w:cs="仿宋"/>
                <w:color w:val="auto"/>
                <w:sz w:val="24"/>
                <w:szCs w:val="24"/>
                <w:lang w:eastAsia="zh-CN"/>
              </w:rPr>
              <w:t>一般</w:t>
            </w:r>
            <w:r>
              <w:rPr>
                <w:rFonts w:hint="eastAsia" w:ascii="仿宋" w:hAnsi="仿宋" w:eastAsia="仿宋" w:cs="仿宋"/>
                <w:color w:val="auto"/>
                <w:sz w:val="24"/>
                <w:szCs w:val="24"/>
              </w:rPr>
              <w:t>且针对性</w:t>
            </w:r>
            <w:r>
              <w:rPr>
                <w:rFonts w:hint="eastAsia" w:ascii="仿宋" w:hAnsi="仿宋" w:eastAsia="仿宋" w:cs="仿宋"/>
                <w:color w:val="auto"/>
                <w:sz w:val="24"/>
                <w:szCs w:val="24"/>
                <w:lang w:eastAsia="zh-CN"/>
              </w:rPr>
              <w:t>一般</w:t>
            </w:r>
            <w:r>
              <w:rPr>
                <w:rFonts w:hint="eastAsia" w:ascii="仿宋" w:hAnsi="仿宋" w:eastAsia="仿宋" w:cs="仿宋"/>
                <w:color w:val="auto"/>
                <w:sz w:val="24"/>
                <w:szCs w:val="24"/>
              </w:rPr>
              <w:t>的得</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分；内容不详实且无针对性的</w:t>
            </w:r>
            <w:r>
              <w:rPr>
                <w:rFonts w:hint="eastAsia" w:ascii="仿宋" w:hAnsi="仿宋" w:eastAsia="仿宋" w:cs="仿宋"/>
                <w:color w:val="auto"/>
                <w:sz w:val="24"/>
                <w:szCs w:val="24"/>
                <w:lang w:eastAsia="zh-CN"/>
              </w:rPr>
              <w:t>不得分</w:t>
            </w:r>
            <w:r>
              <w:rPr>
                <w:rFonts w:hint="eastAsia" w:ascii="仿宋" w:hAnsi="仿宋" w:eastAsia="仿宋" w:cs="仿宋"/>
                <w:color w:val="auto"/>
                <w:sz w:val="24"/>
                <w:szCs w:val="24"/>
              </w:rPr>
              <w:t>。</w:t>
            </w:r>
          </w:p>
        </w:tc>
        <w:tc>
          <w:tcPr>
            <w:tcW w:w="800" w:type="dxa"/>
            <w:vAlign w:val="center"/>
          </w:tcPr>
          <w:p w14:paraId="2B217F6D">
            <w:pPr>
              <w:widowControl/>
              <w:adjustRightInd/>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分</w:t>
            </w:r>
          </w:p>
        </w:tc>
        <w:tc>
          <w:tcPr>
            <w:tcW w:w="898" w:type="dxa"/>
            <w:vAlign w:val="center"/>
          </w:tcPr>
          <w:p w14:paraId="65C74D51">
            <w:pPr>
              <w:widowControl/>
              <w:adjustRightInd/>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bidi="ar"/>
              </w:rPr>
              <w:t>主观分</w:t>
            </w:r>
          </w:p>
        </w:tc>
      </w:tr>
      <w:tr w14:paraId="550A4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9" w:hRule="atLeast"/>
          <w:jc w:val="center"/>
        </w:trPr>
        <w:tc>
          <w:tcPr>
            <w:tcW w:w="488" w:type="dxa"/>
            <w:vAlign w:val="center"/>
          </w:tcPr>
          <w:p w14:paraId="145F4BE7">
            <w:pPr>
              <w:pStyle w:val="49"/>
              <w:spacing w:line="240" w:lineRule="auto"/>
              <w:ind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16</w:t>
            </w:r>
          </w:p>
        </w:tc>
        <w:tc>
          <w:tcPr>
            <w:tcW w:w="696" w:type="dxa"/>
            <w:vMerge w:val="continue"/>
            <w:vAlign w:val="center"/>
          </w:tcPr>
          <w:p w14:paraId="18A6F0E6">
            <w:pPr>
              <w:pStyle w:val="49"/>
              <w:ind w:firstLine="480"/>
              <w:jc w:val="center"/>
              <w:rPr>
                <w:rFonts w:hint="eastAsia" w:ascii="仿宋" w:hAnsi="仿宋" w:eastAsia="仿宋" w:cs="仿宋"/>
                <w:color w:val="auto"/>
                <w:sz w:val="24"/>
                <w:szCs w:val="24"/>
              </w:rPr>
            </w:pPr>
          </w:p>
        </w:tc>
        <w:tc>
          <w:tcPr>
            <w:tcW w:w="6902" w:type="dxa"/>
            <w:gridSpan w:val="2"/>
            <w:vAlign w:val="center"/>
          </w:tcPr>
          <w:p w14:paraId="469FB346">
            <w:pPr>
              <w:widowControl/>
              <w:adjustRightInd/>
              <w:rPr>
                <w:rFonts w:hint="eastAsia" w:ascii="仿宋" w:hAnsi="仿宋" w:eastAsia="仿宋" w:cs="仿宋"/>
                <w:color w:val="auto"/>
                <w:sz w:val="24"/>
                <w:szCs w:val="24"/>
                <w:lang w:eastAsia="zh-CN"/>
              </w:rPr>
            </w:pPr>
            <w:r>
              <w:rPr>
                <w:rFonts w:hint="eastAsia" w:ascii="仿宋" w:hAnsi="仿宋" w:eastAsia="仿宋" w:cs="仿宋"/>
                <w:color w:val="auto"/>
                <w:sz w:val="24"/>
                <w:szCs w:val="24"/>
              </w:rPr>
              <w:t>投标人导游力量</w:t>
            </w:r>
            <w:r>
              <w:rPr>
                <w:rFonts w:hint="eastAsia" w:ascii="仿宋" w:hAnsi="仿宋" w:eastAsia="仿宋" w:cs="仿宋"/>
                <w:color w:val="auto"/>
                <w:sz w:val="24"/>
                <w:szCs w:val="24"/>
                <w:lang w:eastAsia="zh-CN"/>
              </w:rPr>
              <w:t>：投标人拥有全国优秀导游员或高级导游员或省级及以上金牌导游员得5分，拥有中级导游员或杭州市优秀或金牌导游员得3分，拥有区县级金牌或优秀导游员得1分。（响应文件中提供导游员近3个月经社保部门盖章的参保凭证、证书复印件并加盖公章。）</w:t>
            </w:r>
          </w:p>
        </w:tc>
        <w:tc>
          <w:tcPr>
            <w:tcW w:w="800" w:type="dxa"/>
            <w:vAlign w:val="center"/>
          </w:tcPr>
          <w:p w14:paraId="4523B1F1">
            <w:pPr>
              <w:widowControl/>
              <w:adjustRightInd/>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分</w:t>
            </w:r>
          </w:p>
        </w:tc>
        <w:tc>
          <w:tcPr>
            <w:tcW w:w="898" w:type="dxa"/>
            <w:vAlign w:val="center"/>
          </w:tcPr>
          <w:p w14:paraId="7812DA16">
            <w:pPr>
              <w:widowControl/>
              <w:adjustRightInd/>
              <w:jc w:val="center"/>
              <w:rPr>
                <w:rFonts w:hint="eastAsia" w:ascii="仿宋" w:hAnsi="仿宋" w:eastAsia="仿宋" w:cs="仿宋"/>
                <w:color w:val="auto"/>
                <w:kern w:val="0"/>
                <w:sz w:val="24"/>
                <w:szCs w:val="24"/>
                <w:lang w:bidi="ar"/>
              </w:rPr>
            </w:pPr>
            <w:r>
              <w:rPr>
                <w:rFonts w:hint="eastAsia" w:ascii="仿宋" w:hAnsi="仿宋" w:eastAsia="仿宋" w:cs="仿宋"/>
                <w:color w:val="auto"/>
                <w:kern w:val="0"/>
                <w:sz w:val="24"/>
                <w:szCs w:val="24"/>
                <w:lang w:bidi="ar"/>
              </w:rPr>
              <w:t>客观分</w:t>
            </w:r>
          </w:p>
        </w:tc>
      </w:tr>
      <w:tr w14:paraId="6EB9A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2" w:hRule="atLeast"/>
          <w:jc w:val="center"/>
        </w:trPr>
        <w:tc>
          <w:tcPr>
            <w:tcW w:w="488" w:type="dxa"/>
            <w:vAlign w:val="center"/>
          </w:tcPr>
          <w:p w14:paraId="1C4ABCAE">
            <w:pPr>
              <w:pStyle w:val="49"/>
              <w:spacing w:line="240" w:lineRule="auto"/>
              <w:ind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17</w:t>
            </w:r>
          </w:p>
        </w:tc>
        <w:tc>
          <w:tcPr>
            <w:tcW w:w="696" w:type="dxa"/>
            <w:vMerge w:val="continue"/>
            <w:vAlign w:val="center"/>
          </w:tcPr>
          <w:p w14:paraId="062CD5DA">
            <w:pPr>
              <w:pStyle w:val="49"/>
              <w:ind w:firstLine="480"/>
              <w:jc w:val="center"/>
              <w:rPr>
                <w:rFonts w:hint="eastAsia" w:ascii="仿宋" w:hAnsi="仿宋" w:eastAsia="仿宋" w:cs="仿宋"/>
                <w:color w:val="auto"/>
                <w:sz w:val="24"/>
                <w:szCs w:val="24"/>
              </w:rPr>
            </w:pPr>
          </w:p>
        </w:tc>
        <w:tc>
          <w:tcPr>
            <w:tcW w:w="6902" w:type="dxa"/>
            <w:gridSpan w:val="2"/>
            <w:vAlign w:val="center"/>
          </w:tcPr>
          <w:p w14:paraId="17D44F91">
            <w:pPr>
              <w:widowControl/>
              <w:adjustRightInd/>
              <w:rPr>
                <w:rFonts w:hint="eastAsia" w:ascii="仿宋" w:hAnsi="仿宋" w:eastAsia="仿宋" w:cs="仿宋"/>
                <w:color w:val="auto"/>
                <w:sz w:val="24"/>
                <w:szCs w:val="24"/>
                <w:lang w:eastAsia="zh-CN"/>
              </w:rPr>
            </w:pPr>
            <w:r>
              <w:rPr>
                <w:rFonts w:hint="eastAsia" w:ascii="仿宋" w:hAnsi="仿宋" w:eastAsia="仿宋" w:cs="仿宋"/>
                <w:color w:val="auto"/>
                <w:sz w:val="24"/>
                <w:szCs w:val="24"/>
              </w:rPr>
              <w:t>旅行社责任险</w:t>
            </w:r>
            <w:r>
              <w:rPr>
                <w:rFonts w:hint="eastAsia" w:ascii="仿宋" w:hAnsi="仿宋" w:eastAsia="仿宋" w:cs="仿宋"/>
                <w:color w:val="auto"/>
                <w:sz w:val="24"/>
                <w:szCs w:val="24"/>
                <w:lang w:eastAsia="zh-CN"/>
              </w:rPr>
              <w:t>：每次事故累计责任限额2000万元及以上且每人责任限额150万/人及以上得</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lang w:eastAsia="zh-CN"/>
              </w:rPr>
              <w:t>分；每次事故累计责任限额2000万（不含）-1500万元（含）且每人责任限额150万/人（不含）-100万元/人（含）得</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eastAsia="zh-CN"/>
              </w:rPr>
              <w:t>分；每次事故累计责任限额1500（不含）-1000（含）万元且每人责任限额100万/人及以上得1分。每次事故累计责任限额低于1000万元，每人责任限额低于100万/人的不得分。（响应文件中提供保单复印件，加盖公章。）</w:t>
            </w:r>
          </w:p>
        </w:tc>
        <w:tc>
          <w:tcPr>
            <w:tcW w:w="800" w:type="dxa"/>
            <w:vAlign w:val="center"/>
          </w:tcPr>
          <w:p w14:paraId="0AB93425">
            <w:pPr>
              <w:widowControl/>
              <w:adjustRightInd/>
              <w:jc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分</w:t>
            </w:r>
          </w:p>
        </w:tc>
        <w:tc>
          <w:tcPr>
            <w:tcW w:w="898" w:type="dxa"/>
            <w:vAlign w:val="center"/>
          </w:tcPr>
          <w:p w14:paraId="305F6E13">
            <w:pPr>
              <w:widowControl/>
              <w:adjustRightInd/>
              <w:jc w:val="center"/>
              <w:rPr>
                <w:rFonts w:hint="eastAsia" w:ascii="仿宋" w:hAnsi="仿宋" w:eastAsia="仿宋" w:cs="仿宋"/>
                <w:color w:val="auto"/>
                <w:kern w:val="0"/>
                <w:sz w:val="24"/>
                <w:szCs w:val="24"/>
                <w:lang w:bidi="ar"/>
              </w:rPr>
            </w:pPr>
            <w:r>
              <w:rPr>
                <w:rFonts w:hint="eastAsia" w:ascii="仿宋" w:hAnsi="仿宋" w:eastAsia="仿宋" w:cs="仿宋"/>
                <w:color w:val="auto"/>
                <w:kern w:val="0"/>
                <w:sz w:val="24"/>
                <w:szCs w:val="24"/>
                <w:lang w:bidi="ar"/>
              </w:rPr>
              <w:t>客观分</w:t>
            </w:r>
          </w:p>
        </w:tc>
      </w:tr>
    </w:tbl>
    <w:p w14:paraId="200E8C0C">
      <w:pPr>
        <w:widowControl/>
        <w:ind w:firstLine="482" w:firstLineChars="200"/>
        <w:rPr>
          <w:rFonts w:hint="eastAsia" w:ascii="仿宋" w:hAnsi="仿宋" w:eastAsia="仿宋" w:cs="仿宋"/>
          <w:b/>
          <w:sz w:val="24"/>
          <w:szCs w:val="24"/>
        </w:rPr>
      </w:pPr>
    </w:p>
    <w:p w14:paraId="13EA79DB">
      <w:pPr>
        <w:keepNext w:val="0"/>
        <w:keepLines w:val="0"/>
        <w:pageBreakBefore w:val="0"/>
        <w:widowControl/>
        <w:kinsoku/>
        <w:wordWrap/>
        <w:overflowPunct/>
        <w:topLinePunct w:val="0"/>
        <w:autoSpaceDE/>
        <w:autoSpaceDN/>
        <w:bidi w:val="0"/>
        <w:adjustRightInd w:val="0"/>
        <w:snapToGrid/>
        <w:spacing w:line="240" w:lineRule="auto"/>
        <w:ind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备注：</w:t>
      </w:r>
    </w:p>
    <w:p w14:paraId="10E7F943">
      <w:pPr>
        <w:keepNext w:val="0"/>
        <w:keepLines w:val="0"/>
        <w:pageBreakBefore w:val="0"/>
        <w:widowControl/>
        <w:kinsoku/>
        <w:wordWrap/>
        <w:overflowPunct/>
        <w:topLinePunct w:val="0"/>
        <w:autoSpaceDE/>
        <w:autoSpaceDN/>
        <w:bidi w:val="0"/>
        <w:adjustRightInd w:val="0"/>
        <w:snapToGrid/>
        <w:spacing w:line="240" w:lineRule="auto"/>
        <w:ind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w:t>
      </w:r>
      <w:r>
        <w:rPr>
          <w:rFonts w:hint="eastAsia" w:ascii="仿宋" w:hAnsi="仿宋" w:eastAsia="仿宋" w:cs="仿宋"/>
          <w:color w:val="000000"/>
          <w:sz w:val="24"/>
          <w:szCs w:val="24"/>
          <w:lang w:eastAsia="zh-CN"/>
        </w:rPr>
        <w:t>响应文件</w:t>
      </w:r>
      <w:r>
        <w:rPr>
          <w:rFonts w:hint="eastAsia" w:ascii="仿宋" w:hAnsi="仿宋" w:eastAsia="仿宋" w:cs="仿宋"/>
          <w:color w:val="000000"/>
          <w:sz w:val="24"/>
          <w:szCs w:val="24"/>
        </w:rPr>
        <w:t>中如附有外文资料，必须逐一对应翻译成中文并加盖响应人公章后附在相关外文资料后面，否则外文资料不予认可。翻译的中文资料与外文资料不符的，均不予认可。翻译严重错误的，将视同提供虚假资料。</w:t>
      </w:r>
    </w:p>
    <w:p w14:paraId="4FBAD7A7">
      <w:pPr>
        <w:keepNext w:val="0"/>
        <w:keepLines w:val="0"/>
        <w:pageBreakBefore w:val="0"/>
        <w:widowControl/>
        <w:kinsoku/>
        <w:wordWrap/>
        <w:overflowPunct/>
        <w:topLinePunct w:val="0"/>
        <w:autoSpaceDE/>
        <w:autoSpaceDN/>
        <w:bidi w:val="0"/>
        <w:adjustRightInd w:val="0"/>
        <w:snapToGrid/>
        <w:spacing w:line="240" w:lineRule="auto"/>
        <w:ind w:firstLine="480" w:firstLineChars="200"/>
        <w:textAlignment w:val="auto"/>
        <w:rPr>
          <w:rFonts w:hint="eastAsia" w:ascii="仿宋" w:hAnsi="仿宋" w:eastAsia="仿宋" w:cs="仿宋"/>
          <w:sz w:val="24"/>
          <w:szCs w:val="24"/>
        </w:rPr>
      </w:pPr>
      <w:r>
        <w:rPr>
          <w:rFonts w:hint="eastAsia" w:ascii="仿宋" w:hAnsi="仿宋" w:eastAsia="仿宋" w:cs="仿宋"/>
          <w:color w:val="000000"/>
          <w:sz w:val="24"/>
          <w:szCs w:val="24"/>
        </w:rPr>
        <w:t>2、</w:t>
      </w:r>
      <w:r>
        <w:rPr>
          <w:rFonts w:hint="eastAsia" w:ascii="仿宋" w:hAnsi="仿宋" w:eastAsia="仿宋" w:cs="仿宋"/>
          <w:sz w:val="24"/>
          <w:szCs w:val="24"/>
        </w:rPr>
        <w:t>响应人编制</w:t>
      </w:r>
      <w:r>
        <w:rPr>
          <w:rFonts w:hint="eastAsia" w:ascii="仿宋" w:hAnsi="仿宋" w:eastAsia="仿宋" w:cs="仿宋"/>
          <w:sz w:val="24"/>
          <w:szCs w:val="24"/>
          <w:lang w:eastAsia="zh-CN"/>
        </w:rPr>
        <w:t>响应文件</w:t>
      </w:r>
      <w:r>
        <w:rPr>
          <w:rFonts w:hint="eastAsia" w:ascii="仿宋" w:hAnsi="仿宋" w:eastAsia="仿宋" w:cs="仿宋"/>
          <w:sz w:val="24"/>
          <w:szCs w:val="24"/>
        </w:rPr>
        <w:t>（商务技术文件部分）时，建议按此目录（序号和内容）提供评标标准相应的商务技术资料。 </w:t>
      </w:r>
    </w:p>
    <w:p w14:paraId="71A5F881">
      <w:pPr>
        <w:widowControl/>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价格分（</w:t>
      </w:r>
      <w:r>
        <w:rPr>
          <w:rFonts w:hint="eastAsia" w:ascii="仿宋" w:hAnsi="仿宋" w:eastAsia="仿宋" w:cs="仿宋"/>
          <w:sz w:val="24"/>
          <w:szCs w:val="24"/>
          <w:lang w:val="en-US" w:eastAsia="zh-CN"/>
        </w:rPr>
        <w:t>10</w:t>
      </w:r>
      <w:r>
        <w:rPr>
          <w:rFonts w:hint="eastAsia" w:ascii="仿宋" w:hAnsi="仿宋" w:eastAsia="仿宋" w:cs="仿宋"/>
          <w:sz w:val="24"/>
          <w:szCs w:val="24"/>
        </w:rPr>
        <w:t>分）</w:t>
      </w:r>
    </w:p>
    <w:tbl>
      <w:tblPr>
        <w:tblStyle w:val="26"/>
        <w:tblW w:w="89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23"/>
        <w:gridCol w:w="6442"/>
      </w:tblGrid>
      <w:tr w14:paraId="47EFC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523" w:type="dxa"/>
            <w:tcBorders>
              <w:top w:val="single" w:color="auto" w:sz="4" w:space="0"/>
              <w:left w:val="single" w:color="auto" w:sz="4" w:space="0"/>
              <w:bottom w:val="single" w:color="auto" w:sz="4" w:space="0"/>
              <w:right w:val="single" w:color="auto" w:sz="4" w:space="0"/>
            </w:tcBorders>
            <w:vAlign w:val="center"/>
          </w:tcPr>
          <w:p w14:paraId="0AA1F460">
            <w:pPr>
              <w:jc w:val="center"/>
              <w:rPr>
                <w:rFonts w:hint="eastAsia" w:ascii="仿宋" w:hAnsi="仿宋" w:eastAsia="仿宋" w:cs="仿宋"/>
                <w:sz w:val="24"/>
                <w:szCs w:val="24"/>
              </w:rPr>
            </w:pPr>
            <w:r>
              <w:rPr>
                <w:rFonts w:hint="eastAsia" w:ascii="仿宋" w:hAnsi="仿宋" w:eastAsia="仿宋" w:cs="仿宋"/>
                <w:sz w:val="24"/>
                <w:szCs w:val="24"/>
              </w:rPr>
              <w:t>价格分</w:t>
            </w:r>
          </w:p>
        </w:tc>
        <w:tc>
          <w:tcPr>
            <w:tcW w:w="6442" w:type="dxa"/>
            <w:tcBorders>
              <w:top w:val="single" w:color="auto" w:sz="4" w:space="0"/>
              <w:left w:val="single" w:color="auto" w:sz="4" w:space="0"/>
              <w:bottom w:val="single" w:color="auto" w:sz="4" w:space="0"/>
              <w:right w:val="single" w:color="auto" w:sz="4" w:space="0"/>
            </w:tcBorders>
            <w:vAlign w:val="center"/>
          </w:tcPr>
          <w:p w14:paraId="098FCA41">
            <w:pPr>
              <w:jc w:val="center"/>
              <w:rPr>
                <w:rFonts w:hint="eastAsia" w:ascii="仿宋" w:hAnsi="仿宋" w:eastAsia="仿宋" w:cs="仿宋"/>
                <w:sz w:val="24"/>
                <w:szCs w:val="24"/>
              </w:rPr>
            </w:pPr>
            <w:r>
              <w:rPr>
                <w:rFonts w:hint="eastAsia" w:ascii="仿宋" w:hAnsi="仿宋" w:eastAsia="仿宋" w:cs="仿宋"/>
                <w:sz w:val="24"/>
                <w:szCs w:val="24"/>
              </w:rPr>
              <w:t>计    算    方    法</w:t>
            </w:r>
          </w:p>
        </w:tc>
      </w:tr>
      <w:tr w14:paraId="53E2B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1" w:hRule="atLeast"/>
          <w:jc w:val="center"/>
        </w:trPr>
        <w:tc>
          <w:tcPr>
            <w:tcW w:w="2523" w:type="dxa"/>
            <w:tcBorders>
              <w:top w:val="single" w:color="auto" w:sz="4" w:space="0"/>
              <w:left w:val="single" w:color="auto" w:sz="4" w:space="0"/>
              <w:bottom w:val="single" w:color="auto" w:sz="4" w:space="0"/>
              <w:right w:val="single" w:color="auto" w:sz="4" w:space="0"/>
            </w:tcBorders>
            <w:vAlign w:val="center"/>
          </w:tcPr>
          <w:p w14:paraId="1920C28F">
            <w:pPr>
              <w:autoSpaceDE w:val="0"/>
              <w:autoSpaceDN w:val="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价格权值=0.</w:t>
            </w:r>
            <w:r>
              <w:rPr>
                <w:rFonts w:hint="eastAsia" w:ascii="仿宋" w:hAnsi="仿宋" w:eastAsia="仿宋" w:cs="仿宋"/>
                <w:color w:val="auto"/>
                <w:sz w:val="24"/>
                <w:szCs w:val="24"/>
                <w:lang w:val="en-US" w:eastAsia="zh-CN"/>
              </w:rPr>
              <w:t>04</w:t>
            </w:r>
          </w:p>
          <w:p w14:paraId="38D5C44A">
            <w:pPr>
              <w:autoSpaceDE w:val="0"/>
              <w:autoSpaceDN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bCs/>
                <w:color w:val="auto"/>
                <w:sz w:val="24"/>
                <w:szCs w:val="24"/>
              </w:rPr>
              <w:t>路线一</w:t>
            </w:r>
            <w:r>
              <w:rPr>
                <w:rFonts w:hint="eastAsia" w:ascii="仿宋" w:hAnsi="仿宋" w:eastAsia="仿宋" w:cs="仿宋"/>
                <w:color w:val="auto"/>
                <w:sz w:val="24"/>
                <w:szCs w:val="24"/>
              </w:rPr>
              <w:t>四川康定</w:t>
            </w:r>
            <w:r>
              <w:rPr>
                <w:rFonts w:hint="eastAsia" w:ascii="仿宋" w:hAnsi="仿宋" w:eastAsia="仿宋" w:cs="仿宋"/>
                <w:bCs/>
                <w:color w:val="auto"/>
                <w:sz w:val="24"/>
                <w:szCs w:val="24"/>
              </w:rPr>
              <w:t>线</w:t>
            </w:r>
            <w:r>
              <w:rPr>
                <w:rFonts w:hint="eastAsia" w:ascii="仿宋" w:hAnsi="仿宋" w:eastAsia="仿宋" w:cs="仿宋"/>
                <w:color w:val="auto"/>
                <w:sz w:val="24"/>
                <w:szCs w:val="24"/>
              </w:rPr>
              <w:t>）</w:t>
            </w:r>
          </w:p>
        </w:tc>
        <w:tc>
          <w:tcPr>
            <w:tcW w:w="6442" w:type="dxa"/>
            <w:tcBorders>
              <w:top w:val="single" w:color="auto" w:sz="4" w:space="0"/>
              <w:left w:val="single" w:color="auto" w:sz="4" w:space="0"/>
              <w:bottom w:val="single" w:color="auto" w:sz="4" w:space="0"/>
              <w:right w:val="single" w:color="auto" w:sz="4" w:space="0"/>
            </w:tcBorders>
            <w:vAlign w:val="center"/>
          </w:tcPr>
          <w:p w14:paraId="5F29A69E">
            <w:pPr>
              <w:autoSpaceDE w:val="0"/>
              <w:autoSpaceDN w:val="0"/>
              <w:rPr>
                <w:rFonts w:hint="eastAsia" w:ascii="仿宋" w:hAnsi="仿宋" w:eastAsia="仿宋" w:cs="仿宋"/>
                <w:sz w:val="24"/>
                <w:szCs w:val="24"/>
              </w:rPr>
            </w:pPr>
            <w:r>
              <w:rPr>
                <w:rFonts w:hint="eastAsia" w:ascii="仿宋" w:hAnsi="仿宋" w:eastAsia="仿宋" w:cs="仿宋"/>
                <w:sz w:val="24"/>
                <w:szCs w:val="24"/>
              </w:rPr>
              <w:t>最低有效投标价格为评标基准价</w:t>
            </w:r>
          </w:p>
          <w:p w14:paraId="3AB48AE3">
            <w:pPr>
              <w:autoSpaceDE w:val="0"/>
              <w:autoSpaceDN w:val="0"/>
              <w:rPr>
                <w:rFonts w:hint="eastAsia" w:ascii="仿宋" w:hAnsi="仿宋" w:eastAsia="仿宋" w:cs="仿宋"/>
                <w:sz w:val="24"/>
                <w:szCs w:val="24"/>
              </w:rPr>
            </w:pPr>
            <w:r>
              <w:rPr>
                <w:rFonts w:hint="eastAsia" w:ascii="仿宋" w:hAnsi="仿宋" w:eastAsia="仿宋" w:cs="仿宋"/>
                <w:sz w:val="24"/>
                <w:szCs w:val="24"/>
              </w:rPr>
              <w:t xml:space="preserve">投标报价得分=(评标基准价／投标报价)×价格权值×100 </w:t>
            </w:r>
          </w:p>
          <w:p w14:paraId="72D77B8B">
            <w:pPr>
              <w:autoSpaceDE w:val="0"/>
              <w:autoSpaceDN w:val="0"/>
              <w:rPr>
                <w:rFonts w:hint="eastAsia" w:ascii="仿宋" w:hAnsi="仿宋" w:eastAsia="仿宋" w:cs="仿宋"/>
                <w:sz w:val="24"/>
                <w:szCs w:val="24"/>
              </w:rPr>
            </w:pPr>
            <w:r>
              <w:rPr>
                <w:rFonts w:hint="eastAsia" w:ascii="仿宋" w:hAnsi="仿宋" w:eastAsia="仿宋" w:cs="仿宋"/>
                <w:sz w:val="24"/>
                <w:szCs w:val="24"/>
              </w:rPr>
              <w:t>（计算得分保留小数点后2位）</w:t>
            </w:r>
          </w:p>
        </w:tc>
      </w:tr>
      <w:tr w14:paraId="4CF57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3" w:hRule="atLeast"/>
          <w:jc w:val="center"/>
        </w:trPr>
        <w:tc>
          <w:tcPr>
            <w:tcW w:w="2523" w:type="dxa"/>
            <w:tcBorders>
              <w:top w:val="single" w:color="auto" w:sz="4" w:space="0"/>
              <w:left w:val="single" w:color="auto" w:sz="4" w:space="0"/>
              <w:bottom w:val="single" w:color="auto" w:sz="4" w:space="0"/>
              <w:right w:val="single" w:color="auto" w:sz="4" w:space="0"/>
            </w:tcBorders>
            <w:vAlign w:val="center"/>
          </w:tcPr>
          <w:p w14:paraId="05E1986A">
            <w:pPr>
              <w:autoSpaceDE w:val="0"/>
              <w:autoSpaceDN w:val="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rPr>
              <w:t>价格权值=0.0</w:t>
            </w:r>
            <w:r>
              <w:rPr>
                <w:rFonts w:hint="eastAsia" w:ascii="仿宋" w:hAnsi="仿宋" w:eastAsia="仿宋" w:cs="仿宋"/>
                <w:color w:val="auto"/>
                <w:sz w:val="24"/>
                <w:szCs w:val="24"/>
                <w:lang w:val="en-US" w:eastAsia="zh-CN"/>
              </w:rPr>
              <w:t>3</w:t>
            </w:r>
          </w:p>
          <w:p w14:paraId="18435914">
            <w:pPr>
              <w:autoSpaceDE w:val="0"/>
              <w:autoSpaceDN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bCs/>
                <w:color w:val="auto"/>
                <w:sz w:val="24"/>
                <w:szCs w:val="24"/>
              </w:rPr>
              <w:t>路线二</w:t>
            </w:r>
            <w:r>
              <w:rPr>
                <w:rFonts w:hint="eastAsia" w:ascii="仿宋" w:hAnsi="仿宋" w:eastAsia="仿宋" w:cs="仿宋"/>
                <w:color w:val="auto"/>
                <w:sz w:val="24"/>
                <w:szCs w:val="24"/>
                <w:lang w:eastAsia="zh-CN"/>
              </w:rPr>
              <w:t>温州</w:t>
            </w:r>
            <w:r>
              <w:rPr>
                <w:rFonts w:hint="eastAsia" w:ascii="仿宋" w:hAnsi="仿宋" w:eastAsia="仿宋" w:cs="仿宋"/>
                <w:color w:val="auto"/>
                <w:sz w:val="24"/>
                <w:szCs w:val="24"/>
              </w:rPr>
              <w:t>线）</w:t>
            </w:r>
          </w:p>
        </w:tc>
        <w:tc>
          <w:tcPr>
            <w:tcW w:w="6442" w:type="dxa"/>
            <w:tcBorders>
              <w:top w:val="single" w:color="auto" w:sz="4" w:space="0"/>
              <w:left w:val="single" w:color="auto" w:sz="4" w:space="0"/>
              <w:bottom w:val="single" w:color="auto" w:sz="4" w:space="0"/>
              <w:right w:val="single" w:color="auto" w:sz="4" w:space="0"/>
            </w:tcBorders>
            <w:vAlign w:val="center"/>
          </w:tcPr>
          <w:p w14:paraId="28CE6901">
            <w:pPr>
              <w:autoSpaceDE w:val="0"/>
              <w:autoSpaceDN w:val="0"/>
              <w:rPr>
                <w:rFonts w:hint="eastAsia" w:ascii="仿宋" w:hAnsi="仿宋" w:eastAsia="仿宋" w:cs="仿宋"/>
                <w:sz w:val="24"/>
                <w:szCs w:val="24"/>
              </w:rPr>
            </w:pPr>
            <w:r>
              <w:rPr>
                <w:rFonts w:hint="eastAsia" w:ascii="仿宋" w:hAnsi="仿宋" w:eastAsia="仿宋" w:cs="仿宋"/>
                <w:sz w:val="24"/>
                <w:szCs w:val="24"/>
              </w:rPr>
              <w:t>最低有效投标价格为评标基准价</w:t>
            </w:r>
          </w:p>
          <w:p w14:paraId="66309723">
            <w:pPr>
              <w:autoSpaceDE w:val="0"/>
              <w:autoSpaceDN w:val="0"/>
              <w:rPr>
                <w:rFonts w:hint="eastAsia" w:ascii="仿宋" w:hAnsi="仿宋" w:eastAsia="仿宋" w:cs="仿宋"/>
                <w:sz w:val="24"/>
                <w:szCs w:val="24"/>
              </w:rPr>
            </w:pPr>
            <w:r>
              <w:rPr>
                <w:rFonts w:hint="eastAsia" w:ascii="仿宋" w:hAnsi="仿宋" w:eastAsia="仿宋" w:cs="仿宋"/>
                <w:sz w:val="24"/>
                <w:szCs w:val="24"/>
              </w:rPr>
              <w:t xml:space="preserve">投标报价得分=(评标基准价／投标报价)×价格权值×100 </w:t>
            </w:r>
          </w:p>
          <w:p w14:paraId="6E6E7E64">
            <w:pPr>
              <w:autoSpaceDE w:val="0"/>
              <w:autoSpaceDN w:val="0"/>
              <w:jc w:val="left"/>
              <w:rPr>
                <w:rFonts w:hint="eastAsia" w:ascii="仿宋" w:hAnsi="仿宋" w:eastAsia="仿宋" w:cs="仿宋"/>
                <w:sz w:val="24"/>
                <w:szCs w:val="24"/>
              </w:rPr>
            </w:pPr>
            <w:r>
              <w:rPr>
                <w:rFonts w:hint="eastAsia" w:ascii="仿宋" w:hAnsi="仿宋" w:eastAsia="仿宋" w:cs="仿宋"/>
                <w:sz w:val="24"/>
                <w:szCs w:val="24"/>
              </w:rPr>
              <w:t>（计算得分保留小数点后2位）</w:t>
            </w:r>
          </w:p>
        </w:tc>
      </w:tr>
      <w:tr w14:paraId="24DC1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jc w:val="center"/>
        </w:trPr>
        <w:tc>
          <w:tcPr>
            <w:tcW w:w="2523" w:type="dxa"/>
            <w:tcBorders>
              <w:top w:val="single" w:color="auto" w:sz="4" w:space="0"/>
              <w:left w:val="single" w:color="auto" w:sz="4" w:space="0"/>
              <w:bottom w:val="single" w:color="auto" w:sz="4" w:space="0"/>
              <w:right w:val="single" w:color="auto" w:sz="4" w:space="0"/>
            </w:tcBorders>
            <w:vAlign w:val="center"/>
          </w:tcPr>
          <w:p w14:paraId="1BE9773E">
            <w:pPr>
              <w:autoSpaceDE w:val="0"/>
              <w:autoSpaceDN w:val="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rPr>
              <w:t>价格权值=0.0</w:t>
            </w:r>
            <w:r>
              <w:rPr>
                <w:rFonts w:hint="eastAsia" w:ascii="仿宋" w:hAnsi="仿宋" w:eastAsia="仿宋" w:cs="仿宋"/>
                <w:color w:val="auto"/>
                <w:sz w:val="24"/>
                <w:szCs w:val="24"/>
                <w:lang w:val="en-US" w:eastAsia="zh-CN"/>
              </w:rPr>
              <w:t>3</w:t>
            </w:r>
          </w:p>
          <w:p w14:paraId="6A3C801E">
            <w:pPr>
              <w:autoSpaceDE w:val="0"/>
              <w:autoSpaceDN w:val="0"/>
              <w:jc w:val="center"/>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bCs/>
                <w:color w:val="auto"/>
                <w:sz w:val="24"/>
                <w:szCs w:val="24"/>
              </w:rPr>
              <w:t>路线三</w:t>
            </w:r>
            <w:r>
              <w:rPr>
                <w:rFonts w:hint="eastAsia" w:ascii="仿宋" w:hAnsi="仿宋" w:eastAsia="仿宋" w:cs="仿宋"/>
                <w:color w:val="auto"/>
                <w:sz w:val="24"/>
                <w:szCs w:val="24"/>
              </w:rPr>
              <w:t>萧山区内</w:t>
            </w:r>
            <w:r>
              <w:rPr>
                <w:rFonts w:hint="eastAsia" w:ascii="仿宋" w:hAnsi="仿宋" w:eastAsia="仿宋" w:cs="仿宋"/>
                <w:bCs/>
                <w:color w:val="auto"/>
                <w:sz w:val="24"/>
                <w:szCs w:val="24"/>
              </w:rPr>
              <w:t>线</w:t>
            </w:r>
            <w:r>
              <w:rPr>
                <w:rFonts w:hint="eastAsia" w:ascii="仿宋" w:hAnsi="仿宋" w:eastAsia="仿宋" w:cs="仿宋"/>
                <w:color w:val="auto"/>
                <w:sz w:val="24"/>
                <w:szCs w:val="24"/>
              </w:rPr>
              <w:t>）</w:t>
            </w:r>
          </w:p>
        </w:tc>
        <w:tc>
          <w:tcPr>
            <w:tcW w:w="6442" w:type="dxa"/>
            <w:tcBorders>
              <w:top w:val="single" w:color="auto" w:sz="4" w:space="0"/>
              <w:left w:val="single" w:color="auto" w:sz="4" w:space="0"/>
              <w:bottom w:val="single" w:color="auto" w:sz="4" w:space="0"/>
              <w:right w:val="single" w:color="auto" w:sz="4" w:space="0"/>
            </w:tcBorders>
            <w:vAlign w:val="center"/>
          </w:tcPr>
          <w:p w14:paraId="216682A2">
            <w:pPr>
              <w:autoSpaceDE w:val="0"/>
              <w:autoSpaceDN w:val="0"/>
              <w:rPr>
                <w:rFonts w:hint="eastAsia" w:ascii="仿宋" w:hAnsi="仿宋" w:eastAsia="仿宋" w:cs="仿宋"/>
                <w:sz w:val="24"/>
                <w:szCs w:val="24"/>
              </w:rPr>
            </w:pPr>
            <w:r>
              <w:rPr>
                <w:rFonts w:hint="eastAsia" w:ascii="仿宋" w:hAnsi="仿宋" w:eastAsia="仿宋" w:cs="仿宋"/>
                <w:sz w:val="24"/>
                <w:szCs w:val="24"/>
              </w:rPr>
              <w:t>最低有效投标价格为评标基准价</w:t>
            </w:r>
          </w:p>
          <w:p w14:paraId="55F84402">
            <w:pPr>
              <w:autoSpaceDE w:val="0"/>
              <w:autoSpaceDN w:val="0"/>
              <w:rPr>
                <w:rFonts w:hint="eastAsia" w:ascii="仿宋" w:hAnsi="仿宋" w:eastAsia="仿宋" w:cs="仿宋"/>
                <w:sz w:val="24"/>
                <w:szCs w:val="24"/>
              </w:rPr>
            </w:pPr>
            <w:r>
              <w:rPr>
                <w:rFonts w:hint="eastAsia" w:ascii="仿宋" w:hAnsi="仿宋" w:eastAsia="仿宋" w:cs="仿宋"/>
                <w:sz w:val="24"/>
                <w:szCs w:val="24"/>
              </w:rPr>
              <w:t xml:space="preserve">投标报价得分=(评标基准价／投标报价)×价格权值×100 </w:t>
            </w:r>
          </w:p>
          <w:p w14:paraId="64A7EABF">
            <w:pPr>
              <w:autoSpaceDE w:val="0"/>
              <w:autoSpaceDN w:val="0"/>
              <w:jc w:val="left"/>
              <w:rPr>
                <w:rFonts w:hint="eastAsia" w:ascii="仿宋" w:hAnsi="仿宋" w:eastAsia="仿宋" w:cs="仿宋"/>
                <w:sz w:val="24"/>
                <w:szCs w:val="24"/>
              </w:rPr>
            </w:pPr>
            <w:r>
              <w:rPr>
                <w:rFonts w:hint="eastAsia" w:ascii="仿宋" w:hAnsi="仿宋" w:eastAsia="仿宋" w:cs="仿宋"/>
                <w:sz w:val="24"/>
                <w:szCs w:val="24"/>
              </w:rPr>
              <w:t>（计算得分保留小数点后2位）</w:t>
            </w:r>
          </w:p>
        </w:tc>
      </w:tr>
    </w:tbl>
    <w:p w14:paraId="6E1BA2E3">
      <w:pPr>
        <w:rPr>
          <w:rFonts w:hint="eastAsia" w:ascii="仿宋" w:hAnsi="仿宋" w:eastAsia="仿宋" w:cs="仿宋"/>
          <w:lang w:val="en-US" w:eastAsia="zh-CN"/>
        </w:rPr>
      </w:pPr>
    </w:p>
    <w:p w14:paraId="703424F6">
      <w:pPr>
        <w:spacing w:line="360" w:lineRule="auto"/>
        <w:rPr>
          <w:rFonts w:hint="eastAsia" w:ascii="仿宋" w:hAnsi="仿宋" w:eastAsia="仿宋" w:cs="仿宋"/>
          <w:b/>
          <w:sz w:val="24"/>
        </w:rPr>
      </w:pPr>
      <w:r>
        <w:rPr>
          <w:rFonts w:hint="eastAsia" w:ascii="仿宋" w:hAnsi="仿宋" w:eastAsia="仿宋" w:cs="仿宋"/>
          <w:b/>
          <w:sz w:val="24"/>
        </w:rPr>
        <w:t>备注：</w:t>
      </w:r>
    </w:p>
    <w:p w14:paraId="30314820">
      <w:pPr>
        <w:spacing w:line="360" w:lineRule="auto"/>
        <w:rPr>
          <w:rFonts w:hint="eastAsia" w:ascii="仿宋" w:hAnsi="仿宋" w:eastAsia="仿宋" w:cs="仿宋"/>
          <w:b w:val="0"/>
          <w:bCs w:val="0"/>
          <w:sz w:val="24"/>
        </w:rPr>
      </w:pPr>
      <w:r>
        <w:rPr>
          <w:rFonts w:hint="eastAsia" w:ascii="仿宋" w:hAnsi="仿宋" w:eastAsia="仿宋" w:cs="仿宋"/>
          <w:b w:val="0"/>
          <w:bCs w:val="0"/>
          <w:sz w:val="24"/>
        </w:rPr>
        <w:t xml:space="preserve">1、投标人编制投标文件（商务技术文件部分）时，建议按此目录（序号和内容）提供评标标准相应的商务技术资料。 </w:t>
      </w:r>
    </w:p>
    <w:p w14:paraId="1CBA155F">
      <w:pPr>
        <w:spacing w:line="360" w:lineRule="auto"/>
        <w:rPr>
          <w:rFonts w:hint="eastAsia" w:ascii="仿宋" w:hAnsi="仿宋" w:eastAsia="仿宋" w:cs="仿宋"/>
          <w:b w:val="0"/>
          <w:bCs w:val="0"/>
          <w:sz w:val="24"/>
        </w:rPr>
      </w:pPr>
      <w:r>
        <w:rPr>
          <w:rFonts w:hint="eastAsia" w:ascii="仿宋" w:hAnsi="仿宋" w:eastAsia="仿宋" w:cs="仿宋"/>
          <w:b w:val="0"/>
          <w:bCs w:val="0"/>
          <w:sz w:val="24"/>
        </w:rPr>
        <w:t>2、评分条款中涉及的业绩、荣誉、人员、社保等分公司均有效。涉及社保、劳动关系证明关系的，如人员为法人代表，则无需提供相关证明，提供营业执照及身份证即可。</w:t>
      </w:r>
    </w:p>
    <w:p w14:paraId="1259898F">
      <w:pPr>
        <w:spacing w:line="360" w:lineRule="auto"/>
        <w:rPr>
          <w:rFonts w:hint="eastAsia" w:ascii="仿宋" w:hAnsi="仿宋" w:eastAsia="仿宋" w:cs="仿宋"/>
          <w:b w:val="0"/>
          <w:bCs w:val="0"/>
          <w:sz w:val="24"/>
        </w:rPr>
      </w:pPr>
      <w:r>
        <w:rPr>
          <w:rFonts w:hint="eastAsia" w:ascii="仿宋" w:hAnsi="仿宋" w:eastAsia="仿宋" w:cs="仿宋"/>
          <w:b w:val="0"/>
          <w:bCs w:val="0"/>
          <w:sz w:val="24"/>
        </w:rPr>
        <w:t>3、投标文件中如附有外文资料，必须逐一对应翻译成中文并加盖投标人公章后附在相关外文资料后面，否则外文资料不予认可。</w:t>
      </w:r>
    </w:p>
    <w:p w14:paraId="0E0DAE7B">
      <w:pPr>
        <w:pStyle w:val="4"/>
        <w:jc w:val="both"/>
        <w:rPr>
          <w:rFonts w:hint="eastAsia" w:ascii="仿宋" w:hAnsi="仿宋" w:eastAsia="仿宋" w:cs="仿宋"/>
          <w:color w:val="auto"/>
          <w:highlight w:val="none"/>
        </w:rPr>
      </w:pPr>
    </w:p>
    <w:p w14:paraId="3F9D44D3">
      <w:pPr>
        <w:pStyle w:val="2"/>
        <w:rPr>
          <w:rFonts w:hint="eastAsia" w:ascii="仿宋" w:hAnsi="仿宋" w:eastAsia="仿宋" w:cs="仿宋"/>
          <w:color w:val="auto"/>
          <w:highlight w:val="none"/>
        </w:rPr>
      </w:pPr>
    </w:p>
    <w:p w14:paraId="5BA97F24">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7941CF85">
      <w:pPr>
        <w:pStyle w:val="4"/>
        <w:keepNext w:val="0"/>
        <w:keepLines w:val="0"/>
        <w:pageBreakBefore w:val="0"/>
        <w:kinsoku/>
        <w:wordWrap/>
        <w:overflowPunct/>
        <w:topLinePunct w:val="0"/>
        <w:autoSpaceDE/>
        <w:autoSpaceDN/>
        <w:bidi w:val="0"/>
        <w:spacing w:before="0" w:after="0" w:line="360" w:lineRule="auto"/>
        <w:ind w:left="0" w:leftChars="0" w:firstLine="56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一、</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方法</w:t>
      </w:r>
    </w:p>
    <w:p w14:paraId="220CFD22">
      <w:pPr>
        <w:keepNext w:val="0"/>
        <w:keepLines w:val="0"/>
        <w:pageBreakBefore w:val="0"/>
        <w:kinsoku/>
        <w:wordWrap/>
        <w:overflowPunct/>
        <w:topLinePunct w:val="0"/>
        <w:autoSpaceDE/>
        <w:autoSpaceDN/>
        <w:bidi w:val="0"/>
        <w:spacing w:after="0" w:line="360" w:lineRule="auto"/>
        <w:ind w:left="0" w:leftChars="0" w:firstLine="482" w:firstLineChars="200"/>
        <w:textAlignment w:val="auto"/>
        <w:rPr>
          <w:rFonts w:hint="eastAsia" w:ascii="仿宋" w:hAnsi="仿宋" w:eastAsia="仿宋" w:cs="仿宋"/>
          <w:color w:val="auto"/>
          <w:highlight w:val="none"/>
        </w:rPr>
      </w:pPr>
      <w:r>
        <w:rPr>
          <w:rStyle w:val="39"/>
          <w:rFonts w:hint="eastAsia" w:ascii="仿宋" w:hAnsi="仿宋" w:eastAsia="仿宋" w:cs="仿宋"/>
          <w:color w:val="auto"/>
          <w:highlight w:val="none"/>
        </w:rPr>
        <w:t>1.本项目采用综合评分法。</w:t>
      </w:r>
      <w:r>
        <w:rPr>
          <w:rFonts w:hint="eastAsia" w:ascii="仿宋" w:hAnsi="仿宋" w:eastAsia="仿宋" w:cs="仿宋"/>
          <w:color w:val="auto"/>
          <w:highlight w:val="none"/>
        </w:rPr>
        <w:t>综合评分法，是指</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满足</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全部实质性要求，且按照评审因素的量化指标评审得分最高的</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为</w:t>
      </w:r>
      <w:r>
        <w:rPr>
          <w:rFonts w:hint="eastAsia" w:ascii="仿宋" w:hAnsi="仿宋" w:eastAsia="仿宋" w:cs="仿宋"/>
          <w:color w:val="auto"/>
          <w:highlight w:val="none"/>
          <w:lang w:eastAsia="zh-CN"/>
        </w:rPr>
        <w:t>成交候选人</w:t>
      </w:r>
      <w:r>
        <w:rPr>
          <w:rFonts w:hint="eastAsia" w:ascii="仿宋" w:hAnsi="仿宋" w:eastAsia="仿宋" w:cs="仿宋"/>
          <w:color w:val="auto"/>
          <w:highlight w:val="none"/>
        </w:rPr>
        <w:t>的</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方法。</w:t>
      </w:r>
    </w:p>
    <w:p w14:paraId="0DECECC6">
      <w:pPr>
        <w:pStyle w:val="4"/>
        <w:keepNext w:val="0"/>
        <w:keepLines w:val="0"/>
        <w:pageBreakBefore w:val="0"/>
        <w:kinsoku/>
        <w:wordWrap/>
        <w:overflowPunct/>
        <w:topLinePunct w:val="0"/>
        <w:autoSpaceDE/>
        <w:autoSpaceDN/>
        <w:bidi w:val="0"/>
        <w:spacing w:before="0" w:after="0" w:line="360" w:lineRule="auto"/>
        <w:ind w:left="0" w:leftChars="0" w:firstLine="562" w:firstLineChars="200"/>
        <w:textAlignment w:val="auto"/>
        <w:rPr>
          <w:rFonts w:hint="eastAsia" w:ascii="仿宋" w:hAnsi="仿宋" w:eastAsia="仿宋" w:cs="仿宋"/>
          <w:color w:val="auto"/>
          <w:sz w:val="24"/>
          <w:highlight w:val="none"/>
        </w:rPr>
      </w:pPr>
      <w:r>
        <w:rPr>
          <w:rFonts w:hint="eastAsia" w:ascii="仿宋" w:hAnsi="仿宋" w:eastAsia="仿宋" w:cs="仿宋"/>
          <w:color w:val="auto"/>
          <w:highlight w:val="none"/>
        </w:rPr>
        <w:t>二、</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标准</w:t>
      </w:r>
    </w:p>
    <w:p w14:paraId="2B2C1EC3">
      <w:pPr>
        <w:keepNext w:val="0"/>
        <w:keepLines w:val="0"/>
        <w:pageBreakBefore w:val="0"/>
        <w:kinsoku/>
        <w:wordWrap/>
        <w:overflowPunct/>
        <w:topLinePunct w:val="0"/>
        <w:autoSpaceDE/>
        <w:autoSpaceDN/>
        <w:bidi w:val="0"/>
        <w:spacing w:after="0" w:line="360" w:lineRule="auto"/>
        <w:ind w:left="0" w:leftChars="0" w:firstLine="482" w:firstLineChars="200"/>
        <w:textAlignment w:val="auto"/>
        <w:rPr>
          <w:rFonts w:hint="eastAsia" w:ascii="仿宋" w:hAnsi="仿宋" w:eastAsia="仿宋" w:cs="仿宋"/>
          <w:b/>
          <w:color w:val="auto"/>
          <w:highlight w:val="none"/>
        </w:rPr>
      </w:pPr>
      <w:r>
        <w:rPr>
          <w:rStyle w:val="39"/>
          <w:rFonts w:hint="eastAsia" w:ascii="仿宋" w:hAnsi="仿宋" w:eastAsia="仿宋" w:cs="仿宋"/>
          <w:color w:val="auto"/>
          <w:highlight w:val="none"/>
        </w:rPr>
        <w:t xml:space="preserve">2. </w:t>
      </w:r>
      <w:r>
        <w:rPr>
          <w:rStyle w:val="39"/>
          <w:rFonts w:hint="eastAsia" w:ascii="仿宋" w:hAnsi="仿宋" w:eastAsia="仿宋" w:cs="仿宋"/>
          <w:color w:val="auto"/>
          <w:highlight w:val="none"/>
          <w:lang w:eastAsia="zh-CN"/>
        </w:rPr>
        <w:t>评审</w:t>
      </w:r>
      <w:r>
        <w:rPr>
          <w:rStyle w:val="39"/>
          <w:rFonts w:hint="eastAsia" w:ascii="仿宋" w:hAnsi="仿宋" w:eastAsia="仿宋" w:cs="仿宋"/>
          <w:color w:val="auto"/>
          <w:highlight w:val="none"/>
        </w:rPr>
        <w:t>标准：</w:t>
      </w:r>
      <w:r>
        <w:rPr>
          <w:rFonts w:hint="eastAsia" w:ascii="仿宋" w:hAnsi="仿宋" w:eastAsia="仿宋" w:cs="仿宋"/>
          <w:color w:val="auto"/>
          <w:highlight w:val="none"/>
        </w:rPr>
        <w:t>见</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办法前附表。</w:t>
      </w:r>
    </w:p>
    <w:p w14:paraId="3596CB4E">
      <w:pPr>
        <w:pStyle w:val="4"/>
        <w:keepNext w:val="0"/>
        <w:keepLines w:val="0"/>
        <w:pageBreakBefore w:val="0"/>
        <w:kinsoku/>
        <w:wordWrap/>
        <w:overflowPunct/>
        <w:topLinePunct w:val="0"/>
        <w:autoSpaceDE/>
        <w:autoSpaceDN/>
        <w:bidi w:val="0"/>
        <w:spacing w:before="0" w:after="0" w:line="360" w:lineRule="auto"/>
        <w:ind w:left="0" w:leftChars="0" w:firstLine="56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三、</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程序</w:t>
      </w:r>
    </w:p>
    <w:p w14:paraId="16A82ADB">
      <w:pPr>
        <w:keepNext w:val="0"/>
        <w:keepLines w:val="0"/>
        <w:pageBreakBefore w:val="0"/>
        <w:kinsoku/>
        <w:wordWrap/>
        <w:overflowPunct/>
        <w:topLinePunct w:val="0"/>
        <w:autoSpaceDE/>
        <w:autoSpaceDN/>
        <w:bidi w:val="0"/>
        <w:spacing w:after="0" w:line="360" w:lineRule="auto"/>
        <w:ind w:left="0" w:leftChars="0" w:firstLine="482" w:firstLineChars="200"/>
        <w:textAlignment w:val="auto"/>
        <w:rPr>
          <w:rFonts w:hint="eastAsia" w:ascii="仿宋" w:hAnsi="仿宋" w:eastAsia="仿宋" w:cs="仿宋"/>
          <w:color w:val="auto"/>
          <w:highlight w:val="none"/>
        </w:rPr>
      </w:pPr>
      <w:r>
        <w:rPr>
          <w:rStyle w:val="39"/>
          <w:rFonts w:hint="eastAsia" w:ascii="仿宋" w:hAnsi="仿宋" w:eastAsia="仿宋" w:cs="仿宋"/>
          <w:color w:val="auto"/>
          <w:highlight w:val="none"/>
        </w:rPr>
        <w:t>3.1符合性审查。</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委员会应当对符合资格的</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进行符合性审查，以确定其是否满足</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的实质性要求。不满足</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的实质性要求的，</w:t>
      </w:r>
      <w:r>
        <w:rPr>
          <w:rFonts w:hint="eastAsia" w:ascii="仿宋" w:hAnsi="仿宋" w:eastAsia="仿宋" w:cs="仿宋"/>
          <w:color w:val="auto"/>
          <w:highlight w:val="none"/>
          <w:lang w:eastAsia="zh-CN"/>
        </w:rPr>
        <w:t>响应无效</w:t>
      </w:r>
      <w:r>
        <w:rPr>
          <w:rFonts w:hint="eastAsia" w:ascii="仿宋" w:hAnsi="仿宋" w:eastAsia="仿宋" w:cs="仿宋"/>
          <w:color w:val="auto"/>
          <w:highlight w:val="none"/>
        </w:rPr>
        <w:t>。</w:t>
      </w:r>
    </w:p>
    <w:p w14:paraId="780E714E">
      <w:pPr>
        <w:keepNext w:val="0"/>
        <w:keepLines w:val="0"/>
        <w:pageBreakBefore w:val="0"/>
        <w:kinsoku/>
        <w:wordWrap/>
        <w:overflowPunct/>
        <w:topLinePunct w:val="0"/>
        <w:autoSpaceDE/>
        <w:autoSpaceDN/>
        <w:bidi w:val="0"/>
        <w:spacing w:after="0" w:line="360" w:lineRule="auto"/>
        <w:ind w:left="0" w:leftChars="0" w:firstLine="482" w:firstLineChars="200"/>
        <w:textAlignment w:val="auto"/>
        <w:rPr>
          <w:rFonts w:hint="eastAsia" w:ascii="仿宋" w:hAnsi="仿宋" w:eastAsia="仿宋" w:cs="仿宋"/>
          <w:color w:val="auto"/>
          <w:highlight w:val="none"/>
        </w:rPr>
      </w:pPr>
      <w:r>
        <w:rPr>
          <w:rStyle w:val="39"/>
          <w:rFonts w:hint="eastAsia" w:ascii="仿宋" w:hAnsi="仿宋" w:eastAsia="仿宋" w:cs="仿宋"/>
          <w:color w:val="auto"/>
          <w:highlight w:val="none"/>
        </w:rPr>
        <w:t>3.2 比较与评价。</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委员会应当按照</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中规定的</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方法和标准，对符合性审查合格的</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进行商务和技术评估，综合比较与评价。</w:t>
      </w:r>
    </w:p>
    <w:p w14:paraId="03FC1CD5">
      <w:pPr>
        <w:keepNext w:val="0"/>
        <w:keepLines w:val="0"/>
        <w:pageBreakBefore w:val="0"/>
        <w:kinsoku/>
        <w:wordWrap/>
        <w:overflowPunct/>
        <w:topLinePunct w:val="0"/>
        <w:autoSpaceDE/>
        <w:autoSpaceDN/>
        <w:bidi w:val="0"/>
        <w:spacing w:after="0" w:line="360" w:lineRule="auto"/>
        <w:ind w:left="0" w:leftChars="0" w:firstLine="482" w:firstLineChars="200"/>
        <w:textAlignment w:val="auto"/>
        <w:rPr>
          <w:rFonts w:hint="eastAsia" w:ascii="仿宋" w:hAnsi="仿宋" w:eastAsia="仿宋" w:cs="仿宋"/>
          <w:color w:val="auto"/>
          <w:highlight w:val="none"/>
        </w:rPr>
      </w:pPr>
      <w:r>
        <w:rPr>
          <w:rStyle w:val="39"/>
          <w:rFonts w:hint="eastAsia" w:ascii="仿宋" w:hAnsi="仿宋" w:eastAsia="仿宋" w:cs="仿宋"/>
          <w:color w:val="auto"/>
          <w:highlight w:val="none"/>
        </w:rPr>
        <w:t>3.3汇总商务技术得分。</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委员会各成员应当独立对每个</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的商务和技术文件进行评价，并汇总商务技术得分情况。</w:t>
      </w:r>
    </w:p>
    <w:p w14:paraId="1F8C7C6A">
      <w:pPr>
        <w:pStyle w:val="5"/>
        <w:keepNext w:val="0"/>
        <w:keepLines w:val="0"/>
        <w:pageBreakBefore w:val="0"/>
        <w:kinsoku/>
        <w:wordWrap/>
        <w:overflowPunct/>
        <w:topLinePunct w:val="0"/>
        <w:autoSpaceDE/>
        <w:autoSpaceDN/>
        <w:bidi w:val="0"/>
        <w:spacing w:after="0" w:line="360" w:lineRule="auto"/>
        <w:ind w:left="0" w:leftChars="0" w:firstLine="48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3.4报价评审。</w:t>
      </w:r>
    </w:p>
    <w:p w14:paraId="5623479E">
      <w:pPr>
        <w:pStyle w:val="63"/>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3.4.1</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报价出现前后不一致的，按照下列规定修正：</w:t>
      </w:r>
    </w:p>
    <w:p w14:paraId="2EC41A74">
      <w:pPr>
        <w:pStyle w:val="63"/>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3.4.1.1</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中</w:t>
      </w:r>
      <w:r>
        <w:rPr>
          <w:rFonts w:hint="eastAsia" w:ascii="仿宋" w:hAnsi="仿宋" w:eastAsia="仿宋" w:cs="仿宋"/>
          <w:color w:val="auto"/>
          <w:highlight w:val="none"/>
          <w:lang w:eastAsia="zh-CN"/>
        </w:rPr>
        <w:t>交易一览标</w:t>
      </w:r>
      <w:r>
        <w:rPr>
          <w:rFonts w:hint="eastAsia" w:ascii="仿宋" w:hAnsi="仿宋" w:eastAsia="仿宋" w:cs="仿宋"/>
          <w:color w:val="auto"/>
          <w:highlight w:val="none"/>
        </w:rPr>
        <w:t>(报价表)内容与</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中相应内容不一致的，以</w:t>
      </w:r>
      <w:r>
        <w:rPr>
          <w:rFonts w:hint="eastAsia" w:ascii="仿宋" w:hAnsi="仿宋" w:eastAsia="仿宋" w:cs="仿宋"/>
          <w:color w:val="auto"/>
          <w:highlight w:val="none"/>
          <w:lang w:eastAsia="zh-CN"/>
        </w:rPr>
        <w:t>交易一览标</w:t>
      </w:r>
      <w:r>
        <w:rPr>
          <w:rFonts w:hint="eastAsia" w:ascii="仿宋" w:hAnsi="仿宋" w:eastAsia="仿宋" w:cs="仿宋"/>
          <w:color w:val="auto"/>
          <w:highlight w:val="none"/>
        </w:rPr>
        <w:t>(报价表)为准;</w:t>
      </w:r>
    </w:p>
    <w:p w14:paraId="575FC579">
      <w:pPr>
        <w:pStyle w:val="63"/>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3.4.1.2大写金额和小写金额不一致的，以大写金额为准;</w:t>
      </w:r>
    </w:p>
    <w:p w14:paraId="46F647F7">
      <w:pPr>
        <w:pStyle w:val="63"/>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3.4.1.3单价金额小数点或者百分比有明显错位的，以</w:t>
      </w:r>
      <w:r>
        <w:rPr>
          <w:rFonts w:hint="eastAsia" w:ascii="仿宋" w:hAnsi="仿宋" w:eastAsia="仿宋" w:cs="仿宋"/>
          <w:color w:val="auto"/>
          <w:highlight w:val="none"/>
          <w:lang w:eastAsia="zh-CN"/>
        </w:rPr>
        <w:t>交易一览标</w:t>
      </w:r>
      <w:r>
        <w:rPr>
          <w:rFonts w:hint="eastAsia" w:ascii="仿宋" w:hAnsi="仿宋" w:eastAsia="仿宋" w:cs="仿宋"/>
          <w:color w:val="auto"/>
          <w:highlight w:val="none"/>
        </w:rPr>
        <w:t>的总价为准，并修改单价;</w:t>
      </w:r>
    </w:p>
    <w:p w14:paraId="7AFB6B65">
      <w:pPr>
        <w:pStyle w:val="63"/>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3.4.1.4总价金额与按单价汇总金额不一致的，以单价金额计算结果为准。</w:t>
      </w:r>
    </w:p>
    <w:p w14:paraId="015B78A8">
      <w:pPr>
        <w:pStyle w:val="63"/>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3.4.1.5同时出现两种以上不一致的，按照3.4.1规定的顺序修正。修正后的报价按照财政部第87号令 《政府采购货物和服务招标投标管理办法》第五十一条第二款的规定经</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确认后产生约束力。</w:t>
      </w:r>
    </w:p>
    <w:p w14:paraId="209CBE50">
      <w:pPr>
        <w:keepNext w:val="0"/>
        <w:keepLines w:val="0"/>
        <w:pageBreakBefore w:val="0"/>
        <w:kinsoku/>
        <w:wordWrap/>
        <w:overflowPunct/>
        <w:topLinePunct w:val="0"/>
        <w:autoSpaceDE/>
        <w:autoSpaceDN/>
        <w:bidi w:val="0"/>
        <w:snapToGrid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3.4.2</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出现不是唯一的、有选择性投标报价的，</w:t>
      </w:r>
      <w:r>
        <w:rPr>
          <w:rFonts w:hint="eastAsia" w:ascii="仿宋" w:hAnsi="仿宋" w:eastAsia="仿宋" w:cs="仿宋"/>
          <w:color w:val="auto"/>
          <w:highlight w:val="none"/>
          <w:lang w:eastAsia="zh-CN"/>
        </w:rPr>
        <w:t>响应无效</w:t>
      </w:r>
      <w:r>
        <w:rPr>
          <w:rFonts w:hint="eastAsia" w:ascii="仿宋" w:hAnsi="仿宋" w:eastAsia="仿宋" w:cs="仿宋"/>
          <w:color w:val="auto"/>
          <w:highlight w:val="none"/>
        </w:rPr>
        <w:t>。</w:t>
      </w:r>
    </w:p>
    <w:p w14:paraId="42A97DD3">
      <w:pPr>
        <w:keepNext w:val="0"/>
        <w:keepLines w:val="0"/>
        <w:pageBreakBefore w:val="0"/>
        <w:kinsoku/>
        <w:wordWrap/>
        <w:overflowPunct/>
        <w:topLinePunct w:val="0"/>
        <w:autoSpaceDE/>
        <w:autoSpaceDN/>
        <w:bidi w:val="0"/>
        <w:snapToGrid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3.4.3投标报价超过</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中规定的预算金额或者最高限价的，</w:t>
      </w:r>
      <w:r>
        <w:rPr>
          <w:rFonts w:hint="eastAsia" w:ascii="仿宋" w:hAnsi="仿宋" w:eastAsia="仿宋" w:cs="仿宋"/>
          <w:color w:val="auto"/>
          <w:highlight w:val="none"/>
          <w:lang w:eastAsia="zh-CN"/>
        </w:rPr>
        <w:t>响应无效</w:t>
      </w:r>
      <w:r>
        <w:rPr>
          <w:rFonts w:hint="eastAsia" w:ascii="仿宋" w:hAnsi="仿宋" w:eastAsia="仿宋" w:cs="仿宋"/>
          <w:color w:val="auto"/>
          <w:highlight w:val="none"/>
        </w:rPr>
        <w:t>。</w:t>
      </w:r>
    </w:p>
    <w:p w14:paraId="7AC6CB55">
      <w:pPr>
        <w:pStyle w:val="63"/>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3.4.4</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委员会认为</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的报价明显低于其他通过符合性审查</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的报价，有可能影响产品质量或者不能诚信履约的，应当要求其在合理的时间内提供书面说明，必要时提交相关证明材料;</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不能证明其报价合理性的，</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委员会应当将其作为无效</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处理。</w:t>
      </w:r>
    </w:p>
    <w:p w14:paraId="12E13F96">
      <w:pPr>
        <w:keepNext w:val="0"/>
        <w:keepLines w:val="0"/>
        <w:pageBreakBefore w:val="0"/>
        <w:kinsoku/>
        <w:wordWrap/>
        <w:overflowPunct/>
        <w:topLinePunct w:val="0"/>
        <w:autoSpaceDE/>
        <w:autoSpaceDN/>
        <w:bidi w:val="0"/>
        <w:spacing w:after="0" w:line="360" w:lineRule="auto"/>
        <w:ind w:left="0" w:leftChars="0" w:firstLine="482" w:firstLineChars="200"/>
        <w:textAlignment w:val="auto"/>
        <w:rPr>
          <w:rFonts w:hint="eastAsia" w:ascii="仿宋" w:hAnsi="仿宋" w:eastAsia="仿宋" w:cs="仿宋"/>
          <w:color w:val="auto"/>
          <w:highlight w:val="none"/>
        </w:rPr>
      </w:pPr>
      <w:r>
        <w:rPr>
          <w:rStyle w:val="39"/>
          <w:rFonts w:hint="eastAsia" w:ascii="仿宋" w:hAnsi="仿宋" w:eastAsia="仿宋" w:cs="仿宋"/>
          <w:color w:val="auto"/>
          <w:highlight w:val="none"/>
        </w:rPr>
        <w:t>3.5排序与推荐。</w:t>
      </w:r>
      <w:r>
        <w:rPr>
          <w:rFonts w:hint="eastAsia" w:ascii="仿宋" w:hAnsi="仿宋" w:eastAsia="仿宋" w:cs="仿宋"/>
          <w:color w:val="auto"/>
          <w:highlight w:val="none"/>
        </w:rPr>
        <w:t>采用综合评分法的，</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结果按评审后得分由高到低顺序排列。得分相同的，按报价由低到高顺序排列。得分且报价相同的并列。</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满足</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全部实质性要求，且按照评审因素的量化指标评审得分最高的</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为排名第一的</w:t>
      </w:r>
      <w:r>
        <w:rPr>
          <w:rFonts w:hint="eastAsia" w:ascii="仿宋" w:hAnsi="仿宋" w:eastAsia="仿宋" w:cs="仿宋"/>
          <w:color w:val="auto"/>
          <w:highlight w:val="none"/>
          <w:lang w:eastAsia="zh-CN"/>
        </w:rPr>
        <w:t>成交候选人</w:t>
      </w:r>
      <w:r>
        <w:rPr>
          <w:rFonts w:hint="eastAsia" w:ascii="仿宋" w:hAnsi="仿宋" w:eastAsia="仿宋" w:cs="仿宋"/>
          <w:color w:val="auto"/>
          <w:highlight w:val="none"/>
        </w:rPr>
        <w:t>。</w:t>
      </w:r>
    </w:p>
    <w:p w14:paraId="43A2D7B9">
      <w:pPr>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b/>
          <w:color w:val="auto"/>
          <w:highlight w:val="none"/>
        </w:rPr>
      </w:pPr>
      <w:r>
        <w:rPr>
          <w:rFonts w:hint="eastAsia" w:ascii="仿宋" w:hAnsi="仿宋" w:eastAsia="仿宋" w:cs="仿宋"/>
          <w:color w:val="auto"/>
          <w:highlight w:val="none"/>
        </w:rPr>
        <w:t>多家</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提供相同品牌产品（单一产品采购项目中的该产品或者非单一产品采购项目的核心产品）且通过资格审查、符合性审查的不同</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参加同一合同项下</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的，按一家</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计算，评审后得分最高的同品牌</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获得</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人推荐资格；评审得分相同的，采取随机抽取方式确定，其他同品牌</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不作为</w:t>
      </w:r>
      <w:r>
        <w:rPr>
          <w:rFonts w:hint="eastAsia" w:ascii="仿宋" w:hAnsi="仿宋" w:eastAsia="仿宋" w:cs="仿宋"/>
          <w:color w:val="auto"/>
          <w:highlight w:val="none"/>
          <w:lang w:eastAsia="zh-CN"/>
        </w:rPr>
        <w:t>成交候选人</w:t>
      </w:r>
      <w:r>
        <w:rPr>
          <w:rFonts w:hint="eastAsia" w:ascii="仿宋" w:hAnsi="仿宋" w:eastAsia="仿宋" w:cs="仿宋"/>
          <w:color w:val="auto"/>
          <w:highlight w:val="none"/>
        </w:rPr>
        <w:t>。</w:t>
      </w:r>
    </w:p>
    <w:p w14:paraId="4C4A50DE">
      <w:pPr>
        <w:keepNext w:val="0"/>
        <w:keepLines w:val="0"/>
        <w:pageBreakBefore w:val="0"/>
        <w:kinsoku/>
        <w:wordWrap/>
        <w:overflowPunct/>
        <w:topLinePunct w:val="0"/>
        <w:autoSpaceDE/>
        <w:autoSpaceDN/>
        <w:bidi w:val="0"/>
        <w:spacing w:after="0" w:line="360" w:lineRule="auto"/>
        <w:ind w:left="0" w:leftChars="0" w:firstLine="482" w:firstLineChars="200"/>
        <w:textAlignment w:val="auto"/>
        <w:rPr>
          <w:rFonts w:hint="eastAsia" w:ascii="仿宋" w:hAnsi="仿宋" w:eastAsia="仿宋" w:cs="仿宋"/>
          <w:color w:val="auto"/>
          <w:highlight w:val="none"/>
        </w:rPr>
      </w:pPr>
      <w:r>
        <w:rPr>
          <w:rStyle w:val="39"/>
          <w:rFonts w:hint="eastAsia" w:ascii="仿宋" w:hAnsi="仿宋" w:eastAsia="仿宋" w:cs="仿宋"/>
          <w:color w:val="auto"/>
          <w:highlight w:val="none"/>
        </w:rPr>
        <w:t>3.6编写</w:t>
      </w:r>
      <w:r>
        <w:rPr>
          <w:rStyle w:val="39"/>
          <w:rFonts w:hint="eastAsia" w:ascii="仿宋" w:hAnsi="仿宋" w:eastAsia="仿宋" w:cs="仿宋"/>
          <w:color w:val="auto"/>
          <w:highlight w:val="none"/>
          <w:lang w:eastAsia="zh-CN"/>
        </w:rPr>
        <w:t>评审</w:t>
      </w:r>
      <w:r>
        <w:rPr>
          <w:rStyle w:val="39"/>
          <w:rFonts w:hint="eastAsia" w:ascii="仿宋" w:hAnsi="仿宋" w:eastAsia="仿宋" w:cs="仿宋"/>
          <w:color w:val="auto"/>
          <w:highlight w:val="none"/>
        </w:rPr>
        <w:t>报告。</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委员会根据全体</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成员签字的原始</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记录和</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结果编写</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报告。</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委员会成员对需要共同认定的事项存在争议的，应当按照少数服从多数的原则作出结论。持不同意见的</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委员会成员应当在</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报告上签署不同意见及理由，否则视为同意</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报告。</w:t>
      </w:r>
    </w:p>
    <w:p w14:paraId="20E2B69D">
      <w:pPr>
        <w:pStyle w:val="4"/>
        <w:keepNext w:val="0"/>
        <w:keepLines w:val="0"/>
        <w:pageBreakBefore w:val="0"/>
        <w:kinsoku/>
        <w:wordWrap/>
        <w:overflowPunct/>
        <w:topLinePunct w:val="0"/>
        <w:autoSpaceDE/>
        <w:autoSpaceDN/>
        <w:bidi w:val="0"/>
        <w:spacing w:before="0" w:after="0" w:line="360" w:lineRule="auto"/>
        <w:ind w:left="0" w:leftChars="0" w:firstLine="56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四、</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中的其他事项</w:t>
      </w:r>
    </w:p>
    <w:p w14:paraId="37E804F1">
      <w:pPr>
        <w:pStyle w:val="63"/>
        <w:keepNext w:val="0"/>
        <w:keepLines w:val="0"/>
        <w:pageBreakBefore w:val="0"/>
        <w:kinsoku/>
        <w:wordWrap/>
        <w:overflowPunct/>
        <w:topLinePunct w:val="0"/>
        <w:autoSpaceDE/>
        <w:autoSpaceDN/>
        <w:bidi w:val="0"/>
        <w:spacing w:after="0" w:line="360" w:lineRule="auto"/>
        <w:ind w:left="0" w:leftChars="0" w:firstLine="482" w:firstLineChars="200"/>
        <w:textAlignment w:val="auto"/>
        <w:rPr>
          <w:rFonts w:hint="eastAsia" w:ascii="仿宋" w:hAnsi="仿宋" w:eastAsia="仿宋" w:cs="仿宋"/>
          <w:color w:val="auto"/>
          <w:highlight w:val="none"/>
        </w:rPr>
      </w:pPr>
      <w:r>
        <w:rPr>
          <w:rStyle w:val="39"/>
          <w:rFonts w:hint="eastAsia" w:ascii="仿宋" w:hAnsi="仿宋" w:eastAsia="仿宋" w:cs="仿宋"/>
          <w:color w:val="auto"/>
          <w:highlight w:val="none"/>
        </w:rPr>
        <w:t>4.1</w:t>
      </w:r>
      <w:r>
        <w:rPr>
          <w:rStyle w:val="39"/>
          <w:rFonts w:hint="eastAsia" w:ascii="仿宋" w:hAnsi="仿宋" w:eastAsia="仿宋" w:cs="仿宋"/>
          <w:color w:val="auto"/>
          <w:highlight w:val="none"/>
          <w:lang w:eastAsia="zh-CN"/>
        </w:rPr>
        <w:t>供应商</w:t>
      </w:r>
      <w:r>
        <w:rPr>
          <w:rStyle w:val="39"/>
          <w:rFonts w:hint="eastAsia" w:ascii="仿宋" w:hAnsi="仿宋" w:eastAsia="仿宋" w:cs="仿宋"/>
          <w:color w:val="auto"/>
          <w:highlight w:val="none"/>
        </w:rPr>
        <w:t>澄清、说明或者补正。</w:t>
      </w:r>
      <w:r>
        <w:rPr>
          <w:rFonts w:hint="eastAsia" w:ascii="仿宋" w:hAnsi="仿宋" w:eastAsia="仿宋" w:cs="仿宋"/>
          <w:color w:val="auto"/>
          <w:highlight w:val="none"/>
        </w:rPr>
        <w:t>对于</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中含义不明确、同类问题表述不一致或者有明显文字和计算错误的内容需要</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作出必要的澄清、说明或者补正的，</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委员会和</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通过电子交易平台交换数据电文，</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提交使用电子签名的相关数据电文或通过平台上传加盖公章的扫描件。给予</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提交澄清、说明或补正的时间不得少于半小时，</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已经明确表示澄清说明或补正完毕的除外。</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的澄清、说明或者补正不得超出</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的范围或者改变</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的实质性内容。</w:t>
      </w:r>
    </w:p>
    <w:p w14:paraId="5615024D">
      <w:pPr>
        <w:pStyle w:val="17"/>
        <w:keepNext w:val="0"/>
        <w:keepLines w:val="0"/>
        <w:pageBreakBefore w:val="0"/>
        <w:kinsoku/>
        <w:wordWrap/>
        <w:overflowPunct/>
        <w:topLinePunct w:val="0"/>
        <w:autoSpaceDE/>
        <w:autoSpaceDN/>
        <w:bidi w:val="0"/>
        <w:spacing w:after="0" w:line="360" w:lineRule="auto"/>
        <w:ind w:left="0" w:leftChars="0" w:firstLine="482" w:firstLineChars="200"/>
        <w:textAlignment w:val="auto"/>
        <w:rPr>
          <w:rFonts w:hint="eastAsia" w:ascii="仿宋" w:hAnsi="仿宋" w:eastAsia="仿宋" w:cs="仿宋"/>
          <w:color w:val="auto"/>
          <w:szCs w:val="21"/>
          <w:highlight w:val="none"/>
        </w:rPr>
      </w:pPr>
      <w:r>
        <w:rPr>
          <w:rStyle w:val="39"/>
          <w:rFonts w:hint="eastAsia" w:ascii="仿宋" w:hAnsi="仿宋" w:eastAsia="仿宋" w:cs="仿宋"/>
          <w:color w:val="auto"/>
          <w:highlight w:val="none"/>
        </w:rPr>
        <w:t>4.2</w:t>
      </w:r>
      <w:r>
        <w:rPr>
          <w:rStyle w:val="39"/>
          <w:rFonts w:hint="eastAsia" w:ascii="仿宋" w:hAnsi="仿宋" w:eastAsia="仿宋" w:cs="仿宋"/>
          <w:color w:val="auto"/>
          <w:highlight w:val="none"/>
          <w:lang w:eastAsia="zh-CN"/>
        </w:rPr>
        <w:t>响应无效</w:t>
      </w:r>
      <w:r>
        <w:rPr>
          <w:rStyle w:val="39"/>
          <w:rFonts w:hint="eastAsia" w:ascii="仿宋" w:hAnsi="仿宋" w:eastAsia="仿宋" w:cs="仿宋"/>
          <w:color w:val="auto"/>
          <w:highlight w:val="none"/>
        </w:rPr>
        <w:t>。</w:t>
      </w:r>
      <w:r>
        <w:rPr>
          <w:rFonts w:hint="eastAsia" w:ascii="仿宋" w:hAnsi="仿宋" w:eastAsia="仿宋" w:cs="仿宋"/>
          <w:color w:val="auto"/>
          <w:szCs w:val="21"/>
          <w:highlight w:val="none"/>
        </w:rPr>
        <w:t>有下列情形之一的，</w:t>
      </w:r>
      <w:r>
        <w:rPr>
          <w:rFonts w:hint="eastAsia" w:ascii="仿宋" w:hAnsi="仿宋" w:eastAsia="仿宋" w:cs="仿宋"/>
          <w:color w:val="auto"/>
          <w:szCs w:val="21"/>
          <w:highlight w:val="none"/>
          <w:lang w:eastAsia="zh-CN"/>
        </w:rPr>
        <w:t>响应无效</w:t>
      </w:r>
      <w:r>
        <w:rPr>
          <w:rFonts w:hint="eastAsia" w:ascii="仿宋" w:hAnsi="仿宋" w:eastAsia="仿宋" w:cs="仿宋"/>
          <w:color w:val="auto"/>
          <w:szCs w:val="21"/>
          <w:highlight w:val="none"/>
        </w:rPr>
        <w:t>：</w:t>
      </w:r>
    </w:p>
    <w:p w14:paraId="3B26AEEE">
      <w:pPr>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4.2.1</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不具备</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中规定的资格要求的（</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未提供有效的资格文件的，视为</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不具备</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中规定的资格要求）；</w:t>
      </w:r>
    </w:p>
    <w:p w14:paraId="5F65C20C">
      <w:pPr>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4.2.2</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未按照</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要求签署、盖章的；</w:t>
      </w:r>
    </w:p>
    <w:p w14:paraId="0A66DC3B">
      <w:pPr>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含有</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不能接受的附加条件的；</w:t>
      </w:r>
    </w:p>
    <w:p w14:paraId="6ADC8DEF">
      <w:pPr>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中承诺的</w:t>
      </w:r>
      <w:r>
        <w:rPr>
          <w:rFonts w:hint="eastAsia" w:ascii="仿宋" w:hAnsi="仿宋" w:eastAsia="仿宋" w:cs="仿宋"/>
          <w:color w:val="auto"/>
          <w:highlight w:val="none"/>
          <w:lang w:eastAsia="zh-CN"/>
        </w:rPr>
        <w:t>响应有效期</w:t>
      </w:r>
      <w:r>
        <w:rPr>
          <w:rFonts w:hint="eastAsia" w:ascii="仿宋" w:hAnsi="仿宋" w:eastAsia="仿宋" w:cs="仿宋"/>
          <w:color w:val="auto"/>
          <w:highlight w:val="none"/>
        </w:rPr>
        <w:t>少于</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中载明的</w:t>
      </w:r>
      <w:r>
        <w:rPr>
          <w:rFonts w:hint="eastAsia" w:ascii="仿宋" w:hAnsi="仿宋" w:eastAsia="仿宋" w:cs="仿宋"/>
          <w:color w:val="auto"/>
          <w:highlight w:val="none"/>
          <w:lang w:eastAsia="zh-CN"/>
        </w:rPr>
        <w:t>响应有效期</w:t>
      </w:r>
      <w:r>
        <w:rPr>
          <w:rFonts w:hint="eastAsia" w:ascii="仿宋" w:hAnsi="仿宋" w:eastAsia="仿宋" w:cs="仿宋"/>
          <w:color w:val="auto"/>
          <w:highlight w:val="none"/>
        </w:rPr>
        <w:t>的；</w:t>
      </w:r>
    </w:p>
    <w:p w14:paraId="57D25A03">
      <w:pPr>
        <w:keepNext w:val="0"/>
        <w:keepLines w:val="0"/>
        <w:pageBreakBefore w:val="0"/>
        <w:kinsoku/>
        <w:wordWrap/>
        <w:overflowPunct/>
        <w:topLinePunct w:val="0"/>
        <w:autoSpaceDE/>
        <w:autoSpaceDN/>
        <w:bidi w:val="0"/>
        <w:snapToGrid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出现不是唯一的、有选择性投标报价的;</w:t>
      </w:r>
    </w:p>
    <w:p w14:paraId="730C6F90">
      <w:pPr>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投标报价超过</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中规定的预算金额或者最高限价的;</w:t>
      </w:r>
    </w:p>
    <w:p w14:paraId="1C5F4068">
      <w:pPr>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报价明显低于其他通过符合性审查</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的报价，有可能影响产品质量或者不能诚信履约的，未能按要求提供书面说明或者提交相关证明材料，不能证明其报价合理性的;</w:t>
      </w:r>
    </w:p>
    <w:p w14:paraId="61D1DCF2">
      <w:pPr>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w:t>
      </w:r>
      <w:r>
        <w:rPr>
          <w:rFonts w:hint="eastAsia" w:ascii="仿宋" w:hAnsi="仿宋" w:eastAsia="仿宋" w:cs="仿宋"/>
          <w:color w:val="auto"/>
          <w:highlight w:val="none"/>
          <w:lang w:val="en-US" w:eastAsia="zh-CN"/>
        </w:rPr>
        <w:t>8</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对根据修正原则修正后的报价不确认的；</w:t>
      </w:r>
    </w:p>
    <w:p w14:paraId="668D53A7">
      <w:pPr>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w:t>
      </w:r>
      <w:r>
        <w:rPr>
          <w:rFonts w:hint="eastAsia" w:ascii="仿宋" w:hAnsi="仿宋" w:eastAsia="仿宋" w:cs="仿宋"/>
          <w:color w:val="auto"/>
          <w:highlight w:val="none"/>
          <w:lang w:val="en-US" w:eastAsia="zh-CN"/>
        </w:rPr>
        <w:t>9</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提供虚假材料投标的；</w:t>
      </w:r>
    </w:p>
    <w:p w14:paraId="5016979E">
      <w:pPr>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4.2.1</w:t>
      </w:r>
      <w:r>
        <w:rPr>
          <w:rFonts w:hint="eastAsia" w:ascii="仿宋" w:hAnsi="仿宋" w:eastAsia="仿宋" w:cs="仿宋"/>
          <w:color w:val="auto"/>
          <w:highlight w:val="none"/>
          <w:lang w:val="en-US" w:eastAsia="zh-CN"/>
        </w:rPr>
        <w:t>0</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有恶意串通、妨碍其他</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的竞争行为、损害</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或者其他</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的合法权益情形的；</w:t>
      </w:r>
    </w:p>
    <w:p w14:paraId="1B4419D6">
      <w:pPr>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4.2.1</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仅提交备份</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，未在电子交易平台传输递交</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w:t>
      </w:r>
      <w:r>
        <w:rPr>
          <w:rFonts w:hint="eastAsia" w:ascii="仿宋" w:hAnsi="仿宋" w:eastAsia="仿宋" w:cs="仿宋"/>
          <w:color w:val="auto"/>
          <w:highlight w:val="none"/>
          <w:lang w:eastAsia="zh-CN"/>
        </w:rPr>
        <w:t>响应无效</w:t>
      </w:r>
      <w:r>
        <w:rPr>
          <w:rFonts w:hint="eastAsia" w:ascii="仿宋" w:hAnsi="仿宋" w:eastAsia="仿宋" w:cs="仿宋"/>
          <w:color w:val="auto"/>
          <w:highlight w:val="none"/>
        </w:rPr>
        <w:t>；</w:t>
      </w:r>
    </w:p>
    <w:p w14:paraId="4EB337E8">
      <w:pPr>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b/>
          <w:bCs/>
          <w:color w:val="auto"/>
          <w:highlight w:val="none"/>
        </w:rPr>
      </w:pPr>
      <w:r>
        <w:rPr>
          <w:rFonts w:hint="eastAsia" w:ascii="仿宋" w:hAnsi="仿宋" w:eastAsia="仿宋" w:cs="仿宋"/>
          <w:color w:val="auto"/>
          <w:highlight w:val="none"/>
        </w:rPr>
        <w:t>4.2.1</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不满足</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的其它实质性要求的；</w:t>
      </w:r>
    </w:p>
    <w:p w14:paraId="67D44C86">
      <w:pPr>
        <w:keepNext w:val="0"/>
        <w:keepLines w:val="0"/>
        <w:pageBreakBefore w:val="0"/>
        <w:kinsoku/>
        <w:wordWrap/>
        <w:overflowPunct/>
        <w:topLinePunct w:val="0"/>
        <w:autoSpaceDE/>
        <w:autoSpaceDN/>
        <w:bidi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4.2.1</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法律、法规、规章（适用本市的）及省级以上规范性文件（适用本市的）规定的其他无效情形。</w:t>
      </w:r>
    </w:p>
    <w:p w14:paraId="668C70FC">
      <w:pPr>
        <w:pStyle w:val="17"/>
        <w:keepNext w:val="0"/>
        <w:keepLines w:val="0"/>
        <w:pageBreakBefore w:val="0"/>
        <w:kinsoku/>
        <w:wordWrap/>
        <w:overflowPunct/>
        <w:topLinePunct w:val="0"/>
        <w:autoSpaceDE/>
        <w:autoSpaceDN/>
        <w:bidi w:val="0"/>
        <w:snapToGrid w:val="0"/>
        <w:spacing w:after="0" w:line="360" w:lineRule="auto"/>
        <w:ind w:left="0" w:leftChars="0" w:firstLine="482" w:firstLineChars="200"/>
        <w:textAlignment w:val="auto"/>
        <w:rPr>
          <w:rFonts w:hint="eastAsia" w:ascii="仿宋" w:hAnsi="仿宋" w:eastAsia="仿宋" w:cs="仿宋"/>
          <w:color w:val="auto"/>
          <w:highlight w:val="none"/>
        </w:rPr>
      </w:pPr>
      <w:r>
        <w:rPr>
          <w:rStyle w:val="39"/>
          <w:rFonts w:hint="eastAsia" w:ascii="仿宋" w:hAnsi="仿宋" w:eastAsia="仿宋" w:cs="仿宋"/>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23955FB4">
      <w:pPr>
        <w:pStyle w:val="17"/>
        <w:keepNext w:val="0"/>
        <w:keepLines w:val="0"/>
        <w:pageBreakBefore w:val="0"/>
        <w:kinsoku/>
        <w:wordWrap/>
        <w:overflowPunct/>
        <w:topLinePunct w:val="0"/>
        <w:autoSpaceDE/>
        <w:autoSpaceDN/>
        <w:bidi w:val="0"/>
        <w:snapToGrid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作实质响应的供应商不足3家的；</w:t>
      </w:r>
    </w:p>
    <w:p w14:paraId="7744A106">
      <w:pPr>
        <w:pStyle w:val="17"/>
        <w:keepNext w:val="0"/>
        <w:keepLines w:val="0"/>
        <w:pageBreakBefore w:val="0"/>
        <w:kinsoku/>
        <w:wordWrap/>
        <w:overflowPunct/>
        <w:topLinePunct w:val="0"/>
        <w:autoSpaceDE/>
        <w:autoSpaceDN/>
        <w:bidi w:val="0"/>
        <w:snapToGrid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3384F0A1">
      <w:pPr>
        <w:pStyle w:val="17"/>
        <w:keepNext w:val="0"/>
        <w:keepLines w:val="0"/>
        <w:pageBreakBefore w:val="0"/>
        <w:kinsoku/>
        <w:wordWrap/>
        <w:overflowPunct/>
        <w:topLinePunct w:val="0"/>
        <w:autoSpaceDE/>
        <w:autoSpaceDN/>
        <w:bidi w:val="0"/>
        <w:snapToGrid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5.3</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的报价均超过了采购预算，</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不能支付的；</w:t>
      </w:r>
    </w:p>
    <w:p w14:paraId="2303159B">
      <w:pPr>
        <w:pStyle w:val="17"/>
        <w:keepNext w:val="0"/>
        <w:keepLines w:val="0"/>
        <w:pageBreakBefore w:val="0"/>
        <w:kinsoku/>
        <w:wordWrap/>
        <w:overflowPunct/>
        <w:topLinePunct w:val="0"/>
        <w:autoSpaceDE/>
        <w:autoSpaceDN/>
        <w:bidi w:val="0"/>
        <w:snapToGrid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7B2E34E1">
      <w:pPr>
        <w:pStyle w:val="17"/>
        <w:keepNext w:val="0"/>
        <w:keepLines w:val="0"/>
        <w:pageBreakBefore w:val="0"/>
        <w:kinsoku/>
        <w:wordWrap/>
        <w:overflowPunct/>
        <w:topLinePunct w:val="0"/>
        <w:autoSpaceDE/>
        <w:autoSpaceDN/>
        <w:bidi w:val="0"/>
        <w:snapToGrid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废标后，</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应当将废标理由通知所有</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w:t>
      </w:r>
    </w:p>
    <w:p w14:paraId="1F437858">
      <w:pPr>
        <w:pStyle w:val="17"/>
        <w:keepNext w:val="0"/>
        <w:keepLines w:val="0"/>
        <w:pageBreakBefore w:val="0"/>
        <w:kinsoku/>
        <w:wordWrap/>
        <w:overflowPunct/>
        <w:topLinePunct w:val="0"/>
        <w:autoSpaceDE/>
        <w:autoSpaceDN/>
        <w:bidi w:val="0"/>
        <w:snapToGrid w:val="0"/>
        <w:spacing w:after="0" w:line="360" w:lineRule="auto"/>
        <w:ind w:left="0" w:leftChars="0" w:firstLine="482" w:firstLineChars="200"/>
        <w:textAlignment w:val="auto"/>
        <w:rPr>
          <w:rFonts w:hint="eastAsia" w:ascii="仿宋" w:hAnsi="仿宋" w:eastAsia="仿宋" w:cs="仿宋"/>
          <w:color w:val="auto"/>
          <w:highlight w:val="none"/>
        </w:rPr>
      </w:pPr>
      <w:r>
        <w:rPr>
          <w:rStyle w:val="39"/>
          <w:rFonts w:hint="eastAsia" w:ascii="仿宋" w:hAnsi="仿宋" w:eastAsia="仿宋" w:cs="仿宋"/>
          <w:color w:val="auto"/>
          <w:highlight w:val="none"/>
        </w:rPr>
        <w:t>6.修改</w:t>
      </w:r>
      <w:r>
        <w:rPr>
          <w:rStyle w:val="39"/>
          <w:rFonts w:hint="eastAsia" w:ascii="仿宋" w:hAnsi="仿宋" w:eastAsia="仿宋" w:cs="仿宋"/>
          <w:color w:val="auto"/>
          <w:highlight w:val="none"/>
          <w:lang w:eastAsia="zh-CN"/>
        </w:rPr>
        <w:t>交易文件</w:t>
      </w:r>
      <w:r>
        <w:rPr>
          <w:rStyle w:val="39"/>
          <w:rFonts w:hint="eastAsia" w:ascii="仿宋" w:hAnsi="仿宋" w:eastAsia="仿宋" w:cs="仿宋"/>
          <w:color w:val="auto"/>
          <w:highlight w:val="none"/>
        </w:rPr>
        <w:t>，重新组织采购活动。</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委员会发现</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存在歧义、重大缺陷导致</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工作无法进行，或者</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内容违反国家有关强制性规定的，将停止</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工作，并与</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沟通并作书面记录。</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代理机构</w:t>
      </w:r>
      <w:r>
        <w:rPr>
          <w:rFonts w:hint="eastAsia" w:ascii="仿宋" w:hAnsi="仿宋" w:eastAsia="仿宋" w:cs="仿宋"/>
          <w:color w:val="auto"/>
          <w:highlight w:val="none"/>
        </w:rPr>
        <w:t>确认后，将修改</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，重新组织采购活动。</w:t>
      </w:r>
    </w:p>
    <w:p w14:paraId="01C5456E">
      <w:pPr>
        <w:pStyle w:val="17"/>
        <w:keepNext w:val="0"/>
        <w:keepLines w:val="0"/>
        <w:pageBreakBefore w:val="0"/>
        <w:kinsoku/>
        <w:wordWrap/>
        <w:overflowPunct/>
        <w:topLinePunct w:val="0"/>
        <w:autoSpaceDE/>
        <w:autoSpaceDN/>
        <w:bidi w:val="0"/>
        <w:snapToGrid w:val="0"/>
        <w:spacing w:after="0" w:line="360" w:lineRule="auto"/>
        <w:ind w:left="0" w:leftChars="0" w:firstLine="482" w:firstLineChars="200"/>
        <w:textAlignment w:val="auto"/>
        <w:rPr>
          <w:rFonts w:hint="eastAsia" w:ascii="仿宋" w:hAnsi="仿宋" w:eastAsia="仿宋" w:cs="仿宋"/>
          <w:color w:val="auto"/>
          <w:highlight w:val="none"/>
        </w:rPr>
      </w:pPr>
      <w:r>
        <w:rPr>
          <w:rStyle w:val="39"/>
          <w:rFonts w:hint="eastAsia" w:ascii="仿宋" w:hAnsi="仿宋" w:eastAsia="仿宋" w:cs="仿宋"/>
          <w:color w:val="auto"/>
          <w:highlight w:val="none"/>
        </w:rPr>
        <w:t>7.重新开展采购。</w:t>
      </w:r>
      <w:r>
        <w:rPr>
          <w:rFonts w:hint="eastAsia" w:ascii="仿宋" w:hAnsi="仿宋" w:eastAsia="仿宋" w:cs="仿宋"/>
          <w:color w:val="auto"/>
          <w:highlight w:val="none"/>
        </w:rPr>
        <w:t>有政府采购法第七十一条、第七十二条规定的违法行为之一，影响或者可能影响</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、成交结果的，依照下列规定处理：</w:t>
      </w:r>
    </w:p>
    <w:p w14:paraId="09286727">
      <w:pPr>
        <w:pStyle w:val="17"/>
        <w:keepNext w:val="0"/>
        <w:keepLines w:val="0"/>
        <w:pageBreakBefore w:val="0"/>
        <w:kinsoku/>
        <w:wordWrap/>
        <w:overflowPunct/>
        <w:topLinePunct w:val="0"/>
        <w:autoSpaceDE/>
        <w:autoSpaceDN/>
        <w:bidi w:val="0"/>
        <w:snapToGrid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7.1未确定</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或者</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人的，终止本次政府采购活动，重新开展政府采购活动。</w:t>
      </w:r>
    </w:p>
    <w:p w14:paraId="2158C4F6">
      <w:pPr>
        <w:pStyle w:val="17"/>
        <w:keepNext w:val="0"/>
        <w:keepLines w:val="0"/>
        <w:pageBreakBefore w:val="0"/>
        <w:kinsoku/>
        <w:wordWrap/>
        <w:overflowPunct/>
        <w:topLinePunct w:val="0"/>
        <w:autoSpaceDE/>
        <w:autoSpaceDN/>
        <w:bidi w:val="0"/>
        <w:snapToGrid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7.2已确定</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或者</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人但尚未签订政府采购合同的，</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或者成交结果无效，从合格的</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或者成交候选人中另行确定</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或者</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人；没有合格的</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或者成交候选人的，重新开展政府采购活动。</w:t>
      </w:r>
    </w:p>
    <w:p w14:paraId="322DBA1E">
      <w:pPr>
        <w:pStyle w:val="17"/>
        <w:keepNext w:val="0"/>
        <w:keepLines w:val="0"/>
        <w:pageBreakBefore w:val="0"/>
        <w:kinsoku/>
        <w:wordWrap/>
        <w:overflowPunct/>
        <w:topLinePunct w:val="0"/>
        <w:autoSpaceDE/>
        <w:autoSpaceDN/>
        <w:bidi w:val="0"/>
        <w:snapToGrid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或者成交候选人中另行确定</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或者</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人；没有合格的</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或者成交候选人的，重新开展政府采购活动。</w:t>
      </w:r>
    </w:p>
    <w:p w14:paraId="07F5FAB7">
      <w:pPr>
        <w:pStyle w:val="17"/>
        <w:keepNext w:val="0"/>
        <w:keepLines w:val="0"/>
        <w:pageBreakBefore w:val="0"/>
        <w:kinsoku/>
        <w:wordWrap/>
        <w:overflowPunct/>
        <w:topLinePunct w:val="0"/>
        <w:autoSpaceDE/>
        <w:autoSpaceDN/>
        <w:bidi w:val="0"/>
        <w:snapToGrid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、供应商造成损失的，由责任人承担赔偿责任。</w:t>
      </w:r>
    </w:p>
    <w:p w14:paraId="53686836">
      <w:pPr>
        <w:pStyle w:val="17"/>
        <w:keepNext w:val="0"/>
        <w:keepLines w:val="0"/>
        <w:pageBreakBefore w:val="0"/>
        <w:kinsoku/>
        <w:wordWrap/>
        <w:overflowPunct/>
        <w:topLinePunct w:val="0"/>
        <w:autoSpaceDE/>
        <w:autoSpaceDN/>
        <w:bidi w:val="0"/>
        <w:snapToGrid w:val="0"/>
        <w:spacing w:after="0" w:line="360" w:lineRule="auto"/>
        <w:ind w:left="0" w:leftChars="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w:t>
      </w:r>
      <w:r>
        <w:rPr>
          <w:rFonts w:hint="eastAsia" w:ascii="仿宋" w:hAnsi="仿宋" w:eastAsia="仿宋" w:cs="仿宋"/>
          <w:color w:val="auto"/>
          <w:kern w:val="0"/>
          <w:highlight w:val="none"/>
        </w:rPr>
        <w:t>或者政府采购法实施条例等法律法规规定</w:t>
      </w:r>
      <w:r>
        <w:rPr>
          <w:rFonts w:hint="eastAsia" w:ascii="仿宋" w:hAnsi="仿宋" w:eastAsia="仿宋" w:cs="仿宋"/>
          <w:color w:val="auto"/>
          <w:highlight w:val="none"/>
        </w:rPr>
        <w:t>的行为，经改正后仍然影响或者可能影响</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、成交结果或者依法被认定为</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、成交无效的，依照7.1-7.4规定处理。</w:t>
      </w:r>
    </w:p>
    <w:p w14:paraId="27559D84">
      <w:pPr>
        <w:spacing w:line="276" w:lineRule="auto"/>
        <w:rPr>
          <w:rFonts w:hint="eastAsia" w:ascii="仿宋" w:hAnsi="仿宋" w:eastAsia="仿宋" w:cs="仿宋"/>
          <w:b/>
          <w:smallCaps/>
          <w:color w:val="auto"/>
          <w:spacing w:val="5"/>
          <w:sz w:val="36"/>
          <w:szCs w:val="36"/>
          <w:highlight w:val="none"/>
        </w:rPr>
      </w:pPr>
      <w:r>
        <w:rPr>
          <w:rFonts w:hint="eastAsia" w:ascii="仿宋" w:hAnsi="仿宋" w:eastAsia="仿宋" w:cs="仿宋"/>
          <w:color w:val="auto"/>
          <w:highlight w:val="none"/>
        </w:rPr>
        <w:br w:type="page"/>
      </w:r>
    </w:p>
    <w:p w14:paraId="28174603">
      <w:pPr>
        <w:pStyle w:val="3"/>
        <w:keepNext w:val="0"/>
        <w:keepLines w:val="0"/>
        <w:pageBreakBefore w:val="0"/>
        <w:kinsoku/>
        <w:wordWrap/>
        <w:overflowPunct/>
        <w:topLinePunct w:val="0"/>
        <w:bidi w:val="0"/>
        <w:spacing w:before="0" w:after="0" w:line="360" w:lineRule="auto"/>
        <w:ind w:left="0" w:leftChars="0" w:right="0" w:rightChars="0" w:firstLine="743" w:firstLineChars="200"/>
        <w:textAlignment w:val="auto"/>
        <w:rPr>
          <w:rFonts w:hint="eastAsia" w:ascii="仿宋" w:hAnsi="仿宋" w:eastAsia="仿宋" w:cs="仿宋"/>
          <w:color w:val="auto"/>
          <w:kern w:val="2"/>
          <w:highlight w:val="none"/>
        </w:rPr>
      </w:pPr>
      <w:r>
        <w:rPr>
          <w:rFonts w:hint="eastAsia" w:ascii="仿宋" w:hAnsi="仿宋" w:eastAsia="仿宋" w:cs="仿宋"/>
          <w:color w:val="auto"/>
          <w:highlight w:val="none"/>
        </w:rPr>
        <w:t>第五部分 拟签订的合同文本</w:t>
      </w:r>
    </w:p>
    <w:p w14:paraId="43D8D8A0">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合同编号：</w:t>
      </w:r>
    </w:p>
    <w:p w14:paraId="4B40EDF2">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签订地点：                                 签订时间：20</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1A8A000A">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p>
    <w:p w14:paraId="3A2E78D3">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甲方（需方）：                                     </w:t>
      </w:r>
    </w:p>
    <w:p w14:paraId="3AB82AEF">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乙方（供方）：                                     </w:t>
      </w:r>
    </w:p>
    <w:p w14:paraId="22B0BF59">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供、需双方根据杭州市萧山区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）交易结果和交易文件的要求，并经双方协调一致，订立本合同。</w:t>
      </w:r>
    </w:p>
    <w:p w14:paraId="56C672A8">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一、合同文件：</w:t>
      </w:r>
    </w:p>
    <w:p w14:paraId="7FB3ED99">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1、合同条款。</w:t>
      </w:r>
    </w:p>
    <w:p w14:paraId="11153F27">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2、成交通知书。</w:t>
      </w:r>
    </w:p>
    <w:p w14:paraId="618B4AD9">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3、交易文件。</w:t>
      </w:r>
    </w:p>
    <w:p w14:paraId="61BCFF71">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4、更正公告。</w:t>
      </w:r>
    </w:p>
    <w:p w14:paraId="50287717">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5、成交单位响应文件。</w:t>
      </w:r>
    </w:p>
    <w:p w14:paraId="11C755F8">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6、其他。</w:t>
      </w:r>
    </w:p>
    <w:p w14:paraId="618D9BA3">
      <w:pPr>
        <w:keepNext w:val="0"/>
        <w:keepLines w:val="0"/>
        <w:pageBreakBefore w:val="0"/>
        <w:widowControl w:val="0"/>
        <w:kinsoku/>
        <w:wordWrap/>
        <w:overflowPunct/>
        <w:topLinePunct w:val="0"/>
        <w:autoSpaceDE/>
        <w:autoSpaceDN/>
        <w:bidi w:val="0"/>
        <w:adjustRightInd w:val="0"/>
        <w:snapToGrid/>
        <w:spacing w:line="440" w:lineRule="exact"/>
        <w:ind w:left="0" w:leftChars="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二、合同金额: 本合同金额为(大写)_________________元（￥</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元）人民币附：</w:t>
      </w:r>
    </w:p>
    <w:p w14:paraId="39C69F2F">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《项目清单内容》</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14:paraId="65E0B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3D28D39F">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22EAB9C6">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w:t>
            </w:r>
          </w:p>
        </w:tc>
        <w:tc>
          <w:tcPr>
            <w:tcW w:w="1800" w:type="dxa"/>
            <w:tcBorders>
              <w:top w:val="single" w:color="auto" w:sz="4" w:space="0"/>
              <w:left w:val="single" w:color="auto" w:sz="4" w:space="0"/>
              <w:bottom w:val="single" w:color="auto" w:sz="4" w:space="0"/>
              <w:right w:val="single" w:color="auto" w:sz="4" w:space="0"/>
            </w:tcBorders>
            <w:noWrap w:val="0"/>
            <w:vAlign w:val="center"/>
          </w:tcPr>
          <w:p w14:paraId="751214DC">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成交内容</w:t>
            </w:r>
          </w:p>
        </w:tc>
        <w:tc>
          <w:tcPr>
            <w:tcW w:w="1758" w:type="dxa"/>
            <w:tcBorders>
              <w:top w:val="single" w:color="auto" w:sz="4" w:space="0"/>
              <w:left w:val="single" w:color="auto" w:sz="4" w:space="0"/>
              <w:bottom w:val="single" w:color="auto" w:sz="4" w:space="0"/>
              <w:right w:val="single" w:color="auto" w:sz="4" w:space="0"/>
            </w:tcBorders>
            <w:noWrap w:val="0"/>
            <w:vAlign w:val="center"/>
          </w:tcPr>
          <w:p w14:paraId="34623830">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成交单价（元）</w:t>
            </w:r>
          </w:p>
        </w:tc>
        <w:tc>
          <w:tcPr>
            <w:tcW w:w="762" w:type="dxa"/>
            <w:tcBorders>
              <w:top w:val="single" w:color="auto" w:sz="4" w:space="0"/>
              <w:left w:val="single" w:color="auto" w:sz="4" w:space="0"/>
              <w:bottom w:val="single" w:color="auto" w:sz="4" w:space="0"/>
              <w:right w:val="single" w:color="auto" w:sz="4" w:space="0"/>
            </w:tcBorders>
            <w:noWrap w:val="0"/>
            <w:vAlign w:val="center"/>
          </w:tcPr>
          <w:p w14:paraId="56C09787">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数量</w:t>
            </w:r>
          </w:p>
        </w:tc>
        <w:tc>
          <w:tcPr>
            <w:tcW w:w="1867" w:type="dxa"/>
            <w:tcBorders>
              <w:top w:val="single" w:color="auto" w:sz="4" w:space="0"/>
              <w:left w:val="single" w:color="auto" w:sz="4" w:space="0"/>
              <w:bottom w:val="single" w:color="auto" w:sz="4" w:space="0"/>
              <w:right w:val="single" w:color="auto" w:sz="4" w:space="0"/>
            </w:tcBorders>
            <w:noWrap w:val="0"/>
            <w:vAlign w:val="center"/>
          </w:tcPr>
          <w:p w14:paraId="6F24F982">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成交总价（元）</w:t>
            </w:r>
          </w:p>
        </w:tc>
      </w:tr>
      <w:tr w14:paraId="7F322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61C8A993">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7C74922C">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14:paraId="35B01A50">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14:paraId="603EFE7E">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14:paraId="0AA99B78">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14:paraId="5B6BBF97">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p>
        </w:tc>
      </w:tr>
      <w:tr w14:paraId="0145E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74E5FAA4">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75947628">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14:paraId="4D897C24">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14:paraId="38A8B9BF">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14:paraId="3099F63A">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14:paraId="1B2746F3">
            <w:pPr>
              <w:keepNext w:val="0"/>
              <w:keepLines w:val="0"/>
              <w:pageBreakBefore w:val="0"/>
              <w:widowControl w:val="0"/>
              <w:kinsoku/>
              <w:wordWrap/>
              <w:overflowPunct/>
              <w:topLinePunct w:val="0"/>
              <w:autoSpaceDE/>
              <w:autoSpaceDN/>
              <w:bidi w:val="0"/>
              <w:adjustRightInd w:val="0"/>
              <w:snapToGrid/>
              <w:spacing w:line="440" w:lineRule="exact"/>
              <w:ind w:left="0" w:leftChars="0"/>
              <w:jc w:val="center"/>
              <w:textAlignment w:val="auto"/>
              <w:rPr>
                <w:rFonts w:hint="eastAsia" w:ascii="仿宋" w:hAnsi="仿宋" w:eastAsia="仿宋" w:cs="仿宋"/>
                <w:color w:val="auto"/>
                <w:sz w:val="24"/>
                <w:highlight w:val="none"/>
              </w:rPr>
            </w:pPr>
          </w:p>
        </w:tc>
      </w:tr>
    </w:tbl>
    <w:p w14:paraId="74748E77">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三、技术资料</w:t>
      </w:r>
    </w:p>
    <w:p w14:paraId="2803B2A6">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1.乙方应按交易文件规定的时间向甲方提供有关技术资料。</w:t>
      </w:r>
    </w:p>
    <w:p w14:paraId="5D64A9EE">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80F14D9">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四、知识产权</w:t>
      </w:r>
    </w:p>
    <w:p w14:paraId="03BE4F86">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乙方应保证提供服务过程中不会侵犯任何第三方的知识产权。</w:t>
      </w:r>
    </w:p>
    <w:p w14:paraId="48410C6D">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五、履约保证金</w:t>
      </w:r>
    </w:p>
    <w:p w14:paraId="56DC6004">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乙方交纳人民币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元作为本合同的履约保证金。</w:t>
      </w:r>
    </w:p>
    <w:p w14:paraId="2CEB1E2D">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六、转包或分包</w:t>
      </w:r>
    </w:p>
    <w:p w14:paraId="6C86146E">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1.本合同范围的服务，应由乙方直接供应，不得转让他人供应；</w:t>
      </w:r>
    </w:p>
    <w:p w14:paraId="56681149">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2.除非得到甲方的书面同意，乙方不得将本合同范围的服务全部或部分分包给他人供应；</w:t>
      </w:r>
    </w:p>
    <w:p w14:paraId="14C071BD">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3.如有转让和未经甲方同意的分包行为，甲方有权解除合同，没收履约保证金并追究乙方的违约责任。</w:t>
      </w:r>
    </w:p>
    <w:p w14:paraId="26B82070">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七、服务质量保证期和服务质量保证金(选用)</w:t>
      </w:r>
    </w:p>
    <w:p w14:paraId="4D4562FE">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 服务质量保证期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年。（自验收合格之日起计）</w:t>
      </w:r>
    </w:p>
    <w:p w14:paraId="3B063730">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 服务质量保证金</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w:t>
      </w:r>
    </w:p>
    <w:p w14:paraId="6F6B012D">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八、合同履行时间、履行方式及履行地点</w:t>
      </w:r>
    </w:p>
    <w:p w14:paraId="23B5FA23">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 履行时间：</w:t>
      </w:r>
    </w:p>
    <w:p w14:paraId="1D826A56">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 履行方式：</w:t>
      </w:r>
    </w:p>
    <w:p w14:paraId="7C3B09B8">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 履行地点：</w:t>
      </w:r>
    </w:p>
    <w:p w14:paraId="3CFD5F60">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九、款项支付</w:t>
      </w:r>
    </w:p>
    <w:p w14:paraId="680A0EA8">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1.付款方式：</w:t>
      </w:r>
    </w:p>
    <w:p w14:paraId="2EC14ED6">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2.合同履行完毕，需方根据合同进行验收，验收合格后供应商按结算要求办理货款结算手续。</w:t>
      </w:r>
    </w:p>
    <w:p w14:paraId="7C215532">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十、税费</w:t>
      </w:r>
    </w:p>
    <w:p w14:paraId="55F7F86B">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本合同执行中相关的一切税费均由乙方负担。</w:t>
      </w:r>
    </w:p>
    <w:p w14:paraId="212D4CDD">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十一、质量保证及后续服务</w:t>
      </w:r>
    </w:p>
    <w:p w14:paraId="73039E89">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 乙方应按交易文件规定向甲方提供服务。</w:t>
      </w:r>
    </w:p>
    <w:p w14:paraId="0DB03C70">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 乙方提供的服务成果在服务质量保证期内发生故障，乙方应负责免费提供后续服务。对达不到要求者，根据实际情况，经双方协商，可按以下办法处理：</w:t>
      </w:r>
    </w:p>
    <w:p w14:paraId="4AE55770">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⑴重做：由乙方承担所发生的全部费用。</w:t>
      </w:r>
    </w:p>
    <w:p w14:paraId="0E1FBF3A">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⑵贬值处理：由甲乙双方合议定价。</w:t>
      </w:r>
    </w:p>
    <w:p w14:paraId="53651201">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⑶解除合同。</w:t>
      </w:r>
    </w:p>
    <w:p w14:paraId="710CF7C0">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 如在使用过程中发生问题，乙方在接到甲方通知后在</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小时内到达甲方现场。</w:t>
      </w:r>
    </w:p>
    <w:p w14:paraId="06FC1742">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4.在服务质量保证期内，乙方应对出现的质量及安全问题负责处理解决并承担一切费用。</w:t>
      </w:r>
    </w:p>
    <w:p w14:paraId="64AB6865">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十二、违约责任</w:t>
      </w:r>
    </w:p>
    <w:p w14:paraId="41233F7A">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1.甲方无正当理由拒绝接收服务的，甲方向乙方偿付合同款项百分之</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作为违约金。</w:t>
      </w:r>
    </w:p>
    <w:p w14:paraId="07115CB7">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2.甲方无故逾期验收和办理款项支付手续的，甲方应按逾期付款总额每日万分之</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向乙方支付违约金。</w:t>
      </w:r>
    </w:p>
    <w:p w14:paraId="1219FF74">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3.乙方未能如期提供服务的，每日向甲方支付合同款项的千分之</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作为违约金。乙方超过约定日期10个工作日仍不能提供服务的，甲方可解除本合同，不予退还履约保证金，如造成甲方损失超过履约保证金的，超出部分由乙方继续承担赔偿责任。</w:t>
      </w:r>
    </w:p>
    <w:p w14:paraId="3777A55B">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4.供方在服务项目验收合格之日起保修期内违反本合同有关承诺保证的，需方将有权不予退还质量保证金，损失赔偿不足部分，由乙方承担赔偿。</w:t>
      </w:r>
    </w:p>
    <w:p w14:paraId="0EEDB037">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5．如发现乙方违反交易文件和合同的有关规定，甲方有权根据约定对乙方进行处罚，并有权提前终止合同。</w:t>
      </w:r>
    </w:p>
    <w:p w14:paraId="2D8DE382">
      <w:pPr>
        <w:keepNext w:val="0"/>
        <w:keepLines w:val="0"/>
        <w:pageBreakBefore w:val="0"/>
        <w:widowControl w:val="0"/>
        <w:kinsoku/>
        <w:wordWrap/>
        <w:overflowPunct/>
        <w:topLinePunct w:val="0"/>
        <w:autoSpaceDE/>
        <w:autoSpaceDN/>
        <w:bidi w:val="0"/>
        <w:adjustRightInd w:val="0"/>
        <w:snapToGrid/>
        <w:spacing w:line="440" w:lineRule="exact"/>
        <w:ind w:left="0" w:leftChars="0" w:firstLine="360" w:firstLineChars="1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十三、争议的解决</w:t>
      </w:r>
    </w:p>
    <w:p w14:paraId="049D40E0">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因本合同引起的或与本合同有关的任何争议，合同双方应首先通过协商解决，达成书面协议，如协商不成，可选择下列第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种方式解决。</w:t>
      </w:r>
    </w:p>
    <w:p w14:paraId="2419DDB3">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（1）提请杭州仲裁委员会按照该会仲裁规则进行仲裁，仲裁裁决是终局的，对合同双方均有约束力。</w:t>
      </w:r>
    </w:p>
    <w:p w14:paraId="62E397BA">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（2）向有管辖权的人民法院提起诉讼。</w:t>
      </w:r>
    </w:p>
    <w:p w14:paraId="507F6FFD">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十四、合同生效</w:t>
      </w:r>
    </w:p>
    <w:p w14:paraId="1F26312C">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1.成交供应商持成交通知书作为与需方签订合同的凭证。</w:t>
      </w:r>
    </w:p>
    <w:p w14:paraId="3E1FC349">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2.本合同经需、供双方法定代表人或其授权委托人签字并加盖单位公章后生效。</w:t>
      </w:r>
    </w:p>
    <w:p w14:paraId="1430325A">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3.本合同一式四份，需、供双方各执二份。</w:t>
      </w:r>
    </w:p>
    <w:p w14:paraId="4CB715B1">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需方（盖章）：                     供方（盖章）：</w:t>
      </w:r>
    </w:p>
    <w:p w14:paraId="52AD079A">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                             地址：</w:t>
      </w:r>
    </w:p>
    <w:p w14:paraId="73CE67DD">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法定代表人（或委托代理人）签名：   法定代表人（或委托代理人）签名：</w:t>
      </w:r>
    </w:p>
    <w:p w14:paraId="3C563B81">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                         联系电话：</w:t>
      </w:r>
    </w:p>
    <w:p w14:paraId="20385ABF">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邮政编码：                         邮政编码：</w:t>
      </w:r>
    </w:p>
    <w:p w14:paraId="25F13071">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开户银行：                         开户银行：</w:t>
      </w:r>
    </w:p>
    <w:p w14:paraId="086BC231">
      <w:pPr>
        <w:keepNext w:val="0"/>
        <w:keepLines w:val="0"/>
        <w:pageBreakBefore w:val="0"/>
        <w:widowControl w:val="0"/>
        <w:kinsoku/>
        <w:wordWrap/>
        <w:overflowPunct/>
        <w:topLinePunct w:val="0"/>
        <w:autoSpaceDE/>
        <w:autoSpaceDN/>
        <w:bidi w:val="0"/>
        <w:adjustRightInd w:val="0"/>
        <w:snapToGrid/>
        <w:spacing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帐号：                             帐号：</w:t>
      </w:r>
    </w:p>
    <w:p w14:paraId="0A0D5CFF">
      <w:pPr>
        <w:spacing w:line="360" w:lineRule="auto"/>
        <w:rPr>
          <w:rFonts w:hint="eastAsia" w:ascii="仿宋" w:hAnsi="仿宋" w:eastAsia="仿宋" w:cs="仿宋"/>
          <w:color w:val="auto"/>
          <w:sz w:val="24"/>
          <w:highlight w:val="none"/>
        </w:rPr>
        <w:sectPr>
          <w:footerReference r:id="rId6" w:type="first"/>
          <w:headerReference r:id="rId4" w:type="default"/>
          <w:footerReference r:id="rId5" w:type="default"/>
          <w:pgSz w:w="11906" w:h="16838"/>
          <w:pgMar w:top="1440" w:right="1803" w:bottom="1440" w:left="1803" w:header="851" w:footer="992" w:gutter="0"/>
          <w:cols w:space="720" w:num="1"/>
          <w:rtlGutter w:val="0"/>
          <w:docGrid w:linePitch="312" w:charSpace="0"/>
        </w:sectPr>
      </w:pPr>
    </w:p>
    <w:p w14:paraId="2B9E9257">
      <w:pPr>
        <w:pStyle w:val="3"/>
        <w:keepNext w:val="0"/>
        <w:keepLines w:val="0"/>
        <w:pageBreakBefore w:val="0"/>
        <w:widowControl/>
        <w:kinsoku/>
        <w:wordWrap/>
        <w:overflowPunct/>
        <w:topLinePunct w:val="0"/>
        <w:autoSpaceDE/>
        <w:autoSpaceDN/>
        <w:bidi w:val="0"/>
        <w:adjustRightInd/>
        <w:spacing w:before="0" w:after="0" w:line="360" w:lineRule="auto"/>
        <w:ind w:right="0" w:firstLine="743"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第六部分 应提交的有关格式范例</w:t>
      </w:r>
    </w:p>
    <w:p w14:paraId="712106F9">
      <w:pPr>
        <w:pStyle w:val="4"/>
        <w:keepNext w:val="0"/>
        <w:keepLines w:val="0"/>
        <w:pageBreakBefore w:val="0"/>
        <w:widowControl/>
        <w:kinsoku/>
        <w:wordWrap/>
        <w:overflowPunct/>
        <w:topLinePunct w:val="0"/>
        <w:autoSpaceDE/>
        <w:autoSpaceDN/>
        <w:bidi w:val="0"/>
        <w:adjustRightInd/>
        <w:spacing w:before="0" w:after="0" w:line="360" w:lineRule="auto"/>
        <w:ind w:right="0" w:firstLine="56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资格文件部分</w:t>
      </w:r>
    </w:p>
    <w:p w14:paraId="0200379E">
      <w:pPr>
        <w:keepNext w:val="0"/>
        <w:keepLines w:val="0"/>
        <w:pageBreakBefore w:val="0"/>
        <w:widowControl/>
        <w:kinsoku/>
        <w:wordWrap/>
        <w:overflowPunct/>
        <w:topLinePunct w:val="0"/>
        <w:autoSpaceDE/>
        <w:autoSpaceDN/>
        <w:bidi w:val="0"/>
        <w:adjustRightInd/>
        <w:spacing w:after="0" w:line="360" w:lineRule="auto"/>
        <w:ind w:right="0" w:firstLine="803" w:firstLineChars="200"/>
        <w:jc w:val="center"/>
        <w:textAlignment w:val="auto"/>
        <w:rPr>
          <w:rFonts w:hint="eastAsia" w:ascii="仿宋" w:hAnsi="仿宋" w:eastAsia="仿宋" w:cs="仿宋"/>
          <w:b/>
          <w:color w:val="auto"/>
          <w:sz w:val="40"/>
          <w:highlight w:val="none"/>
        </w:rPr>
      </w:pPr>
      <w:r>
        <w:rPr>
          <w:rFonts w:hint="eastAsia" w:ascii="仿宋" w:hAnsi="仿宋" w:eastAsia="仿宋" w:cs="仿宋"/>
          <w:b/>
          <w:color w:val="auto"/>
          <w:sz w:val="40"/>
          <w:highlight w:val="none"/>
        </w:rPr>
        <w:t>目录</w:t>
      </w:r>
    </w:p>
    <w:p w14:paraId="30FE6FE6">
      <w:pPr>
        <w:spacing w:line="360" w:lineRule="auto"/>
        <w:jc w:val="center"/>
        <w:outlineLvl w:val="0"/>
        <w:rPr>
          <w:rFonts w:hint="eastAsia" w:ascii="仿宋" w:hAnsi="仿宋" w:eastAsia="仿宋" w:cs="仿宋"/>
          <w:b/>
          <w:color w:val="auto"/>
          <w:kern w:val="0"/>
          <w:sz w:val="36"/>
          <w:szCs w:val="36"/>
          <w:highlight w:val="none"/>
        </w:rPr>
      </w:pPr>
    </w:p>
    <w:p w14:paraId="673ADE7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w:t>
      </w:r>
      <w:r>
        <w:rPr>
          <w:rFonts w:hint="eastAsia" w:ascii="仿宋" w:hAnsi="仿宋" w:eastAsia="仿宋" w:cs="仿宋"/>
          <w:color w:val="auto"/>
          <w:sz w:val="24"/>
          <w:highlight w:val="none"/>
          <w:lang w:val="en-US" w:eastAsia="zh-CN"/>
        </w:rPr>
        <w:t>交易</w:t>
      </w:r>
      <w:r>
        <w:rPr>
          <w:rFonts w:hint="eastAsia" w:ascii="仿宋" w:hAnsi="仿宋" w:eastAsia="仿宋" w:cs="仿宋"/>
          <w:color w:val="auto"/>
          <w:sz w:val="24"/>
          <w:highlight w:val="none"/>
        </w:rPr>
        <w:t>活动应当具备的一般条件的承诺函………………（页码）</w:t>
      </w:r>
    </w:p>
    <w:p w14:paraId="1A9CEE8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2）落实政府采购政策需满足的资格要求………………………………（</w:t>
      </w:r>
      <w:r>
        <w:rPr>
          <w:rFonts w:hint="eastAsia" w:ascii="仿宋" w:hAnsi="仿宋" w:eastAsia="仿宋" w:cs="仿宋"/>
          <w:color w:val="auto"/>
          <w:sz w:val="24"/>
          <w:highlight w:val="none"/>
        </w:rPr>
        <w:t>页码）</w:t>
      </w:r>
    </w:p>
    <w:p w14:paraId="074FDE8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本项目的特定资格要求………………………………………………（页码）</w:t>
      </w:r>
    </w:p>
    <w:p w14:paraId="145DCD8D">
      <w:pPr>
        <w:spacing w:line="360" w:lineRule="auto"/>
        <w:ind w:firstLine="480" w:firstLineChars="200"/>
        <w:rPr>
          <w:rFonts w:hint="eastAsia" w:ascii="仿宋" w:hAnsi="仿宋" w:eastAsia="仿宋" w:cs="仿宋"/>
          <w:color w:val="auto"/>
          <w:sz w:val="24"/>
          <w:highlight w:val="none"/>
        </w:rPr>
      </w:pPr>
    </w:p>
    <w:p w14:paraId="5C91EE05">
      <w:pPr>
        <w:keepNext w:val="0"/>
        <w:keepLines w:val="0"/>
        <w:pageBreakBefore w:val="0"/>
        <w:widowControl/>
        <w:kinsoku/>
        <w:wordWrap/>
        <w:overflowPunct/>
        <w:topLinePunct w:val="0"/>
        <w:autoSpaceDE/>
        <w:autoSpaceDN/>
        <w:bidi w:val="0"/>
        <w:adjustRightInd/>
        <w:spacing w:after="0" w:line="360" w:lineRule="auto"/>
        <w:ind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33A9FC19">
      <w:pPr>
        <w:pStyle w:val="4"/>
        <w:keepNext w:val="0"/>
        <w:keepLines w:val="0"/>
        <w:pageBreakBefore w:val="0"/>
        <w:widowControl/>
        <w:kinsoku/>
        <w:wordWrap/>
        <w:overflowPunct/>
        <w:topLinePunct w:val="0"/>
        <w:autoSpaceDE/>
        <w:autoSpaceDN/>
        <w:bidi w:val="0"/>
        <w:adjustRightInd/>
        <w:spacing w:before="0" w:after="0" w:line="360" w:lineRule="auto"/>
        <w:ind w:right="0" w:firstLine="562"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rPr>
        <w:t xml:space="preserve">一、 </w:t>
      </w:r>
      <w:r>
        <w:rPr>
          <w:rFonts w:hint="eastAsia" w:ascii="仿宋" w:hAnsi="仿宋" w:eastAsia="仿宋" w:cs="仿宋"/>
          <w:color w:val="auto"/>
          <w:highlight w:val="none"/>
          <w:lang w:eastAsia="zh-CN"/>
        </w:rPr>
        <w:t>符合参加采购活动应当具备的一般条件的承诺函</w:t>
      </w:r>
    </w:p>
    <w:p w14:paraId="7C67FDE2">
      <w:pPr>
        <w:snapToGrid w:val="0"/>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交易人</w:t>
      </w:r>
      <w:r>
        <w:rPr>
          <w:rFonts w:hint="eastAsia" w:ascii="仿宋" w:hAnsi="仿宋" w:eastAsia="仿宋" w:cs="仿宋"/>
          <w:color w:val="auto"/>
          <w:sz w:val="24"/>
          <w:highlight w:val="none"/>
          <w:u w:val="single"/>
        </w:rPr>
        <w:t>）、（采购机构）：</w:t>
      </w:r>
    </w:p>
    <w:p w14:paraId="3D0D1D7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u w:val="single"/>
          <w:lang w:eastAsia="zh-CN"/>
        </w:rPr>
        <w:t>交易编号</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lang w:val="en-US" w:eastAsia="zh-CN"/>
        </w:rPr>
        <w:t>交易</w:t>
      </w:r>
      <w:r>
        <w:rPr>
          <w:rFonts w:hint="eastAsia" w:ascii="仿宋" w:hAnsi="仿宋" w:eastAsia="仿宋" w:cs="仿宋"/>
          <w:color w:val="auto"/>
          <w:sz w:val="24"/>
          <w:highlight w:val="none"/>
        </w:rPr>
        <w:t>活动，郑重承诺：</w:t>
      </w:r>
    </w:p>
    <w:p w14:paraId="33DF2E53">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w:t>
      </w:r>
      <w:r>
        <w:rPr>
          <w:rFonts w:hint="eastAsia" w:ascii="仿宋" w:hAnsi="仿宋" w:eastAsia="仿宋" w:cs="仿宋"/>
          <w:color w:val="auto"/>
          <w:sz w:val="24"/>
          <w:highlight w:val="none"/>
          <w:lang w:eastAsia="zh-CN"/>
        </w:rPr>
        <w:t>以下</w:t>
      </w:r>
      <w:r>
        <w:rPr>
          <w:rFonts w:hint="eastAsia" w:ascii="仿宋" w:hAnsi="仿宋" w:eastAsia="仿宋" w:cs="仿宋"/>
          <w:color w:val="auto"/>
          <w:sz w:val="24"/>
          <w:highlight w:val="none"/>
        </w:rPr>
        <w:t>条件：</w:t>
      </w:r>
    </w:p>
    <w:p w14:paraId="16DA6B4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34C59BE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725F243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4D4D379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5C275E8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5、参加采购活动前三年内，在经营活动中没有重大违法记录；</w:t>
      </w:r>
    </w:p>
    <w:p w14:paraId="0F5A21E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1402DE87">
      <w:pPr>
        <w:snapToGrid w:val="0"/>
        <w:spacing w:line="360" w:lineRule="auto"/>
        <w:ind w:firstLine="5520" w:firstLineChars="2300"/>
        <w:rPr>
          <w:rFonts w:hint="eastAsia" w:ascii="仿宋" w:hAnsi="仿宋" w:eastAsia="仿宋" w:cs="仿宋"/>
          <w:color w:val="auto"/>
          <w:kern w:val="0"/>
          <w:sz w:val="24"/>
          <w:highlight w:val="none"/>
          <w:lang w:val="zh-CN"/>
        </w:rPr>
      </w:pPr>
    </w:p>
    <w:p w14:paraId="08ABDED7">
      <w:pPr>
        <w:snapToGrid w:val="0"/>
        <w:spacing w:line="360" w:lineRule="auto"/>
        <w:ind w:firstLine="5520" w:firstLineChars="2300"/>
        <w:rPr>
          <w:rFonts w:hint="eastAsia" w:ascii="仿宋" w:hAnsi="仿宋" w:eastAsia="仿宋" w:cs="仿宋"/>
          <w:color w:val="auto"/>
          <w:kern w:val="0"/>
          <w:sz w:val="24"/>
          <w:highlight w:val="none"/>
          <w:lang w:val="zh-CN"/>
        </w:rPr>
      </w:pPr>
    </w:p>
    <w:p w14:paraId="285C2BB1">
      <w:pPr>
        <w:snapToGrid w:val="0"/>
        <w:spacing w:line="360" w:lineRule="auto"/>
        <w:ind w:firstLine="5520" w:firstLineChars="2300"/>
        <w:rPr>
          <w:rFonts w:hint="eastAsia" w:ascii="仿宋" w:hAnsi="仿宋" w:eastAsia="仿宋" w:cs="仿宋"/>
          <w:color w:val="auto"/>
          <w:kern w:val="0"/>
          <w:sz w:val="24"/>
          <w:highlight w:val="none"/>
          <w:lang w:val="zh-CN"/>
        </w:rPr>
      </w:pPr>
    </w:p>
    <w:p w14:paraId="727B3E70">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供应商名称(电子签名)：</w:t>
      </w:r>
    </w:p>
    <w:p w14:paraId="5E5BA90A">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1880DAB6">
      <w:pPr>
        <w:keepNext w:val="0"/>
        <w:keepLines w:val="0"/>
        <w:pageBreakBefore w:val="0"/>
        <w:widowControl/>
        <w:kinsoku/>
        <w:wordWrap/>
        <w:overflowPunct/>
        <w:topLinePunct w:val="0"/>
        <w:autoSpaceDE/>
        <w:autoSpaceDN/>
        <w:bidi w:val="0"/>
        <w:adjustRightInd/>
        <w:snapToGrid w:val="0"/>
        <w:spacing w:after="0" w:line="360" w:lineRule="auto"/>
        <w:ind w:right="0" w:firstLine="643" w:firstLineChars="200"/>
        <w:jc w:val="center"/>
        <w:textAlignment w:val="auto"/>
        <w:rPr>
          <w:rFonts w:hint="eastAsia" w:ascii="仿宋" w:hAnsi="仿宋" w:eastAsia="仿宋" w:cs="仿宋"/>
          <w:b/>
          <w:color w:val="auto"/>
          <w:sz w:val="32"/>
          <w:szCs w:val="32"/>
          <w:highlight w:val="none"/>
        </w:rPr>
      </w:pPr>
    </w:p>
    <w:p w14:paraId="53B40DB1">
      <w:pPr>
        <w:pStyle w:val="4"/>
        <w:keepNext w:val="0"/>
        <w:keepLines w:val="0"/>
        <w:pageBreakBefore w:val="0"/>
        <w:widowControl/>
        <w:kinsoku/>
        <w:wordWrap/>
        <w:overflowPunct/>
        <w:topLinePunct w:val="0"/>
        <w:autoSpaceDE/>
        <w:autoSpaceDN/>
        <w:bidi w:val="0"/>
        <w:adjustRightInd/>
        <w:spacing w:before="0" w:after="0" w:line="360" w:lineRule="auto"/>
        <w:ind w:right="0" w:firstLine="562" w:firstLineChars="200"/>
        <w:textAlignment w:val="auto"/>
        <w:rPr>
          <w:rFonts w:hint="eastAsia" w:ascii="仿宋" w:hAnsi="仿宋" w:eastAsia="仿宋" w:cs="仿宋"/>
          <w:color w:val="auto"/>
          <w:highlight w:val="none"/>
        </w:rPr>
      </w:pPr>
    </w:p>
    <w:p w14:paraId="3F7C5D3C">
      <w:pPr>
        <w:pStyle w:val="4"/>
        <w:keepNext w:val="0"/>
        <w:keepLines w:val="0"/>
        <w:pageBreakBefore w:val="0"/>
        <w:widowControl/>
        <w:kinsoku/>
        <w:wordWrap/>
        <w:overflowPunct/>
        <w:topLinePunct w:val="0"/>
        <w:autoSpaceDE/>
        <w:autoSpaceDN/>
        <w:bidi w:val="0"/>
        <w:adjustRightInd/>
        <w:spacing w:before="0" w:after="0" w:line="360" w:lineRule="auto"/>
        <w:ind w:right="0" w:firstLine="562" w:firstLineChars="200"/>
        <w:textAlignment w:val="auto"/>
        <w:rPr>
          <w:rFonts w:hint="eastAsia" w:ascii="仿宋" w:hAnsi="仿宋" w:eastAsia="仿宋" w:cs="仿宋"/>
          <w:color w:val="auto"/>
          <w:highlight w:val="none"/>
        </w:rPr>
      </w:pPr>
    </w:p>
    <w:p w14:paraId="3A698410">
      <w:pPr>
        <w:pStyle w:val="4"/>
        <w:keepNext w:val="0"/>
        <w:keepLines w:val="0"/>
        <w:pageBreakBefore w:val="0"/>
        <w:widowControl/>
        <w:kinsoku/>
        <w:wordWrap/>
        <w:overflowPunct/>
        <w:topLinePunct w:val="0"/>
        <w:autoSpaceDE/>
        <w:autoSpaceDN/>
        <w:bidi w:val="0"/>
        <w:adjustRightInd/>
        <w:spacing w:before="0" w:after="0" w:line="360" w:lineRule="auto"/>
        <w:ind w:right="0" w:firstLine="562" w:firstLineChars="200"/>
        <w:textAlignment w:val="auto"/>
        <w:rPr>
          <w:rFonts w:hint="eastAsia" w:ascii="仿宋" w:hAnsi="仿宋" w:eastAsia="仿宋" w:cs="仿宋"/>
          <w:color w:val="auto"/>
          <w:highlight w:val="none"/>
        </w:rPr>
      </w:pPr>
    </w:p>
    <w:p w14:paraId="7E6344FF">
      <w:pPr>
        <w:pStyle w:val="4"/>
        <w:keepNext w:val="0"/>
        <w:keepLines w:val="0"/>
        <w:pageBreakBefore w:val="0"/>
        <w:widowControl/>
        <w:kinsoku/>
        <w:wordWrap/>
        <w:overflowPunct/>
        <w:topLinePunct w:val="0"/>
        <w:autoSpaceDE/>
        <w:autoSpaceDN/>
        <w:bidi w:val="0"/>
        <w:adjustRightInd/>
        <w:spacing w:before="0" w:after="0" w:line="360" w:lineRule="auto"/>
        <w:ind w:right="0" w:firstLine="562" w:firstLineChars="200"/>
        <w:textAlignment w:val="auto"/>
        <w:rPr>
          <w:rFonts w:hint="eastAsia" w:ascii="仿宋" w:hAnsi="仿宋" w:eastAsia="仿宋" w:cs="仿宋"/>
          <w:color w:val="auto"/>
          <w:highlight w:val="none"/>
        </w:rPr>
      </w:pPr>
    </w:p>
    <w:p w14:paraId="68E59838">
      <w:pPr>
        <w:pStyle w:val="4"/>
        <w:keepNext w:val="0"/>
        <w:keepLines w:val="0"/>
        <w:pageBreakBefore w:val="0"/>
        <w:widowControl/>
        <w:kinsoku/>
        <w:wordWrap/>
        <w:overflowPunct/>
        <w:topLinePunct w:val="0"/>
        <w:autoSpaceDE/>
        <w:autoSpaceDN/>
        <w:bidi w:val="0"/>
        <w:adjustRightInd/>
        <w:spacing w:before="0" w:after="0" w:line="360" w:lineRule="auto"/>
        <w:ind w:right="0" w:firstLine="562" w:firstLineChars="200"/>
        <w:textAlignment w:val="auto"/>
        <w:rPr>
          <w:rFonts w:hint="eastAsia" w:ascii="仿宋" w:hAnsi="仿宋" w:eastAsia="仿宋" w:cs="仿宋"/>
          <w:color w:val="auto"/>
          <w:highlight w:val="none"/>
        </w:rPr>
      </w:pPr>
    </w:p>
    <w:p w14:paraId="109377A9">
      <w:pPr>
        <w:keepNext w:val="0"/>
        <w:keepLines w:val="0"/>
        <w:pageBreakBefore w:val="0"/>
        <w:widowControl/>
        <w:kinsoku/>
        <w:wordWrap/>
        <w:overflowPunct/>
        <w:topLinePunct w:val="0"/>
        <w:autoSpaceDE/>
        <w:autoSpaceDN/>
        <w:bidi w:val="0"/>
        <w:adjustRightInd/>
        <w:spacing w:after="0" w:line="360" w:lineRule="auto"/>
        <w:ind w:right="0" w:firstLine="643" w:firstLineChars="200"/>
        <w:jc w:val="center"/>
        <w:textAlignment w:val="auto"/>
        <w:rPr>
          <w:rFonts w:hint="eastAsia" w:ascii="仿宋" w:hAnsi="仿宋" w:eastAsia="仿宋" w:cs="仿宋"/>
          <w:b/>
          <w:color w:val="auto"/>
          <w:sz w:val="32"/>
          <w:szCs w:val="32"/>
          <w:highlight w:val="none"/>
          <w:lang w:val="zh-CN"/>
        </w:rPr>
      </w:pPr>
    </w:p>
    <w:p w14:paraId="08100735">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kern w:val="0"/>
          <w:sz w:val="32"/>
          <w:szCs w:val="32"/>
          <w:highlight w:val="none"/>
          <w:lang w:eastAsia="zh-CN"/>
        </w:rPr>
        <w:t>二、</w:t>
      </w:r>
      <w:r>
        <w:rPr>
          <w:rFonts w:hint="eastAsia" w:ascii="仿宋" w:hAnsi="仿宋" w:eastAsia="仿宋" w:cs="仿宋"/>
          <w:b/>
          <w:color w:val="auto"/>
          <w:sz w:val="32"/>
          <w:szCs w:val="32"/>
          <w:highlight w:val="none"/>
        </w:rPr>
        <w:t>中小企业声明函</w:t>
      </w:r>
    </w:p>
    <w:p w14:paraId="28DA77A7">
      <w:pPr>
        <w:spacing w:line="360" w:lineRule="auto"/>
        <w:jc w:val="center"/>
        <w:rPr>
          <w:rFonts w:hint="eastAsia" w:ascii="仿宋" w:hAnsi="仿宋" w:eastAsia="仿宋" w:cs="仿宋"/>
          <w:color w:val="auto"/>
          <w:sz w:val="24"/>
          <w:highlight w:val="none"/>
          <w:u w:val="single"/>
        </w:rPr>
      </w:pPr>
    </w:p>
    <w:p w14:paraId="69242018">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中小企业声明函（货物）</w:t>
      </w:r>
    </w:p>
    <w:p w14:paraId="46E1AFC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（单位名称） </w:t>
      </w:r>
      <w:r>
        <w:rPr>
          <w:rFonts w:hint="eastAsia" w:ascii="仿宋" w:hAnsi="仿宋" w:eastAsia="仿宋" w:cs="仿宋"/>
          <w:color w:val="auto"/>
          <w:sz w:val="24"/>
          <w:highlight w:val="none"/>
        </w:rPr>
        <w:t xml:space="preserve">的 </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 xml:space="preserve"> 采购活动，提供的货物全部由符合政策要求的中小企业制造。相关企业（含联合体中的中小企业、签订分包意向协议的中小企业）的具体情况如下：</w:t>
      </w:r>
    </w:p>
    <w:p w14:paraId="1150F0E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交易</w:t>
      </w:r>
      <w:r>
        <w:rPr>
          <w:rFonts w:hint="eastAsia" w:ascii="仿宋" w:hAnsi="仿宋" w:eastAsia="仿宋" w:cs="仿宋"/>
          <w:color w:val="auto"/>
          <w:sz w:val="24"/>
          <w:highlight w:val="none"/>
          <w:u w:val="single"/>
        </w:rPr>
        <w:t>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27E03C3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交易</w:t>
      </w:r>
      <w:r>
        <w:rPr>
          <w:rFonts w:hint="eastAsia" w:ascii="仿宋" w:hAnsi="仿宋" w:eastAsia="仿宋" w:cs="仿宋"/>
          <w:color w:val="auto"/>
          <w:sz w:val="24"/>
          <w:highlight w:val="none"/>
          <w:u w:val="single"/>
        </w:rPr>
        <w:t>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3774CA7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5AEC8B3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68ED317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6B18B57C">
      <w:pPr>
        <w:snapToGrid w:val="0"/>
        <w:spacing w:line="360" w:lineRule="auto"/>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供应商名称(电子签名)：</w:t>
      </w:r>
    </w:p>
    <w:p w14:paraId="05386795">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26C7B716">
      <w:pPr>
        <w:spacing w:line="360" w:lineRule="auto"/>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从业人员、营业收入、资产总额填报上一年度数据，无上一年度数据的新成立企业可不填报。</w:t>
      </w:r>
    </w:p>
    <w:p w14:paraId="78FCA73A">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注：1、填写要求：①“标的名称”、“</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文件中明确的所属行业”依据招标文件第二部分</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rPr>
        <w:t>须知前附表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提供的《中小企业声明函》与实际情况不符的或者未按以上要求填写的，中小企业声明函</w:t>
      </w:r>
      <w:r>
        <w:rPr>
          <w:rFonts w:hint="eastAsia" w:ascii="仿宋" w:hAnsi="仿宋" w:eastAsia="仿宋" w:cs="仿宋"/>
          <w:color w:val="auto"/>
          <w:sz w:val="24"/>
          <w:highlight w:val="none"/>
          <w:lang w:eastAsia="zh-CN"/>
        </w:rPr>
        <w:t>无效，</w:t>
      </w:r>
      <w:r>
        <w:rPr>
          <w:rFonts w:hint="eastAsia" w:ascii="仿宋" w:hAnsi="仿宋" w:eastAsia="仿宋" w:cs="仿宋"/>
          <w:color w:val="auto"/>
          <w:sz w:val="24"/>
          <w:highlight w:val="none"/>
        </w:rPr>
        <w:t>不享受中小企业扶持政策。声明内容不实的，属于提供虚假材料谋取中标、成交的，依法承担法律责任。</w:t>
      </w:r>
    </w:p>
    <w:p w14:paraId="09E320CA">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提供由省级以上监狱管理局、戒毒管理局（含新疆生产建设兵团）出具的属于监狱企业证明文件的，视同为小型和微型企业。</w:t>
      </w:r>
    </w:p>
    <w:p w14:paraId="01DB3EE5">
      <w:pPr>
        <w:spacing w:line="360" w:lineRule="auto"/>
        <w:jc w:val="center"/>
        <w:rPr>
          <w:rFonts w:hint="eastAsia" w:ascii="仿宋" w:hAnsi="仿宋" w:eastAsia="仿宋" w:cs="仿宋"/>
          <w:b/>
          <w:color w:val="auto"/>
          <w:sz w:val="32"/>
          <w:szCs w:val="32"/>
          <w:highlight w:val="none"/>
        </w:rPr>
      </w:pPr>
    </w:p>
    <w:p w14:paraId="3151B60B">
      <w:pPr>
        <w:spacing w:line="360" w:lineRule="auto"/>
        <w:jc w:val="center"/>
        <w:rPr>
          <w:rFonts w:hint="eastAsia" w:ascii="仿宋" w:hAnsi="仿宋" w:eastAsia="仿宋" w:cs="仿宋"/>
          <w:b/>
          <w:color w:val="auto"/>
          <w:sz w:val="32"/>
          <w:szCs w:val="32"/>
          <w:highlight w:val="none"/>
        </w:rPr>
      </w:pPr>
    </w:p>
    <w:p w14:paraId="3869CD32">
      <w:pPr>
        <w:spacing w:line="360" w:lineRule="auto"/>
        <w:jc w:val="center"/>
        <w:rPr>
          <w:rFonts w:hint="eastAsia" w:ascii="仿宋" w:hAnsi="仿宋" w:eastAsia="仿宋" w:cs="仿宋"/>
          <w:b/>
          <w:color w:val="auto"/>
          <w:sz w:val="32"/>
          <w:szCs w:val="32"/>
          <w:highlight w:val="none"/>
        </w:rPr>
      </w:pPr>
    </w:p>
    <w:p w14:paraId="57516E8E">
      <w:pPr>
        <w:spacing w:line="360" w:lineRule="auto"/>
        <w:jc w:val="center"/>
        <w:rPr>
          <w:rFonts w:hint="eastAsia" w:ascii="仿宋" w:hAnsi="仿宋" w:eastAsia="仿宋" w:cs="仿宋"/>
          <w:b/>
          <w:color w:val="auto"/>
          <w:sz w:val="32"/>
          <w:szCs w:val="32"/>
          <w:highlight w:val="none"/>
        </w:rPr>
      </w:pPr>
    </w:p>
    <w:p w14:paraId="136D4CAD">
      <w:pPr>
        <w:spacing w:line="360" w:lineRule="auto"/>
        <w:jc w:val="center"/>
        <w:rPr>
          <w:rFonts w:hint="eastAsia" w:ascii="仿宋" w:hAnsi="仿宋" w:eastAsia="仿宋" w:cs="仿宋"/>
          <w:b/>
          <w:color w:val="auto"/>
          <w:sz w:val="32"/>
          <w:szCs w:val="32"/>
          <w:highlight w:val="none"/>
        </w:rPr>
      </w:pPr>
    </w:p>
    <w:p w14:paraId="0E6A4AF9">
      <w:pPr>
        <w:spacing w:line="360" w:lineRule="auto"/>
        <w:jc w:val="center"/>
        <w:rPr>
          <w:rFonts w:hint="eastAsia" w:ascii="仿宋" w:hAnsi="仿宋" w:eastAsia="仿宋" w:cs="仿宋"/>
          <w:b/>
          <w:color w:val="auto"/>
          <w:sz w:val="32"/>
          <w:szCs w:val="32"/>
          <w:highlight w:val="none"/>
        </w:rPr>
      </w:pPr>
    </w:p>
    <w:p w14:paraId="28913AAC">
      <w:pPr>
        <w:spacing w:line="360" w:lineRule="auto"/>
        <w:jc w:val="center"/>
        <w:rPr>
          <w:rFonts w:hint="eastAsia" w:ascii="仿宋" w:hAnsi="仿宋" w:eastAsia="仿宋" w:cs="仿宋"/>
          <w:b/>
          <w:color w:val="auto"/>
          <w:sz w:val="32"/>
          <w:szCs w:val="32"/>
          <w:highlight w:val="none"/>
        </w:rPr>
      </w:pPr>
    </w:p>
    <w:p w14:paraId="25900E55">
      <w:pPr>
        <w:spacing w:line="360" w:lineRule="auto"/>
        <w:jc w:val="center"/>
        <w:rPr>
          <w:rFonts w:hint="eastAsia" w:ascii="仿宋" w:hAnsi="仿宋" w:eastAsia="仿宋" w:cs="仿宋"/>
          <w:b/>
          <w:color w:val="auto"/>
          <w:sz w:val="32"/>
          <w:szCs w:val="32"/>
          <w:highlight w:val="none"/>
        </w:rPr>
      </w:pPr>
    </w:p>
    <w:p w14:paraId="7BFEC7A1">
      <w:pPr>
        <w:spacing w:line="360" w:lineRule="auto"/>
        <w:jc w:val="both"/>
        <w:rPr>
          <w:rFonts w:hint="eastAsia" w:ascii="仿宋" w:hAnsi="仿宋" w:eastAsia="仿宋" w:cs="仿宋"/>
          <w:b/>
          <w:color w:val="auto"/>
          <w:sz w:val="32"/>
          <w:szCs w:val="32"/>
          <w:highlight w:val="none"/>
        </w:rPr>
      </w:pPr>
    </w:p>
    <w:p w14:paraId="71165228">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中小企业声明函（工程、服务）</w:t>
      </w:r>
    </w:p>
    <w:p w14:paraId="06079FDA">
      <w:pPr>
        <w:spacing w:line="360" w:lineRule="auto"/>
        <w:rPr>
          <w:rFonts w:hint="eastAsia" w:ascii="仿宋" w:hAnsi="仿宋" w:eastAsia="仿宋" w:cs="仿宋"/>
          <w:color w:val="auto"/>
          <w:highlight w:val="none"/>
        </w:rPr>
      </w:pPr>
    </w:p>
    <w:p w14:paraId="21F73E5C">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（单位名称）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0E34AFE5">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交易</w:t>
      </w:r>
      <w:r>
        <w:rPr>
          <w:rFonts w:hint="eastAsia" w:ascii="仿宋" w:hAnsi="仿宋" w:eastAsia="仿宋" w:cs="仿宋"/>
          <w:color w:val="auto"/>
          <w:sz w:val="24"/>
          <w:highlight w:val="none"/>
          <w:u w:val="single"/>
        </w:rPr>
        <w:t>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6C8B8932">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交易</w:t>
      </w:r>
      <w:r>
        <w:rPr>
          <w:rFonts w:hint="eastAsia" w:ascii="仿宋" w:hAnsi="仿宋" w:eastAsia="仿宋" w:cs="仿宋"/>
          <w:color w:val="auto"/>
          <w:sz w:val="24"/>
          <w:highlight w:val="none"/>
          <w:u w:val="single"/>
        </w:rPr>
        <w:t>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1A8C6F92">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0E15369F">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7FCF9F8D">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5D8A96D3">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名称（电子签名）：</w:t>
      </w:r>
    </w:p>
    <w:p w14:paraId="098393B7">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3D9AC7A8">
      <w:pPr>
        <w:spacing w:line="360" w:lineRule="auto"/>
        <w:ind w:firstLine="354"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412426CB">
      <w:pPr>
        <w:spacing w:line="360" w:lineRule="auto"/>
        <w:ind w:right="420"/>
        <w:rPr>
          <w:rFonts w:hint="eastAsia" w:ascii="仿宋" w:hAnsi="仿宋" w:eastAsia="仿宋" w:cs="仿宋"/>
          <w:color w:val="auto"/>
          <w:sz w:val="24"/>
          <w:highlight w:val="none"/>
        </w:rPr>
      </w:pPr>
    </w:p>
    <w:p w14:paraId="33B4C3CE">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5CA0B7C4">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文件中明确的所属行业”依据招标文件第二部分</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rPr>
        <w:t>须知前附表中“</w:t>
      </w:r>
      <w:r>
        <w:rPr>
          <w:rFonts w:hint="eastAsia" w:ascii="仿宋" w:hAnsi="仿宋" w:eastAsia="仿宋" w:cs="仿宋"/>
          <w:color w:val="auto"/>
          <w:sz w:val="24"/>
          <w:highlight w:val="none"/>
          <w:lang w:eastAsia="zh-CN"/>
        </w:rPr>
        <w:t>交易</w:t>
      </w:r>
      <w:r>
        <w:rPr>
          <w:rFonts w:hint="eastAsia" w:ascii="仿宋" w:hAnsi="仿宋" w:eastAsia="仿宋" w:cs="仿宋"/>
          <w:color w:val="auto"/>
          <w:sz w:val="24"/>
          <w:highlight w:val="none"/>
        </w:rPr>
        <w:t>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rPr>
        <w:t>提供的《中小企业声明函》与实际情况不符的或者未按以上要求填写的，中小企业声明函</w:t>
      </w:r>
      <w:r>
        <w:rPr>
          <w:rFonts w:hint="eastAsia" w:ascii="仿宋" w:hAnsi="仿宋" w:eastAsia="仿宋" w:cs="仿宋"/>
          <w:color w:val="auto"/>
          <w:sz w:val="24"/>
          <w:highlight w:val="none"/>
          <w:lang w:eastAsia="zh-CN"/>
        </w:rPr>
        <w:t>无效，</w:t>
      </w:r>
      <w:r>
        <w:rPr>
          <w:rFonts w:hint="eastAsia" w:ascii="仿宋" w:hAnsi="仿宋" w:eastAsia="仿宋" w:cs="仿宋"/>
          <w:color w:val="auto"/>
          <w:sz w:val="24"/>
          <w:highlight w:val="none"/>
        </w:rPr>
        <w:t>不享受中小企业扶持政策。声明内容不实的，属于提供虚假材料谋取中标、成交的，依法承担法律责任。</w:t>
      </w:r>
    </w:p>
    <w:p w14:paraId="1D79B0A2">
      <w:pPr>
        <w:spacing w:line="360" w:lineRule="auto"/>
        <w:ind w:right="420"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rPr>
        <w:t>提供由省级以上监狱管理局、戒毒管理局（含新疆生产建设兵团）出具的属于监狱企业证明文件的，视同为小型和微型企业。</w:t>
      </w:r>
    </w:p>
    <w:p w14:paraId="2E902A5B">
      <w:pPr>
        <w:spacing w:line="360" w:lineRule="auto"/>
        <w:ind w:right="420" w:firstLine="964" w:firstLineChars="300"/>
        <w:rPr>
          <w:rFonts w:hint="eastAsia" w:ascii="仿宋" w:hAnsi="仿宋" w:eastAsia="仿宋" w:cs="仿宋"/>
          <w:b/>
          <w:color w:val="auto"/>
          <w:kern w:val="0"/>
          <w:sz w:val="32"/>
          <w:szCs w:val="32"/>
          <w:highlight w:val="none"/>
        </w:rPr>
      </w:pPr>
    </w:p>
    <w:p w14:paraId="7ACBB51D">
      <w:pPr>
        <w:pStyle w:val="17"/>
        <w:rPr>
          <w:rFonts w:hint="eastAsia" w:ascii="仿宋" w:hAnsi="仿宋" w:eastAsia="仿宋" w:cs="仿宋"/>
          <w:b/>
          <w:color w:val="auto"/>
          <w:kern w:val="0"/>
          <w:sz w:val="32"/>
          <w:szCs w:val="32"/>
          <w:highlight w:val="none"/>
        </w:rPr>
      </w:pPr>
    </w:p>
    <w:p w14:paraId="037F079F">
      <w:pPr>
        <w:pStyle w:val="12"/>
        <w:rPr>
          <w:rFonts w:hint="eastAsia" w:ascii="仿宋" w:hAnsi="仿宋" w:eastAsia="仿宋" w:cs="仿宋"/>
          <w:b/>
          <w:color w:val="auto"/>
          <w:kern w:val="0"/>
          <w:sz w:val="32"/>
          <w:szCs w:val="32"/>
          <w:highlight w:val="none"/>
        </w:rPr>
      </w:pPr>
    </w:p>
    <w:p w14:paraId="394DBAEA">
      <w:pPr>
        <w:rPr>
          <w:rFonts w:hint="eastAsia" w:ascii="仿宋" w:hAnsi="仿宋" w:eastAsia="仿宋" w:cs="仿宋"/>
          <w:color w:val="auto"/>
          <w:highlight w:val="none"/>
        </w:rPr>
      </w:pPr>
    </w:p>
    <w:p w14:paraId="4C5A0851">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三</w:t>
      </w:r>
      <w:r>
        <w:rPr>
          <w:rFonts w:hint="eastAsia" w:ascii="仿宋" w:hAnsi="仿宋" w:eastAsia="仿宋" w:cs="仿宋"/>
          <w:b/>
          <w:color w:val="auto"/>
          <w:kern w:val="0"/>
          <w:sz w:val="32"/>
          <w:szCs w:val="32"/>
          <w:highlight w:val="none"/>
        </w:rPr>
        <w:t>、本项目的特定资格要求</w:t>
      </w:r>
    </w:p>
    <w:p w14:paraId="43EDDA6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w:t>
      </w:r>
      <w:r>
        <w:rPr>
          <w:rFonts w:hint="eastAsia" w:ascii="仿宋" w:hAnsi="仿宋" w:eastAsia="仿宋" w:cs="仿宋"/>
          <w:color w:val="auto"/>
          <w:sz w:val="24"/>
          <w:highlight w:val="none"/>
          <w:lang w:eastAsia="zh-CN"/>
        </w:rPr>
        <w:t>交易公告</w:t>
      </w:r>
      <w:r>
        <w:rPr>
          <w:rFonts w:hint="eastAsia" w:ascii="仿宋" w:hAnsi="仿宋" w:eastAsia="仿宋" w:cs="仿宋"/>
          <w:color w:val="auto"/>
          <w:sz w:val="24"/>
          <w:highlight w:val="none"/>
        </w:rPr>
        <w:t>本项目的特定资格要求提供相应的材料；未要求的，无需提供）</w:t>
      </w:r>
    </w:p>
    <w:p w14:paraId="53B28614">
      <w:pPr>
        <w:pStyle w:val="4"/>
        <w:keepNext w:val="0"/>
        <w:keepLines w:val="0"/>
        <w:pageBreakBefore w:val="0"/>
        <w:widowControl/>
        <w:kinsoku/>
        <w:wordWrap/>
        <w:overflowPunct/>
        <w:topLinePunct w:val="0"/>
        <w:autoSpaceDE/>
        <w:autoSpaceDN/>
        <w:bidi w:val="0"/>
        <w:adjustRightInd/>
        <w:snapToGrid/>
        <w:spacing w:before="0" w:after="0" w:line="360" w:lineRule="auto"/>
        <w:textAlignment w:val="auto"/>
        <w:rPr>
          <w:rFonts w:hint="eastAsia" w:ascii="仿宋" w:hAnsi="仿宋" w:eastAsia="仿宋" w:cs="仿宋"/>
          <w:color w:val="auto"/>
          <w:highlight w:val="none"/>
        </w:rPr>
      </w:pPr>
    </w:p>
    <w:p w14:paraId="5D53BB73">
      <w:pPr>
        <w:pStyle w:val="4"/>
        <w:keepNext w:val="0"/>
        <w:keepLines w:val="0"/>
        <w:pageBreakBefore w:val="0"/>
        <w:widowControl/>
        <w:kinsoku/>
        <w:wordWrap/>
        <w:overflowPunct/>
        <w:topLinePunct w:val="0"/>
        <w:autoSpaceDE/>
        <w:autoSpaceDN/>
        <w:bidi w:val="0"/>
        <w:adjustRightInd/>
        <w:snapToGrid/>
        <w:spacing w:before="0" w:after="0" w:line="360" w:lineRule="auto"/>
        <w:textAlignment w:val="auto"/>
        <w:rPr>
          <w:rFonts w:hint="eastAsia" w:ascii="仿宋" w:hAnsi="仿宋" w:eastAsia="仿宋" w:cs="仿宋"/>
          <w:color w:val="auto"/>
          <w:highlight w:val="none"/>
        </w:rPr>
      </w:pPr>
    </w:p>
    <w:p w14:paraId="6AC71EEC">
      <w:pPr>
        <w:pStyle w:val="4"/>
        <w:keepNext w:val="0"/>
        <w:keepLines w:val="0"/>
        <w:pageBreakBefore w:val="0"/>
        <w:widowControl/>
        <w:kinsoku/>
        <w:wordWrap/>
        <w:overflowPunct/>
        <w:topLinePunct w:val="0"/>
        <w:autoSpaceDE/>
        <w:autoSpaceDN/>
        <w:bidi w:val="0"/>
        <w:adjustRightInd/>
        <w:snapToGrid/>
        <w:spacing w:before="0" w:after="0" w:line="360" w:lineRule="auto"/>
        <w:textAlignment w:val="auto"/>
        <w:rPr>
          <w:rFonts w:hint="eastAsia" w:ascii="仿宋" w:hAnsi="仿宋" w:eastAsia="仿宋" w:cs="仿宋"/>
          <w:color w:val="auto"/>
          <w:highlight w:val="none"/>
        </w:rPr>
      </w:pPr>
    </w:p>
    <w:p w14:paraId="0DF98BC4">
      <w:pPr>
        <w:pStyle w:val="4"/>
        <w:keepNext w:val="0"/>
        <w:keepLines w:val="0"/>
        <w:pageBreakBefore w:val="0"/>
        <w:widowControl/>
        <w:kinsoku/>
        <w:wordWrap/>
        <w:overflowPunct/>
        <w:topLinePunct w:val="0"/>
        <w:autoSpaceDE/>
        <w:autoSpaceDN/>
        <w:bidi w:val="0"/>
        <w:adjustRightInd/>
        <w:snapToGrid/>
        <w:spacing w:before="0" w:after="0" w:line="360" w:lineRule="auto"/>
        <w:textAlignment w:val="auto"/>
        <w:rPr>
          <w:rFonts w:hint="eastAsia" w:ascii="仿宋" w:hAnsi="仿宋" w:eastAsia="仿宋" w:cs="仿宋"/>
          <w:color w:val="auto"/>
          <w:highlight w:val="none"/>
        </w:rPr>
      </w:pPr>
    </w:p>
    <w:p w14:paraId="2B476282">
      <w:pPr>
        <w:pStyle w:val="4"/>
        <w:keepNext w:val="0"/>
        <w:keepLines w:val="0"/>
        <w:pageBreakBefore w:val="0"/>
        <w:widowControl/>
        <w:kinsoku/>
        <w:wordWrap/>
        <w:overflowPunct/>
        <w:topLinePunct w:val="0"/>
        <w:autoSpaceDE/>
        <w:autoSpaceDN/>
        <w:bidi w:val="0"/>
        <w:adjustRightInd/>
        <w:snapToGrid/>
        <w:spacing w:before="0"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商务技术文件部分</w:t>
      </w:r>
    </w:p>
    <w:p w14:paraId="63D006EE">
      <w:pPr>
        <w:keepNext w:val="0"/>
        <w:keepLines w:val="0"/>
        <w:pageBreakBefore w:val="0"/>
        <w:widowControl/>
        <w:kinsoku/>
        <w:wordWrap/>
        <w:overflowPunct/>
        <w:topLinePunct w:val="0"/>
        <w:autoSpaceDE/>
        <w:autoSpaceDN/>
        <w:bidi w:val="0"/>
        <w:adjustRightInd/>
        <w:snapToGrid/>
        <w:spacing w:after="0" w:line="360" w:lineRule="auto"/>
        <w:jc w:val="center"/>
        <w:textAlignment w:val="auto"/>
        <w:rPr>
          <w:rFonts w:hint="eastAsia" w:ascii="仿宋" w:hAnsi="仿宋" w:eastAsia="仿宋" w:cs="仿宋"/>
          <w:color w:val="auto"/>
          <w:sz w:val="40"/>
          <w:highlight w:val="none"/>
        </w:rPr>
      </w:pPr>
      <w:r>
        <w:rPr>
          <w:rFonts w:hint="eastAsia" w:ascii="仿宋" w:hAnsi="仿宋" w:eastAsia="仿宋" w:cs="仿宋"/>
          <w:color w:val="auto"/>
          <w:sz w:val="40"/>
          <w:highlight w:val="none"/>
        </w:rPr>
        <w:t>目录</w:t>
      </w:r>
    </w:p>
    <w:p w14:paraId="1E811C66">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（1）</w:t>
      </w:r>
      <w:r>
        <w:rPr>
          <w:rFonts w:hint="eastAsia" w:ascii="仿宋" w:hAnsi="仿宋" w:eastAsia="仿宋" w:cs="仿宋"/>
          <w:color w:val="auto"/>
          <w:highlight w:val="none"/>
          <w:lang w:eastAsia="zh-CN"/>
        </w:rPr>
        <w:t>响应函</w:t>
      </w:r>
      <w:r>
        <w:rPr>
          <w:rFonts w:hint="eastAsia" w:ascii="仿宋" w:hAnsi="仿宋" w:eastAsia="仿宋" w:cs="仿宋"/>
          <w:color w:val="auto"/>
          <w:highlight w:val="none"/>
        </w:rPr>
        <w:t>……………………………………………………………………（页码）</w:t>
      </w:r>
    </w:p>
    <w:p w14:paraId="3497392B">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（2）授权委托书或法定代表人（单位负责人、自然人本人）身份证明……（页码）</w:t>
      </w:r>
    </w:p>
    <w:p w14:paraId="48DAD653">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（3）</w:t>
      </w:r>
      <w:r>
        <w:rPr>
          <w:rFonts w:hint="eastAsia" w:ascii="仿宋" w:hAnsi="仿宋" w:eastAsia="仿宋" w:cs="仿宋"/>
          <w:color w:val="auto"/>
          <w:highlight w:val="none"/>
          <w:lang w:eastAsia="zh-CN"/>
        </w:rPr>
        <w:t>营业执照</w:t>
      </w:r>
      <w:r>
        <w:rPr>
          <w:rFonts w:hint="eastAsia" w:ascii="仿宋" w:hAnsi="仿宋" w:eastAsia="仿宋" w:cs="仿宋"/>
          <w:color w:val="auto"/>
          <w:highlight w:val="none"/>
        </w:rPr>
        <w:t>……………………………………………………………………（页码）</w:t>
      </w:r>
    </w:p>
    <w:p w14:paraId="7AAB8B3B">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）符合性审查资料…………………………………………………………（页码）</w:t>
      </w:r>
    </w:p>
    <w:p w14:paraId="59874100">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标准相应的商务技术资料……………………………………………（页码）（</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）商务技术偏离表……………………………………………………………（页码）</w:t>
      </w:r>
    </w:p>
    <w:p w14:paraId="752CBEA3">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lang w:val="zh-CN"/>
        </w:rPr>
        <w:t>）供应商廉洁自律承诺书</w:t>
      </w:r>
      <w:r>
        <w:rPr>
          <w:rFonts w:hint="eastAsia" w:ascii="仿宋" w:hAnsi="仿宋" w:eastAsia="仿宋" w:cs="仿宋"/>
          <w:color w:val="auto"/>
          <w:highlight w:val="none"/>
          <w:lang w:val="en-US" w:eastAsia="zh-CN"/>
        </w:rPr>
        <w:t xml:space="preserve">     </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w:t>
      </w:r>
      <w:r>
        <w:rPr>
          <w:rFonts w:hint="eastAsia" w:ascii="仿宋" w:hAnsi="仿宋" w:eastAsia="仿宋" w:cs="仿宋"/>
          <w:color w:val="auto"/>
          <w:highlight w:val="none"/>
        </w:rPr>
        <w:t>（页码）</w:t>
      </w:r>
    </w:p>
    <w:p w14:paraId="5EF222E1">
      <w:pPr>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1FF614B8">
      <w:pPr>
        <w:pStyle w:val="4"/>
        <w:keepNext w:val="0"/>
        <w:keepLines w:val="0"/>
        <w:pageBreakBefore w:val="0"/>
        <w:widowControl/>
        <w:kinsoku/>
        <w:wordWrap/>
        <w:overflowPunct/>
        <w:topLinePunct w:val="0"/>
        <w:autoSpaceDE/>
        <w:autoSpaceDN/>
        <w:bidi w:val="0"/>
        <w:adjustRightInd/>
        <w:snapToGrid/>
        <w:spacing w:before="0" w:after="0" w:line="360" w:lineRule="auto"/>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rPr>
        <w:t>一、</w:t>
      </w:r>
      <w:r>
        <w:rPr>
          <w:rFonts w:hint="eastAsia" w:ascii="仿宋" w:hAnsi="仿宋" w:eastAsia="仿宋" w:cs="仿宋"/>
          <w:color w:val="auto"/>
          <w:highlight w:val="none"/>
          <w:lang w:eastAsia="zh-CN"/>
        </w:rPr>
        <w:t>响应函</w:t>
      </w:r>
    </w:p>
    <w:p w14:paraId="4E5DAC9A">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）、（采购代理机构）：</w:t>
      </w:r>
    </w:p>
    <w:p w14:paraId="34212FF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我方参加你方组织的（项目名称）【</w:t>
      </w:r>
      <w:r>
        <w:rPr>
          <w:rFonts w:hint="eastAsia" w:ascii="仿宋" w:hAnsi="仿宋" w:eastAsia="仿宋" w:cs="仿宋"/>
          <w:color w:val="auto"/>
          <w:highlight w:val="none"/>
          <w:lang w:val="en-US" w:eastAsia="zh-CN"/>
        </w:rPr>
        <w:t>项目</w:t>
      </w:r>
      <w:r>
        <w:rPr>
          <w:rFonts w:hint="eastAsia" w:ascii="仿宋" w:hAnsi="仿宋" w:eastAsia="仿宋" w:cs="仿宋"/>
          <w:color w:val="auto"/>
          <w:highlight w:val="none"/>
        </w:rPr>
        <w:t>编号：（采购编号）】</w:t>
      </w:r>
      <w:r>
        <w:rPr>
          <w:rFonts w:hint="eastAsia" w:ascii="仿宋" w:hAnsi="仿宋" w:eastAsia="仿宋" w:cs="仿宋"/>
          <w:color w:val="auto"/>
          <w:highlight w:val="none"/>
          <w:lang w:val="en-US" w:eastAsia="zh-CN"/>
        </w:rPr>
        <w:t>交易</w:t>
      </w:r>
      <w:r>
        <w:rPr>
          <w:rFonts w:hint="eastAsia" w:ascii="仿宋" w:hAnsi="仿宋" w:eastAsia="仿宋" w:cs="仿宋"/>
          <w:color w:val="auto"/>
          <w:highlight w:val="none"/>
        </w:rPr>
        <w:t>的有关活动，并对此项目进行</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。为此：</w:t>
      </w:r>
    </w:p>
    <w:p w14:paraId="045017D2">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1、我方承诺</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有效期从提交</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的截止之日起</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天（不少于90天），本</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在</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有效期满之前均具有约束力。</w:t>
      </w:r>
    </w:p>
    <w:p w14:paraId="7F13AD5A">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2、我方的</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包括以下内容：</w:t>
      </w:r>
    </w:p>
    <w:p w14:paraId="6FECE74B">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2.1资格文件：</w:t>
      </w:r>
    </w:p>
    <w:p w14:paraId="78E0D976">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2.1.1承诺函；</w:t>
      </w:r>
    </w:p>
    <w:p w14:paraId="79D1A0C6">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2.1.</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本项目的特定资格要求（如果有）。</w:t>
      </w:r>
    </w:p>
    <w:p w14:paraId="71478370">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rPr>
        <w:t>2</w:t>
      </w:r>
      <w:r>
        <w:rPr>
          <w:rFonts w:hint="eastAsia" w:ascii="仿宋" w:hAnsi="仿宋" w:eastAsia="仿宋" w:cs="仿宋"/>
          <w:color w:val="auto"/>
          <w:highlight w:val="none"/>
          <w:lang w:val="zh-CN"/>
        </w:rPr>
        <w:t xml:space="preserve"> </w:t>
      </w:r>
      <w:r>
        <w:rPr>
          <w:rFonts w:hint="eastAsia" w:ascii="仿宋" w:hAnsi="仿宋" w:eastAsia="仿宋" w:cs="仿宋"/>
          <w:color w:val="auto"/>
          <w:highlight w:val="none"/>
        </w:rPr>
        <w:t>商务技术</w:t>
      </w:r>
      <w:r>
        <w:rPr>
          <w:rFonts w:hint="eastAsia" w:ascii="仿宋" w:hAnsi="仿宋" w:eastAsia="仿宋" w:cs="仿宋"/>
          <w:color w:val="auto"/>
          <w:highlight w:val="none"/>
          <w:lang w:val="zh-CN"/>
        </w:rPr>
        <w:t>文件：</w:t>
      </w:r>
    </w:p>
    <w:p w14:paraId="78516E83">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2.2.1</w:t>
      </w:r>
      <w:r>
        <w:rPr>
          <w:rFonts w:hint="eastAsia" w:ascii="仿宋" w:hAnsi="仿宋" w:eastAsia="仿宋" w:cs="仿宋"/>
          <w:color w:val="auto"/>
          <w:highlight w:val="none"/>
          <w:lang w:eastAsia="zh-CN"/>
        </w:rPr>
        <w:t>响应函</w:t>
      </w:r>
      <w:r>
        <w:rPr>
          <w:rFonts w:hint="eastAsia" w:ascii="仿宋" w:hAnsi="仿宋" w:eastAsia="仿宋" w:cs="仿宋"/>
          <w:color w:val="auto"/>
          <w:highlight w:val="none"/>
        </w:rPr>
        <w:t>；</w:t>
      </w:r>
      <w:r>
        <w:rPr>
          <w:rFonts w:hint="eastAsia" w:ascii="仿宋" w:hAnsi="仿宋" w:eastAsia="仿宋" w:cs="仿宋"/>
          <w:color w:val="auto"/>
          <w:highlight w:val="none"/>
          <w:lang w:val="zh-CN"/>
        </w:rPr>
        <w:t xml:space="preserve"> </w:t>
      </w:r>
    </w:p>
    <w:p w14:paraId="6B476B89">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2.2.2授权委托书或法定代表人（单位负责人）身份证明；</w:t>
      </w:r>
    </w:p>
    <w:p w14:paraId="20F45E50">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2.2.3</w:t>
      </w:r>
      <w:r>
        <w:rPr>
          <w:rFonts w:hint="eastAsia" w:ascii="仿宋" w:hAnsi="仿宋" w:eastAsia="仿宋" w:cs="仿宋"/>
          <w:color w:val="auto"/>
          <w:highlight w:val="none"/>
          <w:lang w:eastAsia="zh-CN"/>
        </w:rPr>
        <w:t>营业执照</w:t>
      </w:r>
      <w:r>
        <w:rPr>
          <w:rFonts w:hint="eastAsia" w:ascii="仿宋" w:hAnsi="仿宋" w:eastAsia="仿宋" w:cs="仿宋"/>
          <w:color w:val="auto"/>
          <w:highlight w:val="none"/>
        </w:rPr>
        <w:t>；</w:t>
      </w:r>
    </w:p>
    <w:p w14:paraId="35384BED">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2.2.</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符合性审查资料；</w:t>
      </w:r>
    </w:p>
    <w:p w14:paraId="2111C94C">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2.2.</w:t>
      </w: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标准相应的商务技术资料；</w:t>
      </w:r>
    </w:p>
    <w:p w14:paraId="7F6195EB">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2.2.</w:t>
      </w: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商务技术偏离表；</w:t>
      </w:r>
    </w:p>
    <w:p w14:paraId="7D6E252B">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lang w:val="zh-CN"/>
        </w:rPr>
        <w:t>供应商廉洁自律承诺书；</w:t>
      </w:r>
    </w:p>
    <w:p w14:paraId="6C9FDBBA">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w:t>
      </w:r>
      <w:r>
        <w:rPr>
          <w:rFonts w:hint="eastAsia" w:ascii="仿宋" w:hAnsi="仿宋" w:eastAsia="仿宋" w:cs="仿宋"/>
          <w:color w:val="auto"/>
          <w:highlight w:val="none"/>
          <w:lang w:val="zh-CN"/>
        </w:rPr>
        <w:t>.</w:t>
      </w:r>
      <w:r>
        <w:rPr>
          <w:rFonts w:hint="eastAsia" w:ascii="仿宋" w:hAnsi="仿宋" w:eastAsia="仿宋" w:cs="仿宋"/>
          <w:color w:val="auto"/>
          <w:highlight w:val="none"/>
        </w:rPr>
        <w:t>3报价文件</w:t>
      </w:r>
    </w:p>
    <w:p w14:paraId="1DFC147B">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2.3.1</w:t>
      </w:r>
      <w:r>
        <w:rPr>
          <w:rFonts w:hint="eastAsia" w:ascii="仿宋" w:hAnsi="仿宋" w:eastAsia="仿宋" w:cs="仿宋"/>
          <w:color w:val="auto"/>
          <w:highlight w:val="none"/>
          <w:lang w:eastAsia="zh-CN"/>
        </w:rPr>
        <w:t>交易一览标</w:t>
      </w:r>
      <w:r>
        <w:rPr>
          <w:rFonts w:hint="eastAsia" w:ascii="仿宋" w:hAnsi="仿宋" w:eastAsia="仿宋" w:cs="仿宋"/>
          <w:color w:val="auto"/>
          <w:highlight w:val="none"/>
        </w:rPr>
        <w:t>（报价表）；</w:t>
      </w:r>
    </w:p>
    <w:p w14:paraId="599093B0">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3、我方承诺除商务技术偏离表列出的偏离外，我方响应</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的全部要求。</w:t>
      </w:r>
    </w:p>
    <w:p w14:paraId="6DA333BE">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4、如我方</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，我方承诺：</w:t>
      </w:r>
    </w:p>
    <w:p w14:paraId="0C3BF275">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4.1在收到</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通知书后，在</w:t>
      </w:r>
      <w:r>
        <w:rPr>
          <w:rFonts w:hint="eastAsia" w:ascii="仿宋" w:hAnsi="仿宋" w:eastAsia="仿宋" w:cs="仿宋"/>
          <w:color w:val="auto"/>
          <w:highlight w:val="none"/>
          <w:lang w:eastAsia="zh-CN"/>
        </w:rPr>
        <w:t>成交</w:t>
      </w:r>
      <w:r>
        <w:rPr>
          <w:rFonts w:hint="eastAsia" w:ascii="仿宋" w:hAnsi="仿宋" w:eastAsia="仿宋" w:cs="仿宋"/>
          <w:color w:val="auto"/>
          <w:highlight w:val="none"/>
        </w:rPr>
        <w:t xml:space="preserve">通知书规定的期限内与你方签订合同； </w:t>
      </w:r>
    </w:p>
    <w:p w14:paraId="1328853B">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4.2在签订合同时不向你方提出附加条件； </w:t>
      </w:r>
    </w:p>
    <w:p w14:paraId="0B8000F9">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4.3按照</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 xml:space="preserve">要求提交履约保证金； </w:t>
      </w:r>
    </w:p>
    <w:p w14:paraId="1A318C72">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4.4在合同约定的期限内完成合同规定的全部义务。 </w:t>
      </w:r>
    </w:p>
    <w:p w14:paraId="5C301EBC">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5、其他补充说明:</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73BA25A8">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 xml:space="preserve">名称（电子签名）：                          </w:t>
      </w:r>
    </w:p>
    <w:p w14:paraId="642C0A07">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     日期：  年   月   日</w:t>
      </w:r>
    </w:p>
    <w:p w14:paraId="57CD7764">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u w:val="single"/>
        </w:rPr>
      </w:pPr>
    </w:p>
    <w:p w14:paraId="5111D3CF">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注：按本格式和要求提供。</w:t>
      </w:r>
    </w:p>
    <w:p w14:paraId="7EB0C98D">
      <w:pPr>
        <w:spacing w:line="276" w:lineRule="auto"/>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2EEFCC37">
      <w:pPr>
        <w:pStyle w:val="4"/>
        <w:keepNext w:val="0"/>
        <w:keepLines w:val="0"/>
        <w:pageBreakBefore w:val="0"/>
        <w:widowControl/>
        <w:kinsoku/>
        <w:wordWrap/>
        <w:overflowPunct/>
        <w:topLinePunct w:val="0"/>
        <w:autoSpaceDE/>
        <w:autoSpaceDN/>
        <w:bidi w:val="0"/>
        <w:adjustRightInd/>
        <w:spacing w:before="0" w:after="0" w:line="360" w:lineRule="auto"/>
        <w:ind w:firstLine="562" w:firstLineChars="200"/>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二、授权委托书或法定代表人（单位负责人、自然人本人）身份证明</w:t>
      </w:r>
    </w:p>
    <w:p w14:paraId="4DC3736B">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                                </w:t>
      </w:r>
    </w:p>
    <w:p w14:paraId="41D8DB15">
      <w:pPr>
        <w:keepNext w:val="0"/>
        <w:keepLines w:val="0"/>
        <w:pageBreakBefore w:val="0"/>
        <w:widowControl/>
        <w:kinsoku/>
        <w:wordWrap/>
        <w:overflowPunct/>
        <w:topLinePunct w:val="0"/>
        <w:autoSpaceDE/>
        <w:autoSpaceDN/>
        <w:bidi w:val="0"/>
        <w:adjustRightInd/>
        <w:snapToGrid w:val="0"/>
        <w:spacing w:after="0" w:line="360" w:lineRule="auto"/>
        <w:ind w:firstLine="643" w:firstLineChars="200"/>
        <w:jc w:val="center"/>
        <w:textAlignment w:val="auto"/>
        <w:rPr>
          <w:rFonts w:hint="eastAsia" w:ascii="仿宋" w:hAnsi="仿宋" w:eastAsia="仿宋" w:cs="仿宋"/>
          <w:color w:val="auto"/>
          <w:highlight w:val="none"/>
        </w:rPr>
      </w:pPr>
      <w:r>
        <w:rPr>
          <w:rFonts w:hint="eastAsia" w:ascii="仿宋" w:hAnsi="仿宋" w:eastAsia="仿宋" w:cs="仿宋"/>
          <w:b/>
          <w:color w:val="auto"/>
          <w:sz w:val="32"/>
          <w:szCs w:val="32"/>
          <w:highlight w:val="none"/>
          <w:lang w:val="zh-CN"/>
        </w:rPr>
        <w:t>授权委托书（适用于非联合体投标）</w:t>
      </w:r>
    </w:p>
    <w:p w14:paraId="73D43A12">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）、（采购代理机构）</w:t>
      </w:r>
      <w:r>
        <w:rPr>
          <w:rFonts w:hint="eastAsia" w:ascii="仿宋" w:hAnsi="仿宋" w:eastAsia="仿宋" w:cs="仿宋"/>
          <w:color w:val="auto"/>
          <w:highlight w:val="none"/>
          <w:lang w:val="zh-CN"/>
        </w:rPr>
        <w:t>：</w:t>
      </w:r>
    </w:p>
    <w:p w14:paraId="5702CCFF">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现</w:t>
      </w:r>
      <w:r>
        <w:rPr>
          <w:rFonts w:hint="eastAsia" w:ascii="仿宋" w:hAnsi="仿宋" w:eastAsia="仿宋" w:cs="仿宋"/>
          <w:color w:val="auto"/>
          <w:highlight w:val="none"/>
          <w:lang w:val="zh-CN"/>
        </w:rPr>
        <w:t>委托</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（姓名）为我方代理人（身份证号码：</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，手机：</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），以我方名义处理</w:t>
      </w:r>
      <w:r>
        <w:rPr>
          <w:rFonts w:hint="eastAsia" w:ascii="仿宋" w:hAnsi="仿宋" w:eastAsia="仿宋" w:cs="仿宋"/>
          <w:color w:val="auto"/>
          <w:highlight w:val="none"/>
        </w:rPr>
        <w:t>（项目名称）【</w:t>
      </w:r>
      <w:r>
        <w:rPr>
          <w:rFonts w:hint="eastAsia" w:ascii="仿宋" w:hAnsi="仿宋" w:eastAsia="仿宋" w:cs="仿宋"/>
          <w:color w:val="auto"/>
          <w:highlight w:val="none"/>
          <w:lang w:val="en-US" w:eastAsia="zh-CN"/>
        </w:rPr>
        <w:t>项目</w:t>
      </w:r>
      <w:r>
        <w:rPr>
          <w:rFonts w:hint="eastAsia" w:ascii="仿宋" w:hAnsi="仿宋" w:eastAsia="仿宋" w:cs="仿宋"/>
          <w:color w:val="auto"/>
          <w:highlight w:val="none"/>
        </w:rPr>
        <w:t>编号：（采购编号）】</w:t>
      </w:r>
      <w:r>
        <w:rPr>
          <w:rFonts w:hint="eastAsia" w:ascii="仿宋" w:hAnsi="仿宋" w:eastAsia="仿宋" w:cs="仿宋"/>
          <w:color w:val="auto"/>
          <w:highlight w:val="none"/>
          <w:lang w:val="zh-CN"/>
        </w:rPr>
        <w:t>采购</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lang w:val="zh-CN"/>
        </w:rPr>
        <w:t>的一切事项，其法律后果由我方承担。</w:t>
      </w:r>
    </w:p>
    <w:p w14:paraId="56C02CCC">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委托期限</w:t>
      </w:r>
      <w:r>
        <w:rPr>
          <w:rFonts w:hint="eastAsia" w:ascii="仿宋" w:hAnsi="仿宋" w:eastAsia="仿宋" w:cs="仿宋"/>
          <w:color w:val="auto"/>
          <w:highlight w:val="none"/>
        </w:rPr>
        <w:t>：</w:t>
      </w:r>
      <w:r>
        <w:rPr>
          <w:rFonts w:hint="eastAsia" w:ascii="仿宋" w:hAnsi="仿宋" w:eastAsia="仿宋" w:cs="仿宋"/>
          <w:color w:val="auto"/>
          <w:highlight w:val="none"/>
          <w:lang w:val="zh-CN"/>
        </w:rPr>
        <w:t>自</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年</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月</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日起至</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年</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月</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日止。</w:t>
      </w:r>
    </w:p>
    <w:p w14:paraId="3969AB07">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特此告知。</w:t>
      </w:r>
    </w:p>
    <w:p w14:paraId="0CEFE722">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供应商名称(电子签名)：</w:t>
      </w:r>
    </w:p>
    <w:p w14:paraId="249E2CD2">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w:t>
      </w:r>
      <w:r>
        <w:rPr>
          <w:rFonts w:hint="eastAsia" w:ascii="仿宋" w:hAnsi="仿宋" w:eastAsia="仿宋" w:cs="仿宋"/>
          <w:color w:val="auto"/>
          <w:highlight w:val="none"/>
          <w:lang w:val="en-US" w:eastAsia="zh-CN"/>
        </w:rPr>
        <w:t xml:space="preserve"> </w:t>
      </w:r>
      <w:r>
        <w:rPr>
          <w:rFonts w:hint="eastAsia" w:ascii="仿宋" w:hAnsi="仿宋" w:eastAsia="仿宋" w:cs="仿宋"/>
          <w:color w:val="auto"/>
          <w:highlight w:val="none"/>
          <w:lang w:val="zh-CN"/>
        </w:rPr>
        <w:t>签发日期：  年  月   日</w:t>
      </w:r>
    </w:p>
    <w:p w14:paraId="565584BD">
      <w:pPr>
        <w:keepNext w:val="0"/>
        <w:keepLines w:val="0"/>
        <w:pageBreakBefore w:val="0"/>
        <w:widowControl/>
        <w:kinsoku/>
        <w:wordWrap/>
        <w:overflowPunct/>
        <w:topLinePunct w:val="0"/>
        <w:autoSpaceDE/>
        <w:autoSpaceDN/>
        <w:bidi w:val="0"/>
        <w:adjustRightInd/>
        <w:spacing w:after="0" w:line="360" w:lineRule="auto"/>
        <w:ind w:firstLine="643" w:firstLineChars="200"/>
        <w:jc w:val="center"/>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zh-CN"/>
        </w:rPr>
        <w:t>授权委托书（适用于联合体投标）</w:t>
      </w:r>
    </w:p>
    <w:p w14:paraId="10C2B40E">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）、（采购代理机构）</w:t>
      </w:r>
      <w:r>
        <w:rPr>
          <w:rFonts w:hint="eastAsia" w:ascii="仿宋" w:hAnsi="仿宋" w:eastAsia="仿宋" w:cs="仿宋"/>
          <w:color w:val="auto"/>
          <w:highlight w:val="none"/>
          <w:lang w:val="zh-CN"/>
        </w:rPr>
        <w:t>：</w:t>
      </w:r>
    </w:p>
    <w:p w14:paraId="2F141276">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现</w:t>
      </w:r>
      <w:r>
        <w:rPr>
          <w:rFonts w:hint="eastAsia" w:ascii="仿宋" w:hAnsi="仿宋" w:eastAsia="仿宋" w:cs="仿宋"/>
          <w:color w:val="auto"/>
          <w:highlight w:val="none"/>
          <w:lang w:val="zh-CN"/>
        </w:rPr>
        <w:t>委托</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（姓名）为我方代理人（身份证号码：</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，手机：</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lang w:val="zh-CN"/>
        </w:rPr>
        <w:t>），以我方名义处理</w:t>
      </w:r>
      <w:r>
        <w:rPr>
          <w:rFonts w:hint="eastAsia" w:ascii="仿宋" w:hAnsi="仿宋" w:eastAsia="仿宋" w:cs="仿宋"/>
          <w:color w:val="auto"/>
          <w:highlight w:val="none"/>
        </w:rPr>
        <w:t>（项目名称）【</w:t>
      </w:r>
      <w:r>
        <w:rPr>
          <w:rFonts w:hint="eastAsia" w:ascii="仿宋" w:hAnsi="仿宋" w:eastAsia="仿宋" w:cs="仿宋"/>
          <w:color w:val="auto"/>
          <w:highlight w:val="none"/>
          <w:lang w:eastAsia="zh-CN"/>
        </w:rPr>
        <w:t>项目编号</w:t>
      </w:r>
      <w:r>
        <w:rPr>
          <w:rFonts w:hint="eastAsia" w:ascii="仿宋" w:hAnsi="仿宋" w:eastAsia="仿宋" w:cs="仿宋"/>
          <w:color w:val="auto"/>
          <w:highlight w:val="none"/>
        </w:rPr>
        <w:t>：（采购编号）】</w:t>
      </w:r>
      <w:r>
        <w:rPr>
          <w:rFonts w:hint="eastAsia" w:ascii="仿宋" w:hAnsi="仿宋" w:eastAsia="仿宋" w:cs="仿宋"/>
          <w:color w:val="auto"/>
          <w:highlight w:val="none"/>
          <w:lang w:val="zh-CN"/>
        </w:rPr>
        <w:t>采购</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lang w:val="zh-CN"/>
        </w:rPr>
        <w:t>的一切事项，其法律后果由我方承担。</w:t>
      </w:r>
    </w:p>
    <w:p w14:paraId="7109E2A0">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委托期限</w:t>
      </w:r>
      <w:r>
        <w:rPr>
          <w:rFonts w:hint="eastAsia" w:ascii="仿宋" w:hAnsi="仿宋" w:eastAsia="仿宋" w:cs="仿宋"/>
          <w:color w:val="auto"/>
          <w:highlight w:val="none"/>
        </w:rPr>
        <w:t>：</w:t>
      </w:r>
      <w:r>
        <w:rPr>
          <w:rFonts w:hint="eastAsia" w:ascii="仿宋" w:hAnsi="仿宋" w:eastAsia="仿宋" w:cs="仿宋"/>
          <w:color w:val="auto"/>
          <w:highlight w:val="none"/>
          <w:lang w:val="zh-CN"/>
        </w:rPr>
        <w:t>自</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年</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月</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日起至</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年</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月</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日止。</w:t>
      </w:r>
    </w:p>
    <w:p w14:paraId="0BE1F3D8">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特此告知。</w:t>
      </w:r>
    </w:p>
    <w:p w14:paraId="6F379F8A">
      <w:pPr>
        <w:keepNext w:val="0"/>
        <w:keepLines w:val="0"/>
        <w:pageBreakBefore w:val="0"/>
        <w:widowControl/>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color w:val="auto"/>
          <w:highlight w:val="none"/>
        </w:rPr>
      </w:pPr>
    </w:p>
    <w:p w14:paraId="03D4FEBF">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联合体成员名称(电子签名/公章)：</w:t>
      </w:r>
    </w:p>
    <w:p w14:paraId="7AC52B58">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联合体成员名称(电子签名/公章)：</w:t>
      </w:r>
    </w:p>
    <w:p w14:paraId="6050239A">
      <w:pPr>
        <w:keepNext w:val="0"/>
        <w:keepLines w:val="0"/>
        <w:pageBreakBefore w:val="0"/>
        <w:widowControl/>
        <w:kinsoku/>
        <w:wordWrap/>
        <w:overflowPunct/>
        <w:topLinePunct w:val="0"/>
        <w:autoSpaceDE/>
        <w:autoSpaceDN/>
        <w:bidi w:val="0"/>
        <w:adjustRightInd/>
        <w:snapToGrid w:val="0"/>
        <w:spacing w:after="0" w:line="360" w:lineRule="auto"/>
        <w:ind w:firstLine="480" w:firstLineChars="200"/>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日期：  年  月   日</w:t>
      </w:r>
    </w:p>
    <w:p w14:paraId="535B5ACD">
      <w:pPr>
        <w:spacing w:line="276" w:lineRule="auto"/>
        <w:rPr>
          <w:rFonts w:hint="eastAsia" w:ascii="仿宋" w:hAnsi="仿宋" w:eastAsia="仿宋" w:cs="仿宋"/>
          <w:b/>
          <w:color w:val="auto"/>
          <w:sz w:val="32"/>
          <w:szCs w:val="32"/>
          <w:highlight w:val="none"/>
          <w:lang w:val="zh-CN"/>
        </w:rPr>
      </w:pPr>
      <w:r>
        <w:rPr>
          <w:rFonts w:hint="eastAsia" w:ascii="仿宋" w:hAnsi="仿宋" w:eastAsia="仿宋" w:cs="仿宋"/>
          <w:b/>
          <w:color w:val="auto"/>
          <w:sz w:val="32"/>
          <w:szCs w:val="32"/>
          <w:highlight w:val="none"/>
          <w:lang w:val="zh-CN"/>
        </w:rPr>
        <w:br w:type="page"/>
      </w:r>
    </w:p>
    <w:p w14:paraId="563A9029">
      <w:pPr>
        <w:keepNext w:val="0"/>
        <w:keepLines w:val="0"/>
        <w:pageBreakBefore w:val="0"/>
        <w:kinsoku/>
        <w:wordWrap/>
        <w:overflowPunct/>
        <w:topLinePunct w:val="0"/>
        <w:autoSpaceDE w:val="0"/>
        <w:autoSpaceDN w:val="0"/>
        <w:bidi w:val="0"/>
        <w:adjustRightInd/>
        <w:snapToGrid/>
        <w:spacing w:after="0" w:line="360" w:lineRule="auto"/>
        <w:jc w:val="center"/>
        <w:textAlignment w:val="auto"/>
        <w:rPr>
          <w:rFonts w:hint="eastAsia" w:ascii="仿宋" w:hAnsi="仿宋" w:eastAsia="仿宋" w:cs="仿宋"/>
          <w:b/>
          <w:color w:val="auto"/>
          <w:highlight w:val="none"/>
        </w:rPr>
      </w:pPr>
      <w:r>
        <w:rPr>
          <w:rFonts w:hint="eastAsia" w:ascii="仿宋" w:hAnsi="仿宋" w:eastAsia="仿宋" w:cs="仿宋"/>
          <w:b/>
          <w:color w:val="auto"/>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w:t>
      </w:r>
      <w:r>
        <w:rPr>
          <w:rFonts w:hint="eastAsia" w:ascii="仿宋" w:hAnsi="仿宋" w:eastAsia="仿宋" w:cs="仿宋"/>
          <w:b/>
          <w:color w:val="auto"/>
          <w:sz w:val="30"/>
          <w:szCs w:val="30"/>
          <w:highlight w:val="none"/>
          <w:lang w:eastAsia="zh-CN"/>
        </w:rPr>
        <w:t>供应商</w:t>
      </w:r>
      <w:r>
        <w:rPr>
          <w:rFonts w:hint="eastAsia" w:ascii="仿宋" w:hAnsi="仿宋" w:eastAsia="仿宋" w:cs="仿宋"/>
          <w:b/>
          <w:color w:val="auto"/>
          <w:sz w:val="30"/>
          <w:szCs w:val="30"/>
          <w:highlight w:val="none"/>
        </w:rPr>
        <w:t>参加投标）</w:t>
      </w:r>
    </w:p>
    <w:p w14:paraId="1E3BA883">
      <w:pPr>
        <w:pStyle w:val="77"/>
        <w:keepNext w:val="0"/>
        <w:keepLines w:val="0"/>
        <w:pageBreakBefore w:val="0"/>
        <w:kinsoku/>
        <w:wordWrap/>
        <w:overflowPunct/>
        <w:topLinePunct w:val="0"/>
        <w:bidi w:val="0"/>
        <w:adjustRightInd/>
        <w:snapToGrid/>
        <w:spacing w:after="0" w:line="360" w:lineRule="auto"/>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4E6F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643EF37">
            <w:pPr>
              <w:pStyle w:val="77"/>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3A0DC59E">
            <w:pPr>
              <w:pStyle w:val="77"/>
              <w:adjustRightInd w:val="0"/>
              <w:spacing w:line="360" w:lineRule="auto"/>
              <w:rPr>
                <w:rFonts w:hint="eastAsia" w:ascii="仿宋" w:hAnsi="仿宋" w:eastAsia="仿宋" w:cs="仿宋"/>
                <w:bCs/>
                <w:color w:val="auto"/>
                <w:sz w:val="24"/>
                <w:highlight w:val="none"/>
              </w:rPr>
            </w:pPr>
          </w:p>
        </w:tc>
      </w:tr>
    </w:tbl>
    <w:p w14:paraId="0733ACA2">
      <w:pPr>
        <w:snapToGrid w:val="0"/>
        <w:spacing w:line="360" w:lineRule="auto"/>
        <w:ind w:firstLine="576"/>
        <w:jc w:val="cente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w:t>
      </w:r>
    </w:p>
    <w:p w14:paraId="42A60B8F">
      <w:pPr>
        <w:snapToGrid w:val="0"/>
        <w:spacing w:line="360" w:lineRule="auto"/>
        <w:ind w:firstLine="576"/>
        <w:jc w:val="cente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供应商名称(电子签名)：                              </w:t>
      </w:r>
    </w:p>
    <w:p w14:paraId="104C40AF">
      <w:pPr>
        <w:spacing w:line="360" w:lineRule="auto"/>
        <w:jc w:val="center"/>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日期：  年  月  日</w:t>
      </w:r>
    </w:p>
    <w:p w14:paraId="3BDE0213">
      <w:pPr>
        <w:spacing w:line="276" w:lineRule="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br w:type="page"/>
      </w:r>
    </w:p>
    <w:p w14:paraId="33D769D4">
      <w:pPr>
        <w:pStyle w:val="4"/>
        <w:keepNext w:val="0"/>
        <w:keepLines w:val="0"/>
        <w:pageBreakBefore w:val="0"/>
        <w:widowControl/>
        <w:numPr>
          <w:ilvl w:val="0"/>
          <w:numId w:val="1"/>
        </w:numPr>
        <w:kinsoku/>
        <w:wordWrap/>
        <w:overflowPunct/>
        <w:topLinePunct w:val="0"/>
        <w:autoSpaceDE/>
        <w:autoSpaceDN/>
        <w:bidi w:val="0"/>
        <w:adjustRightInd/>
        <w:snapToGrid/>
        <w:spacing w:before="0" w:after="0" w:line="360" w:lineRule="auto"/>
        <w:ind w:left="0" w:leftChars="0" w:firstLine="0" w:firstLineChars="0"/>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营业执照</w:t>
      </w:r>
    </w:p>
    <w:p w14:paraId="5486F916">
      <w:pPr>
        <w:numPr>
          <w:ilvl w:val="0"/>
          <w:numId w:val="0"/>
        </w:numPr>
        <w:spacing w:after="200"/>
        <w:rPr>
          <w:rFonts w:hint="eastAsia" w:ascii="仿宋" w:hAnsi="仿宋" w:eastAsia="仿宋" w:cs="仿宋"/>
          <w:lang w:val="zh-CN"/>
        </w:rPr>
      </w:pPr>
      <w:r>
        <w:rPr>
          <w:rFonts w:hint="eastAsia" w:ascii="仿宋" w:hAnsi="仿宋" w:eastAsia="仿宋" w:cs="仿宋"/>
          <w:sz w:val="24"/>
        </w:rPr>
        <mc:AlternateContent>
          <mc:Choice Requires="wps">
            <w:drawing>
              <wp:anchor distT="0" distB="0" distL="114300" distR="114300" simplePos="0" relativeHeight="251661312" behindDoc="0" locked="0" layoutInCell="1" allowOverlap="1">
                <wp:simplePos x="0" y="0"/>
                <wp:positionH relativeFrom="column">
                  <wp:posOffset>208280</wp:posOffset>
                </wp:positionH>
                <wp:positionV relativeFrom="paragraph">
                  <wp:posOffset>302260</wp:posOffset>
                </wp:positionV>
                <wp:extent cx="4977130" cy="1107440"/>
                <wp:effectExtent l="12700" t="12700" r="20320" b="22860"/>
                <wp:wrapNone/>
                <wp:docPr id="1" name="矩形 1"/>
                <wp:cNvGraphicFramePr/>
                <a:graphic xmlns:a="http://schemas.openxmlformats.org/drawingml/2006/main">
                  <a:graphicData uri="http://schemas.microsoft.com/office/word/2010/wordprocessingShape">
                    <wps:wsp>
                      <wps:cNvSpPr/>
                      <wps:spPr>
                        <a:xfrm>
                          <a:off x="1351280" y="1612900"/>
                          <a:ext cx="4977130" cy="110744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6.4pt;margin-top:23.8pt;height:87.2pt;width:391.9pt;z-index:251661312;v-text-anchor:middle;mso-width-relative:page;mso-height-relative:page;" fillcolor="#FFFFFF [3201]" filled="t" stroked="t" coordsize="21600,21600" o:gfxdata="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AAAAAZHJzL1BL&#10;AQIUABQAAAAIAIdO4kB2jqSQ1wAAAAkBAAAPAAAAAAAAAAEAIAAAACIAAABkcnMvZG93bnJldi54&#10;bWxQSwECFAAUAAAACACHTuJAPvyP820CAADqBAAADgAAAAAAAAABACAAAAAmAQAAZHJzL2Uyb0Rv&#10;Yy54bWxQSwUGAAAAAAYABgBZAQAABQYAAAAA&#10;">
                <v:fill on="t" focussize="0,0"/>
                <v:stroke weight="2pt" color="#000000 [3213]" joinstyle="round"/>
                <v:imagedata o:title=""/>
                <o:lock v:ext="edit" aspectratio="f"/>
              </v:rect>
            </w:pict>
          </mc:Fallback>
        </mc:AlternateContent>
      </w:r>
    </w:p>
    <w:p w14:paraId="0F046986">
      <w:pPr>
        <w:pStyle w:val="25"/>
        <w:rPr>
          <w:rFonts w:hint="eastAsia" w:ascii="仿宋" w:hAnsi="仿宋" w:eastAsia="仿宋" w:cs="仿宋"/>
          <w:lang w:val="zh-CN"/>
        </w:rPr>
      </w:pPr>
    </w:p>
    <w:p w14:paraId="1FE3F113">
      <w:pPr>
        <w:rPr>
          <w:rFonts w:hint="eastAsia" w:ascii="仿宋" w:hAnsi="仿宋" w:eastAsia="仿宋" w:cs="仿宋"/>
          <w:lang w:val="zh-CN"/>
        </w:rPr>
      </w:pPr>
    </w:p>
    <w:p w14:paraId="3CFDB05F">
      <w:pPr>
        <w:pStyle w:val="25"/>
        <w:rPr>
          <w:rFonts w:hint="eastAsia" w:ascii="仿宋" w:hAnsi="仿宋" w:eastAsia="仿宋" w:cs="仿宋"/>
          <w:lang w:val="zh-CN"/>
        </w:rPr>
      </w:pPr>
    </w:p>
    <w:p w14:paraId="4AEA4483">
      <w:pPr>
        <w:rPr>
          <w:rFonts w:hint="eastAsia" w:ascii="仿宋" w:hAnsi="仿宋" w:eastAsia="仿宋" w:cs="仿宋"/>
          <w:lang w:val="zh-CN"/>
        </w:rPr>
      </w:pPr>
    </w:p>
    <w:p w14:paraId="7289631F">
      <w:pPr>
        <w:pStyle w:val="25"/>
        <w:rPr>
          <w:rFonts w:hint="eastAsia" w:ascii="仿宋" w:hAnsi="仿宋" w:eastAsia="仿宋" w:cs="仿宋"/>
          <w:lang w:val="zh-CN"/>
        </w:rPr>
      </w:pPr>
    </w:p>
    <w:p w14:paraId="5E0AC5B8">
      <w:pPr>
        <w:keepNext w:val="0"/>
        <w:keepLines w:val="0"/>
        <w:pageBreakBefore w:val="0"/>
        <w:widowControl/>
        <w:kinsoku/>
        <w:wordWrap/>
        <w:overflowPunct/>
        <w:topLinePunct w:val="0"/>
        <w:autoSpaceDE/>
        <w:autoSpaceDN/>
        <w:bidi w:val="0"/>
        <w:adjustRightInd/>
        <w:snapToGrid/>
        <w:spacing w:after="0" w:line="360" w:lineRule="auto"/>
        <w:ind w:firstLine="5280" w:firstLineChars="2200"/>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供应商名称(电子签名)：  </w:t>
      </w:r>
    </w:p>
    <w:p w14:paraId="7DFBDB66">
      <w:pPr>
        <w:pStyle w:val="25"/>
        <w:rPr>
          <w:rFonts w:hint="eastAsia" w:ascii="仿宋" w:hAnsi="仿宋" w:eastAsia="仿宋" w:cs="仿宋"/>
          <w:lang w:val="zh-CN"/>
        </w:rPr>
      </w:pPr>
    </w:p>
    <w:p w14:paraId="46FE8068">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 xml:space="preserve">                                               日期：  年  月   日</w:t>
      </w:r>
    </w:p>
    <w:p w14:paraId="597DD8E1">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p>
    <w:p w14:paraId="68EC9BB6">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p>
    <w:p w14:paraId="2101CADD">
      <w:pPr>
        <w:pStyle w:val="4"/>
        <w:keepNext w:val="0"/>
        <w:keepLines w:val="0"/>
        <w:pageBreakBefore w:val="0"/>
        <w:widowControl/>
        <w:numPr>
          <w:ilvl w:val="0"/>
          <w:numId w:val="0"/>
        </w:numPr>
        <w:kinsoku/>
        <w:wordWrap/>
        <w:overflowPunct/>
        <w:topLinePunct w:val="0"/>
        <w:autoSpaceDE/>
        <w:autoSpaceDN/>
        <w:bidi w:val="0"/>
        <w:adjustRightInd/>
        <w:snapToGrid/>
        <w:spacing w:before="0" w:after="0" w:line="360" w:lineRule="auto"/>
        <w:ind w:leftChars="0"/>
        <w:jc w:val="center"/>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四、符合性审查资料</w:t>
      </w:r>
    </w:p>
    <w:tbl>
      <w:tblPr>
        <w:tblStyle w:val="26"/>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2734"/>
        <w:gridCol w:w="3610"/>
        <w:gridCol w:w="1701"/>
      </w:tblGrid>
      <w:tr w14:paraId="50520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852" w:type="dxa"/>
            <w:vAlign w:val="center"/>
          </w:tcPr>
          <w:p w14:paraId="5115DE32">
            <w:pPr>
              <w:keepNext w:val="0"/>
              <w:keepLines w:val="0"/>
              <w:pageBreakBefore w:val="0"/>
              <w:widowControl/>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序号</w:t>
            </w:r>
          </w:p>
        </w:tc>
        <w:tc>
          <w:tcPr>
            <w:tcW w:w="2734" w:type="dxa"/>
            <w:vAlign w:val="center"/>
          </w:tcPr>
          <w:p w14:paraId="623459FE">
            <w:pPr>
              <w:keepNext w:val="0"/>
              <w:keepLines w:val="0"/>
              <w:pageBreakBefore w:val="0"/>
              <w:widowControl/>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实质性要求</w:t>
            </w:r>
          </w:p>
        </w:tc>
        <w:tc>
          <w:tcPr>
            <w:tcW w:w="3610" w:type="dxa"/>
            <w:vAlign w:val="center"/>
          </w:tcPr>
          <w:p w14:paraId="15C88AC7">
            <w:pPr>
              <w:keepNext w:val="0"/>
              <w:keepLines w:val="0"/>
              <w:pageBreakBefore w:val="0"/>
              <w:widowControl/>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需要提供的符合性审查资料</w:t>
            </w:r>
          </w:p>
        </w:tc>
        <w:tc>
          <w:tcPr>
            <w:tcW w:w="1701" w:type="dxa"/>
            <w:vAlign w:val="center"/>
          </w:tcPr>
          <w:p w14:paraId="456647C4">
            <w:pPr>
              <w:keepNext w:val="0"/>
              <w:keepLines w:val="0"/>
              <w:pageBreakBefore w:val="0"/>
              <w:widowControl/>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
                <w:color w:val="auto"/>
                <w:highlight w:val="none"/>
              </w:rPr>
            </w:pPr>
            <w:r>
              <w:rPr>
                <w:rFonts w:hint="eastAsia" w:ascii="仿宋" w:hAnsi="仿宋" w:eastAsia="仿宋" w:cs="仿宋"/>
                <w:b/>
                <w:color w:val="auto"/>
                <w:highlight w:val="none"/>
                <w:lang w:eastAsia="zh-CN"/>
              </w:rPr>
              <w:t>响应文件</w:t>
            </w:r>
            <w:r>
              <w:rPr>
                <w:rFonts w:hint="eastAsia" w:ascii="仿宋" w:hAnsi="仿宋" w:eastAsia="仿宋" w:cs="仿宋"/>
                <w:b/>
                <w:color w:val="auto"/>
                <w:highlight w:val="none"/>
              </w:rPr>
              <w:t>中的</w:t>
            </w:r>
          </w:p>
          <w:p w14:paraId="093106FF">
            <w:pPr>
              <w:keepNext w:val="0"/>
              <w:keepLines w:val="0"/>
              <w:pageBreakBefore w:val="0"/>
              <w:widowControl/>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页码位置</w:t>
            </w:r>
          </w:p>
        </w:tc>
      </w:tr>
      <w:tr w14:paraId="7C575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52" w:type="dxa"/>
            <w:vAlign w:val="center"/>
          </w:tcPr>
          <w:p w14:paraId="2CA2333B">
            <w:pPr>
              <w:keepNext w:val="0"/>
              <w:keepLines w:val="0"/>
              <w:pageBreakBefore w:val="0"/>
              <w:widowControl/>
              <w:kinsoku/>
              <w:wordWrap/>
              <w:overflowPunct/>
              <w:topLinePunct w:val="0"/>
              <w:autoSpaceDE/>
              <w:autoSpaceDN/>
              <w:bidi w:val="0"/>
              <w:adjustRightInd/>
              <w:spacing w:after="0" w:line="240" w:lineRule="auto"/>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2734" w:type="dxa"/>
            <w:vAlign w:val="center"/>
          </w:tcPr>
          <w:p w14:paraId="0DC6F0E5">
            <w:pPr>
              <w:keepNext w:val="0"/>
              <w:keepLines w:val="0"/>
              <w:pageBreakBefore w:val="0"/>
              <w:widowControl/>
              <w:kinsoku/>
              <w:wordWrap/>
              <w:overflowPunct/>
              <w:topLinePunct w:val="0"/>
              <w:autoSpaceDE/>
              <w:autoSpaceDN/>
              <w:bidi w:val="0"/>
              <w:adjustRightInd/>
              <w:spacing w:after="0" w:line="240" w:lineRule="auto"/>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按照</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要求签署、盖章。</w:t>
            </w:r>
          </w:p>
        </w:tc>
        <w:tc>
          <w:tcPr>
            <w:tcW w:w="3610" w:type="dxa"/>
            <w:vAlign w:val="center"/>
          </w:tcPr>
          <w:p w14:paraId="7125A6B1">
            <w:pPr>
              <w:keepNext w:val="0"/>
              <w:keepLines w:val="0"/>
              <w:pageBreakBefore w:val="0"/>
              <w:widowControl/>
              <w:kinsoku/>
              <w:wordWrap/>
              <w:overflowPunct/>
              <w:topLinePunct w:val="0"/>
              <w:autoSpaceDE/>
              <w:autoSpaceDN/>
              <w:bidi w:val="0"/>
              <w:adjustRightInd/>
              <w:spacing w:after="0" w:line="240" w:lineRule="auto"/>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需要使用电子签名或者签字盖章的</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的组成部分</w:t>
            </w:r>
          </w:p>
        </w:tc>
        <w:tc>
          <w:tcPr>
            <w:tcW w:w="1701" w:type="dxa"/>
            <w:vAlign w:val="center"/>
          </w:tcPr>
          <w:p w14:paraId="0E34DCB5">
            <w:pPr>
              <w:keepNext w:val="0"/>
              <w:keepLines w:val="0"/>
              <w:pageBreakBefore w:val="0"/>
              <w:widowControl/>
              <w:kinsoku/>
              <w:wordWrap/>
              <w:overflowPunct/>
              <w:topLinePunct w:val="0"/>
              <w:autoSpaceDE/>
              <w:autoSpaceDN/>
              <w:bidi w:val="0"/>
              <w:adjustRightInd/>
              <w:spacing w:after="0" w:line="240" w:lineRule="auto"/>
              <w:jc w:val="center"/>
              <w:textAlignment w:val="auto"/>
              <w:rPr>
                <w:rFonts w:hint="eastAsia" w:ascii="仿宋" w:hAnsi="仿宋" w:eastAsia="仿宋" w:cs="仿宋"/>
                <w:color w:val="auto"/>
                <w:highlight w:val="none"/>
              </w:rPr>
            </w:pPr>
          </w:p>
          <w:p w14:paraId="0226E974">
            <w:pPr>
              <w:keepNext w:val="0"/>
              <w:keepLines w:val="0"/>
              <w:pageBreakBefore w:val="0"/>
              <w:widowControl/>
              <w:kinsoku/>
              <w:wordWrap/>
              <w:overflowPunct/>
              <w:topLinePunct w:val="0"/>
              <w:autoSpaceDE/>
              <w:autoSpaceDN/>
              <w:bidi w:val="0"/>
              <w:adjustRightInd/>
              <w:spacing w:after="0" w:line="240" w:lineRule="auto"/>
              <w:jc w:val="center"/>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rPr>
              <w:t>见</w:t>
            </w:r>
            <w:r>
              <w:rPr>
                <w:rFonts w:hint="eastAsia" w:ascii="仿宋" w:hAnsi="仿宋" w:eastAsia="仿宋" w:cs="仿宋"/>
                <w:color w:val="auto"/>
                <w:highlight w:val="none"/>
                <w:lang w:eastAsia="zh-CN"/>
              </w:rPr>
              <w:t>响应文件</w:t>
            </w:r>
          </w:p>
          <w:p w14:paraId="0B272035">
            <w:pPr>
              <w:keepNext w:val="0"/>
              <w:keepLines w:val="0"/>
              <w:pageBreakBefore w:val="0"/>
              <w:widowControl/>
              <w:kinsoku/>
              <w:wordWrap/>
              <w:overflowPunct/>
              <w:topLinePunct w:val="0"/>
              <w:autoSpaceDE/>
              <w:autoSpaceDN/>
              <w:bidi w:val="0"/>
              <w:adjustRightInd/>
              <w:spacing w:after="0" w:line="240" w:lineRule="auto"/>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第</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页</w:t>
            </w:r>
          </w:p>
        </w:tc>
      </w:tr>
      <w:tr w14:paraId="12329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852" w:type="dxa"/>
            <w:vAlign w:val="center"/>
          </w:tcPr>
          <w:p w14:paraId="268B6E63">
            <w:pPr>
              <w:keepNext w:val="0"/>
              <w:keepLines w:val="0"/>
              <w:pageBreakBefore w:val="0"/>
              <w:widowControl/>
              <w:kinsoku/>
              <w:wordWrap/>
              <w:overflowPunct/>
              <w:topLinePunct w:val="0"/>
              <w:autoSpaceDE/>
              <w:autoSpaceDN/>
              <w:bidi w:val="0"/>
              <w:adjustRightInd/>
              <w:spacing w:after="0" w:line="240" w:lineRule="auto"/>
              <w:jc w:val="center"/>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2</w:t>
            </w:r>
          </w:p>
        </w:tc>
        <w:tc>
          <w:tcPr>
            <w:tcW w:w="2734" w:type="dxa"/>
            <w:vAlign w:val="center"/>
          </w:tcPr>
          <w:p w14:paraId="7B8E9217">
            <w:pPr>
              <w:keepNext w:val="0"/>
              <w:keepLines w:val="0"/>
              <w:pageBreakBefore w:val="0"/>
              <w:widowControl/>
              <w:kinsoku/>
              <w:wordWrap/>
              <w:overflowPunct/>
              <w:topLinePunct w:val="0"/>
              <w:autoSpaceDE/>
              <w:autoSpaceDN/>
              <w:bidi w:val="0"/>
              <w:adjustRightInd/>
              <w:spacing w:after="0" w:line="240" w:lineRule="auto"/>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中承诺的</w:t>
            </w:r>
            <w:r>
              <w:rPr>
                <w:rFonts w:hint="eastAsia" w:ascii="仿宋" w:hAnsi="仿宋" w:eastAsia="仿宋" w:cs="仿宋"/>
                <w:color w:val="auto"/>
                <w:highlight w:val="none"/>
                <w:lang w:eastAsia="zh-CN"/>
              </w:rPr>
              <w:t>响应有效期</w:t>
            </w:r>
            <w:r>
              <w:rPr>
                <w:rFonts w:hint="eastAsia" w:ascii="仿宋" w:hAnsi="仿宋" w:eastAsia="仿宋" w:cs="仿宋"/>
                <w:color w:val="auto"/>
                <w:highlight w:val="none"/>
              </w:rPr>
              <w:t>不少于</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中载明的</w:t>
            </w:r>
            <w:r>
              <w:rPr>
                <w:rFonts w:hint="eastAsia" w:ascii="仿宋" w:hAnsi="仿宋" w:eastAsia="仿宋" w:cs="仿宋"/>
                <w:color w:val="auto"/>
                <w:highlight w:val="none"/>
                <w:lang w:eastAsia="zh-CN"/>
              </w:rPr>
              <w:t>响应有效期</w:t>
            </w:r>
            <w:r>
              <w:rPr>
                <w:rFonts w:hint="eastAsia" w:ascii="仿宋" w:hAnsi="仿宋" w:eastAsia="仿宋" w:cs="仿宋"/>
                <w:color w:val="auto"/>
                <w:highlight w:val="none"/>
              </w:rPr>
              <w:t>。</w:t>
            </w:r>
          </w:p>
        </w:tc>
        <w:tc>
          <w:tcPr>
            <w:tcW w:w="3610" w:type="dxa"/>
            <w:vAlign w:val="center"/>
          </w:tcPr>
          <w:p w14:paraId="69262FD8">
            <w:pPr>
              <w:keepNext w:val="0"/>
              <w:keepLines w:val="0"/>
              <w:pageBreakBefore w:val="0"/>
              <w:widowControl/>
              <w:kinsoku/>
              <w:wordWrap/>
              <w:overflowPunct/>
              <w:topLinePunct w:val="0"/>
              <w:autoSpaceDE/>
              <w:autoSpaceDN/>
              <w:bidi w:val="0"/>
              <w:adjustRightInd/>
              <w:spacing w:after="0" w:line="240" w:lineRule="auto"/>
              <w:jc w:val="center"/>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响应函</w:t>
            </w:r>
          </w:p>
        </w:tc>
        <w:tc>
          <w:tcPr>
            <w:tcW w:w="1701" w:type="dxa"/>
            <w:vAlign w:val="center"/>
          </w:tcPr>
          <w:p w14:paraId="27734649">
            <w:pPr>
              <w:keepNext w:val="0"/>
              <w:keepLines w:val="0"/>
              <w:pageBreakBefore w:val="0"/>
              <w:widowControl/>
              <w:kinsoku/>
              <w:wordWrap/>
              <w:overflowPunct/>
              <w:topLinePunct w:val="0"/>
              <w:autoSpaceDE/>
              <w:autoSpaceDN/>
              <w:bidi w:val="0"/>
              <w:adjustRightInd/>
              <w:spacing w:after="0" w:line="240" w:lineRule="auto"/>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见</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第</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页</w:t>
            </w:r>
          </w:p>
        </w:tc>
      </w:tr>
      <w:tr w14:paraId="1D1F7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52" w:type="dxa"/>
            <w:vAlign w:val="center"/>
          </w:tcPr>
          <w:p w14:paraId="2306C8D1">
            <w:pPr>
              <w:keepNext w:val="0"/>
              <w:keepLines w:val="0"/>
              <w:pageBreakBefore w:val="0"/>
              <w:widowControl/>
              <w:kinsoku/>
              <w:wordWrap/>
              <w:overflowPunct/>
              <w:topLinePunct w:val="0"/>
              <w:autoSpaceDE/>
              <w:autoSpaceDN/>
              <w:bidi w:val="0"/>
              <w:adjustRightInd/>
              <w:spacing w:after="0" w:line="240" w:lineRule="auto"/>
              <w:jc w:val="center"/>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3</w:t>
            </w:r>
          </w:p>
        </w:tc>
        <w:tc>
          <w:tcPr>
            <w:tcW w:w="2734" w:type="dxa"/>
            <w:vAlign w:val="center"/>
          </w:tcPr>
          <w:p w14:paraId="1914C068">
            <w:pPr>
              <w:keepNext w:val="0"/>
              <w:keepLines w:val="0"/>
              <w:pageBreakBefore w:val="0"/>
              <w:widowControl/>
              <w:kinsoku/>
              <w:wordWrap/>
              <w:overflowPunct/>
              <w:topLinePunct w:val="0"/>
              <w:autoSpaceDE/>
              <w:autoSpaceDN/>
              <w:bidi w:val="0"/>
              <w:adjustRightInd/>
              <w:spacing w:after="0" w:line="240" w:lineRule="auto"/>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满足</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的其它实质性要求。</w:t>
            </w:r>
          </w:p>
        </w:tc>
        <w:tc>
          <w:tcPr>
            <w:tcW w:w="3610" w:type="dxa"/>
            <w:vAlign w:val="center"/>
          </w:tcPr>
          <w:p w14:paraId="687BE77B">
            <w:pPr>
              <w:keepNext w:val="0"/>
              <w:keepLines w:val="0"/>
              <w:pageBreakBefore w:val="0"/>
              <w:widowControl/>
              <w:kinsoku/>
              <w:wordWrap/>
              <w:overflowPunct/>
              <w:topLinePunct w:val="0"/>
              <w:autoSpaceDE/>
              <w:autoSpaceDN/>
              <w:bidi w:val="0"/>
              <w:adjustRightInd/>
              <w:spacing w:after="0" w:line="240" w:lineRule="auto"/>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其它实质性要求相应的材料（“▲” 系指实质性要求条款，</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无其它实质性要求的，无需提供）</w:t>
            </w:r>
          </w:p>
        </w:tc>
        <w:tc>
          <w:tcPr>
            <w:tcW w:w="1701" w:type="dxa"/>
            <w:vAlign w:val="center"/>
          </w:tcPr>
          <w:p w14:paraId="7BAAC4E9">
            <w:pPr>
              <w:keepNext w:val="0"/>
              <w:keepLines w:val="0"/>
              <w:pageBreakBefore w:val="0"/>
              <w:widowControl/>
              <w:kinsoku/>
              <w:wordWrap/>
              <w:overflowPunct/>
              <w:topLinePunct w:val="0"/>
              <w:autoSpaceDE/>
              <w:autoSpaceDN/>
              <w:bidi w:val="0"/>
              <w:adjustRightInd/>
              <w:spacing w:after="0" w:line="240" w:lineRule="auto"/>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见</w:t>
            </w:r>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第</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页</w:t>
            </w:r>
          </w:p>
        </w:tc>
      </w:tr>
    </w:tbl>
    <w:p w14:paraId="4AF9D521">
      <w:pPr>
        <w:rPr>
          <w:rFonts w:hint="eastAsia" w:ascii="仿宋" w:hAnsi="仿宋" w:eastAsia="仿宋" w:cs="仿宋"/>
          <w:color w:val="auto"/>
          <w:highlight w:val="none"/>
        </w:rPr>
      </w:pPr>
      <w:r>
        <w:rPr>
          <w:rFonts w:hint="eastAsia" w:ascii="仿宋" w:hAnsi="仿宋" w:eastAsia="仿宋" w:cs="仿宋"/>
          <w:color w:val="auto"/>
          <w:highlight w:val="none"/>
        </w:rPr>
        <w:t>注：按本格式和要求提供。</w:t>
      </w:r>
    </w:p>
    <w:p w14:paraId="58B9201E">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5740D2FB">
      <w:pPr>
        <w:pStyle w:val="4"/>
        <w:rPr>
          <w:rFonts w:hint="eastAsia" w:ascii="仿宋" w:hAnsi="仿宋" w:eastAsia="仿宋" w:cs="仿宋"/>
          <w:color w:val="auto"/>
          <w:highlight w:val="none"/>
        </w:rPr>
      </w:pPr>
      <w:r>
        <w:rPr>
          <w:rFonts w:hint="eastAsia" w:ascii="仿宋" w:hAnsi="仿宋" w:eastAsia="仿宋" w:cs="仿宋"/>
          <w:color w:val="auto"/>
          <w:highlight w:val="none"/>
          <w:lang w:eastAsia="zh-CN"/>
        </w:rPr>
        <w:t>五</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评审</w:t>
      </w:r>
      <w:r>
        <w:rPr>
          <w:rFonts w:hint="eastAsia" w:ascii="仿宋" w:hAnsi="仿宋" w:eastAsia="仿宋" w:cs="仿宋"/>
          <w:color w:val="auto"/>
          <w:highlight w:val="none"/>
        </w:rPr>
        <w:t>标准相应的商务技术资料</w:t>
      </w:r>
    </w:p>
    <w:p w14:paraId="2563B8FB">
      <w:pPr>
        <w:snapToGrid w:val="0"/>
        <w:spacing w:line="360" w:lineRule="auto"/>
        <w:rPr>
          <w:rFonts w:hint="eastAsia" w:ascii="仿宋" w:hAnsi="仿宋" w:eastAsia="仿宋" w:cs="仿宋"/>
          <w:b/>
          <w:color w:val="auto"/>
          <w:highlight w:val="none"/>
        </w:rPr>
      </w:pPr>
      <w:r>
        <w:rPr>
          <w:rFonts w:hint="eastAsia" w:ascii="仿宋" w:hAnsi="仿宋" w:eastAsia="仿宋" w:cs="仿宋"/>
          <w:b/>
          <w:color w:val="auto"/>
          <w:highlight w:val="none"/>
        </w:rPr>
        <w:t>（按</w:t>
      </w:r>
      <w:r>
        <w:rPr>
          <w:rFonts w:hint="eastAsia" w:ascii="仿宋" w:hAnsi="仿宋" w:eastAsia="仿宋" w:cs="仿宋"/>
          <w:b/>
          <w:color w:val="auto"/>
          <w:highlight w:val="none"/>
          <w:lang w:eastAsia="zh-CN"/>
        </w:rPr>
        <w:t>交易文件</w:t>
      </w:r>
      <w:r>
        <w:rPr>
          <w:rFonts w:hint="eastAsia" w:ascii="仿宋" w:hAnsi="仿宋" w:eastAsia="仿宋" w:cs="仿宋"/>
          <w:b/>
          <w:color w:val="auto"/>
          <w:highlight w:val="none"/>
        </w:rPr>
        <w:t>第四部分</w:t>
      </w:r>
      <w:r>
        <w:rPr>
          <w:rFonts w:hint="eastAsia" w:ascii="仿宋" w:hAnsi="仿宋" w:eastAsia="仿宋" w:cs="仿宋"/>
          <w:b/>
          <w:color w:val="auto"/>
          <w:highlight w:val="none"/>
          <w:lang w:eastAsia="zh-CN"/>
        </w:rPr>
        <w:t>评审</w:t>
      </w:r>
      <w:r>
        <w:rPr>
          <w:rFonts w:hint="eastAsia" w:ascii="仿宋" w:hAnsi="仿宋" w:eastAsia="仿宋" w:cs="仿宋"/>
          <w:b/>
          <w:color w:val="auto"/>
          <w:highlight w:val="none"/>
        </w:rPr>
        <w:t>办法前附表中“</w:t>
      </w:r>
      <w:r>
        <w:rPr>
          <w:rFonts w:hint="eastAsia" w:ascii="仿宋" w:hAnsi="仿宋" w:eastAsia="仿宋" w:cs="仿宋"/>
          <w:b/>
          <w:color w:val="auto"/>
          <w:highlight w:val="none"/>
          <w:lang w:eastAsia="zh-CN"/>
        </w:rPr>
        <w:t>响应文件</w:t>
      </w:r>
      <w:r>
        <w:rPr>
          <w:rFonts w:hint="eastAsia" w:ascii="仿宋" w:hAnsi="仿宋" w:eastAsia="仿宋" w:cs="仿宋"/>
          <w:b/>
          <w:color w:val="auto"/>
          <w:highlight w:val="none"/>
        </w:rPr>
        <w:t>中</w:t>
      </w:r>
      <w:r>
        <w:rPr>
          <w:rFonts w:hint="eastAsia" w:ascii="仿宋" w:hAnsi="仿宋" w:eastAsia="仿宋" w:cs="仿宋"/>
          <w:b/>
          <w:color w:val="auto"/>
          <w:highlight w:val="none"/>
          <w:lang w:eastAsia="zh-CN"/>
        </w:rPr>
        <w:t>评审</w:t>
      </w:r>
      <w:r>
        <w:rPr>
          <w:rFonts w:hint="eastAsia" w:ascii="仿宋" w:hAnsi="仿宋" w:eastAsia="仿宋" w:cs="仿宋"/>
          <w:b/>
          <w:color w:val="auto"/>
          <w:highlight w:val="none"/>
        </w:rPr>
        <w:t>标准相应的商务技术资料目录”提供资料。）</w:t>
      </w:r>
    </w:p>
    <w:p w14:paraId="27CC2DBB">
      <w:pPr>
        <w:spacing w:line="276" w:lineRule="auto"/>
        <w:rPr>
          <w:rFonts w:hint="eastAsia" w:ascii="仿宋" w:hAnsi="仿宋" w:eastAsia="仿宋" w:cs="仿宋"/>
          <w:b/>
          <w:color w:val="auto"/>
          <w:highlight w:val="none"/>
        </w:rPr>
      </w:pPr>
      <w:r>
        <w:rPr>
          <w:rFonts w:hint="eastAsia" w:ascii="仿宋" w:hAnsi="仿宋" w:eastAsia="仿宋" w:cs="仿宋"/>
          <w:b/>
          <w:color w:val="auto"/>
          <w:highlight w:val="none"/>
        </w:rPr>
        <w:br w:type="page"/>
      </w:r>
    </w:p>
    <w:p w14:paraId="2A06646C">
      <w:pPr>
        <w:pStyle w:val="4"/>
        <w:keepNext w:val="0"/>
        <w:keepLines w:val="0"/>
        <w:pageBreakBefore w:val="0"/>
        <w:widowControl/>
        <w:kinsoku/>
        <w:wordWrap/>
        <w:overflowPunct/>
        <w:topLinePunct w:val="0"/>
        <w:autoSpaceDE/>
        <w:autoSpaceDN/>
        <w:bidi w:val="0"/>
        <w:adjustRightInd/>
        <w:snapToGrid/>
        <w:spacing w:before="0" w:after="0" w:line="240" w:lineRule="auto"/>
        <w:ind w:right="0"/>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六</w:t>
      </w:r>
      <w:r>
        <w:rPr>
          <w:rFonts w:hint="eastAsia" w:ascii="仿宋" w:hAnsi="仿宋" w:eastAsia="仿宋" w:cs="仿宋"/>
          <w:color w:val="auto"/>
          <w:highlight w:val="none"/>
        </w:rPr>
        <w:t>、商务技术偏离表</w:t>
      </w:r>
    </w:p>
    <w:tbl>
      <w:tblPr>
        <w:tblStyle w:val="27"/>
        <w:tblW w:w="90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317"/>
        <w:gridCol w:w="3546"/>
        <w:gridCol w:w="1276"/>
      </w:tblGrid>
      <w:tr w14:paraId="6A0BE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19D2275F">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b/>
                <w:bCs/>
                <w:color w:val="auto"/>
                <w:highlight w:val="none"/>
              </w:rPr>
            </w:pPr>
            <w:r>
              <w:rPr>
                <w:rFonts w:hint="eastAsia" w:ascii="仿宋" w:hAnsi="仿宋" w:eastAsia="仿宋" w:cs="仿宋"/>
                <w:b/>
                <w:bCs/>
                <w:color w:val="auto"/>
                <w:highlight w:val="none"/>
              </w:rPr>
              <w:t>序号</w:t>
            </w:r>
          </w:p>
        </w:tc>
        <w:tc>
          <w:tcPr>
            <w:tcW w:w="3317" w:type="dxa"/>
          </w:tcPr>
          <w:p w14:paraId="27AEA593">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b/>
                <w:bCs/>
                <w:color w:val="auto"/>
                <w:highlight w:val="none"/>
              </w:rPr>
            </w:pPr>
            <w:r>
              <w:rPr>
                <w:rFonts w:hint="eastAsia" w:ascii="仿宋" w:hAnsi="仿宋" w:eastAsia="仿宋" w:cs="仿宋"/>
                <w:b/>
                <w:bCs/>
                <w:color w:val="auto"/>
                <w:highlight w:val="none"/>
                <w:lang w:eastAsia="zh-CN"/>
              </w:rPr>
              <w:t>交易文件</w:t>
            </w:r>
            <w:r>
              <w:rPr>
                <w:rFonts w:hint="eastAsia" w:ascii="仿宋" w:hAnsi="仿宋" w:eastAsia="仿宋" w:cs="仿宋"/>
                <w:b/>
                <w:bCs/>
                <w:color w:val="auto"/>
                <w:highlight w:val="none"/>
              </w:rPr>
              <w:t>章节及具体内容</w:t>
            </w:r>
          </w:p>
        </w:tc>
        <w:tc>
          <w:tcPr>
            <w:tcW w:w="3546" w:type="dxa"/>
          </w:tcPr>
          <w:p w14:paraId="4F873C1C">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b/>
                <w:bCs/>
                <w:color w:val="auto"/>
                <w:highlight w:val="none"/>
              </w:rPr>
            </w:pPr>
            <w:r>
              <w:rPr>
                <w:rFonts w:hint="eastAsia" w:ascii="仿宋" w:hAnsi="仿宋" w:eastAsia="仿宋" w:cs="仿宋"/>
                <w:b/>
                <w:bCs/>
                <w:color w:val="auto"/>
                <w:highlight w:val="none"/>
                <w:lang w:eastAsia="zh-CN"/>
              </w:rPr>
              <w:t>响应文件</w:t>
            </w:r>
            <w:r>
              <w:rPr>
                <w:rFonts w:hint="eastAsia" w:ascii="仿宋" w:hAnsi="仿宋" w:eastAsia="仿宋" w:cs="仿宋"/>
                <w:b/>
                <w:bCs/>
                <w:color w:val="auto"/>
                <w:highlight w:val="none"/>
              </w:rPr>
              <w:t>章节及具体内容</w:t>
            </w:r>
          </w:p>
        </w:tc>
        <w:tc>
          <w:tcPr>
            <w:tcW w:w="1276" w:type="dxa"/>
          </w:tcPr>
          <w:p w14:paraId="5D5FD72E">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b/>
                <w:bCs/>
                <w:color w:val="auto"/>
                <w:highlight w:val="none"/>
              </w:rPr>
            </w:pPr>
            <w:r>
              <w:rPr>
                <w:rFonts w:hint="eastAsia" w:ascii="仿宋" w:hAnsi="仿宋" w:eastAsia="仿宋" w:cs="仿宋"/>
                <w:b/>
                <w:bCs/>
                <w:color w:val="auto"/>
                <w:highlight w:val="none"/>
              </w:rPr>
              <w:t>偏离说明</w:t>
            </w:r>
          </w:p>
        </w:tc>
      </w:tr>
      <w:tr w14:paraId="409B4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49CA01FD">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1</w:t>
            </w:r>
          </w:p>
        </w:tc>
        <w:tc>
          <w:tcPr>
            <w:tcW w:w="3317" w:type="dxa"/>
          </w:tcPr>
          <w:p w14:paraId="3FCFFDFE">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b/>
                <w:color w:val="auto"/>
                <w:sz w:val="32"/>
                <w:szCs w:val="32"/>
                <w:highlight w:val="none"/>
              </w:rPr>
            </w:pPr>
          </w:p>
        </w:tc>
        <w:tc>
          <w:tcPr>
            <w:tcW w:w="3546" w:type="dxa"/>
          </w:tcPr>
          <w:p w14:paraId="4CD6B069">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b/>
                <w:color w:val="auto"/>
                <w:sz w:val="32"/>
                <w:szCs w:val="32"/>
                <w:highlight w:val="none"/>
              </w:rPr>
            </w:pPr>
          </w:p>
        </w:tc>
        <w:tc>
          <w:tcPr>
            <w:tcW w:w="1276" w:type="dxa"/>
          </w:tcPr>
          <w:p w14:paraId="2308F565">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b/>
                <w:color w:val="auto"/>
                <w:sz w:val="32"/>
                <w:szCs w:val="32"/>
                <w:highlight w:val="none"/>
              </w:rPr>
            </w:pPr>
          </w:p>
        </w:tc>
      </w:tr>
      <w:tr w14:paraId="7BCB9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7F301783">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2</w:t>
            </w:r>
          </w:p>
        </w:tc>
        <w:tc>
          <w:tcPr>
            <w:tcW w:w="3317" w:type="dxa"/>
          </w:tcPr>
          <w:p w14:paraId="50A2B728">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b/>
                <w:color w:val="auto"/>
                <w:sz w:val="32"/>
                <w:szCs w:val="32"/>
                <w:highlight w:val="none"/>
              </w:rPr>
            </w:pPr>
          </w:p>
        </w:tc>
        <w:tc>
          <w:tcPr>
            <w:tcW w:w="3546" w:type="dxa"/>
          </w:tcPr>
          <w:p w14:paraId="578E2E0E">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b/>
                <w:color w:val="auto"/>
                <w:sz w:val="32"/>
                <w:szCs w:val="32"/>
                <w:highlight w:val="none"/>
              </w:rPr>
            </w:pPr>
          </w:p>
        </w:tc>
        <w:tc>
          <w:tcPr>
            <w:tcW w:w="1276" w:type="dxa"/>
          </w:tcPr>
          <w:p w14:paraId="2F4CBDFD">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b/>
                <w:color w:val="auto"/>
                <w:sz w:val="32"/>
                <w:szCs w:val="32"/>
                <w:highlight w:val="none"/>
              </w:rPr>
            </w:pPr>
          </w:p>
        </w:tc>
      </w:tr>
      <w:tr w14:paraId="79836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5E7E5791">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w:t>
            </w:r>
          </w:p>
        </w:tc>
        <w:tc>
          <w:tcPr>
            <w:tcW w:w="3317" w:type="dxa"/>
          </w:tcPr>
          <w:p w14:paraId="3A025133">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b/>
                <w:color w:val="auto"/>
                <w:sz w:val="32"/>
                <w:szCs w:val="32"/>
                <w:highlight w:val="none"/>
              </w:rPr>
            </w:pPr>
          </w:p>
        </w:tc>
        <w:tc>
          <w:tcPr>
            <w:tcW w:w="3546" w:type="dxa"/>
          </w:tcPr>
          <w:p w14:paraId="6CCB2D3E">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b/>
                <w:color w:val="auto"/>
                <w:sz w:val="32"/>
                <w:szCs w:val="32"/>
                <w:highlight w:val="none"/>
              </w:rPr>
            </w:pPr>
          </w:p>
        </w:tc>
        <w:tc>
          <w:tcPr>
            <w:tcW w:w="1276" w:type="dxa"/>
          </w:tcPr>
          <w:p w14:paraId="194C611D">
            <w:pPr>
              <w:keepNext w:val="0"/>
              <w:keepLines w:val="0"/>
              <w:pageBreakBefore w:val="0"/>
              <w:widowControl/>
              <w:kinsoku/>
              <w:wordWrap/>
              <w:overflowPunct/>
              <w:topLinePunct w:val="0"/>
              <w:autoSpaceDE/>
              <w:autoSpaceDN/>
              <w:bidi w:val="0"/>
              <w:adjustRightInd/>
              <w:snapToGrid/>
              <w:spacing w:after="0" w:line="240" w:lineRule="auto"/>
              <w:ind w:right="0"/>
              <w:jc w:val="center"/>
              <w:textAlignment w:val="auto"/>
              <w:rPr>
                <w:rFonts w:hint="eastAsia" w:ascii="仿宋" w:hAnsi="仿宋" w:eastAsia="仿宋" w:cs="仿宋"/>
                <w:b/>
                <w:color w:val="auto"/>
                <w:sz w:val="32"/>
                <w:szCs w:val="32"/>
                <w:highlight w:val="none"/>
              </w:rPr>
            </w:pPr>
          </w:p>
        </w:tc>
      </w:tr>
    </w:tbl>
    <w:p w14:paraId="11F59B3C">
      <w:pPr>
        <w:keepNext w:val="0"/>
        <w:keepLines w:val="0"/>
        <w:pageBreakBefore w:val="0"/>
        <w:widowControl/>
        <w:kinsoku/>
        <w:wordWrap/>
        <w:overflowPunct/>
        <w:topLinePunct w:val="0"/>
        <w:autoSpaceDE/>
        <w:autoSpaceDN/>
        <w:bidi w:val="0"/>
        <w:adjustRightInd/>
        <w:snapToGrid/>
        <w:spacing w:after="0" w:line="240" w:lineRule="auto"/>
        <w:ind w:right="0"/>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保证：除商务技术偏离表列出的偏离外，</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响应</w:t>
      </w:r>
      <w:r>
        <w:rPr>
          <w:rFonts w:hint="eastAsia" w:ascii="仿宋" w:hAnsi="仿宋" w:eastAsia="仿宋" w:cs="仿宋"/>
          <w:color w:val="auto"/>
          <w:highlight w:val="none"/>
          <w:lang w:eastAsia="zh-CN"/>
        </w:rPr>
        <w:t>交易文件</w:t>
      </w:r>
      <w:r>
        <w:rPr>
          <w:rFonts w:hint="eastAsia" w:ascii="仿宋" w:hAnsi="仿宋" w:eastAsia="仿宋" w:cs="仿宋"/>
          <w:color w:val="auto"/>
          <w:highlight w:val="none"/>
        </w:rPr>
        <w:t>的全部要求</w:t>
      </w:r>
    </w:p>
    <w:p w14:paraId="2C645BE7">
      <w:pPr>
        <w:keepNext w:val="0"/>
        <w:keepLines w:val="0"/>
        <w:pageBreakBefore w:val="0"/>
        <w:widowControl/>
        <w:kinsoku/>
        <w:wordWrap/>
        <w:overflowPunct/>
        <w:topLinePunct w:val="0"/>
        <w:autoSpaceDE/>
        <w:autoSpaceDN/>
        <w:bidi w:val="0"/>
        <w:adjustRightInd/>
        <w:snapToGrid/>
        <w:spacing w:after="0" w:line="240" w:lineRule="auto"/>
        <w:ind w:right="0"/>
        <w:textAlignment w:val="auto"/>
        <w:rPr>
          <w:rFonts w:hint="eastAsia" w:ascii="仿宋" w:hAnsi="仿宋" w:eastAsia="仿宋" w:cs="仿宋"/>
          <w:color w:val="auto"/>
          <w:highlight w:val="none"/>
        </w:rPr>
      </w:pPr>
      <w:r>
        <w:rPr>
          <w:rFonts w:hint="eastAsia" w:ascii="仿宋" w:hAnsi="仿宋" w:eastAsia="仿宋" w:cs="仿宋"/>
          <w:color w:val="auto"/>
          <w:highlight w:val="none"/>
        </w:rPr>
        <w:t>注：按本格式和要求提供。</w:t>
      </w:r>
    </w:p>
    <w:p w14:paraId="0ED0B2C1">
      <w:pPr>
        <w:spacing w:line="276" w:lineRule="auto"/>
        <w:rPr>
          <w:rFonts w:hint="eastAsia" w:ascii="仿宋" w:hAnsi="仿宋" w:eastAsia="仿宋" w:cs="仿宋"/>
          <w:b/>
          <w:color w:val="auto"/>
          <w:highlight w:val="none"/>
        </w:rPr>
      </w:pPr>
      <w:r>
        <w:rPr>
          <w:rFonts w:hint="eastAsia" w:ascii="仿宋" w:hAnsi="仿宋" w:eastAsia="仿宋" w:cs="仿宋"/>
          <w:b/>
          <w:color w:val="auto"/>
          <w:highlight w:val="none"/>
        </w:rPr>
        <w:br w:type="page"/>
      </w:r>
    </w:p>
    <w:p w14:paraId="5AC7AB55">
      <w:pPr>
        <w:pStyle w:val="4"/>
        <w:keepNext w:val="0"/>
        <w:keepLines w:val="0"/>
        <w:pageBreakBefore w:val="0"/>
        <w:widowControl/>
        <w:kinsoku/>
        <w:wordWrap/>
        <w:overflowPunct/>
        <w:topLinePunct w:val="0"/>
        <w:autoSpaceDE/>
        <w:autoSpaceDN/>
        <w:bidi w:val="0"/>
        <w:adjustRightInd/>
        <w:snapToGrid/>
        <w:spacing w:before="0" w:after="0" w:line="360" w:lineRule="auto"/>
        <w:ind w:firstLine="562" w:firstLineChars="200"/>
        <w:textAlignment w:val="auto"/>
        <w:rPr>
          <w:rFonts w:hint="eastAsia" w:ascii="仿宋" w:hAnsi="仿宋" w:eastAsia="仿宋" w:cs="仿宋"/>
          <w:color w:val="auto"/>
          <w:highlight w:val="none"/>
        </w:rPr>
      </w:pPr>
      <w:r>
        <w:rPr>
          <w:rFonts w:hint="eastAsia" w:ascii="仿宋" w:hAnsi="仿宋" w:eastAsia="仿宋" w:cs="仿宋"/>
          <w:bCs/>
          <w:color w:val="auto"/>
          <w:highlight w:val="none"/>
        </w:rPr>
        <w:t>九</w:t>
      </w:r>
      <w:r>
        <w:rPr>
          <w:rFonts w:hint="eastAsia" w:ascii="仿宋" w:hAnsi="仿宋" w:eastAsia="仿宋" w:cs="仿宋"/>
          <w:color w:val="auto"/>
          <w:highlight w:val="none"/>
        </w:rPr>
        <w:t>、</w:t>
      </w:r>
      <w:r>
        <w:rPr>
          <w:rFonts w:hint="eastAsia" w:ascii="仿宋" w:hAnsi="仿宋" w:eastAsia="仿宋" w:cs="仿宋"/>
          <w:color w:val="auto"/>
          <w:highlight w:val="none"/>
          <w:lang w:val="zh-CN"/>
        </w:rPr>
        <w:t>供应商廉洁自律承诺书</w:t>
      </w:r>
    </w:p>
    <w:p w14:paraId="731EF4E9">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交易人</w:t>
      </w:r>
      <w:r>
        <w:rPr>
          <w:rFonts w:hint="eastAsia" w:ascii="仿宋" w:hAnsi="仿宋" w:eastAsia="仿宋" w:cs="仿宋"/>
          <w:color w:val="auto"/>
          <w:sz w:val="24"/>
          <w:highlight w:val="none"/>
          <w:u w:val="single"/>
        </w:rPr>
        <w:t>）、（采购代理机构）</w:t>
      </w:r>
      <w:r>
        <w:rPr>
          <w:rFonts w:hint="eastAsia" w:ascii="仿宋" w:hAnsi="仿宋" w:eastAsia="仿宋" w:cs="仿宋"/>
          <w:color w:val="auto"/>
          <w:kern w:val="0"/>
          <w:sz w:val="24"/>
          <w:highlight w:val="none"/>
          <w:lang w:val="zh-CN"/>
        </w:rPr>
        <w:t>：</w:t>
      </w:r>
    </w:p>
    <w:p w14:paraId="0EBDDFCB">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w:t>
      </w:r>
      <w:r>
        <w:rPr>
          <w:rFonts w:hint="eastAsia" w:ascii="仿宋" w:hAnsi="仿宋" w:eastAsia="仿宋" w:cs="仿宋"/>
          <w:color w:val="auto"/>
          <w:kern w:val="0"/>
          <w:sz w:val="24"/>
          <w:highlight w:val="none"/>
          <w:lang w:val="en-US" w:eastAsia="zh-CN"/>
        </w:rPr>
        <w:t>成交</w:t>
      </w:r>
      <w:r>
        <w:rPr>
          <w:rFonts w:hint="eastAsia" w:ascii="仿宋" w:hAnsi="仿宋" w:eastAsia="仿宋" w:cs="仿宋"/>
          <w:color w:val="auto"/>
          <w:kern w:val="0"/>
          <w:sz w:val="24"/>
          <w:highlight w:val="none"/>
          <w:lang w:val="zh-CN"/>
        </w:rPr>
        <w:t>后，我们将严格遵守国家法律法规要求，并郑重承诺：</w:t>
      </w:r>
    </w:p>
    <w:p w14:paraId="59684786">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48D1EEF3">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08EA2CC8">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26EFDA8A">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50792353">
      <w:pPr>
        <w:autoSpaceDE w:val="0"/>
        <w:autoSpaceDN w:val="0"/>
        <w:spacing w:line="360" w:lineRule="auto"/>
        <w:ind w:left="550"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6B565A06">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579D703E">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六、严格遵守相关法律法规，诚实守信，合法经营，坚决抵制各种违法违纪行为。 </w:t>
      </w:r>
    </w:p>
    <w:p w14:paraId="280C7EA8">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w:t>
      </w:r>
      <w:r>
        <w:rPr>
          <w:rFonts w:hint="eastAsia" w:ascii="仿宋" w:hAnsi="仿宋" w:eastAsia="仿宋" w:cs="仿宋"/>
          <w:color w:val="auto"/>
          <w:kern w:val="0"/>
          <w:sz w:val="24"/>
          <w:highlight w:val="none"/>
          <w:lang w:val="en-US" w:eastAsia="zh-CN"/>
        </w:rPr>
        <w:t>成交</w:t>
      </w:r>
      <w:r>
        <w:rPr>
          <w:rFonts w:hint="eastAsia" w:ascii="仿宋" w:hAnsi="仿宋" w:eastAsia="仿宋" w:cs="仿宋"/>
          <w:color w:val="auto"/>
          <w:kern w:val="0"/>
          <w:sz w:val="24"/>
          <w:highlight w:val="none"/>
          <w:lang w:val="zh-CN"/>
        </w:rPr>
        <w:t>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27C42BA8">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lang w:val="zh-CN"/>
        </w:rPr>
      </w:pPr>
    </w:p>
    <w:p w14:paraId="288F58CC">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lang w:val="zh-CN"/>
        </w:rPr>
      </w:pPr>
    </w:p>
    <w:p w14:paraId="5E55E21B">
      <w:pPr>
        <w:keepNext w:val="0"/>
        <w:keepLines w:val="0"/>
        <w:pageBreakBefore w:val="0"/>
        <w:widowControl/>
        <w:kinsoku/>
        <w:wordWrap/>
        <w:overflowPunct/>
        <w:topLinePunct w:val="0"/>
        <w:autoSpaceDE/>
        <w:autoSpaceDN/>
        <w:bidi w:val="0"/>
        <w:adjustRightInd/>
        <w:snapToGrid/>
        <w:spacing w:after="0" w:line="360" w:lineRule="auto"/>
        <w:ind w:firstLine="480" w:firstLineChars="200"/>
        <w:jc w:val="right"/>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供应商名称（</w:t>
      </w:r>
      <w:r>
        <w:rPr>
          <w:rFonts w:hint="eastAsia" w:ascii="仿宋" w:hAnsi="仿宋" w:eastAsia="仿宋" w:cs="仿宋"/>
          <w:color w:val="auto"/>
          <w:highlight w:val="none"/>
        </w:rPr>
        <w:t>电子签名</w:t>
      </w:r>
      <w:r>
        <w:rPr>
          <w:rFonts w:hint="eastAsia" w:ascii="仿宋" w:hAnsi="仿宋" w:eastAsia="仿宋" w:cs="仿宋"/>
          <w:color w:val="auto"/>
          <w:highlight w:val="none"/>
          <w:lang w:val="zh-CN"/>
        </w:rPr>
        <w:t xml:space="preserve">）： </w:t>
      </w:r>
    </w:p>
    <w:p w14:paraId="1A680B57">
      <w:pPr>
        <w:keepNext w:val="0"/>
        <w:keepLines w:val="0"/>
        <w:pageBreakBefore w:val="0"/>
        <w:widowControl/>
        <w:kinsoku/>
        <w:wordWrap/>
        <w:overflowPunct/>
        <w:topLinePunct w:val="0"/>
        <w:autoSpaceDE/>
        <w:autoSpaceDN/>
        <w:bidi w:val="0"/>
        <w:adjustRightInd/>
        <w:snapToGrid/>
        <w:spacing w:after="0" w:line="360" w:lineRule="auto"/>
        <w:ind w:firstLine="480" w:firstLineChars="200"/>
        <w:jc w:val="right"/>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日期</w:t>
      </w:r>
      <w:r>
        <w:rPr>
          <w:rFonts w:hint="eastAsia" w:ascii="仿宋" w:hAnsi="仿宋" w:eastAsia="仿宋" w:cs="仿宋"/>
          <w:color w:val="auto"/>
          <w:highlight w:val="none"/>
        </w:rPr>
        <w:t>：</w:t>
      </w:r>
      <w:r>
        <w:rPr>
          <w:rFonts w:hint="eastAsia" w:ascii="仿宋" w:hAnsi="仿宋" w:eastAsia="仿宋" w:cs="仿宋"/>
          <w:color w:val="auto"/>
          <w:highlight w:val="none"/>
          <w:lang w:val="zh-CN"/>
        </w:rPr>
        <w:t xml:space="preserve">   年   月   日</w:t>
      </w:r>
    </w:p>
    <w:p w14:paraId="10CF6568">
      <w:pPr>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b/>
          <w:bCs/>
          <w:color w:val="auto"/>
          <w:highlight w:val="none"/>
        </w:rPr>
      </w:pPr>
    </w:p>
    <w:p w14:paraId="5C53B8C8">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注：按本格式和要求提供。</w:t>
      </w:r>
    </w:p>
    <w:p w14:paraId="48253D68">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2DB7DA35">
      <w:pPr>
        <w:pStyle w:val="4"/>
        <w:keepNext w:val="0"/>
        <w:keepLines w:val="0"/>
        <w:pageBreakBefore w:val="0"/>
        <w:widowControl/>
        <w:kinsoku/>
        <w:wordWrap/>
        <w:overflowPunct/>
        <w:topLinePunct w:val="0"/>
        <w:autoSpaceDE/>
        <w:autoSpaceDN/>
        <w:bidi w:val="0"/>
        <w:adjustRightInd/>
        <w:snapToGrid/>
        <w:spacing w:before="0" w:after="0" w:line="360" w:lineRule="auto"/>
        <w:ind w:firstLine="56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报价文件部分</w:t>
      </w:r>
    </w:p>
    <w:p w14:paraId="161348CC">
      <w:pPr>
        <w:keepNext w:val="0"/>
        <w:keepLines w:val="0"/>
        <w:pageBreakBefore w:val="0"/>
        <w:widowControl/>
        <w:kinsoku/>
        <w:wordWrap/>
        <w:overflowPunct/>
        <w:topLinePunct w:val="0"/>
        <w:autoSpaceDE/>
        <w:autoSpaceDN/>
        <w:bidi w:val="0"/>
        <w:adjustRightInd/>
        <w:snapToGrid/>
        <w:spacing w:after="0" w:line="360" w:lineRule="auto"/>
        <w:ind w:firstLine="800" w:firstLineChars="200"/>
        <w:jc w:val="center"/>
        <w:textAlignment w:val="auto"/>
        <w:rPr>
          <w:rFonts w:hint="eastAsia" w:ascii="仿宋" w:hAnsi="仿宋" w:eastAsia="仿宋" w:cs="仿宋"/>
          <w:color w:val="auto"/>
          <w:sz w:val="40"/>
          <w:highlight w:val="none"/>
        </w:rPr>
      </w:pPr>
      <w:r>
        <w:rPr>
          <w:rFonts w:hint="eastAsia" w:ascii="仿宋" w:hAnsi="仿宋" w:eastAsia="仿宋" w:cs="仿宋"/>
          <w:color w:val="auto"/>
          <w:sz w:val="40"/>
          <w:highlight w:val="none"/>
        </w:rPr>
        <w:t>目录</w:t>
      </w:r>
    </w:p>
    <w:p w14:paraId="563A00B3">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（1）</w:t>
      </w:r>
      <w:r>
        <w:rPr>
          <w:rFonts w:hint="eastAsia" w:ascii="仿宋" w:hAnsi="仿宋" w:eastAsia="仿宋" w:cs="仿宋"/>
          <w:color w:val="auto"/>
          <w:highlight w:val="none"/>
          <w:lang w:eastAsia="zh-CN"/>
        </w:rPr>
        <w:t>交易一览标</w:t>
      </w:r>
      <w:r>
        <w:rPr>
          <w:rFonts w:hint="eastAsia" w:ascii="仿宋" w:hAnsi="仿宋" w:eastAsia="仿宋" w:cs="仿宋"/>
          <w:color w:val="auto"/>
          <w:highlight w:val="none"/>
        </w:rPr>
        <w:t>（报价表）…………………………………………………（页码）</w:t>
      </w:r>
    </w:p>
    <w:p w14:paraId="26A80D4D">
      <w:pPr>
        <w:snapToGrid w:val="0"/>
        <w:spacing w:line="360" w:lineRule="auto"/>
        <w:ind w:right="480"/>
        <w:jc w:val="center"/>
        <w:rPr>
          <w:rFonts w:hint="eastAsia" w:ascii="仿宋" w:hAnsi="仿宋" w:eastAsia="仿宋" w:cs="仿宋"/>
          <w:b/>
          <w:color w:val="auto"/>
          <w:sz w:val="32"/>
          <w:szCs w:val="32"/>
          <w:highlight w:val="none"/>
        </w:rPr>
      </w:pPr>
    </w:p>
    <w:p w14:paraId="4639EFA4">
      <w:pPr>
        <w:pStyle w:val="78"/>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7" w:type="default"/>
          <w:footerReference r:id="rId8" w:type="default"/>
          <w:pgSz w:w="11906" w:h="16838"/>
          <w:pgMar w:top="1440" w:right="1700" w:bottom="1440" w:left="1800" w:header="851" w:footer="992" w:gutter="0"/>
          <w:cols w:space="425" w:num="1"/>
          <w:docGrid w:type="lines" w:linePitch="312" w:charSpace="0"/>
        </w:sectPr>
      </w:pPr>
    </w:p>
    <w:p w14:paraId="3186A624">
      <w:pPr>
        <w:pStyle w:val="4"/>
        <w:keepNext w:val="0"/>
        <w:keepLines w:val="0"/>
        <w:pageBreakBefore w:val="0"/>
        <w:widowControl/>
        <w:kinsoku/>
        <w:wordWrap/>
        <w:overflowPunct/>
        <w:topLinePunct w:val="0"/>
        <w:autoSpaceDE/>
        <w:autoSpaceDN/>
        <w:bidi w:val="0"/>
        <w:adjustRightInd/>
        <w:snapToGrid/>
        <w:spacing w:before="0" w:after="0" w:line="360" w:lineRule="auto"/>
        <w:ind w:firstLine="562"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一、</w:t>
      </w:r>
      <w:r>
        <w:rPr>
          <w:rFonts w:hint="eastAsia" w:ascii="仿宋" w:hAnsi="仿宋" w:eastAsia="仿宋" w:cs="仿宋"/>
          <w:color w:val="auto"/>
          <w:highlight w:val="none"/>
          <w:lang w:eastAsia="zh-CN"/>
        </w:rPr>
        <w:t>交易一览标</w:t>
      </w:r>
      <w:r>
        <w:rPr>
          <w:rFonts w:hint="eastAsia" w:ascii="仿宋" w:hAnsi="仿宋" w:eastAsia="仿宋" w:cs="仿宋"/>
          <w:color w:val="auto"/>
          <w:highlight w:val="none"/>
        </w:rPr>
        <w:t>（报价表）</w:t>
      </w:r>
    </w:p>
    <w:p w14:paraId="6DC31C5B">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）、（采购代理机构）</w:t>
      </w:r>
      <w:r>
        <w:rPr>
          <w:rFonts w:hint="eastAsia" w:ascii="仿宋" w:hAnsi="仿宋" w:eastAsia="仿宋" w:cs="仿宋"/>
          <w:color w:val="auto"/>
          <w:highlight w:val="none"/>
          <w:lang w:val="zh-CN"/>
        </w:rPr>
        <w:t>：</w:t>
      </w:r>
    </w:p>
    <w:p w14:paraId="6A59F1A7">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按你方交易文件要求，我们，本响应文件签字方，谨此向你方发出要约如下：如你方接受本投标，我方承诺按照如下交易一览标（报价表）的价格完成</w:t>
      </w:r>
      <w:r>
        <w:rPr>
          <w:rFonts w:hint="eastAsia" w:ascii="仿宋" w:hAnsi="仿宋" w:eastAsia="仿宋" w:cs="仿宋"/>
          <w:color w:val="auto"/>
          <w:highlight w:val="none"/>
        </w:rPr>
        <w:t>（项目名称）</w:t>
      </w:r>
      <w:r>
        <w:rPr>
          <w:rFonts w:hint="eastAsia" w:ascii="仿宋" w:hAnsi="仿宋" w:eastAsia="仿宋" w:cs="仿宋"/>
          <w:color w:val="auto"/>
          <w:highlight w:val="none"/>
          <w:lang w:val="zh-CN"/>
        </w:rPr>
        <w:t>【项目编号：</w:t>
      </w:r>
      <w:r>
        <w:rPr>
          <w:rFonts w:hint="eastAsia" w:ascii="仿宋" w:hAnsi="仿宋" w:eastAsia="仿宋" w:cs="仿宋"/>
          <w:color w:val="auto"/>
          <w:highlight w:val="none"/>
        </w:rPr>
        <w:t>（采购编号）】的实施</w:t>
      </w:r>
      <w:r>
        <w:rPr>
          <w:rFonts w:hint="eastAsia" w:ascii="仿宋" w:hAnsi="仿宋" w:eastAsia="仿宋" w:cs="仿宋"/>
          <w:color w:val="auto"/>
          <w:highlight w:val="none"/>
          <w:lang w:val="zh-CN"/>
        </w:rPr>
        <w:t>。</w:t>
      </w:r>
    </w:p>
    <w:p w14:paraId="45F1D1FB">
      <w:pPr>
        <w:snapToGrid w:val="0"/>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交易一览表（报价表）(单位均为人民币元)</w:t>
      </w:r>
    </w:p>
    <w:tbl>
      <w:tblPr>
        <w:tblStyle w:val="26"/>
        <w:tblW w:w="138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2246"/>
        <w:gridCol w:w="2300"/>
        <w:gridCol w:w="2415"/>
        <w:gridCol w:w="1350"/>
        <w:gridCol w:w="3030"/>
        <w:gridCol w:w="1785"/>
      </w:tblGrid>
      <w:tr w14:paraId="59300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27" w:type="dxa"/>
            <w:tcBorders>
              <w:top w:val="single" w:color="auto" w:sz="4" w:space="0"/>
              <w:left w:val="single" w:color="auto" w:sz="4" w:space="0"/>
              <w:bottom w:val="single" w:color="auto" w:sz="4" w:space="0"/>
              <w:right w:val="single" w:color="auto" w:sz="4" w:space="0"/>
            </w:tcBorders>
            <w:vAlign w:val="center"/>
          </w:tcPr>
          <w:p w14:paraId="4F8D4CBF">
            <w:pPr>
              <w:widowControl w:val="0"/>
              <w:tabs>
                <w:tab w:val="center" w:pos="4153"/>
              </w:tabs>
              <w:wordWrap/>
              <w:adjustRightInd w:val="0"/>
              <w:spacing w:line="240" w:lineRule="auto"/>
              <w:jc w:val="center"/>
              <w:textAlignment w:val="auto"/>
              <w:rPr>
                <w:rFonts w:hint="eastAsia" w:ascii="宋体" w:hAnsi="宋体" w:cs="宋体"/>
                <w:bCs/>
                <w:color w:val="auto"/>
                <w:sz w:val="24"/>
              </w:rPr>
            </w:pPr>
            <w:r>
              <w:rPr>
                <w:rFonts w:hint="eastAsia" w:ascii="宋体" w:hAnsi="宋体" w:cs="宋体"/>
                <w:bCs/>
                <w:color w:val="auto"/>
                <w:sz w:val="24"/>
              </w:rPr>
              <w:t>序号</w:t>
            </w:r>
          </w:p>
        </w:tc>
        <w:tc>
          <w:tcPr>
            <w:tcW w:w="2246" w:type="dxa"/>
            <w:tcBorders>
              <w:top w:val="single" w:color="auto" w:sz="4" w:space="0"/>
              <w:left w:val="single" w:color="auto" w:sz="4" w:space="0"/>
              <w:bottom w:val="single" w:color="auto" w:sz="4" w:space="0"/>
              <w:right w:val="single" w:color="auto" w:sz="4" w:space="0"/>
            </w:tcBorders>
            <w:vAlign w:val="center"/>
          </w:tcPr>
          <w:p w14:paraId="6B785A0A">
            <w:pPr>
              <w:widowControl w:val="0"/>
              <w:tabs>
                <w:tab w:val="center" w:pos="4153"/>
              </w:tabs>
              <w:wordWrap/>
              <w:adjustRightInd w:val="0"/>
              <w:spacing w:line="240" w:lineRule="auto"/>
              <w:jc w:val="center"/>
              <w:textAlignment w:val="auto"/>
              <w:rPr>
                <w:rFonts w:hint="eastAsia" w:ascii="宋体" w:hAnsi="宋体" w:cs="宋体"/>
                <w:bCs/>
                <w:color w:val="auto"/>
                <w:sz w:val="24"/>
              </w:rPr>
            </w:pPr>
            <w:r>
              <w:rPr>
                <w:rFonts w:hint="eastAsia" w:ascii="宋体" w:hAnsi="宋体" w:cs="宋体"/>
                <w:bCs/>
                <w:color w:val="auto"/>
                <w:sz w:val="24"/>
              </w:rPr>
              <w:t>名称</w:t>
            </w:r>
          </w:p>
        </w:tc>
        <w:tc>
          <w:tcPr>
            <w:tcW w:w="2300" w:type="dxa"/>
            <w:tcBorders>
              <w:top w:val="single" w:color="auto" w:sz="4" w:space="0"/>
              <w:left w:val="single" w:color="auto" w:sz="4" w:space="0"/>
              <w:bottom w:val="single" w:color="auto" w:sz="4" w:space="0"/>
              <w:right w:val="single" w:color="auto" w:sz="4" w:space="0"/>
            </w:tcBorders>
            <w:vAlign w:val="center"/>
          </w:tcPr>
          <w:p w14:paraId="6A434AD7">
            <w:pPr>
              <w:widowControl w:val="0"/>
              <w:tabs>
                <w:tab w:val="center" w:pos="4153"/>
              </w:tabs>
              <w:wordWrap/>
              <w:adjustRightInd w:val="0"/>
              <w:spacing w:line="240" w:lineRule="auto"/>
              <w:jc w:val="center"/>
              <w:textAlignment w:val="auto"/>
              <w:rPr>
                <w:rFonts w:hint="eastAsia" w:ascii="宋体" w:hAnsi="宋体" w:cs="宋体"/>
                <w:bCs/>
                <w:color w:val="auto"/>
                <w:sz w:val="24"/>
              </w:rPr>
            </w:pPr>
            <w:r>
              <w:rPr>
                <w:rFonts w:hint="eastAsia" w:ascii="宋体" w:hAnsi="宋体" w:cs="宋体"/>
                <w:bCs/>
                <w:color w:val="auto"/>
                <w:sz w:val="24"/>
              </w:rPr>
              <w:t>具体服务</w:t>
            </w:r>
          </w:p>
        </w:tc>
        <w:tc>
          <w:tcPr>
            <w:tcW w:w="2415" w:type="dxa"/>
            <w:tcBorders>
              <w:top w:val="single" w:color="auto" w:sz="4" w:space="0"/>
              <w:left w:val="single" w:color="auto" w:sz="4" w:space="0"/>
              <w:bottom w:val="single" w:color="auto" w:sz="4" w:space="0"/>
              <w:right w:val="single" w:color="auto" w:sz="4" w:space="0"/>
            </w:tcBorders>
            <w:vAlign w:val="center"/>
          </w:tcPr>
          <w:p w14:paraId="7EF5F769">
            <w:pPr>
              <w:widowControl w:val="0"/>
              <w:tabs>
                <w:tab w:val="center" w:pos="4153"/>
              </w:tabs>
              <w:wordWrap/>
              <w:adjustRightInd w:val="0"/>
              <w:spacing w:line="240" w:lineRule="auto"/>
              <w:jc w:val="center"/>
              <w:textAlignment w:val="auto"/>
              <w:rPr>
                <w:rFonts w:hint="eastAsia" w:ascii="宋体" w:hAnsi="宋体" w:cs="宋体"/>
                <w:bCs/>
                <w:color w:val="auto"/>
                <w:sz w:val="24"/>
                <w:lang w:val="en-US" w:eastAsia="zh-CN"/>
              </w:rPr>
            </w:pPr>
            <w:r>
              <w:rPr>
                <w:rFonts w:hint="eastAsia" w:ascii="宋体" w:hAnsi="宋体" w:cs="宋体"/>
                <w:bCs/>
                <w:color w:val="auto"/>
                <w:sz w:val="24"/>
              </w:rPr>
              <w:t>服务要求</w:t>
            </w:r>
          </w:p>
        </w:tc>
        <w:tc>
          <w:tcPr>
            <w:tcW w:w="1350" w:type="dxa"/>
            <w:tcBorders>
              <w:top w:val="single" w:color="auto" w:sz="4" w:space="0"/>
              <w:left w:val="single" w:color="auto" w:sz="4" w:space="0"/>
              <w:bottom w:val="single" w:color="auto" w:sz="4" w:space="0"/>
              <w:right w:val="single" w:color="auto" w:sz="4" w:space="0"/>
            </w:tcBorders>
            <w:vAlign w:val="center"/>
          </w:tcPr>
          <w:p w14:paraId="79F7DADF">
            <w:pPr>
              <w:widowControl w:val="0"/>
              <w:tabs>
                <w:tab w:val="center" w:pos="4153"/>
              </w:tabs>
              <w:wordWrap/>
              <w:adjustRightInd w:val="0"/>
              <w:spacing w:line="240" w:lineRule="auto"/>
              <w:jc w:val="center"/>
              <w:textAlignment w:val="auto"/>
              <w:rPr>
                <w:rFonts w:hint="eastAsia" w:ascii="宋体" w:hAnsi="宋体" w:cs="宋体"/>
                <w:bCs/>
                <w:color w:val="auto"/>
                <w:sz w:val="24"/>
                <w:lang w:val="en-US" w:eastAsia="zh-CN"/>
              </w:rPr>
            </w:pPr>
            <w:r>
              <w:rPr>
                <w:rFonts w:hint="eastAsia" w:ascii="宋体" w:hAnsi="宋体" w:cs="宋体"/>
                <w:bCs/>
                <w:color w:val="auto"/>
                <w:sz w:val="24"/>
                <w:lang w:val="en-US" w:eastAsia="zh-CN"/>
              </w:rPr>
              <w:t>数量</w:t>
            </w:r>
          </w:p>
        </w:tc>
        <w:tc>
          <w:tcPr>
            <w:tcW w:w="3030" w:type="dxa"/>
            <w:tcBorders>
              <w:top w:val="single" w:color="auto" w:sz="4" w:space="0"/>
              <w:left w:val="single" w:color="auto" w:sz="4" w:space="0"/>
              <w:bottom w:val="single" w:color="auto" w:sz="4" w:space="0"/>
              <w:right w:val="single" w:color="auto" w:sz="4" w:space="0"/>
            </w:tcBorders>
            <w:vAlign w:val="center"/>
          </w:tcPr>
          <w:p w14:paraId="355D8A89">
            <w:pPr>
              <w:widowControl w:val="0"/>
              <w:tabs>
                <w:tab w:val="center" w:pos="4153"/>
              </w:tabs>
              <w:wordWrap/>
              <w:adjustRightInd w:val="0"/>
              <w:spacing w:line="240" w:lineRule="auto"/>
              <w:jc w:val="center"/>
              <w:textAlignment w:val="auto"/>
              <w:rPr>
                <w:rFonts w:hint="eastAsia" w:ascii="宋体" w:hAnsi="宋体" w:cs="宋体"/>
                <w:bCs/>
                <w:color w:val="auto"/>
                <w:sz w:val="24"/>
              </w:rPr>
            </w:pPr>
            <w:r>
              <w:rPr>
                <w:rFonts w:hint="eastAsia" w:ascii="宋体" w:hAnsi="宋体" w:cs="宋体"/>
                <w:bCs/>
                <w:color w:val="auto"/>
                <w:sz w:val="24"/>
              </w:rPr>
              <w:t>投标报价（单价）</w:t>
            </w:r>
          </w:p>
        </w:tc>
        <w:tc>
          <w:tcPr>
            <w:tcW w:w="1785" w:type="dxa"/>
            <w:tcBorders>
              <w:top w:val="single" w:color="auto" w:sz="4" w:space="0"/>
              <w:left w:val="single" w:color="auto" w:sz="4" w:space="0"/>
              <w:bottom w:val="single" w:color="auto" w:sz="4" w:space="0"/>
              <w:right w:val="single" w:color="auto" w:sz="4" w:space="0"/>
            </w:tcBorders>
            <w:vAlign w:val="center"/>
          </w:tcPr>
          <w:p w14:paraId="1F59AE1E">
            <w:pPr>
              <w:widowControl w:val="0"/>
              <w:tabs>
                <w:tab w:val="center" w:pos="4153"/>
              </w:tabs>
              <w:wordWrap/>
              <w:adjustRightInd w:val="0"/>
              <w:spacing w:line="240" w:lineRule="auto"/>
              <w:jc w:val="center"/>
              <w:textAlignment w:val="auto"/>
              <w:rPr>
                <w:rFonts w:hint="eastAsia" w:ascii="宋体" w:hAnsi="宋体" w:cs="宋体"/>
                <w:bCs/>
                <w:color w:val="auto"/>
                <w:sz w:val="24"/>
                <w:lang w:val="en-US" w:eastAsia="zh-CN"/>
              </w:rPr>
            </w:pPr>
            <w:r>
              <w:rPr>
                <w:rFonts w:hint="eastAsia" w:ascii="宋体" w:hAnsi="宋体" w:cs="宋体"/>
                <w:bCs/>
                <w:color w:val="auto"/>
                <w:sz w:val="24"/>
                <w:lang w:val="en-US" w:eastAsia="zh-CN"/>
              </w:rPr>
              <w:t>备注</w:t>
            </w:r>
          </w:p>
        </w:tc>
      </w:tr>
      <w:tr w14:paraId="23562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27" w:type="dxa"/>
            <w:tcBorders>
              <w:top w:val="single" w:color="auto" w:sz="4" w:space="0"/>
              <w:left w:val="single" w:color="auto" w:sz="4" w:space="0"/>
              <w:bottom w:val="single" w:color="auto" w:sz="4" w:space="0"/>
              <w:right w:val="single" w:color="auto" w:sz="4" w:space="0"/>
            </w:tcBorders>
            <w:vAlign w:val="center"/>
          </w:tcPr>
          <w:p w14:paraId="2A3D3708">
            <w:pPr>
              <w:widowControl w:val="0"/>
              <w:tabs>
                <w:tab w:val="center" w:pos="4153"/>
              </w:tabs>
              <w:wordWrap/>
              <w:adjustRightInd w:val="0"/>
              <w:spacing w:line="240" w:lineRule="auto"/>
              <w:jc w:val="center"/>
              <w:textAlignment w:val="auto"/>
              <w:rPr>
                <w:rFonts w:hint="eastAsia" w:ascii="宋体" w:hAnsi="宋体" w:cs="宋体"/>
                <w:bCs/>
                <w:color w:val="auto"/>
                <w:sz w:val="24"/>
              </w:rPr>
            </w:pPr>
            <w:r>
              <w:rPr>
                <w:rFonts w:hint="eastAsia" w:ascii="宋体" w:hAnsi="宋体" w:cs="宋体"/>
                <w:bCs/>
                <w:color w:val="auto"/>
                <w:sz w:val="24"/>
              </w:rPr>
              <w:t>1</w:t>
            </w:r>
          </w:p>
        </w:tc>
        <w:tc>
          <w:tcPr>
            <w:tcW w:w="2246" w:type="dxa"/>
            <w:tcBorders>
              <w:top w:val="single" w:color="auto" w:sz="4" w:space="0"/>
              <w:left w:val="single" w:color="auto" w:sz="4" w:space="0"/>
              <w:bottom w:val="single" w:color="auto" w:sz="4" w:space="0"/>
              <w:right w:val="single" w:color="auto" w:sz="4" w:space="0"/>
            </w:tcBorders>
            <w:vAlign w:val="center"/>
          </w:tcPr>
          <w:p w14:paraId="00800A8E">
            <w:pPr>
              <w:widowControl w:val="0"/>
              <w:tabs>
                <w:tab w:val="center" w:pos="4153"/>
              </w:tabs>
              <w:wordWrap/>
              <w:adjustRightInd w:val="0"/>
              <w:spacing w:line="240" w:lineRule="auto"/>
              <w:jc w:val="center"/>
              <w:textAlignment w:val="auto"/>
              <w:rPr>
                <w:rFonts w:hint="default" w:ascii="宋体" w:hAnsi="宋体" w:cs="宋体"/>
                <w:bCs/>
                <w:color w:val="auto"/>
                <w:sz w:val="24"/>
                <w:lang w:val="en-US" w:eastAsia="zh-CN"/>
              </w:rPr>
            </w:pPr>
            <w:r>
              <w:rPr>
                <w:rFonts w:hint="eastAsia" w:ascii="宋体" w:hAnsi="宋体" w:cs="宋体"/>
                <w:bCs/>
                <w:color w:val="auto"/>
                <w:sz w:val="24"/>
              </w:rPr>
              <w:t>路线一四川康定线</w:t>
            </w:r>
          </w:p>
        </w:tc>
        <w:tc>
          <w:tcPr>
            <w:tcW w:w="2300" w:type="dxa"/>
            <w:tcBorders>
              <w:top w:val="single" w:color="auto" w:sz="4" w:space="0"/>
              <w:left w:val="single" w:color="auto" w:sz="4" w:space="0"/>
              <w:bottom w:val="single" w:color="auto" w:sz="4" w:space="0"/>
              <w:right w:val="single" w:color="auto" w:sz="4" w:space="0"/>
            </w:tcBorders>
            <w:vAlign w:val="center"/>
          </w:tcPr>
          <w:p w14:paraId="6F57D128">
            <w:pPr>
              <w:widowControl w:val="0"/>
              <w:tabs>
                <w:tab w:val="center" w:pos="4153"/>
              </w:tabs>
              <w:wordWrap/>
              <w:adjustRightInd w:val="0"/>
              <w:spacing w:line="240" w:lineRule="auto"/>
              <w:jc w:val="center"/>
              <w:textAlignment w:val="auto"/>
              <w:rPr>
                <w:rFonts w:hint="eastAsia" w:ascii="宋体" w:hAnsi="宋体" w:cs="宋体"/>
                <w:bCs/>
                <w:color w:val="auto"/>
                <w:sz w:val="24"/>
              </w:rPr>
            </w:pPr>
          </w:p>
        </w:tc>
        <w:tc>
          <w:tcPr>
            <w:tcW w:w="2415" w:type="dxa"/>
            <w:tcBorders>
              <w:top w:val="single" w:color="auto" w:sz="4" w:space="0"/>
              <w:left w:val="single" w:color="auto" w:sz="4" w:space="0"/>
              <w:bottom w:val="single" w:color="auto" w:sz="4" w:space="0"/>
              <w:right w:val="single" w:color="auto" w:sz="4" w:space="0"/>
            </w:tcBorders>
            <w:vAlign w:val="center"/>
          </w:tcPr>
          <w:p w14:paraId="2A3BD334">
            <w:pPr>
              <w:widowControl w:val="0"/>
              <w:tabs>
                <w:tab w:val="center" w:pos="4153"/>
              </w:tabs>
              <w:wordWrap/>
              <w:adjustRightInd w:val="0"/>
              <w:spacing w:line="240" w:lineRule="auto"/>
              <w:jc w:val="center"/>
              <w:textAlignment w:val="auto"/>
              <w:rPr>
                <w:rFonts w:hint="eastAsia" w:ascii="宋体" w:hAnsi="宋体" w:cs="宋体"/>
                <w:bCs/>
                <w:color w:val="auto"/>
                <w:sz w:val="24"/>
                <w:lang w:val="en-US" w:eastAsia="zh-CN"/>
              </w:rPr>
            </w:pPr>
          </w:p>
        </w:tc>
        <w:tc>
          <w:tcPr>
            <w:tcW w:w="1350" w:type="dxa"/>
            <w:tcBorders>
              <w:top w:val="single" w:color="auto" w:sz="4" w:space="0"/>
              <w:left w:val="single" w:color="auto" w:sz="4" w:space="0"/>
              <w:bottom w:val="single" w:color="auto" w:sz="4" w:space="0"/>
              <w:right w:val="single" w:color="auto" w:sz="4" w:space="0"/>
            </w:tcBorders>
            <w:vAlign w:val="center"/>
          </w:tcPr>
          <w:p w14:paraId="77B1A753">
            <w:pPr>
              <w:widowControl w:val="0"/>
              <w:tabs>
                <w:tab w:val="center" w:pos="4153"/>
              </w:tabs>
              <w:wordWrap/>
              <w:adjustRightInd w:val="0"/>
              <w:spacing w:line="240" w:lineRule="auto"/>
              <w:jc w:val="center"/>
              <w:textAlignment w:val="auto"/>
              <w:rPr>
                <w:rFonts w:hint="eastAsia" w:ascii="宋体" w:hAnsi="宋体" w:cs="宋体"/>
                <w:bCs/>
                <w:color w:val="auto"/>
                <w:sz w:val="24"/>
                <w:lang w:val="en-US" w:eastAsia="zh-CN"/>
              </w:rPr>
            </w:pPr>
            <w:r>
              <w:rPr>
                <w:rFonts w:hint="eastAsia" w:ascii="宋体" w:hAnsi="宋体" w:cs="宋体"/>
                <w:bCs/>
                <w:color w:val="auto"/>
                <w:sz w:val="24"/>
                <w:lang w:val="en-US" w:eastAsia="zh-CN"/>
              </w:rPr>
              <w:t>1</w:t>
            </w:r>
          </w:p>
        </w:tc>
        <w:tc>
          <w:tcPr>
            <w:tcW w:w="3030" w:type="dxa"/>
            <w:tcBorders>
              <w:top w:val="single" w:color="auto" w:sz="4" w:space="0"/>
              <w:left w:val="single" w:color="auto" w:sz="4" w:space="0"/>
              <w:bottom w:val="single" w:color="auto" w:sz="4" w:space="0"/>
              <w:right w:val="single" w:color="auto" w:sz="4" w:space="0"/>
            </w:tcBorders>
            <w:vAlign w:val="center"/>
          </w:tcPr>
          <w:p w14:paraId="1269DDC1">
            <w:pPr>
              <w:widowControl w:val="0"/>
              <w:tabs>
                <w:tab w:val="center" w:pos="4153"/>
              </w:tabs>
              <w:wordWrap/>
              <w:adjustRightInd w:val="0"/>
              <w:spacing w:line="240" w:lineRule="auto"/>
              <w:jc w:val="center"/>
              <w:textAlignment w:val="auto"/>
              <w:rPr>
                <w:rFonts w:hint="eastAsia" w:ascii="宋体" w:hAnsi="宋体" w:cs="宋体"/>
                <w:bCs/>
                <w:color w:val="auto"/>
                <w:sz w:val="24"/>
                <w:lang w:eastAsia="zh-CN"/>
              </w:rPr>
            </w:pPr>
            <w:r>
              <w:rPr>
                <w:rFonts w:hint="eastAsia" w:ascii="宋体" w:hAnsi="宋体" w:cs="宋体"/>
                <w:bCs/>
                <w:color w:val="auto"/>
                <w:sz w:val="24"/>
              </w:rPr>
              <w:t>元/人</w:t>
            </w:r>
            <w:r>
              <w:rPr>
                <w:rFonts w:hint="eastAsia" w:ascii="宋体" w:hAnsi="宋体" w:cs="宋体"/>
                <w:bCs/>
                <w:color w:val="auto"/>
                <w:sz w:val="24"/>
                <w:lang w:val="en-US" w:eastAsia="zh-CN"/>
              </w:rPr>
              <w:t>次</w:t>
            </w:r>
          </w:p>
        </w:tc>
        <w:tc>
          <w:tcPr>
            <w:tcW w:w="1785" w:type="dxa"/>
            <w:tcBorders>
              <w:top w:val="single" w:color="auto" w:sz="4" w:space="0"/>
              <w:left w:val="single" w:color="auto" w:sz="4" w:space="0"/>
              <w:bottom w:val="single" w:color="auto" w:sz="4" w:space="0"/>
              <w:right w:val="single" w:color="auto" w:sz="4" w:space="0"/>
            </w:tcBorders>
            <w:vAlign w:val="center"/>
          </w:tcPr>
          <w:p w14:paraId="0EF48AFF">
            <w:pPr>
              <w:widowControl w:val="0"/>
              <w:tabs>
                <w:tab w:val="center" w:pos="4153"/>
              </w:tabs>
              <w:wordWrap/>
              <w:adjustRightInd w:val="0"/>
              <w:spacing w:line="240" w:lineRule="auto"/>
              <w:jc w:val="center"/>
              <w:textAlignment w:val="auto"/>
              <w:rPr>
                <w:rFonts w:hint="eastAsia" w:ascii="宋体" w:hAnsi="宋体" w:cs="宋体"/>
                <w:bCs/>
                <w:color w:val="auto"/>
                <w:sz w:val="24"/>
              </w:rPr>
            </w:pPr>
          </w:p>
        </w:tc>
      </w:tr>
      <w:tr w14:paraId="58D06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727" w:type="dxa"/>
            <w:tcBorders>
              <w:top w:val="single" w:color="auto" w:sz="4" w:space="0"/>
              <w:left w:val="single" w:color="auto" w:sz="4" w:space="0"/>
              <w:bottom w:val="single" w:color="auto" w:sz="4" w:space="0"/>
              <w:right w:val="single" w:color="auto" w:sz="4" w:space="0"/>
            </w:tcBorders>
            <w:vAlign w:val="center"/>
          </w:tcPr>
          <w:p w14:paraId="5F6FF415">
            <w:pPr>
              <w:widowControl w:val="0"/>
              <w:tabs>
                <w:tab w:val="center" w:pos="4153"/>
              </w:tabs>
              <w:wordWrap/>
              <w:adjustRightInd w:val="0"/>
              <w:spacing w:line="240" w:lineRule="auto"/>
              <w:jc w:val="center"/>
              <w:textAlignment w:val="auto"/>
              <w:rPr>
                <w:rFonts w:hint="eastAsia" w:ascii="宋体" w:hAnsi="宋体" w:cs="宋体"/>
                <w:bCs/>
                <w:color w:val="auto"/>
                <w:sz w:val="24"/>
                <w:lang w:val="en-US" w:eastAsia="zh-CN"/>
              </w:rPr>
            </w:pPr>
            <w:r>
              <w:rPr>
                <w:rFonts w:hint="eastAsia" w:ascii="宋体" w:hAnsi="宋体" w:cs="宋体"/>
                <w:bCs/>
                <w:color w:val="auto"/>
                <w:sz w:val="24"/>
                <w:lang w:val="en-US" w:eastAsia="zh-CN"/>
              </w:rPr>
              <w:t>2</w:t>
            </w:r>
          </w:p>
        </w:tc>
        <w:tc>
          <w:tcPr>
            <w:tcW w:w="2246" w:type="dxa"/>
            <w:tcBorders>
              <w:top w:val="single" w:color="auto" w:sz="4" w:space="0"/>
              <w:left w:val="single" w:color="auto" w:sz="4" w:space="0"/>
              <w:bottom w:val="single" w:color="auto" w:sz="4" w:space="0"/>
              <w:right w:val="single" w:color="auto" w:sz="4" w:space="0"/>
            </w:tcBorders>
            <w:vAlign w:val="center"/>
          </w:tcPr>
          <w:p w14:paraId="6338CA13">
            <w:pPr>
              <w:widowControl w:val="0"/>
              <w:tabs>
                <w:tab w:val="center" w:pos="4153"/>
              </w:tabs>
              <w:wordWrap/>
              <w:adjustRightInd w:val="0"/>
              <w:spacing w:line="240" w:lineRule="auto"/>
              <w:jc w:val="center"/>
              <w:textAlignment w:val="auto"/>
              <w:rPr>
                <w:rFonts w:hint="default" w:ascii="宋体" w:hAnsi="宋体" w:cs="宋体"/>
                <w:bCs/>
                <w:color w:val="auto"/>
                <w:sz w:val="24"/>
                <w:lang w:val="en-US" w:eastAsia="zh-CN"/>
              </w:rPr>
            </w:pPr>
            <w:r>
              <w:rPr>
                <w:rFonts w:hint="eastAsia" w:ascii="宋体" w:hAnsi="宋体" w:cs="宋体"/>
                <w:bCs/>
                <w:color w:val="auto"/>
                <w:sz w:val="24"/>
              </w:rPr>
              <w:t>路线二</w:t>
            </w:r>
            <w:r>
              <w:rPr>
                <w:rFonts w:hint="eastAsia" w:ascii="宋体" w:hAnsi="宋体" w:cs="宋体"/>
                <w:bCs/>
                <w:color w:val="auto"/>
                <w:sz w:val="24"/>
                <w:lang w:val="en-US" w:eastAsia="zh-CN"/>
              </w:rPr>
              <w:t>衢州</w:t>
            </w:r>
            <w:r>
              <w:rPr>
                <w:rFonts w:hint="eastAsia" w:ascii="宋体" w:hAnsi="宋体" w:cs="宋体"/>
                <w:bCs/>
                <w:color w:val="auto"/>
                <w:sz w:val="24"/>
              </w:rPr>
              <w:t>线</w:t>
            </w:r>
          </w:p>
        </w:tc>
        <w:tc>
          <w:tcPr>
            <w:tcW w:w="2300" w:type="dxa"/>
            <w:tcBorders>
              <w:top w:val="single" w:color="auto" w:sz="4" w:space="0"/>
              <w:left w:val="single" w:color="auto" w:sz="4" w:space="0"/>
              <w:bottom w:val="single" w:color="auto" w:sz="4" w:space="0"/>
              <w:right w:val="single" w:color="auto" w:sz="4" w:space="0"/>
            </w:tcBorders>
            <w:vAlign w:val="center"/>
          </w:tcPr>
          <w:p w14:paraId="360DCB49">
            <w:pPr>
              <w:widowControl w:val="0"/>
              <w:tabs>
                <w:tab w:val="center" w:pos="4153"/>
              </w:tabs>
              <w:wordWrap/>
              <w:adjustRightInd w:val="0"/>
              <w:spacing w:line="240" w:lineRule="auto"/>
              <w:jc w:val="center"/>
              <w:textAlignment w:val="auto"/>
              <w:rPr>
                <w:rFonts w:hint="eastAsia" w:ascii="宋体" w:hAnsi="宋体" w:cs="宋体"/>
                <w:bCs/>
                <w:color w:val="auto"/>
                <w:sz w:val="24"/>
              </w:rPr>
            </w:pPr>
          </w:p>
        </w:tc>
        <w:tc>
          <w:tcPr>
            <w:tcW w:w="2415" w:type="dxa"/>
            <w:tcBorders>
              <w:top w:val="single" w:color="auto" w:sz="4" w:space="0"/>
              <w:left w:val="single" w:color="auto" w:sz="4" w:space="0"/>
              <w:bottom w:val="single" w:color="auto" w:sz="4" w:space="0"/>
              <w:right w:val="single" w:color="auto" w:sz="4" w:space="0"/>
            </w:tcBorders>
            <w:vAlign w:val="center"/>
          </w:tcPr>
          <w:p w14:paraId="52342327">
            <w:pPr>
              <w:widowControl w:val="0"/>
              <w:tabs>
                <w:tab w:val="center" w:pos="4153"/>
              </w:tabs>
              <w:wordWrap/>
              <w:adjustRightInd w:val="0"/>
              <w:spacing w:line="240" w:lineRule="auto"/>
              <w:jc w:val="center"/>
              <w:textAlignment w:val="auto"/>
              <w:rPr>
                <w:rFonts w:hint="eastAsia" w:ascii="宋体" w:hAnsi="宋体" w:cs="宋体"/>
                <w:bCs/>
                <w:color w:val="auto"/>
                <w:sz w:val="24"/>
                <w:lang w:val="en-US" w:eastAsia="zh-CN"/>
              </w:rPr>
            </w:pPr>
          </w:p>
        </w:tc>
        <w:tc>
          <w:tcPr>
            <w:tcW w:w="1350" w:type="dxa"/>
            <w:tcBorders>
              <w:top w:val="single" w:color="auto" w:sz="4" w:space="0"/>
              <w:left w:val="single" w:color="auto" w:sz="4" w:space="0"/>
              <w:bottom w:val="single" w:color="auto" w:sz="4" w:space="0"/>
              <w:right w:val="single" w:color="auto" w:sz="4" w:space="0"/>
            </w:tcBorders>
            <w:vAlign w:val="center"/>
          </w:tcPr>
          <w:p w14:paraId="628A1010">
            <w:pPr>
              <w:widowControl w:val="0"/>
              <w:tabs>
                <w:tab w:val="center" w:pos="4153"/>
              </w:tabs>
              <w:wordWrap/>
              <w:adjustRightInd w:val="0"/>
              <w:spacing w:line="240" w:lineRule="auto"/>
              <w:jc w:val="center"/>
              <w:textAlignment w:val="auto"/>
              <w:rPr>
                <w:rFonts w:hint="eastAsia" w:ascii="宋体" w:hAnsi="宋体" w:cs="宋体"/>
                <w:bCs/>
                <w:color w:val="auto"/>
                <w:sz w:val="24"/>
                <w:lang w:val="en-US" w:eastAsia="zh-CN"/>
              </w:rPr>
            </w:pPr>
            <w:r>
              <w:rPr>
                <w:rFonts w:hint="eastAsia" w:ascii="宋体" w:hAnsi="宋体" w:cs="宋体"/>
                <w:bCs/>
                <w:color w:val="auto"/>
                <w:sz w:val="24"/>
                <w:lang w:val="en-US" w:eastAsia="zh-CN"/>
              </w:rPr>
              <w:t>1</w:t>
            </w:r>
          </w:p>
        </w:tc>
        <w:tc>
          <w:tcPr>
            <w:tcW w:w="3030" w:type="dxa"/>
            <w:tcBorders>
              <w:top w:val="single" w:color="auto" w:sz="4" w:space="0"/>
              <w:left w:val="single" w:color="auto" w:sz="4" w:space="0"/>
              <w:bottom w:val="single" w:color="auto" w:sz="4" w:space="0"/>
              <w:right w:val="single" w:color="auto" w:sz="4" w:space="0"/>
            </w:tcBorders>
            <w:vAlign w:val="center"/>
          </w:tcPr>
          <w:p w14:paraId="0DC427E4">
            <w:pPr>
              <w:widowControl w:val="0"/>
              <w:tabs>
                <w:tab w:val="center" w:pos="4153"/>
              </w:tabs>
              <w:wordWrap/>
              <w:adjustRightInd w:val="0"/>
              <w:spacing w:line="240" w:lineRule="auto"/>
              <w:jc w:val="center"/>
              <w:textAlignment w:val="auto"/>
              <w:rPr>
                <w:rFonts w:hint="eastAsia" w:ascii="宋体" w:hAnsi="宋体" w:cs="宋体"/>
                <w:bCs/>
                <w:color w:val="auto"/>
                <w:sz w:val="24"/>
                <w:lang w:val="en-US" w:eastAsia="zh-CN"/>
              </w:rPr>
            </w:pPr>
            <w:r>
              <w:rPr>
                <w:rFonts w:hint="eastAsia" w:ascii="宋体" w:hAnsi="宋体" w:cs="宋体"/>
                <w:bCs/>
                <w:color w:val="auto"/>
                <w:sz w:val="24"/>
              </w:rPr>
              <w:t>元/人</w:t>
            </w:r>
            <w:r>
              <w:rPr>
                <w:rFonts w:hint="eastAsia" w:ascii="宋体" w:hAnsi="宋体" w:cs="宋体"/>
                <w:bCs/>
                <w:color w:val="auto"/>
                <w:sz w:val="24"/>
                <w:lang w:val="en-US" w:eastAsia="zh-CN"/>
              </w:rPr>
              <w:t>次</w:t>
            </w:r>
          </w:p>
        </w:tc>
        <w:tc>
          <w:tcPr>
            <w:tcW w:w="1785" w:type="dxa"/>
            <w:tcBorders>
              <w:top w:val="single" w:color="auto" w:sz="4" w:space="0"/>
              <w:left w:val="single" w:color="auto" w:sz="4" w:space="0"/>
              <w:bottom w:val="single" w:color="auto" w:sz="4" w:space="0"/>
              <w:right w:val="single" w:color="auto" w:sz="4" w:space="0"/>
            </w:tcBorders>
            <w:vAlign w:val="center"/>
          </w:tcPr>
          <w:p w14:paraId="46078861">
            <w:pPr>
              <w:widowControl w:val="0"/>
              <w:tabs>
                <w:tab w:val="center" w:pos="4153"/>
              </w:tabs>
              <w:wordWrap/>
              <w:adjustRightInd w:val="0"/>
              <w:spacing w:line="240" w:lineRule="auto"/>
              <w:jc w:val="center"/>
              <w:textAlignment w:val="auto"/>
              <w:rPr>
                <w:rFonts w:hint="eastAsia" w:ascii="宋体" w:hAnsi="宋体" w:cs="宋体"/>
                <w:bCs/>
                <w:color w:val="auto"/>
                <w:sz w:val="24"/>
              </w:rPr>
            </w:pPr>
          </w:p>
        </w:tc>
      </w:tr>
      <w:tr w14:paraId="3955D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727" w:type="dxa"/>
            <w:tcBorders>
              <w:top w:val="single" w:color="auto" w:sz="4" w:space="0"/>
              <w:left w:val="single" w:color="auto" w:sz="4" w:space="0"/>
              <w:bottom w:val="single" w:color="auto" w:sz="4" w:space="0"/>
              <w:right w:val="single" w:color="auto" w:sz="4" w:space="0"/>
            </w:tcBorders>
            <w:vAlign w:val="center"/>
          </w:tcPr>
          <w:p w14:paraId="7C304AB1">
            <w:pPr>
              <w:widowControl w:val="0"/>
              <w:tabs>
                <w:tab w:val="center" w:pos="4153"/>
              </w:tabs>
              <w:wordWrap/>
              <w:adjustRightInd w:val="0"/>
              <w:spacing w:line="240" w:lineRule="auto"/>
              <w:jc w:val="center"/>
              <w:textAlignment w:val="auto"/>
              <w:rPr>
                <w:rFonts w:hint="default" w:ascii="宋体" w:hAnsi="宋体" w:cs="宋体"/>
                <w:bCs/>
                <w:color w:val="auto"/>
                <w:sz w:val="24"/>
                <w:lang w:val="en-US" w:eastAsia="zh-CN"/>
              </w:rPr>
            </w:pPr>
            <w:r>
              <w:rPr>
                <w:rFonts w:hint="eastAsia" w:ascii="宋体" w:hAnsi="宋体" w:cs="宋体"/>
                <w:bCs/>
                <w:color w:val="auto"/>
                <w:sz w:val="24"/>
                <w:lang w:val="en-US" w:eastAsia="zh-CN"/>
              </w:rPr>
              <w:t>3</w:t>
            </w:r>
          </w:p>
        </w:tc>
        <w:tc>
          <w:tcPr>
            <w:tcW w:w="2246" w:type="dxa"/>
            <w:tcBorders>
              <w:top w:val="single" w:color="auto" w:sz="4" w:space="0"/>
              <w:left w:val="single" w:color="auto" w:sz="4" w:space="0"/>
              <w:bottom w:val="single" w:color="auto" w:sz="4" w:space="0"/>
              <w:right w:val="single" w:color="auto" w:sz="4" w:space="0"/>
            </w:tcBorders>
            <w:vAlign w:val="center"/>
          </w:tcPr>
          <w:p w14:paraId="249AAC65">
            <w:pPr>
              <w:widowControl w:val="0"/>
              <w:tabs>
                <w:tab w:val="center" w:pos="4153"/>
              </w:tabs>
              <w:wordWrap/>
              <w:adjustRightInd w:val="0"/>
              <w:spacing w:line="240" w:lineRule="auto"/>
              <w:jc w:val="center"/>
              <w:textAlignment w:val="auto"/>
              <w:rPr>
                <w:rFonts w:hint="eastAsia" w:ascii="宋体" w:hAnsi="宋体" w:cs="宋体"/>
                <w:bCs/>
                <w:color w:val="auto"/>
                <w:sz w:val="24"/>
                <w:lang w:val="en-US" w:eastAsia="zh-CN"/>
              </w:rPr>
            </w:pPr>
            <w:r>
              <w:rPr>
                <w:rFonts w:hint="eastAsia" w:ascii="宋体" w:hAnsi="宋体" w:cs="宋体"/>
                <w:bCs/>
                <w:color w:val="auto"/>
                <w:sz w:val="24"/>
              </w:rPr>
              <w:t>路线三萧山区内线</w:t>
            </w:r>
          </w:p>
        </w:tc>
        <w:tc>
          <w:tcPr>
            <w:tcW w:w="2300" w:type="dxa"/>
            <w:tcBorders>
              <w:top w:val="single" w:color="auto" w:sz="4" w:space="0"/>
              <w:left w:val="single" w:color="auto" w:sz="4" w:space="0"/>
              <w:bottom w:val="single" w:color="auto" w:sz="4" w:space="0"/>
              <w:right w:val="single" w:color="auto" w:sz="4" w:space="0"/>
            </w:tcBorders>
            <w:vAlign w:val="center"/>
          </w:tcPr>
          <w:p w14:paraId="076953DD">
            <w:pPr>
              <w:widowControl w:val="0"/>
              <w:tabs>
                <w:tab w:val="center" w:pos="4153"/>
              </w:tabs>
              <w:wordWrap/>
              <w:adjustRightInd w:val="0"/>
              <w:spacing w:line="240" w:lineRule="auto"/>
              <w:jc w:val="center"/>
              <w:textAlignment w:val="auto"/>
              <w:rPr>
                <w:rFonts w:hint="eastAsia" w:ascii="宋体" w:hAnsi="宋体" w:cs="宋体"/>
                <w:bCs/>
                <w:color w:val="auto"/>
                <w:sz w:val="24"/>
              </w:rPr>
            </w:pPr>
          </w:p>
        </w:tc>
        <w:tc>
          <w:tcPr>
            <w:tcW w:w="2415" w:type="dxa"/>
            <w:tcBorders>
              <w:top w:val="single" w:color="auto" w:sz="4" w:space="0"/>
              <w:left w:val="single" w:color="auto" w:sz="4" w:space="0"/>
              <w:bottom w:val="single" w:color="auto" w:sz="4" w:space="0"/>
              <w:right w:val="single" w:color="auto" w:sz="4" w:space="0"/>
            </w:tcBorders>
            <w:vAlign w:val="center"/>
          </w:tcPr>
          <w:p w14:paraId="3F4B8E79">
            <w:pPr>
              <w:widowControl w:val="0"/>
              <w:tabs>
                <w:tab w:val="center" w:pos="4153"/>
              </w:tabs>
              <w:wordWrap/>
              <w:adjustRightInd w:val="0"/>
              <w:spacing w:line="240" w:lineRule="auto"/>
              <w:jc w:val="center"/>
              <w:textAlignment w:val="auto"/>
              <w:rPr>
                <w:rFonts w:hint="eastAsia" w:ascii="宋体" w:hAnsi="宋体" w:cs="宋体"/>
                <w:bCs/>
                <w:color w:val="auto"/>
                <w:sz w:val="24"/>
                <w:lang w:val="en-US" w:eastAsia="zh-CN"/>
              </w:rPr>
            </w:pPr>
          </w:p>
        </w:tc>
        <w:tc>
          <w:tcPr>
            <w:tcW w:w="1350" w:type="dxa"/>
            <w:tcBorders>
              <w:top w:val="single" w:color="auto" w:sz="4" w:space="0"/>
              <w:left w:val="single" w:color="auto" w:sz="4" w:space="0"/>
              <w:bottom w:val="single" w:color="auto" w:sz="4" w:space="0"/>
              <w:right w:val="single" w:color="auto" w:sz="4" w:space="0"/>
            </w:tcBorders>
            <w:vAlign w:val="center"/>
          </w:tcPr>
          <w:p w14:paraId="5EC1B226">
            <w:pPr>
              <w:widowControl w:val="0"/>
              <w:tabs>
                <w:tab w:val="center" w:pos="4153"/>
              </w:tabs>
              <w:wordWrap/>
              <w:adjustRightInd w:val="0"/>
              <w:spacing w:line="240" w:lineRule="auto"/>
              <w:jc w:val="center"/>
              <w:textAlignment w:val="auto"/>
              <w:rPr>
                <w:rFonts w:hint="default" w:ascii="宋体" w:hAnsi="宋体" w:cs="宋体"/>
                <w:bCs/>
                <w:color w:val="auto"/>
                <w:sz w:val="24"/>
                <w:lang w:val="en-US" w:eastAsia="zh-CN"/>
              </w:rPr>
            </w:pPr>
            <w:r>
              <w:rPr>
                <w:rFonts w:hint="eastAsia" w:ascii="宋体" w:hAnsi="宋体" w:cs="宋体"/>
                <w:bCs/>
                <w:color w:val="auto"/>
                <w:sz w:val="24"/>
                <w:lang w:val="en-US" w:eastAsia="zh-CN"/>
              </w:rPr>
              <w:t>1</w:t>
            </w:r>
          </w:p>
        </w:tc>
        <w:tc>
          <w:tcPr>
            <w:tcW w:w="3030" w:type="dxa"/>
            <w:tcBorders>
              <w:top w:val="single" w:color="auto" w:sz="4" w:space="0"/>
              <w:left w:val="single" w:color="auto" w:sz="4" w:space="0"/>
              <w:bottom w:val="single" w:color="auto" w:sz="4" w:space="0"/>
              <w:right w:val="single" w:color="auto" w:sz="4" w:space="0"/>
            </w:tcBorders>
            <w:vAlign w:val="center"/>
          </w:tcPr>
          <w:p w14:paraId="1A1E493A">
            <w:pPr>
              <w:widowControl w:val="0"/>
              <w:tabs>
                <w:tab w:val="center" w:pos="4153"/>
              </w:tabs>
              <w:wordWrap/>
              <w:adjustRightInd w:val="0"/>
              <w:spacing w:line="240" w:lineRule="auto"/>
              <w:jc w:val="center"/>
              <w:textAlignment w:val="auto"/>
              <w:rPr>
                <w:rFonts w:hint="eastAsia" w:ascii="宋体" w:hAnsi="宋体" w:cs="宋体"/>
                <w:bCs/>
                <w:color w:val="auto"/>
                <w:sz w:val="24"/>
                <w:lang w:val="en-US" w:eastAsia="zh-CN"/>
              </w:rPr>
            </w:pPr>
            <w:r>
              <w:rPr>
                <w:rFonts w:hint="eastAsia" w:ascii="宋体" w:hAnsi="宋体" w:cs="宋体"/>
                <w:bCs/>
                <w:color w:val="auto"/>
                <w:sz w:val="24"/>
              </w:rPr>
              <w:t>元/人</w:t>
            </w:r>
            <w:r>
              <w:rPr>
                <w:rFonts w:hint="eastAsia" w:ascii="宋体" w:hAnsi="宋体" w:cs="宋体"/>
                <w:bCs/>
                <w:color w:val="auto"/>
                <w:sz w:val="24"/>
                <w:lang w:val="en-US" w:eastAsia="zh-CN"/>
              </w:rPr>
              <w:t>次</w:t>
            </w:r>
          </w:p>
        </w:tc>
        <w:tc>
          <w:tcPr>
            <w:tcW w:w="1785" w:type="dxa"/>
            <w:tcBorders>
              <w:top w:val="single" w:color="auto" w:sz="4" w:space="0"/>
              <w:left w:val="single" w:color="auto" w:sz="4" w:space="0"/>
              <w:bottom w:val="single" w:color="auto" w:sz="4" w:space="0"/>
              <w:right w:val="single" w:color="auto" w:sz="4" w:space="0"/>
            </w:tcBorders>
            <w:vAlign w:val="center"/>
          </w:tcPr>
          <w:p w14:paraId="434BBD5C">
            <w:pPr>
              <w:widowControl w:val="0"/>
              <w:tabs>
                <w:tab w:val="center" w:pos="4153"/>
              </w:tabs>
              <w:wordWrap/>
              <w:adjustRightInd w:val="0"/>
              <w:spacing w:line="240" w:lineRule="auto"/>
              <w:jc w:val="center"/>
              <w:textAlignment w:val="auto"/>
              <w:rPr>
                <w:rFonts w:hint="eastAsia" w:ascii="宋体" w:hAnsi="宋体" w:cs="宋体"/>
                <w:bCs/>
                <w:color w:val="auto"/>
                <w:sz w:val="24"/>
              </w:rPr>
            </w:pPr>
          </w:p>
        </w:tc>
      </w:tr>
    </w:tbl>
    <w:p w14:paraId="187439E3">
      <w:pPr>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b/>
          <w:color w:val="auto"/>
          <w:highlight w:val="none"/>
          <w:lang w:val="zh-CN"/>
        </w:rPr>
      </w:pPr>
      <w:r>
        <w:rPr>
          <w:rFonts w:hint="eastAsia" w:ascii="仿宋" w:hAnsi="仿宋" w:eastAsia="仿宋" w:cs="仿宋"/>
          <w:b/>
          <w:color w:val="auto"/>
          <w:highlight w:val="none"/>
          <w:lang w:val="zh-CN"/>
        </w:rPr>
        <w:t>注：</w:t>
      </w:r>
    </w:p>
    <w:p w14:paraId="6D1E7588">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1、供应商需按本表格式填写，不得自行更改。</w:t>
      </w:r>
      <w:r>
        <w:rPr>
          <w:rFonts w:hint="eastAsia" w:ascii="仿宋" w:hAnsi="仿宋" w:eastAsia="仿宋" w:cs="仿宋"/>
          <w:color w:val="auto"/>
          <w:highlight w:val="none"/>
          <w:lang w:val="zh-CN"/>
        </w:rPr>
        <w:tab/>
      </w:r>
    </w:p>
    <w:p w14:paraId="22299EEE">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2、有关本项目实施所涉及的一切费用均计入报价。</w:t>
      </w:r>
      <w:r>
        <w:rPr>
          <w:rFonts w:hint="eastAsia" w:ascii="仿宋" w:hAnsi="仿宋" w:eastAsia="仿宋" w:cs="仿宋"/>
          <w:b/>
          <w:color w:val="auto"/>
          <w:highlight w:val="none"/>
          <w:lang w:val="zh-CN"/>
        </w:rPr>
        <w:t>交易发起人将以合同形式有偿取得货物或服务，不接受供应商给予的赠品、回扣或者与采购无关的其他商品、服务</w:t>
      </w:r>
      <w:r>
        <w:rPr>
          <w:rFonts w:hint="eastAsia" w:ascii="仿宋" w:hAnsi="仿宋" w:eastAsia="仿宋" w:cs="仿宋"/>
          <w:color w:val="auto"/>
          <w:highlight w:val="none"/>
          <w:lang w:val="zh-CN"/>
        </w:rPr>
        <w:t>，</w:t>
      </w:r>
      <w:r>
        <w:rPr>
          <w:rFonts w:hint="eastAsia" w:ascii="仿宋" w:hAnsi="仿宋" w:eastAsia="仿宋" w:cs="仿宋"/>
          <w:b/>
          <w:color w:val="auto"/>
          <w:highlight w:val="none"/>
          <w:lang w:val="zh-CN"/>
        </w:rPr>
        <w:t>不得出现“0元”“免费赠送”等形式的无偿报价，</w:t>
      </w:r>
      <w:r>
        <w:rPr>
          <w:rFonts w:hint="eastAsia" w:ascii="仿宋" w:hAnsi="仿宋" w:eastAsia="仿宋" w:cs="仿宋"/>
          <w:b/>
          <w:color w:val="auto"/>
          <w:highlight w:val="none"/>
        </w:rPr>
        <w:t>否则视为</w:t>
      </w:r>
      <w:r>
        <w:rPr>
          <w:rFonts w:hint="eastAsia" w:ascii="仿宋" w:hAnsi="仿宋" w:eastAsia="仿宋" w:cs="仿宋"/>
          <w:b/>
          <w:color w:val="auto"/>
          <w:highlight w:val="none"/>
          <w:lang w:eastAsia="zh-CN"/>
        </w:rPr>
        <w:t>响应文件</w:t>
      </w:r>
      <w:r>
        <w:rPr>
          <w:rFonts w:hint="eastAsia" w:ascii="仿宋" w:hAnsi="仿宋" w:eastAsia="仿宋" w:cs="仿宋"/>
          <w:b/>
          <w:color w:val="auto"/>
          <w:highlight w:val="none"/>
        </w:rPr>
        <w:t>含有</w:t>
      </w:r>
      <w:r>
        <w:rPr>
          <w:rFonts w:hint="eastAsia" w:ascii="仿宋" w:hAnsi="仿宋" w:eastAsia="仿宋" w:cs="仿宋"/>
          <w:b/>
          <w:color w:val="auto"/>
          <w:highlight w:val="none"/>
          <w:lang w:eastAsia="zh-CN"/>
        </w:rPr>
        <w:t>交易发起人</w:t>
      </w:r>
      <w:r>
        <w:rPr>
          <w:rFonts w:hint="eastAsia" w:ascii="仿宋" w:hAnsi="仿宋" w:eastAsia="仿宋" w:cs="仿宋"/>
          <w:b/>
          <w:color w:val="auto"/>
          <w:highlight w:val="none"/>
        </w:rPr>
        <w:t>不能接受的附加条件的，</w:t>
      </w:r>
      <w:r>
        <w:rPr>
          <w:rFonts w:hint="eastAsia" w:ascii="仿宋" w:hAnsi="仿宋" w:eastAsia="仿宋" w:cs="仿宋"/>
          <w:b/>
          <w:color w:val="auto"/>
          <w:highlight w:val="none"/>
          <w:lang w:eastAsia="zh-CN"/>
        </w:rPr>
        <w:t>响应无效</w:t>
      </w:r>
      <w:r>
        <w:rPr>
          <w:rFonts w:hint="eastAsia" w:ascii="仿宋" w:hAnsi="仿宋" w:eastAsia="仿宋" w:cs="仿宋"/>
          <w:b/>
          <w:color w:val="auto"/>
          <w:highlight w:val="none"/>
          <w:lang w:val="zh-CN"/>
        </w:rPr>
        <w:t>；采购内容未包含在《交易一览标（报价表）》名称栏中，供应商不能作出合理解释的，</w:t>
      </w:r>
      <w:r>
        <w:rPr>
          <w:rFonts w:hint="eastAsia" w:ascii="仿宋" w:hAnsi="仿宋" w:eastAsia="仿宋" w:cs="仿宋"/>
          <w:b/>
          <w:color w:val="auto"/>
          <w:highlight w:val="none"/>
        </w:rPr>
        <w:t>视为</w:t>
      </w:r>
      <w:r>
        <w:rPr>
          <w:rFonts w:hint="eastAsia" w:ascii="仿宋" w:hAnsi="仿宋" w:eastAsia="仿宋" w:cs="仿宋"/>
          <w:b/>
          <w:color w:val="auto"/>
          <w:highlight w:val="none"/>
          <w:lang w:eastAsia="zh-CN"/>
        </w:rPr>
        <w:t>响应文件</w:t>
      </w:r>
      <w:r>
        <w:rPr>
          <w:rFonts w:hint="eastAsia" w:ascii="仿宋" w:hAnsi="仿宋" w:eastAsia="仿宋" w:cs="仿宋"/>
          <w:b/>
          <w:color w:val="auto"/>
          <w:highlight w:val="none"/>
        </w:rPr>
        <w:t>含有</w:t>
      </w:r>
      <w:r>
        <w:rPr>
          <w:rFonts w:hint="eastAsia" w:ascii="仿宋" w:hAnsi="仿宋" w:eastAsia="仿宋" w:cs="仿宋"/>
          <w:b/>
          <w:color w:val="auto"/>
          <w:highlight w:val="none"/>
          <w:lang w:eastAsia="zh-CN"/>
        </w:rPr>
        <w:t>交易发起人</w:t>
      </w:r>
      <w:r>
        <w:rPr>
          <w:rFonts w:hint="eastAsia" w:ascii="仿宋" w:hAnsi="仿宋" w:eastAsia="仿宋" w:cs="仿宋"/>
          <w:b/>
          <w:color w:val="auto"/>
          <w:highlight w:val="none"/>
        </w:rPr>
        <w:t>不能接受的附加条件的，</w:t>
      </w:r>
      <w:r>
        <w:rPr>
          <w:rFonts w:hint="eastAsia" w:ascii="仿宋" w:hAnsi="仿宋" w:eastAsia="仿宋" w:cs="仿宋"/>
          <w:b/>
          <w:color w:val="auto"/>
          <w:highlight w:val="none"/>
          <w:lang w:eastAsia="zh-CN"/>
        </w:rPr>
        <w:t>响应无效</w:t>
      </w:r>
      <w:r>
        <w:rPr>
          <w:rFonts w:hint="eastAsia" w:ascii="仿宋" w:hAnsi="仿宋" w:eastAsia="仿宋" w:cs="仿宋"/>
          <w:b/>
          <w:color w:val="auto"/>
          <w:highlight w:val="none"/>
        </w:rPr>
        <w:t>。</w:t>
      </w:r>
    </w:p>
    <w:p w14:paraId="4D1E3556">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3、以上表格要求细分项目及报价，在“规格型号（或具体服务）”一栏中，货物类项目填写规格型号，服务类项目填写具体服务。</w:t>
      </w:r>
    </w:p>
    <w:p w14:paraId="36ACC19D">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4、特别提示：代理机构将对项目名称和项目编号，成交供应商名称、地址和成交金额等予以公示。</w:t>
      </w:r>
    </w:p>
    <w:p w14:paraId="0024CE45">
      <w:pPr>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仿宋" w:hAnsi="仿宋" w:eastAsia="仿宋" w:cs="仿宋"/>
          <w:b/>
          <w:color w:val="auto"/>
          <w:highlight w:val="none"/>
        </w:rPr>
        <w:sectPr>
          <w:pgSz w:w="16838" w:h="11906" w:orient="landscape"/>
          <w:pgMar w:top="1800" w:right="1440" w:bottom="1700" w:left="1440" w:header="851" w:footer="992" w:gutter="0"/>
          <w:cols w:space="425" w:num="1"/>
          <w:docGrid w:type="lines" w:linePitch="326" w:charSpace="0"/>
        </w:sectPr>
      </w:pPr>
    </w:p>
    <w:p w14:paraId="3568DF84">
      <w:pPr>
        <w:pStyle w:val="3"/>
        <w:keepNext w:val="0"/>
        <w:keepLines w:val="0"/>
        <w:pageBreakBefore w:val="0"/>
        <w:widowControl/>
        <w:kinsoku/>
        <w:wordWrap/>
        <w:overflowPunct/>
        <w:topLinePunct w:val="0"/>
        <w:autoSpaceDE/>
        <w:autoSpaceDN/>
        <w:bidi w:val="0"/>
        <w:adjustRightInd/>
        <w:spacing w:before="0" w:after="0" w:line="360" w:lineRule="auto"/>
        <w:ind w:left="0" w:leftChars="0" w:right="0" w:firstLine="743" w:firstLineChars="200"/>
        <w:jc w:val="left"/>
        <w:textAlignment w:val="auto"/>
        <w:rPr>
          <w:rFonts w:hint="eastAsia" w:ascii="仿宋" w:hAnsi="仿宋" w:eastAsia="仿宋" w:cs="仿宋"/>
          <w:color w:val="auto"/>
          <w:highlight w:val="none"/>
        </w:rPr>
      </w:pPr>
      <w:bookmarkStart w:id="369" w:name="_Toc465665161"/>
      <w:r>
        <w:rPr>
          <w:rFonts w:hint="eastAsia" w:ascii="仿宋" w:hAnsi="仿宋" w:eastAsia="仿宋" w:cs="仿宋"/>
          <w:color w:val="auto"/>
          <w:highlight w:val="none"/>
        </w:rPr>
        <w:t>附件</w:t>
      </w:r>
      <w:bookmarkEnd w:id="369"/>
    </w:p>
    <w:p w14:paraId="6B875FF3">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附件</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：质疑函范本及制作说明</w:t>
      </w:r>
    </w:p>
    <w:p w14:paraId="3428633C">
      <w:pPr>
        <w:keepNext w:val="0"/>
        <w:keepLines w:val="0"/>
        <w:pageBreakBefore w:val="0"/>
        <w:widowControl/>
        <w:kinsoku/>
        <w:wordWrap/>
        <w:overflowPunct/>
        <w:topLinePunct w:val="0"/>
        <w:autoSpaceDE/>
        <w:autoSpaceDN/>
        <w:bidi w:val="0"/>
        <w:adjustRightInd/>
        <w:spacing w:after="0" w:line="360" w:lineRule="auto"/>
        <w:ind w:left="0" w:leftChars="0" w:right="0" w:firstLine="667" w:firstLineChars="200"/>
        <w:jc w:val="center"/>
        <w:textAlignment w:val="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6B96DBC7">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一、质疑供应商基本信息</w:t>
      </w:r>
    </w:p>
    <w:p w14:paraId="7D7F0ABA">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质疑供应商：</w:t>
      </w:r>
      <w:r>
        <w:rPr>
          <w:rFonts w:hint="eastAsia" w:ascii="仿宋" w:hAnsi="仿宋" w:eastAsia="仿宋" w:cs="仿宋"/>
          <w:color w:val="auto"/>
          <w:highlight w:val="none"/>
          <w:u w:val="dotted"/>
        </w:rPr>
        <w:t xml:space="preserve">                                        </w:t>
      </w:r>
    </w:p>
    <w:p w14:paraId="28E5DA4C">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地址：</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邮编：</w:t>
      </w:r>
      <w:r>
        <w:rPr>
          <w:rFonts w:hint="eastAsia" w:ascii="仿宋" w:hAnsi="仿宋" w:eastAsia="仿宋" w:cs="仿宋"/>
          <w:color w:val="auto"/>
          <w:highlight w:val="none"/>
          <w:u w:val="dotted"/>
        </w:rPr>
        <w:t xml:space="preserve">                                                   </w:t>
      </w:r>
    </w:p>
    <w:p w14:paraId="53D62A88">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联系人：</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联系电话：</w:t>
      </w:r>
      <w:r>
        <w:rPr>
          <w:rFonts w:hint="eastAsia" w:ascii="仿宋" w:hAnsi="仿宋" w:eastAsia="仿宋" w:cs="仿宋"/>
          <w:color w:val="auto"/>
          <w:highlight w:val="none"/>
          <w:u w:val="dotted"/>
        </w:rPr>
        <w:t xml:space="preserve">                              </w:t>
      </w:r>
    </w:p>
    <w:p w14:paraId="5246ACB6">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授权代表：</w:t>
      </w:r>
      <w:r>
        <w:rPr>
          <w:rFonts w:hint="eastAsia" w:ascii="仿宋" w:hAnsi="仿宋" w:eastAsia="仿宋" w:cs="仿宋"/>
          <w:color w:val="auto"/>
          <w:highlight w:val="none"/>
          <w:u w:val="dotted"/>
        </w:rPr>
        <w:t xml:space="preserve">                                          </w:t>
      </w:r>
    </w:p>
    <w:p w14:paraId="7271AE58">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联系电话：</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 xml:space="preserve"> </w:t>
      </w:r>
    </w:p>
    <w:p w14:paraId="65AD04C2">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地址： </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邮编：</w:t>
      </w:r>
      <w:r>
        <w:rPr>
          <w:rFonts w:hint="eastAsia" w:ascii="仿宋" w:hAnsi="仿宋" w:eastAsia="仿宋" w:cs="仿宋"/>
          <w:color w:val="auto"/>
          <w:highlight w:val="none"/>
          <w:u w:val="dotted"/>
        </w:rPr>
        <w:t xml:space="preserve">                                                </w:t>
      </w:r>
    </w:p>
    <w:p w14:paraId="0E03AE9F">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二、质疑项目基本情况</w:t>
      </w:r>
    </w:p>
    <w:p w14:paraId="1F97581E">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质疑项目的名称：</w:t>
      </w:r>
      <w:r>
        <w:rPr>
          <w:rFonts w:hint="eastAsia" w:ascii="仿宋" w:hAnsi="仿宋" w:eastAsia="仿宋" w:cs="仿宋"/>
          <w:color w:val="auto"/>
          <w:highlight w:val="none"/>
          <w:u w:val="dotted"/>
        </w:rPr>
        <w:t xml:space="preserve">                                      </w:t>
      </w:r>
    </w:p>
    <w:p w14:paraId="603E9C87">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质疑项目的编号：</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包号：</w:t>
      </w:r>
      <w:r>
        <w:rPr>
          <w:rFonts w:hint="eastAsia" w:ascii="仿宋" w:hAnsi="仿宋" w:eastAsia="仿宋" w:cs="仿宋"/>
          <w:color w:val="auto"/>
          <w:highlight w:val="none"/>
          <w:u w:val="dotted"/>
        </w:rPr>
        <w:t xml:space="preserve">                 </w:t>
      </w:r>
    </w:p>
    <w:p w14:paraId="5C8A899A">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名称：</w:t>
      </w:r>
      <w:r>
        <w:rPr>
          <w:rFonts w:hint="eastAsia" w:ascii="仿宋" w:hAnsi="仿宋" w:eastAsia="仿宋" w:cs="仿宋"/>
          <w:color w:val="auto"/>
          <w:highlight w:val="none"/>
          <w:u w:val="dotted"/>
        </w:rPr>
        <w:t xml:space="preserve">                                         </w:t>
      </w:r>
    </w:p>
    <w:p w14:paraId="14681DA9">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采购文件获取日期：</w:t>
      </w:r>
      <w:r>
        <w:rPr>
          <w:rFonts w:hint="eastAsia" w:ascii="仿宋" w:hAnsi="仿宋" w:eastAsia="仿宋" w:cs="仿宋"/>
          <w:color w:val="auto"/>
          <w:highlight w:val="none"/>
          <w:u w:val="dotted"/>
        </w:rPr>
        <w:t xml:space="preserve">                                           </w:t>
      </w:r>
    </w:p>
    <w:p w14:paraId="5A031E93">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三、质疑事项具体内容</w:t>
      </w:r>
    </w:p>
    <w:p w14:paraId="1A54F2FF">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质疑事项1：</w:t>
      </w:r>
      <w:r>
        <w:rPr>
          <w:rFonts w:hint="eastAsia" w:ascii="仿宋" w:hAnsi="仿宋" w:eastAsia="仿宋" w:cs="仿宋"/>
          <w:color w:val="auto"/>
          <w:highlight w:val="none"/>
          <w:u w:val="dotted"/>
        </w:rPr>
        <w:t xml:space="preserve">                                         </w:t>
      </w:r>
    </w:p>
    <w:p w14:paraId="3528DB64">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事实依据：</w:t>
      </w:r>
      <w:r>
        <w:rPr>
          <w:rFonts w:hint="eastAsia" w:ascii="仿宋" w:hAnsi="仿宋" w:eastAsia="仿宋" w:cs="仿宋"/>
          <w:color w:val="auto"/>
          <w:highlight w:val="none"/>
          <w:u w:val="dotted"/>
        </w:rPr>
        <w:t xml:space="preserve">                                          </w:t>
      </w:r>
    </w:p>
    <w:p w14:paraId="7C86178C">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u w:val="dotted"/>
        </w:rPr>
        <w:t xml:space="preserve">                                                       </w:t>
      </w:r>
    </w:p>
    <w:p w14:paraId="02C1862C">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法律依据：</w:t>
      </w:r>
      <w:r>
        <w:rPr>
          <w:rFonts w:hint="eastAsia" w:ascii="仿宋" w:hAnsi="仿宋" w:eastAsia="仿宋" w:cs="仿宋"/>
          <w:color w:val="auto"/>
          <w:highlight w:val="none"/>
          <w:u w:val="dotted"/>
        </w:rPr>
        <w:t xml:space="preserve">                                          </w:t>
      </w:r>
    </w:p>
    <w:p w14:paraId="28429018">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u w:val="dotted"/>
        </w:rPr>
        <w:t xml:space="preserve">                                                     </w:t>
      </w:r>
    </w:p>
    <w:p w14:paraId="010595C7">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质疑事项2</w:t>
      </w:r>
    </w:p>
    <w:p w14:paraId="4C111FEF">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w:t>
      </w:r>
    </w:p>
    <w:p w14:paraId="7FBA9358">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四、与质疑事项相关的质疑请求</w:t>
      </w:r>
    </w:p>
    <w:p w14:paraId="54E3C63B">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请求：</w:t>
      </w:r>
      <w:r>
        <w:rPr>
          <w:rFonts w:hint="eastAsia" w:ascii="仿宋" w:hAnsi="仿宋" w:eastAsia="仿宋" w:cs="仿宋"/>
          <w:color w:val="auto"/>
          <w:highlight w:val="none"/>
          <w:u w:val="dotted"/>
        </w:rPr>
        <w:t xml:space="preserve">                                               </w:t>
      </w:r>
    </w:p>
    <w:p w14:paraId="4FDDD5D2">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签字(签章)：                   公章：                      </w:t>
      </w:r>
    </w:p>
    <w:p w14:paraId="5DA80D99">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日期：    </w:t>
      </w:r>
    </w:p>
    <w:p w14:paraId="5702DD9B">
      <w:pPr>
        <w:keepNext w:val="0"/>
        <w:keepLines w:val="0"/>
        <w:pageBreakBefore w:val="0"/>
        <w:widowControl/>
        <w:kinsoku/>
        <w:wordWrap/>
        <w:overflowPunct/>
        <w:topLinePunct w:val="0"/>
        <w:autoSpaceDE/>
        <w:autoSpaceDN/>
        <w:bidi w:val="0"/>
        <w:adjustRightInd/>
        <w:spacing w:after="0" w:line="360" w:lineRule="auto"/>
        <w:ind w:left="0" w:leftChars="0" w:righ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质疑函制作说明：</w:t>
      </w:r>
    </w:p>
    <w:p w14:paraId="5187A8FE">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1.供应商提出质疑时，应提交质疑函和必要的证明材料。</w:t>
      </w:r>
    </w:p>
    <w:p w14:paraId="5BE80DB4">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04065CE1">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3.质疑供应商若对项目的某一分包进行质疑，质疑函中应列明具体分包号。</w:t>
      </w:r>
    </w:p>
    <w:p w14:paraId="6C50BF88">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4.质疑函的质疑事项应具体、明确，并有必要的事实依据和法律依据。</w:t>
      </w:r>
    </w:p>
    <w:p w14:paraId="1344D684">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5.质疑函的质疑请求应与质疑事项相关。</w:t>
      </w:r>
    </w:p>
    <w:p w14:paraId="6278B3DA">
      <w:pPr>
        <w:pStyle w:val="63"/>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6.质疑供应商为自然人的，质疑函应由本人签字；质疑供应商为法人或者其他组织的，质疑函应由法定代表人、主要负责人，或者其授权代表签字或者盖章，并加盖公章。</w:t>
      </w:r>
    </w:p>
    <w:p w14:paraId="56853508">
      <w:pPr>
        <w:keepNext w:val="0"/>
        <w:keepLines w:val="0"/>
        <w:pageBreakBefore w:val="0"/>
        <w:widowControl/>
        <w:kinsoku/>
        <w:wordWrap/>
        <w:overflowPunct/>
        <w:topLinePunct w:val="0"/>
        <w:autoSpaceDE/>
        <w:autoSpaceDN/>
        <w:bidi w:val="0"/>
        <w:adjustRightInd/>
        <w:spacing w:after="0" w:line="360" w:lineRule="auto"/>
        <w:ind w:left="0" w:leftChars="0" w:right="0" w:firstLine="600" w:firstLineChars="200"/>
        <w:textAlignment w:val="auto"/>
        <w:rPr>
          <w:rFonts w:hint="eastAsia" w:ascii="仿宋" w:hAnsi="仿宋" w:eastAsia="仿宋" w:cs="仿宋"/>
          <w:color w:val="auto"/>
          <w:sz w:val="30"/>
          <w:szCs w:val="30"/>
          <w:highlight w:val="none"/>
        </w:rPr>
      </w:pPr>
    </w:p>
    <w:p w14:paraId="13E04D31">
      <w:pPr>
        <w:keepNext w:val="0"/>
        <w:keepLines w:val="0"/>
        <w:pageBreakBefore w:val="0"/>
        <w:widowControl/>
        <w:kinsoku/>
        <w:wordWrap/>
        <w:overflowPunct/>
        <w:topLinePunct w:val="0"/>
        <w:autoSpaceDE/>
        <w:autoSpaceDN/>
        <w:bidi w:val="0"/>
        <w:adjustRightInd/>
        <w:spacing w:after="0" w:line="360" w:lineRule="auto"/>
        <w:ind w:left="0" w:leftChars="0" w:right="0" w:firstLine="667" w:firstLineChars="200"/>
        <w:jc w:val="center"/>
        <w:textAlignment w:val="auto"/>
        <w:rPr>
          <w:rFonts w:hint="eastAsia" w:ascii="仿宋" w:hAnsi="仿宋" w:eastAsia="仿宋" w:cs="仿宋"/>
          <w:b/>
          <w:color w:val="auto"/>
          <w:spacing w:val="6"/>
          <w:sz w:val="32"/>
          <w:szCs w:val="32"/>
          <w:highlight w:val="none"/>
        </w:rPr>
      </w:pPr>
    </w:p>
    <w:p w14:paraId="6C280A7F">
      <w:pPr>
        <w:pStyle w:val="2"/>
        <w:rPr>
          <w:rFonts w:hint="eastAsia" w:ascii="仿宋" w:hAnsi="仿宋" w:eastAsia="仿宋" w:cs="仿宋"/>
          <w:b/>
          <w:color w:val="auto"/>
          <w:spacing w:val="6"/>
          <w:sz w:val="32"/>
          <w:szCs w:val="32"/>
          <w:highlight w:val="none"/>
        </w:rPr>
      </w:pPr>
    </w:p>
    <w:p w14:paraId="64F8FDAB">
      <w:pPr>
        <w:rPr>
          <w:rFonts w:hint="eastAsia" w:ascii="仿宋" w:hAnsi="仿宋" w:eastAsia="仿宋" w:cs="仿宋"/>
          <w:b/>
          <w:color w:val="auto"/>
          <w:spacing w:val="6"/>
          <w:sz w:val="32"/>
          <w:szCs w:val="32"/>
          <w:highlight w:val="none"/>
        </w:rPr>
      </w:pPr>
    </w:p>
    <w:p w14:paraId="0B12A5C5">
      <w:pPr>
        <w:pStyle w:val="2"/>
        <w:rPr>
          <w:rFonts w:hint="eastAsia" w:ascii="仿宋" w:hAnsi="仿宋" w:eastAsia="仿宋" w:cs="仿宋"/>
          <w:b/>
          <w:color w:val="auto"/>
          <w:spacing w:val="6"/>
          <w:sz w:val="32"/>
          <w:szCs w:val="32"/>
          <w:highlight w:val="none"/>
        </w:rPr>
      </w:pPr>
    </w:p>
    <w:p w14:paraId="196F235B">
      <w:pPr>
        <w:rPr>
          <w:rFonts w:hint="eastAsia" w:ascii="仿宋" w:hAnsi="仿宋" w:eastAsia="仿宋" w:cs="仿宋"/>
          <w:b/>
          <w:color w:val="auto"/>
          <w:spacing w:val="6"/>
          <w:sz w:val="32"/>
          <w:szCs w:val="32"/>
          <w:highlight w:val="none"/>
        </w:rPr>
      </w:pPr>
    </w:p>
    <w:p w14:paraId="06A1C7F6">
      <w:pPr>
        <w:pStyle w:val="2"/>
        <w:rPr>
          <w:rFonts w:hint="eastAsia" w:ascii="仿宋" w:hAnsi="仿宋" w:eastAsia="仿宋" w:cs="仿宋"/>
          <w:b/>
          <w:color w:val="auto"/>
          <w:spacing w:val="6"/>
          <w:sz w:val="32"/>
          <w:szCs w:val="32"/>
          <w:highlight w:val="none"/>
        </w:rPr>
      </w:pPr>
    </w:p>
    <w:p w14:paraId="5396F620">
      <w:pPr>
        <w:rPr>
          <w:rFonts w:hint="eastAsia" w:ascii="仿宋" w:hAnsi="仿宋" w:eastAsia="仿宋" w:cs="仿宋"/>
          <w:b/>
          <w:color w:val="auto"/>
          <w:spacing w:val="6"/>
          <w:sz w:val="32"/>
          <w:szCs w:val="32"/>
          <w:highlight w:val="none"/>
        </w:rPr>
      </w:pPr>
    </w:p>
    <w:p w14:paraId="710E4365">
      <w:pPr>
        <w:pStyle w:val="2"/>
        <w:rPr>
          <w:rFonts w:hint="eastAsia" w:ascii="仿宋" w:hAnsi="仿宋" w:eastAsia="仿宋" w:cs="仿宋"/>
          <w:b/>
          <w:color w:val="auto"/>
          <w:spacing w:val="6"/>
          <w:sz w:val="32"/>
          <w:szCs w:val="32"/>
          <w:highlight w:val="none"/>
        </w:rPr>
      </w:pPr>
    </w:p>
    <w:p w14:paraId="7B0FE8AA">
      <w:pPr>
        <w:rPr>
          <w:rFonts w:hint="eastAsia" w:ascii="仿宋" w:hAnsi="仿宋" w:eastAsia="仿宋" w:cs="仿宋"/>
          <w:b/>
          <w:color w:val="auto"/>
          <w:spacing w:val="6"/>
          <w:sz w:val="32"/>
          <w:szCs w:val="32"/>
          <w:highlight w:val="none"/>
        </w:rPr>
      </w:pPr>
    </w:p>
    <w:p w14:paraId="0EB62601">
      <w:pPr>
        <w:pStyle w:val="2"/>
        <w:rPr>
          <w:rFonts w:hint="eastAsia" w:ascii="仿宋" w:hAnsi="仿宋" w:eastAsia="仿宋" w:cs="仿宋"/>
          <w:b/>
          <w:color w:val="auto"/>
          <w:spacing w:val="6"/>
          <w:sz w:val="32"/>
          <w:szCs w:val="32"/>
          <w:highlight w:val="none"/>
        </w:rPr>
      </w:pPr>
    </w:p>
    <w:p w14:paraId="250907A3">
      <w:pPr>
        <w:rPr>
          <w:rFonts w:hint="eastAsia" w:ascii="仿宋" w:hAnsi="仿宋" w:eastAsia="仿宋" w:cs="仿宋"/>
          <w:color w:val="auto"/>
          <w:highlight w:val="none"/>
        </w:rPr>
      </w:pPr>
    </w:p>
    <w:p w14:paraId="5E6320E2">
      <w:pPr>
        <w:keepNext w:val="0"/>
        <w:keepLines w:val="0"/>
        <w:pageBreakBefore w:val="0"/>
        <w:widowControl/>
        <w:kinsoku/>
        <w:wordWrap/>
        <w:overflowPunct/>
        <w:topLinePunct w:val="0"/>
        <w:autoSpaceDE/>
        <w:autoSpaceDN/>
        <w:bidi w:val="0"/>
        <w:adjustRightInd/>
        <w:spacing w:after="0" w:line="360" w:lineRule="auto"/>
        <w:ind w:left="0" w:leftChars="0" w:right="0" w:firstLine="667" w:firstLineChars="200"/>
        <w:jc w:val="center"/>
        <w:textAlignment w:val="auto"/>
        <w:rPr>
          <w:rFonts w:hint="eastAsia" w:ascii="仿宋" w:hAnsi="仿宋" w:eastAsia="仿宋" w:cs="仿宋"/>
          <w:b/>
          <w:color w:val="auto"/>
          <w:spacing w:val="6"/>
          <w:sz w:val="32"/>
          <w:szCs w:val="32"/>
          <w:highlight w:val="none"/>
        </w:rPr>
      </w:pPr>
    </w:p>
    <w:p w14:paraId="3A2D5A9C">
      <w:pPr>
        <w:pStyle w:val="4"/>
        <w:keepNext w:val="0"/>
        <w:keepLines w:val="0"/>
        <w:pageBreakBefore w:val="0"/>
        <w:widowControl/>
        <w:kinsoku/>
        <w:wordWrap/>
        <w:overflowPunct/>
        <w:topLinePunct w:val="0"/>
        <w:autoSpaceDE/>
        <w:autoSpaceDN/>
        <w:bidi w:val="0"/>
        <w:adjustRightInd/>
        <w:spacing w:before="0" w:after="0" w:line="360" w:lineRule="auto"/>
        <w:ind w:left="0" w:leftChars="0" w:right="0" w:firstLine="562"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t>附件</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：投诉书范本及制作说明</w:t>
      </w:r>
    </w:p>
    <w:p w14:paraId="0C4E85C8">
      <w:pPr>
        <w:keepNext w:val="0"/>
        <w:keepLines w:val="0"/>
        <w:pageBreakBefore w:val="0"/>
        <w:widowControl/>
        <w:kinsoku/>
        <w:wordWrap/>
        <w:overflowPunct/>
        <w:topLinePunct w:val="0"/>
        <w:autoSpaceDE/>
        <w:autoSpaceDN/>
        <w:bidi w:val="0"/>
        <w:adjustRightInd/>
        <w:spacing w:after="0" w:line="360" w:lineRule="auto"/>
        <w:ind w:left="0" w:leftChars="0" w:right="0" w:firstLine="482" w:firstLineChars="200"/>
        <w:jc w:val="center"/>
        <w:textAlignment w:val="auto"/>
        <w:rPr>
          <w:rFonts w:hint="eastAsia" w:ascii="仿宋" w:hAnsi="仿宋" w:eastAsia="仿宋" w:cs="仿宋"/>
          <w:b/>
          <w:color w:val="auto"/>
          <w:highlight w:val="none"/>
        </w:rPr>
      </w:pPr>
    </w:p>
    <w:p w14:paraId="093215AE">
      <w:pPr>
        <w:keepNext w:val="0"/>
        <w:keepLines w:val="0"/>
        <w:pageBreakBefore w:val="0"/>
        <w:widowControl/>
        <w:kinsoku/>
        <w:wordWrap/>
        <w:overflowPunct/>
        <w:topLinePunct w:val="0"/>
        <w:autoSpaceDE/>
        <w:autoSpaceDN/>
        <w:bidi w:val="0"/>
        <w:adjustRightInd/>
        <w:spacing w:after="0" w:line="360" w:lineRule="auto"/>
        <w:ind w:left="0" w:leftChars="0" w:right="0" w:firstLine="667" w:firstLineChars="200"/>
        <w:jc w:val="center"/>
        <w:textAlignment w:val="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4F339B88">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一、投诉相关主体基本情况</w:t>
      </w:r>
    </w:p>
    <w:p w14:paraId="186C5A90">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投诉人：</w:t>
      </w:r>
      <w:r>
        <w:rPr>
          <w:rFonts w:hint="eastAsia" w:ascii="仿宋" w:hAnsi="仿宋" w:eastAsia="仿宋" w:cs="仿宋"/>
          <w:color w:val="auto"/>
          <w:highlight w:val="none"/>
          <w:u w:val="dotted"/>
        </w:rPr>
        <w:t xml:space="preserve">                                               </w:t>
      </w:r>
    </w:p>
    <w:p w14:paraId="4FC38D20">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地     址：</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邮编：</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14:paraId="38C71D3B">
      <w:pPr>
        <w:keepNext w:val="0"/>
        <w:keepLines w:val="0"/>
        <w:pageBreakBefore w:val="0"/>
        <w:widowControl/>
        <w:tabs>
          <w:tab w:val="left" w:pos="6510"/>
        </w:tabs>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法定代表人/主要负责人：</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 xml:space="preserve">  </w:t>
      </w:r>
    </w:p>
    <w:p w14:paraId="75D68D99">
      <w:pPr>
        <w:keepNext w:val="0"/>
        <w:keepLines w:val="0"/>
        <w:pageBreakBefore w:val="0"/>
        <w:widowControl/>
        <w:tabs>
          <w:tab w:val="left" w:pos="6510"/>
        </w:tabs>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联系电话：</w:t>
      </w:r>
      <w:r>
        <w:rPr>
          <w:rFonts w:hint="eastAsia" w:ascii="仿宋" w:hAnsi="仿宋" w:eastAsia="仿宋" w:cs="仿宋"/>
          <w:color w:val="auto"/>
          <w:highlight w:val="none"/>
          <w:u w:val="dotted"/>
        </w:rPr>
        <w:t xml:space="preserve">                                             </w:t>
      </w:r>
    </w:p>
    <w:p w14:paraId="2C735C93">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授权代表：</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联系电话</w:t>
      </w:r>
      <w:r>
        <w:rPr>
          <w:rFonts w:hint="eastAsia" w:ascii="仿宋" w:hAnsi="仿宋" w:eastAsia="仿宋" w:cs="仿宋"/>
          <w:color w:val="auto"/>
          <w:highlight w:val="none"/>
          <w:u w:val="dotted"/>
        </w:rPr>
        <w:t xml:space="preserve">：                  </w:t>
      </w:r>
    </w:p>
    <w:p w14:paraId="48F913F1">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地     址：</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邮编：</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u w:val="dotted"/>
        </w:rPr>
        <w:t xml:space="preserve">                   </w:t>
      </w:r>
    </w:p>
    <w:p w14:paraId="45CE2C01">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被投诉人1：</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14:paraId="1355F86D">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地     址：</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邮编：</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14:paraId="4218AF1D">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联系人：</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联系电话：</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14:paraId="70F0BB8D">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被投诉人2</w:t>
      </w:r>
    </w:p>
    <w:p w14:paraId="0605A1BC">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w:t>
      </w:r>
    </w:p>
    <w:p w14:paraId="143CABAD">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相关供应商：</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14:paraId="167C6C88">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地     址：</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邮编：</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14:paraId="7ED14DE4">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联系人：</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联系电话：</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14:paraId="1D8B7856">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二、投诉项目基本情况</w:t>
      </w:r>
    </w:p>
    <w:p w14:paraId="4CF73F20">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采购项目名称：</w:t>
      </w:r>
      <w:r>
        <w:rPr>
          <w:rFonts w:hint="eastAsia" w:ascii="仿宋" w:hAnsi="仿宋" w:eastAsia="仿宋" w:cs="仿宋"/>
          <w:color w:val="auto"/>
          <w:highlight w:val="none"/>
          <w:u w:val="dotted"/>
        </w:rPr>
        <w:t xml:space="preserve">                                        </w:t>
      </w:r>
    </w:p>
    <w:p w14:paraId="18058E0E">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采购项目编号：</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包号：</w:t>
      </w:r>
      <w:r>
        <w:rPr>
          <w:rFonts w:hint="eastAsia" w:ascii="仿宋" w:hAnsi="仿宋" w:eastAsia="仿宋" w:cs="仿宋"/>
          <w:color w:val="auto"/>
          <w:highlight w:val="none"/>
          <w:u w:val="dotted"/>
        </w:rPr>
        <w:t xml:space="preserve">              </w:t>
      </w:r>
    </w:p>
    <w:p w14:paraId="24B5BD69">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lang w:eastAsia="zh-CN"/>
        </w:rPr>
        <w:t>交易发起人</w:t>
      </w:r>
      <w:r>
        <w:rPr>
          <w:rFonts w:hint="eastAsia" w:ascii="仿宋" w:hAnsi="仿宋" w:eastAsia="仿宋" w:cs="仿宋"/>
          <w:color w:val="auto"/>
          <w:highlight w:val="none"/>
        </w:rPr>
        <w:t>名称：</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u w:val="single"/>
        </w:rPr>
        <w:t xml:space="preserve">  </w:t>
      </w:r>
    </w:p>
    <w:p w14:paraId="4536AA9B">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代理机构名称：</w:t>
      </w:r>
      <w:r>
        <w:rPr>
          <w:rFonts w:hint="eastAsia" w:ascii="仿宋" w:hAnsi="仿宋" w:eastAsia="仿宋" w:cs="仿宋"/>
          <w:color w:val="auto"/>
          <w:highlight w:val="none"/>
          <w:u w:val="dotted"/>
        </w:rPr>
        <w:t xml:space="preserve">                                         </w:t>
      </w:r>
    </w:p>
    <w:p w14:paraId="2D9DEB34">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采购文件公告:</w:t>
      </w:r>
      <w:r>
        <w:rPr>
          <w:rFonts w:hint="eastAsia" w:ascii="仿宋" w:hAnsi="仿宋" w:eastAsia="仿宋" w:cs="仿宋"/>
          <w:color w:val="auto"/>
          <w:highlight w:val="none"/>
          <w:u w:val="dotted"/>
        </w:rPr>
        <w:t xml:space="preserve">是/否 </w:t>
      </w:r>
      <w:r>
        <w:rPr>
          <w:rFonts w:hint="eastAsia" w:ascii="仿宋" w:hAnsi="仿宋" w:eastAsia="仿宋" w:cs="仿宋"/>
          <w:color w:val="auto"/>
          <w:highlight w:val="none"/>
        </w:rPr>
        <w:t>公告期限：</w:t>
      </w:r>
      <w:r>
        <w:rPr>
          <w:rFonts w:hint="eastAsia" w:ascii="仿宋" w:hAnsi="仿宋" w:eastAsia="仿宋" w:cs="仿宋"/>
          <w:color w:val="auto"/>
          <w:highlight w:val="none"/>
          <w:u w:val="dotted"/>
        </w:rPr>
        <w:t xml:space="preserve">                                 </w:t>
      </w:r>
    </w:p>
    <w:p w14:paraId="6DDD56E4">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采购结果公告:</w:t>
      </w:r>
      <w:r>
        <w:rPr>
          <w:rFonts w:hint="eastAsia" w:ascii="仿宋" w:hAnsi="仿宋" w:eastAsia="仿宋" w:cs="仿宋"/>
          <w:color w:val="auto"/>
          <w:highlight w:val="none"/>
          <w:u w:val="dotted"/>
        </w:rPr>
        <w:t xml:space="preserve">是/否 </w:t>
      </w:r>
      <w:r>
        <w:rPr>
          <w:rFonts w:hint="eastAsia" w:ascii="仿宋" w:hAnsi="仿宋" w:eastAsia="仿宋" w:cs="仿宋"/>
          <w:color w:val="auto"/>
          <w:highlight w:val="none"/>
        </w:rPr>
        <w:t>公告期限：</w:t>
      </w:r>
      <w:r>
        <w:rPr>
          <w:rFonts w:hint="eastAsia" w:ascii="仿宋" w:hAnsi="仿宋" w:eastAsia="仿宋" w:cs="仿宋"/>
          <w:color w:val="auto"/>
          <w:highlight w:val="none"/>
          <w:u w:val="dotted"/>
        </w:rPr>
        <w:t xml:space="preserve">                        </w:t>
      </w:r>
    </w:p>
    <w:p w14:paraId="4D6C3A4E">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三、质疑基本情况</w:t>
      </w:r>
    </w:p>
    <w:p w14:paraId="41D0B1AF">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投诉人于</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年</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月</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日,向</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提出质疑，质疑事项为：</w:t>
      </w:r>
      <w:r>
        <w:rPr>
          <w:rFonts w:hint="eastAsia" w:ascii="仿宋" w:hAnsi="仿宋" w:eastAsia="仿宋" w:cs="仿宋"/>
          <w:color w:val="auto"/>
          <w:highlight w:val="none"/>
          <w:u w:val="dotted"/>
        </w:rPr>
        <w:t xml:space="preserve">                                </w:t>
      </w:r>
    </w:p>
    <w:p w14:paraId="2D169E9A">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 xml:space="preserve">  </w:t>
      </w:r>
    </w:p>
    <w:p w14:paraId="2CED4D60">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u w:val="dotted"/>
          <w:lang w:eastAsia="zh-CN"/>
        </w:rPr>
        <w:t>交易发起人</w:t>
      </w:r>
      <w:r>
        <w:rPr>
          <w:rFonts w:hint="eastAsia" w:ascii="仿宋" w:hAnsi="仿宋" w:eastAsia="仿宋" w:cs="仿宋"/>
          <w:color w:val="auto"/>
          <w:highlight w:val="none"/>
          <w:u w:val="dotted"/>
        </w:rPr>
        <w:t>/代理机构</w:t>
      </w:r>
      <w:r>
        <w:rPr>
          <w:rFonts w:hint="eastAsia" w:ascii="仿宋" w:hAnsi="仿宋" w:eastAsia="仿宋" w:cs="仿宋"/>
          <w:color w:val="auto"/>
          <w:highlight w:val="none"/>
        </w:rPr>
        <w:t>于</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年</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月</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日,就质疑事项作出了答复/没有在法定期限内作出答复。</w:t>
      </w:r>
    </w:p>
    <w:p w14:paraId="10456590">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四、投诉事项具体内容</w:t>
      </w:r>
    </w:p>
    <w:p w14:paraId="391494C6">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投诉事项 1：</w:t>
      </w:r>
      <w:r>
        <w:rPr>
          <w:rFonts w:hint="eastAsia" w:ascii="仿宋" w:hAnsi="仿宋" w:eastAsia="仿宋" w:cs="仿宋"/>
          <w:color w:val="auto"/>
          <w:highlight w:val="none"/>
          <w:u w:val="dotted"/>
        </w:rPr>
        <w:t xml:space="preserve">                                       </w:t>
      </w:r>
    </w:p>
    <w:p w14:paraId="6EE67FAA">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事实依据：</w:t>
      </w:r>
      <w:r>
        <w:rPr>
          <w:rFonts w:hint="eastAsia" w:ascii="仿宋" w:hAnsi="仿宋" w:eastAsia="仿宋" w:cs="仿宋"/>
          <w:color w:val="auto"/>
          <w:highlight w:val="none"/>
          <w:u w:val="dotted"/>
        </w:rPr>
        <w:t xml:space="preserve">                                         </w:t>
      </w:r>
    </w:p>
    <w:p w14:paraId="10CE20CE">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u w:val="dotted"/>
        </w:rPr>
        <w:t xml:space="preserve">                                                      </w:t>
      </w:r>
    </w:p>
    <w:p w14:paraId="3B0B63FF">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法律依据：</w:t>
      </w:r>
      <w:r>
        <w:rPr>
          <w:rFonts w:hint="eastAsia" w:ascii="仿宋" w:hAnsi="仿宋" w:eastAsia="仿宋" w:cs="仿宋"/>
          <w:color w:val="auto"/>
          <w:highlight w:val="none"/>
          <w:u w:val="dotted"/>
        </w:rPr>
        <w:t xml:space="preserve">                                          </w:t>
      </w:r>
    </w:p>
    <w:p w14:paraId="3D43E108">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u w:val="dotted"/>
        </w:rPr>
        <w:t xml:space="preserve">                                                      </w:t>
      </w:r>
    </w:p>
    <w:p w14:paraId="697E1D3E">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投诉事项2</w:t>
      </w:r>
    </w:p>
    <w:p w14:paraId="345AA586">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dotted"/>
        </w:rPr>
      </w:pPr>
      <w:r>
        <w:rPr>
          <w:rFonts w:hint="eastAsia" w:ascii="仿宋" w:hAnsi="仿宋" w:eastAsia="仿宋" w:cs="仿宋"/>
          <w:color w:val="auto"/>
          <w:highlight w:val="none"/>
        </w:rPr>
        <w:t>……</w:t>
      </w:r>
    </w:p>
    <w:p w14:paraId="41DF40F4">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五、与投诉事项相关的投诉请求</w:t>
      </w:r>
    </w:p>
    <w:p w14:paraId="35CBA6FA">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请求：</w:t>
      </w:r>
      <w:r>
        <w:rPr>
          <w:rFonts w:hint="eastAsia" w:ascii="仿宋" w:hAnsi="仿宋" w:eastAsia="仿宋" w:cs="仿宋"/>
          <w:color w:val="auto"/>
          <w:highlight w:val="none"/>
          <w:u w:val="dotted"/>
        </w:rPr>
        <w:t xml:space="preserve">                                              </w:t>
      </w:r>
      <w:r>
        <w:rPr>
          <w:rFonts w:hint="eastAsia" w:ascii="仿宋" w:hAnsi="仿宋" w:eastAsia="仿宋" w:cs="仿宋"/>
          <w:color w:val="auto"/>
          <w:highlight w:val="none"/>
        </w:rPr>
        <w:t xml:space="preserve"> </w:t>
      </w:r>
    </w:p>
    <w:p w14:paraId="14FCE47C">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rPr>
        <w:t xml:space="preserve">                                                                                                    </w:t>
      </w:r>
    </w:p>
    <w:p w14:paraId="3B3623EB">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签字(签章)：                   公章：                      </w:t>
      </w:r>
    </w:p>
    <w:p w14:paraId="654ADDD9">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日期：    </w:t>
      </w:r>
    </w:p>
    <w:p w14:paraId="1E979266">
      <w:pPr>
        <w:keepNext w:val="0"/>
        <w:keepLines w:val="0"/>
        <w:pageBreakBefore w:val="0"/>
        <w:widowControl/>
        <w:kinsoku/>
        <w:wordWrap/>
        <w:overflowPunct/>
        <w:topLinePunct w:val="0"/>
        <w:autoSpaceDE/>
        <w:autoSpaceDN/>
        <w:bidi w:val="0"/>
        <w:adjustRightInd/>
        <w:spacing w:after="0" w:line="360" w:lineRule="auto"/>
        <w:ind w:left="0" w:leftChars="0" w:righ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投诉书制作说明：</w:t>
      </w:r>
    </w:p>
    <w:p w14:paraId="0BE7BA7E">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1.投诉人提起投诉时，应当提交投诉书和必要的证明材料，并按照被投诉人和与投诉事项有关的供应商数量提供投诉书副本。</w:t>
      </w:r>
    </w:p>
    <w:p w14:paraId="5D1F0F87">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14:paraId="33216DF1">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3.投诉人若对项目的某一分包进行投诉，投诉书应列明具体分包号。</w:t>
      </w:r>
    </w:p>
    <w:p w14:paraId="584DA608">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4.投诉书应简要列明质疑事项，质疑函、质疑答复等作为附件材料提供。</w:t>
      </w:r>
    </w:p>
    <w:p w14:paraId="12B95C52">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5.投诉书的投诉事项应具体、明确，并有必要的事实依据和法律依据。</w:t>
      </w:r>
    </w:p>
    <w:p w14:paraId="566786A1">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6.投诉书的投诉请求应与投诉事项相关。</w:t>
      </w:r>
    </w:p>
    <w:p w14:paraId="485B80DD">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7.投诉人为自然人的，投诉书应当由本人签字；投诉人为法人或者其他组织的，投诉书应当由法定代表人、主要负责人，或者其授权代表签字或者盖章，并加盖公章。</w:t>
      </w:r>
    </w:p>
    <w:p w14:paraId="375504AA">
      <w:pPr>
        <w:keepNext w:val="0"/>
        <w:keepLines w:val="0"/>
        <w:pageBreakBefore w:val="0"/>
        <w:widowControl/>
        <w:kinsoku/>
        <w:wordWrap/>
        <w:overflowPunct/>
        <w:topLinePunct w:val="0"/>
        <w:autoSpaceDE/>
        <w:autoSpaceDN/>
        <w:bidi w:val="0"/>
        <w:adjustRightInd/>
        <w:spacing w:after="0" w:line="360" w:lineRule="auto"/>
        <w:ind w:left="0" w:leftChars="0" w:righ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br w:type="page"/>
      </w:r>
    </w:p>
    <w:p w14:paraId="1EFDCAE5">
      <w:pPr>
        <w:pStyle w:val="4"/>
        <w:keepNext w:val="0"/>
        <w:keepLines w:val="0"/>
        <w:pageBreakBefore w:val="0"/>
        <w:widowControl/>
        <w:kinsoku/>
        <w:wordWrap/>
        <w:overflowPunct/>
        <w:topLinePunct w:val="0"/>
        <w:autoSpaceDE/>
        <w:autoSpaceDN/>
        <w:bidi w:val="0"/>
        <w:adjustRightInd/>
        <w:spacing w:before="0" w:after="0" w:line="360" w:lineRule="auto"/>
        <w:ind w:left="0" w:leftChars="0" w:right="0" w:firstLine="586" w:firstLineChars="200"/>
        <w:jc w:val="left"/>
        <w:textAlignment w:val="auto"/>
        <w:rPr>
          <w:rFonts w:hint="eastAsia" w:ascii="仿宋" w:hAnsi="仿宋" w:eastAsia="仿宋" w:cs="仿宋"/>
          <w:color w:val="auto"/>
          <w:highlight w:val="none"/>
        </w:rPr>
      </w:pPr>
      <w:r>
        <w:rPr>
          <w:rFonts w:hint="eastAsia" w:ascii="仿宋" w:hAnsi="仿宋" w:eastAsia="仿宋" w:cs="仿宋"/>
          <w:color w:val="auto"/>
          <w:spacing w:val="6"/>
          <w:highlight w:val="none"/>
        </w:rPr>
        <w:t>附件</w:t>
      </w:r>
      <w:r>
        <w:rPr>
          <w:rFonts w:hint="eastAsia" w:ascii="仿宋" w:hAnsi="仿宋" w:eastAsia="仿宋" w:cs="仿宋"/>
          <w:color w:val="auto"/>
          <w:spacing w:val="6"/>
          <w:highlight w:val="none"/>
          <w:lang w:val="en-US" w:eastAsia="zh-CN"/>
        </w:rPr>
        <w:t>3</w:t>
      </w:r>
      <w:r>
        <w:rPr>
          <w:rFonts w:hint="eastAsia" w:ascii="仿宋" w:hAnsi="仿宋" w:eastAsia="仿宋" w:cs="仿宋"/>
          <w:color w:val="auto"/>
          <w:spacing w:val="6"/>
          <w:highlight w:val="none"/>
        </w:rPr>
        <w:t>：</w:t>
      </w:r>
      <w:r>
        <w:rPr>
          <w:rFonts w:hint="eastAsia" w:ascii="仿宋" w:hAnsi="仿宋" w:eastAsia="仿宋" w:cs="仿宋"/>
          <w:color w:val="auto"/>
          <w:highlight w:val="none"/>
        </w:rPr>
        <w:t>业务专用章使用说明函</w:t>
      </w:r>
    </w:p>
    <w:p w14:paraId="2D5268E0">
      <w:pPr>
        <w:keepNext w:val="0"/>
        <w:keepLines w:val="0"/>
        <w:pageBreakBefore w:val="0"/>
        <w:widowControl/>
        <w:kinsoku/>
        <w:wordWrap/>
        <w:overflowPunct/>
        <w:topLinePunct w:val="0"/>
        <w:autoSpaceDE/>
        <w:autoSpaceDN/>
        <w:bidi w:val="0"/>
        <w:adjustRightInd/>
        <w:spacing w:after="0" w:line="360" w:lineRule="auto"/>
        <w:ind w:left="0" w:leftChars="0" w:right="0" w:firstLine="643" w:firstLineChars="200"/>
        <w:jc w:val="center"/>
        <w:textAlignment w:val="auto"/>
        <w:rPr>
          <w:rFonts w:hint="eastAsia" w:ascii="仿宋" w:hAnsi="仿宋" w:eastAsia="仿宋" w:cs="仿宋"/>
          <w:b/>
          <w:smallCaps/>
          <w:color w:val="auto"/>
          <w:spacing w:val="6"/>
          <w:sz w:val="36"/>
          <w:szCs w:val="28"/>
          <w:highlight w:val="none"/>
        </w:rPr>
      </w:pPr>
      <w:r>
        <w:rPr>
          <w:rFonts w:hint="eastAsia" w:ascii="仿宋" w:hAnsi="仿宋" w:eastAsia="仿宋" w:cs="仿宋"/>
          <w:b/>
          <w:color w:val="auto"/>
          <w:sz w:val="32"/>
          <w:highlight w:val="none"/>
        </w:rPr>
        <w:t>业务专用章使用说明函</w:t>
      </w:r>
    </w:p>
    <w:p w14:paraId="50E2511B">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u w:val="single"/>
        </w:rPr>
        <w:t>（</w:t>
      </w:r>
      <w:r>
        <w:rPr>
          <w:rFonts w:hint="eastAsia" w:ascii="仿宋" w:hAnsi="仿宋" w:eastAsia="仿宋" w:cs="仿宋"/>
          <w:color w:val="auto"/>
          <w:highlight w:val="none"/>
          <w:u w:val="single"/>
          <w:lang w:eastAsia="zh-CN"/>
        </w:rPr>
        <w:t>交易发起人</w:t>
      </w:r>
      <w:r>
        <w:rPr>
          <w:rFonts w:hint="eastAsia" w:ascii="仿宋" w:hAnsi="仿宋" w:eastAsia="仿宋" w:cs="仿宋"/>
          <w:color w:val="auto"/>
          <w:highlight w:val="none"/>
          <w:u w:val="single"/>
        </w:rPr>
        <w:t>）、（采购代理机构）</w:t>
      </w:r>
    </w:p>
    <w:p w14:paraId="71DAD3E2">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我方</w:t>
      </w:r>
      <w:r>
        <w:rPr>
          <w:rFonts w:hint="eastAsia" w:ascii="仿宋" w:hAnsi="仿宋" w:eastAsia="仿宋" w:cs="仿宋"/>
          <w:color w:val="auto"/>
          <w:highlight w:val="none"/>
          <w:u w:val="single"/>
          <w:lang w:val="zh-CN"/>
        </w:rPr>
        <w:t xml:space="preserve">                         </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rPr>
        <w:t>全称)是中华人民共和国依法登记注册的合法企业，</w:t>
      </w:r>
      <w:r>
        <w:rPr>
          <w:rFonts w:hint="eastAsia" w:ascii="仿宋" w:hAnsi="仿宋" w:eastAsia="仿宋" w:cs="仿宋"/>
          <w:bCs/>
          <w:color w:val="auto"/>
          <w:highlight w:val="none"/>
        </w:rPr>
        <w:t>在参加</w:t>
      </w:r>
      <w:r>
        <w:rPr>
          <w:rFonts w:hint="eastAsia" w:ascii="仿宋" w:hAnsi="仿宋" w:eastAsia="仿宋" w:cs="仿宋"/>
          <w:color w:val="auto"/>
          <w:highlight w:val="none"/>
        </w:rPr>
        <w:t>你方组织的（项目名称）项目【</w:t>
      </w:r>
      <w:r>
        <w:rPr>
          <w:rFonts w:hint="eastAsia" w:ascii="仿宋" w:hAnsi="仿宋" w:eastAsia="仿宋" w:cs="仿宋"/>
          <w:color w:val="auto"/>
          <w:highlight w:val="none"/>
          <w:lang w:eastAsia="zh-CN"/>
        </w:rPr>
        <w:t>项目编号</w:t>
      </w:r>
      <w:r>
        <w:rPr>
          <w:rFonts w:hint="eastAsia" w:ascii="仿宋" w:hAnsi="仿宋" w:eastAsia="仿宋" w:cs="仿宋"/>
          <w:color w:val="auto"/>
          <w:highlight w:val="none"/>
        </w:rPr>
        <w:t>：（采购编号）】</w:t>
      </w:r>
      <w:r>
        <w:rPr>
          <w:rFonts w:hint="eastAsia" w:ascii="仿宋" w:hAnsi="仿宋" w:eastAsia="仿宋" w:cs="仿宋"/>
          <w:bCs/>
          <w:color w:val="auto"/>
          <w:highlight w:val="none"/>
          <w:lang w:val="en-US" w:eastAsia="zh-CN"/>
        </w:rPr>
        <w:t>交易</w:t>
      </w:r>
      <w:r>
        <w:rPr>
          <w:rFonts w:hint="eastAsia" w:ascii="仿宋" w:hAnsi="仿宋" w:eastAsia="仿宋" w:cs="仿宋"/>
          <w:bCs/>
          <w:color w:val="auto"/>
          <w:highlight w:val="none"/>
        </w:rPr>
        <w:t>活动中作如下说明：</w:t>
      </w:r>
      <w:r>
        <w:rPr>
          <w:rFonts w:hint="eastAsia" w:ascii="仿宋" w:hAnsi="仿宋" w:eastAsia="仿宋" w:cs="仿宋"/>
          <w:color w:val="auto"/>
          <w:highlight w:val="none"/>
        </w:rPr>
        <w:t xml:space="preserve">我方所使用的“XX专用章”与法定名称章具有同等的法律效力，对使用“XX专用章”的行为予以完全承认，并愿意承担相应责任。   </w:t>
      </w:r>
    </w:p>
    <w:p w14:paraId="4748D3E2">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rPr>
        <w:t>特此说明。</w:t>
      </w:r>
    </w:p>
    <w:p w14:paraId="4F0979D3">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p>
    <w:p w14:paraId="48204A05">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p>
    <w:p w14:paraId="53712769">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单位（法定名称章）：</w:t>
      </w:r>
    </w:p>
    <w:p w14:paraId="3F3B33B5">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                       日期：       年     月     日</w:t>
      </w:r>
    </w:p>
    <w:p w14:paraId="5C9E4E53">
      <w:pPr>
        <w:keepNext w:val="0"/>
        <w:keepLines w:val="0"/>
        <w:pageBreakBefore w:val="0"/>
        <w:widowControl/>
        <w:kinsoku/>
        <w:wordWrap/>
        <w:overflowPunct/>
        <w:topLinePunct w:val="0"/>
        <w:autoSpaceDE/>
        <w:autoSpaceDN/>
        <w:bidi w:val="0"/>
        <w:adjustRightInd/>
        <w:spacing w:after="0" w:line="360" w:lineRule="auto"/>
        <w:ind w:left="0" w:leftChars="0" w:right="0" w:firstLine="482" w:firstLineChars="200"/>
        <w:textAlignment w:val="auto"/>
        <w:rPr>
          <w:rFonts w:hint="eastAsia" w:ascii="仿宋" w:hAnsi="仿宋" w:eastAsia="仿宋" w:cs="仿宋"/>
          <w:color w:val="auto"/>
          <w:highlight w:val="none"/>
        </w:rPr>
      </w:pPr>
      <w:r>
        <w:rPr>
          <w:rFonts w:hint="eastAsia" w:ascii="仿宋" w:hAnsi="仿宋" w:eastAsia="仿宋" w:cs="仿宋"/>
          <w:b/>
          <w:bCs/>
          <w:color w:val="auto"/>
          <w:highlight w:val="none"/>
        </w:rPr>
        <w:t>附：</w:t>
      </w:r>
    </w:p>
    <w:p w14:paraId="5BA33C1A">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textAlignment w:val="auto"/>
        <w:rPr>
          <w:rFonts w:hint="eastAsia" w:ascii="仿宋" w:hAnsi="仿宋" w:eastAsia="仿宋" w:cs="仿宋"/>
          <w:bCs/>
          <w:color w:val="auto"/>
          <w:highlight w:val="none"/>
        </w:rPr>
      </w:pPr>
      <w:r>
        <w:rPr>
          <w:rFonts w:hint="eastAsia" w:ascii="仿宋" w:hAnsi="仿宋" w:eastAsia="仿宋" w:cs="仿宋"/>
          <w:color w:val="auto"/>
          <w:highlight w:val="none"/>
          <w:lang w:val="en-US" w:eastAsia="zh-CN"/>
        </w:rPr>
        <w:t>响应</w:t>
      </w:r>
      <w:r>
        <w:rPr>
          <w:rFonts w:hint="eastAsia" w:ascii="仿宋" w:hAnsi="仿宋" w:eastAsia="仿宋" w:cs="仿宋"/>
          <w:b/>
          <w:bCs/>
          <w:color w:val="auto"/>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14:paraId="0AAF3AC8">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14:paraId="0AAF3AC8">
                      <w:pPr>
                        <w:jc w:val="center"/>
                      </w:pPr>
                    </w:p>
                  </w:txbxContent>
                </v:textbox>
              </v:rect>
            </w:pict>
          </mc:Fallback>
        </mc:AlternateContent>
      </w:r>
      <w:r>
        <w:rPr>
          <w:rFonts w:hint="eastAsia" w:ascii="仿宋" w:hAnsi="仿宋" w:eastAsia="仿宋" w:cs="仿宋"/>
          <w:b/>
          <w:bCs/>
          <w:color w:val="auto"/>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4B41B21A">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4B41B21A">
                      <w:pPr>
                        <w:jc w:val="center"/>
                      </w:pPr>
                    </w:p>
                  </w:txbxContent>
                </v:textbox>
              </v:rect>
            </w:pict>
          </mc:Fallback>
        </mc:AlternateContent>
      </w:r>
      <w:r>
        <w:rPr>
          <w:rFonts w:hint="eastAsia" w:ascii="仿宋" w:hAnsi="仿宋" w:eastAsia="仿宋" w:cs="仿宋"/>
          <w:color w:val="auto"/>
          <w:highlight w:val="none"/>
        </w:rPr>
        <w:t xml:space="preserve">单位法定名称章（印模）            </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单位“XX专用章”（印模）</w:t>
      </w:r>
    </w:p>
    <w:p w14:paraId="74DA9BDB">
      <w:pPr>
        <w:keepNext w:val="0"/>
        <w:keepLines w:val="0"/>
        <w:pageBreakBefore w:val="0"/>
        <w:widowControl/>
        <w:kinsoku/>
        <w:wordWrap/>
        <w:overflowPunct/>
        <w:topLinePunct w:val="0"/>
        <w:autoSpaceDE/>
        <w:autoSpaceDN/>
        <w:bidi w:val="0"/>
        <w:adjustRightInd/>
        <w:spacing w:after="0" w:line="360" w:lineRule="auto"/>
        <w:ind w:left="0" w:leftChars="0" w:right="0" w:firstLine="667" w:firstLineChars="200"/>
        <w:textAlignment w:val="auto"/>
        <w:rPr>
          <w:rFonts w:hint="eastAsia" w:ascii="仿宋" w:hAnsi="仿宋" w:eastAsia="仿宋" w:cs="仿宋"/>
          <w:b/>
          <w:color w:val="auto"/>
          <w:spacing w:val="6"/>
          <w:sz w:val="32"/>
          <w:szCs w:val="32"/>
          <w:highlight w:val="none"/>
        </w:rPr>
      </w:pPr>
    </w:p>
    <w:p w14:paraId="2A8E700B">
      <w:pPr>
        <w:keepNext w:val="0"/>
        <w:keepLines w:val="0"/>
        <w:pageBreakBefore w:val="0"/>
        <w:widowControl/>
        <w:kinsoku/>
        <w:wordWrap/>
        <w:overflowPunct/>
        <w:topLinePunct w:val="0"/>
        <w:autoSpaceDE/>
        <w:autoSpaceDN/>
        <w:bidi w:val="0"/>
        <w:adjustRightInd/>
        <w:spacing w:after="0" w:line="360" w:lineRule="auto"/>
        <w:ind w:left="0" w:leftChars="0" w:right="0" w:firstLine="586" w:firstLineChars="200"/>
        <w:textAlignment w:val="auto"/>
        <w:rPr>
          <w:rFonts w:hint="eastAsia" w:ascii="仿宋" w:hAnsi="仿宋" w:eastAsia="仿宋" w:cs="仿宋"/>
          <w:b/>
          <w:smallCaps/>
          <w:color w:val="auto"/>
          <w:spacing w:val="6"/>
          <w:sz w:val="28"/>
          <w:szCs w:val="28"/>
          <w:highlight w:val="none"/>
        </w:rPr>
      </w:pPr>
    </w:p>
    <w:p w14:paraId="05DA57B0">
      <w:pPr>
        <w:keepNext w:val="0"/>
        <w:keepLines w:val="0"/>
        <w:pageBreakBefore w:val="0"/>
        <w:widowControl/>
        <w:kinsoku/>
        <w:wordWrap/>
        <w:overflowPunct/>
        <w:topLinePunct w:val="0"/>
        <w:autoSpaceDE/>
        <w:autoSpaceDN/>
        <w:bidi w:val="0"/>
        <w:adjustRightInd/>
        <w:spacing w:after="0" w:line="360" w:lineRule="auto"/>
        <w:ind w:right="0"/>
        <w:textAlignment w:val="auto"/>
        <w:rPr>
          <w:rFonts w:hint="eastAsia" w:ascii="仿宋" w:hAnsi="仿宋" w:eastAsia="仿宋" w:cs="仿宋"/>
          <w:color w:val="auto"/>
          <w:highlight w:val="none"/>
        </w:rPr>
      </w:pPr>
    </w:p>
    <w:sectPr>
      <w:pgSz w:w="11906" w:h="16838"/>
      <w:pgMar w:top="1440" w:right="1700" w:bottom="1440" w:left="1800" w:header="851" w:footer="992" w:gutter="0"/>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3000509000000000000"/>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2F70EB">
    <w:pPr>
      <w:pStyle w:val="19"/>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A3F848C">
                          <w:pPr>
                            <w:pStyle w:val="1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5A3F848C">
                    <w:pPr>
                      <w:pStyle w:val="1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72DB0">
    <w:pPr>
      <w:framePr w:wrap="around" w:vAnchor="text" w:hAnchor="margin" w:xAlign="center" w:y="1"/>
    </w:pPr>
    <w:r>
      <w:fldChar w:fldCharType="begin"/>
    </w:r>
    <w:r>
      <w:instrText xml:space="preserve">PAGE  </w:instrText>
    </w:r>
    <w:r>
      <w:fldChar w:fldCharType="separate"/>
    </w:r>
    <w:r>
      <w:t>1</w:t>
    </w:r>
    <w:r>
      <w:fldChar w:fldCharType="end"/>
    </w:r>
  </w:p>
  <w:p w14:paraId="4220A784"/>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EA964">
    <w:pPr>
      <w:pStyle w:val="19"/>
      <w:jc w:val="center"/>
      <w:rPr>
        <w:rFonts w:ascii="仿宋_GB2312" w:eastAsia="仿宋_GB2312"/>
      </w:rP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56</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77</w:t>
    </w:r>
    <w:r>
      <w:rPr>
        <w:rFonts w:hint="eastAsia" w:ascii="仿宋_GB2312" w:eastAsia="仿宋_GB2312"/>
      </w:rPr>
      <w:fldChar w:fldCharType="end"/>
    </w:r>
    <w:r>
      <w:rPr>
        <w:rFonts w:hint="eastAsia" w:ascii="仿宋_GB2312" w:eastAsia="仿宋_GB2312"/>
      </w:rPr>
      <w:t xml:space="preserve"> 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90D375">
    <w:pPr>
      <w:pStyle w:val="21"/>
      <w:jc w:val="right"/>
    </w:pPr>
    <w:r>
      <w:rPr>
        <w:rFonts w:hint="eastAsia"/>
        <w:lang w:val="en-US" w:eastAsia="zh-CN"/>
      </w:rPr>
      <w:t>交易文件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7D152A">
    <w:pPr>
      <w:pStyle w:val="21"/>
      <w:jc w:val="right"/>
      <w:rPr>
        <w:rFonts w:hint="eastAsia" w:eastAsia="仿宋"/>
        <w:lang w:eastAsia="zh-CN"/>
      </w:rPr>
    </w:pPr>
    <w:r>
      <w:rPr>
        <w:rFonts w:hint="eastAsia"/>
        <w:lang w:eastAsia="zh-CN"/>
      </w:rPr>
      <w:t>交易文件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604318A"/>
    <w:multiLevelType w:val="singleLevel"/>
    <w:tmpl w:val="B604318A"/>
    <w:lvl w:ilvl="0" w:tentative="0">
      <w:start w:val="1"/>
      <w:numFmt w:val="chineseCounting"/>
      <w:suff w:val="nothing"/>
      <w:lvlText w:val="%1、"/>
      <w:lvlJc w:val="left"/>
      <w:rPr>
        <w:rFonts w:hint="eastAsia"/>
      </w:rPr>
    </w:lvl>
  </w:abstractNum>
  <w:abstractNum w:abstractNumId="1">
    <w:nsid w:val="559090DD"/>
    <w:multiLevelType w:val="singleLevel"/>
    <w:tmpl w:val="559090DD"/>
    <w:lvl w:ilvl="0" w:tentative="0">
      <w:start w:val="1"/>
      <w:numFmt w:val="lowerLetter"/>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HorizontalSpacing w:val="120"/>
  <w:drawingGridVerticalSpacing w:val="163"/>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NlYjM5YzZjMzA0NDUwMTdmYzRmNzhhY2NiMzhlM2UifQ=="/>
  </w:docVars>
  <w:rsids>
    <w:rsidRoot w:val="004A31C0"/>
    <w:rsid w:val="00040E44"/>
    <w:rsid w:val="000506FE"/>
    <w:rsid w:val="00052F13"/>
    <w:rsid w:val="00062A5D"/>
    <w:rsid w:val="00083EEE"/>
    <w:rsid w:val="000C67BA"/>
    <w:rsid w:val="000D12B1"/>
    <w:rsid w:val="000E75F8"/>
    <w:rsid w:val="00106784"/>
    <w:rsid w:val="001375DB"/>
    <w:rsid w:val="001448FA"/>
    <w:rsid w:val="001478DA"/>
    <w:rsid w:val="00173428"/>
    <w:rsid w:val="001A3CF6"/>
    <w:rsid w:val="00240685"/>
    <w:rsid w:val="0024401D"/>
    <w:rsid w:val="002534A7"/>
    <w:rsid w:val="002E02E0"/>
    <w:rsid w:val="003169BC"/>
    <w:rsid w:val="0035778E"/>
    <w:rsid w:val="00380ED1"/>
    <w:rsid w:val="00381B1D"/>
    <w:rsid w:val="003A3435"/>
    <w:rsid w:val="003E2487"/>
    <w:rsid w:val="004105E2"/>
    <w:rsid w:val="00424619"/>
    <w:rsid w:val="00424A1D"/>
    <w:rsid w:val="00462F9D"/>
    <w:rsid w:val="004A31C0"/>
    <w:rsid w:val="00501CA3"/>
    <w:rsid w:val="00581054"/>
    <w:rsid w:val="005A325A"/>
    <w:rsid w:val="005A3BF2"/>
    <w:rsid w:val="0060320D"/>
    <w:rsid w:val="006511DA"/>
    <w:rsid w:val="00652051"/>
    <w:rsid w:val="0065383E"/>
    <w:rsid w:val="00661973"/>
    <w:rsid w:val="006657BD"/>
    <w:rsid w:val="006D161C"/>
    <w:rsid w:val="006F2568"/>
    <w:rsid w:val="006F282E"/>
    <w:rsid w:val="00706DC6"/>
    <w:rsid w:val="00711092"/>
    <w:rsid w:val="00716529"/>
    <w:rsid w:val="00725C59"/>
    <w:rsid w:val="00734973"/>
    <w:rsid w:val="00742C93"/>
    <w:rsid w:val="00744AB4"/>
    <w:rsid w:val="007915FE"/>
    <w:rsid w:val="007B07B1"/>
    <w:rsid w:val="00825212"/>
    <w:rsid w:val="00843A59"/>
    <w:rsid w:val="00852E70"/>
    <w:rsid w:val="00872DA1"/>
    <w:rsid w:val="00873B8A"/>
    <w:rsid w:val="008B1281"/>
    <w:rsid w:val="008C3320"/>
    <w:rsid w:val="008F729B"/>
    <w:rsid w:val="009040D0"/>
    <w:rsid w:val="009064F4"/>
    <w:rsid w:val="00945503"/>
    <w:rsid w:val="009823B1"/>
    <w:rsid w:val="009863A6"/>
    <w:rsid w:val="0098739B"/>
    <w:rsid w:val="009B7259"/>
    <w:rsid w:val="009E6B47"/>
    <w:rsid w:val="00A31510"/>
    <w:rsid w:val="00A5394E"/>
    <w:rsid w:val="00A955FA"/>
    <w:rsid w:val="00AB3C03"/>
    <w:rsid w:val="00AC5A89"/>
    <w:rsid w:val="00AD3120"/>
    <w:rsid w:val="00B34428"/>
    <w:rsid w:val="00B50722"/>
    <w:rsid w:val="00B638D9"/>
    <w:rsid w:val="00B955CF"/>
    <w:rsid w:val="00C555C7"/>
    <w:rsid w:val="00CA5372"/>
    <w:rsid w:val="00CB3DBC"/>
    <w:rsid w:val="00CF35F3"/>
    <w:rsid w:val="00D03E3B"/>
    <w:rsid w:val="00D73271"/>
    <w:rsid w:val="00D901E0"/>
    <w:rsid w:val="00DB52AF"/>
    <w:rsid w:val="00DE7F9D"/>
    <w:rsid w:val="00E01C27"/>
    <w:rsid w:val="00E0322B"/>
    <w:rsid w:val="00E20696"/>
    <w:rsid w:val="00E428C8"/>
    <w:rsid w:val="00E81776"/>
    <w:rsid w:val="00E93AFC"/>
    <w:rsid w:val="00E94AF3"/>
    <w:rsid w:val="00EA5770"/>
    <w:rsid w:val="00ED389E"/>
    <w:rsid w:val="00EE2D23"/>
    <w:rsid w:val="00F577A9"/>
    <w:rsid w:val="00F66F6C"/>
    <w:rsid w:val="00F82240"/>
    <w:rsid w:val="00F872C5"/>
    <w:rsid w:val="00F906B9"/>
    <w:rsid w:val="00FD5896"/>
    <w:rsid w:val="02090086"/>
    <w:rsid w:val="02176EB0"/>
    <w:rsid w:val="065A7006"/>
    <w:rsid w:val="07415AC4"/>
    <w:rsid w:val="07C75183"/>
    <w:rsid w:val="08130899"/>
    <w:rsid w:val="0A5864EE"/>
    <w:rsid w:val="0A8B4A83"/>
    <w:rsid w:val="0BBC2D5C"/>
    <w:rsid w:val="0C386E81"/>
    <w:rsid w:val="0C770474"/>
    <w:rsid w:val="0D177A1E"/>
    <w:rsid w:val="115D0E7F"/>
    <w:rsid w:val="14D53113"/>
    <w:rsid w:val="163E7458"/>
    <w:rsid w:val="172235FF"/>
    <w:rsid w:val="18EB5D0B"/>
    <w:rsid w:val="19736123"/>
    <w:rsid w:val="1A4A40AC"/>
    <w:rsid w:val="1A63285C"/>
    <w:rsid w:val="1B825272"/>
    <w:rsid w:val="1B9D1471"/>
    <w:rsid w:val="1CD75593"/>
    <w:rsid w:val="1D7D211E"/>
    <w:rsid w:val="1EBC4CDB"/>
    <w:rsid w:val="1F401132"/>
    <w:rsid w:val="20C43288"/>
    <w:rsid w:val="226D4CD9"/>
    <w:rsid w:val="23777246"/>
    <w:rsid w:val="266D65BB"/>
    <w:rsid w:val="29794A7C"/>
    <w:rsid w:val="2A1B72B6"/>
    <w:rsid w:val="2A2F6531"/>
    <w:rsid w:val="2A767E40"/>
    <w:rsid w:val="2BC1681B"/>
    <w:rsid w:val="2CF021D7"/>
    <w:rsid w:val="2D376026"/>
    <w:rsid w:val="2D520E80"/>
    <w:rsid w:val="2DB84E57"/>
    <w:rsid w:val="2DC661A2"/>
    <w:rsid w:val="30C957CE"/>
    <w:rsid w:val="31BB3E2A"/>
    <w:rsid w:val="328F5F4B"/>
    <w:rsid w:val="32A549B7"/>
    <w:rsid w:val="33AF6D6E"/>
    <w:rsid w:val="34752E70"/>
    <w:rsid w:val="37384CFD"/>
    <w:rsid w:val="3938244B"/>
    <w:rsid w:val="39A76C82"/>
    <w:rsid w:val="3A0001BB"/>
    <w:rsid w:val="3C61263E"/>
    <w:rsid w:val="3DEF6FEC"/>
    <w:rsid w:val="3E53302E"/>
    <w:rsid w:val="3EC01585"/>
    <w:rsid w:val="40715CA4"/>
    <w:rsid w:val="43055B40"/>
    <w:rsid w:val="435242BA"/>
    <w:rsid w:val="477A6ED7"/>
    <w:rsid w:val="47E4604D"/>
    <w:rsid w:val="4A91148F"/>
    <w:rsid w:val="4B693301"/>
    <w:rsid w:val="4C2B2957"/>
    <w:rsid w:val="4CDC34D2"/>
    <w:rsid w:val="4E1C547E"/>
    <w:rsid w:val="4FBF6DE2"/>
    <w:rsid w:val="511E2052"/>
    <w:rsid w:val="526B5F26"/>
    <w:rsid w:val="52A1446F"/>
    <w:rsid w:val="536917EA"/>
    <w:rsid w:val="53F20140"/>
    <w:rsid w:val="543323FA"/>
    <w:rsid w:val="544C67EC"/>
    <w:rsid w:val="54887BA7"/>
    <w:rsid w:val="554B7894"/>
    <w:rsid w:val="55C90D0D"/>
    <w:rsid w:val="569E5B0A"/>
    <w:rsid w:val="602D101C"/>
    <w:rsid w:val="605D4E4A"/>
    <w:rsid w:val="62901D8B"/>
    <w:rsid w:val="650869CE"/>
    <w:rsid w:val="651E1C8E"/>
    <w:rsid w:val="67D50B62"/>
    <w:rsid w:val="69652439"/>
    <w:rsid w:val="697378F0"/>
    <w:rsid w:val="6A785B44"/>
    <w:rsid w:val="6F03229D"/>
    <w:rsid w:val="6F982147"/>
    <w:rsid w:val="7350004A"/>
    <w:rsid w:val="752B15CB"/>
    <w:rsid w:val="754C0D3F"/>
    <w:rsid w:val="7666618D"/>
    <w:rsid w:val="76B222BB"/>
    <w:rsid w:val="7809631C"/>
    <w:rsid w:val="78623C73"/>
    <w:rsid w:val="790B3904"/>
    <w:rsid w:val="799B2715"/>
    <w:rsid w:val="7B632E52"/>
    <w:rsid w:val="7C712F77"/>
    <w:rsid w:val="7D461ABF"/>
    <w:rsid w:val="7EB01A7B"/>
    <w:rsid w:val="7FD642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spacing w:after="200"/>
    </w:pPr>
    <w:rPr>
      <w:rFonts w:ascii="仿宋" w:hAnsi="仿宋" w:eastAsia="仿宋" w:cstheme="majorBidi"/>
      <w:sz w:val="24"/>
      <w:szCs w:val="24"/>
      <w:lang w:val="en-US" w:eastAsia="zh-CN" w:bidi="ar-SA"/>
    </w:rPr>
  </w:style>
  <w:style w:type="paragraph" w:styleId="3">
    <w:name w:val="heading 1"/>
    <w:basedOn w:val="1"/>
    <w:next w:val="1"/>
    <w:link w:val="38"/>
    <w:autoRedefine/>
    <w:qFormat/>
    <w:uiPriority w:val="9"/>
    <w:pPr>
      <w:spacing w:before="480" w:after="0"/>
      <w:contextualSpacing/>
      <w:jc w:val="center"/>
      <w:outlineLvl w:val="0"/>
    </w:pPr>
    <w:rPr>
      <w:rFonts w:ascii="仿宋_GB2312" w:eastAsia="仿宋_GB2312"/>
      <w:b/>
      <w:smallCaps/>
      <w:spacing w:val="5"/>
      <w:sz w:val="36"/>
      <w:szCs w:val="36"/>
    </w:rPr>
  </w:style>
  <w:style w:type="paragraph" w:styleId="4">
    <w:name w:val="heading 2"/>
    <w:basedOn w:val="1"/>
    <w:next w:val="1"/>
    <w:link w:val="34"/>
    <w:autoRedefine/>
    <w:unhideWhenUsed/>
    <w:qFormat/>
    <w:uiPriority w:val="9"/>
    <w:pPr>
      <w:spacing w:before="200" w:after="0" w:line="271" w:lineRule="auto"/>
      <w:jc w:val="center"/>
      <w:outlineLvl w:val="1"/>
    </w:pPr>
    <w:rPr>
      <w:b/>
      <w:smallCaps/>
      <w:sz w:val="28"/>
      <w:szCs w:val="28"/>
    </w:rPr>
  </w:style>
  <w:style w:type="paragraph" w:styleId="5">
    <w:name w:val="heading 3"/>
    <w:basedOn w:val="1"/>
    <w:next w:val="1"/>
    <w:link w:val="39"/>
    <w:autoRedefine/>
    <w:unhideWhenUsed/>
    <w:qFormat/>
    <w:uiPriority w:val="9"/>
    <w:pPr>
      <w:outlineLvl w:val="2"/>
    </w:pPr>
    <w:rPr>
      <w:b/>
    </w:rPr>
  </w:style>
  <w:style w:type="paragraph" w:styleId="6">
    <w:name w:val="heading 4"/>
    <w:basedOn w:val="1"/>
    <w:next w:val="1"/>
    <w:link w:val="40"/>
    <w:autoRedefine/>
    <w:unhideWhenUsed/>
    <w:qFormat/>
    <w:uiPriority w:val="9"/>
    <w:pPr>
      <w:spacing w:after="0" w:line="271" w:lineRule="auto"/>
      <w:outlineLvl w:val="3"/>
    </w:pPr>
    <w:rPr>
      <w:b/>
      <w:bCs/>
      <w:spacing w:val="5"/>
    </w:rPr>
  </w:style>
  <w:style w:type="paragraph" w:styleId="7">
    <w:name w:val="heading 5"/>
    <w:basedOn w:val="1"/>
    <w:next w:val="1"/>
    <w:link w:val="41"/>
    <w:autoRedefine/>
    <w:unhideWhenUsed/>
    <w:qFormat/>
    <w:uiPriority w:val="9"/>
    <w:pPr>
      <w:spacing w:after="0" w:line="271" w:lineRule="auto"/>
      <w:outlineLvl w:val="4"/>
    </w:pPr>
    <w:rPr>
      <w:i/>
      <w:iCs/>
    </w:rPr>
  </w:style>
  <w:style w:type="paragraph" w:styleId="8">
    <w:name w:val="heading 6"/>
    <w:basedOn w:val="1"/>
    <w:next w:val="1"/>
    <w:link w:val="42"/>
    <w:autoRedefine/>
    <w:semiHidden/>
    <w:unhideWhenUsed/>
    <w:qFormat/>
    <w:uiPriority w:val="9"/>
    <w:pPr>
      <w:shd w:val="clear" w:color="auto" w:fill="FFFFFF" w:themeFill="background1"/>
      <w:spacing w:after="0" w:line="271" w:lineRule="auto"/>
      <w:outlineLvl w:val="5"/>
    </w:pPr>
    <w:rPr>
      <w:b/>
      <w:bCs/>
      <w:color w:val="595959" w:themeColor="text1" w:themeTint="A6"/>
      <w:spacing w:val="5"/>
      <w14:textFill>
        <w14:solidFill>
          <w14:schemeClr w14:val="tx1">
            <w14:lumMod w14:val="65000"/>
            <w14:lumOff w14:val="35000"/>
          </w14:schemeClr>
        </w14:solidFill>
      </w14:textFill>
    </w:rPr>
  </w:style>
  <w:style w:type="paragraph" w:styleId="9">
    <w:name w:val="heading 7"/>
    <w:basedOn w:val="1"/>
    <w:next w:val="1"/>
    <w:link w:val="43"/>
    <w:autoRedefine/>
    <w:semiHidden/>
    <w:unhideWhenUsed/>
    <w:qFormat/>
    <w:uiPriority w:val="9"/>
    <w:pPr>
      <w:spacing w:after="0"/>
      <w:outlineLvl w:val="6"/>
    </w:pPr>
    <w:rPr>
      <w:b/>
      <w:bCs/>
      <w:i/>
      <w:iCs/>
      <w:color w:val="595959" w:themeColor="text1" w:themeTint="A6"/>
      <w:sz w:val="20"/>
      <w:szCs w:val="20"/>
      <w14:textFill>
        <w14:solidFill>
          <w14:schemeClr w14:val="tx1">
            <w14:lumMod w14:val="65000"/>
            <w14:lumOff w14:val="35000"/>
          </w14:schemeClr>
        </w14:solidFill>
      </w14:textFill>
    </w:rPr>
  </w:style>
  <w:style w:type="paragraph" w:styleId="10">
    <w:name w:val="heading 8"/>
    <w:basedOn w:val="1"/>
    <w:next w:val="1"/>
    <w:link w:val="44"/>
    <w:autoRedefine/>
    <w:semiHidden/>
    <w:unhideWhenUsed/>
    <w:qFormat/>
    <w:uiPriority w:val="9"/>
    <w:pPr>
      <w:spacing w:after="0"/>
      <w:outlineLvl w:val="7"/>
    </w:pPr>
    <w:rPr>
      <w:b/>
      <w:bCs/>
      <w:color w:val="808080" w:themeColor="text1" w:themeTint="80"/>
      <w:sz w:val="20"/>
      <w:szCs w:val="20"/>
      <w14:textFill>
        <w14:solidFill>
          <w14:schemeClr w14:val="tx1">
            <w14:lumMod w14:val="50000"/>
            <w14:lumOff w14:val="50000"/>
          </w14:schemeClr>
        </w14:solidFill>
      </w14:textFill>
    </w:rPr>
  </w:style>
  <w:style w:type="paragraph" w:styleId="11">
    <w:name w:val="heading 9"/>
    <w:basedOn w:val="1"/>
    <w:next w:val="1"/>
    <w:link w:val="45"/>
    <w:autoRedefine/>
    <w:semiHidden/>
    <w:unhideWhenUsed/>
    <w:qFormat/>
    <w:uiPriority w:val="9"/>
    <w:pPr>
      <w:spacing w:after="0" w:line="271" w:lineRule="auto"/>
      <w:outlineLvl w:val="8"/>
    </w:pPr>
    <w:rPr>
      <w:b/>
      <w:bCs/>
      <w:i/>
      <w:iCs/>
      <w:color w:val="808080" w:themeColor="text1" w:themeTint="80"/>
      <w:sz w:val="18"/>
      <w:szCs w:val="18"/>
      <w14:textFill>
        <w14:solidFill>
          <w14:schemeClr w14:val="tx1">
            <w14:lumMod w14:val="50000"/>
            <w14:lumOff w14:val="50000"/>
          </w14:schemeClr>
        </w14:solidFill>
      </w14:textFill>
    </w:rPr>
  </w:style>
  <w:style w:type="character" w:default="1" w:styleId="28">
    <w:name w:val="Default Paragraph Font"/>
    <w:autoRedefine/>
    <w:semiHidden/>
    <w:unhideWhenUsed/>
    <w:qFormat/>
    <w:uiPriority w:val="1"/>
  </w:style>
  <w:style w:type="table" w:default="1" w:styleId="26">
    <w:name w:val="Normal Table"/>
    <w:autoRedefine/>
    <w:semiHidden/>
    <w:unhideWhenUsed/>
    <w:qFormat/>
    <w:uiPriority w:val="99"/>
    <w:tblPr>
      <w:tblCellMar>
        <w:top w:w="0" w:type="dxa"/>
        <w:left w:w="108" w:type="dxa"/>
        <w:bottom w:w="0" w:type="dxa"/>
        <w:right w:w="108" w:type="dxa"/>
      </w:tblCellMar>
    </w:tblPr>
  </w:style>
  <w:style w:type="paragraph" w:styleId="2">
    <w:name w:val="Plain Text"/>
    <w:basedOn w:val="1"/>
    <w:next w:val="1"/>
    <w:link w:val="65"/>
    <w:autoRedefine/>
    <w:qFormat/>
    <w:uiPriority w:val="0"/>
    <w:pPr>
      <w:widowControl w:val="0"/>
      <w:adjustRightInd w:val="0"/>
      <w:spacing w:after="0"/>
      <w:jc w:val="both"/>
    </w:pPr>
    <w:rPr>
      <w:rFonts w:ascii="宋体" w:hAnsi="Courier New" w:eastAsia="宋体" w:cs="Arial"/>
      <w:snapToGrid w:val="0"/>
      <w:kern w:val="2"/>
      <w:sz w:val="21"/>
      <w:szCs w:val="21"/>
    </w:rPr>
  </w:style>
  <w:style w:type="paragraph" w:styleId="12">
    <w:name w:val="Normal Indent"/>
    <w:basedOn w:val="1"/>
    <w:next w:val="1"/>
    <w:link w:val="64"/>
    <w:autoRedefine/>
    <w:qFormat/>
    <w:uiPriority w:val="0"/>
    <w:pPr>
      <w:adjustRightInd w:val="0"/>
      <w:snapToGrid w:val="0"/>
      <w:spacing w:after="0" w:line="480" w:lineRule="exact"/>
      <w:ind w:firstLine="567"/>
      <w:jc w:val="both"/>
    </w:pPr>
    <w:rPr>
      <w:rFonts w:ascii="宋体" w:hAnsi="Times New Roman" w:eastAsia="宋体" w:cs="Times New Roman"/>
      <w:snapToGrid w:val="0"/>
      <w:color w:val="000000"/>
      <w:kern w:val="28"/>
      <w:sz w:val="28"/>
      <w:szCs w:val="20"/>
    </w:rPr>
  </w:style>
  <w:style w:type="paragraph" w:styleId="13">
    <w:name w:val="caption"/>
    <w:basedOn w:val="1"/>
    <w:next w:val="1"/>
    <w:autoRedefine/>
    <w:semiHidden/>
    <w:unhideWhenUsed/>
    <w:qFormat/>
    <w:uiPriority w:val="35"/>
    <w:rPr>
      <w:b/>
      <w:bCs/>
      <w:caps/>
      <w:sz w:val="16"/>
      <w:szCs w:val="18"/>
    </w:rPr>
  </w:style>
  <w:style w:type="paragraph" w:styleId="14">
    <w:name w:val="annotation text"/>
    <w:basedOn w:val="1"/>
    <w:autoRedefine/>
    <w:semiHidden/>
    <w:unhideWhenUsed/>
    <w:qFormat/>
    <w:uiPriority w:val="99"/>
    <w:pPr>
      <w:jc w:val="left"/>
    </w:pPr>
  </w:style>
  <w:style w:type="paragraph" w:styleId="15">
    <w:name w:val="Body Text"/>
    <w:basedOn w:val="1"/>
    <w:next w:val="16"/>
    <w:autoRedefine/>
    <w:qFormat/>
    <w:uiPriority w:val="0"/>
    <w:pPr>
      <w:spacing w:after="120"/>
    </w:pPr>
    <w:rPr>
      <w:kern w:val="0"/>
      <w:sz w:val="28"/>
    </w:rPr>
  </w:style>
  <w:style w:type="paragraph" w:styleId="16">
    <w:name w:val="Body Text First Indent"/>
    <w:basedOn w:val="15"/>
    <w:next w:val="1"/>
    <w:autoRedefine/>
    <w:qFormat/>
    <w:uiPriority w:val="0"/>
    <w:pPr>
      <w:ind w:firstLine="420"/>
    </w:pPr>
    <w:rPr>
      <w:szCs w:val="20"/>
    </w:rPr>
  </w:style>
  <w:style w:type="paragraph" w:styleId="17">
    <w:name w:val="Body Text Indent"/>
    <w:basedOn w:val="1"/>
    <w:next w:val="1"/>
    <w:link w:val="67"/>
    <w:autoRedefine/>
    <w:qFormat/>
    <w:uiPriority w:val="0"/>
    <w:pPr>
      <w:widowControl w:val="0"/>
      <w:adjustRightInd w:val="0"/>
      <w:spacing w:after="0" w:line="480" w:lineRule="exact"/>
      <w:ind w:firstLine="480" w:firstLineChars="200"/>
      <w:jc w:val="both"/>
    </w:pPr>
    <w:rPr>
      <w:rFonts w:ascii="宋体" w:hAnsi="宋体" w:eastAsia="宋体" w:cs="Times New Roman"/>
      <w:kern w:val="2"/>
    </w:rPr>
  </w:style>
  <w:style w:type="paragraph" w:styleId="18">
    <w:name w:val="Balloon Text"/>
    <w:basedOn w:val="1"/>
    <w:link w:val="79"/>
    <w:autoRedefine/>
    <w:semiHidden/>
    <w:unhideWhenUsed/>
    <w:qFormat/>
    <w:uiPriority w:val="99"/>
    <w:pPr>
      <w:spacing w:after="0"/>
    </w:pPr>
    <w:rPr>
      <w:sz w:val="18"/>
      <w:szCs w:val="18"/>
    </w:rPr>
  </w:style>
  <w:style w:type="paragraph" w:styleId="19">
    <w:name w:val="footer"/>
    <w:basedOn w:val="1"/>
    <w:link w:val="37"/>
    <w:autoRedefine/>
    <w:unhideWhenUsed/>
    <w:qFormat/>
    <w:uiPriority w:val="99"/>
    <w:pPr>
      <w:tabs>
        <w:tab w:val="center" w:pos="4153"/>
        <w:tab w:val="right" w:pos="8306"/>
      </w:tabs>
      <w:snapToGrid w:val="0"/>
    </w:pPr>
    <w:rPr>
      <w:sz w:val="18"/>
      <w:szCs w:val="18"/>
    </w:rPr>
  </w:style>
  <w:style w:type="paragraph" w:styleId="20">
    <w:name w:val="envelope return"/>
    <w:basedOn w:val="1"/>
    <w:qFormat/>
    <w:uiPriority w:val="0"/>
    <w:pPr>
      <w:snapToGrid w:val="0"/>
    </w:pPr>
    <w:rPr>
      <w:rFonts w:ascii="Arial" w:hAnsi="Arial"/>
    </w:rPr>
  </w:style>
  <w:style w:type="paragraph" w:styleId="21">
    <w:name w:val="header"/>
    <w:basedOn w:val="1"/>
    <w:link w:val="36"/>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22">
    <w:name w:val="Subtitle"/>
    <w:basedOn w:val="1"/>
    <w:next w:val="1"/>
    <w:link w:val="47"/>
    <w:autoRedefine/>
    <w:qFormat/>
    <w:uiPriority w:val="11"/>
    <w:rPr>
      <w:i/>
      <w:iCs/>
      <w:smallCaps/>
      <w:spacing w:val="10"/>
      <w:sz w:val="28"/>
      <w:szCs w:val="28"/>
    </w:rPr>
  </w:style>
  <w:style w:type="paragraph" w:styleId="23">
    <w:name w:val="Normal (Web)"/>
    <w:basedOn w:val="1"/>
    <w:autoRedefine/>
    <w:qFormat/>
    <w:uiPriority w:val="0"/>
    <w:pPr>
      <w:spacing w:before="100" w:beforeAutospacing="1" w:after="100" w:afterAutospacing="1"/>
      <w:ind w:left="0" w:right="0"/>
      <w:jc w:val="left"/>
    </w:pPr>
    <w:rPr>
      <w:kern w:val="0"/>
      <w:sz w:val="24"/>
      <w:lang w:val="en-US" w:eastAsia="zh-CN" w:bidi="ar"/>
    </w:rPr>
  </w:style>
  <w:style w:type="paragraph" w:styleId="24">
    <w:name w:val="Title"/>
    <w:basedOn w:val="1"/>
    <w:next w:val="1"/>
    <w:link w:val="46"/>
    <w:autoRedefine/>
    <w:qFormat/>
    <w:uiPriority w:val="10"/>
    <w:pPr>
      <w:spacing w:after="300"/>
      <w:contextualSpacing/>
    </w:pPr>
    <w:rPr>
      <w:smallCaps/>
      <w:sz w:val="52"/>
      <w:szCs w:val="52"/>
    </w:rPr>
  </w:style>
  <w:style w:type="paragraph" w:styleId="25">
    <w:name w:val="Body Text First Indent 2"/>
    <w:basedOn w:val="17"/>
    <w:next w:val="1"/>
    <w:autoRedefine/>
    <w:qFormat/>
    <w:uiPriority w:val="0"/>
    <w:pPr>
      <w:adjustRightInd/>
      <w:spacing w:after="120" w:line="240" w:lineRule="auto"/>
      <w:ind w:left="420" w:leftChars="200" w:firstLine="210"/>
    </w:pPr>
    <w:rPr>
      <w:sz w:val="21"/>
    </w:rPr>
  </w:style>
  <w:style w:type="table" w:styleId="27">
    <w:name w:val="Table Grid"/>
    <w:basedOn w:val="26"/>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Strong"/>
    <w:autoRedefine/>
    <w:qFormat/>
    <w:uiPriority w:val="22"/>
    <w:rPr>
      <w:b/>
      <w:bCs/>
    </w:rPr>
  </w:style>
  <w:style w:type="character" w:styleId="30">
    <w:name w:val="Emphasis"/>
    <w:autoRedefine/>
    <w:qFormat/>
    <w:uiPriority w:val="20"/>
    <w:rPr>
      <w:b/>
      <w:bCs/>
      <w:i/>
      <w:iCs/>
      <w:spacing w:val="10"/>
    </w:rPr>
  </w:style>
  <w:style w:type="character" w:styleId="31">
    <w:name w:val="Hyperlink"/>
    <w:autoRedefine/>
    <w:qFormat/>
    <w:uiPriority w:val="99"/>
    <w:rPr>
      <w:rFonts w:ascii="Arial" w:hAnsi="Arial" w:eastAsia="黑体" w:cs="Arial"/>
      <w:snapToGrid w:val="0"/>
      <w:color w:val="000000"/>
      <w:kern w:val="0"/>
      <w:sz w:val="18"/>
      <w:szCs w:val="18"/>
      <w:u w:val="none"/>
    </w:rPr>
  </w:style>
  <w:style w:type="paragraph" w:customStyle="1" w:styleId="32">
    <w:name w:val="Default"/>
    <w:next w:val="33"/>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33">
    <w:name w:val="TOC 71"/>
    <w:next w:val="1"/>
    <w:autoRedefine/>
    <w:qFormat/>
    <w:uiPriority w:val="0"/>
    <w:pPr>
      <w:wordWrap w:val="0"/>
      <w:ind w:left="2550"/>
      <w:jc w:val="both"/>
    </w:pPr>
    <w:rPr>
      <w:rFonts w:ascii="Calibri" w:hAnsi="Calibri" w:eastAsia="宋体" w:cs="Times New Roman"/>
      <w:sz w:val="21"/>
      <w:szCs w:val="22"/>
      <w:lang w:val="en-US" w:eastAsia="zh-CN" w:bidi="ar-SA"/>
    </w:rPr>
  </w:style>
  <w:style w:type="character" w:customStyle="1" w:styleId="34">
    <w:name w:val="标题 2 Char"/>
    <w:basedOn w:val="28"/>
    <w:link w:val="4"/>
    <w:autoRedefine/>
    <w:qFormat/>
    <w:uiPriority w:val="9"/>
    <w:rPr>
      <w:rFonts w:ascii="仿宋" w:hAnsi="仿宋" w:eastAsia="仿宋"/>
      <w:b/>
      <w:smallCaps/>
      <w:sz w:val="28"/>
      <w:szCs w:val="28"/>
    </w:rPr>
  </w:style>
  <w:style w:type="paragraph" w:customStyle="1" w:styleId="35">
    <w:name w:val="_Style 2"/>
    <w:basedOn w:val="1"/>
    <w:autoRedefine/>
    <w:qFormat/>
    <w:uiPriority w:val="0"/>
    <w:pPr>
      <w:ind w:firstLine="200" w:firstLineChars="200"/>
    </w:pPr>
    <w:rPr>
      <w:rFonts w:ascii="Calibri" w:hAnsi="Calibri"/>
      <w:sz w:val="28"/>
    </w:rPr>
  </w:style>
  <w:style w:type="character" w:customStyle="1" w:styleId="36">
    <w:name w:val="页眉 Char"/>
    <w:basedOn w:val="28"/>
    <w:link w:val="21"/>
    <w:autoRedefine/>
    <w:qFormat/>
    <w:uiPriority w:val="99"/>
    <w:rPr>
      <w:sz w:val="18"/>
      <w:szCs w:val="18"/>
    </w:rPr>
  </w:style>
  <w:style w:type="character" w:customStyle="1" w:styleId="37">
    <w:name w:val="页脚 Char"/>
    <w:basedOn w:val="28"/>
    <w:link w:val="19"/>
    <w:autoRedefine/>
    <w:qFormat/>
    <w:uiPriority w:val="99"/>
    <w:rPr>
      <w:sz w:val="18"/>
      <w:szCs w:val="18"/>
    </w:rPr>
  </w:style>
  <w:style w:type="character" w:customStyle="1" w:styleId="38">
    <w:name w:val="标题 1 Char"/>
    <w:basedOn w:val="28"/>
    <w:link w:val="3"/>
    <w:autoRedefine/>
    <w:qFormat/>
    <w:uiPriority w:val="9"/>
    <w:rPr>
      <w:rFonts w:ascii="仿宋_GB2312" w:hAnsi="仿宋" w:eastAsia="仿宋_GB2312"/>
      <w:b/>
      <w:smallCaps/>
      <w:spacing w:val="5"/>
      <w:sz w:val="36"/>
      <w:szCs w:val="36"/>
    </w:rPr>
  </w:style>
  <w:style w:type="character" w:customStyle="1" w:styleId="39">
    <w:name w:val="标题 3 Char"/>
    <w:basedOn w:val="28"/>
    <w:link w:val="5"/>
    <w:autoRedefine/>
    <w:qFormat/>
    <w:uiPriority w:val="9"/>
    <w:rPr>
      <w:rFonts w:ascii="仿宋" w:hAnsi="仿宋" w:eastAsia="仿宋"/>
      <w:b/>
      <w:sz w:val="24"/>
      <w:szCs w:val="24"/>
    </w:rPr>
  </w:style>
  <w:style w:type="character" w:customStyle="1" w:styleId="40">
    <w:name w:val="标题 4 Char"/>
    <w:basedOn w:val="28"/>
    <w:link w:val="6"/>
    <w:autoRedefine/>
    <w:qFormat/>
    <w:uiPriority w:val="9"/>
    <w:rPr>
      <w:b/>
      <w:bCs/>
      <w:spacing w:val="5"/>
      <w:sz w:val="24"/>
      <w:szCs w:val="24"/>
    </w:rPr>
  </w:style>
  <w:style w:type="character" w:customStyle="1" w:styleId="41">
    <w:name w:val="标题 5 Char"/>
    <w:basedOn w:val="28"/>
    <w:link w:val="7"/>
    <w:autoRedefine/>
    <w:qFormat/>
    <w:uiPriority w:val="9"/>
    <w:rPr>
      <w:i/>
      <w:iCs/>
      <w:sz w:val="24"/>
      <w:szCs w:val="24"/>
    </w:rPr>
  </w:style>
  <w:style w:type="character" w:customStyle="1" w:styleId="42">
    <w:name w:val="标题 6 Char"/>
    <w:basedOn w:val="28"/>
    <w:link w:val="8"/>
    <w:autoRedefine/>
    <w:semiHidden/>
    <w:qFormat/>
    <w:uiPriority w:val="9"/>
    <w:rPr>
      <w:b/>
      <w:bCs/>
      <w:color w:val="595959" w:themeColor="text1" w:themeTint="A6"/>
      <w:spacing w:val="5"/>
      <w:shd w:val="clear" w:color="auto" w:fill="FFFFFF" w:themeFill="background1"/>
      <w14:textFill>
        <w14:solidFill>
          <w14:schemeClr w14:val="tx1">
            <w14:lumMod w14:val="65000"/>
            <w14:lumOff w14:val="35000"/>
          </w14:schemeClr>
        </w14:solidFill>
      </w14:textFill>
    </w:rPr>
  </w:style>
  <w:style w:type="character" w:customStyle="1" w:styleId="43">
    <w:name w:val="标题 7 Char"/>
    <w:basedOn w:val="28"/>
    <w:link w:val="9"/>
    <w:autoRedefine/>
    <w:semiHidden/>
    <w:qFormat/>
    <w:uiPriority w:val="9"/>
    <w:rPr>
      <w:b/>
      <w:bCs/>
      <w:i/>
      <w:iCs/>
      <w:color w:val="595959" w:themeColor="text1" w:themeTint="A6"/>
      <w:sz w:val="20"/>
      <w:szCs w:val="20"/>
      <w14:textFill>
        <w14:solidFill>
          <w14:schemeClr w14:val="tx1">
            <w14:lumMod w14:val="65000"/>
            <w14:lumOff w14:val="35000"/>
          </w14:schemeClr>
        </w14:solidFill>
      </w14:textFill>
    </w:rPr>
  </w:style>
  <w:style w:type="character" w:customStyle="1" w:styleId="44">
    <w:name w:val="标题 8 Char"/>
    <w:basedOn w:val="28"/>
    <w:link w:val="10"/>
    <w:autoRedefine/>
    <w:semiHidden/>
    <w:qFormat/>
    <w:uiPriority w:val="9"/>
    <w:rPr>
      <w:b/>
      <w:bCs/>
      <w:color w:val="808080" w:themeColor="text1" w:themeTint="80"/>
      <w:sz w:val="20"/>
      <w:szCs w:val="20"/>
      <w14:textFill>
        <w14:solidFill>
          <w14:schemeClr w14:val="tx1">
            <w14:lumMod w14:val="50000"/>
            <w14:lumOff w14:val="50000"/>
          </w14:schemeClr>
        </w14:solidFill>
      </w14:textFill>
    </w:rPr>
  </w:style>
  <w:style w:type="character" w:customStyle="1" w:styleId="45">
    <w:name w:val="标题 9 Char"/>
    <w:basedOn w:val="28"/>
    <w:link w:val="11"/>
    <w:autoRedefine/>
    <w:semiHidden/>
    <w:qFormat/>
    <w:uiPriority w:val="9"/>
    <w:rPr>
      <w:b/>
      <w:bCs/>
      <w:i/>
      <w:iCs/>
      <w:color w:val="808080" w:themeColor="text1" w:themeTint="80"/>
      <w:sz w:val="18"/>
      <w:szCs w:val="18"/>
      <w14:textFill>
        <w14:solidFill>
          <w14:schemeClr w14:val="tx1">
            <w14:lumMod w14:val="50000"/>
            <w14:lumOff w14:val="50000"/>
          </w14:schemeClr>
        </w14:solidFill>
      </w14:textFill>
    </w:rPr>
  </w:style>
  <w:style w:type="character" w:customStyle="1" w:styleId="46">
    <w:name w:val="标题 Char"/>
    <w:basedOn w:val="28"/>
    <w:link w:val="24"/>
    <w:autoRedefine/>
    <w:qFormat/>
    <w:uiPriority w:val="10"/>
    <w:rPr>
      <w:smallCaps/>
      <w:sz w:val="52"/>
      <w:szCs w:val="52"/>
    </w:rPr>
  </w:style>
  <w:style w:type="character" w:customStyle="1" w:styleId="47">
    <w:name w:val="副标题 Char"/>
    <w:basedOn w:val="28"/>
    <w:link w:val="22"/>
    <w:autoRedefine/>
    <w:qFormat/>
    <w:uiPriority w:val="11"/>
    <w:rPr>
      <w:i/>
      <w:iCs/>
      <w:smallCaps/>
      <w:spacing w:val="10"/>
      <w:sz w:val="28"/>
      <w:szCs w:val="28"/>
    </w:rPr>
  </w:style>
  <w:style w:type="paragraph" w:styleId="48">
    <w:name w:val="No Spacing"/>
    <w:basedOn w:val="1"/>
    <w:link w:val="60"/>
    <w:autoRedefine/>
    <w:qFormat/>
    <w:uiPriority w:val="1"/>
    <w:pPr>
      <w:spacing w:after="0"/>
    </w:pPr>
  </w:style>
  <w:style w:type="paragraph" w:styleId="49">
    <w:name w:val="List Paragraph"/>
    <w:basedOn w:val="1"/>
    <w:autoRedefine/>
    <w:qFormat/>
    <w:uiPriority w:val="34"/>
    <w:pPr>
      <w:ind w:left="720"/>
      <w:contextualSpacing/>
    </w:pPr>
  </w:style>
  <w:style w:type="paragraph" w:styleId="50">
    <w:name w:val="Quote"/>
    <w:basedOn w:val="1"/>
    <w:next w:val="1"/>
    <w:link w:val="51"/>
    <w:autoRedefine/>
    <w:qFormat/>
    <w:uiPriority w:val="29"/>
    <w:rPr>
      <w:i/>
      <w:iCs/>
    </w:rPr>
  </w:style>
  <w:style w:type="character" w:customStyle="1" w:styleId="51">
    <w:name w:val="引用 Char"/>
    <w:basedOn w:val="28"/>
    <w:link w:val="50"/>
    <w:autoRedefine/>
    <w:qFormat/>
    <w:uiPriority w:val="29"/>
    <w:rPr>
      <w:i/>
      <w:iCs/>
    </w:rPr>
  </w:style>
  <w:style w:type="paragraph" w:styleId="52">
    <w:name w:val="Intense Quote"/>
    <w:basedOn w:val="1"/>
    <w:next w:val="1"/>
    <w:link w:val="53"/>
    <w:autoRedefine/>
    <w:qFormat/>
    <w:uiPriority w:val="30"/>
    <w:pPr>
      <w:pBdr>
        <w:top w:val="single" w:color="auto" w:sz="4" w:space="10"/>
        <w:bottom w:val="single" w:color="auto" w:sz="4" w:space="10"/>
      </w:pBdr>
      <w:spacing w:before="240" w:after="240" w:line="300" w:lineRule="auto"/>
      <w:ind w:left="1152" w:right="1152"/>
      <w:jc w:val="both"/>
    </w:pPr>
    <w:rPr>
      <w:i/>
      <w:iCs/>
    </w:rPr>
  </w:style>
  <w:style w:type="character" w:customStyle="1" w:styleId="53">
    <w:name w:val="明显引用 Char"/>
    <w:basedOn w:val="28"/>
    <w:link w:val="52"/>
    <w:autoRedefine/>
    <w:qFormat/>
    <w:uiPriority w:val="30"/>
    <w:rPr>
      <w:i/>
      <w:iCs/>
    </w:rPr>
  </w:style>
  <w:style w:type="character" w:customStyle="1" w:styleId="54">
    <w:name w:val="不明显强调1"/>
    <w:autoRedefine/>
    <w:qFormat/>
    <w:uiPriority w:val="19"/>
    <w:rPr>
      <w:i/>
      <w:iCs/>
    </w:rPr>
  </w:style>
  <w:style w:type="character" w:customStyle="1" w:styleId="55">
    <w:name w:val="明显强调1"/>
    <w:autoRedefine/>
    <w:qFormat/>
    <w:uiPriority w:val="21"/>
    <w:rPr>
      <w:b/>
      <w:bCs/>
      <w:i/>
      <w:iCs/>
    </w:rPr>
  </w:style>
  <w:style w:type="character" w:customStyle="1" w:styleId="56">
    <w:name w:val="不明显参考1"/>
    <w:basedOn w:val="28"/>
    <w:autoRedefine/>
    <w:qFormat/>
    <w:uiPriority w:val="31"/>
    <w:rPr>
      <w:smallCaps/>
    </w:rPr>
  </w:style>
  <w:style w:type="character" w:customStyle="1" w:styleId="57">
    <w:name w:val="明显参考1"/>
    <w:autoRedefine/>
    <w:qFormat/>
    <w:uiPriority w:val="32"/>
    <w:rPr>
      <w:b/>
      <w:bCs/>
      <w:smallCaps/>
    </w:rPr>
  </w:style>
  <w:style w:type="character" w:customStyle="1" w:styleId="58">
    <w:name w:val="书籍标题1"/>
    <w:basedOn w:val="28"/>
    <w:autoRedefine/>
    <w:qFormat/>
    <w:uiPriority w:val="33"/>
    <w:rPr>
      <w:i/>
      <w:iCs/>
      <w:smallCaps/>
      <w:spacing w:val="5"/>
    </w:rPr>
  </w:style>
  <w:style w:type="paragraph" w:customStyle="1" w:styleId="59">
    <w:name w:val="TOC 标题1"/>
    <w:basedOn w:val="3"/>
    <w:next w:val="1"/>
    <w:autoRedefine/>
    <w:semiHidden/>
    <w:unhideWhenUsed/>
    <w:qFormat/>
    <w:uiPriority w:val="39"/>
    <w:pPr>
      <w:outlineLvl w:val="9"/>
    </w:pPr>
    <w:rPr>
      <w:lang w:bidi="en-US"/>
    </w:rPr>
  </w:style>
  <w:style w:type="character" w:customStyle="1" w:styleId="60">
    <w:name w:val="无间隔 Char"/>
    <w:basedOn w:val="28"/>
    <w:link w:val="48"/>
    <w:autoRedefine/>
    <w:qFormat/>
    <w:uiPriority w:val="1"/>
  </w:style>
  <w:style w:type="paragraph" w:customStyle="1" w:styleId="61">
    <w:name w:val="Personal Name"/>
    <w:basedOn w:val="24"/>
    <w:autoRedefine/>
    <w:qFormat/>
    <w:uiPriority w:val="0"/>
    <w:rPr>
      <w:b/>
      <w:caps/>
      <w:color w:val="000000"/>
      <w:sz w:val="28"/>
      <w:szCs w:val="28"/>
    </w:rPr>
  </w:style>
  <w:style w:type="character" w:customStyle="1" w:styleId="62">
    <w:name w:val="正文2 Char Char"/>
    <w:link w:val="63"/>
    <w:autoRedefine/>
    <w:qFormat/>
    <w:uiPriority w:val="0"/>
    <w:rPr>
      <w:rFonts w:ascii="仿宋" w:hAnsi="仿宋" w:eastAsia="仿宋"/>
      <w:sz w:val="24"/>
      <w:szCs w:val="24"/>
    </w:rPr>
  </w:style>
  <w:style w:type="paragraph" w:customStyle="1" w:styleId="63">
    <w:name w:val="正文2"/>
    <w:basedOn w:val="1"/>
    <w:link w:val="62"/>
    <w:autoRedefine/>
    <w:qFormat/>
    <w:uiPriority w:val="0"/>
    <w:pPr>
      <w:spacing w:line="360" w:lineRule="auto"/>
    </w:pPr>
  </w:style>
  <w:style w:type="character" w:customStyle="1" w:styleId="64">
    <w:name w:val="正文缩进 Char"/>
    <w:link w:val="12"/>
    <w:autoRedefine/>
    <w:qFormat/>
    <w:uiPriority w:val="0"/>
    <w:rPr>
      <w:rFonts w:ascii="宋体" w:hAnsi="Times New Roman" w:eastAsia="宋体" w:cs="Times New Roman"/>
      <w:snapToGrid w:val="0"/>
      <w:color w:val="000000"/>
      <w:kern w:val="28"/>
      <w:sz w:val="28"/>
      <w:szCs w:val="20"/>
    </w:rPr>
  </w:style>
  <w:style w:type="character" w:customStyle="1" w:styleId="65">
    <w:name w:val="纯文本 Char"/>
    <w:basedOn w:val="28"/>
    <w:link w:val="2"/>
    <w:autoRedefine/>
    <w:qFormat/>
    <w:uiPriority w:val="0"/>
    <w:rPr>
      <w:rFonts w:ascii="宋体" w:hAnsi="Courier New" w:eastAsia="宋体" w:cs="Arial"/>
      <w:snapToGrid w:val="0"/>
      <w:kern w:val="2"/>
      <w:sz w:val="21"/>
      <w:szCs w:val="21"/>
    </w:rPr>
  </w:style>
  <w:style w:type="character" w:customStyle="1" w:styleId="66">
    <w:name w:val="正文文本缩进 Char"/>
    <w:basedOn w:val="28"/>
    <w:autoRedefine/>
    <w:semiHidden/>
    <w:qFormat/>
    <w:uiPriority w:val="99"/>
    <w:rPr>
      <w:rFonts w:ascii="仿宋" w:hAnsi="仿宋" w:eastAsia="仿宋"/>
      <w:sz w:val="24"/>
      <w:szCs w:val="24"/>
    </w:rPr>
  </w:style>
  <w:style w:type="character" w:customStyle="1" w:styleId="67">
    <w:name w:val="正文文本缩进 Char1"/>
    <w:link w:val="17"/>
    <w:autoRedefine/>
    <w:qFormat/>
    <w:uiPriority w:val="0"/>
    <w:rPr>
      <w:rFonts w:ascii="宋体" w:hAnsi="宋体" w:eastAsia="宋体" w:cs="Times New Roman"/>
      <w:kern w:val="2"/>
      <w:sz w:val="24"/>
      <w:szCs w:val="24"/>
    </w:rPr>
  </w:style>
  <w:style w:type="character" w:customStyle="1" w:styleId="68">
    <w:name w:val="标题 Char2"/>
    <w:autoRedefine/>
    <w:qFormat/>
    <w:uiPriority w:val="10"/>
    <w:rPr>
      <w:b/>
      <w:sz w:val="24"/>
      <w:lang w:val="en-GB"/>
    </w:rPr>
  </w:style>
  <w:style w:type="character" w:customStyle="1" w:styleId="69">
    <w:name w:val="纯文本 Char1"/>
    <w:link w:val="70"/>
    <w:autoRedefine/>
    <w:qFormat/>
    <w:uiPriority w:val="0"/>
    <w:rPr>
      <w:rFonts w:ascii="宋体" w:hAnsi="Courier New"/>
    </w:rPr>
  </w:style>
  <w:style w:type="paragraph" w:customStyle="1" w:styleId="70">
    <w:name w:val="纯文本1"/>
    <w:basedOn w:val="1"/>
    <w:link w:val="69"/>
    <w:autoRedefine/>
    <w:qFormat/>
    <w:uiPriority w:val="0"/>
    <w:pPr>
      <w:widowControl w:val="0"/>
      <w:spacing w:after="0"/>
      <w:jc w:val="both"/>
    </w:pPr>
    <w:rPr>
      <w:rFonts w:ascii="宋体" w:hAnsi="Courier New" w:eastAsiaTheme="majorEastAsia"/>
      <w:sz w:val="22"/>
      <w:szCs w:val="22"/>
    </w:rPr>
  </w:style>
  <w:style w:type="character" w:customStyle="1" w:styleId="71">
    <w:name w:val="页脚 Char2"/>
    <w:autoRedefine/>
    <w:qFormat/>
    <w:locked/>
    <w:uiPriority w:val="99"/>
    <w:rPr>
      <w:kern w:val="2"/>
      <w:sz w:val="18"/>
      <w:szCs w:val="18"/>
    </w:rPr>
  </w:style>
  <w:style w:type="character" w:customStyle="1" w:styleId="72">
    <w:name w:val="页眉 Char2"/>
    <w:autoRedefine/>
    <w:qFormat/>
    <w:uiPriority w:val="99"/>
    <w:rPr>
      <w:kern w:val="2"/>
      <w:sz w:val="18"/>
      <w:szCs w:val="18"/>
    </w:rPr>
  </w:style>
  <w:style w:type="paragraph" w:customStyle="1" w:styleId="73">
    <w:name w:val="索引 11"/>
    <w:basedOn w:val="1"/>
    <w:next w:val="1"/>
    <w:autoRedefine/>
    <w:qFormat/>
    <w:uiPriority w:val="99"/>
    <w:pPr>
      <w:widowControl w:val="0"/>
      <w:spacing w:after="0" w:line="360" w:lineRule="auto"/>
      <w:jc w:val="both"/>
    </w:pPr>
    <w:rPr>
      <w:rFonts w:ascii="仿宋_GB2312" w:hAnsi="Times New Roman" w:eastAsia="仿宋_GB2312" w:cs="Times New Roman"/>
      <w:kern w:val="2"/>
      <w:szCs w:val="20"/>
    </w:rPr>
  </w:style>
  <w:style w:type="paragraph" w:customStyle="1" w:styleId="74">
    <w:name w:val="正文缩进1"/>
    <w:basedOn w:val="1"/>
    <w:next w:val="17"/>
    <w:autoRedefine/>
    <w:qFormat/>
    <w:uiPriority w:val="0"/>
    <w:pPr>
      <w:widowControl w:val="0"/>
      <w:autoSpaceDE w:val="0"/>
      <w:autoSpaceDN w:val="0"/>
      <w:adjustRightInd w:val="0"/>
      <w:snapToGrid w:val="0"/>
      <w:spacing w:after="120" w:line="360" w:lineRule="auto"/>
      <w:ind w:left="420" w:leftChars="200" w:firstLine="480" w:firstLineChars="200"/>
      <w:jc w:val="both"/>
    </w:pPr>
    <w:rPr>
      <w:rFonts w:ascii="Times New Roman" w:hAnsi="Times New Roman" w:eastAsia="宋体" w:cs="Times New Roman"/>
      <w:kern w:val="2"/>
      <w:szCs w:val="21"/>
    </w:rPr>
  </w:style>
  <w:style w:type="paragraph" w:customStyle="1" w:styleId="75">
    <w:name w:val="text-tag"/>
    <w:basedOn w:val="1"/>
    <w:autoRedefine/>
    <w:semiHidden/>
    <w:qFormat/>
    <w:uiPriority w:val="99"/>
    <w:pPr>
      <w:spacing w:before="100" w:beforeAutospacing="1" w:after="100" w:afterAutospacing="1"/>
    </w:pPr>
    <w:rPr>
      <w:rFonts w:ascii="宋体" w:hAnsi="宋体" w:eastAsia="宋体" w:cs="宋体"/>
    </w:rPr>
  </w:style>
  <w:style w:type="character" w:customStyle="1" w:styleId="76">
    <w:name w:val="纯文本 Char_0"/>
    <w:link w:val="77"/>
    <w:autoRedefine/>
    <w:qFormat/>
    <w:uiPriority w:val="0"/>
    <w:rPr>
      <w:rFonts w:ascii="宋体" w:hAnsi="Courier New"/>
      <w:kern w:val="2"/>
      <w:sz w:val="21"/>
      <w:szCs w:val="21"/>
    </w:rPr>
  </w:style>
  <w:style w:type="paragraph" w:customStyle="1" w:styleId="77">
    <w:name w:val="纯文本_0_0"/>
    <w:basedOn w:val="1"/>
    <w:link w:val="76"/>
    <w:autoRedefine/>
    <w:qFormat/>
    <w:uiPriority w:val="0"/>
    <w:pPr>
      <w:widowControl w:val="0"/>
      <w:spacing w:after="0"/>
      <w:jc w:val="both"/>
    </w:pPr>
    <w:rPr>
      <w:rFonts w:ascii="宋体" w:hAnsi="Courier New" w:eastAsiaTheme="majorEastAsia"/>
      <w:kern w:val="2"/>
      <w:sz w:val="21"/>
      <w:szCs w:val="21"/>
    </w:rPr>
  </w:style>
  <w:style w:type="paragraph" w:customStyle="1" w:styleId="78">
    <w:name w:val="部分1"/>
    <w:basedOn w:val="1"/>
    <w:autoRedefine/>
    <w:qFormat/>
    <w:uiPriority w:val="0"/>
    <w:pPr>
      <w:keepNext/>
      <w:pageBreakBefore/>
      <w:widowControl w:val="0"/>
      <w:tabs>
        <w:tab w:val="left" w:pos="720"/>
      </w:tabs>
      <w:adjustRightInd w:val="0"/>
      <w:spacing w:after="0" w:line="360" w:lineRule="auto"/>
      <w:jc w:val="center"/>
      <w:outlineLvl w:val="0"/>
    </w:pPr>
    <w:rPr>
      <w:rFonts w:ascii="Times New Roman" w:hAnsi="Times New Roman" w:eastAsia="黑体" w:cs="Times New Roman"/>
      <w:b/>
      <w:kern w:val="44"/>
      <w:sz w:val="36"/>
      <w:szCs w:val="20"/>
    </w:rPr>
  </w:style>
  <w:style w:type="character" w:customStyle="1" w:styleId="79">
    <w:name w:val="批注框文本 Char"/>
    <w:basedOn w:val="28"/>
    <w:link w:val="18"/>
    <w:autoRedefine/>
    <w:semiHidden/>
    <w:qFormat/>
    <w:uiPriority w:val="99"/>
    <w:rPr>
      <w:rFonts w:ascii="仿宋" w:hAnsi="仿宋" w:eastAsia="仿宋"/>
      <w:sz w:val="18"/>
      <w:szCs w:val="18"/>
    </w:rPr>
  </w:style>
  <w:style w:type="character" w:customStyle="1" w:styleId="80">
    <w:name w:val="font41"/>
    <w:basedOn w:val="28"/>
    <w:autoRedefine/>
    <w:qFormat/>
    <w:uiPriority w:val="0"/>
    <w:rPr>
      <w:rFonts w:ascii="Symbol" w:hAnsi="Symbol" w:cs="Symbol"/>
      <w:color w:val="000000"/>
      <w:sz w:val="28"/>
      <w:szCs w:val="28"/>
      <w:u w:val="none"/>
    </w:rPr>
  </w:style>
  <w:style w:type="character" w:customStyle="1" w:styleId="81">
    <w:name w:val="font51"/>
    <w:basedOn w:val="28"/>
    <w:autoRedefine/>
    <w:qFormat/>
    <w:uiPriority w:val="0"/>
    <w:rPr>
      <w:rFonts w:ascii="Arial" w:hAnsi="Arial" w:cs="Arial"/>
      <w:color w:val="000000"/>
      <w:sz w:val="28"/>
      <w:szCs w:val="28"/>
      <w:u w:val="none"/>
    </w:rPr>
  </w:style>
  <w:style w:type="character" w:customStyle="1" w:styleId="82">
    <w:name w:val="font21"/>
    <w:basedOn w:val="28"/>
    <w:autoRedefine/>
    <w:qFormat/>
    <w:uiPriority w:val="0"/>
    <w:rPr>
      <w:rFonts w:hint="eastAsia" w:ascii="宋体" w:hAnsi="宋体" w:eastAsia="宋体" w:cs="宋体"/>
      <w:color w:val="000000"/>
      <w:sz w:val="28"/>
      <w:szCs w:val="28"/>
      <w:u w:val="none"/>
    </w:rPr>
  </w:style>
  <w:style w:type="character" w:customStyle="1" w:styleId="83">
    <w:name w:val="font61"/>
    <w:autoRedefine/>
    <w:qFormat/>
    <w:uiPriority w:val="0"/>
    <w:rPr>
      <w:rFonts w:hint="eastAsia" w:ascii="微软雅黑" w:hAnsi="微软雅黑" w:eastAsia="微软雅黑" w:cs="微软雅黑"/>
      <w:color w:val="FF0000"/>
      <w:sz w:val="24"/>
      <w:szCs w:val="24"/>
      <w:u w:val="none"/>
    </w:rPr>
  </w:style>
  <w:style w:type="paragraph" w:customStyle="1" w:styleId="84">
    <w:name w:val="Table Paragraph"/>
    <w:basedOn w:val="1"/>
    <w:autoRedefine/>
    <w:qFormat/>
    <w:uiPriority w:val="1"/>
    <w:rPr>
      <w:rFonts w:ascii="宋体" w:hAnsi="宋体" w:eastAsia="宋体" w:cs="宋体"/>
      <w:lang w:val="zh-CN" w:eastAsia="zh-CN" w:bidi="zh-CN"/>
    </w:rPr>
  </w:style>
  <w:style w:type="paragraph" w:customStyle="1" w:styleId="85">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86">
    <w:name w:val="列出段落6"/>
    <w:basedOn w:val="1"/>
    <w:qFormat/>
    <w:uiPriority w:val="0"/>
    <w:pPr>
      <w:spacing w:line="360" w:lineRule="auto"/>
      <w:ind w:firstLine="420" w:firstLineChars="200"/>
    </w:pPr>
    <w:rPr>
      <w:rFonts w:ascii="Calibri" w:hAnsi="Calibri"/>
      <w:sz w:val="24"/>
      <w:szCs w:val="2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2.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D6E9672-B487-489B-8A08-A21C17F143A4}">
  <ds:schemaRefs/>
</ds:datastoreItem>
</file>

<file path=docProps/app.xml><?xml version="1.0" encoding="utf-8"?>
<Properties xmlns="http://schemas.openxmlformats.org/officeDocument/2006/extended-properties" xmlns:vt="http://schemas.openxmlformats.org/officeDocument/2006/docPropsVTypes">
  <Template>Normal.dotm</Template>
  <Pages>57</Pages>
  <Words>16620</Words>
  <Characters>17708</Characters>
  <Lines>306</Lines>
  <Paragraphs>86</Paragraphs>
  <TotalTime>67</TotalTime>
  <ScaleCrop>false</ScaleCrop>
  <LinksUpToDate>false</LinksUpToDate>
  <CharactersWithSpaces>17919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2022-06-10T07:30:00Z</dcterms:created>
  <dc:creator>admin</dc:creator>
  <cp:lastModifiedBy>无奈啊无奈</cp:lastModifiedBy>
  <cp:lastPrinted>2024-04-15T11:54:00Z</cp:lastPrinted>
  <dcterms:modified xsi:type="dcterms:W3CDTF">2025-03-25T13:56:40Z</dcterms:modified>
  <cp:revision>74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DB4DD27446324F6D8F1A720F1AB1E4DA_13</vt:lpwstr>
  </property>
  <property fmtid="{D5CDD505-2E9C-101B-9397-08002B2CF9AE}" pid="4" name="KSOTemplateDocerSaveRecord">
    <vt:lpwstr>eyJoZGlkIjoiODAwZWUxODc3YmJmZjU3MGRkMTdmNTllZjUwYmQyOTEiLCJ1c2VySWQiOiI1MDUzMjg3MDMifQ==</vt:lpwstr>
  </property>
</Properties>
</file>