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E87087">
      <w:pPr>
        <w:spacing w:line="360" w:lineRule="auto"/>
        <w:jc w:val="center"/>
        <w:rPr>
          <w:rFonts w:asciiTheme="minorEastAsia" w:hAnsiTheme="minorEastAsia" w:eastAsiaTheme="minorEastAsia" w:cstheme="minorEastAsia"/>
          <w:color w:val="auto"/>
          <w:sz w:val="48"/>
          <w:szCs w:val="48"/>
          <w:highlight w:val="none"/>
        </w:rPr>
      </w:pPr>
    </w:p>
    <w:p w14:paraId="601ADA22">
      <w:pPr>
        <w:spacing w:line="360" w:lineRule="auto"/>
        <w:jc w:val="center"/>
        <w:rPr>
          <w:rFonts w:hint="eastAsia" w:asciiTheme="minorEastAsia" w:hAnsiTheme="minorEastAsia" w:eastAsiaTheme="minorEastAsia" w:cstheme="minorEastAsia"/>
          <w:color w:val="auto"/>
          <w:sz w:val="36"/>
          <w:szCs w:val="36"/>
          <w:highlight w:val="none"/>
          <w:lang w:val="en-US" w:eastAsia="zh-CN"/>
        </w:rPr>
      </w:pPr>
      <w:r>
        <w:rPr>
          <w:rFonts w:hint="eastAsia" w:asciiTheme="minorEastAsia" w:hAnsiTheme="minorEastAsia" w:eastAsiaTheme="minorEastAsia" w:cstheme="minorEastAsia"/>
          <w:color w:val="auto"/>
          <w:sz w:val="36"/>
          <w:szCs w:val="36"/>
          <w:highlight w:val="none"/>
          <w:lang w:val="en-US" w:eastAsia="zh-CN"/>
        </w:rPr>
        <w:t>奉化区FH24-02-09a地块建设项目—通信基础设施和</w:t>
      </w:r>
    </w:p>
    <w:p w14:paraId="0C4CA7BD">
      <w:pPr>
        <w:spacing w:line="360" w:lineRule="auto"/>
        <w:jc w:val="center"/>
        <w:rPr>
          <w:rFonts w:hint="eastAsia" w:asciiTheme="minorEastAsia" w:hAnsiTheme="minorEastAsia" w:eastAsiaTheme="minorEastAsia" w:cstheme="minorEastAsia"/>
          <w:color w:val="auto"/>
          <w:sz w:val="36"/>
          <w:szCs w:val="36"/>
          <w:highlight w:val="none"/>
          <w:lang w:val="en-US" w:eastAsia="zh-CN"/>
        </w:rPr>
      </w:pPr>
      <w:r>
        <w:rPr>
          <w:rFonts w:hint="eastAsia" w:asciiTheme="minorEastAsia" w:hAnsiTheme="minorEastAsia" w:eastAsiaTheme="minorEastAsia" w:cstheme="minorEastAsia"/>
          <w:color w:val="auto"/>
          <w:sz w:val="36"/>
          <w:szCs w:val="36"/>
          <w:highlight w:val="none"/>
          <w:lang w:val="en-US" w:eastAsia="zh-CN"/>
        </w:rPr>
        <w:t>无线通信室内覆盖系统建设工程</w:t>
      </w:r>
      <w:r>
        <w:rPr>
          <w:rFonts w:hint="eastAsia" w:asciiTheme="minorEastAsia" w:hAnsiTheme="minorEastAsia" w:eastAsiaTheme="minorEastAsia" w:cstheme="minorEastAsia"/>
          <w:color w:val="auto"/>
          <w:sz w:val="36"/>
          <w:szCs w:val="36"/>
          <w:highlight w:val="none"/>
        </w:rPr>
        <w:t>竞争性</w:t>
      </w:r>
      <w:r>
        <w:rPr>
          <w:rFonts w:hint="eastAsia" w:asciiTheme="minorEastAsia" w:hAnsiTheme="minorEastAsia" w:eastAsiaTheme="minorEastAsia" w:cstheme="minorEastAsia"/>
          <w:color w:val="auto"/>
          <w:sz w:val="36"/>
          <w:szCs w:val="36"/>
          <w:highlight w:val="none"/>
          <w:lang w:val="en-US" w:eastAsia="zh-CN"/>
        </w:rPr>
        <w:t>磋商</w:t>
      </w:r>
    </w:p>
    <w:p w14:paraId="4BF1791C">
      <w:pPr>
        <w:spacing w:line="360" w:lineRule="auto"/>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36"/>
          <w:szCs w:val="36"/>
          <w:highlight w:val="none"/>
          <w:lang w:eastAsia="zh-CN"/>
        </w:rPr>
        <w:t>采购文件</w:t>
      </w:r>
      <w:r>
        <w:rPr>
          <w:rFonts w:hint="eastAsia" w:asciiTheme="minorEastAsia" w:hAnsiTheme="minorEastAsia" w:eastAsiaTheme="minorEastAsia" w:cstheme="minorEastAsia"/>
          <w:b/>
          <w:color w:val="auto"/>
          <w:sz w:val="36"/>
          <w:szCs w:val="36"/>
          <w:highlight w:val="none"/>
        </w:rPr>
        <w:t>（电子交易项目）</w:t>
      </w:r>
    </w:p>
    <w:p w14:paraId="0141A2FA">
      <w:pPr>
        <w:snapToGrid w:val="0"/>
        <w:spacing w:line="360" w:lineRule="auto"/>
        <w:jc w:val="center"/>
        <w:rPr>
          <w:rFonts w:hint="default" w:asciiTheme="minorEastAsia" w:hAnsiTheme="minorEastAsia" w:eastAsiaTheme="minorEastAsia" w:cstheme="minorEastAsia"/>
          <w:color w:val="auto"/>
          <w:sz w:val="30"/>
          <w:szCs w:val="30"/>
          <w:highlight w:val="none"/>
          <w:lang w:val="en-US" w:eastAsia="zh-CN"/>
        </w:rPr>
      </w:pPr>
      <w:r>
        <w:rPr>
          <w:rFonts w:hint="eastAsia" w:asciiTheme="minorEastAsia" w:hAnsiTheme="minorEastAsia" w:eastAsiaTheme="minorEastAsia" w:cstheme="minorEastAsia"/>
          <w:color w:val="auto"/>
          <w:sz w:val="30"/>
          <w:szCs w:val="30"/>
          <w:highlight w:val="none"/>
        </w:rPr>
        <w:t>编号</w:t>
      </w:r>
      <w:r>
        <w:rPr>
          <w:rFonts w:hint="eastAsia" w:asciiTheme="minorEastAsia" w:hAnsiTheme="minorEastAsia" w:eastAsiaTheme="minorEastAsia" w:cstheme="minorEastAsia"/>
          <w:color w:val="auto"/>
          <w:sz w:val="30"/>
          <w:szCs w:val="30"/>
          <w:highlight w:val="none"/>
          <w:lang w:eastAsia="zh-CN"/>
        </w:rPr>
        <w:t>：</w:t>
      </w:r>
      <w:r>
        <w:rPr>
          <w:rFonts w:hint="eastAsia" w:asciiTheme="minorEastAsia" w:hAnsiTheme="minorEastAsia" w:eastAsiaTheme="minorEastAsia" w:cstheme="minorEastAsia"/>
          <w:color w:val="auto"/>
          <w:sz w:val="30"/>
          <w:szCs w:val="30"/>
          <w:highlight w:val="none"/>
        </w:rPr>
        <w:t xml:space="preserve"> </w:t>
      </w:r>
      <w:r>
        <w:rPr>
          <w:rFonts w:hint="eastAsia" w:asciiTheme="minorEastAsia" w:hAnsiTheme="minorEastAsia" w:eastAsiaTheme="minorEastAsia" w:cstheme="minorEastAsia"/>
          <w:color w:val="auto"/>
          <w:sz w:val="30"/>
          <w:szCs w:val="30"/>
          <w:highlight w:val="none"/>
          <w:lang w:val="en-US" w:eastAsia="zh-CN"/>
        </w:rPr>
        <w:t xml:space="preserve">FHGQZB(2025)089D </w:t>
      </w:r>
    </w:p>
    <w:p w14:paraId="6D85F1D5">
      <w:pPr>
        <w:spacing w:line="360" w:lineRule="auto"/>
        <w:rPr>
          <w:rFonts w:asciiTheme="minorEastAsia" w:hAnsiTheme="minorEastAsia" w:eastAsiaTheme="minorEastAsia" w:cstheme="minorEastAsia"/>
          <w:color w:val="auto"/>
          <w:sz w:val="28"/>
          <w:szCs w:val="20"/>
          <w:highlight w:val="none"/>
        </w:rPr>
      </w:pPr>
    </w:p>
    <w:p w14:paraId="664EB6D2">
      <w:pPr>
        <w:spacing w:line="360" w:lineRule="auto"/>
        <w:jc w:val="center"/>
        <w:rPr>
          <w:rFonts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 xml:space="preserve"> </w:t>
      </w:r>
    </w:p>
    <w:p w14:paraId="4F7FEAA1">
      <w:pPr>
        <w:spacing w:line="360" w:lineRule="auto"/>
        <w:jc w:val="center"/>
        <w:rPr>
          <w:rFonts w:asciiTheme="minorEastAsia" w:hAnsiTheme="minorEastAsia" w:eastAsiaTheme="minorEastAsia" w:cstheme="minorEastAsia"/>
          <w:b/>
          <w:color w:val="auto"/>
          <w:sz w:val="44"/>
          <w:szCs w:val="44"/>
          <w:highlight w:val="none"/>
        </w:rPr>
      </w:pPr>
    </w:p>
    <w:p w14:paraId="23B06036">
      <w:pPr>
        <w:pStyle w:val="32"/>
        <w:ind w:firstLine="560"/>
        <w:rPr>
          <w:rFonts w:asciiTheme="minorEastAsia" w:hAnsiTheme="minorEastAsia" w:eastAsiaTheme="minorEastAsia" w:cstheme="minorEastAsia"/>
          <w:color w:val="auto"/>
          <w:highlight w:val="none"/>
        </w:rPr>
      </w:pPr>
    </w:p>
    <w:p w14:paraId="7C9C7D1B">
      <w:pPr>
        <w:pStyle w:val="32"/>
        <w:ind w:firstLine="560"/>
        <w:rPr>
          <w:rFonts w:asciiTheme="minorEastAsia" w:hAnsiTheme="minorEastAsia" w:eastAsiaTheme="minorEastAsia" w:cstheme="minorEastAsia"/>
          <w:color w:val="auto"/>
          <w:highlight w:val="none"/>
        </w:rPr>
      </w:pPr>
    </w:p>
    <w:p w14:paraId="39498F5C">
      <w:pPr>
        <w:spacing w:line="360" w:lineRule="auto"/>
        <w:rPr>
          <w:rFonts w:asciiTheme="minorEastAsia" w:hAnsiTheme="minorEastAsia" w:eastAsiaTheme="minorEastAsia" w:cstheme="minorEastAsia"/>
          <w:color w:val="auto"/>
          <w:sz w:val="24"/>
          <w:highlight w:val="none"/>
        </w:rPr>
      </w:pPr>
    </w:p>
    <w:p w14:paraId="5F3D1C91">
      <w:pPr>
        <w:pStyle w:val="9"/>
        <w:rPr>
          <w:color w:val="auto"/>
          <w:highlight w:val="none"/>
        </w:rPr>
      </w:pPr>
    </w:p>
    <w:p w14:paraId="7704D8F0">
      <w:pPr>
        <w:spacing w:line="360" w:lineRule="auto"/>
        <w:jc w:val="center"/>
        <w:rPr>
          <w:rFonts w:asciiTheme="minorEastAsia" w:hAnsiTheme="minorEastAsia" w:eastAsiaTheme="minorEastAsia" w:cstheme="minorEastAsia"/>
          <w:color w:val="auto"/>
          <w:sz w:val="24"/>
          <w:highlight w:val="none"/>
        </w:rPr>
      </w:pPr>
    </w:p>
    <w:p w14:paraId="11AA3C15">
      <w:pPr>
        <w:spacing w:line="360" w:lineRule="auto"/>
        <w:rPr>
          <w:rFonts w:asciiTheme="minorEastAsia" w:hAnsiTheme="minorEastAsia" w:eastAsiaTheme="minorEastAsia" w:cstheme="minorEastAsia"/>
          <w:color w:val="auto"/>
          <w:sz w:val="32"/>
          <w:szCs w:val="32"/>
          <w:highlight w:val="none"/>
        </w:rPr>
      </w:pPr>
    </w:p>
    <w:p w14:paraId="2F811C11">
      <w:pPr>
        <w:spacing w:line="360" w:lineRule="auto"/>
        <w:ind w:firstLine="960" w:firstLineChars="300"/>
        <w:rPr>
          <w:rFonts w:hint="eastAsia" w:asciiTheme="minorEastAsia" w:hAnsiTheme="minorEastAsia" w:eastAsiaTheme="minorEastAsia" w:cstheme="minorEastAsia"/>
          <w:color w:val="auto"/>
          <w:sz w:val="32"/>
          <w:szCs w:val="32"/>
          <w:highlight w:val="none"/>
          <w:lang w:eastAsia="zh-CN"/>
        </w:rPr>
      </w:pPr>
      <w:r>
        <w:rPr>
          <w:rFonts w:hint="eastAsia" w:asciiTheme="minorEastAsia" w:hAnsiTheme="minorEastAsia" w:eastAsiaTheme="minorEastAsia" w:cstheme="minorEastAsia"/>
          <w:color w:val="auto"/>
          <w:sz w:val="32"/>
          <w:szCs w:val="32"/>
          <w:highlight w:val="none"/>
        </w:rPr>
        <w:t>采购人：</w:t>
      </w:r>
      <w:r>
        <w:rPr>
          <w:rFonts w:hint="eastAsia" w:asciiTheme="minorEastAsia" w:hAnsiTheme="minorEastAsia" w:eastAsiaTheme="minorEastAsia" w:cstheme="minorEastAsia"/>
          <w:color w:val="auto"/>
          <w:sz w:val="32"/>
          <w:szCs w:val="32"/>
          <w:highlight w:val="none"/>
          <w:lang w:eastAsia="zh-CN"/>
        </w:rPr>
        <w:t>宁波市奉化区惠海地下管线投资有限公司</w:t>
      </w:r>
    </w:p>
    <w:p w14:paraId="2C29FAD0">
      <w:pPr>
        <w:snapToGrid w:val="0"/>
        <w:spacing w:line="360" w:lineRule="auto"/>
        <w:ind w:firstLine="960" w:firstLineChars="300"/>
        <w:jc w:val="both"/>
        <w:rPr>
          <w:rFonts w:hint="default" w:asciiTheme="minorEastAsia" w:hAnsiTheme="minorEastAsia" w:eastAsiaTheme="minorEastAsia" w:cstheme="minorEastAsia"/>
          <w:bCs/>
          <w:color w:val="auto"/>
          <w:sz w:val="32"/>
          <w:szCs w:val="32"/>
          <w:highlight w:val="none"/>
          <w:lang w:val="en-US"/>
        </w:rPr>
      </w:pPr>
      <w:r>
        <w:rPr>
          <w:rFonts w:hint="eastAsia" w:asciiTheme="minorEastAsia" w:hAnsiTheme="minorEastAsia" w:eastAsiaTheme="minorEastAsia" w:cstheme="minorEastAsia"/>
          <w:bCs/>
          <w:color w:val="auto"/>
          <w:sz w:val="32"/>
          <w:szCs w:val="32"/>
          <w:highlight w:val="none"/>
        </w:rPr>
        <w:t>采购代理机构：</w:t>
      </w:r>
      <w:r>
        <w:rPr>
          <w:rFonts w:hint="eastAsia" w:asciiTheme="minorEastAsia" w:hAnsiTheme="minorEastAsia" w:eastAsiaTheme="minorEastAsia" w:cstheme="minorEastAsia"/>
          <w:bCs/>
          <w:color w:val="auto"/>
          <w:sz w:val="32"/>
          <w:szCs w:val="32"/>
          <w:highlight w:val="none"/>
          <w:lang w:val="en-US" w:eastAsia="zh-CN"/>
        </w:rPr>
        <w:t>宁波日月欣项目管理有限公司</w:t>
      </w:r>
    </w:p>
    <w:p w14:paraId="2DC2F5DA">
      <w:pPr>
        <w:snapToGrid w:val="0"/>
        <w:spacing w:line="360" w:lineRule="auto"/>
        <w:jc w:val="center"/>
        <w:rPr>
          <w:rFonts w:asciiTheme="minorEastAsia" w:hAnsiTheme="minorEastAsia" w:eastAsiaTheme="minorEastAsia" w:cstheme="minorEastAsia"/>
          <w:bCs/>
          <w:color w:val="auto"/>
          <w:sz w:val="32"/>
          <w:szCs w:val="32"/>
          <w:highlight w:val="none"/>
        </w:rPr>
      </w:pPr>
      <w:r>
        <w:rPr>
          <w:rFonts w:hint="eastAsia" w:asciiTheme="minorEastAsia" w:hAnsiTheme="minorEastAsia" w:eastAsiaTheme="minorEastAsia" w:cstheme="minorEastAsia"/>
          <w:bCs/>
          <w:color w:val="auto"/>
          <w:sz w:val="32"/>
          <w:szCs w:val="32"/>
          <w:highlight w:val="none"/>
        </w:rPr>
        <w:t>二零二</w:t>
      </w:r>
      <w:r>
        <w:rPr>
          <w:rFonts w:hint="eastAsia" w:asciiTheme="minorEastAsia" w:hAnsiTheme="minorEastAsia" w:eastAsiaTheme="minorEastAsia" w:cstheme="minorEastAsia"/>
          <w:bCs/>
          <w:color w:val="auto"/>
          <w:sz w:val="32"/>
          <w:szCs w:val="32"/>
          <w:highlight w:val="none"/>
          <w:lang w:val="en-US" w:eastAsia="zh-CN"/>
        </w:rPr>
        <w:t>五</w:t>
      </w:r>
      <w:r>
        <w:rPr>
          <w:rFonts w:hint="eastAsia" w:asciiTheme="minorEastAsia" w:hAnsiTheme="minorEastAsia" w:eastAsiaTheme="minorEastAsia" w:cstheme="minorEastAsia"/>
          <w:bCs/>
          <w:color w:val="auto"/>
          <w:sz w:val="32"/>
          <w:szCs w:val="32"/>
          <w:highlight w:val="none"/>
        </w:rPr>
        <w:t>年</w:t>
      </w:r>
    </w:p>
    <w:p w14:paraId="40093648">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0" w:name="_Hlt67893495"/>
      <w:bookmarkEnd w:id="0"/>
    </w:p>
    <w:p w14:paraId="1ACDB971">
      <w:pPr>
        <w:spacing w:line="360" w:lineRule="auto"/>
        <w:jc w:val="center"/>
        <w:rPr>
          <w:rFonts w:asciiTheme="minorEastAsia" w:hAnsiTheme="minorEastAsia" w:eastAsiaTheme="minorEastAsia" w:cstheme="minorEastAsia"/>
          <w:color w:val="auto"/>
          <w:sz w:val="24"/>
          <w:highlight w:val="none"/>
        </w:rPr>
      </w:pPr>
    </w:p>
    <w:p w14:paraId="73EB6608">
      <w:pPr>
        <w:spacing w:line="360" w:lineRule="auto"/>
        <w:jc w:val="center"/>
        <w:rPr>
          <w:rFonts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4EE47801">
      <w:pPr>
        <w:spacing w:line="360" w:lineRule="auto"/>
        <w:rPr>
          <w:rFonts w:asciiTheme="minorEastAsia" w:hAnsiTheme="minorEastAsia" w:eastAsiaTheme="minorEastAsia" w:cstheme="minorEastAsia"/>
          <w:color w:val="auto"/>
          <w:sz w:val="32"/>
          <w:szCs w:val="32"/>
          <w:highlight w:val="none"/>
        </w:rPr>
      </w:pPr>
    </w:p>
    <w:p w14:paraId="3FBF4505">
      <w:pPr>
        <w:spacing w:line="360" w:lineRule="auto"/>
        <w:rPr>
          <w:rFonts w:asciiTheme="minorEastAsia" w:hAnsiTheme="minorEastAsia" w:eastAsiaTheme="minorEastAsia" w:cstheme="minorEastAsia"/>
          <w:color w:val="auto"/>
          <w:sz w:val="32"/>
          <w:szCs w:val="32"/>
          <w:highlight w:val="none"/>
        </w:rPr>
      </w:pPr>
    </w:p>
    <w:p w14:paraId="52A9CDE9">
      <w:pPr>
        <w:spacing w:line="360" w:lineRule="auto"/>
        <w:ind w:firstLine="732" w:firstLineChars="229"/>
        <w:rPr>
          <w:rFonts w:asciiTheme="minorEastAsia" w:hAnsiTheme="minorEastAsia" w:eastAsiaTheme="minorEastAsia" w:cstheme="minorEastAsia"/>
          <w:color w:val="auto"/>
          <w:sz w:val="32"/>
          <w:szCs w:val="32"/>
          <w:highlight w:val="none"/>
        </w:rPr>
      </w:pPr>
      <w:bookmarkStart w:id="1" w:name="_Hlt91233176"/>
      <w:bookmarkEnd w:id="1"/>
      <w:bookmarkStart w:id="2" w:name="_Toc91899869"/>
      <w:r>
        <w:rPr>
          <w:rFonts w:hint="eastAsia" w:asciiTheme="minorEastAsia" w:hAnsiTheme="minorEastAsia" w:eastAsiaTheme="minorEastAsia" w:cstheme="minorEastAsia"/>
          <w:color w:val="auto"/>
          <w:sz w:val="32"/>
          <w:szCs w:val="32"/>
          <w:highlight w:val="none"/>
        </w:rPr>
        <w:t>第一部分  竞争性磋商公告</w:t>
      </w:r>
    </w:p>
    <w:p w14:paraId="02C1C633">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响应须知</w:t>
      </w:r>
    </w:p>
    <w:p w14:paraId="37956CC7">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采购需求</w:t>
      </w:r>
    </w:p>
    <w:p w14:paraId="38D5D048">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评审办法</w:t>
      </w:r>
    </w:p>
    <w:p w14:paraId="397EB0EB">
      <w:pP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合同文本</w:t>
      </w:r>
    </w:p>
    <w:p w14:paraId="5F7A1797">
      <w:pPr>
        <w:spacing w:line="360" w:lineRule="auto"/>
        <w:ind w:firstLine="732" w:firstLineChars="229"/>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6E555D78">
      <w:pPr>
        <w:spacing w:line="360" w:lineRule="auto"/>
        <w:ind w:firstLine="549" w:firstLineChars="229"/>
        <w:rPr>
          <w:rFonts w:asciiTheme="minorEastAsia" w:hAnsiTheme="minorEastAsia" w:eastAsiaTheme="minorEastAsia" w:cstheme="minorEastAsia"/>
          <w:color w:val="auto"/>
          <w:sz w:val="24"/>
          <w:highlight w:val="none"/>
        </w:rPr>
      </w:pPr>
    </w:p>
    <w:p w14:paraId="2E7813EF">
      <w:pPr>
        <w:spacing w:line="360" w:lineRule="auto"/>
        <w:ind w:firstLine="549" w:firstLineChars="229"/>
        <w:rPr>
          <w:rFonts w:asciiTheme="minorEastAsia" w:hAnsiTheme="minorEastAsia" w:eastAsiaTheme="minorEastAsia" w:cstheme="minorEastAsia"/>
          <w:color w:val="auto"/>
          <w:sz w:val="24"/>
          <w:highlight w:val="none"/>
        </w:rPr>
      </w:pPr>
    </w:p>
    <w:p w14:paraId="3DCE8AD7">
      <w:pPr>
        <w:spacing w:line="360" w:lineRule="auto"/>
        <w:ind w:firstLine="549" w:firstLineChars="229"/>
        <w:rPr>
          <w:rFonts w:asciiTheme="minorEastAsia" w:hAnsiTheme="minorEastAsia" w:eastAsiaTheme="minorEastAsia" w:cstheme="minorEastAsia"/>
          <w:color w:val="auto"/>
          <w:sz w:val="24"/>
          <w:highlight w:val="none"/>
        </w:rPr>
      </w:pPr>
    </w:p>
    <w:p w14:paraId="0531889A">
      <w:pPr>
        <w:spacing w:line="360" w:lineRule="auto"/>
        <w:ind w:firstLine="549" w:firstLineChars="229"/>
        <w:rPr>
          <w:rFonts w:asciiTheme="minorEastAsia" w:hAnsiTheme="minorEastAsia" w:eastAsiaTheme="minorEastAsia" w:cstheme="minorEastAsia"/>
          <w:color w:val="auto"/>
          <w:sz w:val="24"/>
          <w:highlight w:val="none"/>
        </w:rPr>
      </w:pPr>
    </w:p>
    <w:p w14:paraId="66193F72">
      <w:pPr>
        <w:spacing w:line="360" w:lineRule="auto"/>
        <w:ind w:firstLine="549" w:firstLineChars="229"/>
        <w:rPr>
          <w:rFonts w:asciiTheme="minorEastAsia" w:hAnsiTheme="minorEastAsia" w:eastAsiaTheme="minorEastAsia" w:cstheme="minorEastAsia"/>
          <w:color w:val="auto"/>
          <w:sz w:val="24"/>
          <w:highlight w:val="none"/>
        </w:rPr>
      </w:pPr>
    </w:p>
    <w:p w14:paraId="2503EB74">
      <w:pPr>
        <w:spacing w:line="360" w:lineRule="auto"/>
        <w:ind w:firstLine="549" w:firstLineChars="229"/>
        <w:rPr>
          <w:rFonts w:asciiTheme="minorEastAsia" w:hAnsiTheme="minorEastAsia" w:eastAsiaTheme="minorEastAsia" w:cstheme="minorEastAsia"/>
          <w:color w:val="auto"/>
          <w:sz w:val="24"/>
          <w:highlight w:val="none"/>
        </w:rPr>
      </w:pPr>
    </w:p>
    <w:p w14:paraId="23614D77">
      <w:pPr>
        <w:spacing w:line="360" w:lineRule="auto"/>
        <w:ind w:firstLine="549" w:firstLineChars="229"/>
        <w:rPr>
          <w:rFonts w:asciiTheme="minorEastAsia" w:hAnsiTheme="minorEastAsia" w:eastAsiaTheme="minorEastAsia" w:cstheme="minorEastAsia"/>
          <w:color w:val="auto"/>
          <w:sz w:val="24"/>
          <w:highlight w:val="none"/>
        </w:rPr>
      </w:pPr>
    </w:p>
    <w:p w14:paraId="0B9D6FEB">
      <w:pPr>
        <w:spacing w:line="360" w:lineRule="auto"/>
        <w:ind w:firstLine="549" w:firstLineChars="229"/>
        <w:rPr>
          <w:rFonts w:asciiTheme="minorEastAsia" w:hAnsiTheme="minorEastAsia" w:eastAsiaTheme="minorEastAsia" w:cstheme="minorEastAsia"/>
          <w:color w:val="auto"/>
          <w:sz w:val="24"/>
          <w:highlight w:val="none"/>
        </w:rPr>
      </w:pPr>
    </w:p>
    <w:p w14:paraId="05172C08">
      <w:pPr>
        <w:spacing w:line="360" w:lineRule="auto"/>
        <w:ind w:firstLine="549" w:firstLineChars="229"/>
        <w:rPr>
          <w:rFonts w:asciiTheme="minorEastAsia" w:hAnsiTheme="minorEastAsia" w:eastAsiaTheme="minorEastAsia" w:cstheme="minorEastAsia"/>
          <w:color w:val="auto"/>
          <w:sz w:val="24"/>
          <w:highlight w:val="none"/>
        </w:rPr>
      </w:pPr>
    </w:p>
    <w:p w14:paraId="03E47B2B">
      <w:pPr>
        <w:spacing w:line="360" w:lineRule="auto"/>
        <w:ind w:firstLine="549" w:firstLineChars="229"/>
        <w:rPr>
          <w:rFonts w:asciiTheme="minorEastAsia" w:hAnsiTheme="minorEastAsia" w:eastAsiaTheme="minorEastAsia" w:cstheme="minorEastAsia"/>
          <w:color w:val="auto"/>
          <w:sz w:val="24"/>
          <w:highlight w:val="none"/>
        </w:rPr>
      </w:pPr>
    </w:p>
    <w:p w14:paraId="7FF9F408">
      <w:pPr>
        <w:spacing w:line="360" w:lineRule="auto"/>
        <w:ind w:firstLine="549" w:firstLineChars="229"/>
        <w:rPr>
          <w:rFonts w:asciiTheme="minorEastAsia" w:hAnsiTheme="minorEastAsia" w:eastAsiaTheme="minorEastAsia" w:cstheme="minorEastAsia"/>
          <w:color w:val="auto"/>
          <w:sz w:val="24"/>
          <w:highlight w:val="none"/>
        </w:rPr>
      </w:pPr>
    </w:p>
    <w:p w14:paraId="3FCB9DA4">
      <w:pPr>
        <w:spacing w:line="360" w:lineRule="auto"/>
        <w:ind w:firstLine="549" w:firstLineChars="229"/>
        <w:rPr>
          <w:rFonts w:asciiTheme="minorEastAsia" w:hAnsiTheme="minorEastAsia" w:eastAsiaTheme="minorEastAsia" w:cstheme="minorEastAsia"/>
          <w:color w:val="auto"/>
          <w:sz w:val="24"/>
          <w:highlight w:val="none"/>
        </w:rPr>
      </w:pPr>
    </w:p>
    <w:p w14:paraId="3ACDB1B8">
      <w:pPr>
        <w:spacing w:line="360" w:lineRule="auto"/>
        <w:rPr>
          <w:rFonts w:asciiTheme="minorEastAsia" w:hAnsiTheme="minorEastAsia" w:eastAsiaTheme="minorEastAsia" w:cstheme="minorEastAsia"/>
          <w:color w:val="auto"/>
          <w:sz w:val="24"/>
          <w:highlight w:val="none"/>
        </w:rPr>
      </w:pPr>
    </w:p>
    <w:p w14:paraId="724A8C4E">
      <w:pPr>
        <w:spacing w:line="360" w:lineRule="auto"/>
        <w:jc w:val="center"/>
        <w:outlineLvl w:val="0"/>
        <w:rPr>
          <w:rFonts w:asciiTheme="minorEastAsia" w:hAnsiTheme="minorEastAsia" w:eastAsiaTheme="minorEastAsia" w:cstheme="minorEastAsia"/>
          <w:b/>
          <w:color w:val="auto"/>
          <w:sz w:val="24"/>
          <w:highlight w:val="none"/>
        </w:rPr>
      </w:pPr>
      <w:bookmarkStart w:id="3" w:name="第一部分"/>
      <w:r>
        <w:rPr>
          <w:rFonts w:hint="eastAsia" w:asciiTheme="minorEastAsia" w:hAnsiTheme="minorEastAsia" w:eastAsiaTheme="minorEastAsia" w:cstheme="minorEastAsia"/>
          <w:b/>
          <w:color w:val="auto"/>
          <w:sz w:val="36"/>
          <w:szCs w:val="36"/>
          <w:highlight w:val="none"/>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Theme="minorEastAsia" w:hAnsiTheme="minorEastAsia" w:eastAsiaTheme="minorEastAsia" w:cstheme="minorEastAsia"/>
          <w:b/>
          <w:color w:val="auto"/>
          <w:sz w:val="36"/>
          <w:szCs w:val="20"/>
          <w:highlight w:val="none"/>
        </w:rPr>
        <w:t>第一部分 竞争性磋商公告</w:t>
      </w:r>
    </w:p>
    <w:p w14:paraId="3EDC6711">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75D6B4AB">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bCs/>
          <w:snapToGrid w:val="0"/>
          <w:color w:val="auto"/>
          <w:kern w:val="2"/>
          <w:sz w:val="21"/>
          <w:szCs w:val="21"/>
          <w:highlight w:val="none"/>
          <w:u w:val="single"/>
          <w:lang w:val="en-US" w:eastAsia="zh-CN" w:bidi="ar-SA"/>
        </w:rPr>
        <w:t>奉化区FH24-02-09a地块建设项目—通信基础设施和无线通信室内覆盖系统建设工程</w:t>
      </w:r>
      <w:r>
        <w:rPr>
          <w:rFonts w:hint="eastAsia" w:ascii="宋体" w:hAnsi="宋体" w:eastAsia="宋体" w:cs="宋体"/>
          <w:color w:val="auto"/>
          <w:sz w:val="21"/>
          <w:szCs w:val="21"/>
          <w:highlight w:val="none"/>
        </w:rPr>
        <w:t>的潜在供应商应在</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"https://www.zcygov.cn/）获取（下载）招标文件，并于2022年00月00日14点30分00秒"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/）获取（下载）采购文件，并于202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16</w:t>
      </w:r>
      <w:r>
        <w:rPr>
          <w:rFonts w:hint="eastAsia" w:ascii="宋体" w:hAnsi="宋体" w:eastAsia="宋体" w:cs="宋体"/>
          <w:color w:val="auto"/>
          <w:sz w:val="21"/>
          <w:szCs w:val="21"/>
          <w:highlight w:val="none"/>
        </w:rPr>
        <w:t>日</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点</w:t>
      </w:r>
      <w:r>
        <w:rPr>
          <w:rFonts w:hint="eastAsia" w:ascii="宋体" w:hAnsi="宋体" w:cs="宋体"/>
          <w:color w:val="auto"/>
          <w:sz w:val="21"/>
          <w:szCs w:val="21"/>
          <w:highlight w:val="none"/>
          <w:lang w:val="en-US" w:eastAsia="zh-CN"/>
        </w:rPr>
        <w:t>00</w:t>
      </w:r>
      <w:r>
        <w:rPr>
          <w:rFonts w:hint="eastAsia" w:ascii="宋体" w:hAnsi="宋体" w:eastAsia="宋体" w:cs="宋体"/>
          <w:color w:val="auto"/>
          <w:sz w:val="21"/>
          <w:szCs w:val="21"/>
          <w:highlight w:val="none"/>
        </w:rPr>
        <w:t>分00秒</w:t>
      </w:r>
      <w:r>
        <w:rPr>
          <w:rFonts w:hint="eastAsia" w:ascii="宋体" w:hAnsi="宋体" w:eastAsia="宋体" w:cs="宋体"/>
          <w:color w:val="auto"/>
          <w:sz w:val="21"/>
          <w:szCs w:val="21"/>
          <w:highlight w:val="none"/>
        </w:rPr>
        <w:fldChar w:fldCharType="end"/>
      </w:r>
      <w:r>
        <w:rPr>
          <w:rFonts w:hint="eastAsia" w:ascii="宋体" w:hAnsi="宋体" w:eastAsia="宋体" w:cs="宋体"/>
          <w:bCs/>
          <w:color w:val="auto"/>
          <w:sz w:val="21"/>
          <w:szCs w:val="21"/>
          <w:highlight w:val="none"/>
        </w:rPr>
        <w:t>（北京时间）前</w:t>
      </w:r>
      <w:r>
        <w:rPr>
          <w:rFonts w:hint="eastAsia" w:ascii="宋体" w:hAnsi="宋体" w:eastAsia="宋体" w:cs="宋体"/>
          <w:color w:val="auto"/>
          <w:sz w:val="21"/>
          <w:szCs w:val="21"/>
          <w:highlight w:val="none"/>
        </w:rPr>
        <w:t>递交（上传）响应文件。</w:t>
      </w:r>
    </w:p>
    <w:p w14:paraId="7240D1DE">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一、项目基本情况                                            </w:t>
      </w:r>
    </w:p>
    <w:p w14:paraId="49E00B26">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项目编号：</w:t>
      </w:r>
      <w:r>
        <w:rPr>
          <w:rFonts w:hint="eastAsia" w:ascii="宋体" w:hAnsi="宋体" w:eastAsia="宋体" w:cs="宋体"/>
          <w:b/>
          <w:color w:val="0000FF"/>
          <w:sz w:val="21"/>
          <w:szCs w:val="21"/>
          <w:highlight w:val="none"/>
          <w:lang w:val="en-US" w:eastAsia="zh-CN"/>
        </w:rPr>
        <w:t xml:space="preserve"> </w:t>
      </w:r>
      <w:r>
        <w:rPr>
          <w:rFonts w:hint="eastAsia" w:ascii="宋体" w:hAnsi="宋体" w:eastAsia="宋体" w:cs="宋体"/>
          <w:b/>
          <w:color w:val="auto"/>
          <w:sz w:val="21"/>
          <w:szCs w:val="21"/>
          <w:highlight w:val="none"/>
          <w:lang w:val="en-US" w:eastAsia="zh-CN"/>
        </w:rPr>
        <w:t>FHGQZB(202</w:t>
      </w:r>
      <w:r>
        <w:rPr>
          <w:rFonts w:hint="eastAsia" w:ascii="宋体" w:hAnsi="宋体" w:cs="宋体"/>
          <w:b/>
          <w:color w:val="auto"/>
          <w:sz w:val="21"/>
          <w:szCs w:val="21"/>
          <w:highlight w:val="none"/>
          <w:lang w:val="en-US" w:eastAsia="zh-CN"/>
        </w:rPr>
        <w:t>5</w:t>
      </w:r>
      <w:r>
        <w:rPr>
          <w:rFonts w:hint="eastAsia" w:ascii="宋体" w:hAnsi="宋体" w:eastAsia="宋体" w:cs="宋体"/>
          <w:b/>
          <w:color w:val="auto"/>
          <w:sz w:val="21"/>
          <w:szCs w:val="21"/>
          <w:highlight w:val="none"/>
          <w:lang w:val="en-US" w:eastAsia="zh-CN"/>
        </w:rPr>
        <w:t>)</w:t>
      </w:r>
      <w:r>
        <w:rPr>
          <w:rFonts w:hint="eastAsia" w:ascii="宋体" w:hAnsi="宋体" w:cs="宋体"/>
          <w:b/>
          <w:color w:val="auto"/>
          <w:sz w:val="21"/>
          <w:szCs w:val="21"/>
          <w:highlight w:val="none"/>
          <w:lang w:val="en-US" w:eastAsia="zh-CN"/>
        </w:rPr>
        <w:t>089</w:t>
      </w:r>
      <w:r>
        <w:rPr>
          <w:rFonts w:hint="eastAsia" w:ascii="宋体" w:hAnsi="宋体" w:eastAsia="宋体" w:cs="宋体"/>
          <w:b/>
          <w:color w:val="auto"/>
          <w:sz w:val="21"/>
          <w:szCs w:val="21"/>
          <w:highlight w:val="none"/>
          <w:lang w:val="en-US" w:eastAsia="zh-CN"/>
        </w:rPr>
        <w:t xml:space="preserve">D </w:t>
      </w:r>
    </w:p>
    <w:p w14:paraId="4368F474">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Cs/>
          <w:snapToGrid w:val="0"/>
          <w:color w:val="auto"/>
          <w:kern w:val="2"/>
          <w:sz w:val="21"/>
          <w:szCs w:val="21"/>
          <w:highlight w:val="none"/>
          <w:lang w:val="en-US" w:eastAsia="zh-CN" w:bidi="ar-SA"/>
        </w:rPr>
      </w:pPr>
      <w:r>
        <w:rPr>
          <w:rFonts w:hint="eastAsia" w:ascii="宋体" w:hAnsi="宋体" w:eastAsia="宋体" w:cs="宋体"/>
          <w:b/>
          <w:color w:val="auto"/>
          <w:sz w:val="21"/>
          <w:szCs w:val="21"/>
          <w:highlight w:val="none"/>
        </w:rPr>
        <w:t>项目名称：</w:t>
      </w:r>
      <w:r>
        <w:rPr>
          <w:rFonts w:hint="eastAsia" w:ascii="宋体" w:hAnsi="宋体" w:eastAsia="宋体" w:cs="宋体"/>
          <w:bCs/>
          <w:snapToGrid w:val="0"/>
          <w:color w:val="auto"/>
          <w:kern w:val="2"/>
          <w:sz w:val="21"/>
          <w:szCs w:val="21"/>
          <w:highlight w:val="none"/>
          <w:lang w:val="en-US" w:eastAsia="zh-CN" w:bidi="ar-SA"/>
        </w:rPr>
        <w:t>奉化区FH24-02-09a地块建设项目—通信基础设施和无线通信室内覆盖系统建设工程</w:t>
      </w:r>
    </w:p>
    <w:p w14:paraId="432D12D0">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预算金额（元）：</w:t>
      </w:r>
      <w:r>
        <w:rPr>
          <w:rFonts w:hint="eastAsia" w:ascii="宋体" w:hAnsi="宋体" w:eastAsia="宋体" w:cs="宋体"/>
          <w:b/>
          <w:color w:val="auto"/>
          <w:sz w:val="21"/>
          <w:szCs w:val="21"/>
          <w:highlight w:val="none"/>
          <w:lang w:val="en-US" w:eastAsia="zh-CN"/>
        </w:rPr>
        <w:t>1932265</w:t>
      </w:r>
    </w:p>
    <w:p w14:paraId="17EA3F21">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color w:val="auto"/>
          <w:sz w:val="21"/>
          <w:szCs w:val="21"/>
          <w:highlight w:val="none"/>
        </w:rPr>
        <w:t>最高限价（元）：</w:t>
      </w:r>
      <w:r>
        <w:rPr>
          <w:rFonts w:hint="eastAsia" w:ascii="宋体" w:hAnsi="宋体" w:cs="宋体"/>
          <w:b/>
          <w:color w:val="auto"/>
          <w:sz w:val="21"/>
          <w:szCs w:val="21"/>
          <w:highlight w:val="none"/>
          <w:lang w:val="en-US" w:eastAsia="zh-CN"/>
        </w:rPr>
        <w:t xml:space="preserve">1816329    </w:t>
      </w:r>
      <w:r>
        <w:rPr>
          <w:rFonts w:hint="eastAsia" w:ascii="宋体" w:hAnsi="宋体" w:eastAsia="宋体" w:cs="宋体"/>
          <w:bCs/>
          <w:snapToGrid w:val="0"/>
          <w:color w:val="auto"/>
          <w:kern w:val="2"/>
          <w:sz w:val="21"/>
          <w:szCs w:val="21"/>
          <w:highlight w:val="none"/>
          <w:lang w:val="en-US" w:eastAsia="zh-CN" w:bidi="ar-SA"/>
        </w:rPr>
        <w:t xml:space="preserve">最高综合折扣：94%  </w:t>
      </w:r>
    </w:p>
    <w:p w14:paraId="2242A6BB">
      <w:pPr>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Cs/>
          <w:snapToGrid w:val="0"/>
          <w:color w:val="auto"/>
          <w:kern w:val="2"/>
          <w:sz w:val="21"/>
          <w:szCs w:val="21"/>
          <w:highlight w:val="none"/>
          <w:lang w:val="en-US" w:eastAsia="zh-CN" w:bidi="ar-SA"/>
        </w:rPr>
      </w:pPr>
      <w:r>
        <w:rPr>
          <w:rFonts w:hint="eastAsia" w:ascii="宋体" w:hAnsi="宋体" w:eastAsia="宋体" w:cs="宋体"/>
          <w:b/>
          <w:color w:val="auto"/>
          <w:sz w:val="21"/>
          <w:szCs w:val="21"/>
          <w:highlight w:val="none"/>
        </w:rPr>
        <w:t>采购需求：</w:t>
      </w:r>
      <w:r>
        <w:rPr>
          <w:rFonts w:hint="eastAsia" w:ascii="宋体" w:hAnsi="宋体" w:eastAsia="宋体" w:cs="宋体"/>
          <w:bCs/>
          <w:snapToGrid w:val="0"/>
          <w:color w:val="auto"/>
          <w:kern w:val="2"/>
          <w:sz w:val="21"/>
          <w:szCs w:val="21"/>
          <w:highlight w:val="none"/>
          <w:lang w:val="en-US" w:eastAsia="zh-CN" w:bidi="ar-SA"/>
        </w:rPr>
        <w:t>奉化区FH24-02-09a地块建设项目—通信基础设施和无线通信室内覆盖系统建设工程，详见采购文件第三部分采购需求。</w:t>
      </w:r>
    </w:p>
    <w:p w14:paraId="3B2C7A7F">
      <w:pPr>
        <w:pStyle w:val="51"/>
        <w:keepNext w:val="0"/>
        <w:keepLines w:val="0"/>
        <w:pageBreakBefore w:val="0"/>
        <w:kinsoku/>
        <w:wordWrap/>
        <w:overflowPunct/>
        <w:topLinePunct w:val="0"/>
        <w:autoSpaceDE/>
        <w:autoSpaceDN/>
        <w:bidi w:val="0"/>
        <w:adjustRightInd/>
        <w:spacing w:before="0" w:line="440" w:lineRule="exact"/>
        <w:ind w:firstLine="422" w:firstLineChars="200"/>
        <w:textAlignment w:val="auto"/>
        <w:outlineLvl w:val="2"/>
        <w:rPr>
          <w:rFonts w:hint="eastAsia" w:ascii="宋体" w:hAnsi="宋体" w:eastAsia="宋体" w:cs="宋体"/>
          <w:color w:val="auto"/>
          <w:sz w:val="21"/>
          <w:szCs w:val="21"/>
          <w:highlight w:val="none"/>
          <w:lang w:eastAsia="zh-CN"/>
        </w:rPr>
      </w:pPr>
      <w:r>
        <w:rPr>
          <w:rFonts w:hint="eastAsia" w:ascii="宋体" w:hAnsi="宋体" w:eastAsia="宋体" w:cs="宋体"/>
          <w:b/>
          <w:color w:val="auto"/>
          <w:sz w:val="21"/>
          <w:szCs w:val="21"/>
          <w:highlight w:val="none"/>
        </w:rPr>
        <w:t>合同履约期限：</w:t>
      </w:r>
      <w:r>
        <w:rPr>
          <w:rFonts w:hint="eastAsia" w:ascii="宋体" w:hAnsi="宋体" w:eastAsia="宋体" w:cs="宋体"/>
          <w:snapToGrid w:val="0"/>
          <w:color w:val="auto"/>
          <w:kern w:val="28"/>
          <w:sz w:val="21"/>
          <w:szCs w:val="21"/>
          <w:highlight w:val="none"/>
          <w:lang w:val="en-US" w:eastAsia="zh-CN" w:bidi="ar-SA"/>
        </w:rPr>
        <w:t>详见采购文件。</w:t>
      </w:r>
    </w:p>
    <w:p w14:paraId="5DB76785">
      <w:pPr>
        <w:pStyle w:val="7"/>
        <w:keepNext w:val="0"/>
        <w:keepLines w:val="0"/>
        <w:pageBreakBefore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本项目接受联合体：</w:t>
      </w:r>
      <w:r>
        <w:rPr>
          <w:rFonts w:hint="eastAsia" w:ascii="宋体" w:hAnsi="宋体" w:eastAsia="宋体" w:cs="宋体"/>
          <w:color w:val="auto"/>
          <w:kern w:val="0"/>
          <w:sz w:val="21"/>
          <w:szCs w:val="21"/>
          <w:highlight w:val="none"/>
        </w:rPr>
        <w:t>☐</w:t>
      </w:r>
      <w:r>
        <w:rPr>
          <w:rFonts w:hint="eastAsia" w:ascii="宋体" w:hAnsi="宋体" w:eastAsia="宋体" w:cs="宋体"/>
          <w:b/>
          <w:color w:val="auto"/>
          <w:sz w:val="21"/>
          <w:szCs w:val="21"/>
          <w:highlight w:val="none"/>
        </w:rPr>
        <w:t>是，</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rPr>
        <w:sym w:font="Wingdings" w:char="F0FE"/>
      </w:r>
      <w:r>
        <w:rPr>
          <w:rFonts w:hint="eastAsia" w:ascii="宋体" w:hAnsi="宋体" w:eastAsia="宋体" w:cs="宋体"/>
          <w:b/>
          <w:color w:val="auto"/>
          <w:sz w:val="21"/>
          <w:szCs w:val="21"/>
          <w:highlight w:val="none"/>
        </w:rPr>
        <w:t>否</w:t>
      </w:r>
      <w:r>
        <w:rPr>
          <w:rFonts w:hint="eastAsia" w:ascii="宋体" w:hAnsi="宋体" w:eastAsia="宋体" w:cs="宋体"/>
          <w:color w:val="auto"/>
          <w:kern w:val="0"/>
          <w:sz w:val="21"/>
          <w:szCs w:val="21"/>
          <w:highlight w:val="none"/>
        </w:rPr>
        <w:t>。</w:t>
      </w:r>
    </w:p>
    <w:p w14:paraId="641D35A7">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14:paraId="2DEB4552">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3E683118">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snapToGrid w:val="0"/>
          <w:color w:val="auto"/>
          <w:kern w:val="28"/>
          <w:sz w:val="21"/>
          <w:szCs w:val="21"/>
          <w:highlight w:val="none"/>
        </w:rPr>
        <w:t xml:space="preserve">    2.落实政府采购政策需满足的资格要求：</w:t>
      </w:r>
      <w:r>
        <w:rPr>
          <w:rFonts w:hint="eastAsia" w:ascii="宋体" w:hAnsi="宋体" w:cs="宋体"/>
          <w:color w:val="auto"/>
          <w:sz w:val="21"/>
          <w:szCs w:val="21"/>
          <w:highlight w:val="none"/>
          <w:lang w:val="en-US" w:eastAsia="zh-CN"/>
        </w:rPr>
        <w:t>无</w:t>
      </w:r>
      <w:r>
        <w:rPr>
          <w:rFonts w:hint="eastAsia" w:ascii="宋体" w:hAnsi="宋体" w:eastAsia="宋体" w:cs="宋体"/>
          <w:color w:val="auto"/>
          <w:sz w:val="21"/>
          <w:szCs w:val="21"/>
          <w:highlight w:val="none"/>
        </w:rPr>
        <w:t>；</w:t>
      </w:r>
    </w:p>
    <w:p w14:paraId="02334306">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182E1BEA">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3.1供应商须具有通信工程施工总承包叁级及以上资质；</w:t>
      </w:r>
    </w:p>
    <w:p w14:paraId="2EB72969">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3.2供应商须具有有效的建筑施工企业安全生产许可证。</w:t>
      </w:r>
    </w:p>
    <w:p w14:paraId="15B0A42F">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81428EB">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三、获取采购文件 </w:t>
      </w:r>
    </w:p>
    <w:p w14:paraId="50F3C9F0">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时间：</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8</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rPr>
        <w:t>，每天上午00</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00至12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 ，下午12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00至23</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59（北京时间）。</w:t>
      </w:r>
    </w:p>
    <w:p w14:paraId="6159C27C">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7954D865">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方式：</w:t>
      </w:r>
      <w:r>
        <w:rPr>
          <w:rFonts w:hint="eastAsia" w:ascii="宋体" w:hAnsi="宋体" w:eastAsia="宋体" w:cs="宋体"/>
          <w:color w:val="auto"/>
          <w:sz w:val="21"/>
          <w:szCs w:val="21"/>
          <w:highlight w:val="none"/>
        </w:rPr>
        <w:t>供应商登录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 xml:space="preserve">/在线申请获取采购文件（进入“项目采购”应用，在获取采购文件菜单中选择项目，申请获取采购文件）。 </w:t>
      </w:r>
    </w:p>
    <w:p w14:paraId="55FF5817">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售价（元）：</w:t>
      </w:r>
      <w:r>
        <w:rPr>
          <w:rFonts w:hint="eastAsia" w:ascii="宋体" w:hAnsi="宋体" w:eastAsia="宋体" w:cs="宋体"/>
          <w:color w:val="auto"/>
          <w:sz w:val="21"/>
          <w:szCs w:val="21"/>
          <w:highlight w:val="none"/>
        </w:rPr>
        <w:t xml:space="preserve">0 </w:t>
      </w:r>
      <w:r>
        <w:rPr>
          <w:rFonts w:hint="eastAsia" w:ascii="宋体" w:hAnsi="宋体" w:eastAsia="宋体" w:cs="宋体"/>
          <w:color w:val="auto"/>
          <w:sz w:val="21"/>
          <w:szCs w:val="21"/>
          <w:highlight w:val="none"/>
        </w:rPr>
        <w:tab/>
      </w:r>
    </w:p>
    <w:p w14:paraId="613ADC83">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四、首次提交响应文件截止时间、磋商时间和地点</w:t>
      </w:r>
    </w:p>
    <w:p w14:paraId="6BB1C768">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首次提交响应文件截止时间：</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16</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color w:val="0000FF"/>
          <w:sz w:val="21"/>
          <w:szCs w:val="21"/>
          <w:highlight w:val="none"/>
        </w:rPr>
        <w:t>（</w:t>
      </w:r>
      <w:r>
        <w:rPr>
          <w:rFonts w:hint="eastAsia" w:ascii="宋体" w:hAnsi="宋体" w:eastAsia="宋体" w:cs="宋体"/>
          <w:color w:val="auto"/>
          <w:sz w:val="21"/>
          <w:szCs w:val="21"/>
          <w:highlight w:val="none"/>
        </w:rPr>
        <w:t>北京时间）。</w:t>
      </w:r>
    </w:p>
    <w:p w14:paraId="44670AE1">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提交响应文件地点（网址）：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349AF6E1">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Cs/>
          <w:color w:val="auto"/>
          <w:sz w:val="21"/>
          <w:szCs w:val="21"/>
          <w:highlight w:val="none"/>
          <w:u w:val="single"/>
        </w:rPr>
      </w:pPr>
      <w:r>
        <w:rPr>
          <w:rFonts w:hint="eastAsia" w:ascii="宋体" w:hAnsi="宋体" w:eastAsia="宋体" w:cs="宋体"/>
          <w:b/>
          <w:color w:val="auto"/>
          <w:sz w:val="21"/>
          <w:szCs w:val="21"/>
          <w:highlight w:val="none"/>
        </w:rPr>
        <w:t>首次提交响应文件开启时间：</w:t>
      </w:r>
      <w:r>
        <w:rPr>
          <w:rFonts w:hint="eastAsia" w:ascii="宋体" w:hAnsi="宋体" w:eastAsia="宋体" w:cs="宋体"/>
          <w:color w:val="auto"/>
          <w:sz w:val="21"/>
          <w:szCs w:val="21"/>
          <w:highlight w:val="none"/>
          <w:u w:val="single"/>
        </w:rPr>
        <w:t>202</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16</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w:t>
      </w:r>
      <w:r>
        <w:rPr>
          <w:rFonts w:hint="eastAsia" w:ascii="宋体" w:hAnsi="宋体" w:eastAsia="宋体" w:cs="宋体"/>
          <w:bCs/>
          <w:color w:val="auto"/>
          <w:sz w:val="21"/>
          <w:szCs w:val="21"/>
          <w:highlight w:val="none"/>
        </w:rPr>
        <w:t>。</w:t>
      </w:r>
    </w:p>
    <w:p w14:paraId="6228C06D">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首次提交响应文件开启地点（网址）：</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w:t>
      </w:r>
    </w:p>
    <w:p w14:paraId="0CED6A6D">
      <w:pPr>
        <w:keepNext w:val="0"/>
        <w:keepLines w:val="0"/>
        <w:pageBreakBefore w:val="0"/>
        <w:kinsoku/>
        <w:wordWrap/>
        <w:overflowPunct/>
        <w:topLinePunct w:val="0"/>
        <w:bidi w:val="0"/>
        <w:spacing w:line="44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首次提交响应文件开启地点（线下）：</w:t>
      </w:r>
      <w:r>
        <w:rPr>
          <w:rFonts w:hint="eastAsia" w:ascii="宋体" w:hAnsi="宋体" w:eastAsia="宋体" w:cs="宋体"/>
          <w:bCs/>
          <w:color w:val="auto"/>
          <w:sz w:val="21"/>
          <w:szCs w:val="21"/>
          <w:highlight w:val="none"/>
        </w:rPr>
        <w:t>宁波市奉化区公共资源交易中心</w:t>
      </w:r>
      <w:bookmarkStart w:id="465" w:name="_GoBack"/>
      <w:r>
        <w:rPr>
          <w:rFonts w:hint="eastAsia" w:ascii="宋体" w:hAnsi="宋体" w:eastAsia="宋体" w:cs="宋体"/>
          <w:bCs/>
          <w:color w:val="auto"/>
          <w:sz w:val="21"/>
          <w:szCs w:val="21"/>
          <w:highlight w:val="none"/>
        </w:rPr>
        <w:t>开标厅</w:t>
      </w:r>
      <w:r>
        <w:rPr>
          <w:rFonts w:hint="eastAsia" w:ascii="宋体" w:hAnsi="宋体" w:cs="宋体"/>
          <w:bCs/>
          <w:color w:val="auto"/>
          <w:sz w:val="21"/>
          <w:szCs w:val="21"/>
          <w:highlight w:val="none"/>
          <w:lang w:val="en-US" w:eastAsia="zh-CN"/>
        </w:rPr>
        <w:t>三</w:t>
      </w:r>
      <w:bookmarkEnd w:id="465"/>
      <w:r>
        <w:rPr>
          <w:rFonts w:hint="eastAsia" w:ascii="宋体" w:hAnsi="宋体" w:eastAsia="宋体" w:cs="宋体"/>
          <w:bCs/>
          <w:color w:val="0000FF"/>
          <w:sz w:val="21"/>
          <w:szCs w:val="21"/>
          <w:highlight w:val="none"/>
        </w:rPr>
        <w:t>（</w:t>
      </w:r>
      <w:r>
        <w:rPr>
          <w:rFonts w:hint="eastAsia" w:ascii="宋体" w:hAnsi="宋体" w:eastAsia="宋体" w:cs="宋体"/>
          <w:bCs/>
          <w:color w:val="auto"/>
          <w:sz w:val="21"/>
          <w:szCs w:val="21"/>
          <w:highlight w:val="none"/>
        </w:rPr>
        <w:t>宁波市奉化区大成东路277号4楼）</w:t>
      </w:r>
    </w:p>
    <w:p w14:paraId="51BC2360">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五、公告期限 </w:t>
      </w:r>
    </w:p>
    <w:p w14:paraId="16616DE1">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自本公告发布之日起5个工作日。</w:t>
      </w:r>
    </w:p>
    <w:p w14:paraId="78EF085C">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六、其他补充事宜</w:t>
      </w:r>
    </w:p>
    <w:p w14:paraId="41B2F9F8">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w:t>
      </w:r>
    </w:p>
    <w:p w14:paraId="3CD97E9C">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其他事项：（1）需要落实的政府采购政策：包括节约资源、保护环境、支持创新、促进中小企业发展等。详见采购文件的第二部分总则。（2）电子交易的说明：①电子交易：本项目以数据电文形式，依托“政府采购云平台（</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）”进行磋商活动，不接受纸质响应文件；②磋商准备：注册账号--点击“商家入驻”，进行政府采购供应商资料填写；申领CA数字证书---申领流程详见“</w:t>
      </w:r>
      <w:r>
        <w:rPr>
          <w:rFonts w:hint="eastAsia" w:ascii="宋体" w:hAnsi="宋体" w:eastAsia="宋体" w:cs="宋体"/>
          <w:color w:val="auto"/>
          <w:sz w:val="21"/>
          <w:szCs w:val="21"/>
          <w:highlight w:val="none"/>
          <w:lang w:eastAsia="zh-CN"/>
        </w:rPr>
        <w:t>浙江企业采购信息服务网</w:t>
      </w:r>
      <w:r>
        <w:rPr>
          <w:rFonts w:hint="eastAsia" w:ascii="宋体" w:hAnsi="宋体" w:eastAsia="宋体" w:cs="宋体"/>
          <w:color w:val="auto"/>
          <w:sz w:val="21"/>
          <w:szCs w:val="21"/>
          <w:highlight w:val="none"/>
        </w:rPr>
        <w:t>-下载专区-电子交易客户端-CA驱动和申领流程”；安装“</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采云电子交易客户端”----前往“</w:t>
      </w:r>
      <w:r>
        <w:rPr>
          <w:rFonts w:hint="eastAsia" w:ascii="宋体" w:hAnsi="宋体" w:eastAsia="宋体" w:cs="宋体"/>
          <w:color w:val="auto"/>
          <w:sz w:val="21"/>
          <w:szCs w:val="21"/>
          <w:highlight w:val="none"/>
          <w:lang w:eastAsia="zh-CN"/>
        </w:rPr>
        <w:t>浙江企业采购信息服务网</w:t>
      </w:r>
      <w:r>
        <w:rPr>
          <w:rFonts w:hint="eastAsia" w:ascii="宋体" w:hAnsi="宋体" w:eastAsia="宋体" w:cs="宋体"/>
          <w:color w:val="auto"/>
          <w:sz w:val="21"/>
          <w:szCs w:val="21"/>
          <w:highlight w:val="none"/>
        </w:rPr>
        <w:t>-下载专区-电子交易客户端</w:t>
      </w:r>
      <w:r>
        <w:rPr>
          <w:rFonts w:hint="eastAsia" w:ascii="宋体" w:hAnsi="宋体" w:eastAsia="宋体" w:cs="宋体"/>
          <w:color w:val="auto"/>
          <w:sz w:val="21"/>
          <w:szCs w:val="21"/>
          <w:highlight w:val="none"/>
          <w:lang w:eastAsia="zh-CN"/>
        </w:rPr>
        <w:t>（https://b.zhengcaiyun.cn/luban/category?parentId=550045&amp;childrenCode=qicaiCategory17&amp;utm=luban.luban-PC-39026.959-pc-websitegroup-navBar-front.8.ebdec73052c711ef9ade896d008b9248）</w:t>
      </w:r>
      <w:r>
        <w:rPr>
          <w:rFonts w:hint="eastAsia" w:ascii="宋体" w:hAnsi="宋体" w:eastAsia="宋体" w:cs="宋体"/>
          <w:color w:val="auto"/>
          <w:sz w:val="21"/>
          <w:szCs w:val="21"/>
          <w:highlight w:val="none"/>
        </w:rPr>
        <w:t>”进行下载并安装；</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在磋商前应确保成为浙江省政府采购网正式注册入库供应商，并完成CA数字证书办理。完成CA数字证书办理在资料齐全的情况下预计7个工作日左右，请各</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合理预估时间，及时办理。③采购文件的获取：使用账号登录或者使用CA登录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采云平台；进入“项目采购”应用，在获取采购文件菜单中选择项目，获取采购文件；④响应文件的制作：在“</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采云电子交易客户端”中完成“填写基本信息”、“导入响应文件”、“标书关联”、“标书检查”、“电子签名”、“生成电子标书”等操作；⑤采购人、采购代理机构将依托</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采云平台完成本项目的电子交易活动，平台不接受未按上述方式获取采购文件的供应商进行磋商响应活动； ⑥对未按上述方式获取采购文件的供应商对该文件提出的质疑，采购人或采购代理机构将不予处理；⑦不提供采购文件纸质版；⑧响应文件的解密：</w:t>
      </w:r>
      <w:r>
        <w:rPr>
          <w:rFonts w:hint="eastAsia" w:ascii="宋体" w:hAnsi="宋体" w:eastAsia="宋体" w:cs="宋体"/>
          <w:color w:val="auto"/>
          <w:kern w:val="0"/>
          <w:sz w:val="21"/>
          <w:szCs w:val="21"/>
          <w:highlight w:val="none"/>
          <w:lang w:val="zh-CN"/>
        </w:rPr>
        <w:t>供应商</w:t>
      </w:r>
      <w:r>
        <w:rPr>
          <w:rFonts w:hint="eastAsia" w:ascii="宋体" w:hAnsi="宋体" w:eastAsia="宋体" w:cs="宋体"/>
          <w:color w:val="auto"/>
          <w:sz w:val="21"/>
          <w:szCs w:val="21"/>
          <w:highlight w:val="none"/>
        </w:rPr>
        <w:t>按照平台提示和采购文件的规定在半小时内完成在线解密。⑨具体操作指南：详见</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采云平台“服务中心-帮助文档-项目采购-操作流程-电子招投标-政府采购项目电子交易管理操作指南-供应商”。</w:t>
      </w:r>
    </w:p>
    <w:p w14:paraId="6796FA87">
      <w:pPr>
        <w:keepNext w:val="0"/>
        <w:keepLines w:val="0"/>
        <w:pageBreakBefore w:val="0"/>
        <w:kinsoku/>
        <w:wordWrap/>
        <w:overflowPunct/>
        <w:topLinePunct w:val="0"/>
        <w:bidi w:val="0"/>
        <w:spacing w:line="44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七、对本次采购提出询问、质疑、投诉，请按以下方式联系</w:t>
      </w:r>
    </w:p>
    <w:p w14:paraId="53949F93">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257FF26E">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称：宁波市奉化区惠海地下管线投资有限公司</w:t>
      </w:r>
    </w:p>
    <w:p w14:paraId="7B367EAF">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地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址：宁波市奉化区岳林街道长汀东路558号（城开大厦3号楼北幢9层</w:t>
      </w:r>
      <w:r>
        <w:rPr>
          <w:rFonts w:hint="eastAsia" w:ascii="宋体" w:hAnsi="宋体" w:eastAsia="宋体" w:cs="宋体"/>
          <w:color w:val="auto"/>
          <w:sz w:val="21"/>
          <w:szCs w:val="21"/>
          <w:highlight w:val="none"/>
          <w:lang w:eastAsia="zh-CN"/>
        </w:rPr>
        <w:t>）</w:t>
      </w:r>
    </w:p>
    <w:p w14:paraId="2B71E91D">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真：/</w:t>
      </w:r>
    </w:p>
    <w:p w14:paraId="0A4B5809">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项目联系人（询问）：袁工</w:t>
      </w:r>
    </w:p>
    <w:p w14:paraId="63C4BDF9">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项目联系方式（询问）：13003743437</w:t>
      </w:r>
    </w:p>
    <w:p w14:paraId="7C85449B">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质疑联系人：陈工</w:t>
      </w:r>
    </w:p>
    <w:p w14:paraId="3BB5ACE6">
      <w:pPr>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cs="宋体"/>
          <w:color w:val="auto"/>
          <w:sz w:val="21"/>
          <w:szCs w:val="21"/>
          <w:highlight w:val="none"/>
          <w:lang w:val="en-US" w:eastAsia="zh-CN"/>
        </w:rPr>
        <w:t>0574-88523337</w:t>
      </w:r>
      <w:r>
        <w:rPr>
          <w:rFonts w:hint="eastAsia" w:ascii="宋体" w:hAnsi="宋体" w:eastAsia="宋体" w:cs="宋体"/>
          <w:color w:val="auto"/>
          <w:sz w:val="21"/>
          <w:szCs w:val="21"/>
          <w:highlight w:val="none"/>
        </w:rPr>
        <w:t xml:space="preserve">  </w:t>
      </w:r>
    </w:p>
    <w:p w14:paraId="1805D198">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2.采购代理机构信息            </w:t>
      </w:r>
    </w:p>
    <w:p w14:paraId="1185CE8F">
      <w:pPr>
        <w:keepNext w:val="0"/>
        <w:keepLines w:val="0"/>
        <w:pageBreakBefore w:val="0"/>
        <w:kinsoku/>
        <w:wordWrap/>
        <w:overflowPunct/>
        <w:topLinePunct w:val="0"/>
        <w:bidi w:val="0"/>
        <w:spacing w:line="440" w:lineRule="exact"/>
        <w:ind w:firstLine="48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名    称：</w:t>
      </w:r>
      <w:r>
        <w:rPr>
          <w:rFonts w:hint="eastAsia" w:ascii="宋体" w:hAnsi="宋体" w:cs="宋体"/>
          <w:color w:val="auto"/>
          <w:sz w:val="21"/>
          <w:szCs w:val="21"/>
          <w:highlight w:val="none"/>
          <w:lang w:val="en-US" w:eastAsia="zh-CN"/>
        </w:rPr>
        <w:t>宁波日月欣项目管理有限公司</w:t>
      </w:r>
    </w:p>
    <w:p w14:paraId="6F0D13A3">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    址：宁波市奉化区岳林街道斗门路136号艾盛环球中心（润合大厦）七楼</w:t>
      </w:r>
    </w:p>
    <w:p w14:paraId="0FB5D6A0">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p>
    <w:p w14:paraId="2F769854">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cs="宋体"/>
          <w:color w:val="auto"/>
          <w:sz w:val="21"/>
          <w:szCs w:val="21"/>
          <w:highlight w:val="none"/>
          <w:lang w:val="en-US" w:eastAsia="zh-CN"/>
        </w:rPr>
        <w:t>陈</w:t>
      </w:r>
      <w:r>
        <w:rPr>
          <w:rFonts w:hint="eastAsia" w:ascii="宋体" w:hAnsi="宋体" w:eastAsia="宋体" w:cs="宋体"/>
          <w:color w:val="auto"/>
          <w:sz w:val="21"/>
          <w:szCs w:val="21"/>
          <w:highlight w:val="none"/>
          <w:lang w:val="en-US" w:eastAsia="zh-CN"/>
        </w:rPr>
        <w:t>先生</w:t>
      </w:r>
    </w:p>
    <w:p w14:paraId="40703624">
      <w:pPr>
        <w:keepNext w:val="0"/>
        <w:keepLines w:val="0"/>
        <w:pageBreakBefore w:val="0"/>
        <w:kinsoku/>
        <w:wordWrap/>
        <w:overflowPunct/>
        <w:topLinePunct w:val="0"/>
        <w:bidi w:val="0"/>
        <w:spacing w:line="440" w:lineRule="exact"/>
        <w:ind w:firstLine="480"/>
        <w:textAlignment w:val="auto"/>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项目联系方式（询问）：0574-</w:t>
      </w:r>
      <w:r>
        <w:rPr>
          <w:rFonts w:hint="eastAsia" w:ascii="宋体" w:hAnsi="宋体" w:cs="宋体"/>
          <w:color w:val="auto"/>
          <w:sz w:val="21"/>
          <w:szCs w:val="21"/>
          <w:highlight w:val="none"/>
          <w:lang w:val="en-US" w:eastAsia="zh-CN"/>
        </w:rPr>
        <w:t>88523198</w:t>
      </w:r>
    </w:p>
    <w:p w14:paraId="2AFD8BD8">
      <w:pPr>
        <w:keepNext w:val="0"/>
        <w:keepLines w:val="0"/>
        <w:pageBreakBefore w:val="0"/>
        <w:kinsoku/>
        <w:wordWrap/>
        <w:overflowPunct/>
        <w:topLinePunct w:val="0"/>
        <w:bidi w:val="0"/>
        <w:spacing w:line="440" w:lineRule="exact"/>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质疑联系人： </w:t>
      </w:r>
      <w:r>
        <w:rPr>
          <w:rFonts w:hint="eastAsia" w:ascii="宋体" w:hAnsi="宋体" w:eastAsia="宋体" w:cs="宋体"/>
          <w:color w:val="auto"/>
          <w:sz w:val="21"/>
          <w:szCs w:val="21"/>
          <w:highlight w:val="none"/>
          <w:lang w:val="en-US" w:eastAsia="zh-CN"/>
        </w:rPr>
        <w:t>邹先生</w:t>
      </w:r>
    </w:p>
    <w:p w14:paraId="75C32865">
      <w:pPr>
        <w:keepNext w:val="0"/>
        <w:keepLines w:val="0"/>
        <w:pageBreakBefore w:val="0"/>
        <w:kinsoku/>
        <w:wordWrap/>
        <w:overflowPunct/>
        <w:topLinePunct w:val="0"/>
        <w:bidi w:val="0"/>
        <w:spacing w:line="440" w:lineRule="exact"/>
        <w:ind w:firstLine="48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质疑联系方式：0574-</w:t>
      </w:r>
      <w:r>
        <w:rPr>
          <w:rFonts w:hint="eastAsia" w:ascii="宋体" w:hAnsi="宋体" w:cs="宋体"/>
          <w:color w:val="auto"/>
          <w:sz w:val="21"/>
          <w:szCs w:val="21"/>
          <w:highlight w:val="none"/>
          <w:lang w:val="en-US" w:eastAsia="zh-CN"/>
        </w:rPr>
        <w:t>88523198</w:t>
      </w:r>
    </w:p>
    <w:p w14:paraId="474F85E1">
      <w:pPr>
        <w:pStyle w:val="10"/>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3.同级监督管理部门            </w:t>
      </w:r>
    </w:p>
    <w:p w14:paraId="1BDCA032">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名    称：</w:t>
      </w:r>
      <w:r>
        <w:rPr>
          <w:rFonts w:hint="eastAsia" w:ascii="宋体" w:hAnsi="宋体" w:eastAsia="宋体" w:cs="宋体"/>
          <w:bCs/>
          <w:color w:val="auto"/>
          <w:sz w:val="21"/>
          <w:szCs w:val="21"/>
          <w:highlight w:val="none"/>
        </w:rPr>
        <w:t>宁波市奉化区</w:t>
      </w:r>
      <w:r>
        <w:rPr>
          <w:rFonts w:hint="eastAsia" w:ascii="宋体" w:hAnsi="宋体" w:cs="宋体"/>
          <w:bCs/>
          <w:color w:val="auto"/>
          <w:sz w:val="21"/>
          <w:szCs w:val="21"/>
          <w:highlight w:val="none"/>
          <w:lang w:val="en-US" w:eastAsia="zh-CN"/>
        </w:rPr>
        <w:t>城市开发建设集团有限公司纪检监察室</w:t>
      </w:r>
      <w:r>
        <w:rPr>
          <w:rFonts w:hint="eastAsia" w:ascii="宋体" w:hAnsi="宋体" w:eastAsia="宋体" w:cs="宋体"/>
          <w:bCs/>
          <w:color w:val="auto"/>
          <w:sz w:val="21"/>
          <w:szCs w:val="21"/>
          <w:highlight w:val="none"/>
        </w:rPr>
        <w:t xml:space="preserve"> </w:t>
      </w:r>
    </w:p>
    <w:p w14:paraId="43FA8C2E">
      <w:pPr>
        <w:keepNext w:val="0"/>
        <w:keepLines w:val="0"/>
        <w:pageBreakBefore w:val="0"/>
        <w:kinsoku/>
        <w:wordWrap/>
        <w:overflowPunct/>
        <w:topLinePunct w:val="0"/>
        <w:bidi w:val="0"/>
        <w:spacing w:line="440" w:lineRule="exac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地    址：</w:t>
      </w:r>
      <w:r>
        <w:rPr>
          <w:rFonts w:hint="eastAsia" w:ascii="宋体" w:hAnsi="宋体" w:eastAsia="宋体" w:cs="宋体"/>
          <w:bCs/>
          <w:color w:val="auto"/>
          <w:sz w:val="21"/>
          <w:szCs w:val="21"/>
          <w:highlight w:val="none"/>
        </w:rPr>
        <w:t>宁波市奉化区</w:t>
      </w:r>
      <w:r>
        <w:rPr>
          <w:rFonts w:hint="eastAsia" w:ascii="宋体" w:hAnsi="宋体" w:cs="宋体"/>
          <w:bCs/>
          <w:color w:val="auto"/>
          <w:sz w:val="21"/>
          <w:szCs w:val="21"/>
          <w:highlight w:val="none"/>
          <w:lang w:val="en-US" w:eastAsia="zh-CN"/>
        </w:rPr>
        <w:t>中山</w:t>
      </w:r>
      <w:r>
        <w:rPr>
          <w:rFonts w:hint="eastAsia" w:ascii="宋体" w:hAnsi="宋体" w:eastAsia="宋体" w:cs="宋体"/>
          <w:bCs/>
          <w:color w:val="auto"/>
          <w:sz w:val="21"/>
          <w:szCs w:val="21"/>
          <w:highlight w:val="none"/>
        </w:rPr>
        <w:t>东路</w:t>
      </w:r>
      <w:r>
        <w:rPr>
          <w:rFonts w:hint="eastAsia" w:ascii="宋体" w:hAnsi="宋体" w:cs="宋体"/>
          <w:bCs/>
          <w:color w:val="auto"/>
          <w:sz w:val="21"/>
          <w:szCs w:val="21"/>
          <w:highlight w:val="none"/>
          <w:lang w:val="en-US" w:eastAsia="zh-CN"/>
        </w:rPr>
        <w:t>518</w:t>
      </w:r>
      <w:r>
        <w:rPr>
          <w:rFonts w:hint="eastAsia" w:ascii="宋体" w:hAnsi="宋体" w:eastAsia="宋体" w:cs="宋体"/>
          <w:bCs/>
          <w:color w:val="auto"/>
          <w:sz w:val="21"/>
          <w:szCs w:val="21"/>
          <w:highlight w:val="none"/>
        </w:rPr>
        <w:t>号</w:t>
      </w:r>
      <w:r>
        <w:rPr>
          <w:rFonts w:hint="eastAsia" w:ascii="宋体" w:hAnsi="宋体" w:cs="宋体"/>
          <w:bCs/>
          <w:color w:val="auto"/>
          <w:sz w:val="21"/>
          <w:szCs w:val="21"/>
          <w:highlight w:val="none"/>
          <w:lang w:val="en-US" w:eastAsia="zh-CN"/>
        </w:rPr>
        <w:t>金城大厦B座</w:t>
      </w:r>
    </w:p>
    <w:p w14:paraId="482B4C6A">
      <w:pPr>
        <w:keepNext w:val="0"/>
        <w:keepLines w:val="0"/>
        <w:pageBreakBefore w:val="0"/>
        <w:kinsoku/>
        <w:wordWrap/>
        <w:overflowPunct/>
        <w:topLinePunct w:val="0"/>
        <w:bidi w:val="0"/>
        <w:spacing w:line="440" w:lineRule="exact"/>
        <w:ind w:firstLine="210" w:firstLineChars="1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传    真：</w:t>
      </w:r>
      <w:r>
        <w:rPr>
          <w:rFonts w:hint="eastAsia" w:ascii="宋体" w:hAnsi="宋体" w:eastAsia="宋体" w:cs="宋体"/>
          <w:bCs/>
          <w:color w:val="auto"/>
          <w:sz w:val="21"/>
          <w:szCs w:val="21"/>
          <w:highlight w:val="none"/>
        </w:rPr>
        <w:t>0574-</w:t>
      </w:r>
      <w:r>
        <w:rPr>
          <w:rFonts w:hint="eastAsia" w:ascii="宋体" w:hAnsi="宋体" w:cs="宋体"/>
          <w:bCs/>
          <w:color w:val="auto"/>
          <w:sz w:val="21"/>
          <w:szCs w:val="21"/>
          <w:highlight w:val="none"/>
          <w:lang w:val="en-US" w:eastAsia="zh-CN"/>
        </w:rPr>
        <w:t>88680587</w:t>
      </w:r>
    </w:p>
    <w:p w14:paraId="2CFFB4A5">
      <w:pPr>
        <w:keepNext w:val="0"/>
        <w:keepLines w:val="0"/>
        <w:pageBreakBefore w:val="0"/>
        <w:kinsoku/>
        <w:wordWrap/>
        <w:overflowPunct/>
        <w:topLinePunct w:val="0"/>
        <w:bidi w:val="0"/>
        <w:spacing w:line="4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联 系 人 ：</w:t>
      </w:r>
      <w:r>
        <w:rPr>
          <w:rFonts w:hint="eastAsia" w:ascii="宋体" w:hAnsi="宋体" w:cs="宋体"/>
          <w:bCs/>
          <w:color w:val="auto"/>
          <w:sz w:val="21"/>
          <w:szCs w:val="21"/>
          <w:highlight w:val="none"/>
          <w:lang w:val="en-US" w:eastAsia="zh-CN"/>
        </w:rPr>
        <w:t>应</w:t>
      </w:r>
      <w:r>
        <w:rPr>
          <w:rFonts w:hint="eastAsia" w:ascii="宋体" w:hAnsi="宋体" w:eastAsia="宋体" w:cs="宋体"/>
          <w:bCs/>
          <w:color w:val="auto"/>
          <w:sz w:val="21"/>
          <w:szCs w:val="21"/>
          <w:highlight w:val="none"/>
        </w:rPr>
        <w:t>女士</w:t>
      </w:r>
    </w:p>
    <w:p w14:paraId="2997B331">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监督投诉电话： </w:t>
      </w:r>
      <w:r>
        <w:rPr>
          <w:rFonts w:hint="eastAsia" w:ascii="宋体" w:hAnsi="宋体" w:eastAsia="宋体" w:cs="宋体"/>
          <w:bCs/>
          <w:color w:val="auto"/>
          <w:sz w:val="21"/>
          <w:szCs w:val="21"/>
          <w:highlight w:val="none"/>
        </w:rPr>
        <w:t>0574-</w:t>
      </w:r>
      <w:r>
        <w:rPr>
          <w:rFonts w:hint="eastAsia" w:ascii="宋体" w:hAnsi="宋体" w:cs="宋体"/>
          <w:bCs/>
          <w:color w:val="auto"/>
          <w:sz w:val="21"/>
          <w:szCs w:val="21"/>
          <w:highlight w:val="none"/>
          <w:lang w:val="en-US" w:eastAsia="zh-CN"/>
        </w:rPr>
        <w:t>88680587</w:t>
      </w:r>
      <w:r>
        <w:rPr>
          <w:rFonts w:hint="eastAsia" w:ascii="宋体" w:hAnsi="宋体" w:eastAsia="宋体" w:cs="宋体"/>
          <w:color w:val="0000FF"/>
          <w:sz w:val="21"/>
          <w:szCs w:val="21"/>
          <w:highlight w:val="none"/>
        </w:rPr>
        <w:t xml:space="preserve">  </w:t>
      </w:r>
      <w:r>
        <w:rPr>
          <w:rFonts w:hint="eastAsia" w:ascii="宋体" w:hAnsi="宋体" w:eastAsia="宋体" w:cs="宋体"/>
          <w:color w:val="auto"/>
          <w:sz w:val="21"/>
          <w:szCs w:val="21"/>
          <w:highlight w:val="none"/>
        </w:rPr>
        <w:t xml:space="preserve">  </w:t>
      </w:r>
    </w:p>
    <w:p w14:paraId="600709DA">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采云（https</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www.lecaiyun.com</w:t>
      </w:r>
      <w:r>
        <w:rPr>
          <w:rFonts w:hint="eastAsia" w:ascii="宋体" w:hAnsi="宋体" w:eastAsia="宋体" w:cs="宋体"/>
          <w:color w:val="auto"/>
          <w:sz w:val="21"/>
          <w:szCs w:val="21"/>
          <w:highlight w:val="none"/>
        </w:rPr>
        <w:t>/），点击右侧咨询小采，获取采小蜜智能服务管家帮助，或拨打</w:t>
      </w:r>
      <w:r>
        <w:rPr>
          <w:rFonts w:hint="eastAsia" w:ascii="宋体" w:hAnsi="宋体" w:cs="宋体"/>
          <w:color w:val="auto"/>
          <w:sz w:val="21"/>
          <w:szCs w:val="21"/>
          <w:highlight w:val="none"/>
          <w:lang w:val="en-US" w:eastAsia="zh-CN"/>
        </w:rPr>
        <w:t>乐</w:t>
      </w:r>
      <w:r>
        <w:rPr>
          <w:rFonts w:hint="eastAsia" w:ascii="宋体" w:hAnsi="宋体" w:eastAsia="宋体" w:cs="宋体"/>
          <w:color w:val="auto"/>
          <w:sz w:val="21"/>
          <w:szCs w:val="21"/>
          <w:highlight w:val="none"/>
        </w:rPr>
        <w:t>采云服务热线95763获取热线服务帮助。</w:t>
      </w:r>
    </w:p>
    <w:p w14:paraId="22A81608">
      <w:pPr>
        <w:keepNext w:val="0"/>
        <w:keepLines w:val="0"/>
        <w:pageBreakBefore w:val="0"/>
        <w:kinsoku/>
        <w:wordWrap/>
        <w:overflowPunct/>
        <w:topLinePunct w:val="0"/>
        <w:bidi w:val="0"/>
        <w:spacing w:line="4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CA问题联系电话（人工）：汇信CA 400-888-4636；天谷CA 400-087-8198。</w:t>
      </w:r>
    </w:p>
    <w:p w14:paraId="69C171EF">
      <w:pPr>
        <w:spacing w:line="360" w:lineRule="auto"/>
        <w:jc w:val="center"/>
        <w:outlineLvl w:val="0"/>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lang w:val="en-US" w:eastAsia="zh-CN"/>
        </w:rPr>
        <w:t xml:space="preserve">  </w:t>
      </w:r>
    </w:p>
    <w:p w14:paraId="262860D4">
      <w:pPr>
        <w:spacing w:line="360" w:lineRule="auto"/>
        <w:jc w:val="center"/>
        <w:outlineLvl w:val="0"/>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第二部分</w:t>
      </w:r>
      <w:bookmarkEnd w:id="8"/>
      <w:r>
        <w:rPr>
          <w:rFonts w:hint="eastAsia" w:asciiTheme="minorEastAsia" w:hAnsiTheme="minorEastAsia" w:eastAsiaTheme="minorEastAsia" w:cstheme="minorEastAsia"/>
          <w:b/>
          <w:color w:val="auto"/>
          <w:sz w:val="36"/>
          <w:szCs w:val="20"/>
          <w:highlight w:val="none"/>
        </w:rPr>
        <w:t xml:space="preserve"> 响应须知</w:t>
      </w:r>
      <w:bookmarkEnd w:id="9"/>
    </w:p>
    <w:p w14:paraId="6C7DEA21">
      <w:pPr>
        <w:snapToGrid w:val="0"/>
        <w:spacing w:line="360" w:lineRule="auto"/>
        <w:jc w:val="center"/>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24"/>
        <w:tblW w:w="913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662"/>
      </w:tblGrid>
      <w:tr w14:paraId="0C98C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2517064">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C862FB9">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事项</w:t>
            </w:r>
          </w:p>
        </w:tc>
        <w:tc>
          <w:tcPr>
            <w:tcW w:w="6662" w:type="dxa"/>
            <w:tcBorders>
              <w:top w:val="single" w:color="000000" w:sz="8" w:space="0"/>
              <w:left w:val="single" w:color="000000" w:sz="2" w:space="0"/>
              <w:bottom w:val="single" w:color="000000" w:sz="8" w:space="0"/>
              <w:right w:val="single" w:color="000000" w:sz="8" w:space="0"/>
            </w:tcBorders>
            <w:vAlign w:val="center"/>
          </w:tcPr>
          <w:p w14:paraId="08972DC6">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本项目的特别规定</w:t>
            </w:r>
          </w:p>
        </w:tc>
      </w:tr>
      <w:tr w14:paraId="58072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101F67EF">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23370C4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7749BAE9">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6E9441E7">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13996C01">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p>
          <w:p w14:paraId="3005C02B">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9A065E2">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报价要求</w:t>
            </w:r>
          </w:p>
        </w:tc>
        <w:tc>
          <w:tcPr>
            <w:tcW w:w="6662" w:type="dxa"/>
            <w:tcBorders>
              <w:top w:val="single" w:color="000000" w:sz="8" w:space="0"/>
              <w:left w:val="single" w:color="000000" w:sz="2" w:space="0"/>
              <w:bottom w:val="single" w:color="000000" w:sz="8" w:space="0"/>
              <w:right w:val="single" w:color="000000" w:sz="8" w:space="0"/>
            </w:tcBorders>
            <w:vAlign w:val="center"/>
          </w:tcPr>
          <w:p w14:paraId="1D4F8B7D">
            <w:pPr>
              <w:keepNext w:val="0"/>
              <w:keepLines w:val="0"/>
              <w:pageBreakBefore w:val="0"/>
              <w:widowControl w:val="0"/>
              <w:kinsoku/>
              <w:wordWrap/>
              <w:overflowPunct/>
              <w:topLinePunct w:val="0"/>
              <w:autoSpaceDE/>
              <w:autoSpaceDN/>
              <w:bidi w:val="0"/>
              <w:adjustRightInd/>
              <w:snapToGrid w:val="0"/>
              <w:spacing w:line="400" w:lineRule="exact"/>
              <w:jc w:val="left"/>
              <w:textAlignment w:val="auto"/>
              <w:rPr>
                <w:rFonts w:hint="default" w:ascii="宋体" w:hAnsi="宋体" w:eastAsia="宋体" w:cs="宋体"/>
                <w:b/>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rPr>
              <w:t>有关本项目实施所需的所有费用（含税费）均计入报价。</w:t>
            </w:r>
            <w:r>
              <w:rPr>
                <w:rFonts w:hint="eastAsia" w:ascii="宋体" w:hAnsi="宋体" w:eastAsia="宋体" w:cs="宋体"/>
                <w:color w:val="auto"/>
                <w:sz w:val="21"/>
                <w:szCs w:val="21"/>
                <w:highlight w:val="none"/>
              </w:rPr>
              <w:t>报价一览表是报价的唯一载体</w:t>
            </w:r>
            <w:r>
              <w:rPr>
                <w:rFonts w:hint="eastAsia" w:ascii="宋体" w:hAnsi="宋体" w:eastAsia="宋体" w:cs="宋体"/>
                <w:color w:val="auto"/>
                <w:kern w:val="0"/>
                <w:sz w:val="21"/>
                <w:szCs w:val="21"/>
                <w:highlight w:val="none"/>
                <w:lang w:val="zh-CN"/>
              </w:rPr>
              <w:t>。</w:t>
            </w:r>
            <w:r>
              <w:rPr>
                <w:rFonts w:hint="eastAsia" w:ascii="宋体" w:hAnsi="宋体" w:eastAsia="宋体" w:cs="宋体"/>
                <w:b/>
                <w:bCs/>
                <w:color w:val="auto"/>
                <w:kern w:val="0"/>
                <w:sz w:val="21"/>
                <w:szCs w:val="21"/>
                <w:highlight w:val="none"/>
                <w:lang w:val="zh-CN"/>
              </w:rPr>
              <w:t>响应文件中</w:t>
            </w:r>
            <w:r>
              <w:rPr>
                <w:rFonts w:hint="eastAsia" w:ascii="宋体" w:hAnsi="宋体" w:cs="宋体"/>
                <w:b/>
                <w:bCs/>
                <w:color w:val="auto"/>
                <w:kern w:val="0"/>
                <w:sz w:val="21"/>
                <w:szCs w:val="21"/>
                <w:highlight w:val="none"/>
                <w:lang w:val="en-US" w:eastAsia="zh-CN"/>
              </w:rPr>
              <w:t>价格采用综合折扣报价。</w:t>
            </w:r>
          </w:p>
          <w:p w14:paraId="5BF35F26">
            <w:pPr>
              <w:keepNext w:val="0"/>
              <w:keepLines w:val="0"/>
              <w:pageBreakBefore w:val="0"/>
              <w:widowControl w:val="0"/>
              <w:kinsoku/>
              <w:wordWrap/>
              <w:overflowPunct/>
              <w:topLinePunct w:val="0"/>
              <w:autoSpaceDE/>
              <w:autoSpaceDN/>
              <w:bidi w:val="0"/>
              <w:adjustRightInd/>
              <w:snapToGrid w:val="0"/>
              <w:spacing w:line="400" w:lineRule="exact"/>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响应报价出现下列情形的，响应无效：</w:t>
            </w:r>
          </w:p>
          <w:p w14:paraId="05E92F93">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响应文件出现不是唯一的、有选择性响应报价的；</w:t>
            </w:r>
          </w:p>
          <w:p w14:paraId="2BD3E3C8">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b/>
                <w:color w:val="auto"/>
                <w:kern w:val="0"/>
                <w:sz w:val="21"/>
                <w:szCs w:val="21"/>
                <w:highlight w:val="none"/>
                <w:lang w:val="zh-CN"/>
              </w:rPr>
              <w:t>响应报价超过采购文件中规定的</w:t>
            </w:r>
            <w:r>
              <w:rPr>
                <w:rFonts w:hint="eastAsia" w:ascii="宋体" w:hAnsi="宋体" w:cs="宋体"/>
                <w:b/>
                <w:color w:val="auto"/>
                <w:kern w:val="0"/>
                <w:sz w:val="21"/>
                <w:szCs w:val="21"/>
                <w:highlight w:val="none"/>
                <w:lang w:val="en-US" w:eastAsia="zh-CN"/>
              </w:rPr>
              <w:t>最高综合折扣94%的</w:t>
            </w:r>
            <w:r>
              <w:rPr>
                <w:rFonts w:hint="eastAsia" w:ascii="宋体" w:hAnsi="宋体" w:eastAsia="宋体" w:cs="宋体"/>
                <w:b/>
                <w:color w:val="auto"/>
                <w:kern w:val="0"/>
                <w:sz w:val="21"/>
                <w:szCs w:val="21"/>
                <w:highlight w:val="none"/>
                <w:lang w:val="zh-CN"/>
              </w:rPr>
              <w:t>；</w:t>
            </w:r>
          </w:p>
          <w:p w14:paraId="219C4866">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报价明显低于其他通过符合性审查供应商的报价，有可能影响服务质量或者不能诚信履约的，未能按要求提供书面说明或者提交相关证明材料证明其报价合理性的</w:t>
            </w:r>
            <w:r>
              <w:rPr>
                <w:rFonts w:hint="eastAsia" w:ascii="宋体" w:hAnsi="宋体" w:eastAsia="宋体" w:cs="宋体"/>
                <w:b/>
                <w:color w:val="auto"/>
                <w:sz w:val="21"/>
                <w:szCs w:val="21"/>
                <w:highlight w:val="none"/>
              </w:rPr>
              <w:t>;</w:t>
            </w:r>
          </w:p>
          <w:p w14:paraId="7BA4671B">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供应商对根据修正原则修正后的报价不确认的</w:t>
            </w:r>
            <w:r>
              <w:rPr>
                <w:rFonts w:hint="eastAsia" w:ascii="宋体" w:hAnsi="宋体" w:eastAsia="宋体" w:cs="宋体"/>
                <w:b/>
                <w:color w:val="auto"/>
                <w:sz w:val="21"/>
                <w:szCs w:val="21"/>
                <w:highlight w:val="none"/>
              </w:rPr>
              <w:t>。</w:t>
            </w:r>
          </w:p>
        </w:tc>
      </w:tr>
      <w:tr w14:paraId="75185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80F5D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5FD4004">
            <w:pPr>
              <w:keepNext w:val="0"/>
              <w:keepLines w:val="0"/>
              <w:pageBreakBefore w:val="0"/>
              <w:widowControl w:val="0"/>
              <w:kinsoku/>
              <w:wordWrap/>
              <w:overflowPunct/>
              <w:topLinePunct w:val="0"/>
              <w:autoSpaceDE/>
              <w:autoSpaceDN/>
              <w:bidi w:val="0"/>
              <w:adjustRightInd/>
              <w:snapToGrid w:val="0"/>
              <w:spacing w:line="400" w:lineRule="exact"/>
              <w:ind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分包</w:t>
            </w:r>
          </w:p>
        </w:tc>
        <w:tc>
          <w:tcPr>
            <w:tcW w:w="6662" w:type="dxa"/>
            <w:tcBorders>
              <w:top w:val="single" w:color="000000" w:sz="8" w:space="0"/>
              <w:left w:val="single" w:color="000000" w:sz="2" w:space="0"/>
              <w:bottom w:val="single" w:color="000000" w:sz="8" w:space="0"/>
              <w:right w:val="single" w:color="000000" w:sz="8" w:space="0"/>
            </w:tcBorders>
            <w:vAlign w:val="center"/>
          </w:tcPr>
          <w:p w14:paraId="115D866B">
            <w:pPr>
              <w:keepNext w:val="0"/>
              <w:keepLines w:val="0"/>
              <w:pageBreakBefore w:val="0"/>
              <w:widowControl w:val="0"/>
              <w:kinsoku/>
              <w:wordWrap/>
              <w:overflowPunct/>
              <w:topLinePunct w:val="0"/>
              <w:autoSpaceDE/>
              <w:autoSpaceDN/>
              <w:bidi w:val="0"/>
              <w:adjustRightInd/>
              <w:spacing w:line="40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不同意分包。</w:t>
            </w:r>
          </w:p>
        </w:tc>
      </w:tr>
      <w:tr w14:paraId="56AE1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17A5D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E2DABF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供应商应当提供的资格文件</w:t>
            </w:r>
          </w:p>
        </w:tc>
        <w:tc>
          <w:tcPr>
            <w:tcW w:w="6662" w:type="dxa"/>
            <w:tcBorders>
              <w:top w:val="single" w:color="000000" w:sz="8" w:space="0"/>
              <w:left w:val="single" w:color="000000" w:sz="2" w:space="0"/>
              <w:bottom w:val="single" w:color="000000" w:sz="8" w:space="0"/>
              <w:right w:val="single" w:color="000000" w:sz="8" w:space="0"/>
            </w:tcBorders>
            <w:vAlign w:val="center"/>
          </w:tcPr>
          <w:p w14:paraId="45D7A90C">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资格证明文件：见采购文件第二部分9.1。</w:t>
            </w:r>
          </w:p>
          <w:p w14:paraId="02225DE1">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资格证明文件不全的或者不符合采购文件标明的资格要求的</w:t>
            </w:r>
            <w:r>
              <w:rPr>
                <w:rFonts w:hint="eastAsia" w:ascii="宋体" w:hAnsi="宋体" w:eastAsia="宋体" w:cs="宋体"/>
                <w:color w:val="auto"/>
                <w:sz w:val="21"/>
                <w:szCs w:val="21"/>
                <w:highlight w:val="none"/>
                <w:lang w:val="zh-CN"/>
              </w:rPr>
              <w:t>，视为供应商不具备采购文件中规定的资格要求，响应无效。</w:t>
            </w:r>
          </w:p>
        </w:tc>
      </w:tr>
      <w:tr w14:paraId="72867F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292781CB">
            <w:pPr>
              <w:keepNext w:val="0"/>
              <w:keepLines w:val="0"/>
              <w:pageBreakBefore w:val="0"/>
              <w:widowControl w:val="0"/>
              <w:kinsoku/>
              <w:wordWrap/>
              <w:overflowPunct/>
              <w:topLinePunct w:val="0"/>
              <w:autoSpaceDE/>
              <w:autoSpaceDN/>
              <w:bidi w:val="0"/>
              <w:adjustRightInd/>
              <w:snapToGrid w:val="0"/>
              <w:spacing w:line="400" w:lineRule="exact"/>
              <w:ind w:firstLine="210" w:firstLineChars="100"/>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62BAF2B">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现场考察</w:t>
            </w:r>
          </w:p>
        </w:tc>
        <w:tc>
          <w:tcPr>
            <w:tcW w:w="6662" w:type="dxa"/>
            <w:tcBorders>
              <w:top w:val="single" w:color="000000" w:sz="8" w:space="0"/>
              <w:left w:val="single" w:color="000000" w:sz="2" w:space="0"/>
              <w:bottom w:val="single" w:color="000000" w:sz="8" w:space="0"/>
              <w:right w:val="single" w:color="000000" w:sz="8" w:space="0"/>
            </w:tcBorders>
            <w:vAlign w:val="center"/>
          </w:tcPr>
          <w:p w14:paraId="7665FFD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不组织。</w:t>
            </w:r>
          </w:p>
        </w:tc>
      </w:tr>
      <w:tr w14:paraId="0DB9CB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7E931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5E13FDA">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样品提供</w:t>
            </w:r>
          </w:p>
        </w:tc>
        <w:tc>
          <w:tcPr>
            <w:tcW w:w="6662" w:type="dxa"/>
            <w:tcBorders>
              <w:top w:val="single" w:color="000000" w:sz="8" w:space="0"/>
              <w:left w:val="single" w:color="000000" w:sz="2" w:space="0"/>
              <w:bottom w:val="single" w:color="000000" w:sz="8" w:space="0"/>
              <w:right w:val="single" w:color="000000" w:sz="8" w:space="0"/>
            </w:tcBorders>
            <w:vAlign w:val="center"/>
          </w:tcPr>
          <w:p w14:paraId="534CCBBE">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不要求提供。</w:t>
            </w:r>
          </w:p>
        </w:tc>
      </w:tr>
      <w:tr w14:paraId="60263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B81B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8C2DC94">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方案讲解演示</w:t>
            </w:r>
          </w:p>
        </w:tc>
        <w:tc>
          <w:tcPr>
            <w:tcW w:w="6662" w:type="dxa"/>
            <w:tcBorders>
              <w:top w:val="single" w:color="000000" w:sz="8" w:space="0"/>
              <w:left w:val="single" w:color="000000" w:sz="2" w:space="0"/>
              <w:bottom w:val="single" w:color="000000" w:sz="8" w:space="0"/>
              <w:right w:val="single" w:color="000000" w:sz="8" w:space="0"/>
            </w:tcBorders>
            <w:vAlign w:val="center"/>
          </w:tcPr>
          <w:p w14:paraId="16CEAB57">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sz w:val="21"/>
                <w:szCs w:val="21"/>
                <w:highlight w:val="none"/>
              </w:rPr>
              <w:t>不组织。</w:t>
            </w:r>
          </w:p>
        </w:tc>
      </w:tr>
      <w:tr w14:paraId="6B75DE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0EF6EE4">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4544A8C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是否允许采购进口产品</w:t>
            </w:r>
          </w:p>
        </w:tc>
        <w:tc>
          <w:tcPr>
            <w:tcW w:w="6662" w:type="dxa"/>
            <w:tcBorders>
              <w:top w:val="single" w:color="000000" w:sz="8" w:space="0"/>
              <w:left w:val="single" w:color="000000" w:sz="2" w:space="0"/>
              <w:bottom w:val="single" w:color="000000" w:sz="8" w:space="0"/>
              <w:right w:val="single" w:color="000000" w:sz="8" w:space="0"/>
            </w:tcBorders>
            <w:vAlign w:val="center"/>
          </w:tcPr>
          <w:p w14:paraId="1D22F3E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本项目不允许采购进口产品。</w:t>
            </w:r>
          </w:p>
        </w:tc>
      </w:tr>
      <w:tr w14:paraId="1C394D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EB4E73">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37839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采购标的对应的中小企业划分标准所属行业</w:t>
            </w:r>
          </w:p>
        </w:tc>
        <w:tc>
          <w:tcPr>
            <w:tcW w:w="6662" w:type="dxa"/>
            <w:tcBorders>
              <w:top w:val="single" w:color="000000" w:sz="8" w:space="0"/>
              <w:left w:val="single" w:color="000000" w:sz="2" w:space="0"/>
              <w:bottom w:val="single" w:color="000000" w:sz="8" w:space="0"/>
              <w:right w:val="single" w:color="000000" w:sz="8" w:space="0"/>
            </w:tcBorders>
            <w:vAlign w:val="center"/>
          </w:tcPr>
          <w:p w14:paraId="3B65383D">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标的：</w:t>
            </w:r>
            <w:r>
              <w:rPr>
                <w:rFonts w:hint="eastAsia" w:ascii="宋体" w:hAnsi="宋体" w:eastAsia="宋体" w:cs="宋体"/>
                <w:color w:val="auto"/>
                <w:kern w:val="0"/>
                <w:sz w:val="21"/>
                <w:szCs w:val="21"/>
                <w:highlight w:val="none"/>
                <w:lang w:eastAsia="zh-CN"/>
              </w:rPr>
              <w:t>奉化区FH24-02-09a地块建设项目—通信基础设施和无线通信室内覆盖系统建设工程</w:t>
            </w:r>
            <w:r>
              <w:rPr>
                <w:rFonts w:hint="eastAsia" w:ascii="宋体" w:hAnsi="宋体" w:eastAsia="宋体" w:cs="宋体"/>
                <w:color w:val="auto"/>
                <w:kern w:val="0"/>
                <w:sz w:val="21"/>
                <w:szCs w:val="21"/>
                <w:highlight w:val="none"/>
              </w:rPr>
              <w:t>，属于</w:t>
            </w:r>
            <w:r>
              <w:rPr>
                <w:rFonts w:hint="eastAsia" w:ascii="宋体" w:hAnsi="宋体" w:cs="宋体"/>
                <w:color w:val="auto"/>
                <w:kern w:val="0"/>
                <w:sz w:val="21"/>
                <w:szCs w:val="21"/>
                <w:highlight w:val="none"/>
                <w:u w:val="single"/>
                <w:lang w:val="en-US" w:eastAsia="zh-CN"/>
              </w:rPr>
              <w:t>建筑</w:t>
            </w:r>
            <w:r>
              <w:rPr>
                <w:rFonts w:hint="eastAsia" w:ascii="宋体" w:hAnsi="宋体" w:eastAsia="宋体" w:cs="宋体"/>
                <w:color w:val="auto"/>
                <w:kern w:val="0"/>
                <w:sz w:val="21"/>
                <w:szCs w:val="21"/>
                <w:highlight w:val="none"/>
              </w:rPr>
              <w:t>行业；</w:t>
            </w:r>
          </w:p>
        </w:tc>
      </w:tr>
      <w:tr w14:paraId="0D7E70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2" w:hRule="atLeast"/>
          <w:tblHeader/>
        </w:trPr>
        <w:tc>
          <w:tcPr>
            <w:tcW w:w="629" w:type="dxa"/>
            <w:tcBorders>
              <w:top w:val="single" w:color="auto" w:sz="4" w:space="0"/>
              <w:left w:val="single" w:color="000000" w:sz="8" w:space="0"/>
              <w:right w:val="single" w:color="000000" w:sz="2" w:space="0"/>
            </w:tcBorders>
            <w:vAlign w:val="center"/>
          </w:tcPr>
          <w:p w14:paraId="409C37F0">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0</w:t>
            </w:r>
          </w:p>
        </w:tc>
        <w:tc>
          <w:tcPr>
            <w:tcW w:w="1843" w:type="dxa"/>
            <w:tcBorders>
              <w:top w:val="single" w:color="000000" w:sz="8" w:space="0"/>
              <w:left w:val="single" w:color="000000" w:sz="2" w:space="0"/>
              <w:right w:val="single" w:color="000000" w:sz="8" w:space="0"/>
            </w:tcBorders>
            <w:vAlign w:val="center"/>
          </w:tcPr>
          <w:p w14:paraId="33EE9F91">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代理服务费</w:t>
            </w:r>
          </w:p>
        </w:tc>
        <w:tc>
          <w:tcPr>
            <w:tcW w:w="6662" w:type="dxa"/>
            <w:tcBorders>
              <w:top w:val="single" w:color="000000" w:sz="8" w:space="0"/>
              <w:left w:val="single" w:color="000000" w:sz="2" w:space="0"/>
              <w:bottom w:val="single" w:color="000000" w:sz="8" w:space="0"/>
              <w:right w:val="single" w:color="000000" w:sz="8" w:space="0"/>
            </w:tcBorders>
            <w:vAlign w:val="center"/>
          </w:tcPr>
          <w:p w14:paraId="6C4C51C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采购代理机构根据国家发改委发改办价格[2003]857号通知和原国家计委计价格[2002]1980号文件规定的工程招标费率标准*0.8收取代理服务费，成交人应在本公司发出成交通知书5个工作日内向本采购代理机构支付代理服务费。代理服务费只收现金、银行票汇款、电汇款。</w:t>
            </w:r>
          </w:p>
          <w:p w14:paraId="7A83F53F">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宋体" w:hAnsi="宋体" w:eastAsia="宋体" w:cs="宋体"/>
                <w:color w:val="auto"/>
                <w:sz w:val="21"/>
                <w:szCs w:val="21"/>
                <w:highlight w:val="none"/>
              </w:rPr>
            </w:pPr>
          </w:p>
        </w:tc>
      </w:tr>
      <w:bookmarkEnd w:id="10"/>
    </w:tbl>
    <w:p w14:paraId="7BA96790">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bookmarkStart w:id="11" w:name="_Toc164416483"/>
      <w:bookmarkStart w:id="12" w:name="第三部分"/>
      <w:bookmarkStart w:id="13" w:name="第四部分"/>
      <w:r>
        <w:rPr>
          <w:rFonts w:hint="eastAsia" w:asciiTheme="minorEastAsia" w:hAnsiTheme="minorEastAsia" w:eastAsiaTheme="minorEastAsia" w:cstheme="minorEastAsia"/>
          <w:b/>
          <w:color w:val="auto"/>
          <w:sz w:val="32"/>
          <w:szCs w:val="20"/>
          <w:highlight w:val="none"/>
        </w:rPr>
        <w:t>一、总则</w:t>
      </w:r>
    </w:p>
    <w:p w14:paraId="7EF3DB9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适用范围</w:t>
      </w:r>
    </w:p>
    <w:p w14:paraId="460CCE62">
      <w:pPr>
        <w:snapToGrid w:val="0"/>
        <w:spacing w:line="360" w:lineRule="auto"/>
        <w:ind w:firstLine="420" w:firstLineChars="20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文件适用于该项目的</w:t>
      </w:r>
      <w:r>
        <w:rPr>
          <w:rFonts w:hint="eastAsia" w:asciiTheme="minorEastAsia" w:hAnsiTheme="minorEastAsia" w:eastAsiaTheme="minorEastAsia" w:cstheme="minorEastAsia"/>
          <w:color w:val="auto"/>
          <w:sz w:val="21"/>
          <w:szCs w:val="21"/>
          <w:highlight w:val="none"/>
          <w:lang w:eastAsia="zh-CN"/>
        </w:rPr>
        <w:t>采购</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响应文件开启</w:t>
      </w:r>
      <w:r>
        <w:rPr>
          <w:rFonts w:hint="eastAsia" w:asciiTheme="minorEastAsia" w:hAnsiTheme="minorEastAsia" w:eastAsiaTheme="minorEastAsia" w:cstheme="minorEastAsia"/>
          <w:color w:val="auto"/>
          <w:sz w:val="21"/>
          <w:szCs w:val="21"/>
          <w:highlight w:val="none"/>
        </w:rPr>
        <w:t>、资格审查及信用信息查询、评</w:t>
      </w:r>
      <w:r>
        <w:rPr>
          <w:rFonts w:hint="eastAsia" w:asciiTheme="minorEastAsia" w:hAnsiTheme="minorEastAsia" w:eastAsiaTheme="minorEastAsia" w:cstheme="minorEastAsia"/>
          <w:color w:val="auto"/>
          <w:sz w:val="21"/>
          <w:szCs w:val="21"/>
          <w:highlight w:val="none"/>
          <w:lang w:eastAsia="zh-CN"/>
        </w:rPr>
        <w:t>审</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成交供应商确定</w:t>
      </w:r>
      <w:r>
        <w:rPr>
          <w:rFonts w:hint="eastAsia" w:asciiTheme="minorEastAsia" w:hAnsiTheme="minorEastAsia" w:eastAsiaTheme="minorEastAsia" w:cstheme="minorEastAsia"/>
          <w:color w:val="auto"/>
          <w:sz w:val="21"/>
          <w:szCs w:val="21"/>
          <w:highlight w:val="none"/>
        </w:rPr>
        <w:t>、合同、验收等行为（法律、法规另有规定的，从其规定）。</w:t>
      </w:r>
    </w:p>
    <w:p w14:paraId="4C464CB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定义</w:t>
      </w:r>
    </w:p>
    <w:p w14:paraId="63C227CB">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2.1 “采购人”系指竞争性磋商公告中载明的本项目的采购人。</w:t>
      </w:r>
    </w:p>
    <w:p w14:paraId="48A1F64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2.2 “采购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机构”系指竞争性磋商公告中载明的本项目的采购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p>
    <w:p w14:paraId="3C7DBB3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2.3 “</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”系指是指响应</w:t>
      </w:r>
      <w:r>
        <w:rPr>
          <w:rFonts w:hint="eastAsia" w:asciiTheme="minorEastAsia" w:hAnsiTheme="minorEastAsia" w:eastAsiaTheme="minorEastAsia" w:cstheme="minorEastAsia"/>
          <w:color w:val="auto"/>
          <w:sz w:val="21"/>
          <w:szCs w:val="21"/>
          <w:highlight w:val="none"/>
          <w:lang w:eastAsia="zh-CN"/>
        </w:rPr>
        <w:t>采购</w:t>
      </w:r>
      <w:r>
        <w:rPr>
          <w:rFonts w:hint="eastAsia" w:asciiTheme="minorEastAsia" w:hAnsiTheme="minorEastAsia" w:eastAsiaTheme="minorEastAsia" w:cstheme="minorEastAsia"/>
          <w:color w:val="auto"/>
          <w:sz w:val="21"/>
          <w:szCs w:val="21"/>
          <w:highlight w:val="none"/>
        </w:rPr>
        <w:t>、参加</w:t>
      </w:r>
      <w:r>
        <w:rPr>
          <w:rFonts w:hint="eastAsia" w:asciiTheme="minorEastAsia" w:hAnsiTheme="minorEastAsia" w:eastAsiaTheme="minorEastAsia" w:cstheme="minorEastAsia"/>
          <w:color w:val="auto"/>
          <w:sz w:val="21"/>
          <w:szCs w:val="21"/>
          <w:highlight w:val="none"/>
          <w:lang w:eastAsia="zh-CN"/>
        </w:rPr>
        <w:t>磋商</w:t>
      </w:r>
      <w:r>
        <w:rPr>
          <w:rFonts w:hint="eastAsia" w:asciiTheme="minorEastAsia" w:hAnsiTheme="minorEastAsia" w:eastAsiaTheme="minorEastAsia" w:cstheme="minorEastAsia"/>
          <w:color w:val="auto"/>
          <w:sz w:val="21"/>
          <w:szCs w:val="21"/>
          <w:highlight w:val="none"/>
        </w:rPr>
        <w:t>竞争的法人、其他组织或者自然人。</w:t>
      </w:r>
    </w:p>
    <w:p w14:paraId="61E1F28F">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2.4 “负责人”系指法人企业的法定负责人，或其他组织为法律、行政法规规定代表单位行使职权的主要负责人，或自然人本人。</w:t>
      </w:r>
    </w:p>
    <w:p w14:paraId="6DD8547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2.5“电子签名”系指数据电文中以电子形式所含、所附用于识别签名人身份并表明签名人认可其中内容的数据；“公章”系指单位法定名称章。</w:t>
      </w:r>
    </w:p>
    <w:p w14:paraId="1F3FCF4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2.6“电子交易平台”是指本项目政府采购活动所依托的政府采购云平台（https</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www.lecaiyun.com</w:t>
      </w:r>
      <w:r>
        <w:rPr>
          <w:rFonts w:hint="eastAsia" w:asciiTheme="minorEastAsia" w:hAnsiTheme="minorEastAsia" w:eastAsiaTheme="minorEastAsia" w:cstheme="minorEastAsia"/>
          <w:color w:val="auto"/>
          <w:sz w:val="21"/>
          <w:szCs w:val="21"/>
          <w:highlight w:val="none"/>
        </w:rPr>
        <w:t>/）。</w:t>
      </w:r>
    </w:p>
    <w:p w14:paraId="1F23042E">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2.7 “▲” 系指实质性要求条款，“</w:t>
      </w:r>
      <w:r>
        <w:rPr>
          <w:rFonts w:hint="eastAsia" w:ascii="宋体" w:hAnsi="宋体" w:eastAsia="宋体" w:cs="宋体"/>
          <w:color w:val="auto"/>
          <w:kern w:val="0"/>
          <w:sz w:val="21"/>
          <w:szCs w:val="21"/>
          <w:highlight w:val="none"/>
        </w:rPr>
        <w:sym w:font="Wingdings" w:char="F0FE"/>
      </w:r>
      <w:r>
        <w:rPr>
          <w:rFonts w:hint="eastAsia" w:asciiTheme="minorEastAsia" w:hAnsiTheme="minorEastAsia" w:eastAsiaTheme="minorEastAsia" w:cstheme="minorEastAsia"/>
          <w:color w:val="auto"/>
          <w:sz w:val="21"/>
          <w:szCs w:val="21"/>
          <w:highlight w:val="none"/>
        </w:rPr>
        <w:t>” 系指适用本项目的要求，“</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rPr>
        <w:t>” 系指不适用本项目的要求。</w:t>
      </w:r>
    </w:p>
    <w:p w14:paraId="669A457A">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采购项目需要落实的政府采购政策</w:t>
      </w:r>
    </w:p>
    <w:p w14:paraId="07BB981C">
      <w:pPr>
        <w:numPr>
          <w:ilvl w:val="1"/>
          <w:numId w:val="2"/>
        </w:num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本项目不允许采购进口产品。</w:t>
      </w:r>
    </w:p>
    <w:p w14:paraId="0F7D7B30">
      <w:pPr>
        <w:numPr>
          <w:ilvl w:val="0"/>
          <w:numId w:val="0"/>
        </w:num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3.2 支持绿色发展</w:t>
      </w:r>
    </w:p>
    <w:p w14:paraId="71852ECD">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3.3支持中小企业发展</w:t>
      </w:r>
    </w:p>
    <w:p w14:paraId="3FE0154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79B46E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符合中小企业划分标准的个体工商户，在政府采购活动中视同中小企业。</w:t>
      </w:r>
    </w:p>
    <w:p w14:paraId="3154C328">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Cs/>
          <w:color w:val="auto"/>
          <w:sz w:val="21"/>
          <w:szCs w:val="21"/>
          <w:highlight w:val="none"/>
        </w:rPr>
        <w:t>3.3.2</w:t>
      </w:r>
      <w:r>
        <w:rPr>
          <w:rFonts w:hint="eastAsia" w:asciiTheme="minorEastAsia" w:hAnsiTheme="minorEastAsia" w:eastAsiaTheme="minorEastAsia" w:cstheme="minorEastAsia"/>
          <w:color w:val="auto"/>
          <w:kern w:val="0"/>
          <w:sz w:val="21"/>
          <w:szCs w:val="21"/>
          <w:highlight w:val="none"/>
        </w:rPr>
        <w:t>在政府采购活动中，</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提供的货物、工程或者服务符合下列情形的，享受中小企业扶持政策：</w:t>
      </w:r>
    </w:p>
    <w:p w14:paraId="46C5C304">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3.3.2.1在货物采购项目中，货物由中小企业制造，即货物由中小企业生产且使用该中小企业商号或者注册商标；</w:t>
      </w:r>
    </w:p>
    <w:p w14:paraId="22650F4B">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3.3.2.2在工程采购项目中，工程由中小企业承建，即工程施工单位为中小企业；</w:t>
      </w:r>
    </w:p>
    <w:p w14:paraId="30ABDD14">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3.3.2.3在服务采购项目中，服务由中小企业承接，即提供服务的人员为中小企业依照《中华人民共和国劳动合同法》订立劳动合同的从业人员。</w:t>
      </w:r>
    </w:p>
    <w:p w14:paraId="20B87E0B">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在货物采购项目中，</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提供的货物既有中小企业制造货物，也有大型企业制造货物的，不享受中小企业扶持政策。</w:t>
      </w:r>
    </w:p>
    <w:p w14:paraId="538175D8">
      <w:pPr>
        <w:widowControl/>
        <w:spacing w:line="360" w:lineRule="auto"/>
        <w:ind w:firstLine="420" w:firstLineChars="200"/>
        <w:jc w:val="left"/>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以联合体形式参加政府采购活动，联合体各方均为中小企业的，联合体视同中小企业。其中，联合体各方均为小微企业的，联合体视同小微企业。</w:t>
      </w:r>
    </w:p>
    <w:p w14:paraId="76743BC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3.3.3对于未预留份额专门面向中小企业的政府采购货物或服务或工程项目，以及预留份额政府采购货物或服务项目中的非预留部分标项，对小型和微型企业的</w:t>
      </w:r>
      <w:r>
        <w:rPr>
          <w:rFonts w:hint="eastAsia" w:asciiTheme="minorEastAsia" w:hAnsiTheme="minorEastAsia" w:eastAsiaTheme="minorEastAsia" w:cstheme="minorEastAsia"/>
          <w:color w:val="auto"/>
          <w:sz w:val="21"/>
          <w:szCs w:val="21"/>
          <w:highlight w:val="none"/>
          <w:lang w:eastAsia="zh-CN"/>
        </w:rPr>
        <w:t>谈判</w:t>
      </w:r>
      <w:r>
        <w:rPr>
          <w:rFonts w:hint="eastAsia" w:asciiTheme="minorEastAsia" w:hAnsiTheme="minorEastAsia" w:eastAsiaTheme="minorEastAsia" w:cstheme="minorEastAsia"/>
          <w:color w:val="auto"/>
          <w:sz w:val="21"/>
          <w:szCs w:val="21"/>
          <w:highlight w:val="none"/>
        </w:rPr>
        <w:t>报价给予10%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%（工程项目为 2%）的扣除，用扣除后的价格参加评审。组成联合体或者接受分包的小微企业与联合体内其他企业、分包企业之间存在直接控股、管理关系的，不享受价格扣除优惠政策。</w:t>
      </w:r>
    </w:p>
    <w:p w14:paraId="60CE4DF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3.3.4符合《关于促进残疾人就业政府采购政策的通知》（财库〔2017〕141号）规定的条件并提供《残疾人福利性单位声明函》的残疾人福利性单位视同小型、微型企业；</w:t>
      </w:r>
    </w:p>
    <w:p w14:paraId="74DF7A63">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7C8E48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3.3.6可享受中小企业扶持政策的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文件格式要求提供《中小企业声明函》，</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提供的《中小企业声明函》与实际情况不符的，不享受中小企业扶持政策。声明内容不实的，属于提供虚假材料谋取中标、成交的，依法承担法律责任。</w:t>
      </w:r>
    </w:p>
    <w:p w14:paraId="294E5E3A">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3.3.7中小企业享受扶持政策获得政府采购合同的，小微企业不得将合同分包给大中型企业，中型企业不得将合同分包给大型企业。</w:t>
      </w:r>
    </w:p>
    <w:p w14:paraId="1DEC69B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特别说明</w:t>
      </w:r>
    </w:p>
    <w:p w14:paraId="37812DDB">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4.1</w:t>
      </w:r>
      <w:r>
        <w:rPr>
          <w:rFonts w:hint="eastAsia" w:asciiTheme="minorEastAsia" w:hAnsiTheme="minorEastAsia" w:eastAsiaTheme="minorEastAsia" w:cstheme="minorEastAsia"/>
          <w:color w:val="auto"/>
          <w:sz w:val="21"/>
          <w:szCs w:val="21"/>
          <w:highlight w:val="none"/>
        </w:rPr>
        <w:t>关于分公司</w:t>
      </w:r>
      <w:r>
        <w:rPr>
          <w:rFonts w:hint="eastAsia" w:asciiTheme="minorEastAsia" w:hAnsiTheme="minorEastAsia" w:eastAsiaTheme="minorEastAsia" w:cstheme="minorEastAsia"/>
          <w:color w:val="auto"/>
          <w:sz w:val="21"/>
          <w:szCs w:val="21"/>
          <w:highlight w:val="none"/>
          <w:lang w:eastAsia="zh-CN"/>
        </w:rPr>
        <w:t>磋商响应</w:t>
      </w:r>
    </w:p>
    <w:p w14:paraId="587CABA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除银行、保险、石油石化、电力、电信等特殊行业外。法人的分支机构由于不能独立承担民事责任，不能以分支机构的身份参加政府采购，只能</w:t>
      </w:r>
      <w:r>
        <w:rPr>
          <w:rFonts w:hint="eastAsia" w:asciiTheme="minorEastAsia" w:hAnsiTheme="minorEastAsia" w:eastAsiaTheme="minorEastAsia" w:cstheme="minorEastAsia"/>
          <w:color w:val="auto"/>
          <w:sz w:val="21"/>
          <w:szCs w:val="21"/>
          <w:highlight w:val="none"/>
          <w:lang w:eastAsia="zh-CN"/>
        </w:rPr>
        <w:t>以</w:t>
      </w:r>
      <w:r>
        <w:rPr>
          <w:rFonts w:hint="eastAsia" w:asciiTheme="minorEastAsia" w:hAnsiTheme="minorEastAsia" w:eastAsiaTheme="minorEastAsia" w:cstheme="minorEastAsia"/>
          <w:color w:val="auto"/>
          <w:sz w:val="21"/>
          <w:szCs w:val="21"/>
          <w:highlight w:val="none"/>
        </w:rPr>
        <w:t xml:space="preserve">法人身份参加。 </w:t>
      </w:r>
    </w:p>
    <w:p w14:paraId="4CBBF24B">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4.2关于知识产权</w:t>
      </w:r>
    </w:p>
    <w:p w14:paraId="5F9EF2E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必须保证，采购人在中华人民共和国境内使用</w:t>
      </w:r>
      <w:r>
        <w:rPr>
          <w:rFonts w:hint="eastAsia" w:asciiTheme="minorEastAsia" w:hAnsiTheme="minorEastAsia" w:eastAsiaTheme="minorEastAsia" w:cstheme="minorEastAsia"/>
          <w:color w:val="auto"/>
          <w:sz w:val="21"/>
          <w:szCs w:val="21"/>
          <w:highlight w:val="none"/>
          <w:lang w:eastAsia="zh-CN"/>
        </w:rPr>
        <w:t>磋商响应</w:t>
      </w:r>
      <w:r>
        <w:rPr>
          <w:rFonts w:hint="eastAsia" w:asciiTheme="minorEastAsia" w:hAnsiTheme="minorEastAsia" w:eastAsiaTheme="minorEastAsia" w:cstheme="minorEastAsia"/>
          <w:color w:val="auto"/>
          <w:sz w:val="21"/>
          <w:szCs w:val="21"/>
          <w:highlight w:val="none"/>
        </w:rPr>
        <w:t>货物、资料、技术、服务或其任何一部分时，享有不受限制的无偿使用权，如有第三方向采购人提出侵犯其专利权、商标权或其它知识产权的主张，该责任应由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w:t>
      </w:r>
    </w:p>
    <w:p w14:paraId="035C61BC">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lang w:eastAsia="zh-CN"/>
        </w:rPr>
        <w:t>磋商</w:t>
      </w:r>
      <w:r>
        <w:rPr>
          <w:rFonts w:hint="eastAsia" w:asciiTheme="minorEastAsia" w:hAnsiTheme="minorEastAsia" w:eastAsiaTheme="minorEastAsia" w:cstheme="minorEastAsia"/>
          <w:color w:val="auto"/>
          <w:sz w:val="21"/>
          <w:szCs w:val="21"/>
          <w:highlight w:val="none"/>
        </w:rPr>
        <w:t>报价应包含所有应向所有权人支付的专利权、商标权或其它知识产权的一切相关费用。</w:t>
      </w:r>
    </w:p>
    <w:p w14:paraId="40E5DD94">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4.2.</w:t>
      </w:r>
      <w:r>
        <w:rPr>
          <w:rFonts w:hint="eastAsia" w:asciiTheme="minorEastAsia" w:hAnsiTheme="minorEastAsia" w:eastAsiaTheme="minorEastAsia" w:cstheme="minorEastAsia"/>
          <w:color w:val="auto"/>
          <w:sz w:val="21"/>
          <w:szCs w:val="21"/>
          <w:highlight w:val="none"/>
        </w:rPr>
        <w:t>3</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系统软件、通用软件必须是具有在中国境内的合法使用权或版权的正版软件，涉及到第三方提出侵权或知识产权的起诉及支付版税等费用由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承担所有责任及费用。</w:t>
      </w:r>
    </w:p>
    <w:p w14:paraId="1D62552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的风险</w:t>
      </w:r>
    </w:p>
    <w:p w14:paraId="10E8EFA1">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应详细阅读</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中的全部内容和要求，按照</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的要求提交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文件，没有按照</w:t>
      </w:r>
      <w:r>
        <w:rPr>
          <w:rFonts w:hint="eastAsia" w:asciiTheme="minorEastAsia" w:hAnsiTheme="minorEastAsia" w:eastAsiaTheme="minorEastAsia" w:cstheme="minorEastAsia"/>
          <w:color w:val="auto"/>
          <w:sz w:val="21"/>
          <w:szCs w:val="21"/>
          <w:highlight w:val="none"/>
          <w:lang w:eastAsia="zh-CN"/>
        </w:rPr>
        <w:t>竞争性磋商文件</w:t>
      </w:r>
      <w:r>
        <w:rPr>
          <w:rFonts w:hint="eastAsia" w:asciiTheme="minorEastAsia" w:hAnsiTheme="minorEastAsia" w:eastAsiaTheme="minorEastAsia" w:cstheme="minorEastAsia"/>
          <w:color w:val="auto"/>
          <w:sz w:val="21"/>
          <w:szCs w:val="21"/>
          <w:highlight w:val="none"/>
        </w:rPr>
        <w:t>要求提供</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文件和资料导致的风险由</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承担,并对所提供的全部资料的真实性承担法律责任。</w:t>
      </w:r>
    </w:p>
    <w:p w14:paraId="4AAE1815">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4.3.</w:t>
      </w: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无论因何种原因导致本次采购活动终止致</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损失的，相关责任人均不承担任何责任。</w:t>
      </w:r>
    </w:p>
    <w:p w14:paraId="6099B552">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询问、质疑、投诉</w:t>
      </w:r>
    </w:p>
    <w:p w14:paraId="2D7EA811">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.1供应商询问</w:t>
      </w:r>
    </w:p>
    <w:p w14:paraId="27C56744">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zh-CN"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505CAD9">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.2供应商质疑</w:t>
      </w:r>
    </w:p>
    <w:p w14:paraId="513DE4C3">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.1提出质疑的供应商应当是参与所质疑项目采购活动的供应商。潜在供应商已依法获取其可质疑的</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文件的，可以对该文件提出质疑。</w:t>
      </w:r>
    </w:p>
    <w:p w14:paraId="69FFCDC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.2供应商认为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提出质疑，否则，采购人或者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不予受理：</w:t>
      </w:r>
    </w:p>
    <w:p w14:paraId="5F45F639">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5.2.2.1对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文件提出质疑的，质疑期限为供应商获得</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文件之日或者</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文件公告期限届满之日起计算。</w:t>
      </w:r>
    </w:p>
    <w:p w14:paraId="557C488C">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5.2.2.2对采购过程提出质疑的，质疑期限为各采购程序环节结束之日起计算。</w:t>
      </w:r>
    </w:p>
    <w:p w14:paraId="718E627E">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5.2.2.3对采购结果提出质疑的，质疑期限自采购结果公告期限届满之日起计算。</w:t>
      </w:r>
    </w:p>
    <w:p w14:paraId="5F2DA76A">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5.2.2.4对同一采购程序环节的质疑，供应商须一次性提出。</w:t>
      </w:r>
    </w:p>
    <w:p w14:paraId="2D801B9D">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w:t>
      </w:r>
      <w:r>
        <w:rPr>
          <w:rFonts w:hint="eastAsia" w:asciiTheme="minorEastAsia" w:hAnsiTheme="minorEastAsia" w:eastAsiaTheme="minorEastAsia" w:cstheme="minorEastAsia"/>
          <w:color w:val="auto"/>
          <w:sz w:val="21"/>
          <w:szCs w:val="21"/>
          <w:highlight w:val="none"/>
          <w:lang w:val="en-US" w:eastAsia="zh-CN"/>
        </w:rPr>
        <w:t>供应商提出质疑应当提交质疑函和必要的证明材料。质疑函应当包括下列内容：</w:t>
      </w:r>
    </w:p>
    <w:p w14:paraId="3681AA5B">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.2.3.1供应商的姓名或者名称、地址、邮编、联系人及联系电话；</w:t>
      </w:r>
    </w:p>
    <w:p w14:paraId="7E430F5B">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.2.3.2质疑项目的名称、编号；</w:t>
      </w:r>
    </w:p>
    <w:p w14:paraId="6F342FE0">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.2.3.3具体、明确的质疑事项和与质疑事项相关的请求；</w:t>
      </w:r>
    </w:p>
    <w:p w14:paraId="23AD0E1C">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.2.3.4事实依据；</w:t>
      </w:r>
    </w:p>
    <w:p w14:paraId="2B7D5982">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.2.3.5必要的法律依据；</w:t>
      </w:r>
    </w:p>
    <w:p w14:paraId="7EEB2E0C">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.2.3.6提出质疑的日期。</w:t>
      </w:r>
    </w:p>
    <w:p w14:paraId="4EB4F73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5.2.3.7对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文件提出质疑的需要提供在政采云平台获取</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文件的截图。</w:t>
      </w:r>
    </w:p>
    <w:p w14:paraId="2BBF7C3C">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供应商提交的质疑函需一式三份。供应商为自然人的，应当由本人签字；供应商为法人或者其他组织的，应当由法定代表人、主要负责人，或者其授权代表签字或者盖章，并加盖公章。</w:t>
      </w:r>
    </w:p>
    <w:p w14:paraId="6E45BB28">
      <w:pPr>
        <w:spacing w:line="360" w:lineRule="auto"/>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质疑函范本请到浙江政府采购网下载专区下载。</w:t>
      </w:r>
    </w:p>
    <w:p w14:paraId="5680C21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.4采购人或者</w:t>
      </w:r>
      <w:r>
        <w:rPr>
          <w:rFonts w:hint="eastAsia" w:asciiTheme="minorEastAsia" w:hAnsiTheme="minorEastAsia" w:eastAsiaTheme="minorEastAsia" w:cstheme="minorEastAsia"/>
          <w:color w:val="auto"/>
          <w:sz w:val="21"/>
          <w:szCs w:val="21"/>
          <w:highlight w:val="none"/>
        </w:rPr>
        <w:t>采购</w:t>
      </w:r>
      <w:r>
        <w:rPr>
          <w:rFonts w:hint="eastAsia" w:asciiTheme="minorEastAsia" w:hAnsiTheme="minorEastAsia" w:eastAsiaTheme="minorEastAsia" w:cstheme="minorEastAsia"/>
          <w:color w:val="auto"/>
          <w:sz w:val="21"/>
          <w:szCs w:val="21"/>
          <w:highlight w:val="none"/>
          <w:lang w:eastAsia="zh-CN"/>
        </w:rPr>
        <w:t>代理</w:t>
      </w:r>
      <w:r>
        <w:rPr>
          <w:rFonts w:hint="eastAsia" w:asciiTheme="minorEastAsia" w:hAnsiTheme="minorEastAsia" w:eastAsiaTheme="minorEastAsia" w:cstheme="minorEastAsia"/>
          <w:color w:val="auto"/>
          <w:sz w:val="21"/>
          <w:szCs w:val="21"/>
          <w:highlight w:val="none"/>
        </w:rPr>
        <w:t>机构</w:t>
      </w:r>
      <w:r>
        <w:rPr>
          <w:rFonts w:hint="eastAsia" w:asciiTheme="minorEastAsia" w:hAnsiTheme="minorEastAsia" w:eastAsiaTheme="minorEastAsia" w:cstheme="minorEastAsia"/>
          <w:color w:val="auto"/>
          <w:sz w:val="21"/>
          <w:szCs w:val="21"/>
          <w:highlight w:val="none"/>
          <w:lang w:val="en-US" w:eastAsia="zh-CN"/>
        </w:rPr>
        <w:t>应当在收到供应商的书面质疑后七个工作日内作出答复，并以书面形式通知质疑供应商和其他与质疑处理结果有利害关系的政府采购当事人，但答复的内容不得涉及商业秘密。</w:t>
      </w:r>
    </w:p>
    <w:p w14:paraId="7E35DBAD">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.5询问或者质疑事项可能影响采购结果的，采购人应当暂停签订合同，已经签订合同的，应当中止履行合同。</w:t>
      </w:r>
    </w:p>
    <w:p w14:paraId="5C593ED3">
      <w:pPr>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zh-CN" w:eastAsia="zh-CN"/>
        </w:rPr>
        <w:t>.3供应商投诉</w:t>
      </w:r>
    </w:p>
    <w:p w14:paraId="1834B6D6">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5.3.1质疑供应商对采购人、采购代理机构的答复不满意或者采购人、采购代理机构未在规定的时间内作出答复的，可以在答复期满后十五个工作日内向同级政府采购监督管理部门提出投诉。</w:t>
      </w:r>
    </w:p>
    <w:p w14:paraId="07CCA5B7">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w:t>
      </w:r>
      <w:r>
        <w:rPr>
          <w:rFonts w:hint="eastAsia" w:asciiTheme="minorEastAsia" w:hAnsiTheme="minorEastAsia" w:eastAsiaTheme="minorEastAsia" w:cstheme="minorEastAsia"/>
          <w:color w:val="auto"/>
          <w:sz w:val="21"/>
          <w:szCs w:val="21"/>
          <w:highlight w:val="none"/>
          <w:lang w:val="zh-CN" w:eastAsia="zh-CN"/>
        </w:rPr>
        <w:t>2</w:t>
      </w:r>
      <w:r>
        <w:rPr>
          <w:rFonts w:hint="eastAsia" w:asciiTheme="minorEastAsia" w:hAnsiTheme="minorEastAsia" w:eastAsiaTheme="minorEastAsia" w:cstheme="minorEastAsia"/>
          <w:color w:val="auto"/>
          <w:sz w:val="21"/>
          <w:szCs w:val="21"/>
          <w:highlight w:val="none"/>
          <w:lang w:val="en-US" w:eastAsia="zh-CN"/>
        </w:rPr>
        <w:t>供应商投诉的事项不得超出已质疑事项的范围，基于质疑答复内容提出的投诉事项除外。</w:t>
      </w:r>
    </w:p>
    <w:p w14:paraId="40821984">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5.3.3供应商投诉应当有明确的请求和必要的证明材料。</w:t>
      </w:r>
    </w:p>
    <w:p w14:paraId="2A6DE450">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5.3.4 以联合体形式参加政府采购活动的，其投诉应当由组成联合体的所有供应商共同提出。</w:t>
      </w:r>
    </w:p>
    <w:p w14:paraId="33808F3A">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5.3.5投诉人对集团纪检部门的投诉处理决定不服或集团纪检部门逾期未作处理的，可以向区国资段落中心反映。供应商或相关厉害关系人在采购过程中发现涉及违法违纪行为或造成国有资产损失的，可以向纪检监察部门和区国资管理中心反映。举报违法行为，应提供有效线索和证明材料。 </w:t>
      </w:r>
    </w:p>
    <w:p w14:paraId="3E4E9C3C">
      <w:pPr>
        <w:adjustRightInd/>
        <w:spacing w:line="360" w:lineRule="auto"/>
        <w:ind w:firstLine="420" w:firstLineChars="200"/>
        <w:jc w:val="both"/>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color w:val="auto"/>
          <w:sz w:val="21"/>
          <w:szCs w:val="21"/>
          <w:highlight w:val="none"/>
          <w:lang w:val="en-US" w:eastAsia="zh-CN"/>
        </w:rPr>
        <w:t>投诉书范本请到浙江企业采购信息服务网下载专区下载。</w:t>
      </w:r>
      <w:r>
        <w:rPr>
          <w:rFonts w:hint="eastAsia" w:asciiTheme="minorEastAsia" w:hAnsiTheme="minorEastAsia" w:eastAsiaTheme="minorEastAsia" w:cstheme="minorEastAsia"/>
          <w:b/>
          <w:color w:val="auto"/>
          <w:sz w:val="32"/>
          <w:szCs w:val="20"/>
          <w:highlight w:val="none"/>
        </w:rPr>
        <w:t xml:space="preserve">      </w:t>
      </w:r>
    </w:p>
    <w:p w14:paraId="30B681FA">
      <w:pP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br w:type="page"/>
      </w:r>
    </w:p>
    <w:p w14:paraId="7B837283">
      <w:pPr>
        <w:adjustRightInd/>
        <w:spacing w:line="360" w:lineRule="auto"/>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w:t>
      </w:r>
      <w:r>
        <w:rPr>
          <w:rFonts w:hint="eastAsia" w:asciiTheme="minorEastAsia" w:hAnsiTheme="minorEastAsia" w:eastAsiaTheme="minorEastAsia" w:cstheme="minorEastAsia"/>
          <w:b/>
          <w:color w:val="auto"/>
          <w:sz w:val="32"/>
          <w:szCs w:val="20"/>
          <w:highlight w:val="none"/>
          <w:lang w:eastAsia="zh-CN"/>
        </w:rPr>
        <w:t>竞争性磋商</w:t>
      </w:r>
      <w:r>
        <w:rPr>
          <w:rFonts w:hint="eastAsia" w:asciiTheme="minorEastAsia" w:hAnsiTheme="minorEastAsia" w:eastAsiaTheme="minorEastAsia" w:cstheme="minorEastAsia"/>
          <w:b/>
          <w:color w:val="auto"/>
          <w:sz w:val="32"/>
          <w:szCs w:val="20"/>
          <w:highlight w:val="none"/>
        </w:rPr>
        <w:t>文件的构成、澄清、修改</w:t>
      </w:r>
    </w:p>
    <w:p w14:paraId="741E852A">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文件的构成</w:t>
      </w:r>
    </w:p>
    <w:p w14:paraId="62C1A6EC">
      <w:pPr>
        <w:pStyle w:val="13"/>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 xml:space="preserve">.1 </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文件包括下列文件及附件：</w:t>
      </w:r>
    </w:p>
    <w:p w14:paraId="6CDD53AE">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6.1.1 竞争性磋商公告；</w:t>
      </w:r>
    </w:p>
    <w:p w14:paraId="494C5C62">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6.1.2 </w:t>
      </w:r>
      <w:r>
        <w:rPr>
          <w:rFonts w:hint="eastAsia" w:asciiTheme="minorEastAsia" w:hAnsiTheme="minorEastAsia" w:eastAsiaTheme="minorEastAsia" w:cstheme="minorEastAsia"/>
          <w:color w:val="auto"/>
          <w:sz w:val="21"/>
          <w:szCs w:val="21"/>
          <w:highlight w:val="none"/>
          <w:lang w:val="zh-CN" w:eastAsia="zh-CN"/>
        </w:rPr>
        <w:t>响应</w:t>
      </w:r>
      <w:r>
        <w:rPr>
          <w:rFonts w:hint="eastAsia" w:asciiTheme="minorEastAsia" w:hAnsiTheme="minorEastAsia" w:eastAsiaTheme="minorEastAsia" w:cstheme="minorEastAsia"/>
          <w:color w:val="auto"/>
          <w:sz w:val="21"/>
          <w:szCs w:val="21"/>
          <w:highlight w:val="none"/>
          <w:lang w:val="en-US" w:eastAsia="zh-CN"/>
        </w:rPr>
        <w:t>须知；</w:t>
      </w:r>
    </w:p>
    <w:p w14:paraId="493B4356">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6.1.3 采购需求；</w:t>
      </w:r>
    </w:p>
    <w:p w14:paraId="013933A8">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6.1.4 评审办法；</w:t>
      </w:r>
    </w:p>
    <w:p w14:paraId="05AFDC33">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6.1.5 拟签订的合同文本；</w:t>
      </w:r>
    </w:p>
    <w:p w14:paraId="1EFEF640">
      <w:pPr>
        <w:pStyle w:val="13"/>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6.1.6 应提交的有关格式范例。</w:t>
      </w:r>
    </w:p>
    <w:p w14:paraId="6105B942">
      <w:pP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6</w:t>
      </w:r>
      <w:r>
        <w:rPr>
          <w:rFonts w:hint="eastAsia" w:asciiTheme="minorEastAsia" w:hAnsiTheme="minorEastAsia" w:eastAsiaTheme="minorEastAsia" w:cstheme="minorEastAsia"/>
          <w:color w:val="auto"/>
          <w:sz w:val="21"/>
          <w:szCs w:val="21"/>
          <w:highlight w:val="none"/>
        </w:rPr>
        <w:t>.2与本项目有关的</w:t>
      </w:r>
      <w:r>
        <w:rPr>
          <w:rFonts w:hint="eastAsia" w:asciiTheme="minorEastAsia" w:hAnsiTheme="minorEastAsia" w:eastAsiaTheme="minorEastAsia" w:cstheme="minorEastAsia"/>
          <w:bCs/>
          <w:color w:val="auto"/>
          <w:sz w:val="21"/>
          <w:szCs w:val="21"/>
          <w:highlight w:val="none"/>
        </w:rPr>
        <w:t>澄清或者修改的内容为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bCs/>
          <w:color w:val="auto"/>
          <w:sz w:val="21"/>
          <w:szCs w:val="21"/>
          <w:highlight w:val="none"/>
        </w:rPr>
        <w:t>文件的组成部分</w:t>
      </w:r>
      <w:r>
        <w:rPr>
          <w:rFonts w:hint="eastAsia" w:asciiTheme="minorEastAsia" w:hAnsiTheme="minorEastAsia" w:eastAsiaTheme="minorEastAsia" w:cstheme="minorEastAsia"/>
          <w:color w:val="auto"/>
          <w:sz w:val="21"/>
          <w:szCs w:val="21"/>
          <w:highlight w:val="none"/>
        </w:rPr>
        <w:t>。</w:t>
      </w:r>
    </w:p>
    <w:p w14:paraId="33F632A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文件的澄清、修改</w:t>
      </w:r>
    </w:p>
    <w:p w14:paraId="6B12C829">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7.1 采购人对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文件进行必要的澄清或者修改的，在采购信息发布网站上发布更正公告。澄清或者修改的内容可能影响响应文件编制的，更正公告在响应截止时间至少5日前发出；不足5日的，顺延提交响应文件截止时间。</w:t>
      </w:r>
    </w:p>
    <w:p w14:paraId="7BF0688B">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7.2 更正公告为</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文件的组成部分，一经在网站发布，视同已通知所有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文件的收受人，不再采用其它方式传达相关信息, 若因未能及时了解到上述网站上发布的相关信息而导致的一切后果自行承担。</w:t>
      </w:r>
    </w:p>
    <w:p w14:paraId="429AC366">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7.3 如更正公告有重新发布电子</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应下载最新发布的电子</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文件制作响应文件。</w:t>
      </w:r>
    </w:p>
    <w:p w14:paraId="57CA9285">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7.4 已获取</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文件的潜在</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，若有问题需要澄清，应于响应截止时间前，以书面形式向采购代理机构提出。</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在规定的时间内未对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文件提出疑问、质疑或要求澄清的，将视其为无异议。对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lang w:val="en-US" w:eastAsia="zh-CN"/>
        </w:rPr>
        <w:t>文件中描述有歧义或前后不一致的地方，磋商小组有权进行评判，但对同一条款的评判应适用于每个</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lang w:val="en-US" w:eastAsia="zh-CN"/>
        </w:rPr>
        <w:t>。</w:t>
      </w:r>
    </w:p>
    <w:p w14:paraId="7274C321">
      <w:pPr>
        <w:adjustRightInd/>
        <w:spacing w:line="360" w:lineRule="auto"/>
        <w:jc w:val="center"/>
        <w:outlineLvl w:val="0"/>
        <w:rPr>
          <w:rFonts w:hint="eastAsia" w:asciiTheme="minorEastAsia" w:hAnsiTheme="minorEastAsia" w:eastAsiaTheme="minorEastAsia" w:cstheme="minorEastAsia"/>
          <w:b/>
          <w:color w:val="auto"/>
          <w:sz w:val="30"/>
          <w:szCs w:val="20"/>
          <w:highlight w:val="none"/>
          <w:lang w:eastAsia="zh-CN"/>
        </w:rPr>
      </w:pPr>
      <w:r>
        <w:rPr>
          <w:rFonts w:hint="eastAsia" w:asciiTheme="minorEastAsia" w:hAnsiTheme="minorEastAsia" w:eastAsiaTheme="minorEastAsia" w:cstheme="minorEastAsia"/>
          <w:b/>
          <w:color w:val="auto"/>
          <w:sz w:val="30"/>
          <w:szCs w:val="20"/>
          <w:highlight w:val="none"/>
        </w:rPr>
        <w:br w:type="page"/>
      </w:r>
      <w:r>
        <w:rPr>
          <w:rFonts w:hint="eastAsia" w:asciiTheme="minorEastAsia" w:hAnsiTheme="minorEastAsia" w:eastAsiaTheme="minorEastAsia" w:cstheme="minorEastAsia"/>
          <w:b/>
          <w:color w:val="auto"/>
          <w:sz w:val="30"/>
          <w:szCs w:val="20"/>
          <w:highlight w:val="none"/>
        </w:rPr>
        <w:t>三、</w:t>
      </w:r>
      <w:r>
        <w:rPr>
          <w:rFonts w:hint="eastAsia" w:asciiTheme="minorEastAsia" w:hAnsiTheme="minorEastAsia" w:eastAsiaTheme="minorEastAsia" w:cstheme="minorEastAsia"/>
          <w:b/>
          <w:color w:val="auto"/>
          <w:sz w:val="30"/>
          <w:szCs w:val="20"/>
          <w:highlight w:val="none"/>
          <w:lang w:eastAsia="zh-CN"/>
        </w:rPr>
        <w:t>响应</w:t>
      </w:r>
    </w:p>
    <w:p w14:paraId="46BAD0EF">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文件的语言</w:t>
      </w:r>
    </w:p>
    <w:p w14:paraId="0656CB7F">
      <w:pPr>
        <w:autoSpaceDE w:val="0"/>
        <w:autoSpaceDN w:val="0"/>
        <w:spacing w:line="360" w:lineRule="auto"/>
        <w:ind w:firstLine="420" w:firstLineChars="200"/>
        <w:rPr>
          <w:rFonts w:hint="eastAsia" w:asciiTheme="minorEastAsia" w:hAnsiTheme="minorEastAsia" w:eastAsiaTheme="minorEastAsia" w:cstheme="minorEastAsia"/>
          <w:color w:val="auto"/>
          <w:sz w:val="21"/>
          <w:szCs w:val="21"/>
          <w:highlight w:val="none"/>
          <w:lang w:val="zh-CN"/>
        </w:rPr>
      </w:pP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文件及</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与采购有关的来往通知、函件和文件均应使用中文。</w:t>
      </w:r>
    </w:p>
    <w:p w14:paraId="64B06CC5">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文件的组成</w:t>
      </w:r>
    </w:p>
    <w:p w14:paraId="0A31B0F9">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lang w:val="en-US" w:eastAsia="zh-CN"/>
        </w:rPr>
        <w:t>9</w:t>
      </w:r>
      <w:r>
        <w:rPr>
          <w:rFonts w:hint="eastAsia" w:asciiTheme="minorEastAsia" w:hAnsiTheme="minorEastAsia" w:eastAsiaTheme="minorEastAsia" w:cstheme="minorEastAsia"/>
          <w:b/>
          <w:bCs/>
          <w:color w:val="auto"/>
          <w:sz w:val="21"/>
          <w:szCs w:val="21"/>
          <w:highlight w:val="none"/>
        </w:rPr>
        <w:t>.1</w:t>
      </w:r>
      <w:r>
        <w:rPr>
          <w:rFonts w:hint="eastAsia" w:asciiTheme="minorEastAsia" w:hAnsiTheme="minorEastAsia" w:eastAsiaTheme="minorEastAsia" w:cstheme="minorEastAsia"/>
          <w:b/>
          <w:bCs/>
          <w:color w:val="auto"/>
          <w:sz w:val="21"/>
          <w:szCs w:val="21"/>
          <w:highlight w:val="none"/>
          <w:lang w:val="en-US" w:eastAsia="zh-CN"/>
        </w:rPr>
        <w:t xml:space="preserve"> </w:t>
      </w:r>
      <w:r>
        <w:rPr>
          <w:rFonts w:hint="eastAsia" w:asciiTheme="minorEastAsia" w:hAnsiTheme="minorEastAsia" w:eastAsiaTheme="minorEastAsia" w:cstheme="minorEastAsia"/>
          <w:b/>
          <w:bCs/>
          <w:color w:val="auto"/>
          <w:sz w:val="21"/>
          <w:szCs w:val="21"/>
          <w:highlight w:val="none"/>
        </w:rPr>
        <w:t>资格文件：</w:t>
      </w:r>
    </w:p>
    <w:p w14:paraId="71ED320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9.1.1有效的企业法人营业执照（或事业法人登记证）、其他组织（个体工商户）的营业执照或者民办非企业单位登记证书；</w:t>
      </w:r>
    </w:p>
    <w:p w14:paraId="123F7B12">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9.1.2符合参加政府采购活动应当具备的一般条件的承诺函(格式见第六部分)；</w:t>
      </w:r>
    </w:p>
    <w:p w14:paraId="4FB602C6">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9.1.3落实政府采购政策需满足的资格要求（如适用）；</w:t>
      </w:r>
    </w:p>
    <w:p w14:paraId="1F060D64">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9.1.4本项目的特定资格要求。</w:t>
      </w:r>
    </w:p>
    <w:p w14:paraId="661C2158">
      <w:pPr>
        <w:snapToGrid w:val="0"/>
        <w:spacing w:line="360" w:lineRule="auto"/>
        <w:ind w:firstLine="420" w:firstLineChars="200"/>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9.1.5其他资料（如有）</w:t>
      </w:r>
    </w:p>
    <w:p w14:paraId="28C92110">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lang w:val="zh-CN" w:eastAsia="zh-CN"/>
        </w:rPr>
      </w:pPr>
      <w:r>
        <w:rPr>
          <w:rFonts w:hint="eastAsia" w:asciiTheme="minorEastAsia" w:hAnsiTheme="minorEastAsia" w:eastAsiaTheme="minorEastAsia" w:cstheme="minorEastAsia"/>
          <w:b/>
          <w:bCs/>
          <w:color w:val="auto"/>
          <w:sz w:val="21"/>
          <w:szCs w:val="21"/>
          <w:highlight w:val="none"/>
          <w:lang w:val="en-US" w:eastAsia="zh-CN"/>
        </w:rPr>
        <w:t>9</w:t>
      </w:r>
      <w:r>
        <w:rPr>
          <w:rFonts w:hint="eastAsia" w:asciiTheme="minorEastAsia" w:hAnsiTheme="minorEastAsia" w:eastAsiaTheme="minorEastAsia" w:cstheme="minorEastAsia"/>
          <w:b/>
          <w:bCs/>
          <w:color w:val="auto"/>
          <w:sz w:val="21"/>
          <w:szCs w:val="21"/>
          <w:highlight w:val="none"/>
          <w:lang w:val="zh-CN" w:eastAsia="zh-CN"/>
        </w:rPr>
        <w:t>.</w:t>
      </w:r>
      <w:r>
        <w:rPr>
          <w:rFonts w:hint="eastAsia" w:asciiTheme="minorEastAsia" w:hAnsiTheme="minorEastAsia" w:eastAsiaTheme="minorEastAsia" w:cstheme="minorEastAsia"/>
          <w:b/>
          <w:bCs/>
          <w:color w:val="auto"/>
          <w:sz w:val="21"/>
          <w:szCs w:val="21"/>
          <w:highlight w:val="none"/>
          <w:lang w:val="en-US" w:eastAsia="zh-CN"/>
        </w:rPr>
        <w:t>2</w:t>
      </w:r>
      <w:r>
        <w:rPr>
          <w:rFonts w:hint="eastAsia" w:asciiTheme="minorEastAsia" w:hAnsiTheme="minorEastAsia" w:eastAsiaTheme="minorEastAsia" w:cstheme="minorEastAsia"/>
          <w:b/>
          <w:bCs/>
          <w:color w:val="auto"/>
          <w:sz w:val="21"/>
          <w:szCs w:val="21"/>
          <w:highlight w:val="none"/>
          <w:lang w:val="zh-CN" w:eastAsia="zh-CN"/>
        </w:rPr>
        <w:t xml:space="preserve"> </w:t>
      </w:r>
      <w:r>
        <w:rPr>
          <w:rFonts w:hint="eastAsia" w:asciiTheme="minorEastAsia" w:hAnsiTheme="minorEastAsia" w:eastAsiaTheme="minorEastAsia" w:cstheme="minorEastAsia"/>
          <w:b/>
          <w:bCs/>
          <w:color w:val="auto"/>
          <w:sz w:val="21"/>
          <w:szCs w:val="21"/>
          <w:highlight w:val="none"/>
          <w:lang w:val="en-US" w:eastAsia="zh-CN"/>
        </w:rPr>
        <w:t>商务技术</w:t>
      </w:r>
      <w:r>
        <w:rPr>
          <w:rFonts w:hint="eastAsia" w:asciiTheme="minorEastAsia" w:hAnsiTheme="minorEastAsia" w:eastAsiaTheme="minorEastAsia" w:cstheme="minorEastAsia"/>
          <w:b/>
          <w:bCs/>
          <w:color w:val="auto"/>
          <w:sz w:val="21"/>
          <w:szCs w:val="21"/>
          <w:highlight w:val="none"/>
          <w:lang w:val="zh-CN" w:eastAsia="zh-CN"/>
        </w:rPr>
        <w:t>文件：</w:t>
      </w:r>
    </w:p>
    <w:p w14:paraId="0D3726C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 评分索引表；</w:t>
      </w:r>
    </w:p>
    <w:p w14:paraId="707B238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9.2.2符合性自查表；</w:t>
      </w:r>
    </w:p>
    <w:p w14:paraId="5A89A7B7">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9.2.3 磋商函；</w:t>
      </w:r>
      <w:r>
        <w:rPr>
          <w:rFonts w:hint="eastAsia" w:asciiTheme="minorEastAsia" w:hAnsiTheme="minorEastAsia" w:eastAsiaTheme="minorEastAsia" w:cstheme="minorEastAsia"/>
          <w:color w:val="auto"/>
          <w:sz w:val="21"/>
          <w:szCs w:val="21"/>
          <w:highlight w:val="none"/>
          <w:lang w:val="zh-CN" w:eastAsia="zh-CN"/>
        </w:rPr>
        <w:t xml:space="preserve"> </w:t>
      </w:r>
    </w:p>
    <w:p w14:paraId="7FFBDCCB">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9.2.4 授权委托书或法定代表人（单位负责人、自然人本人）身份证明；</w:t>
      </w:r>
    </w:p>
    <w:p w14:paraId="02857E51">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9.2.5 供应商情况表；</w:t>
      </w:r>
    </w:p>
    <w:p w14:paraId="106F812B">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9.2.6 距采购人最近或者能为本项目提供最优服务的网点情况表；</w:t>
      </w:r>
    </w:p>
    <w:p w14:paraId="6DAB32C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w:t>
      </w:r>
      <w:r>
        <w:rPr>
          <w:rFonts w:hint="eastAsia" w:asciiTheme="minorEastAsia" w:hAnsiTheme="minorEastAsia" w:eastAsiaTheme="minorEastAsia" w:cstheme="minorEastAsia"/>
          <w:color w:val="auto"/>
          <w:sz w:val="21"/>
          <w:szCs w:val="21"/>
          <w:highlight w:val="none"/>
          <w:lang w:val="zh-CN" w:eastAsia="zh-CN"/>
        </w:rPr>
        <w:t>.</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lang w:val="zh-CN" w:eastAsia="zh-CN"/>
        </w:rPr>
        <w:t>.</w:t>
      </w:r>
      <w:r>
        <w:rPr>
          <w:rFonts w:hint="eastAsia" w:asciiTheme="minorEastAsia" w:hAnsiTheme="minorEastAsia" w:eastAsiaTheme="minorEastAsia" w:cstheme="minorEastAsia"/>
          <w:color w:val="auto"/>
          <w:sz w:val="21"/>
          <w:szCs w:val="21"/>
          <w:highlight w:val="none"/>
          <w:lang w:val="en-US" w:eastAsia="zh-CN"/>
        </w:rPr>
        <w:t>7 评标标准相应的商务技术资料；</w:t>
      </w:r>
    </w:p>
    <w:p w14:paraId="0613E65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9.2.8 商务响应表；</w:t>
      </w:r>
    </w:p>
    <w:p w14:paraId="36B1F055">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9.2.9 技术响应表；</w:t>
      </w:r>
    </w:p>
    <w:p w14:paraId="322F35C6">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9.2.10 同类业绩情况一览表；</w:t>
      </w:r>
    </w:p>
    <w:p w14:paraId="028F9F54">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zh-CN" w:eastAsia="zh-CN"/>
        </w:rPr>
      </w:pPr>
      <w:r>
        <w:rPr>
          <w:rFonts w:hint="eastAsia" w:asciiTheme="minorEastAsia" w:hAnsiTheme="minorEastAsia" w:eastAsiaTheme="minorEastAsia" w:cstheme="minorEastAsia"/>
          <w:color w:val="auto"/>
          <w:sz w:val="21"/>
          <w:szCs w:val="21"/>
          <w:highlight w:val="none"/>
          <w:lang w:val="en-US" w:eastAsia="zh-CN"/>
        </w:rPr>
        <w:t>9.2.11</w:t>
      </w:r>
      <w:r>
        <w:rPr>
          <w:rFonts w:hint="eastAsia" w:asciiTheme="minorEastAsia" w:hAnsiTheme="minorEastAsia" w:eastAsiaTheme="minorEastAsia" w:cstheme="minorEastAsia"/>
          <w:color w:val="auto"/>
          <w:sz w:val="21"/>
          <w:szCs w:val="21"/>
          <w:highlight w:val="none"/>
          <w:lang w:val="zh-CN" w:eastAsia="zh-CN"/>
        </w:rPr>
        <w:t>政府采购供应商廉洁自律承诺书；</w:t>
      </w:r>
    </w:p>
    <w:p w14:paraId="7D742551">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9.2.12其他资料（如有）。</w:t>
      </w:r>
    </w:p>
    <w:p w14:paraId="6350FFEF">
      <w:pPr>
        <w:snapToGrid w:val="0"/>
        <w:spacing w:line="360" w:lineRule="auto"/>
        <w:ind w:firstLine="422" w:firstLineChars="200"/>
        <w:rPr>
          <w:rFonts w:hint="eastAsia" w:asciiTheme="minorEastAsia" w:hAnsiTheme="minorEastAsia" w:eastAsiaTheme="minorEastAsia" w:cstheme="minorEastAsia"/>
          <w:b/>
          <w:bCs/>
          <w:color w:val="auto"/>
          <w:sz w:val="21"/>
          <w:szCs w:val="21"/>
          <w:highlight w:val="none"/>
          <w:u w:val="single"/>
          <w:lang w:val="zh-CN"/>
        </w:rPr>
      </w:pPr>
      <w:r>
        <w:rPr>
          <w:rFonts w:hint="eastAsia" w:asciiTheme="minorEastAsia" w:hAnsiTheme="minorEastAsia" w:eastAsiaTheme="minorEastAsia" w:cstheme="minorEastAsia"/>
          <w:b/>
          <w:bCs/>
          <w:color w:val="auto"/>
          <w:kern w:val="0"/>
          <w:sz w:val="21"/>
          <w:szCs w:val="21"/>
          <w:highlight w:val="none"/>
          <w:lang w:val="en-US" w:eastAsia="zh-CN"/>
        </w:rPr>
        <w:t>9</w:t>
      </w:r>
      <w:r>
        <w:rPr>
          <w:rFonts w:hint="eastAsia" w:asciiTheme="minorEastAsia" w:hAnsiTheme="minorEastAsia" w:eastAsiaTheme="minorEastAsia" w:cstheme="minorEastAsia"/>
          <w:b/>
          <w:bCs/>
          <w:color w:val="auto"/>
          <w:kern w:val="0"/>
          <w:sz w:val="21"/>
          <w:szCs w:val="21"/>
          <w:highlight w:val="none"/>
          <w:lang w:val="zh-CN"/>
        </w:rPr>
        <w:t>.</w:t>
      </w:r>
      <w:r>
        <w:rPr>
          <w:rFonts w:hint="eastAsia" w:asciiTheme="minorEastAsia" w:hAnsiTheme="minorEastAsia" w:eastAsiaTheme="minorEastAsia" w:cstheme="minorEastAsia"/>
          <w:b/>
          <w:bCs/>
          <w:color w:val="auto"/>
          <w:kern w:val="0"/>
          <w:sz w:val="21"/>
          <w:szCs w:val="21"/>
          <w:highlight w:val="none"/>
        </w:rPr>
        <w:t>3</w:t>
      </w:r>
      <w:r>
        <w:rPr>
          <w:rFonts w:hint="eastAsia" w:asciiTheme="minorEastAsia" w:hAnsiTheme="minorEastAsia" w:eastAsiaTheme="minorEastAsia" w:cstheme="minorEastAsia"/>
          <w:b/>
          <w:bCs/>
          <w:color w:val="auto"/>
          <w:kern w:val="0"/>
          <w:sz w:val="21"/>
          <w:szCs w:val="21"/>
          <w:highlight w:val="none"/>
          <w:lang w:val="en-US" w:eastAsia="zh-CN"/>
        </w:rPr>
        <w:t xml:space="preserve"> </w:t>
      </w:r>
      <w:r>
        <w:rPr>
          <w:rFonts w:hint="eastAsia" w:asciiTheme="minorEastAsia" w:hAnsiTheme="minorEastAsia" w:eastAsiaTheme="minorEastAsia" w:cstheme="minorEastAsia"/>
          <w:b/>
          <w:bCs/>
          <w:color w:val="auto"/>
          <w:sz w:val="21"/>
          <w:szCs w:val="21"/>
          <w:highlight w:val="none"/>
        </w:rPr>
        <w:t xml:space="preserve">报价文件： </w:t>
      </w:r>
    </w:p>
    <w:p w14:paraId="5BE67A4D">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9.3.1 报价一览表；</w:t>
      </w:r>
    </w:p>
    <w:p w14:paraId="6E88D86C">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9.3.2 中小企业声明函（如有）；</w:t>
      </w:r>
    </w:p>
    <w:p w14:paraId="1D3E934C">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9.3.3残疾人福利性单位声明函（如有）；</w:t>
      </w:r>
    </w:p>
    <w:p w14:paraId="76593AD0">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9.3.4监狱企业的证明文件（如有）；</w:t>
      </w:r>
    </w:p>
    <w:p w14:paraId="55693773">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9.3.5 政府采购统计基础信息表；</w:t>
      </w:r>
    </w:p>
    <w:p w14:paraId="0977357C">
      <w:pPr>
        <w:pStyle w:val="32"/>
        <w:rPr>
          <w:rFonts w:hint="default"/>
          <w:color w:val="auto"/>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9.3.6其他资料（如有）</w:t>
      </w:r>
    </w:p>
    <w:p w14:paraId="75FB25A3">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响应文件的编制</w:t>
      </w:r>
    </w:p>
    <w:p w14:paraId="4FA59DF8">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.1响应文件分为资格文件、商务技术文件、报价文件三部分。各供应商在编制响应文件时请按照竞争性磋商文件第六部分规定的格式进行。</w:t>
      </w:r>
      <w:r>
        <w:rPr>
          <w:rFonts w:hint="eastAsia" w:asciiTheme="minorEastAsia" w:hAnsiTheme="minorEastAsia" w:eastAsiaTheme="minorEastAsia" w:cstheme="minorEastAsia"/>
          <w:color w:val="auto"/>
          <w:kern w:val="0"/>
          <w:sz w:val="21"/>
          <w:szCs w:val="21"/>
          <w:highlight w:val="none"/>
          <w:lang w:val="en-US" w:eastAsia="zh-CN"/>
        </w:rPr>
        <w:t>未有规定格式的资料，</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rPr>
        <w:t>应自行编制，但至少须包含9.响应文件组成中的内容。</w:t>
      </w:r>
      <w:r>
        <w:rPr>
          <w:rFonts w:hint="eastAsia" w:asciiTheme="minorEastAsia" w:hAnsiTheme="minorEastAsia" w:eastAsiaTheme="minorEastAsia" w:cstheme="minorEastAsia"/>
          <w:color w:val="auto"/>
          <w:kern w:val="0"/>
          <w:sz w:val="21"/>
          <w:szCs w:val="21"/>
          <w:highlight w:val="none"/>
          <w:lang w:val="zh-CN"/>
        </w:rPr>
        <w:t>混乱的编排导致响应文件被误读或磋商小组查找不到有效文件是供应商的风险。</w:t>
      </w:r>
    </w:p>
    <w:p w14:paraId="7BA1DAC5">
      <w:pPr>
        <w:spacing w:line="360" w:lineRule="auto"/>
        <w:ind w:firstLine="420" w:firstLineChars="200"/>
        <w:rPr>
          <w:rFonts w:hint="eastAsia" w:asciiTheme="minorEastAsia" w:hAnsiTheme="minorEastAsia" w:eastAsiaTheme="minorEastAsia" w:cstheme="minorEastAsia"/>
          <w:color w:val="auto"/>
          <w:kern w:val="0"/>
          <w:sz w:val="21"/>
          <w:szCs w:val="21"/>
          <w:highlight w:val="none"/>
          <w:lang w:val="zh-CN"/>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.2供应商进行电子投标应安装客户端软件—“</w:t>
      </w:r>
      <w:r>
        <w:rPr>
          <w:rFonts w:hint="eastAsia" w:ascii="宋体" w:hAnsi="宋体" w:cs="宋体"/>
          <w:color w:val="auto"/>
          <w:sz w:val="21"/>
          <w:szCs w:val="21"/>
          <w:highlight w:val="none"/>
          <w:lang w:val="en-US" w:eastAsia="zh-CN"/>
        </w:rPr>
        <w:t>乐</w:t>
      </w:r>
      <w:r>
        <w:rPr>
          <w:rFonts w:hint="eastAsia" w:asciiTheme="minorEastAsia" w:hAnsiTheme="minorEastAsia" w:eastAsiaTheme="minorEastAsia" w:cstheme="minorEastAsia"/>
          <w:color w:val="auto"/>
          <w:kern w:val="0"/>
          <w:sz w:val="21"/>
          <w:szCs w:val="21"/>
          <w:highlight w:val="none"/>
          <w:lang w:val="zh-CN"/>
        </w:rPr>
        <w:t>采云电子交易客户端</w:t>
      </w:r>
      <w:r>
        <w:rPr>
          <w:rFonts w:hint="eastAsia" w:cs="仿宋" w:asciiTheme="majorEastAsia" w:hAnsiTheme="majorEastAsia" w:eastAsiaTheme="majorEastAsia"/>
          <w:kern w:val="0"/>
          <w:sz w:val="24"/>
          <w:lang w:val="zh-CN"/>
        </w:rPr>
        <w:t>（</w:t>
      </w:r>
      <w:r>
        <w:rPr>
          <w:rFonts w:hint="eastAsia" w:asciiTheme="minorEastAsia" w:hAnsiTheme="minorEastAsia" w:eastAsiaTheme="minorEastAsia" w:cstheme="minorEastAsia"/>
          <w:color w:val="auto"/>
          <w:kern w:val="0"/>
          <w:sz w:val="21"/>
          <w:szCs w:val="21"/>
          <w:highlight w:val="none"/>
          <w:lang w:val="en-US" w:eastAsia="zh-CN"/>
        </w:rPr>
        <w:t>下载地址：https://b.zhengcaiyun.cn/luban/category?parentId=550045&amp;childrenCode=qicaiCategory17&amp;utm=luban.luban-PC-39026.959-pc-websitegroup-navBar-front.8.ebdec73052c711ef9ade896d008b9248</w:t>
      </w:r>
      <w:r>
        <w:rPr>
          <w:rFonts w:hint="eastAsia" w:asciiTheme="minorEastAsia" w:hAnsiTheme="minorEastAsia" w:eastAsiaTheme="minorEastAsia" w:cstheme="minorEastAsia"/>
          <w:color w:val="auto"/>
          <w:kern w:val="0"/>
          <w:sz w:val="21"/>
          <w:szCs w:val="21"/>
          <w:highlight w:val="none"/>
          <w:lang w:val="zh-CN"/>
        </w:rPr>
        <w:t>）”，并按照竞争性磋商文件和电子交易平台的要求编制并加密响应文件。供应商未按规定加密的响应文件，电子交易平台将拒收并提示。</w:t>
      </w:r>
    </w:p>
    <w:p w14:paraId="365A4BFB">
      <w:pPr>
        <w:spacing w:line="360" w:lineRule="auto"/>
        <w:ind w:firstLine="420" w:firstLineChars="200"/>
        <w:rPr>
          <w:rFonts w:hint="eastAsia" w:asciiTheme="minorEastAsia" w:hAnsiTheme="minorEastAsia" w:eastAsiaTheme="minorEastAsia" w:cstheme="minorEastAsia"/>
          <w:color w:val="auto"/>
          <w:kern w:val="0"/>
          <w:sz w:val="21"/>
          <w:szCs w:val="21"/>
          <w:highlight w:val="none"/>
          <w:lang w:val="zh-CN"/>
        </w:rPr>
      </w:pPr>
      <w:r>
        <w:rPr>
          <w:rFonts w:hint="eastAsia" w:asciiTheme="minorEastAsia" w:hAnsiTheme="minorEastAsia" w:eastAsiaTheme="minorEastAsia" w:cstheme="minorEastAsia"/>
          <w:color w:val="auto"/>
          <w:kern w:val="0"/>
          <w:sz w:val="21"/>
          <w:szCs w:val="21"/>
          <w:highlight w:val="none"/>
          <w:lang w:val="zh-CN"/>
        </w:rPr>
        <w:t>1</w:t>
      </w:r>
      <w:r>
        <w:rPr>
          <w:rFonts w:hint="eastAsia" w:asciiTheme="minorEastAsia" w:hAnsiTheme="minorEastAsia" w:eastAsiaTheme="minorEastAsia" w:cstheme="minorEastAsia"/>
          <w:color w:val="auto"/>
          <w:kern w:val="0"/>
          <w:sz w:val="21"/>
          <w:szCs w:val="21"/>
          <w:highlight w:val="none"/>
          <w:lang w:val="en-US" w:eastAsia="zh-CN"/>
        </w:rPr>
        <w:t>0</w:t>
      </w:r>
      <w:r>
        <w:rPr>
          <w:rFonts w:hint="eastAsia" w:asciiTheme="minorEastAsia" w:hAnsiTheme="minorEastAsia" w:eastAsiaTheme="minorEastAsia" w:cstheme="minorEastAsia"/>
          <w:color w:val="auto"/>
          <w:kern w:val="0"/>
          <w:sz w:val="21"/>
          <w:szCs w:val="21"/>
          <w:highlight w:val="none"/>
          <w:lang w:val="zh-CN"/>
        </w:rPr>
        <w:t>.3使用“</w:t>
      </w:r>
      <w:r>
        <w:rPr>
          <w:rFonts w:hint="eastAsia" w:asciiTheme="minorEastAsia" w:hAnsiTheme="minorEastAsia" w:eastAsiaTheme="minorEastAsia" w:cstheme="minorEastAsia"/>
          <w:color w:val="auto"/>
          <w:kern w:val="0"/>
          <w:sz w:val="21"/>
          <w:szCs w:val="21"/>
          <w:highlight w:val="none"/>
          <w:lang w:val="en-US" w:eastAsia="zh-CN"/>
        </w:rPr>
        <w:t>乐</w:t>
      </w:r>
      <w:r>
        <w:rPr>
          <w:rFonts w:hint="eastAsia" w:asciiTheme="minorEastAsia" w:hAnsiTheme="minorEastAsia" w:eastAsiaTheme="minorEastAsia" w:cstheme="minorEastAsia"/>
          <w:color w:val="auto"/>
          <w:kern w:val="0"/>
          <w:sz w:val="21"/>
          <w:szCs w:val="21"/>
          <w:highlight w:val="none"/>
          <w:lang w:val="zh-CN"/>
        </w:rPr>
        <w:t>采云电子交易客户端”需要提前申领CA数字证书，申领流程请自行前往“浙江</w:t>
      </w:r>
      <w:r>
        <w:rPr>
          <w:rFonts w:hint="eastAsia" w:asciiTheme="minorEastAsia" w:hAnsiTheme="minorEastAsia" w:eastAsiaTheme="minorEastAsia" w:cstheme="minorEastAsia"/>
          <w:color w:val="auto"/>
          <w:kern w:val="0"/>
          <w:sz w:val="21"/>
          <w:szCs w:val="21"/>
          <w:highlight w:val="none"/>
          <w:lang w:val="en-US" w:eastAsia="zh-CN"/>
        </w:rPr>
        <w:t>企业</w:t>
      </w:r>
      <w:r>
        <w:rPr>
          <w:rFonts w:hint="eastAsia" w:asciiTheme="minorEastAsia" w:hAnsiTheme="minorEastAsia" w:eastAsiaTheme="minorEastAsia" w:cstheme="minorEastAsia"/>
          <w:color w:val="auto"/>
          <w:kern w:val="0"/>
          <w:sz w:val="21"/>
          <w:szCs w:val="21"/>
          <w:highlight w:val="none"/>
          <w:lang w:val="zh-CN"/>
        </w:rPr>
        <w:t>采购</w:t>
      </w:r>
      <w:r>
        <w:rPr>
          <w:rFonts w:hint="eastAsia" w:asciiTheme="minorEastAsia" w:hAnsiTheme="minorEastAsia" w:eastAsiaTheme="minorEastAsia" w:cstheme="minorEastAsia"/>
          <w:color w:val="auto"/>
          <w:kern w:val="0"/>
          <w:sz w:val="21"/>
          <w:szCs w:val="21"/>
          <w:highlight w:val="none"/>
          <w:lang w:val="en-US" w:eastAsia="zh-CN"/>
        </w:rPr>
        <w:t>信息服务</w:t>
      </w:r>
      <w:r>
        <w:rPr>
          <w:rFonts w:hint="eastAsia" w:asciiTheme="minorEastAsia" w:hAnsiTheme="minorEastAsia" w:eastAsiaTheme="minorEastAsia" w:cstheme="minorEastAsia"/>
          <w:color w:val="auto"/>
          <w:kern w:val="0"/>
          <w:sz w:val="21"/>
          <w:szCs w:val="21"/>
          <w:highlight w:val="none"/>
          <w:lang w:val="zh-CN"/>
        </w:rPr>
        <w:t>网-下载专区-电子交易客户端-CA驱动和申领流程”进行查阅。</w:t>
      </w:r>
    </w:p>
    <w:p w14:paraId="5FD757EB">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投</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文件的签署、盖章</w:t>
      </w:r>
    </w:p>
    <w:p w14:paraId="2836212B">
      <w:pPr>
        <w:pStyle w:val="51"/>
        <w:snapToGrid w:val="0"/>
        <w:spacing w:before="0" w:line="360" w:lineRule="auto"/>
        <w:ind w:firstLine="48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文件第六部分格式要求进行签署、盖章。</w:t>
      </w:r>
      <w:r>
        <w:rPr>
          <w:rFonts w:hint="eastAsia" w:asciiTheme="minorEastAsia" w:hAnsiTheme="minorEastAsia" w:eastAsiaTheme="minorEastAsia" w:cstheme="minorEastAsia"/>
          <w:b/>
          <w:color w:val="auto"/>
          <w:sz w:val="21"/>
          <w:szCs w:val="21"/>
          <w:highlight w:val="none"/>
        </w:rPr>
        <w:t>▲</w:t>
      </w:r>
      <w:r>
        <w:rPr>
          <w:rFonts w:hint="eastAsia" w:asciiTheme="minorEastAsia" w:hAnsiTheme="minorEastAsia" w:eastAsiaTheme="minorEastAsia" w:cstheme="minorEastAsia"/>
          <w:b/>
          <w:color w:val="auto"/>
          <w:sz w:val="21"/>
          <w:szCs w:val="21"/>
          <w:highlight w:val="none"/>
          <w:lang w:eastAsia="zh-CN"/>
        </w:rPr>
        <w:t>供应商</w:t>
      </w:r>
      <w:r>
        <w:rPr>
          <w:rFonts w:hint="eastAsia" w:asciiTheme="minorEastAsia" w:hAnsiTheme="minorEastAsia" w:eastAsiaTheme="minorEastAsia" w:cstheme="minorEastAsia"/>
          <w:b/>
          <w:color w:val="auto"/>
          <w:sz w:val="21"/>
          <w:szCs w:val="21"/>
          <w:highlight w:val="none"/>
        </w:rPr>
        <w:t>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文件未按照</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文件要求签署、盖章的，其</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无效</w:t>
      </w:r>
      <w:r>
        <w:rPr>
          <w:rFonts w:hint="eastAsia" w:asciiTheme="minorEastAsia" w:hAnsiTheme="minorEastAsia" w:eastAsiaTheme="minorEastAsia" w:cstheme="minorEastAsia"/>
          <w:color w:val="auto"/>
          <w:sz w:val="21"/>
          <w:szCs w:val="21"/>
          <w:highlight w:val="none"/>
        </w:rPr>
        <w:t>。</w:t>
      </w:r>
    </w:p>
    <w:p w14:paraId="10F5A4CD">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.2为确保网上操作合法、有效和安全，</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应当在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截止时间前完成在“政府采购云平台”的身份认证，确保在电子投标过程中能够对相关数据电文进行加密和使用电子签名。</w:t>
      </w:r>
    </w:p>
    <w:p w14:paraId="0EF94A25">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.3</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文件对</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文件签署、盖章的要求适用于电子签名。</w:t>
      </w:r>
    </w:p>
    <w:p w14:paraId="2FACE19C">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响应文件的提交、补充、修改、撤回</w:t>
      </w:r>
    </w:p>
    <w:p w14:paraId="2F3562B0">
      <w:pPr>
        <w:pStyle w:val="51"/>
        <w:spacing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.1 供应商应当在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截止时间前完成</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文件的传输递交，并可以补充、修改或者撤回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文件。补充或者修改</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文件的，应当先行撤回原文件，补充、修改后重新传输递交。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截止时间前未完成传输的，视为撤回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截止时间后递交的</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文件，电子交易平台将拒收。</w:t>
      </w:r>
    </w:p>
    <w:p w14:paraId="5D9C748C">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.2电子交易平台收到</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文件，将妥善保存并即时向供应商发出确认回执通知。在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截止时间前，除供应商补充、修改或者撤回</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文件外，任何单位和个人不得解密或提取</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p>
    <w:p w14:paraId="6E66589A">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.3采购人、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可以视情况延长</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文件提交的截止时间。在上述情况下，</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与</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以前在</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截止期方面的全部权利、责任和义务，将适用于延长至新的</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截止期。</w:t>
      </w:r>
    </w:p>
    <w:p w14:paraId="396AFC5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响应有效期</w:t>
      </w:r>
    </w:p>
    <w:p w14:paraId="2A4A1BE1">
      <w:pPr>
        <w:spacing w:line="360" w:lineRule="auto"/>
        <w:ind w:firstLine="420" w:firstLineChars="200"/>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有效期为从提交</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文件的截止之日起90天。▲</w:t>
      </w:r>
      <w:r>
        <w:rPr>
          <w:rFonts w:hint="eastAsia" w:asciiTheme="minorEastAsia" w:hAnsiTheme="minorEastAsia" w:eastAsiaTheme="minorEastAsia" w:cstheme="minorEastAsia"/>
          <w:b/>
          <w:color w:val="auto"/>
          <w:sz w:val="21"/>
          <w:szCs w:val="21"/>
          <w:highlight w:val="none"/>
          <w:lang w:eastAsia="zh-CN"/>
        </w:rPr>
        <w:t>供应商</w:t>
      </w:r>
      <w:r>
        <w:rPr>
          <w:rFonts w:hint="eastAsia" w:asciiTheme="minorEastAsia" w:hAnsiTheme="minorEastAsia" w:eastAsiaTheme="minorEastAsia" w:cstheme="minorEastAsia"/>
          <w:b/>
          <w:color w:val="auto"/>
          <w:sz w:val="21"/>
          <w:szCs w:val="21"/>
          <w:highlight w:val="none"/>
        </w:rPr>
        <w:t>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文件中承诺的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有效期少于</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文件中载明的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有效期的，</w:t>
      </w:r>
      <w:r>
        <w:rPr>
          <w:rFonts w:hint="eastAsia" w:asciiTheme="minorEastAsia" w:hAnsiTheme="minorEastAsia" w:eastAsiaTheme="minorEastAsia" w:cstheme="minorEastAsia"/>
          <w:b/>
          <w:color w:val="auto"/>
          <w:sz w:val="21"/>
          <w:szCs w:val="21"/>
          <w:highlight w:val="none"/>
          <w:lang w:eastAsia="zh-CN"/>
        </w:rPr>
        <w:t>响应</w:t>
      </w:r>
      <w:r>
        <w:rPr>
          <w:rFonts w:hint="eastAsia" w:asciiTheme="minorEastAsia" w:hAnsiTheme="minorEastAsia" w:eastAsiaTheme="minorEastAsia" w:cstheme="minorEastAsia"/>
          <w:b/>
          <w:color w:val="auto"/>
          <w:sz w:val="21"/>
          <w:szCs w:val="21"/>
          <w:highlight w:val="none"/>
        </w:rPr>
        <w:t>无效。</w:t>
      </w:r>
    </w:p>
    <w:p w14:paraId="3C9A92B4">
      <w:pPr>
        <w:pStyle w:val="51"/>
        <w:spacing w:before="0" w:line="360" w:lineRule="auto"/>
        <w:ind w:firstLine="643"/>
        <w:rPr>
          <w:rFonts w:hint="eastAsia" w:asciiTheme="minorEastAsia" w:hAnsiTheme="minorEastAsia" w:eastAsiaTheme="minorEastAsia" w:cstheme="minorEastAsia"/>
          <w:b/>
          <w:color w:val="auto"/>
          <w:sz w:val="32"/>
          <w:highlight w:val="none"/>
        </w:rPr>
      </w:pPr>
    </w:p>
    <w:p w14:paraId="7D4FE6D5">
      <w:pPr>
        <w:pStyle w:val="51"/>
        <w:spacing w:before="0" w:line="360" w:lineRule="auto"/>
        <w:ind w:left="0" w:leftChars="0"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w:t>
      </w:r>
      <w:r>
        <w:rPr>
          <w:rFonts w:hint="eastAsia" w:asciiTheme="minorEastAsia" w:hAnsiTheme="minorEastAsia" w:eastAsiaTheme="minorEastAsia" w:cstheme="minorEastAsia"/>
          <w:b/>
          <w:color w:val="auto"/>
          <w:sz w:val="32"/>
          <w:highlight w:val="none"/>
          <w:lang w:eastAsia="zh-CN"/>
        </w:rPr>
        <w:t>响应文件开启</w:t>
      </w:r>
      <w:r>
        <w:rPr>
          <w:rFonts w:hint="eastAsia" w:asciiTheme="minorEastAsia" w:hAnsiTheme="minorEastAsia" w:eastAsiaTheme="minorEastAsia" w:cstheme="minorEastAsia"/>
          <w:b/>
          <w:color w:val="auto"/>
          <w:sz w:val="32"/>
          <w:highlight w:val="none"/>
        </w:rPr>
        <w:t>、资格审查与信用信息查询</w:t>
      </w:r>
    </w:p>
    <w:p w14:paraId="6743CDEF">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 xml:space="preserve">响应文件开启 </w:t>
      </w:r>
    </w:p>
    <w:p w14:paraId="1413595C">
      <w:pPr>
        <w:pStyle w:val="46"/>
        <w:spacing w:before="0" w:line="360" w:lineRule="auto"/>
        <w:ind w:left="0" w:firstLine="420" w:firstLineChars="200"/>
        <w:contextualSpacing/>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文件规定的时间通过电子交易平台组织</w:t>
      </w:r>
      <w:r>
        <w:rPr>
          <w:rFonts w:hint="eastAsia" w:asciiTheme="minorEastAsia" w:hAnsiTheme="minorEastAsia" w:eastAsiaTheme="minorEastAsia" w:cstheme="minorEastAsia"/>
          <w:color w:val="auto"/>
          <w:sz w:val="21"/>
          <w:szCs w:val="21"/>
          <w:highlight w:val="none"/>
          <w:lang w:val="en-US" w:eastAsia="zh-CN"/>
        </w:rPr>
        <w:t>响应文件开启</w:t>
      </w:r>
      <w:r>
        <w:rPr>
          <w:rFonts w:hint="eastAsia" w:asciiTheme="minorEastAsia" w:hAnsiTheme="minorEastAsia" w:eastAsiaTheme="minorEastAsia" w:cstheme="minorEastAsia"/>
          <w:color w:val="auto"/>
          <w:sz w:val="21"/>
          <w:szCs w:val="21"/>
          <w:highlight w:val="none"/>
        </w:rPr>
        <w:t>，所有</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均应当准时在线参加。</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不足3家的，不得开</w:t>
      </w:r>
      <w:r>
        <w:rPr>
          <w:rFonts w:hint="eastAsia" w:asciiTheme="minorEastAsia" w:hAnsiTheme="minorEastAsia" w:eastAsiaTheme="minorEastAsia" w:cstheme="minorEastAsia"/>
          <w:color w:val="auto"/>
          <w:sz w:val="21"/>
          <w:szCs w:val="21"/>
          <w:highlight w:val="none"/>
          <w:lang w:eastAsia="zh-CN"/>
        </w:rPr>
        <w:t>启响应文件</w:t>
      </w:r>
      <w:r>
        <w:rPr>
          <w:rFonts w:hint="eastAsia" w:asciiTheme="minorEastAsia" w:hAnsiTheme="minorEastAsia" w:eastAsiaTheme="minorEastAsia" w:cstheme="minorEastAsia"/>
          <w:color w:val="auto"/>
          <w:sz w:val="21"/>
          <w:szCs w:val="21"/>
          <w:highlight w:val="none"/>
        </w:rPr>
        <w:t>。</w:t>
      </w:r>
    </w:p>
    <w:p w14:paraId="7B9007C4">
      <w:pPr>
        <w:pStyle w:val="46"/>
        <w:spacing w:before="0" w:line="360" w:lineRule="auto"/>
        <w:ind w:left="0" w:firstLine="210" w:firstLineChars="100"/>
        <w:contextualSpacing/>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1</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rPr>
        <w:t>.2开</w:t>
      </w:r>
      <w:r>
        <w:rPr>
          <w:rFonts w:hint="eastAsia" w:asciiTheme="minorEastAsia" w:hAnsiTheme="minorEastAsia" w:eastAsiaTheme="minorEastAsia" w:cstheme="minorEastAsia"/>
          <w:color w:val="auto"/>
          <w:sz w:val="21"/>
          <w:szCs w:val="21"/>
          <w:highlight w:val="none"/>
          <w:lang w:eastAsia="zh-CN"/>
        </w:rPr>
        <w:t>启响应文件</w:t>
      </w:r>
      <w:r>
        <w:rPr>
          <w:rFonts w:hint="eastAsia" w:asciiTheme="minorEastAsia" w:hAnsiTheme="minorEastAsia" w:eastAsiaTheme="minorEastAsia" w:cstheme="minorEastAsia"/>
          <w:color w:val="auto"/>
          <w:sz w:val="21"/>
          <w:szCs w:val="21"/>
          <w:highlight w:val="none"/>
        </w:rPr>
        <w:t>时，电子交易平台按</w:t>
      </w:r>
      <w:r>
        <w:rPr>
          <w:rFonts w:hint="eastAsia" w:asciiTheme="minorEastAsia" w:hAnsiTheme="minorEastAsia" w:eastAsiaTheme="minorEastAsia" w:cstheme="minorEastAsia"/>
          <w:color w:val="auto"/>
          <w:sz w:val="21"/>
          <w:szCs w:val="21"/>
          <w:highlight w:val="none"/>
          <w:lang w:eastAsia="zh-CN"/>
        </w:rPr>
        <w:t>响应文件</w:t>
      </w:r>
      <w:r>
        <w:rPr>
          <w:rFonts w:hint="eastAsia" w:asciiTheme="minorEastAsia" w:hAnsiTheme="minorEastAsia" w:eastAsiaTheme="minorEastAsia" w:cstheme="minorEastAsia"/>
          <w:color w:val="auto"/>
          <w:sz w:val="21"/>
          <w:szCs w:val="21"/>
          <w:highlight w:val="none"/>
        </w:rPr>
        <w:t>开</w:t>
      </w:r>
      <w:r>
        <w:rPr>
          <w:rFonts w:hint="eastAsia" w:asciiTheme="minorEastAsia" w:hAnsiTheme="minorEastAsia" w:eastAsiaTheme="minorEastAsia" w:cstheme="minorEastAsia"/>
          <w:color w:val="auto"/>
          <w:sz w:val="21"/>
          <w:szCs w:val="21"/>
          <w:highlight w:val="none"/>
          <w:lang w:eastAsia="zh-CN"/>
        </w:rPr>
        <w:t>启</w:t>
      </w:r>
      <w:r>
        <w:rPr>
          <w:rFonts w:hint="eastAsia" w:asciiTheme="minorEastAsia" w:hAnsiTheme="minorEastAsia" w:eastAsiaTheme="minorEastAsia" w:cstheme="minorEastAsia"/>
          <w:color w:val="auto"/>
          <w:sz w:val="21"/>
          <w:szCs w:val="21"/>
          <w:highlight w:val="none"/>
        </w:rPr>
        <w:t>时间自动提取所有</w:t>
      </w:r>
      <w:r>
        <w:rPr>
          <w:rFonts w:hint="eastAsia" w:asciiTheme="minorEastAsia" w:hAnsiTheme="minorEastAsia" w:eastAsiaTheme="minorEastAsia" w:cstheme="minorEastAsia"/>
          <w:color w:val="auto"/>
          <w:sz w:val="21"/>
          <w:szCs w:val="21"/>
          <w:highlight w:val="none"/>
          <w:lang w:eastAsia="zh-CN"/>
        </w:rPr>
        <w:t>响应</w:t>
      </w:r>
      <w:r>
        <w:rPr>
          <w:rFonts w:hint="eastAsia" w:asciiTheme="minorEastAsia" w:hAnsiTheme="minorEastAsia" w:eastAsiaTheme="minorEastAsia" w:cstheme="minorEastAsia"/>
          <w:color w:val="auto"/>
          <w:sz w:val="21"/>
          <w:szCs w:val="21"/>
          <w:highlight w:val="none"/>
        </w:rPr>
        <w:t>文件。</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依托电子交易平台发起开始解密指令，</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按照平台提示和</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文件的规定在半小时内完成在线解密。</w:t>
      </w:r>
    </w:p>
    <w:p w14:paraId="74EC77E1">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资格审查</w:t>
      </w:r>
    </w:p>
    <w:p w14:paraId="06B4B172">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sz w:val="21"/>
          <w:szCs w:val="21"/>
          <w:highlight w:val="none"/>
          <w:lang w:eastAsia="zh-CN"/>
        </w:rPr>
        <w:t>响应文件</w:t>
      </w:r>
      <w:r>
        <w:rPr>
          <w:rFonts w:hint="eastAsia" w:asciiTheme="minorEastAsia" w:hAnsiTheme="minorEastAsia" w:eastAsiaTheme="minorEastAsia" w:cstheme="minorEastAsia"/>
          <w:color w:val="auto"/>
          <w:sz w:val="21"/>
          <w:szCs w:val="21"/>
          <w:highlight w:val="none"/>
        </w:rPr>
        <w:t>开</w:t>
      </w:r>
      <w:r>
        <w:rPr>
          <w:rFonts w:hint="eastAsia" w:asciiTheme="minorEastAsia" w:hAnsiTheme="minorEastAsia" w:eastAsiaTheme="minorEastAsia" w:cstheme="minorEastAsia"/>
          <w:color w:val="auto"/>
          <w:sz w:val="21"/>
          <w:szCs w:val="21"/>
          <w:highlight w:val="none"/>
          <w:lang w:eastAsia="zh-CN"/>
        </w:rPr>
        <w:t>启</w:t>
      </w:r>
      <w:r>
        <w:rPr>
          <w:rFonts w:hint="eastAsia" w:asciiTheme="minorEastAsia" w:hAnsiTheme="minorEastAsia" w:eastAsiaTheme="minorEastAsia" w:cstheme="minorEastAsia"/>
          <w:color w:val="auto"/>
          <w:kern w:val="0"/>
          <w:sz w:val="21"/>
          <w:szCs w:val="21"/>
          <w:highlight w:val="none"/>
        </w:rPr>
        <w:t>后，采购人或</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依据法律法规和</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文件的规定，对</w:t>
      </w:r>
      <w:r>
        <w:rPr>
          <w:rFonts w:hint="eastAsia" w:asciiTheme="minorEastAsia" w:hAnsiTheme="minorEastAsia" w:eastAsiaTheme="minorEastAsia" w:cstheme="minorEastAsia"/>
          <w:color w:val="auto"/>
          <w:kern w:val="0"/>
          <w:sz w:val="21"/>
          <w:szCs w:val="21"/>
          <w:highlight w:val="none"/>
          <w:lang w:eastAsia="zh-CN"/>
        </w:rPr>
        <w:t>供应商</w:t>
      </w:r>
      <w:r>
        <w:rPr>
          <w:rFonts w:hint="eastAsia" w:asciiTheme="minorEastAsia" w:hAnsiTheme="minorEastAsia" w:eastAsiaTheme="minorEastAsia" w:cstheme="minorEastAsia"/>
          <w:color w:val="auto"/>
          <w:kern w:val="0"/>
          <w:sz w:val="21"/>
          <w:szCs w:val="21"/>
          <w:highlight w:val="none"/>
        </w:rPr>
        <w:t>的资格条件进行审查。</w:t>
      </w:r>
    </w:p>
    <w:p w14:paraId="0CEBBDE4">
      <w:pPr>
        <w:pStyle w:val="51"/>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对未通过资格审查的</w:t>
      </w: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，采购人或</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告知其未通过的原因。</w:t>
      </w:r>
    </w:p>
    <w:p w14:paraId="04E5E4DA">
      <w:pPr>
        <w:pStyle w:val="51"/>
        <w:spacing w:before="0" w:line="360" w:lineRule="auto"/>
        <w:ind w:firstLine="48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合格</w:t>
      </w: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不足3家的，不再</w:t>
      </w:r>
      <w:r>
        <w:rPr>
          <w:rFonts w:hint="eastAsia" w:asciiTheme="minorEastAsia" w:hAnsiTheme="minorEastAsia" w:eastAsiaTheme="minorEastAsia" w:cstheme="minorEastAsia"/>
          <w:color w:val="auto"/>
          <w:sz w:val="21"/>
          <w:szCs w:val="21"/>
          <w:highlight w:val="none"/>
          <w:lang w:eastAsia="zh-CN"/>
        </w:rPr>
        <w:t>评审，但符合《政府采购竞争性磋商采购方式管理暂行办法》第二十一条第三款和《财政部关于政府采购竞争性磋商采购方式管理暂行办法有关问题的补充通知》规定的情形，采购活动可以继续进行。</w:t>
      </w:r>
    </w:p>
    <w:p w14:paraId="20CD8699">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信用信息查询</w:t>
      </w:r>
    </w:p>
    <w:p w14:paraId="08F2EB84">
      <w:pPr>
        <w:pStyle w:val="51"/>
        <w:spacing w:before="0" w:line="360" w:lineRule="auto"/>
        <w:ind w:firstLine="495" w:firstLineChars="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16</w:t>
      </w:r>
      <w:r>
        <w:rPr>
          <w:rFonts w:hint="eastAsia" w:asciiTheme="minorEastAsia" w:hAnsiTheme="minorEastAsia" w:eastAsiaTheme="minorEastAsia" w:cstheme="minorEastAsia"/>
          <w:color w:val="auto"/>
          <w:kern w:val="0"/>
          <w:sz w:val="21"/>
          <w:szCs w:val="21"/>
          <w:highlight w:val="none"/>
        </w:rPr>
        <w:t>.1信用信息查询渠道及截止时间：</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将通过“信用中国”网站(www.creditchina.gov.cn)、中国政府采购网(www.ccgp.gov.cn)渠道查询</w:t>
      </w:r>
      <w:r>
        <w:rPr>
          <w:rFonts w:hint="eastAsia" w:asciiTheme="minorEastAsia" w:hAnsiTheme="minorEastAsia" w:eastAsiaTheme="minorEastAsia" w:cstheme="minorEastAsia"/>
          <w:color w:val="auto"/>
          <w:kern w:val="0"/>
          <w:sz w:val="21"/>
          <w:szCs w:val="21"/>
          <w:highlight w:val="none"/>
          <w:lang w:eastAsia="zh-CN"/>
        </w:rPr>
        <w:t>供应商响应</w:t>
      </w:r>
      <w:r>
        <w:rPr>
          <w:rFonts w:hint="eastAsia" w:asciiTheme="minorEastAsia" w:hAnsiTheme="minorEastAsia" w:eastAsiaTheme="minorEastAsia" w:cstheme="minorEastAsia"/>
          <w:color w:val="auto"/>
          <w:kern w:val="0"/>
          <w:sz w:val="21"/>
          <w:szCs w:val="21"/>
          <w:highlight w:val="none"/>
        </w:rPr>
        <w:t>截止时间当天的信用记录。</w:t>
      </w:r>
    </w:p>
    <w:p w14:paraId="633E317B">
      <w:pPr>
        <w:pStyle w:val="51"/>
        <w:spacing w:before="0" w:line="360" w:lineRule="auto"/>
        <w:ind w:firstLine="495" w:firstLineChars="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16</w:t>
      </w:r>
      <w:r>
        <w:rPr>
          <w:rFonts w:hint="eastAsia" w:asciiTheme="minorEastAsia" w:hAnsiTheme="minorEastAsia" w:eastAsiaTheme="minorEastAsia" w:cstheme="minorEastAsia"/>
          <w:color w:val="auto"/>
          <w:kern w:val="0"/>
          <w:sz w:val="21"/>
          <w:szCs w:val="21"/>
          <w:highlight w:val="none"/>
        </w:rPr>
        <w:t>.2信用信息的使用规则：经查询列入失信被执行人名单、重大税收违法案件当事人名单、政府采购严重违法失信行为记录名单的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将被拒绝参与政府采购活动。</w:t>
      </w:r>
    </w:p>
    <w:p w14:paraId="1C4A81BA">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lang w:eastAsia="zh-CN"/>
        </w:rPr>
      </w:pPr>
      <w:r>
        <w:rPr>
          <w:rFonts w:hint="eastAsia" w:asciiTheme="minorEastAsia" w:hAnsiTheme="minorEastAsia" w:eastAsiaTheme="minorEastAsia" w:cstheme="minorEastAsia"/>
          <w:b/>
          <w:color w:val="auto"/>
          <w:sz w:val="36"/>
          <w:szCs w:val="36"/>
          <w:highlight w:val="none"/>
        </w:rPr>
        <w:t>五、评</w:t>
      </w:r>
      <w:r>
        <w:rPr>
          <w:rFonts w:hint="eastAsia" w:asciiTheme="minorEastAsia" w:hAnsiTheme="minorEastAsia" w:eastAsiaTheme="minorEastAsia" w:cstheme="minorEastAsia"/>
          <w:b/>
          <w:color w:val="auto"/>
          <w:sz w:val="36"/>
          <w:szCs w:val="36"/>
          <w:highlight w:val="none"/>
          <w:lang w:eastAsia="zh-CN"/>
        </w:rPr>
        <w:t>审</w:t>
      </w:r>
    </w:p>
    <w:p w14:paraId="307F2CCC">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bookmarkStart w:id="14" w:name="_Toc91899903"/>
      <w:r>
        <w:rPr>
          <w:rFonts w:hint="eastAsia" w:asciiTheme="minorEastAsia" w:hAnsiTheme="minorEastAsia" w:eastAsiaTheme="minorEastAsia" w:cstheme="minorEastAsia"/>
          <w:b/>
          <w:color w:val="auto"/>
          <w:sz w:val="21"/>
          <w:szCs w:val="21"/>
          <w:highlight w:val="none"/>
          <w:lang w:val="en-US" w:eastAsia="zh-CN"/>
        </w:rPr>
        <w:t>磋商小组</w:t>
      </w:r>
    </w:p>
    <w:p w14:paraId="57EFF40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17.1 本次采购依法组建磋商小组。磋商小组由采购人代表和评审专家组成，评审专家从专家库随机抽取。</w:t>
      </w:r>
    </w:p>
    <w:p w14:paraId="15F6878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17.2 评标原则。磋商小组必须遵循公平、公正、客观、科学的原则和规定的程序进行评审；评审依据为竞争性磋商文件和响应文件；评审人员应独立评审，不得带有任何倾向性和启发性影响他人评审；任何单位和个人不得干扰、影响评标的正常进行；磋商小组及有关工作人员不得私下与供应商接触，不得向外界透露任何与评审有关的内容。</w:t>
      </w:r>
    </w:p>
    <w:p w14:paraId="4735169E">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 评审专家有下列情形之一的，受到邀请应主动提出回避，采购当事人也可以要求该评审专家回避：</w:t>
      </w:r>
    </w:p>
    <w:p w14:paraId="197F342B">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17.3.1 参加采购活动前三年内，与供应商存在劳动关系，或者担任过供应商的董事、监事，或者是供应商的控股股东或实际控制人；</w:t>
      </w:r>
    </w:p>
    <w:p w14:paraId="6B88D6D5">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17.3.2 与供应商的法定代表人或者负责人有夫妻、直系血亲、三代以内旁系血亲或者近姻亲关系；</w:t>
      </w:r>
    </w:p>
    <w:p w14:paraId="63D0AECE">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17.3.3 任职单位与参加该采购项目供应商存在行政隶属关系；</w:t>
      </w:r>
    </w:p>
    <w:p w14:paraId="56230BD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17.3.4 曾经参加过该采购项目的进口产品或招标文件、采购需求、采购方式的论证和咨询服务工作；</w:t>
      </w:r>
    </w:p>
    <w:p w14:paraId="39F974ED">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17.3.5 是参加该采购项目供应商的上级主管部门、控股或参股单位的工作人员，或与该供应商存在其他经济利益关系；</w:t>
      </w:r>
    </w:p>
    <w:p w14:paraId="00747479">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17.3.6 评标委员会成员之间具有配偶、近亲属关系等；</w:t>
      </w:r>
    </w:p>
    <w:p w14:paraId="41603CAB">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17.3.7 法律、法规、规章规定应当回避以及其他可能影响政府采购活动公平、公正进行的关系。</w:t>
      </w:r>
    </w:p>
    <w:p w14:paraId="03EAA895">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17.4 评标委员会判断投标文件的有效性、合格性和响应情况，仅依据投标人所递交一切文件的真实表述，不受与本项目无直接关联的外部信息、传言而影响自身的专业判断。</w:t>
      </w:r>
    </w:p>
    <w:p w14:paraId="498423A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463B5A09">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评标</w:t>
      </w:r>
    </w:p>
    <w:p w14:paraId="5B263E6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磋商小组将根据竞争性磋商文件和有关规定，履行评标工作职责，并按照评标方法及评分标准，全面衡量各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对竞争性磋商文件的响应情况。对实质上响应竞争性磋商文件的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，按照评审因素的量化指标推荐综合得分排名第一的为中标候选人。</w:t>
      </w:r>
    </w:p>
    <w:p w14:paraId="17E6E07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得分相同的，按投标报价由低到高顺序排列。得分且投标报价相同的，投标文件满足招标文件全部实质性要求，且按照评审因素的量化指标评审得分最高的</w:t>
      </w:r>
      <w:r>
        <w:rPr>
          <w:rFonts w:hint="eastAsia" w:asciiTheme="minorEastAsia" w:hAnsiTheme="minorEastAsia" w:eastAsiaTheme="minorEastAsia" w:cstheme="minorEastAsia"/>
          <w:color w:val="auto"/>
          <w:kern w:val="0"/>
          <w:sz w:val="21"/>
          <w:szCs w:val="21"/>
          <w:highlight w:val="none"/>
          <w:lang w:val="zh-CN" w:eastAsia="zh-CN"/>
        </w:rPr>
        <w:t>供应商</w:t>
      </w:r>
      <w:r>
        <w:rPr>
          <w:rFonts w:hint="eastAsia" w:asciiTheme="minorEastAsia" w:hAnsiTheme="minorEastAsia" w:eastAsiaTheme="minorEastAsia" w:cstheme="minorEastAsia"/>
          <w:color w:val="auto"/>
          <w:kern w:val="0"/>
          <w:sz w:val="21"/>
          <w:szCs w:val="21"/>
          <w:highlight w:val="none"/>
          <w:lang w:val="en-US" w:eastAsia="zh-CN"/>
        </w:rPr>
        <w:t>为排名第一的中标候选人。</w:t>
      </w:r>
    </w:p>
    <w:p w14:paraId="175DCF87">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详见招标文件第四部分评标办法。</w:t>
      </w:r>
    </w:p>
    <w:p w14:paraId="1658FC74">
      <w:pPr>
        <w:spacing w:line="360" w:lineRule="auto"/>
        <w:rPr>
          <w:rFonts w:hint="eastAsia" w:asciiTheme="minorEastAsia" w:hAnsiTheme="minorEastAsia" w:eastAsiaTheme="minorEastAsia" w:cstheme="minorEastAsia"/>
          <w:b/>
          <w:color w:val="auto"/>
          <w:sz w:val="24"/>
          <w:highlight w:val="none"/>
        </w:rPr>
      </w:pPr>
    </w:p>
    <w:p w14:paraId="65658F0E">
      <w:pPr>
        <w:snapToGrid w:val="0"/>
        <w:spacing w:line="360" w:lineRule="auto"/>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 标</w:t>
      </w:r>
    </w:p>
    <w:p w14:paraId="6D7C373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确定成交供应商</w:t>
      </w:r>
    </w:p>
    <w:p w14:paraId="5BC8192F">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color w:val="auto"/>
          <w:kern w:val="0"/>
          <w:sz w:val="21"/>
          <w:szCs w:val="21"/>
          <w:highlight w:val="none"/>
          <w:lang w:val="en-US" w:eastAsia="zh-CN"/>
        </w:rPr>
        <w:t>本项目由磋商小组直接</w:t>
      </w:r>
      <w:r>
        <w:rPr>
          <w:color w:val="auto"/>
          <w:kern w:val="0"/>
          <w:sz w:val="21"/>
          <w:szCs w:val="21"/>
          <w:highlight w:val="none"/>
        </w:rPr>
        <w:t>确定评审报告排序第一的供应商为成交供应商。</w:t>
      </w:r>
    </w:p>
    <w:p w14:paraId="10A5F810">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成交通知与成交结果公告</w:t>
      </w:r>
    </w:p>
    <w:p w14:paraId="5E05ACBF">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20.1自成交供应商确定之日起2个工作日内，采购代理机构通过电子交易平台向成交供应商发出成交通知书，同时编制发布采购结果公告。采购代理机构也可以以纸质形式进行成交通知。</w:t>
      </w:r>
    </w:p>
    <w:p w14:paraId="0BF76138">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20.2成交结果公告内容包括采购人及其委托的采购代理机构的名称、地址、联系方式，项目名称和项目编号，成交人名称、地址和成交金额，主要成交标的的名称、规格型号、数量、单价、服务要求，开标记录、成交公告期限以及评审专家名单。</w:t>
      </w:r>
    </w:p>
    <w:p w14:paraId="387C272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20.3公告期限为1个工作日。</w:t>
      </w:r>
    </w:p>
    <w:p w14:paraId="67AC361D">
      <w:pPr>
        <w:snapToGrid w:val="0"/>
        <w:spacing w:line="360" w:lineRule="auto"/>
        <w:jc w:val="both"/>
        <w:rPr>
          <w:rFonts w:hint="eastAsia" w:asciiTheme="minorEastAsia" w:hAnsiTheme="minorEastAsia" w:eastAsiaTheme="minorEastAsia" w:cstheme="minorEastAsia"/>
          <w:b/>
          <w:color w:val="auto"/>
          <w:sz w:val="32"/>
          <w:highlight w:val="none"/>
        </w:rPr>
      </w:pPr>
    </w:p>
    <w:p w14:paraId="6AE2CC8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317CE504">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合同授予</w:t>
      </w:r>
    </w:p>
    <w:p w14:paraId="153BFC3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合同主要条款详见第五部分拟签订的合同文本。</w:t>
      </w:r>
    </w:p>
    <w:p w14:paraId="0C0511D2">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合同的签订</w:t>
      </w:r>
    </w:p>
    <w:p w14:paraId="5EB1D543">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22.1 采购人与成交供应商应当通过电子交易平台在成交通知书发出之日起三十日内，按照竞争性磋商文件及成交供应商的响应文件确定的事项签订政府采购合同，并在合同签订之日起2个工作日内依法发布合同公告。</w:t>
      </w:r>
    </w:p>
    <w:p w14:paraId="2B5905F6">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zh-CN" w:eastAsia="zh-CN"/>
        </w:rPr>
        <w:t>2</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lang w:val="zh-CN" w:eastAsia="zh-CN"/>
        </w:rPr>
        <w:t>.2成交供应商按规定的日期、时间、地点，由法定代表人或其授权代表与采购人代表签订合同。如成交人为联合体的，由联合体成员各方法定代表人或其授权代表与采购人代表签订合同。</w:t>
      </w:r>
    </w:p>
    <w:p w14:paraId="0E6E7784">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22.3如签订合同并生效后，供应商无故拒绝或延期，除按照合同条款处理外，列入不良行为记录名单，并给予通报。</w:t>
      </w:r>
    </w:p>
    <w:p w14:paraId="7283CA50">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22.4</w:t>
      </w:r>
      <w:r>
        <w:rPr>
          <w:rFonts w:hint="eastAsia" w:asciiTheme="minorEastAsia" w:hAnsiTheme="minorEastAsia" w:eastAsiaTheme="minorEastAsia" w:cstheme="minorEastAsia"/>
          <w:color w:val="auto"/>
          <w:kern w:val="0"/>
          <w:sz w:val="21"/>
          <w:szCs w:val="21"/>
          <w:highlight w:val="none"/>
          <w:lang w:val="zh-CN" w:eastAsia="zh-CN"/>
        </w:rPr>
        <w:t>成交</w:t>
      </w:r>
      <w:r>
        <w:rPr>
          <w:rFonts w:hint="eastAsia" w:asciiTheme="minorEastAsia" w:hAnsiTheme="minorEastAsia" w:eastAsiaTheme="minorEastAsia" w:cstheme="minorEastAsia"/>
          <w:color w:val="auto"/>
          <w:kern w:val="0"/>
          <w:sz w:val="21"/>
          <w:szCs w:val="21"/>
          <w:highlight w:val="none"/>
          <w:lang w:val="en-US" w:eastAsia="zh-CN"/>
        </w:rPr>
        <w:t>供应商拒绝与采购人签订合同的，列入不良行为记录名单，采购人、采购代理机构重新开展政府采购活动。</w:t>
      </w:r>
    </w:p>
    <w:p w14:paraId="47094F7C">
      <w:pPr>
        <w:pStyle w:val="51"/>
        <w:spacing w:before="0" w:line="360" w:lineRule="auto"/>
        <w:ind w:firstLine="480"/>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22.5采购合同由采购人与</w:t>
      </w:r>
      <w:r>
        <w:rPr>
          <w:rFonts w:hint="eastAsia" w:asciiTheme="minorEastAsia" w:hAnsiTheme="minorEastAsia" w:eastAsiaTheme="minorEastAsia" w:cstheme="minorEastAsia"/>
          <w:color w:val="auto"/>
          <w:kern w:val="0"/>
          <w:sz w:val="21"/>
          <w:szCs w:val="21"/>
          <w:highlight w:val="none"/>
          <w:lang w:val="zh-CN" w:eastAsia="zh-CN"/>
        </w:rPr>
        <w:t>成交</w:t>
      </w:r>
      <w:r>
        <w:rPr>
          <w:rFonts w:hint="eastAsia" w:asciiTheme="minorEastAsia" w:hAnsiTheme="minorEastAsia" w:eastAsiaTheme="minorEastAsia" w:cstheme="minorEastAsia"/>
          <w:color w:val="auto"/>
          <w:kern w:val="0"/>
          <w:sz w:val="21"/>
          <w:szCs w:val="21"/>
          <w:highlight w:val="none"/>
          <w:lang w:val="en-US" w:eastAsia="zh-CN"/>
        </w:rPr>
        <w:t>供应商根据竞争性磋商文件、响应文件等内容通过政府采购电子交易平台在线签订，自动备案。</w:t>
      </w:r>
    </w:p>
    <w:p w14:paraId="24A9DFDD">
      <w:pPr>
        <w:snapToGrid w:val="0"/>
        <w:spacing w:line="360" w:lineRule="auto"/>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2C11FA73">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电子交易活动的中止</w:t>
      </w:r>
    </w:p>
    <w:p w14:paraId="528FFE0F">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采购过程中出现以下情形，导致电子交易平台无法正常运行，或者无法保证电子交易的公平、公正和安全时，</w:t>
      </w:r>
      <w:r>
        <w:rPr>
          <w:rFonts w:hint="eastAsia" w:asciiTheme="minorEastAsia" w:hAnsiTheme="minorEastAsia" w:eastAsiaTheme="minorEastAsia" w:cstheme="minorEastAsia"/>
          <w:color w:val="auto"/>
          <w:kern w:val="0"/>
          <w:sz w:val="21"/>
          <w:szCs w:val="21"/>
          <w:highlight w:val="none"/>
          <w:lang w:eastAsia="zh-CN"/>
        </w:rPr>
        <w:t>采购代理机构</w:t>
      </w:r>
      <w:r>
        <w:rPr>
          <w:rFonts w:hint="eastAsia" w:asciiTheme="minorEastAsia" w:hAnsiTheme="minorEastAsia" w:eastAsiaTheme="minorEastAsia" w:cstheme="minorEastAsia"/>
          <w:color w:val="auto"/>
          <w:kern w:val="0"/>
          <w:sz w:val="21"/>
          <w:szCs w:val="21"/>
          <w:highlight w:val="none"/>
        </w:rPr>
        <w:t>可中止电子交易活动：</w:t>
      </w:r>
    </w:p>
    <w:p w14:paraId="601EBA6A">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 xml:space="preserve">.1电子交易平台发生故障而无法登录访问的； </w:t>
      </w:r>
    </w:p>
    <w:p w14:paraId="5FF369D2">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.2电子交易平台应用或数据库出现错误，不能进行正常操作的；</w:t>
      </w:r>
    </w:p>
    <w:p w14:paraId="148B650F">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.3电子交易平台发现严重安全漏洞，有潜在泄密危险的；</w:t>
      </w:r>
    </w:p>
    <w:p w14:paraId="02CAC55E">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 xml:space="preserve">.4病毒发作导致不能进行正常操作的； </w:t>
      </w:r>
    </w:p>
    <w:p w14:paraId="669F8AAD">
      <w:pPr>
        <w:pStyle w:val="51"/>
        <w:snapToGrid w:val="0"/>
        <w:spacing w:before="0" w:line="360" w:lineRule="auto"/>
        <w:ind w:firstLine="48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.5其他无法保证电子交易的公平、公正和安全的情况。</w:t>
      </w:r>
    </w:p>
    <w:p w14:paraId="6457B0B9">
      <w:pPr>
        <w:snapToGrid w:val="0"/>
        <w:spacing w:line="360" w:lineRule="auto"/>
        <w:jc w:val="both"/>
        <w:rPr>
          <w:rFonts w:hint="eastAsia" w:asciiTheme="minorEastAsia" w:hAnsiTheme="minorEastAsia" w:eastAsiaTheme="minorEastAsia" w:cstheme="minorEastAsia"/>
          <w:b/>
          <w:color w:val="auto"/>
          <w:sz w:val="32"/>
          <w:highlight w:val="none"/>
        </w:rPr>
      </w:pPr>
    </w:p>
    <w:p w14:paraId="2177444A">
      <w:pPr>
        <w:snapToGrid w:val="0"/>
        <w:spacing w:line="360" w:lineRule="auto"/>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3D77F5CD">
      <w:pPr>
        <w:keepNext w:val="0"/>
        <w:keepLines w:val="0"/>
        <w:pageBreakBefore w:val="0"/>
        <w:widowControl w:val="0"/>
        <w:numPr>
          <w:ilvl w:val="0"/>
          <w:numId w:val="1"/>
        </w:numPr>
        <w:kinsoku/>
        <w:wordWrap/>
        <w:overflowPunct/>
        <w:topLinePunct w:val="0"/>
        <w:autoSpaceDE/>
        <w:autoSpaceDN/>
        <w:bidi w:val="0"/>
        <w:adjustRightInd w:val="0"/>
        <w:snapToGrid w:val="0"/>
        <w:spacing w:before="157" w:beforeLines="50" w:line="360" w:lineRule="auto"/>
        <w:ind w:left="0" w:leftChars="0" w:firstLine="422" w:firstLineChars="200"/>
        <w:jc w:val="left"/>
        <w:textAlignment w:val="auto"/>
        <w:outlineLvl w:val="1"/>
        <w:rPr>
          <w:rFonts w:hint="eastAsia" w:asciiTheme="minorEastAsia" w:hAnsiTheme="minorEastAsia" w:eastAsiaTheme="minorEastAsia" w:cstheme="minorEastAsia"/>
          <w:b/>
          <w:color w:val="auto"/>
          <w:sz w:val="21"/>
          <w:szCs w:val="21"/>
          <w:highlight w:val="none"/>
          <w:lang w:val="en-US" w:eastAsia="zh-CN"/>
        </w:rPr>
      </w:pPr>
      <w:r>
        <w:rPr>
          <w:rFonts w:hint="eastAsia" w:asciiTheme="minorEastAsia" w:hAnsiTheme="minorEastAsia" w:eastAsiaTheme="minorEastAsia" w:cstheme="minorEastAsia"/>
          <w:b/>
          <w:color w:val="auto"/>
          <w:sz w:val="21"/>
          <w:szCs w:val="21"/>
          <w:highlight w:val="none"/>
          <w:lang w:val="en-US" w:eastAsia="zh-CN"/>
        </w:rPr>
        <w:t>验收</w:t>
      </w:r>
    </w:p>
    <w:p w14:paraId="6EF25A45">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2F35D7D">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val="en-US" w:eastAsia="zh-CN"/>
        </w:rPr>
        <w:t>2</w:t>
      </w:r>
      <w:r>
        <w:rPr>
          <w:rFonts w:hint="eastAsia" w:asciiTheme="minorEastAsia" w:hAnsiTheme="minorEastAsia" w:eastAsiaTheme="minorEastAsia" w:cstheme="minorEastAsia"/>
          <w:color w:val="auto"/>
          <w:kern w:val="0"/>
          <w:sz w:val="21"/>
          <w:szCs w:val="21"/>
          <w:highlight w:val="none"/>
        </w:rPr>
        <w:t>严格按照采购合同开展履约验收。采购人成立验收小组</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为社会公众提供的公共服务项目验收时，验收小组成员必须包含部分服务对象</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返还条件挂钩。履约验收的各项资料应当存档备查。</w:t>
      </w:r>
    </w:p>
    <w:p w14:paraId="4BF1BC84">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val="en-US" w:eastAsia="zh-CN"/>
        </w:rPr>
        <w:t>4</w:t>
      </w:r>
      <w:r>
        <w:rPr>
          <w:rFonts w:hint="eastAsia" w:asciiTheme="minorEastAsia" w:hAnsiTheme="minorEastAsia" w:eastAsiaTheme="minorEastAsia" w:cstheme="minorEastAsia"/>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督管理部门。</w:t>
      </w:r>
      <w:bookmarkEnd w:id="11"/>
      <w:bookmarkEnd w:id="12"/>
      <w:bookmarkEnd w:id="14"/>
      <w:bookmarkStart w:id="15" w:name="_Hlt74707468"/>
      <w:bookmarkEnd w:id="15"/>
      <w:bookmarkStart w:id="16" w:name="_Hlt68073093"/>
      <w:bookmarkEnd w:id="16"/>
      <w:bookmarkStart w:id="17" w:name="_Hlt74714665"/>
      <w:bookmarkEnd w:id="17"/>
      <w:bookmarkStart w:id="18" w:name="_Hlt68072990"/>
      <w:bookmarkEnd w:id="18"/>
      <w:bookmarkStart w:id="19" w:name="_Hlt75236290"/>
      <w:bookmarkEnd w:id="19"/>
      <w:bookmarkStart w:id="20" w:name="_Hlt68403820"/>
      <w:bookmarkEnd w:id="20"/>
      <w:bookmarkStart w:id="21" w:name="_Hlt74730295"/>
      <w:bookmarkEnd w:id="21"/>
      <w:bookmarkStart w:id="22" w:name="_Hlt75236101"/>
      <w:bookmarkEnd w:id="22"/>
      <w:bookmarkStart w:id="23" w:name="_Hlt68072998"/>
      <w:bookmarkEnd w:id="23"/>
      <w:bookmarkStart w:id="24" w:name="_Hlt68057669"/>
      <w:bookmarkEnd w:id="24"/>
      <w:bookmarkStart w:id="25" w:name="_Hlt75236011"/>
      <w:bookmarkEnd w:id="25"/>
      <w:bookmarkStart w:id="26" w:name="_Hlt74729768"/>
      <w:bookmarkEnd w:id="26"/>
    </w:p>
    <w:p w14:paraId="03587C7E">
      <w:pPr>
        <w:tabs>
          <w:tab w:val="left" w:pos="0"/>
        </w:tabs>
        <w:spacing w:line="360" w:lineRule="auto"/>
        <w:ind w:firstLine="480"/>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br w:type="page"/>
      </w:r>
    </w:p>
    <w:p w14:paraId="4DF657CF">
      <w:pPr>
        <w:tabs>
          <w:tab w:val="left" w:pos="0"/>
        </w:tabs>
        <w:spacing w:line="360" w:lineRule="auto"/>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第三部分   采购需求</w:t>
      </w:r>
    </w:p>
    <w:p w14:paraId="051E322E">
      <w:pPr>
        <w:spacing w:before="156" w:beforeLines="50" w:line="360" w:lineRule="auto"/>
        <w:ind w:firstLine="422" w:firstLineChars="200"/>
        <w:rPr>
          <w:rFonts w:hint="default" w:ascii="宋体" w:hAnsi="宋体" w:cs="宋体"/>
          <w:b/>
          <w:color w:val="auto"/>
          <w:sz w:val="21"/>
          <w:szCs w:val="21"/>
          <w:highlight w:val="none"/>
          <w:lang w:val="en-US" w:eastAsia="zh-CN"/>
        </w:rPr>
      </w:pPr>
      <w:bookmarkStart w:id="27" w:name="_Hlk128151554"/>
      <w:r>
        <w:rPr>
          <w:rFonts w:hint="eastAsia" w:ascii="宋体" w:hAnsi="宋体" w:cs="宋体"/>
          <w:b/>
          <w:color w:val="auto"/>
          <w:sz w:val="21"/>
          <w:szCs w:val="21"/>
          <w:highlight w:val="none"/>
          <w:lang w:val="en-US" w:eastAsia="zh-CN"/>
        </w:rPr>
        <w:t>（一）采购范围</w:t>
      </w:r>
    </w:p>
    <w:p w14:paraId="72B0122C">
      <w:pPr>
        <w:pStyle w:val="9"/>
        <w:numPr>
          <w:ilvl w:val="0"/>
          <w:numId w:val="0"/>
        </w:numPr>
        <w:tabs>
          <w:tab w:val="left" w:pos="420"/>
        </w:tabs>
        <w:spacing w:line="360" w:lineRule="auto"/>
        <w:ind w:firstLine="420" w:firstLineChars="200"/>
        <w:rPr>
          <w:rFonts w:hint="eastAsia" w:ascii="宋体" w:hAnsi="Calibri" w:eastAsia="宋体" w:cs="Times New Roman"/>
          <w:b w:val="0"/>
          <w:bCs w:val="0"/>
          <w:snapToGrid/>
          <w:color w:val="auto"/>
          <w:kern w:val="2"/>
          <w:sz w:val="21"/>
          <w:szCs w:val="21"/>
          <w:highlight w:val="none"/>
          <w:lang w:val="en-US" w:eastAsia="zh-CN" w:bidi="ar-SA"/>
        </w:rPr>
      </w:pPr>
      <w:r>
        <w:rPr>
          <w:rFonts w:hint="eastAsia" w:ascii="宋体" w:hAnsi="Calibri" w:eastAsia="宋体" w:cs="Times New Roman"/>
          <w:b w:val="0"/>
          <w:bCs w:val="0"/>
          <w:snapToGrid/>
          <w:color w:val="auto"/>
          <w:kern w:val="2"/>
          <w:sz w:val="21"/>
          <w:szCs w:val="21"/>
          <w:highlight w:val="none"/>
          <w:lang w:val="en-US" w:eastAsia="zh-CN" w:bidi="ar-SA"/>
        </w:rPr>
        <w:t>施工图范围内的通信基础设施及无线通信室内覆盖系统工程。</w:t>
      </w:r>
    </w:p>
    <w:p w14:paraId="17515A7F">
      <w:pPr>
        <w:spacing w:before="156" w:beforeLines="50" w:line="360" w:lineRule="auto"/>
        <w:ind w:firstLine="422" w:firstLineChars="200"/>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（二）施工图设计情况：</w:t>
      </w:r>
    </w:p>
    <w:p w14:paraId="562841F0">
      <w:pPr>
        <w:numPr>
          <w:ilvl w:val="0"/>
          <w:numId w:val="0"/>
        </w:numPr>
        <w:spacing w:line="360" w:lineRule="auto"/>
        <w:ind w:firstLine="420" w:firstLineChars="200"/>
        <w:rPr>
          <w:rFonts w:hint="eastAsia" w:ascii="宋体" w:hAnsi="Calibri" w:eastAsia="宋体" w:cs="Times New Roman"/>
          <w:b w:val="0"/>
          <w:bCs w:val="0"/>
          <w:snapToGrid/>
          <w:color w:val="auto"/>
          <w:kern w:val="2"/>
          <w:sz w:val="21"/>
          <w:szCs w:val="21"/>
          <w:highlight w:val="none"/>
          <w:lang w:val="en-US" w:eastAsia="zh-CN" w:bidi="ar-SA"/>
        </w:rPr>
      </w:pPr>
      <w:r>
        <w:rPr>
          <w:rFonts w:hint="eastAsia" w:ascii="宋体" w:hAnsi="Calibri" w:eastAsia="宋体" w:cs="Times New Roman"/>
          <w:b w:val="0"/>
          <w:bCs w:val="0"/>
          <w:snapToGrid/>
          <w:color w:val="auto"/>
          <w:kern w:val="2"/>
          <w:sz w:val="21"/>
          <w:szCs w:val="21"/>
          <w:highlight w:val="none"/>
          <w:lang w:val="en-US" w:eastAsia="zh-CN" w:bidi="ar-SA"/>
        </w:rPr>
        <w:t>1、室外管道：新建6孔PE102管道28m，新建90*120砖砌手孔井3座。</w:t>
      </w:r>
    </w:p>
    <w:p w14:paraId="13DEFF50">
      <w:pPr>
        <w:numPr>
          <w:ilvl w:val="0"/>
          <w:numId w:val="0"/>
        </w:numPr>
        <w:spacing w:line="360" w:lineRule="auto"/>
        <w:ind w:firstLine="420" w:firstLineChars="200"/>
        <w:rPr>
          <w:rFonts w:hint="eastAsia" w:ascii="宋体" w:hAnsi="Calibri" w:eastAsia="宋体" w:cs="Times New Roman"/>
          <w:b w:val="0"/>
          <w:bCs w:val="0"/>
          <w:snapToGrid/>
          <w:color w:val="auto"/>
          <w:kern w:val="2"/>
          <w:sz w:val="21"/>
          <w:szCs w:val="21"/>
          <w:highlight w:val="none"/>
          <w:lang w:val="en-US" w:eastAsia="zh-CN" w:bidi="ar-SA"/>
        </w:rPr>
      </w:pPr>
      <w:r>
        <w:rPr>
          <w:rFonts w:hint="eastAsia" w:ascii="宋体" w:hAnsi="Calibri" w:eastAsia="宋体" w:cs="Times New Roman"/>
          <w:b w:val="0"/>
          <w:bCs w:val="0"/>
          <w:snapToGrid/>
          <w:color w:val="auto"/>
          <w:kern w:val="2"/>
          <w:sz w:val="21"/>
          <w:szCs w:val="21"/>
          <w:highlight w:val="none"/>
          <w:lang w:val="en-US" w:eastAsia="zh-CN" w:bidi="ar-SA"/>
        </w:rPr>
        <w:t>2、线路工程：新建720芯ODF光缆配线架1个，新建通信分纤箱15个，新建光纤入户箱75个，及其所需的配套管线。</w:t>
      </w:r>
    </w:p>
    <w:p w14:paraId="486A968F">
      <w:pPr>
        <w:numPr>
          <w:ilvl w:val="0"/>
          <w:numId w:val="0"/>
        </w:numPr>
        <w:spacing w:line="360" w:lineRule="auto"/>
        <w:ind w:firstLine="420" w:firstLineChars="200"/>
        <w:rPr>
          <w:rFonts w:hint="eastAsia" w:ascii="宋体" w:hAnsi="Calibri" w:eastAsia="宋体" w:cs="Times New Roman"/>
          <w:b w:val="0"/>
          <w:bCs w:val="0"/>
          <w:snapToGrid/>
          <w:color w:val="auto"/>
          <w:kern w:val="2"/>
          <w:sz w:val="21"/>
          <w:szCs w:val="21"/>
          <w:highlight w:val="none"/>
          <w:lang w:val="en-US" w:eastAsia="zh-CN" w:bidi="ar-SA"/>
        </w:rPr>
      </w:pPr>
      <w:r>
        <w:rPr>
          <w:rFonts w:hint="eastAsia" w:ascii="宋体" w:hAnsi="Calibri" w:eastAsia="宋体" w:cs="Times New Roman"/>
          <w:b w:val="0"/>
          <w:bCs w:val="0"/>
          <w:snapToGrid/>
          <w:color w:val="auto"/>
          <w:kern w:val="2"/>
          <w:sz w:val="21"/>
          <w:szCs w:val="21"/>
          <w:highlight w:val="none"/>
          <w:lang w:val="en-US" w:eastAsia="zh-CN" w:bidi="ar-SA"/>
        </w:rPr>
        <w:t>3、无线通信：新建耦合器724个，新建功分器482个，新建吸顶天线1100个，新建壁挂天线204个，及其所需的配套管线。</w:t>
      </w:r>
    </w:p>
    <w:p w14:paraId="0E71E162">
      <w:pPr>
        <w:spacing w:before="156" w:beforeLines="50" w:line="360" w:lineRule="auto"/>
        <w:ind w:firstLine="422" w:firstLineChars="200"/>
        <w:rPr>
          <w:rFonts w:hint="eastAsia" w:ascii="宋体" w:hAnsi="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（三）项目部分要求前附表（前附表要求如与采购文件其他内容有出入的，以本表为准）</w:t>
      </w:r>
    </w:p>
    <w:tbl>
      <w:tblPr>
        <w:tblStyle w:val="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3669"/>
        <w:gridCol w:w="3103"/>
        <w:gridCol w:w="1541"/>
      </w:tblGrid>
      <w:tr w14:paraId="58A15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73" w:type="dxa"/>
            <w:vAlign w:val="center"/>
          </w:tcPr>
          <w:p w14:paraId="704B86B9">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序号</w:t>
            </w:r>
          </w:p>
        </w:tc>
        <w:tc>
          <w:tcPr>
            <w:tcW w:w="3669" w:type="dxa"/>
            <w:vAlign w:val="center"/>
          </w:tcPr>
          <w:p w14:paraId="60C3E713">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项目内容</w:t>
            </w:r>
          </w:p>
        </w:tc>
        <w:tc>
          <w:tcPr>
            <w:tcW w:w="3103" w:type="dxa"/>
            <w:vAlign w:val="center"/>
          </w:tcPr>
          <w:p w14:paraId="507A0408">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说明与要求</w:t>
            </w:r>
          </w:p>
        </w:tc>
        <w:tc>
          <w:tcPr>
            <w:tcW w:w="1541" w:type="dxa"/>
            <w:vAlign w:val="center"/>
          </w:tcPr>
          <w:p w14:paraId="44A00B29">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eastAsia="宋体" w:cs="Times New Roman"/>
                <w:b w:val="0"/>
                <w:bCs w:val="0"/>
                <w:color w:val="auto"/>
                <w:szCs w:val="21"/>
                <w:highlight w:val="none"/>
                <w:lang w:val="en-US" w:eastAsia="zh-CN"/>
              </w:rPr>
              <w:t>供应商响应</w:t>
            </w:r>
          </w:p>
        </w:tc>
      </w:tr>
      <w:tr w14:paraId="27541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2A57DD3D">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1</w:t>
            </w:r>
          </w:p>
        </w:tc>
        <w:tc>
          <w:tcPr>
            <w:tcW w:w="3669" w:type="dxa"/>
            <w:vAlign w:val="center"/>
          </w:tcPr>
          <w:p w14:paraId="5D75C2B1">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施工准备时间</w:t>
            </w:r>
          </w:p>
        </w:tc>
        <w:tc>
          <w:tcPr>
            <w:tcW w:w="3103" w:type="dxa"/>
            <w:vAlign w:val="center"/>
          </w:tcPr>
          <w:p w14:paraId="6FB1CDBD">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签订合同后 7 天</w:t>
            </w:r>
          </w:p>
        </w:tc>
        <w:tc>
          <w:tcPr>
            <w:tcW w:w="1541" w:type="dxa"/>
            <w:vAlign w:val="center"/>
          </w:tcPr>
          <w:p w14:paraId="25F056D8">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32C53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63B3221C">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2</w:t>
            </w:r>
          </w:p>
        </w:tc>
        <w:tc>
          <w:tcPr>
            <w:tcW w:w="3669" w:type="dxa"/>
            <w:vAlign w:val="center"/>
          </w:tcPr>
          <w:p w14:paraId="4ABE5F75">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延误合同工期赔偿标准</w:t>
            </w:r>
          </w:p>
        </w:tc>
        <w:tc>
          <w:tcPr>
            <w:tcW w:w="3103" w:type="dxa"/>
            <w:vAlign w:val="center"/>
          </w:tcPr>
          <w:p w14:paraId="118EEC65">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val="en-US" w:eastAsia="zh-CN"/>
              </w:rPr>
              <w:t>1</w:t>
            </w:r>
            <w:r>
              <w:rPr>
                <w:rFonts w:hint="eastAsia" w:ascii="宋体" w:hAnsi="Calibri" w:eastAsia="宋体" w:cs="Times New Roman"/>
                <w:b w:val="0"/>
                <w:bCs w:val="0"/>
                <w:color w:val="auto"/>
                <w:szCs w:val="21"/>
                <w:highlight w:val="none"/>
                <w:lang w:eastAsia="zh-CN"/>
              </w:rPr>
              <w:t>000 元/天</w:t>
            </w:r>
          </w:p>
        </w:tc>
        <w:tc>
          <w:tcPr>
            <w:tcW w:w="1541" w:type="dxa"/>
            <w:vAlign w:val="center"/>
          </w:tcPr>
          <w:p w14:paraId="321A1AE8">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5BE85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0D245D06">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3</w:t>
            </w:r>
          </w:p>
        </w:tc>
        <w:tc>
          <w:tcPr>
            <w:tcW w:w="3669" w:type="dxa"/>
            <w:vAlign w:val="center"/>
          </w:tcPr>
          <w:p w14:paraId="20117766">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未达到工程工期违约金限额</w:t>
            </w:r>
          </w:p>
        </w:tc>
        <w:tc>
          <w:tcPr>
            <w:tcW w:w="3103" w:type="dxa"/>
            <w:vAlign w:val="center"/>
          </w:tcPr>
          <w:p w14:paraId="7285E86F">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合同价款的</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u w:val="single"/>
                <w:lang w:val="en-US" w:eastAsia="zh-CN"/>
              </w:rPr>
              <w:t>2</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lang w:eastAsia="zh-CN"/>
              </w:rPr>
              <w:t>%</w:t>
            </w:r>
          </w:p>
        </w:tc>
        <w:tc>
          <w:tcPr>
            <w:tcW w:w="1541" w:type="dxa"/>
            <w:vAlign w:val="center"/>
          </w:tcPr>
          <w:p w14:paraId="72D9A1DA">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yellow"/>
                <w:vertAlign w:val="baseline"/>
                <w:lang w:val="en-US" w:eastAsia="zh-CN"/>
              </w:rPr>
            </w:pPr>
          </w:p>
        </w:tc>
      </w:tr>
      <w:tr w14:paraId="5E090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22035D23">
            <w:pPr>
              <w:pageBreakBefore w:val="0"/>
              <w:kinsoku/>
              <w:wordWrap/>
              <w:overflowPunct/>
              <w:topLinePunct w:val="0"/>
              <w:bidi w:val="0"/>
              <w:spacing w:line="360" w:lineRule="auto"/>
              <w:jc w:val="center"/>
              <w:rPr>
                <w:rFonts w:hint="eastAsia" w:ascii="Times New Roman" w:hAnsi="Times New Roman" w:eastAsia="宋体" w:cs="Times New Roman"/>
                <w:b w:val="0"/>
                <w:bCs w:val="0"/>
                <w:color w:val="auto"/>
                <w:szCs w:val="21"/>
                <w:highlight w:val="none"/>
                <w:lang w:val="en-US" w:eastAsia="zh-CN"/>
              </w:rPr>
            </w:pPr>
            <w:r>
              <w:rPr>
                <w:rFonts w:hint="eastAsia" w:ascii="Times New Roman" w:hAnsi="Times New Roman" w:cs="Times New Roman"/>
                <w:b w:val="0"/>
                <w:bCs w:val="0"/>
                <w:color w:val="auto"/>
                <w:szCs w:val="21"/>
                <w:highlight w:val="none"/>
                <w:lang w:val="en-US" w:eastAsia="zh-CN"/>
              </w:rPr>
              <w:t>4</w:t>
            </w:r>
          </w:p>
        </w:tc>
        <w:tc>
          <w:tcPr>
            <w:tcW w:w="3669" w:type="dxa"/>
            <w:vAlign w:val="center"/>
          </w:tcPr>
          <w:p w14:paraId="5BA6FC64">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未达到工程质量验收标准违约金限额</w:t>
            </w:r>
          </w:p>
        </w:tc>
        <w:tc>
          <w:tcPr>
            <w:tcW w:w="3103" w:type="dxa"/>
            <w:vAlign w:val="center"/>
          </w:tcPr>
          <w:p w14:paraId="3D06A641">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合同价款的</w:t>
            </w:r>
            <w:r>
              <w:rPr>
                <w:rFonts w:hint="eastAsia" w:ascii="宋体"/>
                <w:color w:val="auto"/>
                <w:szCs w:val="21"/>
                <w:highlight w:val="none"/>
                <w:u w:val="single"/>
              </w:rPr>
              <w:t xml:space="preserve"> 1 </w:t>
            </w:r>
            <w:r>
              <w:rPr>
                <w:rFonts w:hint="eastAsia" w:ascii="宋体"/>
                <w:color w:val="auto"/>
                <w:szCs w:val="21"/>
                <w:highlight w:val="none"/>
              </w:rPr>
              <w:t>%</w:t>
            </w:r>
          </w:p>
        </w:tc>
        <w:tc>
          <w:tcPr>
            <w:tcW w:w="1541" w:type="dxa"/>
            <w:vAlign w:val="center"/>
          </w:tcPr>
          <w:p w14:paraId="7BBD1DFB">
            <w:pPr>
              <w:pageBreakBefore w:val="0"/>
              <w:kinsoku/>
              <w:wordWrap/>
              <w:overflowPunct/>
              <w:topLinePunct w:val="0"/>
              <w:bidi w:val="0"/>
              <w:spacing w:line="360" w:lineRule="auto"/>
              <w:jc w:val="center"/>
              <w:rPr>
                <w:rFonts w:hint="eastAsia" w:ascii="宋体" w:hAnsi="宋体" w:cs="宋体"/>
                <w:b w:val="0"/>
                <w:bCs w:val="0"/>
                <w:color w:val="FF0000"/>
                <w:sz w:val="21"/>
                <w:szCs w:val="21"/>
                <w:highlight w:val="yellow"/>
                <w:vertAlign w:val="baseline"/>
                <w:lang w:val="en-US" w:eastAsia="zh-CN"/>
              </w:rPr>
            </w:pPr>
          </w:p>
        </w:tc>
      </w:tr>
      <w:tr w14:paraId="4F0E2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3EDD02E6">
            <w:pPr>
              <w:pageBreakBefore w:val="0"/>
              <w:kinsoku/>
              <w:wordWrap/>
              <w:overflowPunct/>
              <w:topLinePunct w:val="0"/>
              <w:bidi w:val="0"/>
              <w:spacing w:line="360" w:lineRule="auto"/>
              <w:jc w:val="center"/>
              <w:rPr>
                <w:rFonts w:hint="eastAsia" w:ascii="Times New Roman" w:hAnsi="Times New Roman" w:eastAsia="宋体" w:cs="Times New Roman"/>
                <w:b w:val="0"/>
                <w:bCs w:val="0"/>
                <w:color w:val="auto"/>
                <w:szCs w:val="21"/>
                <w:highlight w:val="none"/>
                <w:lang w:val="en-US" w:eastAsia="zh-CN"/>
              </w:rPr>
            </w:pPr>
            <w:r>
              <w:rPr>
                <w:rFonts w:hint="eastAsia" w:ascii="Times New Roman" w:hAnsi="Times New Roman" w:cs="Times New Roman"/>
                <w:b w:val="0"/>
                <w:bCs w:val="0"/>
                <w:color w:val="auto"/>
                <w:szCs w:val="21"/>
                <w:highlight w:val="none"/>
                <w:lang w:val="en-US" w:eastAsia="zh-CN"/>
              </w:rPr>
              <w:t>5</w:t>
            </w:r>
          </w:p>
        </w:tc>
        <w:tc>
          <w:tcPr>
            <w:tcW w:w="3669" w:type="dxa"/>
            <w:vAlign w:val="center"/>
          </w:tcPr>
          <w:p w14:paraId="08D5B84D">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未履行安全文明施工承诺违约金限额</w:t>
            </w:r>
          </w:p>
        </w:tc>
        <w:tc>
          <w:tcPr>
            <w:tcW w:w="3103" w:type="dxa"/>
            <w:vAlign w:val="center"/>
          </w:tcPr>
          <w:p w14:paraId="396AE0A4">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合同价款的</w:t>
            </w:r>
            <w:r>
              <w:rPr>
                <w:rFonts w:hint="eastAsia" w:ascii="宋体"/>
                <w:color w:val="auto"/>
                <w:szCs w:val="21"/>
                <w:highlight w:val="none"/>
                <w:u w:val="single"/>
              </w:rPr>
              <w:t xml:space="preserve"> 1 </w:t>
            </w:r>
            <w:r>
              <w:rPr>
                <w:rFonts w:hint="eastAsia" w:ascii="宋体"/>
                <w:color w:val="auto"/>
                <w:szCs w:val="21"/>
                <w:highlight w:val="none"/>
              </w:rPr>
              <w:t>%</w:t>
            </w:r>
          </w:p>
        </w:tc>
        <w:tc>
          <w:tcPr>
            <w:tcW w:w="1541" w:type="dxa"/>
            <w:vAlign w:val="center"/>
          </w:tcPr>
          <w:p w14:paraId="37D4F1EF">
            <w:pPr>
              <w:pageBreakBefore w:val="0"/>
              <w:kinsoku/>
              <w:wordWrap/>
              <w:overflowPunct/>
              <w:topLinePunct w:val="0"/>
              <w:bidi w:val="0"/>
              <w:spacing w:line="360" w:lineRule="auto"/>
              <w:jc w:val="center"/>
              <w:rPr>
                <w:rFonts w:hint="eastAsia" w:ascii="宋体" w:hAnsi="宋体" w:cs="宋体"/>
                <w:b w:val="0"/>
                <w:bCs w:val="0"/>
                <w:color w:val="FF0000"/>
                <w:sz w:val="21"/>
                <w:szCs w:val="21"/>
                <w:highlight w:val="yellow"/>
                <w:vertAlign w:val="baseline"/>
                <w:lang w:val="en-US" w:eastAsia="zh-CN"/>
              </w:rPr>
            </w:pPr>
          </w:p>
        </w:tc>
      </w:tr>
      <w:tr w14:paraId="7B5F8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65B40A0E">
            <w:pPr>
              <w:pageBreakBefore w:val="0"/>
              <w:kinsoku/>
              <w:wordWrap/>
              <w:overflowPunct/>
              <w:topLinePunct w:val="0"/>
              <w:bidi w:val="0"/>
              <w:spacing w:line="36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6</w:t>
            </w:r>
          </w:p>
        </w:tc>
        <w:tc>
          <w:tcPr>
            <w:tcW w:w="3669" w:type="dxa"/>
            <w:vAlign w:val="center"/>
          </w:tcPr>
          <w:p w14:paraId="27343692">
            <w:pPr>
              <w:keepNext w:val="0"/>
              <w:keepLines w:val="0"/>
              <w:pageBreakBefore w:val="0"/>
              <w:widowControl w:val="0"/>
              <w:kinsoku/>
              <w:wordWrap/>
              <w:overflowPunct/>
              <w:topLinePunct w:val="0"/>
              <w:autoSpaceDE/>
              <w:autoSpaceDN/>
              <w:bidi w:val="0"/>
              <w:adjustRightInd/>
              <w:snapToGrid/>
              <w:spacing w:line="350" w:lineRule="exact"/>
              <w:jc w:val="center"/>
              <w:textAlignment w:val="auto"/>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未履行项目经理及主要施工管理人员到场承诺违约金限额（项目经理到场率80%以上）</w:t>
            </w:r>
          </w:p>
        </w:tc>
        <w:tc>
          <w:tcPr>
            <w:tcW w:w="3103" w:type="dxa"/>
            <w:vAlign w:val="center"/>
          </w:tcPr>
          <w:p w14:paraId="22F73DE7">
            <w:pPr>
              <w:keepNext w:val="0"/>
              <w:keepLines w:val="0"/>
              <w:pageBreakBefore w:val="0"/>
              <w:widowControl w:val="0"/>
              <w:kinsoku/>
              <w:wordWrap/>
              <w:overflowPunct/>
              <w:topLinePunct w:val="0"/>
              <w:autoSpaceDE/>
              <w:autoSpaceDN/>
              <w:bidi w:val="0"/>
              <w:adjustRightInd/>
              <w:snapToGrid/>
              <w:spacing w:line="350" w:lineRule="exact"/>
              <w:jc w:val="center"/>
              <w:textAlignment w:val="auto"/>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合同价款的</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u w:val="single"/>
                <w:lang w:val="en-US" w:eastAsia="zh-CN"/>
              </w:rPr>
              <w:t>1</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lang w:eastAsia="zh-CN"/>
              </w:rPr>
              <w:t>%</w:t>
            </w:r>
          </w:p>
        </w:tc>
        <w:tc>
          <w:tcPr>
            <w:tcW w:w="1541" w:type="dxa"/>
            <w:vAlign w:val="center"/>
          </w:tcPr>
          <w:p w14:paraId="072B9318">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yellow"/>
                <w:vertAlign w:val="baseline"/>
                <w:lang w:val="en-US" w:eastAsia="zh-CN"/>
              </w:rPr>
            </w:pPr>
          </w:p>
        </w:tc>
      </w:tr>
      <w:tr w14:paraId="5E0ED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14:paraId="21CD56A1">
            <w:pPr>
              <w:spacing w:before="156" w:beforeLines="50" w:line="360" w:lineRule="auto"/>
              <w:jc w:val="center"/>
              <w:rPr>
                <w:rFonts w:hint="default" w:ascii="宋体" w:hAnsi="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7</w:t>
            </w:r>
          </w:p>
        </w:tc>
        <w:tc>
          <w:tcPr>
            <w:tcW w:w="3669" w:type="dxa"/>
          </w:tcPr>
          <w:p w14:paraId="5BAD378D">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是否同意</w:t>
            </w:r>
            <w:r>
              <w:rPr>
                <w:rFonts w:hint="eastAsia" w:ascii="Times New Roman"/>
                <w:b w:val="0"/>
                <w:bCs w:val="0"/>
                <w:color w:val="auto"/>
                <w:kern w:val="2"/>
                <w:sz w:val="21"/>
                <w:szCs w:val="21"/>
                <w:highlight w:val="none"/>
              </w:rPr>
              <w:t>采购文件</w:t>
            </w:r>
            <w:r>
              <w:rPr>
                <w:rFonts w:ascii="Times New Roman"/>
                <w:b w:val="0"/>
                <w:bCs w:val="0"/>
                <w:color w:val="auto"/>
                <w:kern w:val="2"/>
                <w:sz w:val="21"/>
                <w:szCs w:val="21"/>
                <w:highlight w:val="none"/>
              </w:rPr>
              <w:t>其它内容</w:t>
            </w:r>
          </w:p>
        </w:tc>
        <w:tc>
          <w:tcPr>
            <w:tcW w:w="3103" w:type="dxa"/>
          </w:tcPr>
          <w:p w14:paraId="311B8979">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要求</w:t>
            </w:r>
            <w:r>
              <w:rPr>
                <w:rFonts w:hint="eastAsia" w:ascii="Times New Roman"/>
                <w:b w:val="0"/>
                <w:bCs w:val="0"/>
                <w:color w:val="auto"/>
                <w:kern w:val="2"/>
                <w:sz w:val="21"/>
                <w:szCs w:val="21"/>
                <w:highlight w:val="none"/>
              </w:rPr>
              <w:t>供应商</w:t>
            </w:r>
            <w:r>
              <w:rPr>
                <w:rFonts w:ascii="Times New Roman"/>
                <w:b w:val="0"/>
                <w:bCs w:val="0"/>
                <w:color w:val="auto"/>
                <w:kern w:val="2"/>
                <w:sz w:val="21"/>
                <w:szCs w:val="21"/>
                <w:highlight w:val="none"/>
              </w:rPr>
              <w:t>承诺“同意”</w:t>
            </w:r>
          </w:p>
        </w:tc>
        <w:tc>
          <w:tcPr>
            <w:tcW w:w="1541" w:type="dxa"/>
          </w:tcPr>
          <w:p w14:paraId="067C72EB">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p>
        </w:tc>
      </w:tr>
      <w:tr w14:paraId="4CCC2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14:paraId="675F0636">
            <w:pPr>
              <w:spacing w:before="156" w:beforeLines="50" w:line="360" w:lineRule="auto"/>
              <w:jc w:val="center"/>
              <w:rPr>
                <w:rFonts w:hint="default" w:ascii="宋体" w:hAnsi="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8</w:t>
            </w:r>
          </w:p>
        </w:tc>
        <w:tc>
          <w:tcPr>
            <w:tcW w:w="3669" w:type="dxa"/>
          </w:tcPr>
          <w:p w14:paraId="530E5215">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是否同意合同条款及合同附件格式</w:t>
            </w:r>
          </w:p>
        </w:tc>
        <w:tc>
          <w:tcPr>
            <w:tcW w:w="3103" w:type="dxa"/>
            <w:vAlign w:val="top"/>
          </w:tcPr>
          <w:p w14:paraId="5342B7ED">
            <w:pPr>
              <w:spacing w:before="156" w:beforeLines="50" w:line="360" w:lineRule="auto"/>
              <w:jc w:val="center"/>
              <w:rPr>
                <w:rFonts w:hint="eastAsia" w:ascii="宋体" w:hAnsi="宋体" w:eastAsia="宋体" w:cs="宋体"/>
                <w:b w:val="0"/>
                <w:bCs w:val="0"/>
                <w:color w:val="auto"/>
                <w:kern w:val="2"/>
                <w:sz w:val="21"/>
                <w:szCs w:val="21"/>
                <w:highlight w:val="none"/>
                <w:vertAlign w:val="baseline"/>
                <w:lang w:val="en-US" w:eastAsia="zh-CN" w:bidi="ar-SA"/>
              </w:rPr>
            </w:pPr>
            <w:r>
              <w:rPr>
                <w:rFonts w:ascii="Times New Roman"/>
                <w:b w:val="0"/>
                <w:bCs w:val="0"/>
                <w:color w:val="auto"/>
                <w:kern w:val="2"/>
                <w:sz w:val="21"/>
                <w:szCs w:val="21"/>
                <w:highlight w:val="none"/>
              </w:rPr>
              <w:t>要求</w:t>
            </w:r>
            <w:r>
              <w:rPr>
                <w:rFonts w:hint="eastAsia" w:ascii="Times New Roman"/>
                <w:b w:val="0"/>
                <w:bCs w:val="0"/>
                <w:color w:val="auto"/>
                <w:kern w:val="2"/>
                <w:sz w:val="21"/>
                <w:szCs w:val="21"/>
                <w:highlight w:val="none"/>
              </w:rPr>
              <w:t>供应商</w:t>
            </w:r>
            <w:r>
              <w:rPr>
                <w:rFonts w:ascii="Times New Roman"/>
                <w:b w:val="0"/>
                <w:bCs w:val="0"/>
                <w:color w:val="auto"/>
                <w:kern w:val="2"/>
                <w:sz w:val="21"/>
                <w:szCs w:val="21"/>
                <w:highlight w:val="none"/>
              </w:rPr>
              <w:t>承诺“同意”</w:t>
            </w:r>
          </w:p>
        </w:tc>
        <w:tc>
          <w:tcPr>
            <w:tcW w:w="1541" w:type="dxa"/>
            <w:vAlign w:val="top"/>
          </w:tcPr>
          <w:p w14:paraId="2D2B20F5">
            <w:pPr>
              <w:spacing w:before="156" w:beforeLines="50" w:line="360" w:lineRule="auto"/>
              <w:jc w:val="center"/>
              <w:rPr>
                <w:rFonts w:hint="eastAsia" w:ascii="宋体" w:hAnsi="宋体" w:eastAsia="宋体" w:cs="宋体"/>
                <w:b w:val="0"/>
                <w:bCs w:val="0"/>
                <w:color w:val="auto"/>
                <w:kern w:val="2"/>
                <w:sz w:val="21"/>
                <w:szCs w:val="21"/>
                <w:highlight w:val="none"/>
                <w:vertAlign w:val="baseline"/>
                <w:lang w:val="en-US" w:eastAsia="zh-CN" w:bidi="ar-SA"/>
              </w:rPr>
            </w:pPr>
          </w:p>
        </w:tc>
      </w:tr>
    </w:tbl>
    <w:p w14:paraId="4B6C9E64">
      <w:pPr>
        <w:spacing w:before="156" w:beforeLines="50" w:line="360" w:lineRule="auto"/>
        <w:ind w:firstLine="422" w:firstLineChars="200"/>
        <w:rPr>
          <w:rFonts w:hint="eastAsia"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▲注：“供应商响应”一栏中必须填写“同意”，否则其响应文件将被否决。</w:t>
      </w:r>
    </w:p>
    <w:p w14:paraId="79BCE145">
      <w:pPr>
        <w:spacing w:before="156" w:beforeLines="50" w:line="360" w:lineRule="auto"/>
        <w:ind w:firstLine="422" w:firstLineChars="200"/>
        <w:rPr>
          <w:rFonts w:hint="default"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(四）工程量清单、图纸</w:t>
      </w:r>
    </w:p>
    <w:p w14:paraId="0C3D3492">
      <w:pPr>
        <w:spacing w:before="156" w:beforeLines="50" w:line="360" w:lineRule="auto"/>
        <w:ind w:firstLine="420" w:firstLineChars="200"/>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详见采购文件附件：工程造价咨询报告书、图纸</w:t>
      </w:r>
    </w:p>
    <w:p w14:paraId="7B668247">
      <w:pPr>
        <w:spacing w:before="156" w:beforeLines="50" w:line="360" w:lineRule="auto"/>
        <w:ind w:firstLine="420" w:firstLineChars="200"/>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1、工程量清单说明</w:t>
      </w:r>
    </w:p>
    <w:p w14:paraId="59B7A6F4">
      <w:pPr>
        <w:spacing w:before="156" w:beforeLines="50" w:line="360" w:lineRule="auto"/>
        <w:ind w:firstLine="420" w:firstLineChars="200"/>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1.1本工程量清单应与采购文件中的竞争性磋商须知、合同条款、技术标准和要求及图纸（如有）等一起阅读和理解。</w:t>
      </w:r>
    </w:p>
    <w:p w14:paraId="21854515">
      <w:pPr>
        <w:spacing w:before="156" w:beforeLines="50" w:line="360" w:lineRule="auto"/>
        <w:ind w:firstLine="420" w:firstLineChars="200"/>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1.2各供应商应仔细阅读理解竞争性磋商文件，了解拟本项目的全部工作内容及招标范围，现场条件、施工现场的位置、周边环境、道路、装卸、施工作业时段等可能影响报价的其他因素，并充分考虑到竞争性磋商文件中包括工程工期要求、付款方式、合同价款方式及调整范围、其他主要合同条款等在内的各项相关条款，按照竞争性磋商文件相关要求，结合企业自身实力，自主优惠报价。任何因忽视或误解工地情况而导致的索赔或工期延误申请将不被批准。采购人对供应商自主做出的推论、解释和结论概不负责。</w:t>
      </w:r>
    </w:p>
    <w:p w14:paraId="315136F2">
      <w:pPr>
        <w:spacing w:before="156" w:beforeLines="50" w:line="360" w:lineRule="auto"/>
        <w:ind w:firstLine="420" w:firstLineChars="200"/>
        <w:rPr>
          <w:rFonts w:hint="eastAsia" w:ascii="宋体" w:hAnsi="宋体" w:eastAsia="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1.3供应商不得擅自改动采购人提供的工程量清单内容（计量单位、工程数量等），磋商综合折扣报价应以采购人提供的工程量清单为基础，结合施工图纸进行报价，磋商采购文件（或补充说明）或工程量清单编制说明中出现对施工图修改调整时，以磋商采购文件（或补充说明）或工程量清单编制说明的修改调整为准；若工程量清单中分部分项工程量清单项目与施工图纸相对应的项目就具体构造、作法、用材等出现矛盾时，磋商报价时以采购人提供的工程量清单为准，结算时按</w:t>
      </w:r>
      <w:r>
        <w:rPr>
          <w:rFonts w:hint="eastAsia" w:ascii="宋体" w:hAnsi="宋体" w:eastAsia="宋体" w:cs="宋体"/>
          <w:b w:val="0"/>
          <w:bCs/>
          <w:color w:val="auto"/>
          <w:sz w:val="21"/>
          <w:szCs w:val="21"/>
          <w:highlight w:val="none"/>
          <w:lang w:val="en-US" w:eastAsia="zh-CN"/>
        </w:rPr>
        <w:t>实际工程量调整。</w:t>
      </w:r>
    </w:p>
    <w:p w14:paraId="15432ECD">
      <w:pPr>
        <w:pStyle w:val="35"/>
        <w:ind w:left="0" w:leftChars="0" w:firstLine="0" w:firstLineChars="0"/>
        <w:rPr>
          <w:rFonts w:hint="eastAsia"/>
          <w:lang w:val="en-US" w:eastAsia="zh-CN"/>
        </w:rPr>
      </w:pPr>
    </w:p>
    <w:p w14:paraId="40A87BCD">
      <w:pPr>
        <w:pageBreakBefore w:val="0"/>
        <w:numPr>
          <w:ilvl w:val="0"/>
          <w:numId w:val="3"/>
        </w:numPr>
        <w:tabs>
          <w:tab w:val="left" w:pos="4915"/>
        </w:tabs>
        <w:kinsoku/>
        <w:wordWrap/>
        <w:overflowPunct/>
        <w:topLinePunct w:val="0"/>
        <w:bidi w:val="0"/>
        <w:spacing w:line="360" w:lineRule="auto"/>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主要人员要求</w:t>
      </w:r>
    </w:p>
    <w:p w14:paraId="1BCAD75D">
      <w:pPr>
        <w:spacing w:line="360" w:lineRule="auto"/>
        <w:ind w:firstLine="420" w:firstLineChars="200"/>
        <w:rPr>
          <w:rFonts w:hint="eastAsia" w:ascii="宋体" w:hAnsi="宋体" w:cs="宋体"/>
          <w:b w:val="0"/>
          <w:bCs/>
          <w:color w:val="auto"/>
          <w:sz w:val="21"/>
          <w:szCs w:val="21"/>
          <w:highlight w:val="yellow"/>
          <w:lang w:val="en-US" w:eastAsia="zh-CN"/>
        </w:rPr>
      </w:pPr>
      <w:r>
        <w:rPr>
          <w:rFonts w:hint="eastAsia" w:ascii="宋体" w:hAnsi="宋体" w:cs="宋体"/>
          <w:b w:val="0"/>
          <w:bCs/>
          <w:color w:val="auto"/>
          <w:sz w:val="21"/>
          <w:szCs w:val="21"/>
          <w:highlight w:val="none"/>
          <w:lang w:val="en-US" w:eastAsia="zh-CN"/>
        </w:rPr>
        <w:t>▲5.1项目经理：市政公用工程专业注册建造师贰级及以上或通信与广电工程注册建造师壹级，并</w:t>
      </w:r>
      <w:r>
        <w:rPr>
          <w:rFonts w:hint="eastAsia" w:ascii="宋体" w:hAnsi="宋体" w:cs="宋体"/>
          <w:szCs w:val="21"/>
          <w:highlight w:val="none"/>
        </w:rPr>
        <w:t>具有建设主管部门颁发</w:t>
      </w:r>
      <w:r>
        <w:rPr>
          <w:rFonts w:hint="eastAsia" w:ascii="宋体" w:hAnsi="宋体" w:cs="宋体"/>
          <w:szCs w:val="21"/>
          <w:highlight w:val="none"/>
          <w:lang w:val="en-US" w:eastAsia="zh-CN"/>
        </w:rPr>
        <w:t>的有效</w:t>
      </w:r>
      <w:r>
        <w:rPr>
          <w:rFonts w:hint="eastAsia" w:ascii="宋体" w:hAnsi="宋体" w:cs="宋体"/>
          <w:b w:val="0"/>
          <w:bCs/>
          <w:color w:val="auto"/>
          <w:sz w:val="21"/>
          <w:szCs w:val="21"/>
          <w:highlight w:val="none"/>
          <w:lang w:val="en-US" w:eastAsia="zh-CN"/>
        </w:rPr>
        <w:t>《安全生产考核合格证书》（B类），同时</w:t>
      </w:r>
      <w:r>
        <w:rPr>
          <w:rFonts w:hint="eastAsia"/>
          <w:color w:val="auto"/>
          <w:highlight w:val="none"/>
        </w:rPr>
        <w:t>项目负责人必须具备与本单位所从事的生产经营活动相应的安全生产知识和管理能力，并取得通信主管部门核发</w:t>
      </w:r>
      <w:r>
        <w:rPr>
          <w:rFonts w:hint="eastAsia"/>
          <w:color w:val="auto"/>
          <w:highlight w:val="none"/>
          <w:lang w:val="en-US" w:eastAsia="zh-CN"/>
        </w:rPr>
        <w:t>的</w:t>
      </w:r>
      <w:r>
        <w:rPr>
          <w:rFonts w:hint="eastAsia"/>
          <w:color w:val="auto"/>
          <w:highlight w:val="none"/>
        </w:rPr>
        <w:t>有效安全生产考核合格证书</w:t>
      </w:r>
      <w:r>
        <w:rPr>
          <w:rFonts w:hint="eastAsia"/>
          <w:color w:val="auto"/>
          <w:highlight w:val="none"/>
          <w:lang w:eastAsia="zh-CN"/>
        </w:rPr>
        <w:t>；</w:t>
      </w:r>
      <w:r>
        <w:rPr>
          <w:rFonts w:hint="eastAsia" w:ascii="宋体" w:hAnsi="宋体" w:cs="宋体"/>
          <w:b w:val="0"/>
          <w:bCs/>
          <w:color w:val="auto"/>
          <w:sz w:val="21"/>
          <w:szCs w:val="21"/>
          <w:highlight w:val="none"/>
          <w:lang w:val="en-US" w:eastAsia="zh-CN"/>
        </w:rPr>
        <w:t>（投标文件中提供相关证书证明资料）</w:t>
      </w:r>
    </w:p>
    <w:p w14:paraId="1EC8B781">
      <w:pPr>
        <w:spacing w:line="360" w:lineRule="auto"/>
        <w:ind w:firstLine="420" w:firstLineChars="200"/>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▲5.2项目专职安全员1名，</w:t>
      </w:r>
      <w:r>
        <w:rPr>
          <w:rFonts w:hint="eastAsia" w:ascii="宋体" w:hAnsi="宋体" w:cs="宋体"/>
          <w:szCs w:val="21"/>
          <w:highlight w:val="none"/>
        </w:rPr>
        <w:t>具有建设主管部门颁发</w:t>
      </w:r>
      <w:r>
        <w:rPr>
          <w:rFonts w:hint="eastAsia" w:ascii="宋体" w:hAnsi="宋体" w:cs="宋体"/>
          <w:szCs w:val="21"/>
          <w:highlight w:val="none"/>
          <w:lang w:val="en-US" w:eastAsia="zh-CN"/>
        </w:rPr>
        <w:t>的有效</w:t>
      </w:r>
      <w:r>
        <w:rPr>
          <w:rFonts w:hint="eastAsia" w:ascii="宋体" w:hAnsi="宋体" w:cs="宋体"/>
          <w:b w:val="0"/>
          <w:bCs/>
          <w:color w:val="auto"/>
          <w:sz w:val="21"/>
          <w:szCs w:val="21"/>
          <w:highlight w:val="none"/>
          <w:lang w:val="en-US" w:eastAsia="zh-CN"/>
        </w:rPr>
        <w:t>《安全生产考核合格证书》（C类），同时</w:t>
      </w:r>
      <w:r>
        <w:rPr>
          <w:rFonts w:hint="eastAsia"/>
          <w:color w:val="auto"/>
          <w:highlight w:val="none"/>
        </w:rPr>
        <w:t>专职安全生产管理人员必须具备与本单位所从事的生产经营活动相应的安全生产知识和管理能力，并取得通信主管部门核发</w:t>
      </w:r>
      <w:r>
        <w:rPr>
          <w:rFonts w:hint="eastAsia"/>
          <w:color w:val="auto"/>
          <w:highlight w:val="none"/>
          <w:lang w:val="en-US" w:eastAsia="zh-CN"/>
        </w:rPr>
        <w:t>的</w:t>
      </w:r>
      <w:r>
        <w:rPr>
          <w:rFonts w:hint="eastAsia"/>
          <w:color w:val="auto"/>
          <w:highlight w:val="none"/>
        </w:rPr>
        <w:t>有效安全生产考核合格证书</w:t>
      </w:r>
      <w:r>
        <w:rPr>
          <w:rFonts w:hint="eastAsia"/>
          <w:color w:val="auto"/>
          <w:highlight w:val="none"/>
          <w:lang w:eastAsia="zh-CN"/>
        </w:rPr>
        <w:t>；</w:t>
      </w:r>
      <w:r>
        <w:rPr>
          <w:rFonts w:hint="eastAsia" w:ascii="宋体" w:hAnsi="宋体" w:cs="宋体"/>
          <w:b w:val="0"/>
          <w:bCs/>
          <w:color w:val="auto"/>
          <w:sz w:val="21"/>
          <w:szCs w:val="21"/>
          <w:highlight w:val="none"/>
          <w:lang w:val="en-US" w:eastAsia="zh-CN"/>
        </w:rPr>
        <w:t>（投标文件中提供相关证书证明资料）</w:t>
      </w:r>
    </w:p>
    <w:p w14:paraId="467C0CDA">
      <w:pPr>
        <w:keepNext w:val="0"/>
        <w:keepLines w:val="0"/>
        <w:pageBreakBefore w:val="0"/>
        <w:widowControl w:val="0"/>
        <w:shd w:val="clear"/>
        <w:tabs>
          <w:tab w:val="left" w:pos="4915"/>
        </w:tabs>
        <w:kinsoku/>
        <w:wordWrap/>
        <w:overflowPunct/>
        <w:topLinePunct w:val="0"/>
        <w:autoSpaceDE/>
        <w:autoSpaceDN/>
        <w:bidi w:val="0"/>
        <w:adjustRightInd/>
        <w:snapToGrid/>
        <w:spacing w:line="440" w:lineRule="exact"/>
        <w:ind w:firstLine="630" w:firstLineChars="300"/>
        <w:textAlignment w:val="auto"/>
        <w:rPr>
          <w:rFonts w:hint="default" w:ascii="Times New Roman" w:hAnsi="Times New Roman" w:eastAsia="宋体" w:cs="宋体"/>
          <w:color w:val="auto"/>
          <w:szCs w:val="21"/>
          <w:highlight w:val="none"/>
          <w:lang w:val="en-US" w:eastAsia="zh-CN"/>
        </w:rPr>
      </w:pPr>
      <w:r>
        <w:rPr>
          <w:rFonts w:hint="eastAsia" w:ascii="Times New Roman" w:hAnsi="Times New Roman" w:cs="宋体"/>
          <w:color w:val="auto"/>
          <w:szCs w:val="21"/>
          <w:highlight w:val="none"/>
          <w:lang w:val="en-US" w:eastAsia="zh-CN"/>
        </w:rPr>
        <w:t>5.3其它人员：提供针对本项目拟配备的其它人员（如施工员、质量员、安全员等）。（投标文件中提供相关证书证明材料）</w:t>
      </w:r>
    </w:p>
    <w:p w14:paraId="44CFE021">
      <w:pPr>
        <w:pStyle w:val="32"/>
        <w:rPr>
          <w:rFonts w:hint="default"/>
          <w:lang w:val="en-US" w:eastAsia="zh-CN"/>
        </w:rPr>
      </w:pPr>
    </w:p>
    <w:p w14:paraId="13694DC5">
      <w:pPr>
        <w:spacing w:before="156" w:beforeLines="50" w:line="360" w:lineRule="auto"/>
        <w:rPr>
          <w:rFonts w:hint="eastAsia" w:ascii="宋体" w:hAnsi="宋体" w:eastAsia="宋体" w:cs="宋体"/>
          <w:b/>
          <w:bCs w:val="0"/>
          <w:color w:val="auto"/>
          <w:sz w:val="21"/>
          <w:szCs w:val="21"/>
          <w:highlight w:val="none"/>
          <w:lang w:val="en-US" w:eastAsia="zh-CN"/>
        </w:rPr>
      </w:pPr>
      <w:r>
        <w:rPr>
          <w:rFonts w:hint="eastAsia" w:ascii="宋体" w:hAnsi="宋体" w:cs="宋体"/>
          <w:b/>
          <w:color w:val="auto"/>
          <w:sz w:val="21"/>
          <w:szCs w:val="21"/>
          <w:highlight w:val="none"/>
          <w:lang w:val="en-US" w:eastAsia="zh-CN"/>
        </w:rPr>
        <w:t>（六）系统设计说明：详见图纸</w:t>
      </w:r>
    </w:p>
    <w:p w14:paraId="5858C737">
      <w:pPr>
        <w:rPr>
          <w:rFonts w:hint="eastAsia" w:ascii="宋体" w:hAnsi="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br w:type="page"/>
      </w:r>
    </w:p>
    <w:p w14:paraId="6F32FEDB">
      <w:pPr>
        <w:spacing w:before="156" w:beforeLines="50" w:line="360" w:lineRule="auto"/>
        <w:rPr>
          <w:rFonts w:hint="eastAsia" w:ascii="宋体" w:hAnsi="宋体" w:eastAsia="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（七）</w:t>
      </w:r>
      <w:r>
        <w:rPr>
          <w:rFonts w:hint="eastAsia" w:ascii="宋体" w:hAnsi="宋体" w:eastAsia="宋体" w:cs="宋体"/>
          <w:b/>
          <w:bCs w:val="0"/>
          <w:color w:val="auto"/>
          <w:sz w:val="21"/>
          <w:szCs w:val="21"/>
          <w:highlight w:val="none"/>
          <w:lang w:val="en-US" w:eastAsia="zh-CN"/>
        </w:rPr>
        <w:t>商务要求</w:t>
      </w:r>
    </w:p>
    <w:bookmarkEnd w:id="27"/>
    <w:tbl>
      <w:tblPr>
        <w:tblStyle w:val="24"/>
        <w:tblW w:w="100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9046"/>
      </w:tblGrid>
      <w:tr w14:paraId="6D814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62" w:type="dxa"/>
            <w:noWrap w:val="0"/>
            <w:vAlign w:val="center"/>
          </w:tcPr>
          <w:p w14:paraId="529261BA">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序号</w:t>
            </w:r>
          </w:p>
        </w:tc>
        <w:tc>
          <w:tcPr>
            <w:tcW w:w="9046" w:type="dxa"/>
            <w:noWrap w:val="0"/>
            <w:vAlign w:val="center"/>
          </w:tcPr>
          <w:p w14:paraId="50FBB9CC">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商务条款要求</w:t>
            </w:r>
          </w:p>
        </w:tc>
      </w:tr>
      <w:tr w14:paraId="1ABE2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962" w:type="dxa"/>
            <w:noWrap w:val="0"/>
            <w:vAlign w:val="center"/>
          </w:tcPr>
          <w:p w14:paraId="5A8E09DB">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w:t>
            </w:r>
          </w:p>
        </w:tc>
        <w:tc>
          <w:tcPr>
            <w:tcW w:w="9046" w:type="dxa"/>
            <w:noWrap w:val="0"/>
            <w:vAlign w:val="center"/>
          </w:tcPr>
          <w:p w14:paraId="591D38DA">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履约保证金：签约合同金额的2%，电汇、银行支票、银行保函、保险公司担保等形式。于签订合同的同时缴纳给采购人，项目</w:t>
            </w:r>
            <w:r>
              <w:rPr>
                <w:rFonts w:hint="eastAsia" w:ascii="宋体" w:hAnsi="宋体" w:cs="宋体"/>
                <w:b w:val="0"/>
                <w:bCs/>
                <w:color w:val="auto"/>
                <w:sz w:val="21"/>
                <w:szCs w:val="21"/>
                <w:highlight w:val="none"/>
                <w:lang w:val="en-US" w:eastAsia="zh-CN"/>
              </w:rPr>
              <w:t>竣工</w:t>
            </w:r>
            <w:r>
              <w:rPr>
                <w:rFonts w:hint="eastAsia" w:ascii="宋体" w:hAnsi="宋体" w:eastAsia="宋体" w:cs="宋体"/>
                <w:b w:val="0"/>
                <w:bCs/>
                <w:color w:val="auto"/>
                <w:sz w:val="21"/>
                <w:szCs w:val="21"/>
                <w:highlight w:val="none"/>
                <w:lang w:val="en-US" w:eastAsia="zh-CN"/>
              </w:rPr>
              <w:t>验收后退回。</w:t>
            </w:r>
          </w:p>
        </w:tc>
      </w:tr>
      <w:tr w14:paraId="62AB0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962" w:type="dxa"/>
            <w:noWrap w:val="0"/>
            <w:vAlign w:val="center"/>
          </w:tcPr>
          <w:p w14:paraId="6FA54C72">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w:t>
            </w:r>
          </w:p>
        </w:tc>
        <w:tc>
          <w:tcPr>
            <w:tcW w:w="9046" w:type="dxa"/>
            <w:noWrap w:val="0"/>
            <w:vAlign w:val="center"/>
          </w:tcPr>
          <w:p w14:paraId="4EE31981">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质量等级要求：达到国家和行业施工验收规范一次性验收合格</w:t>
            </w:r>
          </w:p>
          <w:p w14:paraId="730262AB">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安全等级要求：合格</w:t>
            </w:r>
          </w:p>
        </w:tc>
      </w:tr>
      <w:tr w14:paraId="42AE3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 w:type="dxa"/>
            <w:noWrap w:val="0"/>
            <w:vAlign w:val="center"/>
          </w:tcPr>
          <w:p w14:paraId="5E274F28">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3</w:t>
            </w:r>
          </w:p>
        </w:tc>
        <w:tc>
          <w:tcPr>
            <w:tcW w:w="9046" w:type="dxa"/>
            <w:noWrap w:val="0"/>
            <w:vAlign w:val="center"/>
          </w:tcPr>
          <w:p w14:paraId="36885E76">
            <w:pPr>
              <w:spacing w:before="156" w:beforeLines="50" w:line="240" w:lineRule="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缺陷责任期（工程质量保修期）：自工程接受证书中写明的全部工程完工日开始算起（发包人提前验收并签发接受证书的单位工程和部分工程，若未投入正常使用，其缺陷责任期亦按全部工程的完工日开始起算），本工程质量缺陷责任期为2年。</w:t>
            </w:r>
          </w:p>
        </w:tc>
      </w:tr>
      <w:tr w14:paraId="4A91C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962" w:type="dxa"/>
            <w:noWrap w:val="0"/>
            <w:vAlign w:val="center"/>
          </w:tcPr>
          <w:p w14:paraId="2824D8D4">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5</w:t>
            </w:r>
          </w:p>
        </w:tc>
        <w:tc>
          <w:tcPr>
            <w:tcW w:w="9046" w:type="dxa"/>
            <w:noWrap w:val="0"/>
            <w:vAlign w:val="center"/>
          </w:tcPr>
          <w:p w14:paraId="7C5A50FE">
            <w:pPr>
              <w:keepNext w:val="0"/>
              <w:keepLines w:val="0"/>
              <w:pageBreakBefore w:val="0"/>
              <w:widowControl w:val="0"/>
              <w:kinsoku/>
              <w:wordWrap/>
              <w:overflowPunct/>
              <w:topLinePunct w:val="0"/>
              <w:bidi w:val="0"/>
              <w:adjustRightInd/>
              <w:spacing w:line="360" w:lineRule="auto"/>
              <w:ind w:firstLine="420" w:firstLineChars="200"/>
              <w:textAlignment w:val="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付款方式：在合同签订生效后一周内，支付合同价款的20%；（预付款扣回的方式：在前2次工程进度款支付时各扣回预付款的50%)在工程施工进度</w:t>
            </w:r>
            <w:r>
              <w:rPr>
                <w:rFonts w:hint="eastAsia" w:ascii="宋体" w:hAnsi="宋体" w:cs="宋体"/>
                <w:b w:val="0"/>
                <w:bCs/>
                <w:color w:val="auto"/>
                <w:sz w:val="21"/>
                <w:szCs w:val="21"/>
                <w:highlight w:val="none"/>
                <w:lang w:val="en-US" w:eastAsia="zh-CN"/>
              </w:rPr>
              <w:t>（监理工程师、现场业主代表共同核定的已完合格的工程量）</w:t>
            </w:r>
            <w:r>
              <w:rPr>
                <w:rFonts w:hint="eastAsia" w:ascii="宋体" w:hAnsi="宋体" w:eastAsia="宋体" w:cs="宋体"/>
                <w:b w:val="0"/>
                <w:bCs/>
                <w:color w:val="auto"/>
                <w:sz w:val="21"/>
                <w:szCs w:val="21"/>
                <w:highlight w:val="none"/>
                <w:lang w:val="en-US" w:eastAsia="zh-CN"/>
              </w:rPr>
              <w:t>至50%时支付合同价款的30%；工程施工进度</w:t>
            </w:r>
            <w:r>
              <w:rPr>
                <w:rFonts w:hint="eastAsia" w:ascii="宋体" w:hAnsi="宋体" w:cs="宋体"/>
                <w:b w:val="0"/>
                <w:bCs/>
                <w:color w:val="auto"/>
                <w:sz w:val="21"/>
                <w:szCs w:val="21"/>
                <w:highlight w:val="none"/>
                <w:lang w:val="en-US" w:eastAsia="zh-CN"/>
              </w:rPr>
              <w:t>（监理工程师、现场业主代表共同核定的已完合格的工程量）</w:t>
            </w:r>
            <w:r>
              <w:rPr>
                <w:rFonts w:hint="eastAsia" w:ascii="宋体" w:hAnsi="宋体" w:eastAsia="宋体" w:cs="宋体"/>
                <w:b w:val="0"/>
                <w:bCs/>
                <w:color w:val="auto"/>
                <w:sz w:val="21"/>
                <w:szCs w:val="21"/>
                <w:highlight w:val="none"/>
                <w:lang w:val="en-US" w:eastAsia="zh-CN"/>
              </w:rPr>
              <w:t>至80%时支付合同价款的30%；待工程竣工验收合格后支付至合同价款的80%；待竣工结算经甲方委托的造价咨询机构审核后支付至结算审核价款的</w:t>
            </w:r>
            <w:r>
              <w:rPr>
                <w:rFonts w:hint="eastAsia" w:ascii="宋体" w:hAnsi="宋体" w:cs="宋体"/>
                <w:b w:val="0"/>
                <w:bCs/>
                <w:color w:val="auto"/>
                <w:sz w:val="21"/>
                <w:szCs w:val="21"/>
                <w:highlight w:val="none"/>
                <w:lang w:val="en-US" w:eastAsia="zh-CN"/>
              </w:rPr>
              <w:t>98.5</w:t>
            </w:r>
            <w:r>
              <w:rPr>
                <w:rFonts w:hint="eastAsia" w:ascii="宋体" w:hAnsi="宋体" w:eastAsia="宋体" w:cs="宋体"/>
                <w:b w:val="0"/>
                <w:bCs/>
                <w:color w:val="auto"/>
                <w:sz w:val="21"/>
                <w:szCs w:val="21"/>
                <w:highlight w:val="none"/>
                <w:lang w:val="en-US" w:eastAsia="zh-CN"/>
              </w:rPr>
              <w:t>%，余款</w:t>
            </w:r>
            <w:r>
              <w:rPr>
                <w:rFonts w:hint="eastAsia" w:ascii="宋体" w:hAnsi="宋体" w:cs="宋体"/>
                <w:b w:val="0"/>
                <w:bCs/>
                <w:color w:val="auto"/>
                <w:sz w:val="21"/>
                <w:szCs w:val="21"/>
                <w:highlight w:val="none"/>
                <w:lang w:val="en-US" w:eastAsia="zh-CN"/>
              </w:rPr>
              <w:t>在质保期过后</w:t>
            </w:r>
            <w:r>
              <w:rPr>
                <w:rFonts w:hint="eastAsia" w:ascii="宋体" w:hAnsi="宋体" w:eastAsia="宋体" w:cs="宋体"/>
                <w:b w:val="0"/>
                <w:bCs/>
                <w:color w:val="auto"/>
                <w:sz w:val="21"/>
                <w:szCs w:val="21"/>
                <w:highlight w:val="none"/>
                <w:lang w:val="en-US" w:eastAsia="zh-CN"/>
              </w:rPr>
              <w:t>付清。每次付款前，承包人需提供全额增值税专用发票，否则发包人有权延期付款且不承担违约责任。</w:t>
            </w:r>
          </w:p>
        </w:tc>
      </w:tr>
      <w:tr w14:paraId="066FC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trPr>
        <w:tc>
          <w:tcPr>
            <w:tcW w:w="962" w:type="dxa"/>
            <w:noWrap w:val="0"/>
            <w:vAlign w:val="center"/>
          </w:tcPr>
          <w:p w14:paraId="0D79DE77">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6</w:t>
            </w:r>
          </w:p>
        </w:tc>
        <w:tc>
          <w:tcPr>
            <w:tcW w:w="9046" w:type="dxa"/>
            <w:noWrap w:val="0"/>
            <w:vAlign w:val="center"/>
          </w:tcPr>
          <w:p w14:paraId="6F7E61CA">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施工工期：合同签订后</w:t>
            </w:r>
            <w:r>
              <w:rPr>
                <w:rFonts w:hint="eastAsia" w:ascii="宋体" w:hAnsi="宋体" w:cs="宋体"/>
                <w:b w:val="0"/>
                <w:bCs/>
                <w:color w:val="auto"/>
                <w:sz w:val="21"/>
                <w:szCs w:val="21"/>
                <w:highlight w:val="none"/>
                <w:lang w:val="en-US" w:eastAsia="zh-CN"/>
              </w:rPr>
              <w:t>500</w:t>
            </w:r>
            <w:r>
              <w:rPr>
                <w:rFonts w:hint="eastAsia" w:ascii="宋体" w:hAnsi="宋体" w:eastAsia="宋体" w:cs="宋体"/>
                <w:b w:val="0"/>
                <w:bCs/>
                <w:color w:val="auto"/>
                <w:sz w:val="21"/>
                <w:szCs w:val="21"/>
                <w:highlight w:val="none"/>
                <w:lang w:val="en-US" w:eastAsia="zh-CN"/>
              </w:rPr>
              <w:t>日历天内完工</w:t>
            </w:r>
          </w:p>
          <w:p w14:paraId="14AE8290">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施工地点：</w:t>
            </w:r>
            <w:r>
              <w:rPr>
                <w:rFonts w:hint="eastAsia" w:ascii="宋体" w:hAnsi="宋体" w:cs="宋体"/>
                <w:b w:val="0"/>
                <w:bCs/>
                <w:color w:val="auto"/>
                <w:sz w:val="21"/>
                <w:szCs w:val="21"/>
                <w:highlight w:val="none"/>
                <w:lang w:val="en-US" w:eastAsia="zh-CN"/>
              </w:rPr>
              <w:t>业主指定地点</w:t>
            </w:r>
            <w:r>
              <w:rPr>
                <w:rFonts w:hint="eastAsia" w:ascii="宋体" w:hAnsi="宋体" w:eastAsia="宋体" w:cs="宋体"/>
                <w:b w:val="0"/>
                <w:bCs/>
                <w:color w:val="auto"/>
                <w:sz w:val="21"/>
                <w:szCs w:val="21"/>
                <w:highlight w:val="none"/>
                <w:lang w:val="en-US" w:eastAsia="zh-CN"/>
              </w:rPr>
              <w:t>。</w:t>
            </w:r>
          </w:p>
        </w:tc>
      </w:tr>
      <w:tr w14:paraId="2E0BC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962" w:type="dxa"/>
            <w:noWrap w:val="0"/>
            <w:vAlign w:val="center"/>
          </w:tcPr>
          <w:p w14:paraId="65E4F91D">
            <w:pPr>
              <w:spacing w:before="156" w:beforeLines="50" w:line="240"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7</w:t>
            </w:r>
          </w:p>
        </w:tc>
        <w:tc>
          <w:tcPr>
            <w:tcW w:w="9046" w:type="dxa"/>
            <w:noWrap w:val="0"/>
            <w:vAlign w:val="center"/>
          </w:tcPr>
          <w:p w14:paraId="4D49926A">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报价方式：按采购文件附件“工程量清单”的价格报统一综合折扣，折扣不得高于94%。</w:t>
            </w:r>
          </w:p>
          <w:p w14:paraId="3E146BAA">
            <w:pPr>
              <w:spacing w:before="156" w:beforeLines="50" w:line="240" w:lineRule="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本项目为可调价格合同，工程量按实结算</w:t>
            </w:r>
          </w:p>
        </w:tc>
      </w:tr>
      <w:tr w14:paraId="335E7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962" w:type="dxa"/>
            <w:noWrap w:val="0"/>
            <w:vAlign w:val="center"/>
          </w:tcPr>
          <w:p w14:paraId="159CC569">
            <w:pPr>
              <w:spacing w:before="156" w:beforeLines="50" w:line="240" w:lineRule="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8</w:t>
            </w:r>
          </w:p>
        </w:tc>
        <w:tc>
          <w:tcPr>
            <w:tcW w:w="9046" w:type="dxa"/>
            <w:noWrap w:val="0"/>
            <w:vAlign w:val="center"/>
          </w:tcPr>
          <w:p w14:paraId="6933E7CE">
            <w:pPr>
              <w:spacing w:before="156" w:beforeLines="50" w:line="240" w:lineRule="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本项目签约合同价计算公式：预算金额*中标综合折扣</w:t>
            </w:r>
          </w:p>
        </w:tc>
      </w:tr>
    </w:tbl>
    <w:p w14:paraId="18062131">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2362EC50">
      <w:pPr>
        <w:pStyle w:val="35"/>
        <w:rPr>
          <w:rFonts w:hint="eastAsia"/>
        </w:rPr>
      </w:pPr>
    </w:p>
    <w:p w14:paraId="6FB02680">
      <w:pPr>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28" w:name="_Toc184310337"/>
      <w:bookmarkEnd w:id="28"/>
      <w:bookmarkStart w:id="29" w:name="_Toc184308101"/>
      <w:bookmarkEnd w:id="29"/>
      <w:bookmarkStart w:id="30" w:name="_Toc184313246"/>
      <w:bookmarkEnd w:id="30"/>
      <w:bookmarkStart w:id="31" w:name="_Toc184308036"/>
      <w:bookmarkEnd w:id="31"/>
      <w:bookmarkStart w:id="32" w:name="_Toc184308078"/>
      <w:bookmarkEnd w:id="32"/>
      <w:bookmarkStart w:id="33" w:name="_Toc184313297"/>
      <w:bookmarkEnd w:id="33"/>
      <w:bookmarkStart w:id="34" w:name="_Toc184310293"/>
      <w:bookmarkEnd w:id="34"/>
      <w:bookmarkStart w:id="35" w:name="_Toc184310323"/>
      <w:bookmarkEnd w:id="35"/>
      <w:bookmarkStart w:id="36" w:name="_Toc184312102"/>
      <w:bookmarkEnd w:id="36"/>
      <w:bookmarkStart w:id="37" w:name="_Toc184310298"/>
      <w:bookmarkEnd w:id="37"/>
      <w:bookmarkStart w:id="38" w:name="_Toc184310290"/>
      <w:bookmarkEnd w:id="38"/>
      <w:bookmarkStart w:id="39" w:name="_Toc184312070"/>
      <w:bookmarkEnd w:id="39"/>
      <w:bookmarkStart w:id="40" w:name="_Toc184308104"/>
      <w:bookmarkEnd w:id="40"/>
      <w:bookmarkStart w:id="41" w:name="_Toc184308039"/>
      <w:bookmarkEnd w:id="41"/>
      <w:bookmarkStart w:id="42" w:name="_Toc184312119"/>
      <w:bookmarkEnd w:id="42"/>
      <w:bookmarkStart w:id="43" w:name="_Toc184312105"/>
      <w:bookmarkEnd w:id="43"/>
      <w:bookmarkStart w:id="44" w:name="_Toc184312133"/>
      <w:bookmarkEnd w:id="44"/>
      <w:bookmarkStart w:id="45" w:name="_Toc184308073"/>
      <w:bookmarkEnd w:id="45"/>
      <w:bookmarkStart w:id="46" w:name="_Toc184313309"/>
      <w:bookmarkEnd w:id="46"/>
      <w:bookmarkStart w:id="47" w:name="_Toc184313279"/>
      <w:bookmarkEnd w:id="47"/>
      <w:bookmarkStart w:id="48" w:name="_Toc184313310"/>
      <w:bookmarkEnd w:id="48"/>
      <w:bookmarkStart w:id="49" w:name="_Toc184314465"/>
      <w:bookmarkEnd w:id="49"/>
      <w:bookmarkStart w:id="50" w:name="_Toc184312097"/>
      <w:bookmarkEnd w:id="50"/>
      <w:bookmarkStart w:id="51" w:name="_Toc184313262"/>
      <w:bookmarkEnd w:id="51"/>
      <w:bookmarkStart w:id="52" w:name="_Toc184308091"/>
      <w:bookmarkEnd w:id="52"/>
      <w:bookmarkStart w:id="53" w:name="_Toc184312127"/>
      <w:bookmarkEnd w:id="53"/>
      <w:bookmarkStart w:id="54" w:name="_Toc184308107"/>
      <w:bookmarkEnd w:id="54"/>
      <w:bookmarkStart w:id="55" w:name="_Toc184313285"/>
      <w:bookmarkEnd w:id="55"/>
      <w:bookmarkStart w:id="56" w:name="_Toc184312114"/>
      <w:bookmarkEnd w:id="56"/>
      <w:bookmarkStart w:id="57" w:name="_Toc184310295"/>
      <w:bookmarkEnd w:id="57"/>
      <w:bookmarkStart w:id="58" w:name="_Toc184312074"/>
      <w:bookmarkEnd w:id="58"/>
      <w:bookmarkStart w:id="59" w:name="_Toc184312130"/>
      <w:bookmarkEnd w:id="59"/>
      <w:bookmarkStart w:id="60" w:name="_Toc184308093"/>
      <w:bookmarkEnd w:id="60"/>
      <w:bookmarkStart w:id="61" w:name="_Toc184310277"/>
      <w:bookmarkEnd w:id="61"/>
      <w:bookmarkStart w:id="62" w:name="_Toc184313296"/>
      <w:bookmarkEnd w:id="62"/>
      <w:bookmarkStart w:id="63" w:name="_Toc184310296"/>
      <w:bookmarkEnd w:id="63"/>
      <w:bookmarkStart w:id="64" w:name="_Toc184312124"/>
      <w:bookmarkEnd w:id="64"/>
      <w:bookmarkStart w:id="65" w:name="_Toc184313274"/>
      <w:bookmarkEnd w:id="65"/>
      <w:bookmarkStart w:id="66" w:name="_Toc184310291"/>
      <w:bookmarkEnd w:id="66"/>
      <w:bookmarkStart w:id="67" w:name="_Toc184313256"/>
      <w:bookmarkEnd w:id="67"/>
      <w:bookmarkStart w:id="68" w:name="_Toc184312128"/>
      <w:bookmarkEnd w:id="68"/>
      <w:bookmarkStart w:id="69" w:name="_Toc184314457"/>
      <w:bookmarkEnd w:id="69"/>
      <w:bookmarkStart w:id="70" w:name="_Toc184314468"/>
      <w:bookmarkEnd w:id="70"/>
      <w:bookmarkStart w:id="71" w:name="_Toc184312082"/>
      <w:bookmarkEnd w:id="71"/>
      <w:bookmarkStart w:id="72" w:name="_Toc184312072"/>
      <w:bookmarkEnd w:id="72"/>
      <w:bookmarkStart w:id="73" w:name="_Toc184314454"/>
      <w:bookmarkEnd w:id="73"/>
      <w:bookmarkStart w:id="74" w:name="_Toc184308090"/>
      <w:bookmarkEnd w:id="74"/>
      <w:bookmarkStart w:id="75" w:name="_Toc184313292"/>
      <w:bookmarkEnd w:id="75"/>
      <w:bookmarkStart w:id="76" w:name="_Toc184312123"/>
      <w:bookmarkEnd w:id="76"/>
      <w:bookmarkStart w:id="77" w:name="_Toc184312078"/>
      <w:bookmarkEnd w:id="77"/>
      <w:bookmarkStart w:id="78" w:name="_Toc184313303"/>
      <w:bookmarkEnd w:id="78"/>
      <w:bookmarkStart w:id="79" w:name="_Toc184310300"/>
      <w:bookmarkEnd w:id="79"/>
      <w:bookmarkStart w:id="80" w:name="_Toc184313264"/>
      <w:bookmarkEnd w:id="80"/>
      <w:bookmarkStart w:id="81" w:name="_Toc184308044"/>
      <w:bookmarkEnd w:id="81"/>
      <w:bookmarkStart w:id="82" w:name="_Toc184313305"/>
      <w:bookmarkEnd w:id="82"/>
      <w:bookmarkStart w:id="83" w:name="_Toc184314429"/>
      <w:bookmarkEnd w:id="83"/>
      <w:bookmarkStart w:id="84" w:name="_Toc184312103"/>
      <w:bookmarkEnd w:id="84"/>
      <w:bookmarkStart w:id="85" w:name="_Toc184313283"/>
      <w:bookmarkEnd w:id="85"/>
      <w:bookmarkStart w:id="86" w:name="_Toc184308085"/>
      <w:bookmarkEnd w:id="86"/>
      <w:bookmarkStart w:id="87" w:name="_Toc184314442"/>
      <w:bookmarkEnd w:id="87"/>
      <w:bookmarkStart w:id="88" w:name="_Toc184314459"/>
      <w:bookmarkEnd w:id="88"/>
      <w:bookmarkStart w:id="89" w:name="_Toc184308080"/>
      <w:bookmarkEnd w:id="89"/>
      <w:bookmarkStart w:id="90" w:name="_Toc184314415"/>
      <w:bookmarkEnd w:id="90"/>
      <w:bookmarkStart w:id="91" w:name="_Toc184314456"/>
      <w:bookmarkEnd w:id="91"/>
      <w:bookmarkStart w:id="92" w:name="_Toc184308061"/>
      <w:bookmarkEnd w:id="92"/>
      <w:bookmarkStart w:id="93" w:name="_Toc184308069"/>
      <w:bookmarkEnd w:id="93"/>
      <w:bookmarkStart w:id="94" w:name="_Toc184312100"/>
      <w:bookmarkEnd w:id="94"/>
      <w:bookmarkStart w:id="95" w:name="_Toc184314435"/>
      <w:bookmarkEnd w:id="95"/>
      <w:bookmarkStart w:id="96" w:name="_Toc184310333"/>
      <w:bookmarkEnd w:id="96"/>
      <w:bookmarkStart w:id="97" w:name="_Toc184310303"/>
      <w:bookmarkEnd w:id="97"/>
      <w:bookmarkStart w:id="98" w:name="_Toc184312088"/>
      <w:bookmarkEnd w:id="98"/>
      <w:bookmarkStart w:id="99" w:name="_Toc184308077"/>
      <w:bookmarkEnd w:id="99"/>
      <w:bookmarkStart w:id="100" w:name="_Toc184313287"/>
      <w:bookmarkEnd w:id="100"/>
      <w:bookmarkStart w:id="101" w:name="_Toc184310310"/>
      <w:bookmarkEnd w:id="101"/>
      <w:bookmarkStart w:id="102" w:name="_Toc184314410"/>
      <w:bookmarkEnd w:id="102"/>
      <w:bookmarkStart w:id="103" w:name="_Toc184313244"/>
      <w:bookmarkEnd w:id="103"/>
      <w:bookmarkStart w:id="104" w:name="_Toc184308043"/>
      <w:bookmarkEnd w:id="104"/>
      <w:bookmarkStart w:id="105" w:name="_Toc184312101"/>
      <w:bookmarkEnd w:id="105"/>
      <w:bookmarkStart w:id="106" w:name="_Toc184310305"/>
      <w:bookmarkEnd w:id="106"/>
      <w:bookmarkStart w:id="107" w:name="_Toc184308102"/>
      <w:bookmarkEnd w:id="107"/>
      <w:bookmarkStart w:id="108" w:name="_Toc184308089"/>
      <w:bookmarkEnd w:id="108"/>
      <w:bookmarkStart w:id="109" w:name="_Toc184308103"/>
      <w:bookmarkEnd w:id="109"/>
      <w:bookmarkStart w:id="110" w:name="_Toc184314448"/>
      <w:bookmarkEnd w:id="110"/>
      <w:bookmarkStart w:id="111" w:name="_Toc184308074"/>
      <w:bookmarkEnd w:id="111"/>
      <w:bookmarkStart w:id="112" w:name="_Toc184314413"/>
      <w:bookmarkEnd w:id="112"/>
      <w:bookmarkStart w:id="113" w:name="_Toc184310308"/>
      <w:bookmarkEnd w:id="113"/>
      <w:bookmarkStart w:id="114" w:name="_Toc184314472"/>
      <w:bookmarkEnd w:id="114"/>
      <w:bookmarkStart w:id="115" w:name="_Toc184314455"/>
      <w:bookmarkEnd w:id="115"/>
      <w:bookmarkStart w:id="116" w:name="_Toc184310331"/>
      <w:bookmarkEnd w:id="116"/>
      <w:bookmarkStart w:id="117" w:name="_Toc184312118"/>
      <w:bookmarkEnd w:id="117"/>
      <w:bookmarkStart w:id="118" w:name="_Toc184310278"/>
      <w:bookmarkEnd w:id="118"/>
      <w:bookmarkStart w:id="119" w:name="_Toc184314421"/>
      <w:bookmarkEnd w:id="119"/>
      <w:bookmarkStart w:id="120" w:name="_Toc184310335"/>
      <w:bookmarkEnd w:id="120"/>
      <w:bookmarkStart w:id="121" w:name="_Toc184308047"/>
      <w:bookmarkEnd w:id="121"/>
      <w:bookmarkStart w:id="122" w:name="_Toc184314452"/>
      <w:bookmarkEnd w:id="122"/>
      <w:bookmarkStart w:id="123" w:name="_Toc184314481"/>
      <w:bookmarkEnd w:id="123"/>
      <w:bookmarkStart w:id="124" w:name="_Toc184312116"/>
      <w:bookmarkEnd w:id="124"/>
      <w:bookmarkStart w:id="125" w:name="_Toc184313251"/>
      <w:bookmarkEnd w:id="125"/>
      <w:bookmarkStart w:id="126" w:name="_Toc184310307"/>
      <w:bookmarkEnd w:id="126"/>
      <w:bookmarkStart w:id="127" w:name="_Toc184313306"/>
      <w:bookmarkEnd w:id="127"/>
      <w:bookmarkStart w:id="128" w:name="_Toc184312090"/>
      <w:bookmarkEnd w:id="128"/>
      <w:bookmarkStart w:id="129" w:name="_Toc184314475"/>
      <w:bookmarkEnd w:id="129"/>
      <w:bookmarkStart w:id="130" w:name="_Toc184310329"/>
      <w:bookmarkEnd w:id="130"/>
      <w:bookmarkStart w:id="131" w:name="_Toc184308100"/>
      <w:bookmarkEnd w:id="131"/>
      <w:bookmarkStart w:id="132" w:name="_Toc184310324"/>
      <w:bookmarkEnd w:id="132"/>
      <w:bookmarkStart w:id="133" w:name="_Toc184314464"/>
      <w:bookmarkEnd w:id="133"/>
      <w:bookmarkStart w:id="134" w:name="_Toc184312113"/>
      <w:bookmarkEnd w:id="134"/>
      <w:bookmarkStart w:id="135" w:name="_Toc184312131"/>
      <w:bookmarkEnd w:id="135"/>
      <w:bookmarkStart w:id="136" w:name="_Toc184313270"/>
      <w:bookmarkEnd w:id="136"/>
      <w:bookmarkStart w:id="137" w:name="_Toc184313286"/>
      <w:bookmarkEnd w:id="137"/>
      <w:bookmarkStart w:id="138" w:name="_Toc184308081"/>
      <w:bookmarkEnd w:id="138"/>
      <w:bookmarkStart w:id="139" w:name="_Toc184308057"/>
      <w:bookmarkEnd w:id="139"/>
      <w:bookmarkStart w:id="140" w:name="_Toc184313260"/>
      <w:bookmarkEnd w:id="140"/>
      <w:bookmarkStart w:id="141" w:name="_Toc184308088"/>
      <w:bookmarkEnd w:id="141"/>
      <w:bookmarkStart w:id="142" w:name="_Toc184313252"/>
      <w:bookmarkEnd w:id="142"/>
      <w:bookmarkStart w:id="143" w:name="_Toc184313253"/>
      <w:bookmarkEnd w:id="143"/>
      <w:bookmarkStart w:id="144" w:name="_Toc184310343"/>
      <w:bookmarkEnd w:id="144"/>
      <w:bookmarkStart w:id="145" w:name="_Toc184310315"/>
      <w:bookmarkEnd w:id="145"/>
      <w:bookmarkStart w:id="146" w:name="_Toc184310340"/>
      <w:bookmarkEnd w:id="146"/>
      <w:bookmarkStart w:id="147" w:name="_Toc184314450"/>
      <w:bookmarkEnd w:id="147"/>
      <w:bookmarkStart w:id="148" w:name="_Toc184310283"/>
      <w:bookmarkEnd w:id="148"/>
      <w:bookmarkStart w:id="149" w:name="_Toc184308083"/>
      <w:bookmarkEnd w:id="149"/>
      <w:bookmarkStart w:id="150" w:name="_Toc184308049"/>
      <w:bookmarkEnd w:id="150"/>
      <w:bookmarkStart w:id="151" w:name="_Toc184308064"/>
      <w:bookmarkEnd w:id="151"/>
      <w:bookmarkStart w:id="152" w:name="_Toc184308082"/>
      <w:bookmarkEnd w:id="152"/>
      <w:bookmarkStart w:id="153" w:name="_Toc184313294"/>
      <w:bookmarkEnd w:id="153"/>
      <w:bookmarkStart w:id="154" w:name="_Toc184313277"/>
      <w:bookmarkEnd w:id="154"/>
      <w:bookmarkStart w:id="155" w:name="_Toc184313298"/>
      <w:bookmarkEnd w:id="155"/>
      <w:bookmarkStart w:id="156" w:name="_Toc184313255"/>
      <w:bookmarkEnd w:id="156"/>
      <w:bookmarkStart w:id="157" w:name="_Toc184314462"/>
      <w:bookmarkEnd w:id="157"/>
      <w:bookmarkStart w:id="158" w:name="_Toc184308046"/>
      <w:bookmarkEnd w:id="158"/>
      <w:bookmarkStart w:id="159" w:name="_Toc184313241"/>
      <w:bookmarkEnd w:id="159"/>
      <w:bookmarkStart w:id="160" w:name="_Toc184313276"/>
      <w:bookmarkEnd w:id="160"/>
      <w:bookmarkStart w:id="161" w:name="_Toc184314424"/>
      <w:bookmarkEnd w:id="161"/>
      <w:bookmarkStart w:id="162" w:name="_Toc184313281"/>
      <w:bookmarkEnd w:id="162"/>
      <w:bookmarkStart w:id="163" w:name="_Toc184314426"/>
      <w:bookmarkEnd w:id="163"/>
      <w:bookmarkStart w:id="164" w:name="_Toc184313299"/>
      <w:bookmarkEnd w:id="164"/>
      <w:bookmarkStart w:id="165" w:name="_Toc184308050"/>
      <w:bookmarkEnd w:id="165"/>
      <w:bookmarkStart w:id="166" w:name="_Toc184314411"/>
      <w:bookmarkEnd w:id="166"/>
      <w:bookmarkStart w:id="167" w:name="_Toc184308063"/>
      <w:bookmarkEnd w:id="167"/>
      <w:bookmarkStart w:id="168" w:name="_Toc184314419"/>
      <w:bookmarkEnd w:id="168"/>
      <w:bookmarkStart w:id="169" w:name="_Toc184314449"/>
      <w:bookmarkEnd w:id="169"/>
      <w:bookmarkStart w:id="170" w:name="_Toc184312098"/>
      <w:bookmarkEnd w:id="170"/>
      <w:bookmarkStart w:id="171" w:name="_Toc184313259"/>
      <w:bookmarkEnd w:id="171"/>
      <w:bookmarkStart w:id="172" w:name="_Toc184312117"/>
      <w:bookmarkEnd w:id="172"/>
      <w:bookmarkStart w:id="173" w:name="_Toc184310301"/>
      <w:bookmarkEnd w:id="173"/>
      <w:bookmarkStart w:id="174" w:name="_Toc184313254"/>
      <w:bookmarkEnd w:id="174"/>
      <w:bookmarkStart w:id="175" w:name="_Toc184310330"/>
      <w:bookmarkEnd w:id="175"/>
      <w:bookmarkStart w:id="176" w:name="_Toc184314416"/>
      <w:bookmarkEnd w:id="176"/>
      <w:bookmarkStart w:id="177" w:name="_Toc184308084"/>
      <w:bookmarkEnd w:id="177"/>
      <w:bookmarkStart w:id="178" w:name="_Toc184314443"/>
      <w:bookmarkEnd w:id="178"/>
      <w:bookmarkStart w:id="179" w:name="_Toc184313280"/>
      <w:bookmarkEnd w:id="179"/>
      <w:bookmarkStart w:id="180" w:name="_Toc184313266"/>
      <w:bookmarkEnd w:id="180"/>
      <w:bookmarkStart w:id="181" w:name="_Toc184308094"/>
      <w:bookmarkEnd w:id="181"/>
      <w:bookmarkStart w:id="182" w:name="_Toc184313250"/>
      <w:bookmarkEnd w:id="182"/>
      <w:bookmarkStart w:id="183" w:name="_Toc184314478"/>
      <w:bookmarkEnd w:id="183"/>
      <w:bookmarkStart w:id="184" w:name="_Toc184310302"/>
      <w:bookmarkEnd w:id="184"/>
      <w:bookmarkStart w:id="185" w:name="_Toc184312109"/>
      <w:bookmarkEnd w:id="185"/>
      <w:bookmarkStart w:id="186" w:name="_Toc184313278"/>
      <w:bookmarkEnd w:id="186"/>
      <w:bookmarkStart w:id="187" w:name="_Toc184308052"/>
      <w:bookmarkEnd w:id="187"/>
      <w:bookmarkStart w:id="188" w:name="_Toc184308070"/>
      <w:bookmarkEnd w:id="188"/>
      <w:bookmarkStart w:id="189" w:name="_Toc184312079"/>
      <w:bookmarkEnd w:id="189"/>
      <w:bookmarkStart w:id="190" w:name="_Toc184310339"/>
      <w:bookmarkEnd w:id="190"/>
      <w:bookmarkStart w:id="191" w:name="_Toc184310287"/>
      <w:bookmarkEnd w:id="191"/>
      <w:bookmarkStart w:id="192" w:name="_Toc184310297"/>
      <w:bookmarkEnd w:id="192"/>
      <w:bookmarkStart w:id="193" w:name="_Toc184313243"/>
      <w:bookmarkEnd w:id="193"/>
      <w:bookmarkStart w:id="194" w:name="_Toc184314447"/>
      <w:bookmarkEnd w:id="194"/>
      <w:bookmarkStart w:id="195" w:name="_Toc184312120"/>
      <w:bookmarkEnd w:id="195"/>
      <w:bookmarkStart w:id="196" w:name="_Toc184310273"/>
      <w:bookmarkEnd w:id="196"/>
      <w:bookmarkStart w:id="197" w:name="_Toc184313289"/>
      <w:bookmarkEnd w:id="197"/>
      <w:bookmarkStart w:id="198" w:name="_Toc184313263"/>
      <w:bookmarkEnd w:id="198"/>
      <w:bookmarkStart w:id="199" w:name="_Toc184314470"/>
      <w:bookmarkEnd w:id="199"/>
      <w:bookmarkStart w:id="200" w:name="_Toc184314417"/>
      <w:bookmarkEnd w:id="200"/>
      <w:bookmarkStart w:id="201" w:name="_Toc184314434"/>
      <w:bookmarkEnd w:id="201"/>
      <w:bookmarkStart w:id="202" w:name="_Toc184314418"/>
      <w:bookmarkEnd w:id="202"/>
      <w:bookmarkStart w:id="203" w:name="_Toc184312138"/>
      <w:bookmarkEnd w:id="203"/>
      <w:bookmarkStart w:id="204" w:name="_Toc184310279"/>
      <w:bookmarkEnd w:id="204"/>
      <w:bookmarkStart w:id="205" w:name="_Toc184313282"/>
      <w:bookmarkEnd w:id="205"/>
      <w:bookmarkStart w:id="206" w:name="_Toc184314437"/>
      <w:bookmarkEnd w:id="206"/>
      <w:bookmarkStart w:id="207" w:name="_Toc184312091"/>
      <w:bookmarkEnd w:id="207"/>
      <w:bookmarkStart w:id="208" w:name="_Toc184314461"/>
      <w:bookmarkEnd w:id="208"/>
      <w:bookmarkStart w:id="209" w:name="_Toc184310281"/>
      <w:bookmarkEnd w:id="209"/>
      <w:bookmarkStart w:id="210" w:name="_Toc184310332"/>
      <w:bookmarkEnd w:id="210"/>
      <w:bookmarkStart w:id="211" w:name="_Toc184308099"/>
      <w:bookmarkEnd w:id="211"/>
      <w:bookmarkStart w:id="212" w:name="_Toc184313291"/>
      <w:bookmarkEnd w:id="212"/>
      <w:bookmarkStart w:id="213" w:name="_Toc184312086"/>
      <w:bookmarkEnd w:id="213"/>
      <w:bookmarkStart w:id="214" w:name="_Toc184308086"/>
      <w:bookmarkEnd w:id="214"/>
      <w:bookmarkStart w:id="215" w:name="_Toc184313239"/>
      <w:bookmarkEnd w:id="215"/>
      <w:bookmarkStart w:id="216" w:name="_Toc184312112"/>
      <w:bookmarkEnd w:id="216"/>
      <w:bookmarkStart w:id="217" w:name="_Toc184314473"/>
      <w:bookmarkEnd w:id="217"/>
      <w:bookmarkStart w:id="218" w:name="_Toc184308067"/>
      <w:bookmarkEnd w:id="218"/>
      <w:bookmarkStart w:id="219" w:name="_Toc184312099"/>
      <w:bookmarkEnd w:id="219"/>
      <w:bookmarkStart w:id="220" w:name="_Toc184310282"/>
      <w:bookmarkEnd w:id="220"/>
      <w:bookmarkStart w:id="221" w:name="_Toc184308072"/>
      <w:bookmarkEnd w:id="221"/>
      <w:bookmarkStart w:id="222" w:name="_Toc184314438"/>
      <w:bookmarkEnd w:id="222"/>
      <w:bookmarkStart w:id="223" w:name="_Toc184314480"/>
      <w:bookmarkEnd w:id="223"/>
      <w:bookmarkStart w:id="224" w:name="_Toc184314422"/>
      <w:bookmarkEnd w:id="224"/>
      <w:bookmarkStart w:id="225" w:name="_Toc184308037"/>
      <w:bookmarkEnd w:id="225"/>
      <w:bookmarkStart w:id="226" w:name="_Toc184308075"/>
      <w:bookmarkEnd w:id="226"/>
      <w:bookmarkStart w:id="227" w:name="_Toc184310272"/>
      <w:bookmarkEnd w:id="227"/>
      <w:bookmarkStart w:id="228" w:name="_Toc184310322"/>
      <w:bookmarkEnd w:id="228"/>
      <w:bookmarkStart w:id="229" w:name="_Toc184313304"/>
      <w:bookmarkEnd w:id="229"/>
      <w:bookmarkStart w:id="230" w:name="_Toc184310336"/>
      <w:bookmarkEnd w:id="230"/>
      <w:bookmarkStart w:id="231" w:name="_Toc184308098"/>
      <w:bookmarkEnd w:id="231"/>
      <w:bookmarkStart w:id="232" w:name="_Toc184308058"/>
      <w:bookmarkEnd w:id="232"/>
      <w:bookmarkStart w:id="233" w:name="_Toc184312125"/>
      <w:bookmarkEnd w:id="233"/>
      <w:bookmarkStart w:id="234" w:name="_Toc184310289"/>
      <w:bookmarkEnd w:id="234"/>
      <w:bookmarkStart w:id="235" w:name="_Toc184312069"/>
      <w:bookmarkEnd w:id="235"/>
      <w:bookmarkStart w:id="236" w:name="_Toc184308079"/>
      <w:bookmarkEnd w:id="236"/>
      <w:bookmarkStart w:id="237" w:name="_Toc184308042"/>
      <w:bookmarkEnd w:id="237"/>
      <w:bookmarkStart w:id="238" w:name="_Toc184312095"/>
      <w:bookmarkEnd w:id="238"/>
      <w:bookmarkStart w:id="239" w:name="_Toc184308071"/>
      <w:bookmarkEnd w:id="239"/>
      <w:bookmarkStart w:id="240" w:name="_Toc184313240"/>
      <w:bookmarkEnd w:id="240"/>
      <w:bookmarkStart w:id="241" w:name="_Toc184314428"/>
      <w:bookmarkEnd w:id="241"/>
      <w:bookmarkStart w:id="242" w:name="_Toc184314451"/>
      <w:bookmarkEnd w:id="242"/>
      <w:bookmarkStart w:id="243" w:name="_Toc184314430"/>
      <w:bookmarkEnd w:id="243"/>
      <w:bookmarkStart w:id="244" w:name="_Toc184312094"/>
      <w:bookmarkEnd w:id="244"/>
      <w:bookmarkStart w:id="245" w:name="_Toc184310321"/>
      <w:bookmarkEnd w:id="245"/>
      <w:bookmarkStart w:id="246" w:name="_Toc184308066"/>
      <w:bookmarkEnd w:id="246"/>
      <w:bookmarkStart w:id="247" w:name="_Toc184310313"/>
      <w:bookmarkEnd w:id="247"/>
      <w:bookmarkStart w:id="248" w:name="_Toc184310319"/>
      <w:bookmarkEnd w:id="248"/>
      <w:bookmarkStart w:id="249" w:name="_Toc184312122"/>
      <w:bookmarkEnd w:id="249"/>
      <w:bookmarkStart w:id="250" w:name="_Toc184310292"/>
      <w:bookmarkEnd w:id="250"/>
      <w:bookmarkStart w:id="251" w:name="_Toc184314444"/>
      <w:bookmarkEnd w:id="251"/>
      <w:bookmarkStart w:id="252" w:name="_Toc184314479"/>
      <w:bookmarkEnd w:id="252"/>
      <w:bookmarkStart w:id="253" w:name="_Toc184313261"/>
      <w:bookmarkEnd w:id="253"/>
      <w:bookmarkStart w:id="254" w:name="_Toc184312135"/>
      <w:bookmarkEnd w:id="254"/>
      <w:bookmarkStart w:id="255" w:name="_Toc184312104"/>
      <w:bookmarkEnd w:id="255"/>
      <w:bookmarkStart w:id="256" w:name="_Toc184308051"/>
      <w:bookmarkEnd w:id="256"/>
      <w:bookmarkStart w:id="257" w:name="_Toc184310275"/>
      <w:bookmarkEnd w:id="257"/>
      <w:bookmarkStart w:id="258" w:name="_Toc184314474"/>
      <w:bookmarkEnd w:id="258"/>
      <w:bookmarkStart w:id="259" w:name="_Toc184310311"/>
      <w:bookmarkEnd w:id="259"/>
      <w:bookmarkStart w:id="260" w:name="_Toc184313249"/>
      <w:bookmarkEnd w:id="260"/>
      <w:bookmarkStart w:id="261" w:name="_Toc184310327"/>
      <w:bookmarkEnd w:id="261"/>
      <w:bookmarkStart w:id="262" w:name="_Toc184312126"/>
      <w:bookmarkEnd w:id="262"/>
      <w:bookmarkStart w:id="263" w:name="_Toc184308065"/>
      <w:bookmarkEnd w:id="263"/>
      <w:bookmarkStart w:id="264" w:name="_Toc184308041"/>
      <w:bookmarkEnd w:id="264"/>
      <w:bookmarkStart w:id="265" w:name="_Toc184314476"/>
      <w:bookmarkEnd w:id="265"/>
      <w:bookmarkStart w:id="266" w:name="_Toc184310344"/>
      <w:bookmarkEnd w:id="266"/>
      <w:bookmarkStart w:id="267" w:name="_Toc184314469"/>
      <w:bookmarkEnd w:id="267"/>
      <w:bookmarkStart w:id="268" w:name="_Toc184313242"/>
      <w:bookmarkEnd w:id="268"/>
      <w:bookmarkStart w:id="269" w:name="_Toc184314414"/>
      <w:bookmarkEnd w:id="269"/>
      <w:bookmarkStart w:id="270" w:name="_Toc184308059"/>
      <w:bookmarkEnd w:id="270"/>
      <w:bookmarkStart w:id="271" w:name="_Toc184312092"/>
      <w:bookmarkEnd w:id="271"/>
      <w:bookmarkStart w:id="272" w:name="_Toc184313245"/>
      <w:bookmarkEnd w:id="272"/>
      <w:bookmarkStart w:id="273" w:name="_Toc184312136"/>
      <w:bookmarkEnd w:id="273"/>
      <w:bookmarkStart w:id="274" w:name="_Toc184310274"/>
      <w:bookmarkEnd w:id="274"/>
      <w:bookmarkStart w:id="275" w:name="_Toc184308096"/>
      <w:bookmarkEnd w:id="275"/>
      <w:bookmarkStart w:id="276" w:name="_Toc184310286"/>
      <w:bookmarkEnd w:id="276"/>
      <w:bookmarkStart w:id="277" w:name="_Toc184312110"/>
      <w:bookmarkEnd w:id="277"/>
      <w:bookmarkStart w:id="278" w:name="_Toc184310316"/>
      <w:bookmarkEnd w:id="278"/>
      <w:bookmarkStart w:id="279" w:name="_Toc184314458"/>
      <w:bookmarkEnd w:id="279"/>
      <w:bookmarkStart w:id="280" w:name="_Toc184313307"/>
      <w:bookmarkEnd w:id="280"/>
      <w:bookmarkStart w:id="281" w:name="_Toc184308092"/>
      <w:bookmarkEnd w:id="281"/>
      <w:bookmarkStart w:id="282" w:name="_Toc184312068"/>
      <w:bookmarkEnd w:id="282"/>
      <w:bookmarkStart w:id="283" w:name="_Toc184312121"/>
      <w:bookmarkEnd w:id="283"/>
      <w:bookmarkStart w:id="284" w:name="_Toc184314466"/>
      <w:bookmarkEnd w:id="284"/>
      <w:bookmarkStart w:id="285" w:name="_Toc184313257"/>
      <w:bookmarkEnd w:id="285"/>
      <w:bookmarkStart w:id="286" w:name="_Toc184310328"/>
      <w:bookmarkEnd w:id="286"/>
      <w:bookmarkStart w:id="287" w:name="_Toc184312093"/>
      <w:bookmarkEnd w:id="287"/>
      <w:bookmarkStart w:id="288" w:name="_Toc184314453"/>
      <w:bookmarkEnd w:id="288"/>
      <w:bookmarkStart w:id="289" w:name="_Toc184310294"/>
      <w:bookmarkEnd w:id="289"/>
      <w:bookmarkStart w:id="290" w:name="_Toc184308045"/>
      <w:bookmarkEnd w:id="290"/>
      <w:bookmarkStart w:id="291" w:name="_Toc184310320"/>
      <w:bookmarkEnd w:id="291"/>
      <w:bookmarkStart w:id="292" w:name="_Toc184314431"/>
      <w:bookmarkEnd w:id="292"/>
      <w:bookmarkStart w:id="293" w:name="_Toc184313301"/>
      <w:bookmarkEnd w:id="293"/>
      <w:bookmarkStart w:id="294" w:name="_Toc184312075"/>
      <w:bookmarkEnd w:id="294"/>
      <w:bookmarkStart w:id="295" w:name="_Toc184308095"/>
      <w:bookmarkEnd w:id="295"/>
      <w:bookmarkStart w:id="296" w:name="_Toc184313267"/>
      <w:bookmarkEnd w:id="296"/>
      <w:bookmarkStart w:id="297" w:name="_Toc184313238"/>
      <w:bookmarkEnd w:id="297"/>
      <w:bookmarkStart w:id="298" w:name="_Toc184313293"/>
      <w:bookmarkEnd w:id="298"/>
      <w:bookmarkStart w:id="299" w:name="_Toc184314445"/>
      <w:bookmarkEnd w:id="299"/>
      <w:bookmarkStart w:id="300" w:name="_Toc184310280"/>
      <w:bookmarkEnd w:id="300"/>
      <w:bookmarkStart w:id="301" w:name="_Toc184314433"/>
      <w:bookmarkEnd w:id="301"/>
      <w:bookmarkStart w:id="302" w:name="_Toc184313308"/>
      <w:bookmarkEnd w:id="302"/>
      <w:bookmarkStart w:id="303" w:name="_Toc184314427"/>
      <w:bookmarkEnd w:id="303"/>
      <w:bookmarkStart w:id="304" w:name="_Toc184310299"/>
      <w:bookmarkEnd w:id="304"/>
      <w:bookmarkStart w:id="305" w:name="_Toc184312107"/>
      <w:bookmarkEnd w:id="305"/>
      <w:bookmarkStart w:id="306" w:name="_Toc184308062"/>
      <w:bookmarkEnd w:id="306"/>
      <w:bookmarkStart w:id="307" w:name="_Toc184313258"/>
      <w:bookmarkEnd w:id="307"/>
      <w:bookmarkStart w:id="308" w:name="_Toc184312137"/>
      <w:bookmarkEnd w:id="308"/>
      <w:bookmarkStart w:id="309" w:name="_Toc184313290"/>
      <w:bookmarkEnd w:id="309"/>
      <w:bookmarkStart w:id="310" w:name="_Toc184312073"/>
      <w:bookmarkEnd w:id="310"/>
      <w:bookmarkStart w:id="311" w:name="_Toc184312129"/>
      <w:bookmarkEnd w:id="311"/>
      <w:bookmarkStart w:id="312" w:name="_Toc184314432"/>
      <w:bookmarkEnd w:id="312"/>
      <w:bookmarkStart w:id="313" w:name="_Toc184314423"/>
      <w:bookmarkEnd w:id="313"/>
      <w:bookmarkStart w:id="314" w:name="_Toc184313288"/>
      <w:bookmarkEnd w:id="314"/>
      <w:bookmarkStart w:id="315" w:name="_Toc184314439"/>
      <w:bookmarkEnd w:id="315"/>
      <w:bookmarkStart w:id="316" w:name="_Toc184310314"/>
      <w:bookmarkEnd w:id="316"/>
      <w:bookmarkStart w:id="317" w:name="_Toc184314467"/>
      <w:bookmarkEnd w:id="317"/>
      <w:bookmarkStart w:id="318" w:name="_Toc184313300"/>
      <w:bookmarkEnd w:id="318"/>
      <w:bookmarkStart w:id="319" w:name="_Toc184310341"/>
      <w:bookmarkEnd w:id="319"/>
      <w:bookmarkStart w:id="320" w:name="_Toc184308060"/>
      <w:bookmarkEnd w:id="320"/>
      <w:bookmarkStart w:id="321" w:name="_Toc184308040"/>
      <w:bookmarkEnd w:id="321"/>
      <w:bookmarkStart w:id="322" w:name="_Toc184314440"/>
      <w:bookmarkEnd w:id="322"/>
      <w:bookmarkStart w:id="323" w:name="_Toc184313275"/>
      <w:bookmarkEnd w:id="323"/>
      <w:bookmarkStart w:id="324" w:name="_Toc184314482"/>
      <w:bookmarkEnd w:id="324"/>
      <w:bookmarkStart w:id="325" w:name="_Toc184312081"/>
      <w:bookmarkEnd w:id="325"/>
      <w:bookmarkStart w:id="326" w:name="_Toc184312071"/>
      <w:bookmarkEnd w:id="326"/>
      <w:bookmarkStart w:id="327" w:name="_Toc184313248"/>
      <w:bookmarkEnd w:id="327"/>
      <w:bookmarkStart w:id="328" w:name="_Toc184314446"/>
      <w:bookmarkEnd w:id="328"/>
      <w:bookmarkStart w:id="329" w:name="_Toc184310326"/>
      <w:bookmarkEnd w:id="329"/>
      <w:bookmarkStart w:id="330" w:name="_Toc184312096"/>
      <w:bookmarkEnd w:id="330"/>
      <w:bookmarkStart w:id="331" w:name="_Toc184310304"/>
      <w:bookmarkEnd w:id="331"/>
      <w:bookmarkStart w:id="332" w:name="_Toc184310318"/>
      <w:bookmarkEnd w:id="332"/>
      <w:bookmarkStart w:id="333" w:name="_Toc184310288"/>
      <w:bookmarkEnd w:id="333"/>
      <w:bookmarkStart w:id="334" w:name="_Toc184312076"/>
      <w:bookmarkEnd w:id="334"/>
      <w:bookmarkStart w:id="335" w:name="_Toc184313269"/>
      <w:bookmarkEnd w:id="335"/>
      <w:bookmarkStart w:id="336" w:name="_Toc184312108"/>
      <w:bookmarkEnd w:id="336"/>
      <w:bookmarkStart w:id="337" w:name="_Toc184310284"/>
      <w:bookmarkEnd w:id="337"/>
      <w:bookmarkStart w:id="338" w:name="_Toc184308097"/>
      <w:bookmarkEnd w:id="338"/>
      <w:bookmarkStart w:id="339" w:name="_Toc184310285"/>
      <w:bookmarkEnd w:id="339"/>
      <w:bookmarkStart w:id="340" w:name="_Toc184313268"/>
      <w:bookmarkEnd w:id="340"/>
      <w:bookmarkStart w:id="341" w:name="_Toc184314436"/>
      <w:bookmarkEnd w:id="341"/>
      <w:bookmarkStart w:id="342" w:name="_Toc184313272"/>
      <w:bookmarkEnd w:id="342"/>
      <w:bookmarkStart w:id="343" w:name="_Toc184308087"/>
      <w:bookmarkEnd w:id="343"/>
      <w:bookmarkStart w:id="344" w:name="_Toc184308056"/>
      <w:bookmarkEnd w:id="344"/>
      <w:bookmarkStart w:id="345" w:name="_Toc184312087"/>
      <w:bookmarkEnd w:id="345"/>
      <w:bookmarkStart w:id="346" w:name="_Toc184312083"/>
      <w:bookmarkEnd w:id="346"/>
      <w:bookmarkStart w:id="347" w:name="_Toc184308053"/>
      <w:bookmarkEnd w:id="347"/>
      <w:bookmarkStart w:id="348" w:name="_Toc184308048"/>
      <w:bookmarkEnd w:id="348"/>
      <w:bookmarkStart w:id="349" w:name="_Toc184312077"/>
      <w:bookmarkEnd w:id="349"/>
      <w:bookmarkStart w:id="350" w:name="_Toc184308105"/>
      <w:bookmarkEnd w:id="350"/>
      <w:bookmarkStart w:id="351" w:name="_Toc184313273"/>
      <w:bookmarkEnd w:id="351"/>
      <w:bookmarkStart w:id="352" w:name="_Toc184313271"/>
      <w:bookmarkEnd w:id="352"/>
      <w:bookmarkStart w:id="353" w:name="_Toc184314463"/>
      <w:bookmarkEnd w:id="353"/>
      <w:bookmarkStart w:id="354" w:name="_Toc184310338"/>
      <w:bookmarkEnd w:id="354"/>
      <w:bookmarkStart w:id="355" w:name="_Toc184310317"/>
      <w:bookmarkEnd w:id="355"/>
      <w:bookmarkStart w:id="356" w:name="_Toc184310342"/>
      <w:bookmarkEnd w:id="356"/>
      <w:bookmarkStart w:id="357" w:name="_Toc184314412"/>
      <w:bookmarkEnd w:id="357"/>
      <w:bookmarkStart w:id="358" w:name="_Toc184314420"/>
      <w:bookmarkEnd w:id="358"/>
      <w:bookmarkStart w:id="359" w:name="_Toc184310306"/>
      <w:bookmarkEnd w:id="359"/>
      <w:bookmarkStart w:id="360" w:name="_Toc184312085"/>
      <w:bookmarkEnd w:id="360"/>
      <w:bookmarkStart w:id="361" w:name="_Toc184313295"/>
      <w:bookmarkEnd w:id="361"/>
      <w:bookmarkStart w:id="362" w:name="_Toc184313265"/>
      <w:bookmarkEnd w:id="362"/>
      <w:bookmarkStart w:id="363" w:name="_Toc184312067"/>
      <w:bookmarkEnd w:id="363"/>
      <w:bookmarkStart w:id="364" w:name="_Toc184310334"/>
      <w:bookmarkEnd w:id="364"/>
      <w:bookmarkStart w:id="365" w:name="_Toc184312139"/>
      <w:bookmarkEnd w:id="365"/>
      <w:bookmarkStart w:id="366" w:name="_Toc184308076"/>
      <w:bookmarkEnd w:id="366"/>
      <w:bookmarkStart w:id="367" w:name="_Toc184308106"/>
      <w:bookmarkEnd w:id="367"/>
      <w:bookmarkStart w:id="368" w:name="_Toc184310309"/>
      <w:bookmarkEnd w:id="368"/>
      <w:bookmarkStart w:id="369" w:name="_Toc184310276"/>
      <w:bookmarkEnd w:id="369"/>
      <w:bookmarkStart w:id="370" w:name="_Toc184314425"/>
      <w:bookmarkEnd w:id="370"/>
      <w:bookmarkStart w:id="371" w:name="_Toc184312111"/>
      <w:bookmarkEnd w:id="371"/>
      <w:bookmarkStart w:id="372" w:name="_Toc184308068"/>
      <w:bookmarkEnd w:id="372"/>
      <w:bookmarkStart w:id="373" w:name="_Toc184314441"/>
      <w:bookmarkEnd w:id="373"/>
      <w:bookmarkStart w:id="374" w:name="_Toc184313302"/>
      <w:bookmarkEnd w:id="374"/>
      <w:bookmarkStart w:id="375" w:name="_Toc184314477"/>
      <w:bookmarkEnd w:id="375"/>
      <w:bookmarkStart w:id="376" w:name="_Toc184312134"/>
      <w:bookmarkEnd w:id="376"/>
      <w:bookmarkStart w:id="377" w:name="_Toc184308108"/>
      <w:bookmarkEnd w:id="377"/>
      <w:bookmarkStart w:id="378" w:name="_Toc184312106"/>
      <w:bookmarkEnd w:id="378"/>
      <w:bookmarkStart w:id="379" w:name="_Toc184308038"/>
      <w:bookmarkEnd w:id="379"/>
      <w:bookmarkStart w:id="380" w:name="_Toc184313247"/>
      <w:bookmarkEnd w:id="380"/>
      <w:bookmarkStart w:id="381" w:name="_Toc184313284"/>
      <w:bookmarkEnd w:id="381"/>
      <w:bookmarkStart w:id="382" w:name="_Toc184312080"/>
      <w:bookmarkEnd w:id="382"/>
      <w:bookmarkStart w:id="383" w:name="_Toc184308054"/>
      <w:bookmarkEnd w:id="383"/>
      <w:bookmarkStart w:id="384" w:name="_Toc184312089"/>
      <w:bookmarkEnd w:id="384"/>
      <w:bookmarkStart w:id="385" w:name="_Toc184308055"/>
      <w:bookmarkEnd w:id="385"/>
      <w:bookmarkStart w:id="386" w:name="_Toc184314460"/>
      <w:bookmarkEnd w:id="386"/>
      <w:bookmarkStart w:id="387" w:name="_Toc184312115"/>
      <w:bookmarkEnd w:id="387"/>
      <w:bookmarkStart w:id="388" w:name="_Toc184312132"/>
      <w:bookmarkEnd w:id="388"/>
      <w:bookmarkStart w:id="389" w:name="_Toc184310325"/>
      <w:bookmarkEnd w:id="389"/>
      <w:bookmarkStart w:id="390" w:name="_Toc184310312"/>
      <w:bookmarkEnd w:id="390"/>
      <w:bookmarkStart w:id="391" w:name="_Toc184314471"/>
      <w:bookmarkEnd w:id="391"/>
      <w:bookmarkStart w:id="392" w:name="_Toc184312084"/>
      <w:bookmarkEnd w:id="392"/>
      <w:r>
        <w:rPr>
          <w:rFonts w:hint="eastAsia" w:asciiTheme="minorEastAsia" w:hAnsiTheme="minorEastAsia" w:eastAsiaTheme="minorEastAsia" w:cstheme="minorEastAsia"/>
          <w:b/>
          <w:color w:val="auto"/>
          <w:sz w:val="36"/>
          <w:szCs w:val="36"/>
          <w:highlight w:val="none"/>
        </w:rPr>
        <w:t>评审办法</w:t>
      </w:r>
    </w:p>
    <w:p w14:paraId="734902ED">
      <w:pPr>
        <w:snapToGrid w:val="0"/>
        <w:spacing w:line="360" w:lineRule="auto"/>
        <w:jc w:val="center"/>
        <w:rPr>
          <w:rFonts w:asciiTheme="minorEastAsia" w:hAnsiTheme="minorEastAsia" w:eastAsiaTheme="minorEastAsia" w:cstheme="minorEastAsia"/>
          <w:color w:val="auto"/>
          <w:sz w:val="28"/>
          <w:highlight w:val="none"/>
        </w:rPr>
      </w:pPr>
      <w:r>
        <w:rPr>
          <w:rFonts w:hint="eastAsia" w:asciiTheme="minorEastAsia" w:hAnsiTheme="minorEastAsia" w:eastAsiaTheme="minorEastAsia" w:cstheme="minorEastAsia"/>
          <w:b/>
          <w:color w:val="auto"/>
          <w:sz w:val="32"/>
          <w:szCs w:val="20"/>
          <w:highlight w:val="none"/>
        </w:rPr>
        <w:t>评审办法前附表</w:t>
      </w:r>
    </w:p>
    <w:tbl>
      <w:tblPr>
        <w:tblStyle w:val="24"/>
        <w:tblW w:w="9385"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195"/>
        <w:gridCol w:w="7442"/>
      </w:tblGrid>
      <w:tr w14:paraId="26583E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noWrap w:val="0"/>
            <w:vAlign w:val="center"/>
          </w:tcPr>
          <w:p w14:paraId="5FA583D5">
            <w:pPr>
              <w:pageBreakBefore w:val="0"/>
              <w:kinsoku/>
              <w:wordWrap/>
              <w:overflowPunct/>
              <w:topLinePunct w:val="0"/>
              <w:bidi w:val="0"/>
              <w:spacing w:line="360" w:lineRule="auto"/>
              <w:rPr>
                <w:color w:val="auto"/>
                <w:szCs w:val="21"/>
                <w:highlight w:val="none"/>
              </w:rPr>
            </w:pPr>
          </w:p>
        </w:tc>
        <w:tc>
          <w:tcPr>
            <w:tcW w:w="1195" w:type="dxa"/>
            <w:noWrap w:val="0"/>
            <w:vAlign w:val="center"/>
          </w:tcPr>
          <w:p w14:paraId="6A186166">
            <w:pPr>
              <w:pageBreakBefore w:val="0"/>
              <w:kinsoku/>
              <w:wordWrap/>
              <w:overflowPunct/>
              <w:topLinePunct w:val="0"/>
              <w:bidi w:val="0"/>
              <w:spacing w:line="360" w:lineRule="auto"/>
              <w:jc w:val="center"/>
              <w:rPr>
                <w:color w:val="auto"/>
                <w:szCs w:val="21"/>
                <w:highlight w:val="none"/>
              </w:rPr>
            </w:pPr>
            <w:r>
              <w:rPr>
                <w:rFonts w:hint="eastAsia"/>
                <w:color w:val="auto"/>
                <w:highlight w:val="none"/>
              </w:rPr>
              <w:t>项目</w:t>
            </w:r>
          </w:p>
        </w:tc>
        <w:tc>
          <w:tcPr>
            <w:tcW w:w="7442" w:type="dxa"/>
            <w:noWrap w:val="0"/>
            <w:vAlign w:val="center"/>
          </w:tcPr>
          <w:p w14:paraId="3E096240">
            <w:pPr>
              <w:pageBreakBefore w:val="0"/>
              <w:tabs>
                <w:tab w:val="left" w:pos="4915"/>
              </w:tabs>
              <w:kinsoku/>
              <w:wordWrap/>
              <w:overflowPunct/>
              <w:topLinePunct w:val="0"/>
              <w:bidi w:val="0"/>
              <w:spacing w:line="360" w:lineRule="auto"/>
              <w:jc w:val="center"/>
              <w:rPr>
                <w:color w:val="auto"/>
                <w:szCs w:val="21"/>
                <w:highlight w:val="none"/>
              </w:rPr>
            </w:pPr>
            <w:r>
              <w:rPr>
                <w:rFonts w:hint="eastAsia"/>
                <w:color w:val="auto"/>
                <w:highlight w:val="none"/>
              </w:rPr>
              <w:t>评分细则</w:t>
            </w:r>
          </w:p>
        </w:tc>
      </w:tr>
      <w:tr w14:paraId="0264A5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748" w:type="dxa"/>
            <w:vMerge w:val="restart"/>
            <w:noWrap w:val="0"/>
            <w:vAlign w:val="center"/>
          </w:tcPr>
          <w:p w14:paraId="1BE3DAE7">
            <w:pPr>
              <w:pageBreakBefore w:val="0"/>
              <w:kinsoku/>
              <w:wordWrap/>
              <w:overflowPunct/>
              <w:topLinePunct w:val="0"/>
              <w:bidi w:val="0"/>
              <w:spacing w:line="360" w:lineRule="auto"/>
              <w:rPr>
                <w:color w:val="auto"/>
                <w:szCs w:val="21"/>
                <w:highlight w:val="none"/>
              </w:rPr>
            </w:pPr>
            <w:r>
              <w:rPr>
                <w:color w:val="auto"/>
                <w:szCs w:val="21"/>
                <w:highlight w:val="none"/>
              </w:rPr>
              <w:t>技术资信</w:t>
            </w:r>
            <w:r>
              <w:rPr>
                <w:rFonts w:hint="eastAsia"/>
                <w:color w:val="auto"/>
                <w:szCs w:val="21"/>
                <w:highlight w:val="none"/>
              </w:rPr>
              <w:t>部分</w:t>
            </w:r>
            <w:r>
              <w:rPr>
                <w:rFonts w:hint="eastAsia"/>
                <w:color w:val="auto"/>
                <w:szCs w:val="21"/>
                <w:highlight w:val="none"/>
                <w:lang w:val="en-US" w:eastAsia="zh-CN"/>
              </w:rPr>
              <w:t>65</w:t>
            </w:r>
            <w:r>
              <w:rPr>
                <w:color w:val="auto"/>
                <w:szCs w:val="21"/>
                <w:highlight w:val="none"/>
              </w:rPr>
              <w:t>分</w:t>
            </w:r>
          </w:p>
        </w:tc>
        <w:tc>
          <w:tcPr>
            <w:tcW w:w="1195" w:type="dxa"/>
            <w:noWrap w:val="0"/>
            <w:vAlign w:val="center"/>
          </w:tcPr>
          <w:p w14:paraId="6EF7C441">
            <w:pPr>
              <w:pageBreakBefore w:val="0"/>
              <w:kinsoku/>
              <w:wordWrap/>
              <w:overflowPunct/>
              <w:topLinePunct w:val="0"/>
              <w:bidi w:val="0"/>
              <w:spacing w:line="360" w:lineRule="auto"/>
              <w:jc w:val="center"/>
              <w:rPr>
                <w:rFonts w:hint="eastAsia" w:eastAsia="宋体"/>
                <w:color w:val="auto"/>
                <w:szCs w:val="21"/>
                <w:highlight w:val="none"/>
                <w:lang w:eastAsia="zh-CN"/>
              </w:rPr>
            </w:pPr>
            <w:r>
              <w:rPr>
                <w:rFonts w:hint="eastAsia"/>
                <w:color w:val="auto"/>
                <w:szCs w:val="21"/>
                <w:highlight w:val="none"/>
                <w:lang w:val="en-US" w:eastAsia="zh-CN"/>
              </w:rPr>
              <w:t>项目主要</w:t>
            </w:r>
            <w:r>
              <w:rPr>
                <w:color w:val="auto"/>
                <w:szCs w:val="21"/>
                <w:highlight w:val="none"/>
              </w:rPr>
              <w:t>技术</w:t>
            </w:r>
            <w:r>
              <w:rPr>
                <w:rFonts w:hint="eastAsia"/>
                <w:color w:val="auto"/>
                <w:szCs w:val="21"/>
                <w:highlight w:val="none"/>
                <w:lang w:val="en-US" w:eastAsia="zh-CN"/>
              </w:rPr>
              <w:t>要求</w:t>
            </w:r>
          </w:p>
          <w:p w14:paraId="2202B9F3">
            <w:pPr>
              <w:pageBreakBefore w:val="0"/>
              <w:kinsoku/>
              <w:wordWrap/>
              <w:overflowPunct/>
              <w:topLinePunct w:val="0"/>
              <w:bidi w:val="0"/>
              <w:spacing w:line="360" w:lineRule="auto"/>
              <w:jc w:val="center"/>
              <w:rPr>
                <w:color w:val="auto"/>
                <w:szCs w:val="21"/>
                <w:highlight w:val="none"/>
              </w:rPr>
            </w:pPr>
            <w:r>
              <w:rPr>
                <w:color w:val="auto"/>
                <w:szCs w:val="21"/>
                <w:highlight w:val="none"/>
              </w:rPr>
              <w:t>响应情况</w:t>
            </w:r>
          </w:p>
          <w:p w14:paraId="0ADDB29A">
            <w:pPr>
              <w:pageBreakBefore w:val="0"/>
              <w:kinsoku/>
              <w:wordWrap/>
              <w:overflowPunct/>
              <w:topLinePunct w:val="0"/>
              <w:bidi w:val="0"/>
              <w:spacing w:line="360" w:lineRule="auto"/>
              <w:jc w:val="center"/>
              <w:rPr>
                <w:color w:val="auto"/>
                <w:szCs w:val="21"/>
                <w:highlight w:val="none"/>
              </w:rPr>
            </w:pPr>
            <w:r>
              <w:rPr>
                <w:color w:val="auto"/>
                <w:szCs w:val="21"/>
                <w:highlight w:val="none"/>
              </w:rPr>
              <w:t>（</w:t>
            </w:r>
            <w:r>
              <w:rPr>
                <w:rFonts w:hint="eastAsia"/>
                <w:color w:val="auto"/>
                <w:szCs w:val="21"/>
                <w:highlight w:val="none"/>
                <w:lang w:val="en-US" w:eastAsia="zh-CN"/>
              </w:rPr>
              <w:t>15</w:t>
            </w:r>
            <w:r>
              <w:rPr>
                <w:color w:val="auto"/>
                <w:szCs w:val="21"/>
                <w:highlight w:val="none"/>
              </w:rPr>
              <w:t>分）</w:t>
            </w:r>
          </w:p>
        </w:tc>
        <w:tc>
          <w:tcPr>
            <w:tcW w:w="7442" w:type="dxa"/>
            <w:noWrap w:val="0"/>
            <w:vAlign w:val="center"/>
          </w:tcPr>
          <w:p w14:paraId="66DEAAC6">
            <w:pPr>
              <w:pageBreakBefore w:val="0"/>
              <w:numPr>
                <w:ilvl w:val="0"/>
                <w:numId w:val="0"/>
              </w:numPr>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1、项目技术要求</w:t>
            </w:r>
            <w:r>
              <w:rPr>
                <w:rFonts w:hint="eastAsia" w:cs="宋体"/>
                <w:color w:val="auto"/>
                <w:szCs w:val="21"/>
                <w:highlight w:val="none"/>
              </w:rPr>
              <w:t>响应情况（</w:t>
            </w:r>
            <w:r>
              <w:rPr>
                <w:rFonts w:hint="eastAsia" w:cs="宋体"/>
                <w:color w:val="auto"/>
                <w:szCs w:val="21"/>
                <w:highlight w:val="none"/>
                <w:lang w:val="en-US" w:eastAsia="zh-CN"/>
              </w:rPr>
              <w:t>15</w:t>
            </w:r>
            <w:r>
              <w:rPr>
                <w:rFonts w:hint="eastAsia" w:cs="宋体"/>
                <w:color w:val="auto"/>
                <w:szCs w:val="21"/>
                <w:highlight w:val="none"/>
              </w:rPr>
              <w:t>分）</w:t>
            </w:r>
          </w:p>
          <w:p w14:paraId="637A2941">
            <w:pPr>
              <w:pageBreakBefore w:val="0"/>
              <w:numPr>
                <w:ilvl w:val="0"/>
                <w:numId w:val="0"/>
              </w:numPr>
              <w:tabs>
                <w:tab w:val="left" w:pos="4915"/>
              </w:tabs>
              <w:kinsoku/>
              <w:wordWrap/>
              <w:overflowPunct/>
              <w:topLinePunct w:val="0"/>
              <w:bidi w:val="0"/>
              <w:spacing w:line="360" w:lineRule="auto"/>
              <w:rPr>
                <w:rFonts w:hint="default" w:cs="宋体"/>
                <w:color w:val="auto"/>
                <w:szCs w:val="21"/>
                <w:highlight w:val="none"/>
                <w:lang w:val="en-US" w:eastAsia="zh-CN"/>
              </w:rPr>
            </w:pPr>
            <w:r>
              <w:rPr>
                <w:rFonts w:hint="eastAsia" w:ascii="Calibri" w:hAnsi="Calibri" w:eastAsia="宋体" w:cs="宋体"/>
                <w:color w:val="auto"/>
                <w:kern w:val="2"/>
                <w:sz w:val="21"/>
                <w:szCs w:val="21"/>
                <w:highlight w:val="none"/>
                <w:lang w:val="en-US" w:eastAsia="zh-CN" w:bidi="ar-SA"/>
              </w:rPr>
              <w:t>响应文件对“采购文件第三部分采购需求”的响应情况：全部满足采购文件要求的得</w:t>
            </w:r>
            <w:r>
              <w:rPr>
                <w:rFonts w:hint="eastAsia" w:eastAsia="宋体" w:cs="宋体"/>
                <w:color w:val="auto"/>
                <w:kern w:val="2"/>
                <w:sz w:val="21"/>
                <w:szCs w:val="21"/>
                <w:highlight w:val="none"/>
                <w:lang w:val="en-US" w:eastAsia="zh-CN" w:bidi="ar-SA"/>
              </w:rPr>
              <w:t>1</w:t>
            </w:r>
            <w:r>
              <w:rPr>
                <w:rFonts w:hint="eastAsia" w:cs="宋体"/>
                <w:color w:val="auto"/>
                <w:kern w:val="2"/>
                <w:sz w:val="21"/>
                <w:szCs w:val="21"/>
                <w:highlight w:val="none"/>
                <w:lang w:val="en-US" w:eastAsia="zh-CN" w:bidi="ar-SA"/>
              </w:rPr>
              <w:t>5</w:t>
            </w:r>
            <w:r>
              <w:rPr>
                <w:rFonts w:hint="eastAsia" w:ascii="Calibri" w:hAnsi="Calibri" w:eastAsia="宋体" w:cs="宋体"/>
                <w:color w:val="auto"/>
                <w:kern w:val="2"/>
                <w:sz w:val="21"/>
                <w:szCs w:val="21"/>
                <w:highlight w:val="none"/>
                <w:lang w:val="en-US" w:eastAsia="zh-CN" w:bidi="ar-SA"/>
              </w:rPr>
              <w:t>分，每负偏离一项扣1分，扣完为止。标有“▲”的</w:t>
            </w:r>
            <w:r>
              <w:rPr>
                <w:rFonts w:hint="eastAsia" w:eastAsia="宋体" w:cs="宋体"/>
                <w:color w:val="auto"/>
                <w:kern w:val="2"/>
                <w:sz w:val="21"/>
                <w:szCs w:val="21"/>
                <w:highlight w:val="none"/>
                <w:lang w:val="en-US" w:eastAsia="zh-CN" w:bidi="ar-SA"/>
              </w:rPr>
              <w:t>服务要求有</w:t>
            </w:r>
            <w:r>
              <w:rPr>
                <w:rFonts w:hint="eastAsia" w:ascii="Calibri" w:hAnsi="Calibri" w:eastAsia="宋体" w:cs="宋体"/>
                <w:color w:val="auto"/>
                <w:kern w:val="2"/>
                <w:sz w:val="21"/>
                <w:szCs w:val="21"/>
                <w:highlight w:val="none"/>
                <w:lang w:val="en-US" w:eastAsia="zh-CN" w:bidi="ar-SA"/>
              </w:rPr>
              <w:t>负偏离</w:t>
            </w:r>
            <w:r>
              <w:rPr>
                <w:rFonts w:hint="eastAsia" w:eastAsia="宋体" w:cs="宋体"/>
                <w:color w:val="auto"/>
                <w:kern w:val="2"/>
                <w:sz w:val="21"/>
                <w:szCs w:val="21"/>
                <w:highlight w:val="none"/>
                <w:lang w:val="en-US" w:eastAsia="zh-CN" w:bidi="ar-SA"/>
              </w:rPr>
              <w:t>的</w:t>
            </w:r>
            <w:r>
              <w:rPr>
                <w:rFonts w:hint="eastAsia" w:ascii="Calibri" w:hAnsi="Calibri" w:eastAsia="宋体" w:cs="宋体"/>
                <w:color w:val="auto"/>
                <w:kern w:val="2"/>
                <w:sz w:val="21"/>
                <w:szCs w:val="21"/>
                <w:highlight w:val="none"/>
                <w:lang w:val="en-US" w:eastAsia="zh-CN" w:bidi="ar-SA"/>
              </w:rPr>
              <w:t>作无效标处理。</w:t>
            </w:r>
          </w:p>
        </w:tc>
      </w:tr>
      <w:tr w14:paraId="013A6F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66" w:hRule="atLeast"/>
        </w:trPr>
        <w:tc>
          <w:tcPr>
            <w:tcW w:w="748" w:type="dxa"/>
            <w:vMerge w:val="continue"/>
            <w:noWrap w:val="0"/>
            <w:vAlign w:val="center"/>
          </w:tcPr>
          <w:p w14:paraId="0C34F074">
            <w:pPr>
              <w:pageBreakBefore w:val="0"/>
              <w:widowControl/>
              <w:kinsoku/>
              <w:wordWrap/>
              <w:overflowPunct/>
              <w:topLinePunct w:val="0"/>
              <w:bidi w:val="0"/>
              <w:spacing w:line="360" w:lineRule="auto"/>
              <w:jc w:val="left"/>
              <w:rPr>
                <w:color w:val="auto"/>
                <w:szCs w:val="21"/>
                <w:highlight w:val="none"/>
              </w:rPr>
            </w:pPr>
          </w:p>
        </w:tc>
        <w:tc>
          <w:tcPr>
            <w:tcW w:w="1195" w:type="dxa"/>
            <w:vMerge w:val="restart"/>
            <w:noWrap w:val="0"/>
            <w:vAlign w:val="center"/>
          </w:tcPr>
          <w:p w14:paraId="2A7591C6">
            <w:pPr>
              <w:pageBreakBefore w:val="0"/>
              <w:kinsoku/>
              <w:wordWrap/>
              <w:overflowPunct/>
              <w:topLinePunct w:val="0"/>
              <w:bidi w:val="0"/>
              <w:spacing w:line="360" w:lineRule="auto"/>
              <w:jc w:val="center"/>
              <w:rPr>
                <w:rFonts w:hint="eastAsia"/>
                <w:color w:val="auto"/>
                <w:szCs w:val="21"/>
                <w:highlight w:val="none"/>
              </w:rPr>
            </w:pPr>
            <w:r>
              <w:rPr>
                <w:rFonts w:hint="eastAsia"/>
                <w:color w:val="auto"/>
                <w:szCs w:val="21"/>
                <w:highlight w:val="none"/>
              </w:rPr>
              <w:t>施工组织方案</w:t>
            </w:r>
          </w:p>
          <w:p w14:paraId="13375573">
            <w:pPr>
              <w:pageBreakBefore w:val="0"/>
              <w:kinsoku/>
              <w:wordWrap/>
              <w:overflowPunct/>
              <w:topLinePunct w:val="0"/>
              <w:bidi w:val="0"/>
              <w:spacing w:line="360" w:lineRule="auto"/>
              <w:jc w:val="center"/>
              <w:rPr>
                <w:color w:val="auto"/>
                <w:szCs w:val="21"/>
                <w:highlight w:val="none"/>
              </w:rPr>
            </w:pPr>
            <w:r>
              <w:rPr>
                <w:color w:val="auto"/>
                <w:szCs w:val="21"/>
                <w:highlight w:val="none"/>
              </w:rPr>
              <w:t>（</w:t>
            </w:r>
            <w:r>
              <w:rPr>
                <w:rFonts w:hint="eastAsia"/>
                <w:color w:val="auto"/>
                <w:szCs w:val="21"/>
                <w:highlight w:val="none"/>
              </w:rPr>
              <w:t>3</w:t>
            </w:r>
            <w:r>
              <w:rPr>
                <w:rFonts w:hint="eastAsia"/>
                <w:color w:val="auto"/>
                <w:szCs w:val="21"/>
                <w:highlight w:val="none"/>
                <w:lang w:val="en-US" w:eastAsia="zh-CN"/>
              </w:rPr>
              <w:t>0</w:t>
            </w:r>
            <w:r>
              <w:rPr>
                <w:color w:val="auto"/>
                <w:szCs w:val="21"/>
                <w:highlight w:val="none"/>
              </w:rPr>
              <w:t>分）</w:t>
            </w:r>
          </w:p>
        </w:tc>
        <w:tc>
          <w:tcPr>
            <w:tcW w:w="7442" w:type="dxa"/>
            <w:noWrap w:val="0"/>
            <w:vAlign w:val="center"/>
          </w:tcPr>
          <w:p w14:paraId="076F980C">
            <w:pPr>
              <w:pageBreakBefore w:val="0"/>
              <w:numPr>
                <w:ilvl w:val="0"/>
                <w:numId w:val="4"/>
              </w:numPr>
              <w:tabs>
                <w:tab w:val="left" w:pos="4915"/>
              </w:tabs>
              <w:kinsoku/>
              <w:wordWrap/>
              <w:overflowPunct/>
              <w:topLinePunct w:val="0"/>
              <w:bidi w:val="0"/>
              <w:spacing w:line="360" w:lineRule="auto"/>
              <w:rPr>
                <w:rFonts w:hint="eastAsia" w:cs="宋体"/>
                <w:color w:val="auto"/>
                <w:szCs w:val="21"/>
                <w:highlight w:val="none"/>
                <w:lang w:val="en-US" w:eastAsia="zh-CN"/>
              </w:rPr>
            </w:pPr>
            <w:r>
              <w:rPr>
                <w:rFonts w:hint="eastAsia" w:cs="宋体"/>
                <w:color w:val="auto"/>
                <w:szCs w:val="21"/>
                <w:highlight w:val="none"/>
                <w:lang w:val="en-US" w:eastAsia="zh-CN"/>
              </w:rPr>
              <w:t>项目背景调查（5分）</w:t>
            </w:r>
          </w:p>
          <w:p w14:paraId="7298C1A3">
            <w:pPr>
              <w:pageBreakBefore w:val="0"/>
              <w:numPr>
                <w:ilvl w:val="0"/>
                <w:numId w:val="0"/>
              </w:numPr>
              <w:tabs>
                <w:tab w:val="left" w:pos="4915"/>
              </w:tabs>
              <w:kinsoku/>
              <w:wordWrap/>
              <w:overflowPunct/>
              <w:topLinePunct w:val="0"/>
              <w:bidi w:val="0"/>
              <w:spacing w:line="360" w:lineRule="auto"/>
              <w:rPr>
                <w:rFonts w:hint="default" w:eastAsia="宋体" w:cs="宋体"/>
                <w:color w:val="auto"/>
                <w:szCs w:val="21"/>
                <w:highlight w:val="none"/>
                <w:lang w:val="en-US" w:eastAsia="zh-CN"/>
              </w:rPr>
            </w:pPr>
            <w:r>
              <w:rPr>
                <w:rFonts w:hint="eastAsia" w:cs="宋体"/>
                <w:color w:val="auto"/>
                <w:szCs w:val="21"/>
                <w:highlight w:val="none"/>
              </w:rPr>
              <w:t>评委对</w:t>
            </w:r>
            <w:r>
              <w:rPr>
                <w:rFonts w:hint="eastAsia" w:cs="宋体"/>
                <w:color w:val="auto"/>
                <w:szCs w:val="21"/>
                <w:highlight w:val="none"/>
                <w:lang w:val="en-US" w:eastAsia="zh-CN"/>
              </w:rPr>
              <w:t>供应商根据目前项目情况所进行的调查和分析</w:t>
            </w:r>
            <w:r>
              <w:rPr>
                <w:rFonts w:hint="eastAsia" w:cs="宋体"/>
                <w:color w:val="auto"/>
                <w:szCs w:val="21"/>
                <w:highlight w:val="none"/>
              </w:rPr>
              <w:t>进行综合评议并打分：方案完全符合本项目需求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调查充分、分析全面</w:t>
            </w:r>
            <w:r>
              <w:rPr>
                <w:rFonts w:hint="eastAsia" w:cs="宋体"/>
                <w:color w:val="auto"/>
                <w:szCs w:val="21"/>
                <w:highlight w:val="none"/>
              </w:rPr>
              <w:t>的得5分</w:t>
            </w:r>
            <w:r>
              <w:rPr>
                <w:rFonts w:hint="eastAsia" w:cs="宋体"/>
                <w:color w:val="auto"/>
                <w:szCs w:val="21"/>
                <w:highlight w:val="none"/>
                <w:lang w:eastAsia="zh-CN"/>
              </w:rPr>
              <w:t>；</w:t>
            </w:r>
            <w:r>
              <w:rPr>
                <w:rFonts w:hint="eastAsia" w:cs="宋体"/>
                <w:color w:val="auto"/>
                <w:szCs w:val="21"/>
                <w:highlight w:val="none"/>
              </w:rPr>
              <w:t>方案能满足项目的</w:t>
            </w:r>
            <w:r>
              <w:rPr>
                <w:rFonts w:hint="eastAsia" w:cs="宋体"/>
                <w:color w:val="auto"/>
                <w:szCs w:val="21"/>
                <w:highlight w:val="none"/>
                <w:lang w:val="en-US" w:eastAsia="zh-CN"/>
              </w:rPr>
              <w:t>主体</w:t>
            </w:r>
            <w:r>
              <w:rPr>
                <w:rFonts w:hint="eastAsia" w:cs="宋体"/>
                <w:color w:val="auto"/>
                <w:szCs w:val="21"/>
                <w:highlight w:val="none"/>
              </w:rPr>
              <w:t>需求，</w:t>
            </w:r>
            <w:r>
              <w:rPr>
                <w:rFonts w:hint="eastAsia" w:cs="宋体"/>
                <w:color w:val="auto"/>
                <w:szCs w:val="21"/>
                <w:highlight w:val="none"/>
                <w:lang w:val="en-US" w:eastAsia="zh-CN"/>
              </w:rPr>
              <w:t>调查不够充分、分析不够全面</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方案有明显缺漏项</w:t>
            </w:r>
            <w:r>
              <w:rPr>
                <w:rFonts w:hint="eastAsia" w:cs="宋体"/>
                <w:color w:val="auto"/>
                <w:szCs w:val="21"/>
                <w:highlight w:val="none"/>
                <w:lang w:val="en-US" w:eastAsia="zh-CN"/>
              </w:rPr>
              <w:t>或没有针对性</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05CBB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03" w:hRule="atLeast"/>
        </w:trPr>
        <w:tc>
          <w:tcPr>
            <w:tcW w:w="748" w:type="dxa"/>
            <w:vMerge w:val="continue"/>
            <w:noWrap w:val="0"/>
            <w:vAlign w:val="center"/>
          </w:tcPr>
          <w:p w14:paraId="1FAAFECC">
            <w:pPr>
              <w:pageBreakBefore w:val="0"/>
              <w:widowControl/>
              <w:kinsoku/>
              <w:wordWrap/>
              <w:overflowPunct/>
              <w:topLinePunct w:val="0"/>
              <w:bidi w:val="0"/>
              <w:spacing w:line="360" w:lineRule="auto"/>
              <w:jc w:val="left"/>
              <w:rPr>
                <w:color w:val="auto"/>
                <w:szCs w:val="21"/>
                <w:highlight w:val="none"/>
              </w:rPr>
            </w:pPr>
          </w:p>
        </w:tc>
        <w:tc>
          <w:tcPr>
            <w:tcW w:w="1195" w:type="dxa"/>
            <w:vMerge w:val="continue"/>
            <w:noWrap w:val="0"/>
            <w:vAlign w:val="center"/>
          </w:tcPr>
          <w:p w14:paraId="53F87BDE">
            <w:pPr>
              <w:pageBreakBefore w:val="0"/>
              <w:widowControl/>
              <w:kinsoku/>
              <w:wordWrap/>
              <w:overflowPunct/>
              <w:topLinePunct w:val="0"/>
              <w:bidi w:val="0"/>
              <w:spacing w:line="360" w:lineRule="auto"/>
              <w:jc w:val="left"/>
              <w:rPr>
                <w:color w:val="auto"/>
                <w:szCs w:val="21"/>
                <w:highlight w:val="none"/>
              </w:rPr>
            </w:pPr>
          </w:p>
        </w:tc>
        <w:tc>
          <w:tcPr>
            <w:tcW w:w="7442" w:type="dxa"/>
            <w:noWrap w:val="0"/>
            <w:vAlign w:val="center"/>
          </w:tcPr>
          <w:p w14:paraId="7EB7168A">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3、</w:t>
            </w:r>
            <w:r>
              <w:rPr>
                <w:rFonts w:hint="eastAsia" w:cs="宋体"/>
                <w:color w:val="auto"/>
                <w:szCs w:val="21"/>
                <w:highlight w:val="none"/>
              </w:rPr>
              <w:t>施工组织方案</w:t>
            </w:r>
            <w:r>
              <w:rPr>
                <w:rFonts w:hint="eastAsia" w:cs="宋体"/>
                <w:color w:val="auto"/>
                <w:szCs w:val="21"/>
                <w:highlight w:val="none"/>
                <w:lang w:val="en-US" w:eastAsia="zh-CN"/>
              </w:rPr>
              <w:t>实施</w:t>
            </w:r>
            <w:r>
              <w:rPr>
                <w:rFonts w:hint="eastAsia" w:cs="宋体"/>
                <w:color w:val="auto"/>
                <w:szCs w:val="21"/>
                <w:highlight w:val="none"/>
              </w:rPr>
              <w:t>（5分）</w:t>
            </w:r>
          </w:p>
          <w:p w14:paraId="37A84544">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评委对整体施工组织方案进行综合评议并打分：方案完全符合本项目需求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工程关键节点分析准确、把控得当</w:t>
            </w:r>
            <w:r>
              <w:rPr>
                <w:rFonts w:hint="eastAsia" w:cs="宋体"/>
                <w:color w:val="auto"/>
                <w:szCs w:val="21"/>
                <w:highlight w:val="none"/>
              </w:rPr>
              <w:t>的得5分</w:t>
            </w:r>
            <w:r>
              <w:rPr>
                <w:rFonts w:hint="eastAsia" w:cs="宋体"/>
                <w:color w:val="auto"/>
                <w:szCs w:val="21"/>
                <w:highlight w:val="none"/>
                <w:lang w:eastAsia="zh-CN"/>
              </w:rPr>
              <w:t>；</w:t>
            </w:r>
            <w:r>
              <w:rPr>
                <w:rFonts w:hint="eastAsia" w:cs="宋体"/>
                <w:color w:val="auto"/>
                <w:szCs w:val="21"/>
                <w:highlight w:val="none"/>
              </w:rPr>
              <w:t>方案能满足项目的</w:t>
            </w:r>
            <w:r>
              <w:rPr>
                <w:rFonts w:hint="eastAsia" w:cs="宋体"/>
                <w:color w:val="auto"/>
                <w:szCs w:val="21"/>
                <w:highlight w:val="none"/>
                <w:lang w:val="en-US" w:eastAsia="zh-CN"/>
              </w:rPr>
              <w:t>主体</w:t>
            </w:r>
            <w:r>
              <w:rPr>
                <w:rFonts w:hint="eastAsia" w:cs="宋体"/>
                <w:color w:val="auto"/>
                <w:szCs w:val="21"/>
                <w:highlight w:val="none"/>
              </w:rPr>
              <w:t>需求，</w:t>
            </w:r>
            <w:r>
              <w:rPr>
                <w:rFonts w:hint="eastAsia" w:cs="宋体"/>
                <w:color w:val="auto"/>
                <w:szCs w:val="21"/>
                <w:highlight w:val="none"/>
                <w:lang w:val="en-US" w:eastAsia="zh-CN"/>
              </w:rPr>
              <w:t>工程关键节点把控不够明确</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方案有明显缺漏项</w:t>
            </w:r>
            <w:r>
              <w:rPr>
                <w:rFonts w:hint="eastAsia" w:cs="宋体"/>
                <w:color w:val="auto"/>
                <w:szCs w:val="21"/>
                <w:highlight w:val="none"/>
                <w:lang w:val="en-US" w:eastAsia="zh-CN"/>
              </w:rPr>
              <w:t>或没有针对性</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951CF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8" w:type="dxa"/>
            <w:vMerge w:val="continue"/>
            <w:noWrap w:val="0"/>
            <w:vAlign w:val="center"/>
          </w:tcPr>
          <w:p w14:paraId="36C904E6">
            <w:pPr>
              <w:pageBreakBefore w:val="0"/>
              <w:widowControl/>
              <w:kinsoku/>
              <w:wordWrap/>
              <w:overflowPunct/>
              <w:topLinePunct w:val="0"/>
              <w:bidi w:val="0"/>
              <w:spacing w:line="360" w:lineRule="auto"/>
              <w:jc w:val="left"/>
              <w:rPr>
                <w:color w:val="auto"/>
                <w:szCs w:val="21"/>
                <w:highlight w:val="none"/>
              </w:rPr>
            </w:pPr>
          </w:p>
        </w:tc>
        <w:tc>
          <w:tcPr>
            <w:tcW w:w="1195" w:type="dxa"/>
            <w:vMerge w:val="continue"/>
            <w:noWrap w:val="0"/>
            <w:vAlign w:val="center"/>
          </w:tcPr>
          <w:p w14:paraId="1DB17A2E">
            <w:pPr>
              <w:pageBreakBefore w:val="0"/>
              <w:widowControl/>
              <w:kinsoku/>
              <w:wordWrap/>
              <w:overflowPunct/>
              <w:topLinePunct w:val="0"/>
              <w:bidi w:val="0"/>
              <w:spacing w:line="360" w:lineRule="auto"/>
              <w:jc w:val="left"/>
              <w:rPr>
                <w:color w:val="auto"/>
                <w:szCs w:val="21"/>
                <w:highlight w:val="none"/>
              </w:rPr>
            </w:pPr>
          </w:p>
        </w:tc>
        <w:tc>
          <w:tcPr>
            <w:tcW w:w="7442" w:type="dxa"/>
            <w:noWrap w:val="0"/>
            <w:vAlign w:val="center"/>
          </w:tcPr>
          <w:p w14:paraId="4F6C1D49">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4、</w:t>
            </w:r>
            <w:r>
              <w:rPr>
                <w:rFonts w:hint="eastAsia" w:cs="宋体"/>
                <w:color w:val="auto"/>
                <w:szCs w:val="21"/>
                <w:highlight w:val="none"/>
              </w:rPr>
              <w:t>工程质量保证措施（5分）</w:t>
            </w:r>
          </w:p>
          <w:p w14:paraId="43CE4316">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评委对工程质量保证措施进行综合评议并打分：</w:t>
            </w:r>
            <w:r>
              <w:rPr>
                <w:rFonts w:hint="eastAsia" w:cs="宋体"/>
                <w:color w:val="auto"/>
                <w:szCs w:val="21"/>
                <w:highlight w:val="none"/>
                <w:lang w:val="en-US" w:eastAsia="zh-CN"/>
              </w:rPr>
              <w:t>各项保证</w:t>
            </w:r>
            <w:r>
              <w:rPr>
                <w:rFonts w:hint="eastAsia" w:cs="宋体"/>
                <w:color w:val="auto"/>
                <w:szCs w:val="21"/>
                <w:highlight w:val="none"/>
              </w:rPr>
              <w:t>措施有力</w:t>
            </w:r>
            <w:r>
              <w:rPr>
                <w:rFonts w:hint="eastAsia" w:cs="宋体"/>
                <w:color w:val="auto"/>
                <w:szCs w:val="21"/>
                <w:highlight w:val="none"/>
                <w:lang w:eastAsia="zh-CN"/>
              </w:rPr>
              <w:t>、</w:t>
            </w:r>
            <w:r>
              <w:rPr>
                <w:rFonts w:hint="eastAsia" w:cs="宋体"/>
                <w:color w:val="auto"/>
                <w:szCs w:val="21"/>
                <w:highlight w:val="none"/>
                <w:lang w:val="en-US" w:eastAsia="zh-CN"/>
              </w:rPr>
              <w:t>符合行业规范</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措施上有</w:t>
            </w:r>
            <w:r>
              <w:rPr>
                <w:rFonts w:hint="eastAsia" w:cs="宋体"/>
                <w:color w:val="auto"/>
                <w:szCs w:val="21"/>
                <w:highlight w:val="none"/>
                <w:lang w:val="en-US" w:eastAsia="zh-CN"/>
              </w:rPr>
              <w:t>部分非主体内容的欠缺</w:t>
            </w:r>
            <w:r>
              <w:rPr>
                <w:rFonts w:hint="eastAsia" w:cs="宋体"/>
                <w:color w:val="auto"/>
                <w:szCs w:val="21"/>
                <w:highlight w:val="none"/>
              </w:rPr>
              <w:t>，</w:t>
            </w:r>
            <w:r>
              <w:rPr>
                <w:rFonts w:hint="eastAsia" w:cs="宋体"/>
                <w:color w:val="auto"/>
                <w:szCs w:val="21"/>
                <w:highlight w:val="none"/>
                <w:lang w:val="en-US" w:eastAsia="zh-CN"/>
              </w:rPr>
              <w:t>尚不影响履约</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w:t>
            </w:r>
            <w:r>
              <w:rPr>
                <w:rFonts w:hint="eastAsia" w:cs="宋体"/>
                <w:color w:val="auto"/>
                <w:szCs w:val="21"/>
                <w:highlight w:val="none"/>
                <w:lang w:val="en-US" w:eastAsia="zh-CN"/>
              </w:rPr>
              <w:t>上有主体内容的缺项</w:t>
            </w:r>
            <w:r>
              <w:rPr>
                <w:rFonts w:hint="eastAsia" w:cs="宋体"/>
                <w:color w:val="auto"/>
                <w:szCs w:val="21"/>
                <w:highlight w:val="none"/>
              </w:rPr>
              <w:t>或缺少具体</w:t>
            </w:r>
            <w:r>
              <w:rPr>
                <w:rFonts w:hint="eastAsia" w:cs="宋体"/>
                <w:color w:val="auto"/>
                <w:szCs w:val="21"/>
                <w:highlight w:val="none"/>
                <w:lang w:val="en-US" w:eastAsia="zh-CN"/>
              </w:rPr>
              <w:t>有效的保证措施</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保证满足项目需求的得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FDCF0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4" w:hRule="atLeast"/>
        </w:trPr>
        <w:tc>
          <w:tcPr>
            <w:tcW w:w="748" w:type="dxa"/>
            <w:vMerge w:val="continue"/>
            <w:noWrap w:val="0"/>
            <w:vAlign w:val="center"/>
          </w:tcPr>
          <w:p w14:paraId="4E1F5D37">
            <w:pPr>
              <w:pageBreakBefore w:val="0"/>
              <w:widowControl/>
              <w:kinsoku/>
              <w:wordWrap/>
              <w:overflowPunct/>
              <w:topLinePunct w:val="0"/>
              <w:bidi w:val="0"/>
              <w:spacing w:line="360" w:lineRule="auto"/>
              <w:jc w:val="left"/>
              <w:rPr>
                <w:color w:val="auto"/>
                <w:szCs w:val="21"/>
                <w:highlight w:val="none"/>
              </w:rPr>
            </w:pPr>
          </w:p>
        </w:tc>
        <w:tc>
          <w:tcPr>
            <w:tcW w:w="1195" w:type="dxa"/>
            <w:vMerge w:val="continue"/>
            <w:noWrap w:val="0"/>
            <w:vAlign w:val="center"/>
          </w:tcPr>
          <w:p w14:paraId="40374092">
            <w:pPr>
              <w:pageBreakBefore w:val="0"/>
              <w:widowControl/>
              <w:kinsoku/>
              <w:wordWrap/>
              <w:overflowPunct/>
              <w:topLinePunct w:val="0"/>
              <w:bidi w:val="0"/>
              <w:spacing w:line="360" w:lineRule="auto"/>
              <w:jc w:val="left"/>
              <w:rPr>
                <w:color w:val="auto"/>
                <w:szCs w:val="21"/>
                <w:highlight w:val="none"/>
              </w:rPr>
            </w:pPr>
          </w:p>
        </w:tc>
        <w:tc>
          <w:tcPr>
            <w:tcW w:w="7442" w:type="dxa"/>
            <w:noWrap w:val="0"/>
            <w:vAlign w:val="center"/>
          </w:tcPr>
          <w:p w14:paraId="3AB9AB41">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5、</w:t>
            </w:r>
            <w:r>
              <w:rPr>
                <w:rFonts w:hint="eastAsia" w:cs="宋体"/>
                <w:color w:val="auto"/>
                <w:szCs w:val="21"/>
                <w:highlight w:val="none"/>
              </w:rPr>
              <w:t>施工进度管理与控制（5分）</w:t>
            </w:r>
          </w:p>
          <w:p w14:paraId="23A92698">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评委对施工进度管理与控制进行综合评议并打分：</w:t>
            </w:r>
            <w:r>
              <w:rPr>
                <w:rFonts w:hint="eastAsia" w:cs="宋体"/>
                <w:color w:val="auto"/>
                <w:szCs w:val="21"/>
                <w:highlight w:val="none"/>
                <w:lang w:val="en-US" w:eastAsia="zh-CN"/>
              </w:rPr>
              <w:t>进度计划安排得当、各时间节点明确、项目工期有有效保障的得5分；进度安排尚能满足项目需求、部分时间节点不够明确或存在前松后紧的得3分；进度安排存在明显不合理之处、或时间节点混乱、难以保障项目工期的得1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8C188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48" w:type="dxa"/>
            <w:vMerge w:val="continue"/>
            <w:noWrap w:val="0"/>
            <w:vAlign w:val="center"/>
          </w:tcPr>
          <w:p w14:paraId="15FD7D87">
            <w:pPr>
              <w:pageBreakBefore w:val="0"/>
              <w:widowControl/>
              <w:kinsoku/>
              <w:wordWrap/>
              <w:overflowPunct/>
              <w:topLinePunct w:val="0"/>
              <w:bidi w:val="0"/>
              <w:spacing w:line="360" w:lineRule="auto"/>
              <w:jc w:val="left"/>
              <w:rPr>
                <w:color w:val="auto"/>
                <w:szCs w:val="21"/>
                <w:highlight w:val="none"/>
              </w:rPr>
            </w:pPr>
          </w:p>
        </w:tc>
        <w:tc>
          <w:tcPr>
            <w:tcW w:w="1195" w:type="dxa"/>
            <w:vMerge w:val="continue"/>
            <w:noWrap w:val="0"/>
            <w:vAlign w:val="center"/>
          </w:tcPr>
          <w:p w14:paraId="41A00AA6">
            <w:pPr>
              <w:pageBreakBefore w:val="0"/>
              <w:widowControl/>
              <w:kinsoku/>
              <w:wordWrap/>
              <w:overflowPunct/>
              <w:topLinePunct w:val="0"/>
              <w:bidi w:val="0"/>
              <w:spacing w:line="360" w:lineRule="auto"/>
              <w:jc w:val="left"/>
              <w:rPr>
                <w:color w:val="auto"/>
                <w:szCs w:val="21"/>
                <w:highlight w:val="none"/>
              </w:rPr>
            </w:pPr>
          </w:p>
        </w:tc>
        <w:tc>
          <w:tcPr>
            <w:tcW w:w="7442" w:type="dxa"/>
            <w:noWrap w:val="0"/>
            <w:vAlign w:val="center"/>
          </w:tcPr>
          <w:p w14:paraId="18B9EEE0">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6、</w:t>
            </w:r>
            <w:r>
              <w:rPr>
                <w:rFonts w:hint="eastAsia" w:cs="宋体"/>
                <w:color w:val="auto"/>
                <w:szCs w:val="21"/>
                <w:highlight w:val="none"/>
              </w:rPr>
              <w:t>安全生产、文明施工措施（5分）</w:t>
            </w:r>
          </w:p>
          <w:p w14:paraId="4035398C">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评委对安全生产、文明施工措施进行综合评议并打分：</w:t>
            </w:r>
            <w:r>
              <w:rPr>
                <w:rFonts w:hint="eastAsia" w:cs="宋体"/>
                <w:color w:val="auto"/>
                <w:szCs w:val="21"/>
                <w:highlight w:val="none"/>
                <w:lang w:val="en-US" w:eastAsia="zh-CN"/>
              </w:rPr>
              <w:t>对施工噪音、施工震动、施工扬尘等防治</w:t>
            </w:r>
            <w:r>
              <w:rPr>
                <w:rFonts w:hint="eastAsia" w:cs="宋体"/>
                <w:color w:val="auto"/>
                <w:szCs w:val="21"/>
                <w:highlight w:val="none"/>
              </w:rPr>
              <w:t>措施</w:t>
            </w:r>
            <w:r>
              <w:rPr>
                <w:rFonts w:hint="eastAsia" w:cs="宋体"/>
                <w:color w:val="auto"/>
                <w:szCs w:val="21"/>
                <w:highlight w:val="none"/>
                <w:lang w:val="en-US" w:eastAsia="zh-CN"/>
              </w:rPr>
              <w:t>具体有效</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措施上</w:t>
            </w:r>
            <w:r>
              <w:rPr>
                <w:rFonts w:hint="eastAsia" w:cs="宋体"/>
                <w:color w:val="auto"/>
                <w:szCs w:val="21"/>
                <w:highlight w:val="none"/>
                <w:lang w:val="en-US" w:eastAsia="zh-CN"/>
              </w:rPr>
              <w:t>存在细节</w:t>
            </w:r>
            <w:r>
              <w:rPr>
                <w:rFonts w:hint="eastAsia" w:cs="宋体"/>
                <w:color w:val="auto"/>
                <w:szCs w:val="21"/>
                <w:highlight w:val="none"/>
              </w:rPr>
              <w:t>部分欠缺，</w:t>
            </w:r>
            <w:r>
              <w:rPr>
                <w:rFonts w:hint="eastAsia" w:cs="宋体"/>
                <w:color w:val="auto"/>
                <w:szCs w:val="21"/>
                <w:highlight w:val="none"/>
                <w:lang w:val="en-US" w:eastAsia="zh-CN"/>
              </w:rPr>
              <w:t>尚不影响履约</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措施</w:t>
            </w:r>
            <w:r>
              <w:rPr>
                <w:rFonts w:hint="eastAsia" w:cs="宋体"/>
                <w:color w:val="auto"/>
                <w:szCs w:val="21"/>
                <w:highlight w:val="none"/>
                <w:lang w:val="en-US" w:eastAsia="zh-CN"/>
              </w:rPr>
              <w:t>有缺项</w:t>
            </w:r>
            <w:r>
              <w:rPr>
                <w:rFonts w:hint="eastAsia" w:cs="宋体"/>
                <w:color w:val="auto"/>
                <w:szCs w:val="21"/>
                <w:highlight w:val="none"/>
              </w:rPr>
              <w:t>或缺少</w:t>
            </w:r>
            <w:r>
              <w:rPr>
                <w:rFonts w:hint="eastAsia" w:cs="宋体"/>
                <w:color w:val="auto"/>
                <w:szCs w:val="21"/>
                <w:highlight w:val="none"/>
                <w:lang w:val="en-US" w:eastAsia="zh-CN"/>
              </w:rPr>
              <w:t>有效防治手段</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52EADC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92" w:hRule="atLeast"/>
        </w:trPr>
        <w:tc>
          <w:tcPr>
            <w:tcW w:w="748" w:type="dxa"/>
            <w:vMerge w:val="continue"/>
            <w:noWrap w:val="0"/>
            <w:vAlign w:val="center"/>
          </w:tcPr>
          <w:p w14:paraId="5FE0CB1E">
            <w:pPr>
              <w:pageBreakBefore w:val="0"/>
              <w:widowControl/>
              <w:kinsoku/>
              <w:wordWrap/>
              <w:overflowPunct/>
              <w:topLinePunct w:val="0"/>
              <w:bidi w:val="0"/>
              <w:spacing w:line="360" w:lineRule="auto"/>
              <w:jc w:val="left"/>
              <w:rPr>
                <w:color w:val="auto"/>
                <w:szCs w:val="21"/>
                <w:highlight w:val="none"/>
              </w:rPr>
            </w:pPr>
          </w:p>
        </w:tc>
        <w:tc>
          <w:tcPr>
            <w:tcW w:w="1195" w:type="dxa"/>
            <w:vMerge w:val="continue"/>
            <w:noWrap w:val="0"/>
            <w:vAlign w:val="center"/>
          </w:tcPr>
          <w:p w14:paraId="403B67FB">
            <w:pPr>
              <w:pageBreakBefore w:val="0"/>
              <w:widowControl/>
              <w:kinsoku/>
              <w:wordWrap/>
              <w:overflowPunct/>
              <w:topLinePunct w:val="0"/>
              <w:bidi w:val="0"/>
              <w:spacing w:line="360" w:lineRule="auto"/>
              <w:jc w:val="left"/>
              <w:rPr>
                <w:color w:val="auto"/>
                <w:szCs w:val="21"/>
                <w:highlight w:val="none"/>
              </w:rPr>
            </w:pPr>
          </w:p>
        </w:tc>
        <w:tc>
          <w:tcPr>
            <w:tcW w:w="7442" w:type="dxa"/>
            <w:noWrap w:val="0"/>
            <w:vAlign w:val="center"/>
          </w:tcPr>
          <w:p w14:paraId="69A661B3">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7、</w:t>
            </w:r>
            <w:r>
              <w:rPr>
                <w:rFonts w:hint="eastAsia" w:cs="宋体"/>
                <w:color w:val="auto"/>
                <w:szCs w:val="21"/>
                <w:highlight w:val="none"/>
              </w:rPr>
              <w:t>环保管理体系和措施（5分）</w:t>
            </w:r>
          </w:p>
          <w:p w14:paraId="030732DC">
            <w:pPr>
              <w:pageBreakBefore w:val="0"/>
              <w:tabs>
                <w:tab w:val="left" w:pos="4915"/>
              </w:tabs>
              <w:kinsoku/>
              <w:wordWrap/>
              <w:overflowPunct/>
              <w:topLinePunct w:val="0"/>
              <w:bidi w:val="0"/>
              <w:spacing w:line="360" w:lineRule="auto"/>
              <w:rPr>
                <w:rFonts w:hint="eastAsia" w:ascii="Times New Roman" w:hAnsi="Times New Roman" w:eastAsia="宋体" w:cs="宋体"/>
                <w:color w:val="auto"/>
                <w:kern w:val="2"/>
                <w:sz w:val="21"/>
                <w:szCs w:val="21"/>
                <w:highlight w:val="none"/>
                <w:lang w:val="en-US" w:eastAsia="zh-CN" w:bidi="ar-SA"/>
              </w:rPr>
            </w:pPr>
            <w:r>
              <w:rPr>
                <w:rFonts w:hint="eastAsia" w:cs="宋体"/>
                <w:color w:val="auto"/>
                <w:szCs w:val="21"/>
                <w:highlight w:val="none"/>
              </w:rPr>
              <w:t>评委对环保管理体系和措施进行综合评议并打分：</w:t>
            </w:r>
            <w:r>
              <w:rPr>
                <w:rFonts w:hint="eastAsia" w:cs="宋体"/>
                <w:color w:val="auto"/>
                <w:szCs w:val="21"/>
                <w:highlight w:val="none"/>
                <w:lang w:val="en-US" w:eastAsia="zh-CN"/>
              </w:rPr>
              <w:t>环保管理体系健全有效</w:t>
            </w:r>
            <w:r>
              <w:rPr>
                <w:rFonts w:hint="eastAsia" w:cs="宋体"/>
                <w:color w:val="auto"/>
                <w:szCs w:val="21"/>
                <w:highlight w:val="none"/>
              </w:rPr>
              <w:t>、措施</w:t>
            </w:r>
            <w:r>
              <w:rPr>
                <w:rFonts w:hint="eastAsia" w:cs="宋体"/>
                <w:color w:val="auto"/>
                <w:szCs w:val="21"/>
                <w:highlight w:val="none"/>
                <w:lang w:val="en-US" w:eastAsia="zh-CN"/>
              </w:rPr>
              <w:t>具体细致</w:t>
            </w:r>
            <w:r>
              <w:rPr>
                <w:rFonts w:hint="eastAsia" w:cs="宋体"/>
                <w:color w:val="auto"/>
                <w:szCs w:val="21"/>
                <w:highlight w:val="none"/>
              </w:rPr>
              <w:t>、符合本项目需求的得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体系及</w:t>
            </w:r>
            <w:r>
              <w:rPr>
                <w:rFonts w:hint="eastAsia" w:cs="宋体"/>
                <w:color w:val="auto"/>
                <w:szCs w:val="21"/>
                <w:highlight w:val="none"/>
              </w:rPr>
              <w:t>措施上有部分欠缺，</w:t>
            </w:r>
            <w:r>
              <w:rPr>
                <w:rFonts w:hint="eastAsia" w:cs="宋体"/>
                <w:color w:val="auto"/>
                <w:szCs w:val="21"/>
                <w:highlight w:val="none"/>
                <w:lang w:val="en-US" w:eastAsia="zh-CN"/>
              </w:rPr>
              <w:t>但尚不影响实施</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体系及</w:t>
            </w:r>
            <w:r>
              <w:rPr>
                <w:rFonts w:hint="eastAsia" w:cs="宋体"/>
                <w:color w:val="auto"/>
                <w:szCs w:val="21"/>
                <w:highlight w:val="none"/>
              </w:rPr>
              <w:t>措施</w:t>
            </w:r>
            <w:r>
              <w:rPr>
                <w:rFonts w:hint="eastAsia" w:cs="宋体"/>
                <w:color w:val="auto"/>
                <w:szCs w:val="21"/>
                <w:highlight w:val="none"/>
                <w:lang w:val="en-US" w:eastAsia="zh-CN"/>
              </w:rPr>
              <w:t>有明显缺漏项</w:t>
            </w:r>
            <w:r>
              <w:rPr>
                <w:rFonts w:hint="eastAsia" w:cs="宋体"/>
                <w:color w:val="auto"/>
                <w:szCs w:val="21"/>
                <w:highlight w:val="none"/>
              </w:rPr>
              <w:t>，</w:t>
            </w:r>
            <w:r>
              <w:rPr>
                <w:rFonts w:hint="eastAsia" w:cs="宋体"/>
                <w:color w:val="auto"/>
                <w:szCs w:val="21"/>
                <w:highlight w:val="none"/>
                <w:lang w:val="en-US" w:eastAsia="zh-CN"/>
              </w:rPr>
              <w:t>或过于笼统</w:t>
            </w:r>
            <w:r>
              <w:rPr>
                <w:rFonts w:hint="eastAsia" w:cs="宋体"/>
                <w:color w:val="auto"/>
                <w:szCs w:val="21"/>
                <w:highlight w:val="none"/>
              </w:rPr>
              <w:t>无法保证项目</w:t>
            </w:r>
            <w:r>
              <w:rPr>
                <w:rFonts w:hint="eastAsia" w:cs="宋体"/>
                <w:color w:val="auto"/>
                <w:szCs w:val="21"/>
                <w:highlight w:val="none"/>
                <w:lang w:val="en-US" w:eastAsia="zh-CN"/>
              </w:rPr>
              <w:t>实施</w:t>
            </w:r>
            <w:r>
              <w:rPr>
                <w:rFonts w:hint="eastAsia" w:cs="宋体"/>
                <w:color w:val="auto"/>
                <w:szCs w:val="21"/>
                <w:highlight w:val="none"/>
              </w:rPr>
              <w:t>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25BAB6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748" w:type="dxa"/>
            <w:vMerge w:val="continue"/>
            <w:noWrap w:val="0"/>
            <w:vAlign w:val="center"/>
          </w:tcPr>
          <w:p w14:paraId="6CD5B1D4">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11359784">
            <w:pPr>
              <w:pageBreakBefore w:val="0"/>
              <w:kinsoku/>
              <w:wordWrap/>
              <w:overflowPunct/>
              <w:topLinePunct w:val="0"/>
              <w:bidi w:val="0"/>
              <w:spacing w:line="360" w:lineRule="auto"/>
              <w:jc w:val="center"/>
              <w:rPr>
                <w:rFonts w:hint="eastAsia"/>
                <w:color w:val="auto"/>
                <w:szCs w:val="21"/>
                <w:highlight w:val="none"/>
              </w:rPr>
            </w:pPr>
            <w:r>
              <w:rPr>
                <w:rFonts w:hint="eastAsia"/>
                <w:color w:val="auto"/>
                <w:szCs w:val="21"/>
                <w:highlight w:val="none"/>
              </w:rPr>
              <w:t>项目团队（</w:t>
            </w:r>
            <w:r>
              <w:rPr>
                <w:rFonts w:hint="eastAsia"/>
                <w:color w:val="auto"/>
                <w:szCs w:val="21"/>
                <w:highlight w:val="none"/>
                <w:lang w:val="en-US" w:eastAsia="zh-CN"/>
              </w:rPr>
              <w:t>5</w:t>
            </w:r>
            <w:r>
              <w:rPr>
                <w:rFonts w:hint="eastAsia"/>
                <w:color w:val="auto"/>
                <w:szCs w:val="21"/>
                <w:highlight w:val="none"/>
              </w:rPr>
              <w:t>分）</w:t>
            </w:r>
          </w:p>
        </w:tc>
        <w:tc>
          <w:tcPr>
            <w:tcW w:w="7442" w:type="dxa"/>
            <w:noWrap w:val="0"/>
            <w:vAlign w:val="center"/>
          </w:tcPr>
          <w:p w14:paraId="2BA4E46A">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8、</w:t>
            </w:r>
            <w:r>
              <w:rPr>
                <w:rFonts w:hint="eastAsia" w:cs="宋体"/>
                <w:color w:val="auto"/>
                <w:szCs w:val="21"/>
                <w:highlight w:val="none"/>
              </w:rPr>
              <w:t>其他施工人员配备（</w:t>
            </w:r>
            <w:r>
              <w:rPr>
                <w:rFonts w:hint="eastAsia" w:cs="宋体"/>
                <w:color w:val="auto"/>
                <w:szCs w:val="21"/>
                <w:highlight w:val="none"/>
                <w:lang w:val="en-US" w:eastAsia="zh-CN"/>
              </w:rPr>
              <w:t>5</w:t>
            </w:r>
            <w:r>
              <w:rPr>
                <w:rFonts w:hint="eastAsia" w:cs="宋体"/>
                <w:color w:val="auto"/>
                <w:szCs w:val="21"/>
                <w:highlight w:val="none"/>
              </w:rPr>
              <w:t>分）</w:t>
            </w:r>
          </w:p>
          <w:p w14:paraId="1BB842AF">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rPr>
              <w:t>评委对其他施工人员配备进行综合评议并打分：人员配置</w:t>
            </w:r>
            <w:r>
              <w:rPr>
                <w:rFonts w:hint="eastAsia" w:cs="宋体"/>
                <w:color w:val="auto"/>
                <w:szCs w:val="21"/>
                <w:highlight w:val="none"/>
                <w:lang w:val="en-US" w:eastAsia="zh-CN"/>
              </w:rPr>
              <w:t>满足</w:t>
            </w:r>
            <w:r>
              <w:rPr>
                <w:rFonts w:hint="eastAsia" w:cs="宋体"/>
                <w:color w:val="auto"/>
                <w:szCs w:val="21"/>
                <w:highlight w:val="none"/>
              </w:rPr>
              <w:t>项目需求、人员经过</w:t>
            </w:r>
            <w:r>
              <w:rPr>
                <w:rFonts w:hint="eastAsia" w:cs="宋体"/>
                <w:color w:val="auto"/>
                <w:szCs w:val="21"/>
                <w:highlight w:val="none"/>
                <w:lang w:val="en-US" w:eastAsia="zh-CN"/>
              </w:rPr>
              <w:t>规范</w:t>
            </w:r>
            <w:r>
              <w:rPr>
                <w:rFonts w:hint="eastAsia" w:cs="宋体"/>
                <w:color w:val="auto"/>
                <w:szCs w:val="21"/>
                <w:highlight w:val="none"/>
              </w:rPr>
              <w:t>的上岗前培训</w:t>
            </w:r>
            <w:r>
              <w:rPr>
                <w:rFonts w:hint="eastAsia" w:cs="宋体"/>
                <w:color w:val="auto"/>
                <w:szCs w:val="21"/>
                <w:highlight w:val="none"/>
                <w:lang w:val="en-US" w:eastAsia="zh-CN"/>
              </w:rPr>
              <w:t>并考试合格</w:t>
            </w:r>
            <w:r>
              <w:rPr>
                <w:rFonts w:hint="eastAsia" w:cs="宋体"/>
                <w:color w:val="auto"/>
                <w:szCs w:val="21"/>
                <w:highlight w:val="none"/>
              </w:rPr>
              <w:t>的得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人员配置满足项目需求的、上岗培训不足的得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rPr>
              <w:t>人员配置</w:t>
            </w:r>
            <w:r>
              <w:rPr>
                <w:rFonts w:hint="eastAsia" w:cs="宋体"/>
                <w:color w:val="auto"/>
                <w:szCs w:val="21"/>
                <w:highlight w:val="none"/>
                <w:lang w:val="en-US" w:eastAsia="zh-CN"/>
              </w:rPr>
              <w:t>难以</w:t>
            </w:r>
            <w:r>
              <w:rPr>
                <w:rFonts w:hint="eastAsia" w:cs="宋体"/>
                <w:color w:val="auto"/>
                <w:szCs w:val="21"/>
                <w:highlight w:val="none"/>
              </w:rPr>
              <w:t>满足项目需求、或未经上岗前培训的得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0A1436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748" w:type="dxa"/>
            <w:vMerge w:val="continue"/>
            <w:noWrap w:val="0"/>
            <w:vAlign w:val="center"/>
          </w:tcPr>
          <w:p w14:paraId="375A907A">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5E9116CE">
            <w:pPr>
              <w:pageBreakBefore w:val="0"/>
              <w:kinsoku/>
              <w:wordWrap/>
              <w:overflowPunct/>
              <w:topLinePunct w:val="0"/>
              <w:bidi w:val="0"/>
              <w:spacing w:line="360" w:lineRule="auto"/>
              <w:rPr>
                <w:rFonts w:ascii="Calibri" w:hAnsi="Calibri" w:cs="Calibri"/>
                <w:color w:val="auto"/>
                <w:szCs w:val="21"/>
                <w:highlight w:val="none"/>
              </w:rPr>
            </w:pPr>
            <w:r>
              <w:rPr>
                <w:rFonts w:hint="eastAsia" w:ascii="Calibri" w:hAnsi="Calibri" w:cs="Calibri"/>
                <w:color w:val="auto"/>
                <w:szCs w:val="21"/>
                <w:highlight w:val="none"/>
              </w:rPr>
              <w:t>售后服务方案（</w:t>
            </w:r>
            <w:r>
              <w:rPr>
                <w:rFonts w:hint="eastAsia" w:ascii="Calibri" w:hAnsi="Calibri" w:cs="Calibri"/>
                <w:color w:val="auto"/>
                <w:szCs w:val="21"/>
                <w:highlight w:val="none"/>
                <w:lang w:val="en-US" w:eastAsia="zh-CN"/>
              </w:rPr>
              <w:t>5</w:t>
            </w:r>
            <w:r>
              <w:rPr>
                <w:rFonts w:hint="eastAsia" w:ascii="Calibri" w:hAnsi="Calibri" w:cs="Calibri"/>
                <w:color w:val="auto"/>
                <w:szCs w:val="21"/>
                <w:highlight w:val="none"/>
              </w:rPr>
              <w:t>分）</w:t>
            </w:r>
          </w:p>
        </w:tc>
        <w:tc>
          <w:tcPr>
            <w:tcW w:w="7442" w:type="dxa"/>
            <w:noWrap w:val="0"/>
            <w:vAlign w:val="center"/>
          </w:tcPr>
          <w:p w14:paraId="64CC528A">
            <w:pPr>
              <w:pageBreakBefore w:val="0"/>
              <w:tabs>
                <w:tab w:val="left" w:pos="4915"/>
              </w:tabs>
              <w:kinsoku/>
              <w:wordWrap/>
              <w:overflowPunct/>
              <w:topLinePunct w:val="0"/>
              <w:bidi w:val="0"/>
              <w:spacing w:line="360" w:lineRule="auto"/>
              <w:rPr>
                <w:rFonts w:hint="eastAsia" w:cs="宋体"/>
                <w:color w:val="auto"/>
                <w:szCs w:val="21"/>
                <w:highlight w:val="none"/>
              </w:rPr>
            </w:pPr>
            <w:r>
              <w:rPr>
                <w:rFonts w:hint="eastAsia" w:cs="Calibri"/>
                <w:color w:val="auto"/>
                <w:szCs w:val="21"/>
                <w:highlight w:val="none"/>
                <w:lang w:val="en-US" w:eastAsia="zh-CN"/>
              </w:rPr>
              <w:t>9</w:t>
            </w:r>
            <w:r>
              <w:rPr>
                <w:rFonts w:hint="eastAsia" w:ascii="Calibri" w:hAnsi="Calibri" w:cs="Calibri"/>
                <w:color w:val="auto"/>
                <w:szCs w:val="21"/>
                <w:highlight w:val="none"/>
                <w:lang w:val="en-US" w:eastAsia="zh-CN"/>
              </w:rPr>
              <w:t>、</w:t>
            </w:r>
            <w:r>
              <w:rPr>
                <w:rFonts w:hint="eastAsia" w:ascii="Calibri" w:hAnsi="Calibri" w:cs="Calibri"/>
                <w:color w:val="auto"/>
                <w:szCs w:val="21"/>
                <w:highlight w:val="none"/>
              </w:rPr>
              <w:t>售后服务方案</w:t>
            </w:r>
            <w:r>
              <w:rPr>
                <w:rFonts w:hint="eastAsia" w:cs="宋体"/>
                <w:color w:val="auto"/>
                <w:szCs w:val="21"/>
                <w:highlight w:val="none"/>
              </w:rPr>
              <w:t>（</w:t>
            </w:r>
            <w:r>
              <w:rPr>
                <w:rFonts w:hint="eastAsia" w:cs="宋体"/>
                <w:color w:val="auto"/>
                <w:szCs w:val="21"/>
                <w:highlight w:val="none"/>
                <w:lang w:val="en-US" w:eastAsia="zh-CN"/>
              </w:rPr>
              <w:t>5</w:t>
            </w:r>
            <w:r>
              <w:rPr>
                <w:rFonts w:hint="eastAsia" w:cs="宋体"/>
                <w:color w:val="auto"/>
                <w:szCs w:val="21"/>
                <w:highlight w:val="none"/>
              </w:rPr>
              <w:t>分）</w:t>
            </w:r>
          </w:p>
          <w:p w14:paraId="43F13B68">
            <w:pPr>
              <w:pageBreakBefore w:val="0"/>
              <w:kinsoku/>
              <w:wordWrap/>
              <w:overflowPunct/>
              <w:topLinePunct w:val="0"/>
              <w:bidi w:val="0"/>
              <w:spacing w:line="360" w:lineRule="auto"/>
              <w:rPr>
                <w:rFonts w:hint="eastAsia" w:cs="宋体"/>
                <w:color w:val="auto"/>
                <w:szCs w:val="21"/>
                <w:highlight w:val="none"/>
              </w:rPr>
            </w:pPr>
            <w:r>
              <w:rPr>
                <w:rFonts w:hint="eastAsia" w:cs="宋体"/>
                <w:color w:val="auto"/>
                <w:szCs w:val="21"/>
                <w:highlight w:val="none"/>
                <w:lang w:val="en-US" w:eastAsia="zh-CN"/>
              </w:rPr>
              <w:t>评委对</w:t>
            </w:r>
            <w:r>
              <w:rPr>
                <w:rFonts w:hint="eastAsia" w:cs="宋体"/>
                <w:color w:val="auto"/>
                <w:szCs w:val="21"/>
                <w:highlight w:val="none"/>
              </w:rPr>
              <w:t>售后服务</w:t>
            </w:r>
            <w:r>
              <w:rPr>
                <w:rFonts w:hint="eastAsia" w:cs="宋体"/>
                <w:color w:val="auto"/>
                <w:szCs w:val="21"/>
                <w:highlight w:val="none"/>
                <w:lang w:val="en-US" w:eastAsia="zh-CN"/>
              </w:rPr>
              <w:t>方案进行综合评议并打分</w:t>
            </w:r>
            <w:r>
              <w:rPr>
                <w:rFonts w:hint="eastAsia" w:cs="宋体"/>
                <w:color w:val="auto"/>
                <w:szCs w:val="21"/>
                <w:highlight w:val="none"/>
              </w:rPr>
              <w:t>：</w:t>
            </w:r>
            <w:r>
              <w:rPr>
                <w:rFonts w:hint="eastAsia" w:cs="宋体"/>
                <w:color w:val="auto"/>
                <w:szCs w:val="21"/>
                <w:highlight w:val="none"/>
                <w:lang w:val="en-US" w:eastAsia="zh-CN"/>
              </w:rPr>
              <w:t>服务</w:t>
            </w:r>
            <w:r>
              <w:rPr>
                <w:rFonts w:hint="eastAsia" w:cs="宋体"/>
                <w:color w:val="auto"/>
                <w:szCs w:val="21"/>
                <w:highlight w:val="none"/>
              </w:rPr>
              <w:t>保障</w:t>
            </w:r>
            <w:r>
              <w:rPr>
                <w:rFonts w:hint="eastAsia" w:cs="宋体"/>
                <w:color w:val="auto"/>
                <w:szCs w:val="21"/>
                <w:highlight w:val="none"/>
                <w:lang w:val="en-US" w:eastAsia="zh-CN"/>
              </w:rPr>
              <w:t>体系完备、方</w:t>
            </w:r>
            <w:r>
              <w:rPr>
                <w:rFonts w:hint="eastAsia" w:cs="宋体"/>
                <w:color w:val="auto"/>
                <w:szCs w:val="21"/>
                <w:highlight w:val="none"/>
              </w:rPr>
              <w:t>案内容完全符合本项目需求得</w:t>
            </w:r>
            <w:r>
              <w:rPr>
                <w:rFonts w:hint="eastAsia" w:cs="宋体"/>
                <w:color w:val="auto"/>
                <w:szCs w:val="21"/>
                <w:highlight w:val="none"/>
                <w:lang w:val="en-US" w:eastAsia="zh-CN"/>
              </w:rPr>
              <w:t>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有服务保障体系但部分</w:t>
            </w:r>
            <w:r>
              <w:rPr>
                <w:rFonts w:hint="eastAsia" w:cs="宋体"/>
                <w:color w:val="auto"/>
                <w:szCs w:val="21"/>
                <w:highlight w:val="none"/>
              </w:rPr>
              <w:t>内容有欠缺、但尚不影响履约得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val="en-US" w:eastAsia="zh-CN"/>
              </w:rPr>
              <w:t>没有服务保障体系或方案</w:t>
            </w:r>
            <w:r>
              <w:rPr>
                <w:rFonts w:hint="eastAsia" w:cs="宋体"/>
                <w:color w:val="auto"/>
                <w:szCs w:val="21"/>
                <w:highlight w:val="none"/>
              </w:rPr>
              <w:t>内容</w:t>
            </w:r>
            <w:r>
              <w:rPr>
                <w:rFonts w:hint="eastAsia" w:cs="宋体"/>
                <w:color w:val="auto"/>
                <w:szCs w:val="21"/>
                <w:highlight w:val="none"/>
                <w:lang w:val="en-US" w:eastAsia="zh-CN"/>
              </w:rPr>
              <w:t>存在明显缺漏项</w:t>
            </w:r>
            <w:r>
              <w:rPr>
                <w:rFonts w:hint="eastAsia" w:cs="宋体"/>
                <w:color w:val="auto"/>
                <w:szCs w:val="21"/>
                <w:highlight w:val="none"/>
              </w:rPr>
              <w:t>、不</w:t>
            </w:r>
            <w:r>
              <w:rPr>
                <w:rFonts w:hint="eastAsia" w:cs="宋体"/>
                <w:color w:val="auto"/>
                <w:szCs w:val="21"/>
                <w:highlight w:val="none"/>
                <w:lang w:val="en-US" w:eastAsia="zh-CN"/>
              </w:rPr>
              <w:t>符合规范的</w:t>
            </w:r>
            <w:r>
              <w:rPr>
                <w:rFonts w:hint="eastAsia" w:cs="宋体"/>
                <w:color w:val="auto"/>
                <w:szCs w:val="21"/>
                <w:highlight w:val="none"/>
              </w:rPr>
              <w:t>得</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2FFEAB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748" w:type="dxa"/>
            <w:vMerge w:val="continue"/>
            <w:noWrap w:val="0"/>
            <w:vAlign w:val="center"/>
          </w:tcPr>
          <w:p w14:paraId="0DEE6F60">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569877E6">
            <w:pPr>
              <w:pageBreakBefore w:val="0"/>
              <w:tabs>
                <w:tab w:val="left" w:pos="4915"/>
              </w:tabs>
              <w:kinsoku/>
              <w:wordWrap/>
              <w:overflowPunct/>
              <w:topLinePunct w:val="0"/>
              <w:bidi w:val="0"/>
              <w:spacing w:line="360" w:lineRule="auto"/>
              <w:rPr>
                <w:rFonts w:hint="eastAsia" w:ascii="Calibri" w:hAnsi="Calibri" w:cs="Calibri"/>
                <w:color w:val="auto"/>
                <w:szCs w:val="21"/>
                <w:highlight w:val="none"/>
              </w:rPr>
            </w:pPr>
            <w:r>
              <w:rPr>
                <w:rFonts w:hint="eastAsia" w:ascii="Calibri" w:hAnsi="Calibri" w:cs="Calibri"/>
                <w:color w:val="auto"/>
                <w:szCs w:val="21"/>
                <w:highlight w:val="none"/>
              </w:rPr>
              <w:t>突发性事件应急预案</w:t>
            </w:r>
            <w:r>
              <w:rPr>
                <w:rFonts w:hint="eastAsia" w:ascii="Calibri" w:hAnsi="Calibri" w:cs="Calibri"/>
                <w:color w:val="auto"/>
                <w:szCs w:val="21"/>
                <w:highlight w:val="none"/>
                <w:lang w:eastAsia="zh-CN"/>
              </w:rPr>
              <w:t>（</w:t>
            </w:r>
            <w:r>
              <w:rPr>
                <w:rFonts w:hint="eastAsia" w:ascii="Calibri" w:hAnsi="Calibri" w:cs="Calibri"/>
                <w:color w:val="auto"/>
                <w:szCs w:val="21"/>
                <w:highlight w:val="none"/>
                <w:lang w:val="en-US" w:eastAsia="zh-CN"/>
              </w:rPr>
              <w:t>5分</w:t>
            </w:r>
            <w:r>
              <w:rPr>
                <w:rFonts w:hint="eastAsia" w:ascii="Calibri" w:hAnsi="Calibri" w:cs="Calibri"/>
                <w:color w:val="auto"/>
                <w:szCs w:val="21"/>
                <w:highlight w:val="none"/>
                <w:lang w:eastAsia="zh-CN"/>
              </w:rPr>
              <w:t>）</w:t>
            </w:r>
          </w:p>
        </w:tc>
        <w:tc>
          <w:tcPr>
            <w:tcW w:w="7442" w:type="dxa"/>
            <w:noWrap w:val="0"/>
            <w:vAlign w:val="center"/>
          </w:tcPr>
          <w:p w14:paraId="1FED934C">
            <w:pPr>
              <w:pageBreakBefore w:val="0"/>
              <w:kinsoku/>
              <w:wordWrap/>
              <w:overflowPunct/>
              <w:topLinePunct w:val="0"/>
              <w:bidi w:val="0"/>
              <w:spacing w:line="360" w:lineRule="auto"/>
              <w:rPr>
                <w:color w:val="auto"/>
                <w:szCs w:val="21"/>
                <w:highlight w:val="none"/>
              </w:rPr>
            </w:pPr>
            <w:r>
              <w:rPr>
                <w:rFonts w:hint="eastAsia" w:cs="宋体"/>
                <w:color w:val="auto"/>
                <w:szCs w:val="21"/>
                <w:highlight w:val="none"/>
                <w:lang w:val="en-US" w:eastAsia="zh-CN"/>
              </w:rPr>
              <w:t>10、</w:t>
            </w:r>
            <w:r>
              <w:rPr>
                <w:rFonts w:hint="eastAsia" w:cs="宋体"/>
                <w:color w:val="auto"/>
                <w:szCs w:val="21"/>
                <w:highlight w:val="none"/>
              </w:rPr>
              <w:t>评委对突发性事件应急预案进行综合评议并打分</w:t>
            </w:r>
            <w:r>
              <w:rPr>
                <w:rFonts w:hint="eastAsia" w:cs="宋体"/>
                <w:color w:val="auto"/>
                <w:szCs w:val="21"/>
                <w:highlight w:val="none"/>
                <w:lang w:eastAsia="zh-CN"/>
              </w:rPr>
              <w:t>：</w:t>
            </w:r>
            <w:r>
              <w:rPr>
                <w:rFonts w:hint="eastAsia" w:cs="宋体"/>
                <w:color w:val="auto"/>
                <w:szCs w:val="21"/>
                <w:highlight w:val="none"/>
              </w:rPr>
              <w:t>应急预案内容完全符合本项目需求</w:t>
            </w:r>
            <w:r>
              <w:rPr>
                <w:rFonts w:hint="eastAsia" w:cs="宋体"/>
                <w:color w:val="auto"/>
                <w:szCs w:val="21"/>
                <w:highlight w:val="none"/>
                <w:lang w:eastAsia="zh-CN"/>
              </w:rPr>
              <w:t>、</w:t>
            </w:r>
            <w:r>
              <w:rPr>
                <w:rFonts w:hint="eastAsia" w:cs="宋体"/>
                <w:color w:val="auto"/>
                <w:szCs w:val="21"/>
                <w:highlight w:val="none"/>
                <w:lang w:val="en-US" w:eastAsia="zh-CN"/>
              </w:rPr>
              <w:t>应急</w:t>
            </w:r>
            <w:r>
              <w:rPr>
                <w:rFonts w:hint="eastAsia" w:cs="宋体"/>
                <w:color w:val="auto"/>
                <w:szCs w:val="21"/>
                <w:highlight w:val="none"/>
              </w:rPr>
              <w:t>保障</w:t>
            </w:r>
            <w:r>
              <w:rPr>
                <w:rFonts w:hint="eastAsia" w:cs="宋体"/>
                <w:color w:val="auto"/>
                <w:szCs w:val="21"/>
                <w:highlight w:val="none"/>
                <w:lang w:val="en-US" w:eastAsia="zh-CN"/>
              </w:rPr>
              <w:t>体系完备得5</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预案</w:t>
            </w:r>
            <w:r>
              <w:rPr>
                <w:rFonts w:hint="eastAsia" w:cs="宋体"/>
                <w:color w:val="auto"/>
                <w:szCs w:val="21"/>
                <w:highlight w:val="none"/>
              </w:rPr>
              <w:t>有</w:t>
            </w:r>
            <w:r>
              <w:rPr>
                <w:rFonts w:hint="eastAsia" w:cs="宋体"/>
                <w:color w:val="auto"/>
                <w:szCs w:val="21"/>
                <w:highlight w:val="none"/>
                <w:lang w:val="en-US" w:eastAsia="zh-CN"/>
              </w:rPr>
              <w:t>部分非主体内容的欠缺</w:t>
            </w:r>
            <w:r>
              <w:rPr>
                <w:rFonts w:hint="eastAsia" w:cs="宋体"/>
                <w:color w:val="auto"/>
                <w:szCs w:val="21"/>
                <w:highlight w:val="none"/>
              </w:rPr>
              <w:t>，</w:t>
            </w:r>
            <w:r>
              <w:rPr>
                <w:rFonts w:hint="eastAsia" w:cs="宋体"/>
                <w:color w:val="auto"/>
                <w:szCs w:val="21"/>
                <w:highlight w:val="none"/>
                <w:lang w:val="en-US" w:eastAsia="zh-CN"/>
              </w:rPr>
              <w:t>尚不影响实施</w:t>
            </w:r>
            <w:r>
              <w:rPr>
                <w:rFonts w:hint="eastAsia" w:cs="宋体"/>
                <w:color w:val="auto"/>
                <w:szCs w:val="21"/>
                <w:highlight w:val="none"/>
              </w:rPr>
              <w:t>的得</w:t>
            </w:r>
            <w:r>
              <w:rPr>
                <w:rFonts w:hint="eastAsia" w:cs="宋体"/>
                <w:color w:val="auto"/>
                <w:szCs w:val="21"/>
                <w:highlight w:val="none"/>
                <w:lang w:val="en-US" w:eastAsia="zh-CN"/>
              </w:rPr>
              <w:t>3</w:t>
            </w:r>
            <w:r>
              <w:rPr>
                <w:rFonts w:hint="eastAsia" w:cs="宋体"/>
                <w:color w:val="auto"/>
                <w:szCs w:val="21"/>
                <w:highlight w:val="none"/>
              </w:rPr>
              <w:t>分</w:t>
            </w:r>
            <w:r>
              <w:rPr>
                <w:rFonts w:hint="eastAsia" w:cs="宋体"/>
                <w:color w:val="auto"/>
                <w:szCs w:val="21"/>
                <w:highlight w:val="none"/>
                <w:lang w:eastAsia="zh-CN"/>
              </w:rPr>
              <w:t>；</w:t>
            </w:r>
            <w:r>
              <w:rPr>
                <w:rFonts w:hint="eastAsia" w:cs="宋体"/>
                <w:color w:val="auto"/>
                <w:szCs w:val="21"/>
                <w:highlight w:val="none"/>
                <w:lang w:val="en-US" w:eastAsia="zh-CN"/>
              </w:rPr>
              <w:t>预案不全</w:t>
            </w:r>
            <w:r>
              <w:rPr>
                <w:rFonts w:hint="eastAsia" w:cs="宋体"/>
                <w:color w:val="auto"/>
                <w:szCs w:val="21"/>
                <w:highlight w:val="none"/>
              </w:rPr>
              <w:t>或</w:t>
            </w:r>
            <w:r>
              <w:rPr>
                <w:rFonts w:hint="eastAsia" w:cs="宋体"/>
                <w:color w:val="auto"/>
                <w:szCs w:val="21"/>
                <w:highlight w:val="none"/>
                <w:lang w:val="en-US" w:eastAsia="zh-CN"/>
              </w:rPr>
              <w:t>过于笼统</w:t>
            </w:r>
            <w:r>
              <w:rPr>
                <w:rFonts w:hint="eastAsia" w:cs="宋体"/>
                <w:color w:val="auto"/>
                <w:szCs w:val="21"/>
                <w:highlight w:val="none"/>
              </w:rPr>
              <w:t>，</w:t>
            </w:r>
            <w:r>
              <w:rPr>
                <w:rFonts w:hint="eastAsia" w:cs="宋体"/>
                <w:color w:val="auto"/>
                <w:szCs w:val="21"/>
                <w:highlight w:val="none"/>
                <w:lang w:val="en-US" w:eastAsia="zh-CN"/>
              </w:rPr>
              <w:t>难以</w:t>
            </w:r>
            <w:r>
              <w:rPr>
                <w:rFonts w:hint="eastAsia" w:cs="宋体"/>
                <w:color w:val="auto"/>
                <w:szCs w:val="21"/>
                <w:highlight w:val="none"/>
              </w:rPr>
              <w:t>保证项目</w:t>
            </w:r>
            <w:r>
              <w:rPr>
                <w:rFonts w:hint="eastAsia" w:cs="宋体"/>
                <w:color w:val="auto"/>
                <w:szCs w:val="21"/>
                <w:highlight w:val="none"/>
                <w:lang w:val="en-US" w:eastAsia="zh-CN"/>
              </w:rPr>
              <w:t>实施</w:t>
            </w:r>
            <w:r>
              <w:rPr>
                <w:rFonts w:hint="eastAsia" w:cs="宋体"/>
                <w:color w:val="auto"/>
                <w:szCs w:val="21"/>
                <w:highlight w:val="none"/>
              </w:rPr>
              <w:t>的</w:t>
            </w:r>
            <w:r>
              <w:rPr>
                <w:rFonts w:hint="eastAsia" w:cs="宋体"/>
                <w:color w:val="auto"/>
                <w:szCs w:val="21"/>
                <w:highlight w:val="none"/>
                <w:lang w:val="en-US" w:eastAsia="zh-CN"/>
              </w:rPr>
              <w:t>1</w:t>
            </w:r>
            <w:r>
              <w:rPr>
                <w:rFonts w:hint="eastAsia" w:cs="宋体"/>
                <w:color w:val="auto"/>
                <w:szCs w:val="21"/>
                <w:highlight w:val="none"/>
              </w:rPr>
              <w:t>分；</w:t>
            </w:r>
            <w:r>
              <w:rPr>
                <w:rFonts w:hint="eastAsia" w:cs="宋体"/>
                <w:color w:val="auto"/>
                <w:szCs w:val="21"/>
                <w:highlight w:val="none"/>
                <w:lang w:val="en-US" w:eastAsia="zh-CN"/>
              </w:rPr>
              <w:t>未提供的得0分</w:t>
            </w:r>
            <w:r>
              <w:rPr>
                <w:rFonts w:hint="eastAsia" w:cs="宋体"/>
                <w:color w:val="auto"/>
                <w:szCs w:val="21"/>
                <w:highlight w:val="none"/>
              </w:rPr>
              <w:t>。</w:t>
            </w:r>
          </w:p>
        </w:tc>
      </w:tr>
      <w:tr w14:paraId="132B07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748" w:type="dxa"/>
            <w:vMerge w:val="continue"/>
            <w:noWrap w:val="0"/>
            <w:vAlign w:val="center"/>
          </w:tcPr>
          <w:p w14:paraId="45A5E4AD">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7B441A26">
            <w:pPr>
              <w:pageBreakBefore w:val="0"/>
              <w:kinsoku/>
              <w:wordWrap/>
              <w:overflowPunct/>
              <w:topLinePunct w:val="0"/>
              <w:bidi w:val="0"/>
              <w:spacing w:line="360" w:lineRule="auto"/>
              <w:jc w:val="center"/>
              <w:rPr>
                <w:rFonts w:hint="eastAsia" w:cs="宋体"/>
                <w:color w:val="auto"/>
                <w:szCs w:val="21"/>
                <w:highlight w:val="none"/>
              </w:rPr>
            </w:pPr>
            <w:r>
              <w:rPr>
                <w:color w:val="auto"/>
                <w:szCs w:val="21"/>
                <w:highlight w:val="none"/>
              </w:rPr>
              <w:t>合理化建议（</w:t>
            </w:r>
            <w:r>
              <w:rPr>
                <w:rFonts w:hint="eastAsia"/>
                <w:color w:val="auto"/>
                <w:szCs w:val="21"/>
                <w:highlight w:val="none"/>
                <w:lang w:val="en-US" w:eastAsia="zh-CN"/>
              </w:rPr>
              <w:t>1</w:t>
            </w:r>
            <w:r>
              <w:rPr>
                <w:color w:val="auto"/>
                <w:szCs w:val="21"/>
                <w:highlight w:val="none"/>
              </w:rPr>
              <w:t>分）</w:t>
            </w:r>
          </w:p>
        </w:tc>
        <w:tc>
          <w:tcPr>
            <w:tcW w:w="7442" w:type="dxa"/>
            <w:noWrap w:val="0"/>
            <w:vAlign w:val="center"/>
          </w:tcPr>
          <w:p w14:paraId="67E7610F">
            <w:pPr>
              <w:pageBreakBefore w:val="0"/>
              <w:kinsoku/>
              <w:wordWrap/>
              <w:overflowPunct/>
              <w:topLinePunct w:val="0"/>
              <w:bidi w:val="0"/>
              <w:spacing w:line="360" w:lineRule="auto"/>
              <w:rPr>
                <w:color w:val="auto"/>
                <w:szCs w:val="21"/>
                <w:highlight w:val="none"/>
              </w:rPr>
            </w:pPr>
            <w:r>
              <w:rPr>
                <w:rFonts w:hint="eastAsia"/>
                <w:color w:val="auto"/>
                <w:szCs w:val="21"/>
                <w:highlight w:val="none"/>
                <w:lang w:val="en-US" w:eastAsia="zh-CN"/>
              </w:rPr>
              <w:t>11、</w:t>
            </w:r>
            <w:r>
              <w:rPr>
                <w:color w:val="auto"/>
                <w:szCs w:val="21"/>
                <w:highlight w:val="none"/>
              </w:rPr>
              <w:t>根据</w:t>
            </w:r>
            <w:r>
              <w:rPr>
                <w:rFonts w:hint="eastAsia"/>
                <w:color w:val="auto"/>
                <w:szCs w:val="21"/>
                <w:highlight w:val="none"/>
              </w:rPr>
              <w:t>供应商</w:t>
            </w:r>
            <w:r>
              <w:rPr>
                <w:color w:val="auto"/>
                <w:szCs w:val="21"/>
                <w:highlight w:val="none"/>
              </w:rPr>
              <w:t>提出的针对本项目的合理化建议与承诺进行评议（</w:t>
            </w:r>
            <w:r>
              <w:rPr>
                <w:rFonts w:hint="eastAsia"/>
                <w:color w:val="auto"/>
                <w:szCs w:val="21"/>
                <w:highlight w:val="none"/>
                <w:lang w:val="en-US" w:eastAsia="zh-CN"/>
              </w:rPr>
              <w:t>1</w:t>
            </w:r>
            <w:r>
              <w:rPr>
                <w:color w:val="auto"/>
                <w:szCs w:val="21"/>
                <w:highlight w:val="none"/>
              </w:rPr>
              <w:t>分）</w:t>
            </w:r>
          </w:p>
          <w:p w14:paraId="7F8954CE">
            <w:pPr>
              <w:pageBreakBefore w:val="0"/>
              <w:kinsoku/>
              <w:wordWrap/>
              <w:overflowPunct/>
              <w:topLinePunct w:val="0"/>
              <w:bidi w:val="0"/>
              <w:spacing w:line="360" w:lineRule="auto"/>
              <w:rPr>
                <w:rFonts w:hint="eastAsia" w:cs="宋体"/>
                <w:color w:val="auto"/>
                <w:szCs w:val="21"/>
                <w:highlight w:val="none"/>
              </w:rPr>
            </w:pPr>
            <w:r>
              <w:rPr>
                <w:color w:val="auto"/>
                <w:szCs w:val="21"/>
                <w:highlight w:val="none"/>
              </w:rPr>
              <w:t>提出的建议与承诺具有实际意义</w:t>
            </w:r>
            <w:r>
              <w:rPr>
                <w:rFonts w:hint="eastAsia"/>
                <w:color w:val="auto"/>
                <w:szCs w:val="21"/>
                <w:highlight w:val="none"/>
              </w:rPr>
              <w:t>并得到采纳</w:t>
            </w:r>
            <w:r>
              <w:rPr>
                <w:color w:val="auto"/>
                <w:szCs w:val="21"/>
                <w:highlight w:val="none"/>
              </w:rPr>
              <w:t>，每项得</w:t>
            </w:r>
            <w:r>
              <w:rPr>
                <w:rFonts w:hint="eastAsia"/>
                <w:color w:val="auto"/>
                <w:szCs w:val="21"/>
                <w:highlight w:val="none"/>
                <w:lang w:val="en-US" w:eastAsia="zh-CN"/>
              </w:rPr>
              <w:t>0.5分</w:t>
            </w:r>
            <w:r>
              <w:rPr>
                <w:color w:val="auto"/>
                <w:szCs w:val="21"/>
                <w:highlight w:val="none"/>
              </w:rPr>
              <w:t>，最高得</w:t>
            </w:r>
            <w:r>
              <w:rPr>
                <w:rFonts w:hint="eastAsia"/>
                <w:color w:val="auto"/>
                <w:szCs w:val="21"/>
                <w:highlight w:val="none"/>
                <w:lang w:val="en-US" w:eastAsia="zh-CN"/>
              </w:rPr>
              <w:t>1</w:t>
            </w:r>
            <w:r>
              <w:rPr>
                <w:color w:val="auto"/>
                <w:szCs w:val="21"/>
                <w:highlight w:val="none"/>
              </w:rPr>
              <w:t>分。与本项目</w:t>
            </w:r>
            <w:r>
              <w:rPr>
                <w:rFonts w:hint="eastAsia"/>
                <w:color w:val="auto"/>
                <w:szCs w:val="21"/>
                <w:highlight w:val="none"/>
                <w:lang w:val="en-US" w:eastAsia="zh-CN"/>
              </w:rPr>
              <w:t>履约</w:t>
            </w:r>
            <w:r>
              <w:rPr>
                <w:color w:val="auto"/>
                <w:szCs w:val="21"/>
                <w:highlight w:val="none"/>
              </w:rPr>
              <w:t>无关的建议</w:t>
            </w:r>
            <w:r>
              <w:rPr>
                <w:rFonts w:hint="eastAsia"/>
                <w:color w:val="auto"/>
                <w:szCs w:val="21"/>
                <w:highlight w:val="none"/>
                <w:lang w:val="en-US" w:eastAsia="zh-CN"/>
              </w:rPr>
              <w:t>与承诺</w:t>
            </w:r>
            <w:r>
              <w:rPr>
                <w:color w:val="auto"/>
                <w:szCs w:val="21"/>
                <w:highlight w:val="none"/>
              </w:rPr>
              <w:t>不予认可。</w:t>
            </w:r>
          </w:p>
        </w:tc>
      </w:tr>
      <w:tr w14:paraId="2D95DB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748" w:type="dxa"/>
            <w:vMerge w:val="continue"/>
            <w:noWrap w:val="0"/>
            <w:vAlign w:val="center"/>
          </w:tcPr>
          <w:p w14:paraId="2AD8D47A">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79CBB372">
            <w:pPr>
              <w:pageBreakBefore w:val="0"/>
              <w:kinsoku/>
              <w:wordWrap/>
              <w:overflowPunct/>
              <w:topLinePunct w:val="0"/>
              <w:bidi w:val="0"/>
              <w:spacing w:line="360" w:lineRule="auto"/>
              <w:jc w:val="center"/>
              <w:rPr>
                <w:rFonts w:hint="eastAsia" w:eastAsia="宋体"/>
                <w:color w:val="auto"/>
                <w:szCs w:val="21"/>
                <w:highlight w:val="none"/>
                <w:lang w:val="en-US" w:eastAsia="zh-CN"/>
              </w:rPr>
            </w:pPr>
            <w:r>
              <w:rPr>
                <w:rFonts w:hint="eastAsia"/>
                <w:color w:val="auto"/>
                <w:szCs w:val="21"/>
                <w:highlight w:val="none"/>
                <w:lang w:val="en-US" w:eastAsia="zh-CN"/>
              </w:rPr>
              <w:t>业绩（3分）</w:t>
            </w:r>
          </w:p>
        </w:tc>
        <w:tc>
          <w:tcPr>
            <w:tcW w:w="7442" w:type="dxa"/>
            <w:noWrap w:val="0"/>
            <w:vAlign w:val="center"/>
          </w:tcPr>
          <w:p w14:paraId="5DE14E65">
            <w:pPr>
              <w:pageBreakBefore w:val="0"/>
              <w:kinsoku/>
              <w:wordWrap/>
              <w:overflowPunct/>
              <w:topLinePunct w:val="0"/>
              <w:bidi w:val="0"/>
              <w:spacing w:line="360" w:lineRule="auto"/>
              <w:rPr>
                <w:rFonts w:hint="default" w:eastAsia="宋体"/>
                <w:color w:val="auto"/>
                <w:szCs w:val="21"/>
                <w:highlight w:val="none"/>
                <w:lang w:val="en-US" w:eastAsia="zh-CN"/>
              </w:rPr>
            </w:pPr>
            <w:r>
              <w:rPr>
                <w:rFonts w:hint="eastAsia"/>
                <w:color w:val="auto"/>
                <w:szCs w:val="21"/>
                <w:highlight w:val="none"/>
                <w:lang w:val="en-US" w:eastAsia="zh-CN"/>
              </w:rPr>
              <w:t>12、</w:t>
            </w:r>
            <w:r>
              <w:rPr>
                <w:rFonts w:hint="eastAsia" w:ascii="宋体" w:hAnsi="宋体"/>
                <w:bCs/>
                <w:color w:val="auto"/>
                <w:sz w:val="21"/>
                <w:szCs w:val="21"/>
                <w:highlight w:val="none"/>
                <w:lang w:eastAsia="zh-CN"/>
              </w:rPr>
              <w:t>供应商</w:t>
            </w:r>
            <w:r>
              <w:rPr>
                <w:rFonts w:hint="eastAsia" w:ascii="宋体" w:hAnsi="宋体" w:eastAsia="宋体"/>
                <w:bCs/>
                <w:color w:val="auto"/>
                <w:sz w:val="21"/>
                <w:szCs w:val="21"/>
                <w:highlight w:val="none"/>
              </w:rPr>
              <w:t>自202</w:t>
            </w:r>
            <w:r>
              <w:rPr>
                <w:rFonts w:hint="eastAsia" w:ascii="宋体" w:hAnsi="宋体"/>
                <w:bCs/>
                <w:color w:val="auto"/>
                <w:sz w:val="21"/>
                <w:szCs w:val="21"/>
                <w:highlight w:val="none"/>
                <w:lang w:val="en-US" w:eastAsia="zh-CN"/>
              </w:rPr>
              <w:t>2</w:t>
            </w:r>
            <w:r>
              <w:rPr>
                <w:rFonts w:hint="eastAsia" w:ascii="宋体" w:hAnsi="宋体" w:eastAsia="宋体"/>
                <w:bCs/>
                <w:color w:val="auto"/>
                <w:sz w:val="21"/>
                <w:szCs w:val="21"/>
                <w:highlight w:val="none"/>
              </w:rPr>
              <w:t>年1月1日以后承担过</w:t>
            </w:r>
            <w:r>
              <w:rPr>
                <w:rFonts w:hint="eastAsia" w:ascii="宋体" w:hAnsi="宋体" w:eastAsia="宋体"/>
                <w:bCs/>
                <w:color w:val="auto"/>
                <w:sz w:val="21"/>
                <w:szCs w:val="21"/>
                <w:highlight w:val="none"/>
                <w:lang w:val="en-US" w:eastAsia="zh-CN"/>
              </w:rPr>
              <w:t>通信工程类</w:t>
            </w:r>
            <w:r>
              <w:rPr>
                <w:rFonts w:hint="eastAsia" w:ascii="宋体" w:hAnsi="宋体" w:eastAsia="宋体"/>
                <w:bCs/>
                <w:color w:val="auto"/>
                <w:sz w:val="21"/>
                <w:szCs w:val="21"/>
                <w:highlight w:val="none"/>
              </w:rPr>
              <w:t>项目的，每提供一个项目业绩合同得</w:t>
            </w:r>
            <w:r>
              <w:rPr>
                <w:rFonts w:hint="eastAsia" w:ascii="宋体" w:hAnsi="宋体" w:eastAsia="宋体"/>
                <w:bCs/>
                <w:color w:val="auto"/>
                <w:sz w:val="21"/>
                <w:szCs w:val="21"/>
                <w:highlight w:val="none"/>
                <w:lang w:val="en-US" w:eastAsia="zh-CN"/>
              </w:rPr>
              <w:t>1</w:t>
            </w:r>
            <w:r>
              <w:rPr>
                <w:rFonts w:hint="eastAsia" w:ascii="宋体" w:hAnsi="宋体" w:eastAsia="宋体"/>
                <w:bCs/>
                <w:color w:val="auto"/>
                <w:sz w:val="21"/>
                <w:szCs w:val="21"/>
                <w:highlight w:val="none"/>
              </w:rPr>
              <w:t>分，最高得</w:t>
            </w:r>
            <w:r>
              <w:rPr>
                <w:rFonts w:hint="eastAsia" w:ascii="宋体" w:hAnsi="宋体" w:eastAsia="宋体"/>
                <w:bCs/>
                <w:color w:val="auto"/>
                <w:sz w:val="21"/>
                <w:szCs w:val="21"/>
                <w:highlight w:val="none"/>
                <w:lang w:val="en-US" w:eastAsia="zh-CN"/>
              </w:rPr>
              <w:t>3</w:t>
            </w:r>
            <w:r>
              <w:rPr>
                <w:rFonts w:hint="eastAsia" w:ascii="宋体" w:hAnsi="宋体" w:eastAsia="宋体"/>
                <w:bCs/>
                <w:color w:val="auto"/>
                <w:sz w:val="21"/>
                <w:szCs w:val="21"/>
                <w:highlight w:val="none"/>
              </w:rPr>
              <w:t>分。（注：</w:t>
            </w:r>
            <w:r>
              <w:rPr>
                <w:rFonts w:hint="eastAsia" w:ascii="宋体" w:hAnsi="宋体"/>
                <w:bCs/>
                <w:color w:val="auto"/>
                <w:sz w:val="21"/>
                <w:szCs w:val="21"/>
                <w:highlight w:val="none"/>
                <w:lang w:val="en-US" w:eastAsia="zh-CN"/>
              </w:rPr>
              <w:t>需同时提供中标通知书和施工合同复印件，</w:t>
            </w:r>
            <w:r>
              <w:rPr>
                <w:rFonts w:hint="eastAsia" w:ascii="宋体" w:hAnsi="宋体" w:eastAsia="宋体"/>
                <w:bCs/>
                <w:color w:val="auto"/>
                <w:sz w:val="21"/>
                <w:szCs w:val="21"/>
                <w:highlight w:val="none"/>
              </w:rPr>
              <w:t>未提供</w:t>
            </w:r>
            <w:r>
              <w:rPr>
                <w:rFonts w:hint="eastAsia" w:ascii="宋体" w:hAnsi="宋体" w:eastAsia="宋体"/>
                <w:bCs/>
                <w:color w:val="auto"/>
                <w:sz w:val="21"/>
                <w:szCs w:val="21"/>
                <w:highlight w:val="none"/>
                <w:lang w:val="en-US" w:eastAsia="zh-CN"/>
              </w:rPr>
              <w:t>或提供不全均</w:t>
            </w:r>
            <w:r>
              <w:rPr>
                <w:rFonts w:hint="eastAsia" w:ascii="宋体" w:hAnsi="宋体" w:eastAsia="宋体"/>
                <w:bCs/>
                <w:color w:val="auto"/>
                <w:sz w:val="21"/>
                <w:szCs w:val="21"/>
                <w:highlight w:val="none"/>
              </w:rPr>
              <w:t>不得分。）</w:t>
            </w:r>
          </w:p>
        </w:tc>
      </w:tr>
      <w:tr w14:paraId="3F281E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48" w:type="dxa"/>
            <w:vMerge w:val="continue"/>
            <w:noWrap w:val="0"/>
            <w:vAlign w:val="center"/>
          </w:tcPr>
          <w:p w14:paraId="6523BB4C">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3260FBA6">
            <w:pPr>
              <w:pageBreakBefore w:val="0"/>
              <w:kinsoku/>
              <w:wordWrap/>
              <w:overflowPunct/>
              <w:topLinePunct w:val="0"/>
              <w:bidi w:val="0"/>
              <w:spacing w:line="360" w:lineRule="auto"/>
              <w:jc w:val="center"/>
              <w:rPr>
                <w:color w:val="auto"/>
                <w:szCs w:val="21"/>
                <w:highlight w:val="none"/>
              </w:rPr>
            </w:pPr>
            <w:r>
              <w:rPr>
                <w:rFonts w:hint="eastAsia" w:hAnsi="宋体" w:cs="Calibri"/>
                <w:color w:val="auto"/>
                <w:szCs w:val="21"/>
                <w:highlight w:val="none"/>
              </w:rPr>
              <w:t>政策性加分（1分）</w:t>
            </w:r>
          </w:p>
        </w:tc>
        <w:tc>
          <w:tcPr>
            <w:tcW w:w="7442" w:type="dxa"/>
            <w:noWrap w:val="0"/>
            <w:vAlign w:val="center"/>
          </w:tcPr>
          <w:p w14:paraId="2AA6A49E">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rPr>
            </w:pPr>
            <w:r>
              <w:rPr>
                <w:rFonts w:hint="eastAsia"/>
                <w:color w:val="auto"/>
                <w:szCs w:val="21"/>
                <w:highlight w:val="none"/>
                <w:lang w:val="en-US" w:eastAsia="zh-CN"/>
              </w:rPr>
              <w:t>13、</w:t>
            </w:r>
            <w:r>
              <w:rPr>
                <w:rFonts w:hint="eastAsia" w:ascii="Times New Roman" w:hAnsi="Times New Roman" w:eastAsia="宋体" w:cs="Times New Roman"/>
                <w:color w:val="auto"/>
                <w:szCs w:val="21"/>
                <w:highlight w:val="none"/>
              </w:rPr>
              <w:t>供应商是国家认定的少数民族地区企业的加</w:t>
            </w:r>
            <w:r>
              <w:rPr>
                <w:rFonts w:hint="eastAsia" w:ascii="Times New Roman" w:hAnsi="Times New Roman" w:eastAsia="宋体" w:cs="Times New Roman"/>
                <w:color w:val="auto"/>
                <w:szCs w:val="21"/>
                <w:highlight w:val="none"/>
                <w:lang w:val="en-US" w:eastAsia="zh-CN"/>
              </w:rPr>
              <w:t>1</w:t>
            </w:r>
            <w:r>
              <w:rPr>
                <w:rFonts w:hint="eastAsia" w:ascii="Times New Roman" w:hAnsi="Times New Roman" w:eastAsia="宋体" w:cs="Times New Roman"/>
                <w:color w:val="auto"/>
                <w:szCs w:val="21"/>
                <w:highlight w:val="none"/>
              </w:rPr>
              <w:t>分。</w:t>
            </w:r>
          </w:p>
          <w:p w14:paraId="69C92878">
            <w:pPr>
              <w:pageBreakBefore w:val="0"/>
              <w:kinsoku/>
              <w:wordWrap/>
              <w:overflowPunct/>
              <w:topLinePunct w:val="0"/>
              <w:bidi w:val="0"/>
              <w:spacing w:line="360" w:lineRule="auto"/>
              <w:rPr>
                <w:rFonts w:hint="eastAsia" w:eastAsia="宋体"/>
                <w:color w:val="auto"/>
                <w:szCs w:val="21"/>
                <w:highlight w:val="none"/>
                <w:lang w:eastAsia="zh-CN"/>
              </w:rPr>
            </w:pPr>
            <w:r>
              <w:rPr>
                <w:rFonts w:hint="eastAsia" w:ascii="Times New Roman" w:hAnsi="Times New Roman" w:eastAsia="宋体" w:cs="Times New Roman"/>
                <w:color w:val="auto"/>
                <w:szCs w:val="21"/>
                <w:highlight w:val="none"/>
              </w:rPr>
              <w:t>提供证明文件复印件并加盖公章。</w:t>
            </w:r>
          </w:p>
        </w:tc>
      </w:tr>
      <w:tr w14:paraId="01D81E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748" w:type="dxa"/>
            <w:noWrap w:val="0"/>
            <w:vAlign w:val="center"/>
          </w:tcPr>
          <w:p w14:paraId="599AD169">
            <w:pPr>
              <w:pageBreakBefore w:val="0"/>
              <w:widowControl/>
              <w:kinsoku/>
              <w:wordWrap/>
              <w:overflowPunct/>
              <w:topLinePunct w:val="0"/>
              <w:bidi w:val="0"/>
              <w:spacing w:line="360" w:lineRule="auto"/>
              <w:jc w:val="left"/>
              <w:rPr>
                <w:color w:val="auto"/>
                <w:szCs w:val="21"/>
                <w:highlight w:val="none"/>
              </w:rPr>
            </w:pPr>
            <w:r>
              <w:rPr>
                <w:color w:val="auto"/>
                <w:szCs w:val="21"/>
                <w:highlight w:val="none"/>
              </w:rPr>
              <w:t>价格</w:t>
            </w:r>
            <w:r>
              <w:rPr>
                <w:rFonts w:hint="eastAsia"/>
                <w:color w:val="auto"/>
                <w:szCs w:val="21"/>
                <w:highlight w:val="none"/>
              </w:rPr>
              <w:t>部分</w:t>
            </w:r>
            <w:r>
              <w:rPr>
                <w:rFonts w:hint="eastAsia"/>
                <w:color w:val="auto"/>
                <w:szCs w:val="21"/>
                <w:highlight w:val="none"/>
                <w:lang w:val="en-US" w:eastAsia="zh-CN"/>
              </w:rPr>
              <w:t>35</w:t>
            </w:r>
            <w:r>
              <w:rPr>
                <w:color w:val="auto"/>
                <w:szCs w:val="21"/>
                <w:highlight w:val="none"/>
              </w:rPr>
              <w:t>分</w:t>
            </w:r>
          </w:p>
        </w:tc>
        <w:tc>
          <w:tcPr>
            <w:tcW w:w="1195" w:type="dxa"/>
            <w:noWrap w:val="0"/>
            <w:vAlign w:val="center"/>
          </w:tcPr>
          <w:p w14:paraId="69052C22">
            <w:pPr>
              <w:pageBreakBefore w:val="0"/>
              <w:kinsoku/>
              <w:wordWrap/>
              <w:overflowPunct/>
              <w:topLinePunct w:val="0"/>
              <w:bidi w:val="0"/>
              <w:spacing w:line="360" w:lineRule="auto"/>
              <w:jc w:val="center"/>
              <w:rPr>
                <w:color w:val="auto"/>
                <w:szCs w:val="21"/>
                <w:highlight w:val="none"/>
              </w:rPr>
            </w:pPr>
            <w:r>
              <w:rPr>
                <w:color w:val="auto"/>
                <w:szCs w:val="21"/>
                <w:highlight w:val="none"/>
              </w:rPr>
              <w:t>投标报价（</w:t>
            </w:r>
            <w:r>
              <w:rPr>
                <w:rFonts w:hint="eastAsia"/>
                <w:color w:val="auto"/>
                <w:szCs w:val="21"/>
                <w:highlight w:val="none"/>
                <w:lang w:val="en-US" w:eastAsia="zh-CN"/>
              </w:rPr>
              <w:t>35</w:t>
            </w:r>
            <w:r>
              <w:rPr>
                <w:color w:val="auto"/>
                <w:szCs w:val="21"/>
                <w:highlight w:val="none"/>
              </w:rPr>
              <w:t>分）</w:t>
            </w:r>
          </w:p>
        </w:tc>
        <w:tc>
          <w:tcPr>
            <w:tcW w:w="7442" w:type="dxa"/>
            <w:noWrap w:val="0"/>
            <w:vAlign w:val="center"/>
          </w:tcPr>
          <w:p w14:paraId="052FF3D4">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rPr>
              <w:t>满足磋商文件要求且最</w:t>
            </w:r>
            <w:r>
              <w:rPr>
                <w:rFonts w:hint="eastAsia" w:ascii="Times New Roman" w:hAnsi="Times New Roman" w:eastAsia="宋体" w:cs="Times New Roman"/>
                <w:color w:val="auto"/>
                <w:szCs w:val="21"/>
                <w:highlight w:val="none"/>
                <w:lang w:val="en-US" w:eastAsia="zh-CN"/>
              </w:rPr>
              <w:t>终综合折扣</w:t>
            </w:r>
            <w:r>
              <w:rPr>
                <w:rFonts w:hint="eastAsia" w:ascii="Times New Roman" w:hAnsi="Times New Roman" w:eastAsia="宋体" w:cs="Times New Roman"/>
                <w:color w:val="auto"/>
                <w:szCs w:val="21"/>
                <w:highlight w:val="none"/>
              </w:rPr>
              <w:t>最低的价格为磋商基准价，其价格分为满分。其他供应商的价格分统一按照下列公式计算：</w:t>
            </w:r>
          </w:p>
          <w:p w14:paraId="03F51DA0">
            <w:pPr>
              <w:pageBreakBefore w:val="0"/>
              <w:kinsoku/>
              <w:wordWrap/>
              <w:overflowPunct/>
              <w:topLinePunct w:val="0"/>
              <w:bidi w:val="0"/>
              <w:spacing w:line="360" w:lineRule="auto"/>
              <w:rPr>
                <w:rFonts w:hint="eastAsia"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磋商报价得分=（磋商基准价/</w:t>
            </w:r>
            <w:r>
              <w:rPr>
                <w:rFonts w:hint="eastAsia" w:ascii="Times New Roman" w:hAnsi="Times New Roman" w:cs="Times New Roman"/>
                <w:color w:val="auto"/>
                <w:szCs w:val="21"/>
                <w:highlight w:val="none"/>
                <w:lang w:val="en-US" w:eastAsia="zh-CN"/>
              </w:rPr>
              <w:t>参与评审的</w:t>
            </w:r>
            <w:r>
              <w:rPr>
                <w:rFonts w:hint="eastAsia" w:ascii="Times New Roman" w:hAnsi="Times New Roman" w:eastAsia="宋体" w:cs="Times New Roman"/>
                <w:color w:val="auto"/>
                <w:szCs w:val="21"/>
                <w:highlight w:val="none"/>
              </w:rPr>
              <w:t>最</w:t>
            </w:r>
            <w:r>
              <w:rPr>
                <w:rFonts w:hint="eastAsia" w:ascii="Times New Roman" w:hAnsi="Times New Roman" w:eastAsia="宋体" w:cs="Times New Roman"/>
                <w:color w:val="auto"/>
                <w:szCs w:val="21"/>
                <w:highlight w:val="none"/>
                <w:lang w:val="en-US" w:eastAsia="zh-CN"/>
              </w:rPr>
              <w:t>终综合折扣</w:t>
            </w:r>
            <w:r>
              <w:rPr>
                <w:rFonts w:hint="eastAsia" w:ascii="Times New Roman" w:hAnsi="Times New Roman" w:eastAsia="宋体" w:cs="Times New Roman"/>
                <w:color w:val="auto"/>
                <w:szCs w:val="21"/>
                <w:highlight w:val="none"/>
              </w:rPr>
              <w:t xml:space="preserve">）×价格权值×100 </w:t>
            </w:r>
          </w:p>
          <w:p w14:paraId="52688A51">
            <w:pPr>
              <w:pStyle w:val="32"/>
              <w:ind w:left="0" w:leftChars="0" w:firstLine="0" w:firstLineChars="0"/>
              <w:rPr>
                <w:rFonts w:hint="eastAsia" w:eastAsia="宋体"/>
                <w:color w:val="auto"/>
                <w:highlight w:val="none"/>
                <w:lang w:val="en-US" w:eastAsia="zh-CN"/>
              </w:rPr>
            </w:pPr>
            <w:r>
              <w:rPr>
                <w:rFonts w:hint="eastAsia" w:ascii="Times New Roman" w:hAnsi="Times New Roman" w:eastAsia="宋体" w:cs="Times New Roman"/>
                <w:color w:val="auto"/>
                <w:kern w:val="2"/>
                <w:sz w:val="21"/>
                <w:szCs w:val="21"/>
                <w:highlight w:val="none"/>
                <w:lang w:val="en-US" w:eastAsia="zh-CN" w:bidi="ar-SA"/>
              </w:rPr>
              <w:t>参与评审的最终综合折扣=投标报价×（1-小微企业价格扣除优惠值）</w:t>
            </w:r>
          </w:p>
        </w:tc>
      </w:tr>
      <w:tr w14:paraId="402C00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748" w:type="dxa"/>
            <w:noWrap w:val="0"/>
            <w:vAlign w:val="center"/>
          </w:tcPr>
          <w:p w14:paraId="72556A0B">
            <w:pPr>
              <w:pageBreakBefore w:val="0"/>
              <w:widowControl/>
              <w:kinsoku/>
              <w:wordWrap/>
              <w:overflowPunct/>
              <w:topLinePunct w:val="0"/>
              <w:bidi w:val="0"/>
              <w:spacing w:line="360" w:lineRule="auto"/>
              <w:jc w:val="left"/>
              <w:rPr>
                <w:color w:val="auto"/>
                <w:szCs w:val="21"/>
                <w:highlight w:val="none"/>
              </w:rPr>
            </w:pPr>
          </w:p>
        </w:tc>
        <w:tc>
          <w:tcPr>
            <w:tcW w:w="1195" w:type="dxa"/>
            <w:noWrap w:val="0"/>
            <w:vAlign w:val="center"/>
          </w:tcPr>
          <w:p w14:paraId="5B092A16">
            <w:pPr>
              <w:pageBreakBefore w:val="0"/>
              <w:kinsoku/>
              <w:wordWrap/>
              <w:overflowPunct/>
              <w:topLinePunct w:val="0"/>
              <w:bidi w:val="0"/>
              <w:spacing w:line="360" w:lineRule="auto"/>
              <w:jc w:val="center"/>
              <w:rPr>
                <w:color w:val="auto"/>
                <w:szCs w:val="21"/>
                <w:highlight w:val="none"/>
              </w:rPr>
            </w:pPr>
            <w:r>
              <w:rPr>
                <w:color w:val="auto"/>
                <w:szCs w:val="21"/>
                <w:highlight w:val="none"/>
              </w:rPr>
              <w:t>总</w:t>
            </w:r>
            <w:r>
              <w:rPr>
                <w:rFonts w:hint="eastAsia"/>
                <w:color w:val="auto"/>
                <w:szCs w:val="21"/>
                <w:highlight w:val="none"/>
              </w:rPr>
              <w:t xml:space="preserve"> </w:t>
            </w:r>
            <w:r>
              <w:rPr>
                <w:color w:val="auto"/>
                <w:szCs w:val="21"/>
                <w:highlight w:val="none"/>
              </w:rPr>
              <w:t>分</w:t>
            </w:r>
          </w:p>
        </w:tc>
        <w:tc>
          <w:tcPr>
            <w:tcW w:w="7442" w:type="dxa"/>
            <w:noWrap w:val="0"/>
            <w:vAlign w:val="center"/>
          </w:tcPr>
          <w:p w14:paraId="25998B3A">
            <w:pPr>
              <w:pStyle w:val="7"/>
              <w:pageBreakBefore w:val="0"/>
              <w:kinsoku/>
              <w:wordWrap/>
              <w:overflowPunct/>
              <w:topLinePunct w:val="0"/>
              <w:bidi w:val="0"/>
              <w:spacing w:line="360" w:lineRule="auto"/>
              <w:ind w:firstLine="0" w:firstLineChars="0"/>
              <w:rPr>
                <w:color w:val="auto"/>
                <w:szCs w:val="21"/>
                <w:highlight w:val="none"/>
              </w:rPr>
            </w:pPr>
          </w:p>
        </w:tc>
      </w:tr>
    </w:tbl>
    <w:p w14:paraId="6C7A263F">
      <w:pPr>
        <w:widowControl/>
        <w:jc w:val="left"/>
        <w:rPr>
          <w:rFonts w:asciiTheme="minorEastAsia" w:hAnsiTheme="minorEastAsia" w:eastAsiaTheme="minorEastAsia" w:cstheme="minorEastAsia"/>
          <w:color w:val="auto"/>
          <w:sz w:val="28"/>
          <w:highlight w:val="none"/>
        </w:rPr>
      </w:pPr>
    </w:p>
    <w:p w14:paraId="1C02BD16">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Theme="minorEastAsia" w:hAnsiTheme="minorEastAsia" w:eastAsiaTheme="minorEastAsia" w:cstheme="minorEastAsia"/>
          <w:b/>
          <w:color w:val="auto"/>
          <w:kern w:val="0"/>
          <w:sz w:val="21"/>
          <w:szCs w:val="21"/>
          <w:highlight w:val="none"/>
          <w:lang w:val="zh-CN"/>
        </w:rPr>
      </w:pPr>
      <w:r>
        <w:rPr>
          <w:rFonts w:hint="eastAsia" w:asciiTheme="minorEastAsia" w:hAnsiTheme="minorEastAsia" w:eastAsiaTheme="minorEastAsia" w:cstheme="minorEastAsia"/>
          <w:b/>
          <w:color w:val="auto"/>
          <w:sz w:val="21"/>
          <w:szCs w:val="21"/>
          <w:highlight w:val="none"/>
        </w:rPr>
        <w:t>备注：</w:t>
      </w:r>
      <w:r>
        <w:rPr>
          <w:rFonts w:hint="eastAsia" w:asciiTheme="minorEastAsia" w:hAnsiTheme="minorEastAsia" w:eastAsiaTheme="minorEastAsia" w:cstheme="minorEastAsia"/>
          <w:color w:val="auto"/>
          <w:kern w:val="0"/>
          <w:sz w:val="21"/>
          <w:szCs w:val="21"/>
          <w:highlight w:val="none"/>
          <w:lang w:val="zh-CN"/>
        </w:rPr>
        <w:t>供应商编制响应文件（商务技术文件部分）时，建议按此目录（序号和内容）提供评标标准相应的商务技术资料。</w:t>
      </w:r>
    </w:p>
    <w:p w14:paraId="52DDD772">
      <w:pP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一、评审方法</w:t>
      </w:r>
    </w:p>
    <w:bookmarkEnd w:id="13"/>
    <w:p w14:paraId="6FABD15D">
      <w:pPr>
        <w:adjustRightInd/>
        <w:spacing w:line="360" w:lineRule="auto"/>
        <w:ind w:firstLine="413" w:firstLineChars="196"/>
        <w:rPr>
          <w:rFonts w:hint="eastAsia" w:asciiTheme="minorEastAsia" w:hAnsiTheme="minorEastAsia" w:eastAsiaTheme="minorEastAsia" w:cstheme="minorEastAsia"/>
          <w:color w:val="auto"/>
          <w:kern w:val="0"/>
          <w:sz w:val="21"/>
          <w:szCs w:val="21"/>
          <w:highlight w:val="none"/>
        </w:rPr>
      </w:pPr>
      <w:bookmarkStart w:id="393" w:name="第五部分"/>
      <w:bookmarkStart w:id="394" w:name="_Toc86217003"/>
      <w:r>
        <w:rPr>
          <w:rFonts w:hint="eastAsia" w:asciiTheme="minorEastAsia" w:hAnsiTheme="minorEastAsia" w:eastAsiaTheme="minorEastAsia" w:cstheme="minorEastAsia"/>
          <w:b/>
          <w:color w:val="auto"/>
          <w:kern w:val="0"/>
          <w:sz w:val="21"/>
          <w:szCs w:val="21"/>
          <w:highlight w:val="none"/>
        </w:rPr>
        <w:t>1.本项目采用综合评分法。</w:t>
      </w:r>
      <w:r>
        <w:rPr>
          <w:rFonts w:hint="eastAsia" w:asciiTheme="minorEastAsia" w:hAnsiTheme="minorEastAsia" w:eastAsiaTheme="minorEastAsia" w:cstheme="minorEastAsia"/>
          <w:color w:val="auto"/>
          <w:kern w:val="0"/>
          <w:sz w:val="21"/>
          <w:szCs w:val="21"/>
          <w:highlight w:val="none"/>
        </w:rPr>
        <w:t>综合评分法，是指</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文件全部实质性要求，且按照评审因素的量化指标评审得分最高的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为</w:t>
      </w:r>
      <w:r>
        <w:rPr>
          <w:rFonts w:hint="eastAsia" w:asciiTheme="minorEastAsia" w:hAnsiTheme="minorEastAsia" w:eastAsiaTheme="minorEastAsia" w:cstheme="minorEastAsia"/>
          <w:color w:val="auto"/>
          <w:kern w:val="0"/>
          <w:sz w:val="21"/>
          <w:szCs w:val="21"/>
          <w:highlight w:val="none"/>
          <w:lang w:eastAsia="zh-CN"/>
        </w:rPr>
        <w:t>成交候选供应商</w:t>
      </w:r>
      <w:r>
        <w:rPr>
          <w:rFonts w:hint="eastAsia" w:asciiTheme="minorEastAsia" w:hAnsiTheme="minorEastAsia" w:eastAsiaTheme="minorEastAsia" w:cstheme="minorEastAsia"/>
          <w:color w:val="auto"/>
          <w:kern w:val="0"/>
          <w:sz w:val="21"/>
          <w:szCs w:val="21"/>
          <w:highlight w:val="none"/>
        </w:rPr>
        <w:t>的评标方法。</w:t>
      </w:r>
    </w:p>
    <w:p w14:paraId="76996BD5">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二、评标标准</w:t>
      </w:r>
    </w:p>
    <w:p w14:paraId="4DF6A92C">
      <w:pPr>
        <w:spacing w:line="360" w:lineRule="auto"/>
        <w:ind w:firstLine="413" w:firstLineChars="196"/>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2.</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b/>
          <w:color w:val="auto"/>
          <w:sz w:val="21"/>
          <w:szCs w:val="21"/>
          <w:highlight w:val="none"/>
        </w:rPr>
        <w:t>评标标准：</w:t>
      </w:r>
      <w:r>
        <w:rPr>
          <w:rFonts w:hint="eastAsia" w:asciiTheme="minorEastAsia" w:hAnsiTheme="minorEastAsia" w:eastAsiaTheme="minorEastAsia" w:cstheme="minorEastAsia"/>
          <w:color w:val="auto"/>
          <w:kern w:val="0"/>
          <w:sz w:val="21"/>
          <w:szCs w:val="21"/>
          <w:highlight w:val="none"/>
        </w:rPr>
        <w:t>见评标办法前附表。</w:t>
      </w:r>
    </w:p>
    <w:p w14:paraId="2312067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三、评标程序</w:t>
      </w:r>
    </w:p>
    <w:p w14:paraId="6A555DF2">
      <w:pPr>
        <w:snapToGrid w:val="0"/>
        <w:spacing w:line="360" w:lineRule="auto"/>
        <w:ind w:left="120" w:leftChars="57" w:firstLine="315" w:firstLineChars="15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3.1 资格审查。采购人或代理机构应当对</w:t>
      </w:r>
      <w:r>
        <w:rPr>
          <w:rFonts w:hint="eastAsia" w:asciiTheme="minorEastAsia" w:hAnsiTheme="minorEastAsia" w:eastAsiaTheme="minorEastAsia" w:cstheme="minorEastAsia"/>
          <w:color w:val="auto"/>
          <w:kern w:val="0"/>
          <w:sz w:val="21"/>
          <w:szCs w:val="21"/>
          <w:highlight w:val="none"/>
          <w:lang w:val="zh-CN" w:eastAsia="zh-CN" w:bidi="ar-SA"/>
        </w:rPr>
        <w:t>供应商</w:t>
      </w:r>
      <w:r>
        <w:rPr>
          <w:rFonts w:hint="eastAsia" w:asciiTheme="minorEastAsia" w:hAnsiTheme="minorEastAsia" w:eastAsiaTheme="minorEastAsia" w:cstheme="minorEastAsia"/>
          <w:color w:val="auto"/>
          <w:kern w:val="0"/>
          <w:sz w:val="21"/>
          <w:szCs w:val="21"/>
          <w:highlight w:val="none"/>
          <w:lang w:val="en-US" w:eastAsia="zh-CN" w:bidi="ar-SA"/>
        </w:rPr>
        <w:t>的资格响应文件进行审查，以确定其是否满足</w:t>
      </w:r>
    </w:p>
    <w:p w14:paraId="48C7D5B8">
      <w:pPr>
        <w:snapToGrid w:val="0"/>
        <w:spacing w:line="360" w:lineRule="auto"/>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竞争性磋商文件的实质性要求。不满足竞争性磋商文件的实质性要求的，响应无效。</w:t>
      </w:r>
    </w:p>
    <w:p w14:paraId="7306C4BD">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2 </w:t>
      </w:r>
      <w:r>
        <w:rPr>
          <w:rFonts w:hint="eastAsia" w:asciiTheme="minorEastAsia" w:hAnsiTheme="minorEastAsia" w:eastAsiaTheme="minorEastAsia" w:cstheme="minorEastAsia"/>
          <w:b/>
          <w:color w:val="auto"/>
          <w:kern w:val="0"/>
          <w:sz w:val="21"/>
          <w:szCs w:val="21"/>
          <w:highlight w:val="none"/>
        </w:rPr>
        <w:t>符合性审查。</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应当对符合资格的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文件进行符合性审查，以确定其是否满足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文件的实质性要求。不满足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文件的实质性要求的，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7A33DA09">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3</w:t>
      </w:r>
      <w:r>
        <w:rPr>
          <w:rFonts w:hint="eastAsia" w:asciiTheme="minorEastAsia" w:hAnsiTheme="minorEastAsia" w:eastAsiaTheme="minorEastAsia" w:cstheme="minorEastAsia"/>
          <w:b/>
          <w:color w:val="auto"/>
          <w:kern w:val="0"/>
          <w:sz w:val="21"/>
          <w:szCs w:val="21"/>
          <w:highlight w:val="none"/>
        </w:rPr>
        <w:t>磋商</w:t>
      </w:r>
    </w:p>
    <w:p w14:paraId="6228F6F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.1磋商小组所有成员应集中与单一供应商分别进行磋商，并给予所有有效供应商平等的磋商机会。在磋商过程中，如有需要，可以对采购文件的“</w:t>
      </w:r>
      <w:r>
        <w:rPr>
          <w:rFonts w:hint="eastAsia" w:asciiTheme="minorEastAsia" w:hAnsiTheme="minorEastAsia" w:eastAsiaTheme="minorEastAsia" w:cstheme="minorEastAsia"/>
          <w:b/>
          <w:bCs/>
          <w:color w:val="auto"/>
          <w:kern w:val="0"/>
          <w:sz w:val="21"/>
          <w:szCs w:val="21"/>
          <w:highlight w:val="none"/>
        </w:rPr>
        <w:t>项目需求的技术、服务条款”以及“合同条款”进行实质性变动</w:t>
      </w:r>
      <w:r>
        <w:rPr>
          <w:rFonts w:hint="eastAsia" w:asciiTheme="minorEastAsia" w:hAnsiTheme="minorEastAsia" w:eastAsiaTheme="minorEastAsia" w:cstheme="minorEastAsia"/>
          <w:color w:val="auto"/>
          <w:kern w:val="0"/>
          <w:sz w:val="21"/>
          <w:szCs w:val="21"/>
          <w:highlight w:val="none"/>
        </w:rPr>
        <w:t>，如有实质性变动需经采购人代表现场签字确认，磋商小组将采购文件变更通知在线发给各有效供应商，供应商根据变更通知的要求作响应文件的补充文件，该补充文件是响应文件的组成部分，具有相应的法律效力。</w:t>
      </w:r>
    </w:p>
    <w:p w14:paraId="4CB97C8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3.3.2</w:t>
      </w:r>
      <w:r>
        <w:rPr>
          <w:rFonts w:hint="eastAsia" w:asciiTheme="minorEastAsia" w:hAnsiTheme="minorEastAsia" w:eastAsiaTheme="minorEastAsia" w:cstheme="minorEastAsia"/>
          <w:b/>
          <w:bCs/>
          <w:color w:val="auto"/>
          <w:kern w:val="0"/>
          <w:sz w:val="21"/>
          <w:szCs w:val="21"/>
          <w:highlight w:val="none"/>
        </w:rPr>
        <w:t>各有效供应商在</w:t>
      </w:r>
      <w:r>
        <w:rPr>
          <w:rFonts w:hint="eastAsia" w:asciiTheme="minorEastAsia" w:hAnsiTheme="minorEastAsia" w:eastAsiaTheme="minorEastAsia" w:cstheme="minorEastAsia"/>
          <w:b/>
          <w:bCs/>
          <w:color w:val="auto"/>
          <w:kern w:val="0"/>
          <w:sz w:val="21"/>
          <w:szCs w:val="21"/>
          <w:highlight w:val="none"/>
          <w:lang w:val="en-US" w:eastAsia="zh-CN"/>
        </w:rPr>
        <w:t>30分钟内</w:t>
      </w:r>
      <w:r>
        <w:rPr>
          <w:rFonts w:hint="eastAsia" w:asciiTheme="minorEastAsia" w:hAnsiTheme="minorEastAsia" w:eastAsiaTheme="minorEastAsia" w:cstheme="minorEastAsia"/>
          <w:b/>
          <w:bCs/>
          <w:color w:val="auto"/>
          <w:kern w:val="0"/>
          <w:sz w:val="21"/>
          <w:szCs w:val="21"/>
          <w:highlight w:val="none"/>
        </w:rPr>
        <w:t>在线提交第二次报价（即最终报价），磋商小组以第二次报价（即最终报价）作为价格评议的标准</w:t>
      </w:r>
      <w:r>
        <w:rPr>
          <w:rFonts w:hint="eastAsia" w:asciiTheme="minorEastAsia" w:hAnsiTheme="minorEastAsia" w:eastAsiaTheme="minorEastAsia" w:cstheme="minorEastAsia"/>
          <w:color w:val="auto"/>
          <w:kern w:val="0"/>
          <w:sz w:val="21"/>
          <w:szCs w:val="21"/>
          <w:highlight w:val="none"/>
        </w:rPr>
        <w:t>。已提交响应文件的供应商，在提交最终报价之前，可以根据磋商情况退出磋商。</w:t>
      </w:r>
    </w:p>
    <w:p w14:paraId="0D3568CD">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3</w:t>
      </w:r>
      <w:r>
        <w:rPr>
          <w:rFonts w:hint="eastAsia" w:asciiTheme="minorEastAsia" w:hAnsiTheme="minorEastAsia" w:eastAsiaTheme="minorEastAsia" w:cstheme="minorEastAsia"/>
          <w:color w:val="auto"/>
          <w:kern w:val="0"/>
          <w:sz w:val="21"/>
          <w:szCs w:val="21"/>
          <w:highlight w:val="none"/>
        </w:rPr>
        <w:t>.3经磋商确定最终采购需求和提交最后报价的供应商后，由磋商小组采用综合评分法对提交最后报价的供应商的响应文件和最后报价进行综合评分。</w:t>
      </w:r>
    </w:p>
    <w:p w14:paraId="2F1E8338">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4</w:t>
      </w:r>
      <w:r>
        <w:rPr>
          <w:rFonts w:hint="eastAsia" w:asciiTheme="minorEastAsia" w:hAnsiTheme="minorEastAsia" w:eastAsiaTheme="minorEastAsia" w:cstheme="minorEastAsia"/>
          <w:b/>
          <w:color w:val="auto"/>
          <w:kern w:val="0"/>
          <w:sz w:val="21"/>
          <w:szCs w:val="21"/>
          <w:highlight w:val="none"/>
        </w:rPr>
        <w:t xml:space="preserve"> </w:t>
      </w:r>
      <w:r>
        <w:rPr>
          <w:rFonts w:hint="eastAsia" w:asciiTheme="minorEastAsia" w:hAnsiTheme="minorEastAsia" w:eastAsiaTheme="minorEastAsia" w:cstheme="minorEastAsia"/>
          <w:b/>
          <w:color w:val="auto"/>
          <w:kern w:val="0"/>
          <w:sz w:val="21"/>
          <w:szCs w:val="21"/>
          <w:highlight w:val="none"/>
          <w:lang w:eastAsia="zh-CN"/>
        </w:rPr>
        <w:t>商务技术</w:t>
      </w:r>
      <w:r>
        <w:rPr>
          <w:rFonts w:hint="eastAsia" w:asciiTheme="minorEastAsia" w:hAnsiTheme="minorEastAsia" w:eastAsiaTheme="minorEastAsia" w:cstheme="minorEastAsia"/>
          <w:b/>
          <w:color w:val="auto"/>
          <w:kern w:val="0"/>
          <w:sz w:val="21"/>
          <w:szCs w:val="21"/>
          <w:highlight w:val="none"/>
        </w:rPr>
        <w:t>评</w:t>
      </w:r>
      <w:r>
        <w:rPr>
          <w:rFonts w:hint="eastAsia" w:asciiTheme="minorEastAsia" w:hAnsiTheme="minorEastAsia" w:eastAsiaTheme="minorEastAsia" w:cstheme="minorEastAsia"/>
          <w:b/>
          <w:color w:val="auto"/>
          <w:kern w:val="0"/>
          <w:sz w:val="21"/>
          <w:szCs w:val="21"/>
          <w:highlight w:val="none"/>
          <w:lang w:eastAsia="zh-CN"/>
        </w:rPr>
        <w:t>审</w:t>
      </w:r>
      <w:r>
        <w:rPr>
          <w:rFonts w:hint="eastAsia" w:asciiTheme="minorEastAsia" w:hAnsiTheme="minorEastAsia" w:eastAsiaTheme="minorEastAsia" w:cstheme="minorEastAsia"/>
          <w:b/>
          <w:color w:val="auto"/>
          <w:kern w:val="0"/>
          <w:sz w:val="21"/>
          <w:szCs w:val="21"/>
          <w:highlight w:val="none"/>
        </w:rPr>
        <w:t>。</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应当按照</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文件中规定的评标方法和标准，对符合性审查合格的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文件进行商务和技术评估。</w:t>
      </w:r>
    </w:p>
    <w:p w14:paraId="5F914B48">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5 </w:t>
      </w:r>
      <w:r>
        <w:rPr>
          <w:rFonts w:hint="eastAsia" w:asciiTheme="minorEastAsia" w:hAnsiTheme="minorEastAsia" w:eastAsiaTheme="minorEastAsia" w:cstheme="minorEastAsia"/>
          <w:b/>
          <w:color w:val="auto"/>
          <w:kern w:val="0"/>
          <w:sz w:val="21"/>
          <w:szCs w:val="21"/>
          <w:highlight w:val="none"/>
        </w:rPr>
        <w:t>汇总商务技术得分。</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各成员应当独立对每个</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的商务和技术文件进行评价，并汇总商务技术得分情况。</w:t>
      </w:r>
    </w:p>
    <w:p w14:paraId="35BCCD94">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 xml:space="preserve">6 </w:t>
      </w:r>
      <w:r>
        <w:rPr>
          <w:rFonts w:hint="eastAsia" w:asciiTheme="minorEastAsia" w:hAnsiTheme="minorEastAsia" w:eastAsiaTheme="minorEastAsia" w:cstheme="minorEastAsia"/>
          <w:b/>
          <w:color w:val="auto"/>
          <w:kern w:val="0"/>
          <w:sz w:val="21"/>
          <w:szCs w:val="21"/>
          <w:highlight w:val="none"/>
        </w:rPr>
        <w:t>报价评审。</w:t>
      </w:r>
    </w:p>
    <w:p w14:paraId="4524454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磋商小组对供应商提交的报价进行评审。</w:t>
      </w:r>
    </w:p>
    <w:p w14:paraId="10A51040">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文件报价出现前后不一致的，按照下列规定修正：</w:t>
      </w:r>
    </w:p>
    <w:p w14:paraId="6471FF55">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.1.1</w:t>
      </w:r>
      <w:r>
        <w:rPr>
          <w:rFonts w:hint="eastAsia" w:asciiTheme="minorEastAsia" w:hAnsiTheme="minorEastAsia" w:eastAsiaTheme="minorEastAsia" w:cstheme="minorEastAsia"/>
          <w:color w:val="auto"/>
          <w:kern w:val="0"/>
          <w:sz w:val="21"/>
          <w:szCs w:val="21"/>
          <w:highlight w:val="none"/>
          <w:lang w:val="en-US" w:eastAsia="zh-CN"/>
        </w:rPr>
        <w:t>电子交易平台生成的开标记录表</w:t>
      </w:r>
      <w:r>
        <w:rPr>
          <w:rFonts w:hint="eastAsia" w:asciiTheme="minorEastAsia" w:hAnsiTheme="minorEastAsia" w:eastAsiaTheme="minorEastAsia" w:cstheme="minorEastAsia"/>
          <w:color w:val="auto"/>
          <w:kern w:val="0"/>
          <w:sz w:val="21"/>
          <w:szCs w:val="21"/>
          <w:highlight w:val="none"/>
        </w:rPr>
        <w:t>(报价表)内容</w:t>
      </w:r>
      <w:r>
        <w:rPr>
          <w:rFonts w:hint="eastAsia" w:asciiTheme="minorEastAsia" w:hAnsiTheme="minorEastAsia" w:eastAsiaTheme="minorEastAsia" w:cstheme="minorEastAsia"/>
          <w:color w:val="auto"/>
          <w:kern w:val="0"/>
          <w:sz w:val="21"/>
          <w:szCs w:val="21"/>
          <w:highlight w:val="none"/>
          <w:lang w:val="en-US" w:eastAsia="zh-CN"/>
        </w:rPr>
        <w:t>与响应文件中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w:t>
      </w:r>
      <w:r>
        <w:rPr>
          <w:rFonts w:hint="eastAsia" w:asciiTheme="minorEastAsia" w:hAnsiTheme="minorEastAsia" w:eastAsiaTheme="minorEastAsia" w:cstheme="minorEastAsia"/>
          <w:color w:val="auto"/>
          <w:kern w:val="0"/>
          <w:sz w:val="21"/>
          <w:szCs w:val="21"/>
          <w:highlight w:val="none"/>
          <w:lang w:val="en-US" w:eastAsia="zh-CN"/>
        </w:rPr>
        <w:t>不一致的，以响应文件中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w:t>
      </w:r>
      <w:r>
        <w:rPr>
          <w:rFonts w:hint="eastAsia" w:asciiTheme="minorEastAsia" w:hAnsiTheme="minorEastAsia" w:eastAsiaTheme="minorEastAsia" w:cstheme="minorEastAsia"/>
          <w:color w:val="auto"/>
          <w:kern w:val="0"/>
          <w:sz w:val="21"/>
          <w:szCs w:val="21"/>
          <w:highlight w:val="none"/>
          <w:lang w:val="en-US" w:eastAsia="zh-CN"/>
        </w:rPr>
        <w:t>为准</w:t>
      </w:r>
      <w:r>
        <w:rPr>
          <w:rFonts w:hint="eastAsia" w:asciiTheme="minorEastAsia" w:hAnsiTheme="minorEastAsia" w:eastAsiaTheme="minorEastAsia" w:cstheme="minorEastAsia"/>
          <w:color w:val="auto"/>
          <w:kern w:val="0"/>
          <w:sz w:val="21"/>
          <w:szCs w:val="21"/>
          <w:highlight w:val="none"/>
          <w:lang w:eastAsia="zh-CN"/>
        </w:rPr>
        <w:t>；</w:t>
      </w:r>
    </w:p>
    <w:p w14:paraId="3C91CBB8">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.1.2</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(报价表)内容与</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文件中相应内容不一致的，以</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(报价表)为准</w:t>
      </w:r>
      <w:r>
        <w:rPr>
          <w:rFonts w:hint="eastAsia" w:asciiTheme="minorEastAsia" w:hAnsiTheme="minorEastAsia" w:eastAsiaTheme="minorEastAsia" w:cstheme="minorEastAsia"/>
          <w:color w:val="auto"/>
          <w:kern w:val="0"/>
          <w:sz w:val="21"/>
          <w:szCs w:val="21"/>
          <w:highlight w:val="none"/>
          <w:lang w:eastAsia="zh-CN"/>
        </w:rPr>
        <w:t>；</w:t>
      </w:r>
    </w:p>
    <w:p w14:paraId="6586415E">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.1.3</w:t>
      </w:r>
      <w:r>
        <w:rPr>
          <w:rFonts w:hint="eastAsia" w:asciiTheme="minorEastAsia" w:hAnsiTheme="minorEastAsia" w:eastAsiaTheme="minorEastAsia" w:cstheme="minorEastAsia"/>
          <w:color w:val="auto"/>
          <w:kern w:val="0"/>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rPr>
        <w:t>大写金额和小写金额不一致的，以大写金额为准;</w:t>
      </w:r>
    </w:p>
    <w:p w14:paraId="6A1F077A">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.1.4</w:t>
      </w:r>
      <w:r>
        <w:rPr>
          <w:rFonts w:hint="eastAsia" w:asciiTheme="minorEastAsia" w:hAnsiTheme="minorEastAsia" w:eastAsiaTheme="minorEastAsia" w:cstheme="minorEastAsia"/>
          <w:color w:val="auto"/>
          <w:kern w:val="0"/>
          <w:sz w:val="21"/>
          <w:szCs w:val="21"/>
          <w:highlight w:val="none"/>
          <w:lang w:val="en-US" w:eastAsia="zh-CN"/>
        </w:rPr>
        <w:t xml:space="preserve"> </w:t>
      </w:r>
      <w:r>
        <w:rPr>
          <w:rFonts w:hint="eastAsia" w:asciiTheme="minorEastAsia" w:hAnsiTheme="minorEastAsia" w:eastAsiaTheme="minorEastAsia" w:cstheme="minorEastAsia"/>
          <w:color w:val="auto"/>
          <w:kern w:val="0"/>
          <w:sz w:val="21"/>
          <w:szCs w:val="21"/>
          <w:highlight w:val="none"/>
        </w:rPr>
        <w:t>单价金额小数点或者百分比有明显错位的，以</w:t>
      </w:r>
      <w:r>
        <w:rPr>
          <w:rFonts w:hint="eastAsia" w:asciiTheme="minorEastAsia" w:hAnsiTheme="minorEastAsia" w:eastAsiaTheme="minorEastAsia" w:cstheme="minorEastAsia"/>
          <w:color w:val="auto"/>
          <w:kern w:val="0"/>
          <w:sz w:val="21"/>
          <w:szCs w:val="21"/>
          <w:highlight w:val="none"/>
          <w:lang w:eastAsia="zh-CN"/>
        </w:rPr>
        <w:t>报价一览表</w:t>
      </w:r>
      <w:r>
        <w:rPr>
          <w:rFonts w:hint="eastAsia" w:asciiTheme="minorEastAsia" w:hAnsiTheme="minorEastAsia" w:eastAsiaTheme="minorEastAsia" w:cstheme="minorEastAsia"/>
          <w:color w:val="auto"/>
          <w:kern w:val="0"/>
          <w:sz w:val="21"/>
          <w:szCs w:val="21"/>
          <w:highlight w:val="none"/>
        </w:rPr>
        <w:t>的总价为准，并修改单价;</w:t>
      </w:r>
    </w:p>
    <w:p w14:paraId="2A69B5D9">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3.6.1.5</w:t>
      </w:r>
      <w:r>
        <w:rPr>
          <w:rFonts w:hint="eastAsia" w:asciiTheme="minorEastAsia" w:hAnsiTheme="minorEastAsia" w:eastAsiaTheme="minorEastAsia" w:cstheme="minorEastAsia"/>
          <w:color w:val="auto"/>
          <w:kern w:val="0"/>
          <w:sz w:val="21"/>
          <w:szCs w:val="21"/>
          <w:highlight w:val="none"/>
        </w:rPr>
        <w:t>同时出现两种以上不一致的，按照3.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.1规定的顺序修正。修正后的报价经</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确认后产生约束力。</w:t>
      </w:r>
    </w:p>
    <w:p w14:paraId="01B8E86B">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.2</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文件出现不是唯一的、有选择性</w:t>
      </w:r>
      <w:r>
        <w:rPr>
          <w:rFonts w:hint="eastAsia" w:asciiTheme="minorEastAsia" w:hAnsiTheme="minorEastAsia" w:eastAsiaTheme="minorEastAsia" w:cstheme="minorEastAsia"/>
          <w:color w:val="auto"/>
          <w:kern w:val="0"/>
          <w:sz w:val="21"/>
          <w:szCs w:val="21"/>
          <w:highlight w:val="none"/>
          <w:lang w:eastAsia="zh-CN"/>
        </w:rPr>
        <w:t>磋商</w:t>
      </w:r>
      <w:r>
        <w:rPr>
          <w:rFonts w:hint="eastAsia" w:asciiTheme="minorEastAsia" w:hAnsiTheme="minorEastAsia" w:eastAsiaTheme="minorEastAsia" w:cstheme="minorEastAsia"/>
          <w:color w:val="auto"/>
          <w:kern w:val="0"/>
          <w:sz w:val="21"/>
          <w:szCs w:val="21"/>
          <w:highlight w:val="none"/>
        </w:rPr>
        <w:t>报价的，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129C3C3B">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eastAsia="zh-CN"/>
        </w:rPr>
        <w:t>磋商</w:t>
      </w:r>
      <w:r>
        <w:rPr>
          <w:rFonts w:hint="eastAsia" w:asciiTheme="minorEastAsia" w:hAnsiTheme="minorEastAsia" w:eastAsiaTheme="minorEastAsia" w:cstheme="minorEastAsia"/>
          <w:color w:val="auto"/>
          <w:kern w:val="0"/>
          <w:sz w:val="21"/>
          <w:szCs w:val="21"/>
          <w:highlight w:val="none"/>
        </w:rPr>
        <w:t>报价超过</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rPr>
        <w:t>文件中规定的预算金额或者最高限价的，</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无效。</w:t>
      </w:r>
    </w:p>
    <w:p w14:paraId="6B386D21">
      <w:pPr>
        <w:pStyle w:val="51"/>
        <w:keepNext w:val="0"/>
        <w:keepLines w:val="0"/>
        <w:pageBreakBefore w:val="0"/>
        <w:kinsoku/>
        <w:wordWrap/>
        <w:overflowPunct/>
        <w:topLinePunct w:val="0"/>
        <w:autoSpaceDE/>
        <w:autoSpaceDN/>
        <w:bidi w:val="0"/>
        <w:spacing w:before="0"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w:t>
      </w:r>
      <w:r>
        <w:rPr>
          <w:rFonts w:hint="eastAsia" w:asciiTheme="minorEastAsia" w:hAnsiTheme="minorEastAsia" w:eastAsiaTheme="minorEastAsia" w:cstheme="minorEastAsia"/>
          <w:color w:val="auto"/>
          <w:kern w:val="0"/>
          <w:sz w:val="21"/>
          <w:szCs w:val="21"/>
          <w:highlight w:val="none"/>
          <w:lang w:val="en-US" w:eastAsia="zh-CN"/>
        </w:rPr>
        <w:t>6</w:t>
      </w:r>
      <w:r>
        <w:rPr>
          <w:rFonts w:hint="eastAsia" w:asciiTheme="minorEastAsia" w:hAnsiTheme="minorEastAsia" w:eastAsiaTheme="minorEastAsia" w:cstheme="minorEastAsia"/>
          <w:color w:val="auto"/>
          <w:kern w:val="0"/>
          <w:sz w:val="21"/>
          <w:szCs w:val="21"/>
          <w:highlight w:val="none"/>
        </w:rPr>
        <w:t>.4</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认为</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的报价明显低于其他通过符合性审查</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的报价，有可能影响产品质量或者不能诚信履约的，应当要求其在</w:t>
      </w:r>
      <w:r>
        <w:rPr>
          <w:rFonts w:hint="eastAsia" w:asciiTheme="minorEastAsia" w:hAnsiTheme="minorEastAsia" w:eastAsiaTheme="minorEastAsia" w:cstheme="minorEastAsia"/>
          <w:color w:val="auto"/>
          <w:kern w:val="0"/>
          <w:sz w:val="21"/>
          <w:szCs w:val="21"/>
          <w:highlight w:val="none"/>
          <w:lang w:val="en-US" w:eastAsia="zh-CN"/>
        </w:rPr>
        <w:t>30分钟</w:t>
      </w:r>
      <w:r>
        <w:rPr>
          <w:rFonts w:hint="eastAsia" w:asciiTheme="minorEastAsia" w:hAnsiTheme="minorEastAsia" w:eastAsiaTheme="minorEastAsia" w:cstheme="minorEastAsia"/>
          <w:color w:val="auto"/>
          <w:kern w:val="0"/>
          <w:sz w:val="21"/>
          <w:szCs w:val="21"/>
          <w:highlight w:val="none"/>
        </w:rPr>
        <w:t>内提供书面说明，必要时提交相关证明材料;</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不能证明其报价合理性的，</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应当将其作为无效</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处理。</w:t>
      </w:r>
    </w:p>
    <w:p w14:paraId="1EA3F00C">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7</w:t>
      </w:r>
      <w:r>
        <w:rPr>
          <w:rFonts w:hint="eastAsia" w:asciiTheme="minorEastAsia" w:hAnsiTheme="minorEastAsia" w:eastAsiaTheme="minorEastAsia" w:cstheme="minorEastAsia"/>
          <w:b/>
          <w:bCs/>
          <w:color w:val="auto"/>
          <w:kern w:val="0"/>
          <w:sz w:val="21"/>
          <w:szCs w:val="21"/>
          <w:highlight w:val="none"/>
          <w:lang w:val="en-US" w:eastAsia="zh-CN" w:bidi="ar-SA"/>
        </w:rPr>
        <w:t>综合评议。</w:t>
      </w:r>
      <w:r>
        <w:rPr>
          <w:rFonts w:hint="eastAsia" w:asciiTheme="minorEastAsia" w:hAnsiTheme="minorEastAsia" w:eastAsiaTheme="minorEastAsia" w:cstheme="minorEastAsia"/>
          <w:color w:val="auto"/>
          <w:kern w:val="0"/>
          <w:sz w:val="21"/>
          <w:szCs w:val="21"/>
          <w:highlight w:val="none"/>
          <w:lang w:val="en-US" w:eastAsia="zh-CN" w:bidi="ar-SA"/>
        </w:rPr>
        <w:t>评分汇总（汇总各评委的评分，计算所有评委评出的总分的算术平均值作为供应商的综合得分）；按综合得分从高到低排序。</w:t>
      </w:r>
    </w:p>
    <w:p w14:paraId="531C61AD">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8</w:t>
      </w:r>
      <w:r>
        <w:rPr>
          <w:rFonts w:hint="eastAsia" w:asciiTheme="minorEastAsia" w:hAnsiTheme="minorEastAsia" w:eastAsiaTheme="minorEastAsia" w:cstheme="minorEastAsia"/>
          <w:b/>
          <w:bCs/>
          <w:color w:val="auto"/>
          <w:kern w:val="0"/>
          <w:sz w:val="21"/>
          <w:szCs w:val="21"/>
          <w:highlight w:val="none"/>
          <w:lang w:val="en-US" w:eastAsia="zh-CN" w:bidi="ar-SA"/>
        </w:rPr>
        <w:t>磋商小组根据综合评分情况</w:t>
      </w:r>
      <w:r>
        <w:rPr>
          <w:rFonts w:hint="eastAsia" w:asciiTheme="minorEastAsia" w:hAnsiTheme="minorEastAsia" w:eastAsiaTheme="minorEastAsia" w:cstheme="minorEastAsia"/>
          <w:color w:val="auto"/>
          <w:kern w:val="0"/>
          <w:sz w:val="21"/>
          <w:szCs w:val="21"/>
          <w:highlight w:val="none"/>
          <w:lang w:val="en-US" w:eastAsia="zh-CN" w:bidi="ar-SA"/>
        </w:rPr>
        <w:t>，按照评审得分由高到低顺序推荐3名成交候选供应商。评审得分相同的，按照最后报价由低到高的顺序推荐。评审得分且最后报价相同的，按照技术指标优劣顺序推荐。</w:t>
      </w:r>
    </w:p>
    <w:p w14:paraId="606D88BA">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3.</w:t>
      </w:r>
      <w:r>
        <w:rPr>
          <w:rFonts w:hint="eastAsia" w:asciiTheme="minorEastAsia" w:hAnsiTheme="minorEastAsia" w:eastAsiaTheme="minorEastAsia" w:cstheme="minorEastAsia"/>
          <w:b/>
          <w:color w:val="auto"/>
          <w:kern w:val="0"/>
          <w:sz w:val="21"/>
          <w:szCs w:val="21"/>
          <w:highlight w:val="none"/>
          <w:lang w:val="en-US" w:eastAsia="zh-CN"/>
        </w:rPr>
        <w:t>9</w:t>
      </w:r>
      <w:r>
        <w:rPr>
          <w:rFonts w:hint="eastAsia" w:asciiTheme="minorEastAsia" w:hAnsiTheme="minorEastAsia" w:eastAsiaTheme="minorEastAsia" w:cstheme="minorEastAsia"/>
          <w:b/>
          <w:color w:val="auto"/>
          <w:kern w:val="0"/>
          <w:sz w:val="21"/>
          <w:szCs w:val="21"/>
          <w:highlight w:val="none"/>
        </w:rPr>
        <w:t>编写评标报告。</w:t>
      </w:r>
      <w:r>
        <w:rPr>
          <w:rFonts w:hint="eastAsia" w:asciiTheme="minorEastAsia" w:hAnsiTheme="minorEastAsia" w:eastAsiaTheme="minorEastAsia" w:cstheme="minorEastAsia"/>
          <w:color w:val="auto"/>
          <w:kern w:val="0"/>
          <w:sz w:val="21"/>
          <w:szCs w:val="21"/>
          <w:highlight w:val="none"/>
          <w:lang w:val="en-US" w:eastAsia="zh-CN" w:bidi="ar-SA"/>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E44FD32">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四、评标中的其他事项</w:t>
      </w:r>
    </w:p>
    <w:p w14:paraId="4FE9C5CC">
      <w:pPr>
        <w:pStyle w:val="51"/>
        <w:keepNext w:val="0"/>
        <w:keepLines w:val="0"/>
        <w:pageBreakBefore w:val="0"/>
        <w:kinsoku/>
        <w:wordWrap/>
        <w:overflowPunct/>
        <w:topLinePunct w:val="0"/>
        <w:autoSpaceDE/>
        <w:autoSpaceDN/>
        <w:bidi w:val="0"/>
        <w:spacing w:before="0"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4.1</w:t>
      </w:r>
      <w:r>
        <w:rPr>
          <w:rFonts w:hint="eastAsia" w:asciiTheme="minorEastAsia" w:hAnsiTheme="minorEastAsia" w:eastAsiaTheme="minorEastAsia" w:cstheme="minorEastAsia"/>
          <w:b/>
          <w:color w:val="auto"/>
          <w:kern w:val="0"/>
          <w:sz w:val="21"/>
          <w:szCs w:val="21"/>
          <w:highlight w:val="none"/>
          <w:lang w:eastAsia="zh-CN"/>
        </w:rPr>
        <w:t>响应</w:t>
      </w:r>
      <w:r>
        <w:rPr>
          <w:rFonts w:hint="eastAsia" w:asciiTheme="minorEastAsia" w:hAnsiTheme="minorEastAsia" w:eastAsiaTheme="minorEastAsia" w:cstheme="minorEastAsia"/>
          <w:b/>
          <w:color w:val="auto"/>
          <w:kern w:val="0"/>
          <w:sz w:val="21"/>
          <w:szCs w:val="21"/>
          <w:highlight w:val="none"/>
        </w:rPr>
        <w:t>澄清、说明或者补正。</w:t>
      </w:r>
      <w:r>
        <w:rPr>
          <w:rFonts w:hint="eastAsia" w:asciiTheme="minorEastAsia" w:hAnsiTheme="minorEastAsia" w:eastAsiaTheme="minorEastAsia" w:cstheme="minorEastAsia"/>
          <w:color w:val="auto"/>
          <w:kern w:val="0"/>
          <w:sz w:val="21"/>
          <w:szCs w:val="21"/>
          <w:highlight w:val="none"/>
        </w:rPr>
        <w:t>对于</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文件中含义不明确、同类问题表述不一致或者有明显文字和计算错误的内容需要</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作出必要的澄清、说明或者补正的，</w:t>
      </w:r>
      <w:r>
        <w:rPr>
          <w:rFonts w:hint="eastAsia" w:asciiTheme="minorEastAsia" w:hAnsiTheme="minorEastAsia" w:eastAsiaTheme="minorEastAsia" w:cstheme="minorEastAsia"/>
          <w:color w:val="auto"/>
          <w:kern w:val="0"/>
          <w:sz w:val="21"/>
          <w:szCs w:val="21"/>
          <w:highlight w:val="none"/>
          <w:lang w:eastAsia="zh-CN"/>
        </w:rPr>
        <w:t>磋商小组</w:t>
      </w:r>
      <w:r>
        <w:rPr>
          <w:rFonts w:hint="eastAsia" w:asciiTheme="minorEastAsia" w:hAnsiTheme="minorEastAsia" w:eastAsiaTheme="minorEastAsia" w:cstheme="minorEastAsia"/>
          <w:color w:val="auto"/>
          <w:kern w:val="0"/>
          <w:sz w:val="21"/>
          <w:szCs w:val="21"/>
          <w:highlight w:val="none"/>
        </w:rPr>
        <w:t>和</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通过电子交易平台交换数据电文，</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提交使用电子签名的相关数据电文或通过平台上传加盖公章的扫描件。给予</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提交澄清、说明或补正的时间不得少于半小时，</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已经明确表示澄清说明或补正完毕的除外。</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的澄清、说明或者补正不得超出</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文件的范围或者改变</w:t>
      </w:r>
      <w:r>
        <w:rPr>
          <w:rFonts w:hint="eastAsia" w:asciiTheme="minorEastAsia" w:hAnsiTheme="minorEastAsia" w:eastAsiaTheme="minorEastAsia" w:cstheme="minorEastAsia"/>
          <w:color w:val="auto"/>
          <w:kern w:val="0"/>
          <w:sz w:val="21"/>
          <w:szCs w:val="21"/>
          <w:highlight w:val="none"/>
          <w:lang w:eastAsia="zh-CN"/>
        </w:rPr>
        <w:t>响应</w:t>
      </w:r>
      <w:r>
        <w:rPr>
          <w:rFonts w:hint="eastAsia" w:asciiTheme="minorEastAsia" w:hAnsiTheme="minorEastAsia" w:eastAsiaTheme="minorEastAsia" w:cstheme="minorEastAsia"/>
          <w:color w:val="auto"/>
          <w:kern w:val="0"/>
          <w:sz w:val="21"/>
          <w:szCs w:val="21"/>
          <w:highlight w:val="none"/>
        </w:rPr>
        <w:t>文件的实质性内容。</w:t>
      </w:r>
    </w:p>
    <w:p w14:paraId="5F9F54B4">
      <w:pPr>
        <w:pStyle w:val="11"/>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4.2</w:t>
      </w:r>
      <w:r>
        <w:rPr>
          <w:rFonts w:hint="eastAsia" w:asciiTheme="minorEastAsia" w:hAnsiTheme="minorEastAsia" w:eastAsiaTheme="minorEastAsia" w:cstheme="minorEastAsia"/>
          <w:b/>
          <w:color w:val="auto"/>
          <w:kern w:val="0"/>
          <w:sz w:val="21"/>
          <w:szCs w:val="21"/>
          <w:highlight w:val="none"/>
          <w:lang w:eastAsia="zh-CN"/>
        </w:rPr>
        <w:t>响应</w:t>
      </w:r>
      <w:r>
        <w:rPr>
          <w:rFonts w:hint="eastAsia" w:asciiTheme="minorEastAsia" w:hAnsiTheme="minorEastAsia" w:eastAsiaTheme="minorEastAsia" w:cstheme="minorEastAsia"/>
          <w:b/>
          <w:color w:val="auto"/>
          <w:kern w:val="0"/>
          <w:sz w:val="21"/>
          <w:szCs w:val="21"/>
          <w:highlight w:val="none"/>
        </w:rPr>
        <w:t>无效</w:t>
      </w:r>
      <w:r>
        <w:rPr>
          <w:rFonts w:hint="eastAsia" w:asciiTheme="minorEastAsia" w:hAnsiTheme="minorEastAsia" w:eastAsiaTheme="minorEastAsia" w:cstheme="minorEastAsia"/>
          <w:b/>
          <w:color w:val="auto"/>
          <w:kern w:val="0"/>
          <w:sz w:val="21"/>
          <w:szCs w:val="21"/>
          <w:highlight w:val="none"/>
          <w:lang w:val="en-US" w:eastAsia="zh-CN"/>
        </w:rPr>
        <w:t>的情形</w:t>
      </w:r>
      <w:r>
        <w:rPr>
          <w:rFonts w:hint="eastAsia" w:asciiTheme="minorEastAsia" w:hAnsiTheme="minorEastAsia" w:eastAsiaTheme="minorEastAsia" w:cstheme="minorEastAsia"/>
          <w:b/>
          <w:color w:val="auto"/>
          <w:kern w:val="0"/>
          <w:sz w:val="21"/>
          <w:szCs w:val="21"/>
          <w:highlight w:val="none"/>
        </w:rPr>
        <w:t>。</w:t>
      </w:r>
    </w:p>
    <w:p w14:paraId="090FA3D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4.2.1 没有响应</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文件实质性要求的响应将被视为无效响应。</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不得通过修正或撤销不合要求的偏离或保留从而使其磋商响应成为实质上响应的磋商，但经磋商小组认定属于</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疏忽、笔误所造成的差错，可允许其在评标结束之前进行修改或者补正（可以是复印件、传真件等，原件必须加盖单位公章）。修改或者补正响应文件必须以书面形式进行，并应在成交结果公告之前查核原件。限期内不补正或经补正后仍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文件要求的，应认定其响应无效。</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修改、补正响应文件后，不影响磋商小组对其响应文件所作的评价和评分结果。</w:t>
      </w:r>
    </w:p>
    <w:p w14:paraId="1FD7E99C">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 在电子开评标时，如发现下列情形之一的，将被视为无效响应文件：</w:t>
      </w:r>
    </w:p>
    <w:p w14:paraId="280A4C0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4.2.2.1电子投标文件解密失败的；</w:t>
      </w:r>
    </w:p>
    <w:p w14:paraId="2C39544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4.2.2.2响应文件未按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文件要求加密、签字、盖章的；</w:t>
      </w:r>
    </w:p>
    <w:p w14:paraId="4A2940D2">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 在资格审查、符合性审查和商务评审时，如发现下列情形之一的，将被视为无效响应文件：</w:t>
      </w:r>
    </w:p>
    <w:p w14:paraId="7D0292A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4.2.3.1 资格证明文件不全的或者不符合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文件标明的资格要求的；</w:t>
      </w:r>
    </w:p>
    <w:p w14:paraId="5908F47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4.2.3.2 响应文件未按</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文件要求签署、盖章的；</w:t>
      </w:r>
    </w:p>
    <w:p w14:paraId="2D284885">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4.2.3.3 响应代表人未能出具身份证明或身份证明与法定代表授权委托书不符的。</w:t>
      </w:r>
    </w:p>
    <w:p w14:paraId="5E850A5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4.2.3.4 响应文件格式不规范、项目不齐全或者内容虚假的；</w:t>
      </w:r>
    </w:p>
    <w:p w14:paraId="56959581">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4.2.3.5 响应文件的实质性内容未使用中文表述、意思表述不明确、前后矛盾或者使用计量单位不符合</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文件要求的（经磋商小组认定并允许其当场更正的笔误除外）；</w:t>
      </w:r>
    </w:p>
    <w:p w14:paraId="3092430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4.2.3.6 响应有效期、交货时间、质保期等商务条款不能满足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文件要求的；</w:t>
      </w:r>
    </w:p>
    <w:p w14:paraId="0CB6EA9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4.2.3.7 带“▲”的条款不能满足</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文件要求、未实质性响应</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kern w:val="0"/>
          <w:sz w:val="21"/>
          <w:szCs w:val="21"/>
          <w:highlight w:val="none"/>
          <w:lang w:val="en-US" w:eastAsia="zh-CN" w:bidi="ar-SA"/>
        </w:rPr>
        <w:t>文件要求或者响应文件有采购人不能接受的附加条件的；</w:t>
      </w:r>
    </w:p>
    <w:p w14:paraId="4593A2CB">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4.2.3.8 单位负责人为同一人或者存在直接控股、管理关系的不同供应商参加同一合同项下的政府采购活动的；</w:t>
      </w:r>
    </w:p>
    <w:p w14:paraId="27FE5A73">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4.2.3.9 为采购项目提供整体设计、规范编制或者项目管理、监理、检测等服务的供应商参加该采购项目的其他采购活动的；</w:t>
      </w:r>
    </w:p>
    <w:p w14:paraId="37B8DD4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4.2.3.10 商务技术文件中出现本项目磋商报价或单价的。</w:t>
      </w:r>
    </w:p>
    <w:p w14:paraId="2729175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4.3.在技术评审时，如发现下列情形之一的，将被视为无效响应文件：</w:t>
      </w:r>
    </w:p>
    <w:p w14:paraId="4998EA7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4.3.1未提供或未如实提供磋商货物的技术参数，或者响应文件标明的响应或偏离与事实不符或虚假响应的；</w:t>
      </w:r>
    </w:p>
    <w:p w14:paraId="28C8FCF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4.3.2 明显不符合竞争性磋商文件要求的规格型号、质量标准，或者与竞争性磋商文件中标“▲”的技术指标、主要功能项目发生实质性偏离的；</w:t>
      </w:r>
    </w:p>
    <w:p w14:paraId="369B8B3D">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4.3.3 允许偏离的技术、性能指标或辅助功能项目发生负偏离达/项（含）以上的；</w:t>
      </w:r>
    </w:p>
    <w:p w14:paraId="6CD7C7C4">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4.3.4 技术方案不明确，存在一个或一个以上备选（替代）技术方案的；</w:t>
      </w:r>
    </w:p>
    <w:p w14:paraId="06B0EB7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4.3.5 与其他参加本次磋商</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的响应文件（技术文件）的文字表述内容差错相同2处以上的；</w:t>
      </w:r>
    </w:p>
    <w:p w14:paraId="417BF3C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4.3.6 采购人拟采购的产品属于政府强制采购的节能产品品目清单范围的，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未按竞争性磋商文件要求提供国家确定的认证机构出具的、处于有效期之内的节能产品认证证书的。</w:t>
      </w:r>
    </w:p>
    <w:p w14:paraId="0F1E041F">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 在报价评审时，如发现下列情形之一的，响应文件将被视为无效：</w:t>
      </w:r>
    </w:p>
    <w:p w14:paraId="678DDAF0">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4.4.1 未采用人民币报价或者未按照竞争性磋商文件标明的币种报价的；</w:t>
      </w:r>
    </w:p>
    <w:p w14:paraId="217D6B2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4.4.2 报价超出最高综合折扣的；</w:t>
      </w:r>
    </w:p>
    <w:p w14:paraId="626E57C8">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4.4.3 磋商报价具有选择性的；</w:t>
      </w:r>
    </w:p>
    <w:p w14:paraId="4443C5F6">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4.4.4 磋商报价中出现缺项、漏项或被磋商小组认定为有可能影响产品质量或者不能诚信履约的且不能在合理的时间内证明其报价合理性的；</w:t>
      </w:r>
    </w:p>
    <w:p w14:paraId="02549B79">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4.4.5供应商对根据修正原则修正后的报价不确认的。</w:t>
      </w:r>
    </w:p>
    <w:p w14:paraId="15D9C62C">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4.5其他无效情形：</w:t>
      </w:r>
    </w:p>
    <w:p w14:paraId="6D3E97CE">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4.5.1 不同</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lang w:val="en-US" w:eastAsia="zh-CN" w:bidi="ar-SA"/>
        </w:rPr>
        <w:t>的响应文件出自同一终端设备或在相同Internet主机分配地址（相同IP地址）进行网上报名、磋商的；</w:t>
      </w:r>
    </w:p>
    <w:p w14:paraId="3027EFD6">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 xml:space="preserve">4.5.2 </w:t>
      </w:r>
      <w:r>
        <w:rPr>
          <w:rFonts w:hint="eastAsia" w:asciiTheme="minorEastAsia" w:hAnsiTheme="minorEastAsia" w:eastAsiaTheme="minorEastAsia" w:cstheme="minorEastAsia"/>
          <w:color w:val="auto"/>
          <w:kern w:val="0"/>
          <w:sz w:val="21"/>
          <w:szCs w:val="21"/>
          <w:highlight w:val="none"/>
        </w:rPr>
        <w:t>法律、法规、规章（适用本市的）及省级以上规范性文件（适用本市的）规定的其他无效情形。</w:t>
      </w:r>
    </w:p>
    <w:p w14:paraId="10FAFE09">
      <w:pPr>
        <w:keepNext w:val="0"/>
        <w:keepLines w:val="0"/>
        <w:pageBreakBefore w:val="0"/>
        <w:kinsoku/>
        <w:wordWrap/>
        <w:overflowPunct/>
        <w:topLinePunct w:val="0"/>
        <w:autoSpaceDE/>
        <w:autoSpaceDN/>
        <w:bidi w:val="0"/>
        <w:spacing w:line="360" w:lineRule="auto"/>
        <w:ind w:left="0" w:leftChars="0" w:firstLine="422"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2"/>
          <w:sz w:val="21"/>
          <w:szCs w:val="21"/>
          <w:highlight w:val="none"/>
          <w:lang w:val="en-US" w:eastAsia="zh-CN" w:bidi="ar-SA"/>
        </w:rPr>
        <w:t>5.采购终止的情形。</w:t>
      </w:r>
      <w:r>
        <w:rPr>
          <w:rFonts w:hint="eastAsia" w:asciiTheme="minorEastAsia" w:hAnsiTheme="minorEastAsia" w:eastAsiaTheme="minorEastAsia" w:cstheme="minorEastAsia"/>
          <w:color w:val="auto"/>
          <w:kern w:val="0"/>
          <w:sz w:val="21"/>
          <w:szCs w:val="21"/>
          <w:highlight w:val="none"/>
        </w:rPr>
        <w:t>在本项目磋商采购中，出现下列情形之一的，应当终止竞争性磋商采购活动，发布项目终止公告并说明原因，重新开展采购活动：</w:t>
      </w:r>
    </w:p>
    <w:p w14:paraId="291A7FCB">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5.1因情况变化，不再符合规定的竞争性磋商采购方式适用情形的；</w:t>
      </w:r>
    </w:p>
    <w:p w14:paraId="31F4C267">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5.2出现影响采购公正的违法、违规行为的；</w:t>
      </w:r>
    </w:p>
    <w:p w14:paraId="5EE2C215">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50F1BA63">
      <w:pPr>
        <w:keepNext w:val="0"/>
        <w:keepLines w:val="0"/>
        <w:pageBreakBefore w:val="0"/>
        <w:kinsoku/>
        <w:wordWrap/>
        <w:overflowPunct/>
        <w:topLinePunct w:val="0"/>
        <w:autoSpaceDE/>
        <w:autoSpaceDN/>
        <w:bidi w:val="0"/>
        <w:spacing w:line="360" w:lineRule="auto"/>
        <w:ind w:left="0" w:leftChars="0"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5.4电子交易平台无法正常运行，无法保证电子交易的公平、公正和安全的情况。</w:t>
      </w:r>
    </w:p>
    <w:p w14:paraId="66CC6479">
      <w:pPr>
        <w:pStyle w:val="11"/>
        <w:keepNext w:val="0"/>
        <w:keepLines w:val="0"/>
        <w:pageBreakBefore w:val="0"/>
        <w:kinsoku/>
        <w:wordWrap/>
        <w:overflowPunct/>
        <w:topLinePunct w:val="0"/>
        <w:autoSpaceDE/>
        <w:autoSpaceDN/>
        <w:bidi w:val="0"/>
        <w:snapToGrid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sz w:val="21"/>
          <w:szCs w:val="21"/>
          <w:highlight w:val="none"/>
        </w:rPr>
        <w:t>6.修改</w:t>
      </w:r>
      <w:r>
        <w:rPr>
          <w:rFonts w:hint="eastAsia" w:asciiTheme="minorEastAsia" w:hAnsiTheme="minorEastAsia" w:eastAsiaTheme="minorEastAsia" w:cstheme="minorEastAsia"/>
          <w:b/>
          <w:color w:val="auto"/>
          <w:sz w:val="21"/>
          <w:szCs w:val="21"/>
          <w:highlight w:val="none"/>
          <w:lang w:eastAsia="zh-CN"/>
        </w:rPr>
        <w:t>竞争性磋商</w:t>
      </w:r>
      <w:r>
        <w:rPr>
          <w:rFonts w:hint="eastAsia" w:asciiTheme="minorEastAsia" w:hAnsiTheme="minorEastAsia" w:eastAsiaTheme="minorEastAsia" w:cstheme="minorEastAsia"/>
          <w:b/>
          <w:color w:val="auto"/>
          <w:sz w:val="21"/>
          <w:szCs w:val="21"/>
          <w:highlight w:val="none"/>
        </w:rPr>
        <w:t>文件，重新组织采购活动。</w:t>
      </w:r>
      <w:r>
        <w:rPr>
          <w:rFonts w:hint="eastAsia" w:asciiTheme="minorEastAsia" w:hAnsiTheme="minorEastAsia" w:eastAsiaTheme="minorEastAsia" w:cstheme="minorEastAsia"/>
          <w:color w:val="auto"/>
          <w:sz w:val="21"/>
          <w:szCs w:val="21"/>
          <w:highlight w:val="none"/>
          <w:lang w:eastAsia="zh-CN"/>
        </w:rPr>
        <w:t>磋商小组</w:t>
      </w:r>
      <w:r>
        <w:rPr>
          <w:rFonts w:hint="eastAsia" w:asciiTheme="minorEastAsia" w:hAnsiTheme="minorEastAsia" w:eastAsiaTheme="minorEastAsia" w:cstheme="minorEastAsia"/>
          <w:color w:val="auto"/>
          <w:sz w:val="21"/>
          <w:szCs w:val="21"/>
          <w:highlight w:val="none"/>
        </w:rPr>
        <w:t>发现</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文件存在歧义、重大缺陷导致评标工作无法进行，或者</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文件内容违反国家有关强制性规定的，将停止评标工作，并与采购人、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沟通并作书面记录。采购人、</w:t>
      </w:r>
      <w:r>
        <w:rPr>
          <w:rFonts w:hint="eastAsia" w:asciiTheme="minorEastAsia" w:hAnsiTheme="minorEastAsia" w:eastAsiaTheme="minorEastAsia" w:cstheme="minorEastAsia"/>
          <w:color w:val="auto"/>
          <w:sz w:val="21"/>
          <w:szCs w:val="21"/>
          <w:highlight w:val="none"/>
          <w:lang w:eastAsia="zh-CN"/>
        </w:rPr>
        <w:t>采购代理机构</w:t>
      </w:r>
      <w:r>
        <w:rPr>
          <w:rFonts w:hint="eastAsia" w:asciiTheme="minorEastAsia" w:hAnsiTheme="minorEastAsia" w:eastAsiaTheme="minorEastAsia" w:cstheme="minorEastAsia"/>
          <w:color w:val="auto"/>
          <w:sz w:val="21"/>
          <w:szCs w:val="21"/>
          <w:highlight w:val="none"/>
        </w:rPr>
        <w:t>确认后，将修改</w:t>
      </w:r>
      <w:r>
        <w:rPr>
          <w:rFonts w:hint="eastAsia" w:asciiTheme="minorEastAsia" w:hAnsiTheme="minorEastAsia" w:eastAsiaTheme="minorEastAsia" w:cstheme="minorEastAsia"/>
          <w:color w:val="auto"/>
          <w:sz w:val="21"/>
          <w:szCs w:val="21"/>
          <w:highlight w:val="none"/>
          <w:lang w:eastAsia="zh-CN"/>
        </w:rPr>
        <w:t>竞争性磋商</w:t>
      </w:r>
      <w:r>
        <w:rPr>
          <w:rFonts w:hint="eastAsia" w:asciiTheme="minorEastAsia" w:hAnsiTheme="minorEastAsia" w:eastAsiaTheme="minorEastAsia" w:cstheme="minorEastAsia"/>
          <w:color w:val="auto"/>
          <w:sz w:val="21"/>
          <w:szCs w:val="21"/>
          <w:highlight w:val="none"/>
        </w:rPr>
        <w:t>文件，重新组织采购活动。</w:t>
      </w:r>
    </w:p>
    <w:p w14:paraId="4A54472A">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7.重新开展采购。</w:t>
      </w:r>
      <w:r>
        <w:rPr>
          <w:rFonts w:hint="eastAsia" w:asciiTheme="minorEastAsia" w:hAnsiTheme="minorEastAsia" w:eastAsiaTheme="minorEastAsia" w:cstheme="minorEastAsia"/>
          <w:color w:val="auto"/>
          <w:sz w:val="21"/>
          <w:szCs w:val="21"/>
          <w:highlight w:val="none"/>
        </w:rPr>
        <w:t>有政府采购法第七十一条、第七十二条规定的违法行为之一，影响或者可能影响中标、成交结果的，依照下列规定处理：</w:t>
      </w:r>
    </w:p>
    <w:p w14:paraId="5DB89F21">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7.1未确定</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人的，终止本次政府采购活动，重新开展政府采购活动。</w:t>
      </w:r>
    </w:p>
    <w:p w14:paraId="69599C24">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7.2已确定</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人但尚未签订政府采购合同的，</w:t>
      </w:r>
      <w:r>
        <w:rPr>
          <w:rFonts w:hint="eastAsia" w:asciiTheme="minorEastAsia" w:hAnsiTheme="minorEastAsia" w:eastAsiaTheme="minorEastAsia" w:cstheme="minorEastAsia"/>
          <w:color w:val="auto"/>
          <w:sz w:val="21"/>
          <w:szCs w:val="21"/>
          <w:highlight w:val="none"/>
          <w:lang w:eastAsia="zh-CN"/>
        </w:rPr>
        <w:t>成交</w:t>
      </w:r>
      <w:r>
        <w:rPr>
          <w:rFonts w:hint="eastAsia" w:asciiTheme="minorEastAsia" w:hAnsiTheme="minorEastAsia" w:eastAsiaTheme="minorEastAsia" w:cstheme="minorEastAsia"/>
          <w:color w:val="auto"/>
          <w:sz w:val="21"/>
          <w:szCs w:val="21"/>
          <w:highlight w:val="none"/>
        </w:rPr>
        <w:t>或者成交结果无效，重新开展政府采购活动。</w:t>
      </w:r>
    </w:p>
    <w:p w14:paraId="580CCABB">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7.3政府采购合同已签订但尚未履行的，撤销合同，重新开展政府采购活动。</w:t>
      </w:r>
    </w:p>
    <w:p w14:paraId="7E94A78B">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7.4政府采购合同已经履行，给采购人、供应商造成损失的，由责任人承担赔偿责任。</w:t>
      </w:r>
    </w:p>
    <w:p w14:paraId="74A4AA9A">
      <w:pPr>
        <w:pStyle w:val="11"/>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21"/>
          <w:szCs w:val="21"/>
          <w:highlight w:val="none"/>
        </w:rPr>
        <w:t>7.5政府采购当事人有其他违反政府采购法</w:t>
      </w:r>
      <w:r>
        <w:rPr>
          <w:rFonts w:hint="eastAsia" w:asciiTheme="minorEastAsia" w:hAnsiTheme="minorEastAsia" w:eastAsiaTheme="minorEastAsia" w:cstheme="minorEastAsia"/>
          <w:color w:val="auto"/>
          <w:kern w:val="0"/>
          <w:sz w:val="21"/>
          <w:szCs w:val="21"/>
          <w:highlight w:val="none"/>
        </w:rPr>
        <w:t>或者政府采购法实施条例等法律法规规定</w:t>
      </w:r>
      <w:r>
        <w:rPr>
          <w:rFonts w:hint="eastAsia" w:asciiTheme="minorEastAsia" w:hAnsiTheme="minorEastAsia" w:eastAsiaTheme="minorEastAsia" w:cstheme="minorEastAsia"/>
          <w:color w:val="auto"/>
          <w:sz w:val="21"/>
          <w:szCs w:val="21"/>
          <w:highlight w:val="none"/>
        </w:rPr>
        <w:t>的行为，经改正后仍然影响或者可能影响中标、成交结果或者依法被认定为中标、成交无效的，依照7.1-7.4规定处理。</w:t>
      </w:r>
    </w:p>
    <w:p w14:paraId="65BCECD0">
      <w:pPr>
        <w:pStyle w:val="11"/>
        <w:numPr>
          <w:ilvl w:val="0"/>
          <w:numId w:val="5"/>
        </w:numPr>
        <w:adjustRightInd w:val="0"/>
        <w:snapToGrid w:val="0"/>
        <w:spacing w:line="360" w:lineRule="auto"/>
        <w:ind w:firstLine="0" w:firstLineChars="0"/>
        <w:jc w:val="center"/>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r>
        <w:rPr>
          <w:rFonts w:asciiTheme="minorEastAsia" w:hAnsiTheme="minorEastAsia" w:eastAsiaTheme="minorEastAsia" w:cstheme="minorEastAsia"/>
          <w:b/>
          <w:color w:val="auto"/>
          <w:sz w:val="36"/>
          <w:szCs w:val="36"/>
          <w:highlight w:val="none"/>
        </w:rPr>
        <w:t xml:space="preserve"> </w:t>
      </w:r>
      <w:r>
        <w:rPr>
          <w:rFonts w:hint="eastAsia" w:asciiTheme="minorEastAsia" w:hAnsiTheme="minorEastAsia" w:eastAsiaTheme="minorEastAsia" w:cstheme="minorEastAsia"/>
          <w:b/>
          <w:color w:val="auto"/>
          <w:sz w:val="36"/>
          <w:szCs w:val="36"/>
          <w:highlight w:val="none"/>
        </w:rPr>
        <w:t>合同文本（</w:t>
      </w:r>
      <w:r>
        <w:rPr>
          <w:rFonts w:hint="eastAsia" w:asciiTheme="minorEastAsia" w:hAnsiTheme="minorEastAsia" w:eastAsiaTheme="minorEastAsia" w:cstheme="minorEastAsia"/>
          <w:b/>
          <w:color w:val="auto"/>
          <w:sz w:val="36"/>
          <w:szCs w:val="36"/>
          <w:highlight w:val="none"/>
          <w:lang w:val="en-US" w:eastAsia="zh-CN"/>
        </w:rPr>
        <w:t>工程类</w:t>
      </w:r>
      <w:r>
        <w:rPr>
          <w:rFonts w:hint="eastAsia" w:asciiTheme="minorEastAsia" w:hAnsiTheme="minorEastAsia" w:eastAsiaTheme="minorEastAsia" w:cstheme="minorEastAsia"/>
          <w:b/>
          <w:color w:val="auto"/>
          <w:sz w:val="36"/>
          <w:szCs w:val="36"/>
          <w:highlight w:val="none"/>
        </w:rPr>
        <w:t>）</w:t>
      </w:r>
    </w:p>
    <w:p w14:paraId="33EE0370">
      <w:pPr>
        <w:pStyle w:val="52"/>
        <w:ind w:left="0" w:leftChars="0" w:firstLine="0" w:firstLineChars="0"/>
        <w:rPr>
          <w:rFonts w:asciiTheme="minorEastAsia" w:hAnsiTheme="minorEastAsia" w:eastAsiaTheme="minorEastAsia" w:cstheme="minorEastAsia"/>
          <w:color w:val="auto"/>
          <w:szCs w:val="24"/>
          <w:highlight w:val="none"/>
        </w:rPr>
      </w:pPr>
    </w:p>
    <w:p w14:paraId="4BD9C090">
      <w:pPr>
        <w:pStyle w:val="52"/>
        <w:rPr>
          <w:rFonts w:asciiTheme="minorEastAsia" w:hAnsiTheme="minorEastAsia" w:eastAsiaTheme="minorEastAsia" w:cstheme="minorEastAsia"/>
          <w:color w:val="auto"/>
          <w:szCs w:val="24"/>
          <w:highlight w:val="none"/>
        </w:rPr>
      </w:pPr>
    </w:p>
    <w:p w14:paraId="1AD99B53">
      <w:pPr>
        <w:pStyle w:val="52"/>
        <w:ind w:left="0" w:leftChars="0" w:firstLine="0" w:firstLineChars="0"/>
        <w:rPr>
          <w:rFonts w:asciiTheme="minorEastAsia" w:hAnsiTheme="minorEastAsia" w:eastAsiaTheme="minorEastAsia" w:cstheme="minorEastAsia"/>
          <w:color w:val="auto"/>
          <w:szCs w:val="24"/>
          <w:highlight w:val="none"/>
        </w:rPr>
      </w:pPr>
    </w:p>
    <w:p w14:paraId="1E25A04F">
      <w:pPr>
        <w:spacing w:before="120" w:line="360" w:lineRule="auto"/>
        <w:rPr>
          <w:rFonts w:asciiTheme="minorEastAsia" w:hAnsiTheme="minorEastAsia" w:eastAsiaTheme="minorEastAsia" w:cstheme="minorEastAsia"/>
          <w:color w:val="auto"/>
          <w:sz w:val="24"/>
          <w:highlight w:val="none"/>
        </w:rPr>
      </w:pPr>
    </w:p>
    <w:p w14:paraId="65BD7989">
      <w:pPr>
        <w:spacing w:before="120" w:line="360" w:lineRule="auto"/>
        <w:ind w:left="960" w:firstLine="720" w:firstLineChars="300"/>
        <w:rPr>
          <w:rFonts w:hint="eastAsia" w:asciiTheme="minorEastAsia" w:hAnsiTheme="minorEastAsia" w:eastAsiaTheme="minorEastAsia" w:cstheme="minorEastAsia"/>
          <w:color w:val="auto"/>
          <w:sz w:val="24"/>
          <w:highlight w:val="none"/>
          <w:u w:val="single"/>
          <w:lang w:eastAsia="zh-CN"/>
        </w:rPr>
      </w:pPr>
      <w:r>
        <w:rPr>
          <w:rFonts w:hint="eastAsia" w:asciiTheme="minorEastAsia" w:hAnsiTheme="minorEastAsia" w:eastAsiaTheme="minorEastAsia" w:cstheme="minorEastAsia"/>
          <w:color w:val="auto"/>
          <w:sz w:val="24"/>
          <w:highlight w:val="none"/>
        </w:rPr>
        <w:t>项目名称：</w:t>
      </w:r>
      <w:r>
        <w:rPr>
          <w:rFonts w:hint="eastAsia" w:asciiTheme="minorEastAsia" w:hAnsiTheme="minorEastAsia" w:eastAsiaTheme="minorEastAsia" w:cstheme="minorEastAsia"/>
          <w:color w:val="auto"/>
          <w:sz w:val="24"/>
          <w:highlight w:val="none"/>
          <w:u w:val="single"/>
          <w:lang w:val="en-US" w:eastAsia="zh-CN"/>
        </w:rPr>
        <w:t xml:space="preserve">                                    </w:t>
      </w:r>
    </w:p>
    <w:p w14:paraId="55AF9591">
      <w:pPr>
        <w:pStyle w:val="44"/>
        <w:spacing w:before="120"/>
        <w:rPr>
          <w:rFonts w:asciiTheme="minorEastAsia" w:hAnsiTheme="minorEastAsia" w:eastAsiaTheme="minorEastAsia" w:cstheme="minorEastAsia"/>
          <w:color w:val="auto"/>
          <w:szCs w:val="24"/>
          <w:highlight w:val="none"/>
        </w:rPr>
      </w:pPr>
    </w:p>
    <w:p w14:paraId="1B7392CD">
      <w:pPr>
        <w:pStyle w:val="44"/>
        <w:spacing w:before="120"/>
        <w:rPr>
          <w:rFonts w:asciiTheme="minorEastAsia" w:hAnsiTheme="minorEastAsia" w:eastAsiaTheme="minorEastAsia" w:cstheme="minorEastAsia"/>
          <w:color w:val="auto"/>
          <w:szCs w:val="24"/>
          <w:highlight w:val="none"/>
        </w:rPr>
      </w:pPr>
    </w:p>
    <w:p w14:paraId="7E41ECF2">
      <w:pPr>
        <w:spacing w:line="360" w:lineRule="auto"/>
        <w:rPr>
          <w:rFonts w:asciiTheme="minorEastAsia" w:hAnsiTheme="minorEastAsia" w:eastAsiaTheme="minorEastAsia" w:cstheme="minorEastAsia"/>
          <w:color w:val="auto"/>
          <w:sz w:val="24"/>
          <w:highlight w:val="none"/>
        </w:rPr>
      </w:pPr>
    </w:p>
    <w:p w14:paraId="6CB5BD5E">
      <w:pPr>
        <w:spacing w:before="120" w:line="600" w:lineRule="auto"/>
        <w:ind w:left="960" w:firstLine="720" w:firstLineChars="300"/>
        <w:rPr>
          <w:rFonts w:hint="eastAsia" w:asciiTheme="minorEastAsia" w:hAnsiTheme="minorEastAsia" w:eastAsiaTheme="minorEastAsia" w:cstheme="minorEastAsia"/>
          <w:color w:val="auto"/>
          <w:sz w:val="24"/>
          <w:highlight w:val="none"/>
          <w:u w:val="single"/>
          <w:lang w:val="en-US" w:eastAsia="zh-CN"/>
        </w:rPr>
      </w:pPr>
      <w:r>
        <w:rPr>
          <w:rFonts w:hint="eastAsia" w:asciiTheme="minorEastAsia" w:hAnsiTheme="minorEastAsia" w:eastAsiaTheme="minorEastAsia" w:cstheme="minorEastAsia"/>
          <w:color w:val="auto"/>
          <w:sz w:val="24"/>
          <w:highlight w:val="none"/>
        </w:rPr>
        <w:t>甲方：</w:t>
      </w:r>
      <w:r>
        <w:rPr>
          <w:rFonts w:hint="eastAsia" w:asciiTheme="minorEastAsia" w:hAnsiTheme="minorEastAsia" w:eastAsiaTheme="minorEastAsia" w:cstheme="minorEastAsia"/>
          <w:color w:val="auto"/>
          <w:sz w:val="24"/>
          <w:highlight w:val="none"/>
          <w:u w:val="single"/>
          <w:lang w:val="en-US" w:eastAsia="zh-CN"/>
        </w:rPr>
        <w:t xml:space="preserve">                                   </w:t>
      </w:r>
    </w:p>
    <w:p w14:paraId="600075C9">
      <w:pPr>
        <w:spacing w:before="120" w:line="600" w:lineRule="auto"/>
        <w:ind w:left="960"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乙方：</w:t>
      </w:r>
      <w:r>
        <w:rPr>
          <w:rFonts w:hint="eastAsia" w:asciiTheme="minorEastAsia" w:hAnsiTheme="minorEastAsia" w:eastAsiaTheme="minorEastAsia" w:cstheme="minorEastAsia"/>
          <w:color w:val="auto"/>
          <w:sz w:val="24"/>
          <w:highlight w:val="none"/>
          <w:u w:val="single"/>
        </w:rPr>
        <w:t xml:space="preserve">                                       </w:t>
      </w:r>
    </w:p>
    <w:p w14:paraId="21508A78">
      <w:pP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签订地：</w:t>
      </w:r>
      <w:r>
        <w:rPr>
          <w:rFonts w:hint="eastAsia" w:asciiTheme="minorEastAsia" w:hAnsiTheme="minorEastAsia" w:eastAsiaTheme="minorEastAsia" w:cstheme="minorEastAsia"/>
          <w:color w:val="auto"/>
          <w:sz w:val="24"/>
          <w:highlight w:val="none"/>
          <w:u w:val="single"/>
        </w:rPr>
        <w:t xml:space="preserve">                                     </w:t>
      </w:r>
    </w:p>
    <w:p w14:paraId="088DDAEB">
      <w:pP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签订日期：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日</w:t>
      </w:r>
    </w:p>
    <w:p w14:paraId="5CAEAD56">
      <w:pPr>
        <w:spacing w:line="360" w:lineRule="auto"/>
        <w:jc w:val="center"/>
        <w:outlineLvl w:val="1"/>
        <w:rPr>
          <w:rFonts w:hint="eastAsia" w:ascii="宋体" w:hAnsi="宋体" w:cs="宋体"/>
          <w:color w:val="auto"/>
          <w:sz w:val="30"/>
          <w:szCs w:val="30"/>
          <w:highlight w:val="none"/>
        </w:rPr>
      </w:pPr>
      <w:r>
        <w:rPr>
          <w:rFonts w:hint="eastAsia" w:asciiTheme="minorEastAsia" w:hAnsiTheme="minorEastAsia" w:eastAsiaTheme="minorEastAsia" w:cstheme="minorEastAsia"/>
          <w:color w:val="auto"/>
          <w:sz w:val="24"/>
          <w:highlight w:val="none"/>
          <w:u w:val="single"/>
          <w:lang w:val="zh-CN"/>
        </w:rPr>
        <w:br w:type="page"/>
      </w:r>
      <w:r>
        <w:rPr>
          <w:rFonts w:hint="eastAsia" w:ascii="宋体" w:hAnsi="宋体" w:cs="宋体"/>
          <w:color w:val="auto"/>
          <w:sz w:val="30"/>
          <w:szCs w:val="30"/>
          <w:highlight w:val="none"/>
        </w:rPr>
        <w:t>第一部分  协 议 书</w:t>
      </w:r>
    </w:p>
    <w:p w14:paraId="50ABE6FF">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发包人（甲方）</w:t>
      </w:r>
      <w:r>
        <w:rPr>
          <w:rFonts w:hint="eastAsia" w:ascii="宋体" w:hAnsi="宋体" w:cs="宋体"/>
          <w:color w:val="auto"/>
          <w:sz w:val="21"/>
          <w:szCs w:val="21"/>
          <w:highlight w:val="none"/>
          <w:u w:val="none"/>
        </w:rPr>
        <w:t>：</w:t>
      </w:r>
      <w:r>
        <w:rPr>
          <w:rFonts w:hint="eastAsia" w:ascii="宋体" w:hAnsi="宋体" w:cs="宋体"/>
          <w:color w:val="auto"/>
          <w:sz w:val="21"/>
          <w:szCs w:val="21"/>
          <w:highlight w:val="none"/>
          <w:u w:val="single"/>
        </w:rPr>
        <w:t xml:space="preserve">宁波市奉化区惠海地下管线投资有限公司 </w:t>
      </w:r>
    </w:p>
    <w:p w14:paraId="18E53A83">
      <w:pPr>
        <w:spacing w:line="360" w:lineRule="auto"/>
        <w:rPr>
          <w:rFonts w:hint="default" w:ascii="宋体" w:hAnsi="宋体" w:eastAsia="宋体" w:cs="宋体"/>
          <w:color w:val="auto"/>
          <w:sz w:val="21"/>
          <w:szCs w:val="21"/>
          <w:highlight w:val="none"/>
          <w:u w:val="single"/>
          <w:lang w:val="en-US"/>
        </w:rPr>
      </w:pPr>
      <w:r>
        <w:rPr>
          <w:rFonts w:hint="eastAsia" w:ascii="宋体" w:hAnsi="宋体" w:cs="宋体"/>
          <w:color w:val="auto"/>
          <w:sz w:val="21"/>
          <w:szCs w:val="21"/>
          <w:highlight w:val="none"/>
        </w:rPr>
        <w:t>承包人（乙方）：</w:t>
      </w:r>
      <w:r>
        <w:rPr>
          <w:rFonts w:hint="eastAsia" w:ascii="宋体" w:hAnsi="宋体" w:eastAsia="宋体" w:cs="宋体"/>
          <w:color w:val="auto"/>
          <w:sz w:val="21"/>
          <w:szCs w:val="21"/>
          <w:highlight w:val="none"/>
          <w:u w:val="single"/>
          <w:lang w:val="en-US" w:eastAsia="zh-CN"/>
        </w:rPr>
        <w:t xml:space="preserve">                                    </w:t>
      </w:r>
    </w:p>
    <w:p w14:paraId="789AC076">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依照《中华人民共和国</w:t>
      </w:r>
      <w:r>
        <w:rPr>
          <w:rFonts w:hint="eastAsia" w:ascii="宋体" w:hAnsi="宋体" w:cs="宋体"/>
          <w:color w:val="auto"/>
          <w:sz w:val="21"/>
          <w:szCs w:val="21"/>
          <w:highlight w:val="none"/>
          <w:lang w:eastAsia="zh-CN"/>
        </w:rPr>
        <w:t>民法典</w:t>
      </w:r>
      <w:r>
        <w:rPr>
          <w:rFonts w:hint="eastAsia" w:ascii="宋体" w:hAnsi="宋体" w:cs="宋体"/>
          <w:color w:val="auto"/>
          <w:sz w:val="21"/>
          <w:szCs w:val="21"/>
          <w:highlight w:val="none"/>
        </w:rPr>
        <w:t>》、《中华人民共和国建筑法》及其他有关法律、行政法规、遵循平等、自愿、公平和诚实信用的原则，发包人和承包人本着平等互利的原则，根据</w:t>
      </w:r>
      <w:r>
        <w:rPr>
          <w:rFonts w:hint="eastAsia" w:ascii="宋体" w:hAnsi="宋体" w:cs="宋体"/>
          <w:color w:val="auto"/>
          <w:sz w:val="21"/>
          <w:szCs w:val="21"/>
          <w:highlight w:val="none"/>
          <w:lang w:val="en-US" w:eastAsia="zh-CN"/>
        </w:rPr>
        <w:t>交易须知</w:t>
      </w:r>
      <w:r>
        <w:rPr>
          <w:rFonts w:hint="eastAsia" w:ascii="宋体" w:hAnsi="宋体" w:cs="宋体"/>
          <w:color w:val="auto"/>
          <w:sz w:val="21"/>
          <w:szCs w:val="21"/>
          <w:highlight w:val="none"/>
        </w:rPr>
        <w:t>和</w:t>
      </w:r>
      <w:r>
        <w:rPr>
          <w:rFonts w:hint="eastAsia" w:ascii="宋体" w:hAnsi="宋体" w:cs="宋体"/>
          <w:color w:val="auto"/>
          <w:sz w:val="21"/>
          <w:szCs w:val="21"/>
          <w:highlight w:val="none"/>
          <w:lang w:eastAsia="zh-CN"/>
        </w:rPr>
        <w:t>成交确认书</w:t>
      </w:r>
      <w:r>
        <w:rPr>
          <w:rFonts w:hint="eastAsia" w:ascii="宋体" w:hAnsi="宋体" w:cs="宋体"/>
          <w:color w:val="auto"/>
          <w:sz w:val="21"/>
          <w:szCs w:val="21"/>
          <w:highlight w:val="none"/>
        </w:rPr>
        <w:t>，按下述条款和条件签署本合同。</w:t>
      </w:r>
    </w:p>
    <w:p w14:paraId="0B0B1E50">
      <w:pPr>
        <w:spacing w:line="360" w:lineRule="auto"/>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一、工程概况</w:t>
      </w:r>
    </w:p>
    <w:p w14:paraId="790A1150">
      <w:pPr>
        <w:spacing w:line="360" w:lineRule="auto"/>
        <w:ind w:firstLine="420" w:firstLineChars="200"/>
        <w:rPr>
          <w:rFonts w:hint="default" w:ascii="宋体" w:hAnsi="宋体" w:eastAsia="宋体" w:cs="Times New Roman"/>
          <w:color w:val="auto"/>
          <w:sz w:val="21"/>
          <w:szCs w:val="21"/>
          <w:highlight w:val="none"/>
          <w:u w:val="single"/>
          <w:lang w:val="en-US" w:eastAsia="zh-CN"/>
        </w:rPr>
      </w:pPr>
      <w:r>
        <w:rPr>
          <w:rFonts w:hint="eastAsia" w:ascii="宋体" w:hAnsi="宋体" w:cs="宋体"/>
          <w:color w:val="auto"/>
          <w:sz w:val="21"/>
          <w:szCs w:val="21"/>
          <w:highlight w:val="none"/>
        </w:rPr>
        <w:t>工程名称：</w:t>
      </w:r>
      <w:r>
        <w:rPr>
          <w:rFonts w:hint="eastAsia" w:ascii="宋体" w:hAnsi="宋体" w:eastAsia="宋体" w:cs="Times New Roman"/>
          <w:color w:val="auto"/>
          <w:sz w:val="21"/>
          <w:szCs w:val="21"/>
          <w:highlight w:val="none"/>
          <w:u w:val="single"/>
          <w:lang w:val="en-US" w:eastAsia="zh-CN"/>
        </w:rPr>
        <w:t>奉化区FH24-02-09a地块建设项目—通信基础设施和无线通信室内覆盖系统建设工程</w:t>
      </w:r>
    </w:p>
    <w:p w14:paraId="5B1FFAF3">
      <w:pPr>
        <w:spacing w:line="360" w:lineRule="auto"/>
        <w:ind w:left="1529" w:leftChars="228" w:hanging="1050" w:hangingChars="500"/>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rPr>
        <w:t>工程地点：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位于奉化区</w:t>
      </w:r>
      <w:r>
        <w:rPr>
          <w:rFonts w:hint="eastAsia" w:ascii="宋体" w:hAnsi="宋体" w:eastAsia="宋体" w:cs="宋体"/>
          <w:color w:val="auto"/>
          <w:sz w:val="21"/>
          <w:szCs w:val="21"/>
          <w:highlight w:val="none"/>
          <w:u w:val="single"/>
          <w:lang w:val="en-US" w:eastAsia="zh-CN"/>
        </w:rPr>
        <w:t xml:space="preserve"> </w:t>
      </w:r>
    </w:p>
    <w:p w14:paraId="381AB5F2">
      <w:pPr>
        <w:spacing w:line="360" w:lineRule="auto"/>
        <w:ind w:firstLine="420" w:firstLineChars="200"/>
        <w:rPr>
          <w:rFonts w:hint="eastAsia" w:ascii="宋体" w:hAnsi="宋体" w:cs="宋体"/>
          <w:color w:val="auto"/>
          <w:sz w:val="21"/>
          <w:szCs w:val="21"/>
          <w:highlight w:val="none"/>
          <w:u w:val="single"/>
          <w:lang w:val="en-US" w:eastAsia="zh-CN"/>
        </w:rPr>
      </w:pPr>
      <w:r>
        <w:rPr>
          <w:rFonts w:hint="eastAsia" w:ascii="宋体" w:hAnsi="宋体" w:cs="宋体"/>
          <w:color w:val="auto"/>
          <w:sz w:val="21"/>
          <w:szCs w:val="21"/>
          <w:highlight w:val="none"/>
          <w:u w:val="none"/>
          <w:lang w:eastAsia="zh-CN"/>
        </w:rPr>
        <w:t>工程内容：</w:t>
      </w:r>
      <w:r>
        <w:rPr>
          <w:rFonts w:hint="eastAsia" w:ascii="宋体" w:hAnsi="宋体" w:eastAsia="宋体" w:cs="Times New Roman"/>
          <w:color w:val="auto"/>
          <w:sz w:val="21"/>
          <w:szCs w:val="21"/>
          <w:highlight w:val="none"/>
          <w:u w:val="single"/>
          <w:lang w:eastAsia="zh-CN"/>
        </w:rPr>
        <w:t>详见图纸</w:t>
      </w:r>
    </w:p>
    <w:p w14:paraId="0B410A25">
      <w:pPr>
        <w:spacing w:line="360" w:lineRule="auto"/>
        <w:ind w:left="1739" w:leftChars="228" w:hanging="1260" w:hangingChars="600"/>
        <w:rPr>
          <w:rFonts w:hint="default"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工程立项批准文号：</w:t>
      </w:r>
      <w:r>
        <w:rPr>
          <w:rFonts w:hint="eastAsia" w:ascii="宋体" w:hAnsi="宋体" w:eastAsia="宋体" w:cs="Times New Roman"/>
          <w:color w:val="auto"/>
          <w:sz w:val="21"/>
          <w:szCs w:val="21"/>
          <w:highlight w:val="none"/>
          <w:u w:val="single"/>
          <w:lang w:val="en-US" w:eastAsia="zh-CN"/>
        </w:rPr>
        <w:t>项目代码：</w:t>
      </w:r>
      <w:r>
        <w:rPr>
          <w:rFonts w:hint="eastAsia" w:ascii="宋体" w:hAnsi="宋体" w:eastAsia="宋体" w:cs="宋体"/>
          <w:color w:val="auto"/>
          <w:sz w:val="21"/>
          <w:szCs w:val="21"/>
          <w:highlight w:val="none"/>
          <w:u w:val="single"/>
          <w:lang w:val="en-US" w:eastAsia="zh-CN"/>
        </w:rPr>
        <w:t>2307-330213-04-01-269404</w:t>
      </w:r>
    </w:p>
    <w:p w14:paraId="6D118E79">
      <w:pPr>
        <w:spacing w:line="360" w:lineRule="auto"/>
        <w:ind w:left="1739" w:leftChars="228" w:hanging="1260" w:hangingChars="600"/>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资金来源：</w:t>
      </w:r>
      <w:r>
        <w:rPr>
          <w:rFonts w:hint="eastAsia" w:ascii="宋体" w:hAnsi="宋体" w:cs="宋体"/>
          <w:color w:val="auto"/>
          <w:sz w:val="21"/>
          <w:szCs w:val="21"/>
          <w:highlight w:val="none"/>
          <w:u w:val="single"/>
          <w:lang w:val="en-US" w:eastAsia="zh-CN"/>
        </w:rPr>
        <w:t xml:space="preserve">  自筹   </w:t>
      </w:r>
    </w:p>
    <w:p w14:paraId="0EE18E55">
      <w:pPr>
        <w:spacing w:line="360" w:lineRule="auto"/>
        <w:ind w:left="551"/>
        <w:rPr>
          <w:rFonts w:hint="eastAsia" w:ascii="宋体" w:hAnsi="宋体" w:cs="宋体"/>
          <w:color w:val="auto"/>
          <w:sz w:val="21"/>
          <w:szCs w:val="21"/>
          <w:highlight w:val="none"/>
        </w:rPr>
      </w:pPr>
      <w:r>
        <w:rPr>
          <w:rFonts w:hint="eastAsia" w:ascii="宋体" w:hAnsi="宋体" w:cs="宋体"/>
          <w:color w:val="auto"/>
          <w:sz w:val="21"/>
          <w:szCs w:val="21"/>
          <w:highlight w:val="none"/>
        </w:rPr>
        <w:t>二、工程承包范围</w:t>
      </w:r>
    </w:p>
    <w:p w14:paraId="7FCB67C6">
      <w:pPr>
        <w:spacing w:line="360" w:lineRule="auto"/>
        <w:ind w:firstLine="420" w:firstLineChars="200"/>
        <w:rPr>
          <w:rFonts w:hint="default"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承包范围</w:t>
      </w:r>
      <w:r>
        <w:rPr>
          <w:rFonts w:hint="eastAsia" w:ascii="宋体" w:hAnsi="宋体" w:eastAsia="宋体" w:cs="宋体"/>
          <w:color w:val="auto"/>
          <w:sz w:val="21"/>
          <w:szCs w:val="21"/>
          <w:highlight w:val="none"/>
          <w:u w:val="none"/>
          <w:lang w:val="en-US" w:eastAsia="zh-CN"/>
        </w:rPr>
        <w:t>：</w:t>
      </w:r>
      <w:r>
        <w:rPr>
          <w:rFonts w:hint="eastAsia" w:ascii="宋体" w:hAnsi="宋体" w:eastAsia="宋体" w:cs="宋体"/>
          <w:color w:val="auto"/>
          <w:sz w:val="21"/>
          <w:szCs w:val="21"/>
          <w:highlight w:val="none"/>
          <w:u w:val="single"/>
          <w:lang w:val="en-US" w:eastAsia="zh-CN"/>
        </w:rPr>
        <w:t xml:space="preserve"> 施工图范围内的通信基础设施及无线通信室内覆盖系统工程</w:t>
      </w:r>
      <w:r>
        <w:rPr>
          <w:rFonts w:hint="eastAsia" w:ascii="宋体" w:hAnsi="宋体" w:cs="宋体"/>
          <w:color w:val="auto"/>
          <w:sz w:val="21"/>
          <w:szCs w:val="21"/>
          <w:highlight w:val="none"/>
          <w:u w:val="single"/>
          <w:lang w:val="en-US" w:eastAsia="zh-CN"/>
        </w:rPr>
        <w:t xml:space="preserve"> </w:t>
      </w:r>
    </w:p>
    <w:p w14:paraId="2D7E339C">
      <w:pPr>
        <w:pStyle w:val="66"/>
        <w:spacing w:line="360" w:lineRule="auto"/>
        <w:ind w:firstLine="420" w:firstLineChars="200"/>
        <w:rPr>
          <w:rFonts w:hint="eastAsia" w:cs="宋体"/>
          <w:color w:val="auto"/>
          <w:sz w:val="21"/>
          <w:szCs w:val="21"/>
          <w:highlight w:val="none"/>
        </w:rPr>
      </w:pPr>
      <w:r>
        <w:rPr>
          <w:rFonts w:hint="eastAsia" w:cs="宋体"/>
          <w:color w:val="auto"/>
          <w:sz w:val="21"/>
          <w:szCs w:val="21"/>
          <w:highlight w:val="none"/>
        </w:rPr>
        <w:t>三、合同工期</w:t>
      </w:r>
    </w:p>
    <w:p w14:paraId="65048B87">
      <w:pPr>
        <w:spacing w:line="360" w:lineRule="auto"/>
        <w:ind w:firstLine="403" w:firstLineChars="192"/>
        <w:rPr>
          <w:rFonts w:hint="eastAsia" w:ascii="宋体" w:hAnsi="宋体" w:cs="宋体"/>
          <w:color w:val="auto"/>
          <w:sz w:val="21"/>
          <w:szCs w:val="21"/>
          <w:highlight w:val="none"/>
        </w:rPr>
      </w:pPr>
      <w:r>
        <w:rPr>
          <w:rFonts w:hint="eastAsia" w:ascii="宋体" w:hAnsi="宋体" w:cs="宋体"/>
          <w:color w:val="auto"/>
          <w:sz w:val="21"/>
          <w:szCs w:val="21"/>
          <w:highlight w:val="none"/>
        </w:rPr>
        <w:t>计划开工日期：</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日(具体以监理开工</w:t>
      </w:r>
      <w:r>
        <w:rPr>
          <w:rFonts w:hint="eastAsia" w:ascii="宋体" w:hAnsi="宋体" w:cs="宋体"/>
          <w:color w:val="auto"/>
          <w:sz w:val="21"/>
          <w:szCs w:val="21"/>
          <w:highlight w:val="none"/>
          <w:lang w:eastAsia="zh-CN"/>
        </w:rPr>
        <w:t>令</w:t>
      </w:r>
      <w:r>
        <w:rPr>
          <w:rFonts w:hint="eastAsia" w:ascii="宋体" w:hAnsi="宋体" w:cs="宋体"/>
          <w:color w:val="auto"/>
          <w:sz w:val="21"/>
          <w:szCs w:val="21"/>
          <w:highlight w:val="none"/>
        </w:rPr>
        <w:t>为准)</w:t>
      </w:r>
    </w:p>
    <w:p w14:paraId="333F3CE3">
      <w:pPr>
        <w:spacing w:line="360" w:lineRule="auto"/>
        <w:ind w:firstLine="403" w:firstLineChars="192"/>
        <w:rPr>
          <w:rFonts w:hint="eastAsia" w:ascii="宋体" w:hAnsi="宋体" w:cs="宋体"/>
          <w:color w:val="auto"/>
          <w:sz w:val="21"/>
          <w:szCs w:val="21"/>
          <w:highlight w:val="none"/>
        </w:rPr>
      </w:pPr>
      <w:r>
        <w:rPr>
          <w:rFonts w:hint="eastAsia" w:ascii="宋体" w:hAnsi="宋体" w:cs="宋体"/>
          <w:color w:val="auto"/>
          <w:sz w:val="21"/>
          <w:szCs w:val="21"/>
          <w:highlight w:val="none"/>
        </w:rPr>
        <w:t>合同工期总日历天数：</w:t>
      </w:r>
      <w:r>
        <w:rPr>
          <w:rFonts w:hint="eastAsia" w:ascii="宋体" w:hAnsi="宋体" w:cs="宋体"/>
          <w:color w:val="auto"/>
          <w:sz w:val="21"/>
          <w:szCs w:val="21"/>
          <w:highlight w:val="none"/>
          <w:u w:val="single"/>
          <w:lang w:val="en-US" w:eastAsia="zh-CN"/>
        </w:rPr>
        <w:t>500</w:t>
      </w:r>
      <w:r>
        <w:rPr>
          <w:rFonts w:hint="eastAsia" w:ascii="宋体" w:hAnsi="宋体" w:cs="宋体"/>
          <w:color w:val="auto"/>
          <w:sz w:val="21"/>
          <w:szCs w:val="21"/>
          <w:highlight w:val="none"/>
          <w:u w:val="none"/>
          <w:lang w:eastAsia="zh-CN"/>
        </w:rPr>
        <w:t>日历</w:t>
      </w:r>
      <w:r>
        <w:rPr>
          <w:rFonts w:hint="eastAsia" w:ascii="宋体" w:hAnsi="宋体" w:cs="宋体"/>
          <w:color w:val="auto"/>
          <w:sz w:val="21"/>
          <w:szCs w:val="21"/>
          <w:highlight w:val="none"/>
        </w:rPr>
        <w:t>天。</w:t>
      </w:r>
    </w:p>
    <w:p w14:paraId="640439CF">
      <w:pPr>
        <w:spacing w:line="360" w:lineRule="auto"/>
        <w:ind w:firstLine="403" w:firstLineChars="192"/>
        <w:rPr>
          <w:rFonts w:hint="eastAsia" w:ascii="宋体" w:hAnsi="宋体" w:cs="宋体"/>
          <w:b/>
          <w:color w:val="auto"/>
          <w:sz w:val="21"/>
          <w:szCs w:val="21"/>
          <w:highlight w:val="none"/>
        </w:rPr>
      </w:pPr>
      <w:r>
        <w:rPr>
          <w:rFonts w:hint="eastAsia" w:ascii="宋体" w:hAnsi="宋体" w:cs="宋体"/>
          <w:color w:val="auto"/>
          <w:sz w:val="21"/>
          <w:szCs w:val="21"/>
          <w:highlight w:val="none"/>
        </w:rPr>
        <w:t>若实际开工日期由于甲方原因或不可抗力因素造成滞后,则以甲方正式批准的实际开工之日为准。</w:t>
      </w:r>
    </w:p>
    <w:p w14:paraId="7F94BDFC">
      <w:pPr>
        <w:spacing w:line="360" w:lineRule="auto"/>
        <w:ind w:firstLine="476" w:firstLineChars="227"/>
        <w:rPr>
          <w:rFonts w:hint="eastAsia" w:ascii="宋体" w:hAnsi="宋体" w:cs="宋体"/>
          <w:color w:val="auto"/>
          <w:sz w:val="21"/>
          <w:szCs w:val="21"/>
          <w:highlight w:val="none"/>
        </w:rPr>
      </w:pPr>
      <w:r>
        <w:rPr>
          <w:rFonts w:hint="eastAsia" w:ascii="宋体" w:hAnsi="宋体" w:cs="宋体"/>
          <w:color w:val="auto"/>
          <w:sz w:val="21"/>
          <w:szCs w:val="21"/>
          <w:highlight w:val="none"/>
        </w:rPr>
        <w:t>四、质量与安全要求</w:t>
      </w:r>
    </w:p>
    <w:p w14:paraId="593CBC61">
      <w:pPr>
        <w:spacing w:line="360" w:lineRule="auto"/>
        <w:ind w:firstLine="476" w:firstLineChars="227"/>
        <w:rPr>
          <w:rFonts w:hint="eastAsia" w:ascii="宋体" w:hAnsi="宋体" w:cs="宋体"/>
          <w:color w:val="auto"/>
          <w:sz w:val="21"/>
          <w:szCs w:val="21"/>
          <w:highlight w:val="none"/>
        </w:rPr>
      </w:pPr>
      <w:r>
        <w:rPr>
          <w:rFonts w:hint="eastAsia" w:ascii="宋体" w:hAnsi="宋体" w:cs="宋体"/>
          <w:color w:val="auto"/>
          <w:sz w:val="21"/>
          <w:szCs w:val="21"/>
          <w:highlight w:val="none"/>
        </w:rPr>
        <w:t>1、达到国家和行业施工验收规范一次性验收合格。</w:t>
      </w:r>
    </w:p>
    <w:p w14:paraId="4A14DB0D">
      <w:pPr>
        <w:spacing w:line="360" w:lineRule="auto"/>
        <w:ind w:firstLine="457" w:firstLineChars="218"/>
        <w:rPr>
          <w:rFonts w:hint="eastAsia" w:ascii="宋体" w:hAnsi="宋体" w:cs="宋体"/>
          <w:color w:val="auto"/>
          <w:sz w:val="21"/>
          <w:szCs w:val="21"/>
          <w:highlight w:val="none"/>
        </w:rPr>
      </w:pPr>
      <w:r>
        <w:rPr>
          <w:rFonts w:hint="eastAsia" w:ascii="宋体" w:hAnsi="宋体" w:cs="宋体"/>
          <w:color w:val="auto"/>
          <w:sz w:val="21"/>
          <w:szCs w:val="21"/>
          <w:highlight w:val="none"/>
        </w:rPr>
        <w:t>2、工程安全要求：合格。</w:t>
      </w:r>
    </w:p>
    <w:p w14:paraId="2EA1F7E7">
      <w:pPr>
        <w:spacing w:line="360" w:lineRule="auto"/>
        <w:ind w:left="551"/>
        <w:rPr>
          <w:rFonts w:hint="eastAsia" w:ascii="宋体" w:hAnsi="宋体" w:cs="宋体"/>
          <w:color w:val="auto"/>
          <w:sz w:val="21"/>
          <w:szCs w:val="21"/>
          <w:highlight w:val="none"/>
        </w:rPr>
      </w:pPr>
      <w:r>
        <w:rPr>
          <w:rFonts w:hint="eastAsia" w:ascii="宋体" w:hAnsi="宋体" w:cs="宋体"/>
          <w:color w:val="auto"/>
          <w:sz w:val="21"/>
          <w:szCs w:val="21"/>
          <w:highlight w:val="none"/>
        </w:rPr>
        <w:t>五、合同价款</w:t>
      </w:r>
    </w:p>
    <w:p w14:paraId="3A689527">
      <w:pPr>
        <w:spacing w:line="360" w:lineRule="auto"/>
        <w:ind w:firstLine="403" w:firstLineChars="192"/>
        <w:rPr>
          <w:rFonts w:hint="eastAsia" w:ascii="宋体" w:hAnsi="宋体" w:cs="宋体"/>
          <w:color w:val="auto"/>
          <w:sz w:val="21"/>
          <w:szCs w:val="21"/>
          <w:highlight w:val="none"/>
          <w:u w:val="none"/>
        </w:rPr>
      </w:pPr>
      <w:r>
        <w:rPr>
          <w:rFonts w:hint="eastAsia" w:ascii="宋体" w:hAnsi="宋体" w:cs="宋体"/>
          <w:color w:val="auto"/>
          <w:sz w:val="21"/>
          <w:szCs w:val="21"/>
          <w:highlight w:val="none"/>
        </w:rPr>
        <w:t>金额（大写）：</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元</w:t>
      </w:r>
      <w:r>
        <w:rPr>
          <w:rFonts w:hint="eastAsia" w:ascii="宋体" w:hAnsi="宋体" w:cs="宋体"/>
          <w:color w:val="auto"/>
          <w:sz w:val="21"/>
          <w:szCs w:val="21"/>
          <w:highlight w:val="none"/>
          <w:u w:val="none"/>
        </w:rPr>
        <w:t xml:space="preserve">整 </w:t>
      </w:r>
      <w:r>
        <w:rPr>
          <w:rFonts w:hint="eastAsia" w:ascii="宋体" w:hAnsi="宋体" w:cs="宋体"/>
          <w:color w:val="auto"/>
          <w:sz w:val="21"/>
          <w:szCs w:val="21"/>
          <w:highlight w:val="none"/>
        </w:rPr>
        <w:t>，</w:t>
      </w:r>
      <w:r>
        <w:rPr>
          <w:rFonts w:hint="eastAsia" w:ascii="宋体" w:hAnsi="宋体" w:cs="宋体"/>
          <w:color w:val="auto"/>
          <w:spacing w:val="14"/>
          <w:sz w:val="21"/>
          <w:szCs w:val="21"/>
          <w:highlight w:val="none"/>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rPr>
        <w:t>元</w:t>
      </w:r>
      <w:r>
        <w:rPr>
          <w:rFonts w:hint="eastAsia" w:ascii="宋体" w:hAnsi="宋体" w:cs="宋体"/>
          <w:color w:val="auto"/>
          <w:sz w:val="21"/>
          <w:szCs w:val="21"/>
          <w:highlight w:val="none"/>
        </w:rPr>
        <w:t>。</w:t>
      </w:r>
      <w:r>
        <w:rPr>
          <w:rFonts w:hint="eastAsia" w:ascii="宋体" w:hAnsi="宋体" w:eastAsia="宋体" w:cs="宋体"/>
          <w:color w:val="auto"/>
          <w:sz w:val="21"/>
          <w:szCs w:val="21"/>
          <w:highlight w:val="none"/>
          <w:lang w:val="en-US" w:eastAsia="zh-CN"/>
        </w:rPr>
        <w:t>综合折扣</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r>
        <w:rPr>
          <w:rFonts w:hint="eastAsia" w:ascii="宋体" w:hAnsi="宋体" w:cs="宋体"/>
          <w:color w:val="auto"/>
          <w:sz w:val="21"/>
          <w:szCs w:val="21"/>
          <w:highlight w:val="none"/>
          <w:u w:val="none"/>
        </w:rPr>
        <w:t>。</w:t>
      </w:r>
    </w:p>
    <w:p w14:paraId="1A732847">
      <w:pPr>
        <w:spacing w:line="360" w:lineRule="auto"/>
        <w:ind w:firstLine="403" w:firstLineChars="192"/>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合同价格类型：</w:t>
      </w:r>
      <w:r>
        <w:rPr>
          <w:rFonts w:hint="eastAsia" w:ascii="宋体" w:hAnsi="宋体" w:eastAsia="宋体" w:cs="宋体"/>
          <w:color w:val="auto"/>
          <w:sz w:val="21"/>
          <w:szCs w:val="21"/>
          <w:highlight w:val="none"/>
          <w:u w:val="single"/>
        </w:rPr>
        <w:t>可调价格合同</w:t>
      </w:r>
      <w:r>
        <w:rPr>
          <w:rFonts w:hint="eastAsia" w:ascii="宋体" w:hAnsi="宋体" w:cs="宋体"/>
          <w:color w:val="auto"/>
          <w:sz w:val="21"/>
          <w:szCs w:val="21"/>
          <w:highlight w:val="none"/>
          <w:u w:val="single"/>
        </w:rPr>
        <w:t>。</w:t>
      </w:r>
    </w:p>
    <w:p w14:paraId="024C373C">
      <w:pPr>
        <w:spacing w:line="360" w:lineRule="auto"/>
        <w:ind w:left="551"/>
        <w:rPr>
          <w:rFonts w:hint="eastAsia" w:ascii="宋体" w:hAnsi="宋体" w:cs="宋体"/>
          <w:color w:val="auto"/>
          <w:sz w:val="21"/>
          <w:szCs w:val="21"/>
          <w:highlight w:val="none"/>
        </w:rPr>
      </w:pPr>
      <w:r>
        <w:rPr>
          <w:rFonts w:hint="eastAsia" w:ascii="宋体" w:hAnsi="宋体" w:cs="宋体"/>
          <w:color w:val="auto"/>
          <w:sz w:val="21"/>
          <w:szCs w:val="21"/>
          <w:highlight w:val="none"/>
        </w:rPr>
        <w:t>六、组成合同的文件</w:t>
      </w:r>
    </w:p>
    <w:p w14:paraId="7DF82F34">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组成本合同的文件包括：</w:t>
      </w:r>
    </w:p>
    <w:p w14:paraId="79F8AAE9">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1、本协议书</w:t>
      </w:r>
    </w:p>
    <w:p w14:paraId="572F652C">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2、成交确认书</w:t>
      </w:r>
    </w:p>
    <w:p w14:paraId="35BED660">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3、本合同专用条款及其附件</w:t>
      </w:r>
    </w:p>
    <w:p w14:paraId="1F3FD722">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w:t>
      </w:r>
      <w:r>
        <w:rPr>
          <w:rFonts w:hint="eastAsia" w:ascii="宋体" w:hAnsi="宋体" w:cs="宋体"/>
          <w:color w:val="auto"/>
          <w:sz w:val="21"/>
          <w:szCs w:val="21"/>
          <w:highlight w:val="none"/>
          <w:lang w:val="en-US" w:eastAsia="zh-CN"/>
        </w:rPr>
        <w:t>交易公告</w:t>
      </w:r>
      <w:r>
        <w:rPr>
          <w:rFonts w:hint="eastAsia" w:ascii="宋体" w:hAnsi="宋体" w:cs="宋体"/>
          <w:color w:val="auto"/>
          <w:sz w:val="21"/>
          <w:szCs w:val="21"/>
          <w:highlight w:val="none"/>
        </w:rPr>
        <w:t>及其附件</w:t>
      </w:r>
    </w:p>
    <w:p w14:paraId="292BF4BB">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5、本合同通用条款</w:t>
      </w:r>
    </w:p>
    <w:p w14:paraId="690A3BCB">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6、标准、规范及有关技术文件</w:t>
      </w:r>
    </w:p>
    <w:p w14:paraId="57723BAB">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7、图纸</w:t>
      </w:r>
    </w:p>
    <w:p w14:paraId="546A7F34">
      <w:pPr>
        <w:keepNext w:val="0"/>
        <w:keepLines w:val="0"/>
        <w:pageBreakBefore w:val="0"/>
        <w:widowControl w:val="0"/>
        <w:kinsoku/>
        <w:wordWrap/>
        <w:overflowPunct/>
        <w:topLinePunct w:val="0"/>
        <w:bidi w:val="0"/>
        <w:snapToGrid/>
        <w:spacing w:line="440" w:lineRule="exact"/>
        <w:ind w:firstLine="435"/>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8、工程量清单或预算书</w:t>
      </w:r>
    </w:p>
    <w:p w14:paraId="3CC3246D">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双方有关工程的洽商、变更等书面协议或文件视为本合同的组成部分。</w:t>
      </w:r>
    </w:p>
    <w:p w14:paraId="3BA82939">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七</w:t>
      </w:r>
      <w:r>
        <w:rPr>
          <w:rFonts w:hint="eastAsia" w:ascii="宋体" w:hAnsi="宋体" w:cs="宋体"/>
          <w:b/>
          <w:color w:val="auto"/>
          <w:sz w:val="21"/>
          <w:szCs w:val="21"/>
          <w:highlight w:val="none"/>
        </w:rPr>
        <w:t>、</w:t>
      </w:r>
      <w:r>
        <w:rPr>
          <w:rFonts w:hint="eastAsia" w:ascii="宋体" w:hAnsi="宋体" w:cs="宋体"/>
          <w:color w:val="auto"/>
          <w:sz w:val="21"/>
          <w:szCs w:val="21"/>
          <w:highlight w:val="none"/>
        </w:rPr>
        <w:t>本协议书中有关词语含义与本合同第二部分《通用条款》中分别赋予它们的定义相同。</w:t>
      </w:r>
    </w:p>
    <w:p w14:paraId="1D060037">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八、承包人向发包人承诺按照合同约定进行施工、竣工并在质量保修期内承担工程质量保修责任。</w:t>
      </w:r>
    </w:p>
    <w:p w14:paraId="015B926A">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b/>
          <w:color w:val="auto"/>
          <w:sz w:val="21"/>
          <w:szCs w:val="21"/>
          <w:highlight w:val="none"/>
        </w:rPr>
      </w:pPr>
      <w:r>
        <w:rPr>
          <w:rFonts w:hint="eastAsia" w:ascii="宋体" w:hAnsi="宋体" w:cs="宋体"/>
          <w:color w:val="auto"/>
          <w:sz w:val="21"/>
          <w:szCs w:val="21"/>
          <w:highlight w:val="none"/>
        </w:rPr>
        <w:t>九、发包人向承包人承诺按照合同约定的期限和方式支付合同价款及其他应当支付的款项。</w:t>
      </w:r>
    </w:p>
    <w:p w14:paraId="735F9C6D">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十、合同生效</w:t>
      </w:r>
    </w:p>
    <w:p w14:paraId="3A13B92C">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合同订立时间：</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日 </w:t>
      </w:r>
    </w:p>
    <w:p w14:paraId="2FFE1AD2">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合同订立地点：宁波市奉化区 </w:t>
      </w:r>
    </w:p>
    <w:p w14:paraId="0C563BB0">
      <w:pPr>
        <w:keepNext w:val="0"/>
        <w:keepLines w:val="0"/>
        <w:pageBreakBefore w:val="0"/>
        <w:widowControl w:val="0"/>
        <w:kinsoku/>
        <w:wordWrap/>
        <w:overflowPunct/>
        <w:topLinePunct w:val="0"/>
        <w:bidi w:val="0"/>
        <w:snapToGrid/>
        <w:spacing w:line="440" w:lineRule="exact"/>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本合同双方约定</w:t>
      </w:r>
      <w:r>
        <w:rPr>
          <w:rFonts w:hint="eastAsia" w:ascii="宋体" w:hAnsi="宋体" w:cs="宋体"/>
          <w:color w:val="auto"/>
          <w:sz w:val="21"/>
          <w:szCs w:val="21"/>
          <w:highlight w:val="none"/>
          <w:u w:val="single"/>
        </w:rPr>
        <w:t>加盖双方单位印章并经法定代表人或其委托代理人签字，并按约定提供履约担保</w:t>
      </w:r>
      <w:r>
        <w:rPr>
          <w:rFonts w:hint="eastAsia" w:ascii="宋体" w:hAnsi="宋体" w:cs="宋体"/>
          <w:color w:val="auto"/>
          <w:sz w:val="21"/>
          <w:szCs w:val="21"/>
          <w:highlight w:val="none"/>
        </w:rPr>
        <w:t>后生效。</w:t>
      </w:r>
    </w:p>
    <w:p w14:paraId="6B7BBF5F">
      <w:pPr>
        <w:keepNext w:val="0"/>
        <w:keepLines w:val="0"/>
        <w:pageBreakBefore w:val="0"/>
        <w:widowControl w:val="0"/>
        <w:kinsoku/>
        <w:wordWrap/>
        <w:overflowPunct/>
        <w:topLinePunct w:val="0"/>
        <w:bidi w:val="0"/>
        <w:snapToGrid/>
        <w:spacing w:line="44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十一、合同份数</w:t>
      </w:r>
    </w:p>
    <w:p w14:paraId="68829BFC">
      <w:pPr>
        <w:keepNext w:val="0"/>
        <w:keepLines w:val="0"/>
        <w:pageBreakBefore w:val="0"/>
        <w:kinsoku/>
        <w:wordWrap/>
        <w:overflowPunct/>
        <w:topLinePunct w:val="0"/>
        <w:bidi w:val="0"/>
        <w:snapToGrid/>
        <w:spacing w:line="44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olor w:val="auto"/>
          <w:sz w:val="21"/>
          <w:szCs w:val="21"/>
          <w:highlight w:val="none"/>
        </w:rPr>
        <w:t>本合同一式陆份，发包方贰份，承包方肆份。</w:t>
      </w:r>
    </w:p>
    <w:p w14:paraId="28001186">
      <w:pPr>
        <w:autoSpaceDE w:val="0"/>
        <w:autoSpaceDN w:val="0"/>
        <w:adjustRightInd w:val="0"/>
        <w:spacing w:line="380" w:lineRule="exact"/>
        <w:ind w:firstLine="420" w:firstLineChars="200"/>
        <w:jc w:val="left"/>
        <w:rPr>
          <w:rFonts w:hint="eastAsia" w:ascii="宋体" w:hAnsi="宋体" w:eastAsia="宋体" w:cs="宋体"/>
          <w:color w:val="auto"/>
          <w:sz w:val="21"/>
          <w:szCs w:val="21"/>
          <w:highlight w:val="none"/>
        </w:rPr>
      </w:pPr>
    </w:p>
    <w:p w14:paraId="11EB9055">
      <w:pPr>
        <w:autoSpaceDE w:val="0"/>
        <w:autoSpaceDN w:val="0"/>
        <w:adjustRightInd w:val="0"/>
        <w:spacing w:line="380" w:lineRule="exact"/>
        <w:ind w:firstLine="420" w:firstLineChars="20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发包人(公章)：</w:t>
      </w:r>
      <w:r>
        <w:rPr>
          <w:rFonts w:hint="eastAsia" w:ascii="宋体" w:hAnsi="宋体" w:eastAsia="宋体" w:cs="宋体"/>
          <w:color w:val="auto"/>
          <w:kern w:val="0"/>
          <w:sz w:val="21"/>
          <w:szCs w:val="21"/>
          <w:highlight w:val="none"/>
          <w:lang w:val="zh-CN"/>
        </w:rPr>
        <w:t>宁波市奉化区惠海</w:t>
      </w:r>
      <w:r>
        <w:rPr>
          <w:rFonts w:hint="eastAsia" w:ascii="宋体" w:hAnsi="宋体" w:eastAsia="宋体" w:cs="宋体"/>
          <w:color w:val="auto"/>
          <w:kern w:val="0"/>
          <w:sz w:val="21"/>
          <w:szCs w:val="21"/>
          <w:highlight w:val="none"/>
          <w:lang w:val="zh-CN"/>
        </w:rPr>
        <w:tab/>
      </w:r>
      <w:r>
        <w:rPr>
          <w:rFonts w:hint="eastAsia" w:ascii="宋体" w:hAnsi="宋体" w:eastAsia="宋体" w:cs="宋体"/>
          <w:color w:val="auto"/>
          <w:kern w:val="0"/>
          <w:sz w:val="21"/>
          <w:szCs w:val="21"/>
          <w:highlight w:val="none"/>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sz w:val="21"/>
          <w:szCs w:val="21"/>
          <w:highlight w:val="none"/>
        </w:rPr>
        <w:t>承包人(公章)：</w:t>
      </w:r>
      <w:r>
        <w:rPr>
          <w:rFonts w:hint="eastAsia" w:ascii="宋体" w:hAnsi="宋体" w:eastAsia="宋体" w:cs="宋体"/>
          <w:color w:val="auto"/>
          <w:kern w:val="0"/>
          <w:sz w:val="21"/>
          <w:szCs w:val="21"/>
          <w:highlight w:val="none"/>
          <w:lang w:val="en-US" w:eastAsia="zh-CN"/>
        </w:rPr>
        <w:t xml:space="preserve">              </w:t>
      </w:r>
    </w:p>
    <w:p w14:paraId="1C682E99">
      <w:pPr>
        <w:autoSpaceDE w:val="0"/>
        <w:autoSpaceDN w:val="0"/>
        <w:adjustRightInd w:val="0"/>
        <w:spacing w:line="380" w:lineRule="exact"/>
        <w:ind w:firstLine="1470" w:firstLineChars="7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地下管线投资有限公司</w:t>
      </w:r>
    </w:p>
    <w:p w14:paraId="4BA1029F">
      <w:pPr>
        <w:autoSpaceDE w:val="0"/>
        <w:autoSpaceDN w:val="0"/>
        <w:adjustRightInd w:val="0"/>
        <w:spacing w:line="380" w:lineRule="exact"/>
        <w:ind w:firstLine="420" w:firstLineChars="200"/>
        <w:jc w:val="lef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地址</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sz w:val="21"/>
          <w:szCs w:val="21"/>
          <w:highlight w:val="none"/>
        </w:rPr>
        <w:t>宁波市奉化区岳林街道长汀东路558号</w:t>
      </w:r>
      <w:r>
        <w:rPr>
          <w:rFonts w:hint="eastAsia" w:ascii="宋体" w:hAnsi="宋体" w:eastAsia="宋体" w:cs="宋体"/>
          <w:color w:val="auto"/>
          <w:kern w:val="0"/>
          <w:sz w:val="21"/>
          <w:szCs w:val="21"/>
          <w:highlight w:val="none"/>
          <w:lang w:val="en-US" w:eastAsia="zh-CN"/>
        </w:rPr>
        <w:t>地址</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 xml:space="preserve">          </w:t>
      </w:r>
    </w:p>
    <w:p w14:paraId="5E4AF017">
      <w:pPr>
        <w:autoSpaceDE w:val="0"/>
        <w:autoSpaceDN w:val="0"/>
        <w:adjustRightInd w:val="0"/>
        <w:spacing w:line="380" w:lineRule="exact"/>
        <w:ind w:left="521" w:leftChars="248"/>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（城开大厦3号楼北幢9层</w:t>
      </w:r>
      <w:r>
        <w:rPr>
          <w:rFonts w:hint="eastAsia" w:ascii="宋体" w:hAnsi="宋体" w:cs="宋体"/>
          <w:color w:val="auto"/>
          <w:sz w:val="21"/>
          <w:szCs w:val="21"/>
          <w:highlight w:val="none"/>
          <w:lang w:eastAsia="zh-CN"/>
        </w:rPr>
        <w:t>）</w:t>
      </w:r>
    </w:p>
    <w:p w14:paraId="65E69F69">
      <w:pPr>
        <w:autoSpaceDE w:val="0"/>
        <w:autoSpaceDN w:val="0"/>
        <w:adjustRightInd w:val="0"/>
        <w:spacing w:line="440" w:lineRule="exact"/>
        <w:ind w:firstLine="457" w:firstLineChars="218"/>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法定代表人</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法定代表人</w:t>
      </w:r>
      <w:r>
        <w:rPr>
          <w:rFonts w:hint="eastAsia" w:ascii="宋体" w:hAnsi="宋体" w:eastAsia="宋体" w:cs="宋体"/>
          <w:color w:val="auto"/>
          <w:kern w:val="0"/>
          <w:sz w:val="21"/>
          <w:szCs w:val="21"/>
          <w:highlight w:val="none"/>
        </w:rPr>
        <w:t xml:space="preserve">： </w:t>
      </w:r>
    </w:p>
    <w:p w14:paraId="7E5E9DA2">
      <w:pPr>
        <w:autoSpaceDE w:val="0"/>
        <w:autoSpaceDN w:val="0"/>
        <w:adjustRightInd w:val="0"/>
        <w:spacing w:line="440" w:lineRule="exact"/>
        <w:ind w:firstLine="457" w:firstLineChars="218"/>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委托代理人</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委托代理人</w:t>
      </w:r>
      <w:r>
        <w:rPr>
          <w:rFonts w:hint="eastAsia" w:ascii="宋体" w:hAnsi="宋体" w:eastAsia="宋体" w:cs="宋体"/>
          <w:color w:val="auto"/>
          <w:kern w:val="0"/>
          <w:sz w:val="21"/>
          <w:szCs w:val="21"/>
          <w:highlight w:val="none"/>
        </w:rPr>
        <w:t>：</w:t>
      </w:r>
    </w:p>
    <w:p w14:paraId="50BF45BF">
      <w:pPr>
        <w:autoSpaceDE w:val="0"/>
        <w:autoSpaceDN w:val="0"/>
        <w:adjustRightInd w:val="0"/>
        <w:spacing w:line="440" w:lineRule="exact"/>
        <w:ind w:firstLine="457" w:firstLineChars="218"/>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zh-CN"/>
        </w:rPr>
        <w:t>电话：0574-88967016</w:t>
      </w:r>
      <w:r>
        <w:rPr>
          <w:rFonts w:hint="eastAsia" w:ascii="宋体" w:hAnsi="宋体" w:eastAsia="宋体" w:cs="宋体"/>
          <w:color w:val="auto"/>
          <w:kern w:val="0"/>
          <w:sz w:val="21"/>
          <w:szCs w:val="21"/>
          <w:highlight w:val="none"/>
          <w:lang w:val="zh-CN"/>
        </w:rPr>
        <w:tab/>
      </w:r>
      <w:r>
        <w:rPr>
          <w:rFonts w:hint="eastAsia" w:ascii="宋体" w:hAnsi="宋体" w:eastAsia="宋体" w:cs="宋体"/>
          <w:color w:val="auto"/>
          <w:kern w:val="0"/>
          <w:sz w:val="21"/>
          <w:szCs w:val="21"/>
          <w:highlight w:val="none"/>
          <w:lang w:val="zh-CN"/>
        </w:rPr>
        <w:t xml:space="preserve">              </w:t>
      </w: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电话：</w:t>
      </w:r>
      <w:r>
        <w:rPr>
          <w:rFonts w:hint="eastAsia" w:ascii="宋体" w:hAnsi="宋体" w:eastAsia="宋体" w:cs="宋体"/>
          <w:color w:val="auto"/>
          <w:kern w:val="0"/>
          <w:sz w:val="21"/>
          <w:szCs w:val="21"/>
          <w:highlight w:val="none"/>
          <w:lang w:val="en-US" w:eastAsia="zh-CN"/>
        </w:rPr>
        <w:t xml:space="preserve"> </w:t>
      </w:r>
    </w:p>
    <w:p w14:paraId="23349965">
      <w:pPr>
        <w:autoSpaceDE w:val="0"/>
        <w:autoSpaceDN w:val="0"/>
        <w:adjustRightInd w:val="0"/>
        <w:spacing w:line="440" w:lineRule="exact"/>
        <w:ind w:left="479" w:leftChars="228" w:firstLine="35" w:firstLineChars="17"/>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rPr>
        <w:t>开户银行：宁波银行股份有限公司岳林支行  开户银行：</w:t>
      </w:r>
      <w:r>
        <w:rPr>
          <w:rFonts w:hint="eastAsia" w:ascii="宋体" w:hAnsi="宋体" w:eastAsia="宋体" w:cs="宋体"/>
          <w:color w:val="auto"/>
          <w:kern w:val="0"/>
          <w:sz w:val="21"/>
          <w:szCs w:val="21"/>
          <w:highlight w:val="none"/>
          <w:lang w:val="en-US" w:eastAsia="zh-CN"/>
        </w:rPr>
        <w:t xml:space="preserve">    </w:t>
      </w:r>
    </w:p>
    <w:p w14:paraId="38947B6B">
      <w:pPr>
        <w:autoSpaceDE w:val="0"/>
        <w:autoSpaceDN w:val="0"/>
        <w:adjustRightInd w:val="0"/>
        <w:spacing w:line="440" w:lineRule="exact"/>
        <w:ind w:left="479" w:leftChars="228" w:firstLine="35" w:firstLineChars="17"/>
        <w:jc w:val="left"/>
        <w:rPr>
          <w:rFonts w:hint="default" w:eastAsia="宋体"/>
          <w:color w:val="auto"/>
          <w:sz w:val="21"/>
          <w:szCs w:val="21"/>
          <w:highlight w:val="none"/>
          <w:lang w:val="en-US" w:eastAsia="zh-CN"/>
        </w:rPr>
      </w:pPr>
      <w:r>
        <w:rPr>
          <w:rFonts w:hint="eastAsia" w:ascii="宋体" w:hAnsi="宋体" w:eastAsia="宋体" w:cs="宋体"/>
          <w:color w:val="auto"/>
          <w:kern w:val="0"/>
          <w:sz w:val="21"/>
          <w:szCs w:val="21"/>
          <w:highlight w:val="none"/>
          <w:lang w:val="zh-CN"/>
        </w:rPr>
        <w:t xml:space="preserve">账号：64040122 000030230          </w:t>
      </w: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 xml:space="preserve">账号： </w:t>
      </w:r>
      <w:r>
        <w:rPr>
          <w:rFonts w:hint="eastAsia" w:ascii="宋体" w:hAnsi="宋体" w:eastAsia="宋体" w:cs="宋体"/>
          <w:color w:val="auto"/>
          <w:kern w:val="0"/>
          <w:sz w:val="21"/>
          <w:szCs w:val="21"/>
          <w:highlight w:val="none"/>
          <w:lang w:val="en-US" w:eastAsia="zh-CN"/>
        </w:rPr>
        <w:t xml:space="preserve">           </w:t>
      </w:r>
    </w:p>
    <w:p w14:paraId="65ED3511">
      <w:pPr>
        <w:spacing w:line="360" w:lineRule="auto"/>
        <w:jc w:val="center"/>
        <w:rPr>
          <w:rFonts w:hint="eastAsia" w:ascii="宋体" w:hAnsi="宋体" w:cs="宋体"/>
          <w:b/>
          <w:bCs/>
          <w:color w:val="auto"/>
          <w:sz w:val="21"/>
          <w:szCs w:val="21"/>
          <w:highlight w:val="none"/>
        </w:rPr>
      </w:pPr>
    </w:p>
    <w:p w14:paraId="78DA7E84">
      <w:pPr>
        <w:spacing w:line="360" w:lineRule="auto"/>
        <w:jc w:val="center"/>
        <w:rPr>
          <w:rFonts w:hint="eastAsia" w:ascii="宋体" w:hAnsi="宋体" w:cs="宋体"/>
          <w:b/>
          <w:bCs/>
          <w:color w:val="auto"/>
          <w:sz w:val="21"/>
          <w:szCs w:val="21"/>
          <w:highlight w:val="none"/>
        </w:rPr>
      </w:pPr>
    </w:p>
    <w:p w14:paraId="42FD2635">
      <w:pPr>
        <w:spacing w:line="360" w:lineRule="auto"/>
        <w:jc w:val="center"/>
        <w:rPr>
          <w:rFonts w:hint="eastAsia" w:ascii="宋体" w:hAnsi="宋体" w:cs="宋体"/>
          <w:b/>
          <w:bCs/>
          <w:color w:val="auto"/>
          <w:sz w:val="21"/>
          <w:szCs w:val="21"/>
          <w:highlight w:val="none"/>
        </w:rPr>
      </w:pPr>
    </w:p>
    <w:p w14:paraId="7B669134">
      <w:pPr>
        <w:spacing w:line="360" w:lineRule="auto"/>
        <w:jc w:val="center"/>
        <w:rPr>
          <w:rFonts w:hint="eastAsia" w:ascii="宋体" w:hAnsi="宋体" w:cs="宋体"/>
          <w:b/>
          <w:bCs/>
          <w:color w:val="auto"/>
          <w:sz w:val="21"/>
          <w:szCs w:val="21"/>
          <w:highlight w:val="none"/>
        </w:rPr>
      </w:pPr>
    </w:p>
    <w:p w14:paraId="4AE6D4B8">
      <w:pPr>
        <w:spacing w:line="360" w:lineRule="auto"/>
        <w:jc w:val="center"/>
        <w:rPr>
          <w:rFonts w:hint="eastAsia" w:ascii="宋体" w:hAnsi="宋体" w:cs="宋体"/>
          <w:b/>
          <w:bCs/>
          <w:color w:val="auto"/>
          <w:sz w:val="21"/>
          <w:szCs w:val="21"/>
          <w:highlight w:val="none"/>
        </w:rPr>
      </w:pPr>
    </w:p>
    <w:p w14:paraId="28C8822E">
      <w:pPr>
        <w:spacing w:line="360" w:lineRule="auto"/>
        <w:jc w:val="center"/>
        <w:rPr>
          <w:rFonts w:hint="eastAsia" w:ascii="宋体" w:hAnsi="宋体" w:cs="宋体"/>
          <w:b/>
          <w:bCs/>
          <w:color w:val="auto"/>
          <w:sz w:val="21"/>
          <w:szCs w:val="21"/>
          <w:highlight w:val="none"/>
        </w:rPr>
      </w:pPr>
    </w:p>
    <w:p w14:paraId="64948D70">
      <w:pPr>
        <w:spacing w:line="360" w:lineRule="auto"/>
        <w:jc w:val="center"/>
        <w:rPr>
          <w:rFonts w:hint="eastAsia" w:ascii="宋体" w:hAnsi="宋体" w:cs="宋体"/>
          <w:b/>
          <w:bCs/>
          <w:color w:val="auto"/>
          <w:sz w:val="21"/>
          <w:szCs w:val="21"/>
          <w:highlight w:val="none"/>
        </w:rPr>
      </w:pPr>
    </w:p>
    <w:p w14:paraId="27A9614B">
      <w:pPr>
        <w:spacing w:line="360" w:lineRule="auto"/>
        <w:jc w:val="center"/>
        <w:rPr>
          <w:rFonts w:hint="eastAsia" w:ascii="宋体" w:hAnsi="宋体" w:cs="宋体"/>
          <w:b/>
          <w:color w:val="auto"/>
          <w:sz w:val="21"/>
          <w:szCs w:val="21"/>
          <w:highlight w:val="none"/>
        </w:rPr>
      </w:pPr>
      <w:r>
        <w:rPr>
          <w:rFonts w:hint="eastAsia" w:ascii="宋体" w:hAnsi="宋体" w:cs="宋体"/>
          <w:b/>
          <w:bCs/>
          <w:color w:val="auto"/>
          <w:sz w:val="21"/>
          <w:szCs w:val="21"/>
          <w:highlight w:val="none"/>
        </w:rPr>
        <w:t>第二部分</w:t>
      </w:r>
      <w:r>
        <w:rPr>
          <w:rFonts w:hint="eastAsia" w:ascii="宋体" w:hAnsi="宋体" w:cs="宋体"/>
          <w:b/>
          <w:color w:val="auto"/>
          <w:sz w:val="21"/>
          <w:szCs w:val="21"/>
          <w:highlight w:val="none"/>
        </w:rPr>
        <w:t xml:space="preserve"> 通用合同条款</w:t>
      </w:r>
    </w:p>
    <w:p w14:paraId="684A4C53">
      <w:pPr>
        <w:spacing w:line="420" w:lineRule="exact"/>
        <w:ind w:firstLine="420" w:firstLineChars="200"/>
        <w:rPr>
          <w:rFonts w:ascii="宋体" w:hAnsi="宋体"/>
          <w:color w:val="auto"/>
          <w:kern w:val="0"/>
          <w:sz w:val="21"/>
          <w:szCs w:val="21"/>
          <w:highlight w:val="none"/>
        </w:rPr>
      </w:pPr>
      <w:r>
        <w:rPr>
          <w:rFonts w:hint="eastAsia" w:ascii="宋体" w:hAnsi="宋体"/>
          <w:color w:val="auto"/>
          <w:kern w:val="0"/>
          <w:sz w:val="21"/>
          <w:szCs w:val="21"/>
          <w:highlight w:val="none"/>
        </w:rPr>
        <w:t>通用合同条款直接引用建市[2017]214号“住房城乡建设部、工商总局关于印发建设工程施工合同（示范文本）的通知”附件《建设工程施工合同（示范文本）（GF-2017-0201）第二部分“通用合同条款”内容。</w:t>
      </w:r>
    </w:p>
    <w:p w14:paraId="169C95DD">
      <w:pPr>
        <w:spacing w:line="360" w:lineRule="auto"/>
        <w:rPr>
          <w:rFonts w:hint="eastAsia" w:ascii="宋体" w:hAnsi="宋体" w:cs="宋体"/>
          <w:color w:val="auto"/>
          <w:sz w:val="21"/>
          <w:szCs w:val="21"/>
          <w:highlight w:val="none"/>
        </w:rPr>
      </w:pPr>
    </w:p>
    <w:p w14:paraId="1114F834">
      <w:pPr>
        <w:pStyle w:val="4"/>
        <w:spacing w:before="120" w:line="360" w:lineRule="auto"/>
        <w:jc w:val="center"/>
        <w:rPr>
          <w:rFonts w:hint="eastAsia" w:ascii="宋体" w:hAnsi="宋体" w:cs="宋体"/>
          <w:color w:val="auto"/>
          <w:sz w:val="21"/>
          <w:szCs w:val="21"/>
          <w:highlight w:val="none"/>
        </w:rPr>
      </w:pPr>
      <w:bookmarkStart w:id="395" w:name="_Toc364853223"/>
      <w:r>
        <w:rPr>
          <w:rFonts w:hint="eastAsia" w:ascii="宋体" w:hAnsi="宋体" w:cs="宋体"/>
          <w:color w:val="auto"/>
          <w:sz w:val="21"/>
          <w:szCs w:val="21"/>
          <w:highlight w:val="none"/>
        </w:rPr>
        <w:t>第三部分 专用合同条款</w:t>
      </w:r>
      <w:bookmarkEnd w:id="395"/>
    </w:p>
    <w:p w14:paraId="17BF5CAE">
      <w:pPr>
        <w:spacing w:line="420" w:lineRule="exact"/>
        <w:ind w:firstLine="420" w:firstLineChars="200"/>
        <w:rPr>
          <w:rFonts w:hint="eastAsia" w:ascii="宋体" w:hAnsi="宋体"/>
          <w:color w:val="auto"/>
          <w:kern w:val="0"/>
          <w:sz w:val="21"/>
          <w:szCs w:val="21"/>
          <w:highlight w:val="none"/>
        </w:rPr>
      </w:pPr>
      <w:bookmarkStart w:id="396" w:name="_Toc364853224"/>
      <w:r>
        <w:rPr>
          <w:rFonts w:hint="eastAsia" w:ascii="宋体" w:hAnsi="宋体"/>
          <w:color w:val="auto"/>
          <w:kern w:val="0"/>
          <w:sz w:val="21"/>
          <w:szCs w:val="21"/>
          <w:highlight w:val="none"/>
        </w:rPr>
        <w:t>以下主要专用合同条款根据建市[2017]214号“住房城乡建设部、工商总局关于印发建设工程施工合同（示范文本）的通知”附件《建设工程施工合同（示范文本）（GF-2017-0201）第三部分“专用合同条款”的格式与内容确定，除招标人和中标人在合同谈判期间有补充约定外，本合同的专用合同条款按以下条款执行。</w:t>
      </w:r>
    </w:p>
    <w:p w14:paraId="0FD395CA">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 一般约定</w:t>
      </w:r>
      <w:bookmarkEnd w:id="396"/>
    </w:p>
    <w:p w14:paraId="2BE14FF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 xml:space="preserve">1.3 法律 </w:t>
      </w:r>
    </w:p>
    <w:p w14:paraId="54909EF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适用于合同的其他规范性文件：浙江省、宁波市有关工程建设的法规、规章及规范性文件。</w:t>
      </w:r>
    </w:p>
    <w:p w14:paraId="4FBFC25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1.4 标准和规范</w:t>
      </w:r>
    </w:p>
    <w:p w14:paraId="2F259AF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1.4.1适用于工程的标准规范包括：浙江省、宁波市工程建设相关的施工及验收规范和标准。</w:t>
      </w:r>
    </w:p>
    <w:p w14:paraId="3496D00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1.5 合同文件的优先顺序</w:t>
      </w:r>
    </w:p>
    <w:p w14:paraId="5B5FE53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合同文件的优先解释顺序执行通用条款。</w:t>
      </w:r>
    </w:p>
    <w:p w14:paraId="6C9E499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1.6 图纸和承包人文件</w:t>
      </w:r>
      <w:r>
        <w:rPr>
          <w:rFonts w:hint="eastAsia" w:hAnsi="宋体" w:cs="宋体"/>
          <w:color w:val="auto"/>
          <w:sz w:val="21"/>
          <w:szCs w:val="21"/>
          <w:highlight w:val="none"/>
        </w:rPr>
        <w:tab/>
      </w:r>
    </w:p>
    <w:p w14:paraId="6CE3F8D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1.6.1图纸的提供</w:t>
      </w:r>
    </w:p>
    <w:p w14:paraId="259A664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发包人向承包人提供图纸的期限：向承包人发出成交确认书后3天内；</w:t>
      </w:r>
    </w:p>
    <w:p w14:paraId="6F42C40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发包人向承包人提供图纸的数量：一式五套；</w:t>
      </w:r>
    </w:p>
    <w:p w14:paraId="23ACB9A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发包人向承包人提供图纸的内容：工程承包范围内的各专业工程。</w:t>
      </w:r>
    </w:p>
    <w:p w14:paraId="530C2C4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1.6.4 承包人文件</w:t>
      </w:r>
    </w:p>
    <w:p w14:paraId="52CCB105">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需要由承包人提供的文件，包括：施工组织设计、工程进度计划、专项施工方案、加工图、大样图、协调配合图等；</w:t>
      </w:r>
    </w:p>
    <w:p w14:paraId="39A92F4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承包人提供的文件的期限为：施工组织设计、工程进度计划在工程开工前7天，其他文件在相应专项工程或部位施工前7天；</w:t>
      </w:r>
    </w:p>
    <w:p w14:paraId="37F56F40">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承包人提供的文件的数量为：一式五套；</w:t>
      </w:r>
    </w:p>
    <w:p w14:paraId="5D0269D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1.6.5 现场图纸准备</w:t>
      </w:r>
    </w:p>
    <w:p w14:paraId="086A02F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关于现场图纸准备的约定：承包人在施工现场保存至少一套完整的图纸和承包人文件。</w:t>
      </w:r>
    </w:p>
    <w:p w14:paraId="34C179DE">
      <w:pPr>
        <w:spacing w:line="45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1.7联络</w:t>
      </w:r>
    </w:p>
    <w:p w14:paraId="61A01FFD">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1.7.1发包人和承包人应当在通用条款规定的时间内将与合同有关的通知、批准、证明、证书、指示、指令、要求、请求、同意、意见、确定和决定等书面函件送达对方当事人。</w:t>
      </w:r>
    </w:p>
    <w:p w14:paraId="304579BB">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1.7.2发包人接收文件的地点：</w:t>
      </w:r>
      <w:r>
        <w:rPr>
          <w:rFonts w:hint="eastAsia" w:ascii="宋体" w:hAnsi="宋体" w:cs="宋体"/>
          <w:color w:val="auto"/>
          <w:sz w:val="21"/>
          <w:szCs w:val="21"/>
          <w:highlight w:val="none"/>
          <w:u w:val="single"/>
        </w:rPr>
        <w:t>发包人驻项目办公所在地</w:t>
      </w:r>
      <w:r>
        <w:rPr>
          <w:rFonts w:hint="eastAsia" w:ascii="宋体" w:hAnsi="宋体" w:cs="宋体"/>
          <w:color w:val="auto"/>
          <w:sz w:val="21"/>
          <w:szCs w:val="21"/>
          <w:highlight w:val="none"/>
        </w:rPr>
        <w:t>；</w:t>
      </w:r>
    </w:p>
    <w:p w14:paraId="1D2B2C07">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发包人指定的接收人为：</w:t>
      </w:r>
      <w:r>
        <w:rPr>
          <w:rFonts w:hint="eastAsia" w:ascii="宋体" w:hAnsi="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63CA1EDD">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承包人接收文件的地点：</w:t>
      </w:r>
      <w:r>
        <w:rPr>
          <w:rFonts w:hint="eastAsia" w:ascii="宋体" w:hAnsi="宋体" w:cs="宋体"/>
          <w:color w:val="auto"/>
          <w:sz w:val="21"/>
          <w:szCs w:val="21"/>
          <w:highlight w:val="none"/>
          <w:u w:val="single"/>
        </w:rPr>
        <w:t>承包人驻项目办公所在地</w:t>
      </w:r>
      <w:r>
        <w:rPr>
          <w:rFonts w:hint="eastAsia" w:ascii="宋体" w:hAnsi="宋体" w:cs="宋体"/>
          <w:color w:val="auto"/>
          <w:sz w:val="21"/>
          <w:szCs w:val="21"/>
          <w:highlight w:val="none"/>
        </w:rPr>
        <w:t>；</w:t>
      </w:r>
    </w:p>
    <w:p w14:paraId="747F84A5">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承包人指定的接收人为：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1C27DE60">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监理人接收文件的地点：</w:t>
      </w:r>
      <w:r>
        <w:rPr>
          <w:rFonts w:hint="eastAsia" w:ascii="宋体" w:hAnsi="宋体" w:cs="宋体"/>
          <w:color w:val="auto"/>
          <w:sz w:val="21"/>
          <w:szCs w:val="21"/>
          <w:highlight w:val="none"/>
          <w:u w:val="single"/>
        </w:rPr>
        <w:t>承包人驻项目办公所在地</w:t>
      </w:r>
      <w:r>
        <w:rPr>
          <w:rFonts w:hint="eastAsia" w:ascii="宋体" w:hAnsi="宋体" w:cs="宋体"/>
          <w:color w:val="auto"/>
          <w:sz w:val="21"/>
          <w:szCs w:val="21"/>
          <w:highlight w:val="none"/>
        </w:rPr>
        <w:t>；</w:t>
      </w:r>
    </w:p>
    <w:p w14:paraId="126EFD2C">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监理人指定的接收人为：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38BF866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1.10 交通运输</w:t>
      </w:r>
    </w:p>
    <w:p w14:paraId="124F8D4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1.10.1 出入现场的权利：执行通用条款。</w:t>
      </w:r>
    </w:p>
    <w:p w14:paraId="4B739BA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1.10.3 关于场外交通和场内交通边界的约定：</w:t>
      </w:r>
      <w:r>
        <w:rPr>
          <w:rFonts w:hint="eastAsia" w:ascii="宋体" w:hAnsi="宋体" w:cs="宋体"/>
          <w:color w:val="auto"/>
          <w:sz w:val="21"/>
          <w:szCs w:val="21"/>
          <w:highlight w:val="none"/>
          <w:u w:val="single"/>
        </w:rPr>
        <w:t xml:space="preserve">   无   </w:t>
      </w:r>
      <w:r>
        <w:rPr>
          <w:rFonts w:hint="eastAsia" w:ascii="宋体" w:hAnsi="宋体" w:cs="宋体"/>
          <w:color w:val="auto"/>
          <w:sz w:val="21"/>
          <w:szCs w:val="21"/>
          <w:highlight w:val="none"/>
        </w:rPr>
        <w:t>。</w:t>
      </w:r>
    </w:p>
    <w:p w14:paraId="76B063BD">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1.10.4 超大件和超重件的运输</w:t>
      </w:r>
    </w:p>
    <w:p w14:paraId="18ADBEB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运输超大件或超重件所需的道路和桥梁临时加固改造费用和其他有关费用由</w:t>
      </w:r>
      <w:r>
        <w:rPr>
          <w:rFonts w:hint="eastAsia" w:ascii="宋体" w:hAnsi="宋体" w:cs="宋体"/>
          <w:color w:val="auto"/>
          <w:sz w:val="21"/>
          <w:szCs w:val="21"/>
          <w:highlight w:val="none"/>
          <w:u w:val="single"/>
        </w:rPr>
        <w:t>承包人</w:t>
      </w:r>
      <w:r>
        <w:rPr>
          <w:rFonts w:hint="eastAsia" w:ascii="宋体" w:hAnsi="宋体" w:cs="宋体"/>
          <w:color w:val="auto"/>
          <w:sz w:val="21"/>
          <w:szCs w:val="21"/>
          <w:highlight w:val="none"/>
        </w:rPr>
        <w:t xml:space="preserve">承担。 </w:t>
      </w:r>
    </w:p>
    <w:p w14:paraId="25212FF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1.11 知识产权</w:t>
      </w:r>
    </w:p>
    <w:p w14:paraId="55BD75B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关于本合同的知识产权、使用及使用费用约定：执行通用条款。</w:t>
      </w:r>
    </w:p>
    <w:p w14:paraId="7BA4B46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1.13工程量清单错误的修正</w:t>
      </w:r>
    </w:p>
    <w:p w14:paraId="79B8209E">
      <w:pPr>
        <w:spacing w:line="450" w:lineRule="exact"/>
        <w:ind w:firstLine="420" w:firstLineChars="200"/>
        <w:rPr>
          <w:rFonts w:hint="eastAsia" w:ascii="宋体" w:hAnsi="宋体" w:cs="宋体"/>
          <w:color w:val="auto"/>
          <w:sz w:val="21"/>
          <w:szCs w:val="21"/>
          <w:highlight w:val="none"/>
        </w:rPr>
      </w:pPr>
      <w:bookmarkStart w:id="397" w:name="_Toc364853225"/>
      <w:r>
        <w:rPr>
          <w:rFonts w:hint="eastAsia" w:ascii="宋体" w:hAnsi="宋体" w:cs="宋体"/>
          <w:color w:val="auto"/>
          <w:sz w:val="21"/>
          <w:szCs w:val="21"/>
          <w:highlight w:val="none"/>
        </w:rPr>
        <w:t>允许对下列工程量清单的错误进行调整：（1）工程量清单存在缺项、漏项；（2）任一招标工程量清单项目的工程量有偏差；（3）未按照国家现行计量规范强制性规定计量。</w:t>
      </w:r>
    </w:p>
    <w:p w14:paraId="5B8874F1">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2. 发包人</w:t>
      </w:r>
      <w:bookmarkEnd w:id="397"/>
    </w:p>
    <w:p w14:paraId="6FE1B31C">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2.2 发包人代表</w:t>
      </w:r>
    </w:p>
    <w:p w14:paraId="09BCC1DB">
      <w:pPr>
        <w:pStyle w:val="67"/>
        <w:spacing w:before="120" w:line="360" w:lineRule="auto"/>
        <w:ind w:firstLine="401" w:firstLineChars="190"/>
        <w:rPr>
          <w:rFonts w:hint="eastAsia" w:ascii="仿宋_GB2312" w:hAnsi="宋体" w:eastAsia="仿宋_GB2312"/>
          <w:color w:val="auto"/>
          <w:sz w:val="21"/>
          <w:szCs w:val="21"/>
          <w:highlight w:val="none"/>
          <w:u w:val="single"/>
        </w:rPr>
      </w:pPr>
      <w:r>
        <w:rPr>
          <w:rFonts w:hint="eastAsia" w:ascii="仿宋_GB2312" w:hAnsi="宋体" w:eastAsia="仿宋_GB2312"/>
          <w:color w:val="auto"/>
          <w:sz w:val="21"/>
          <w:szCs w:val="21"/>
          <w:highlight w:val="none"/>
        </w:rPr>
        <w:t>发包人代表姓名：</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51D190CD">
      <w:pPr>
        <w:pStyle w:val="67"/>
        <w:spacing w:before="120" w:line="360" w:lineRule="auto"/>
        <w:ind w:firstLine="401" w:firstLineChars="190"/>
        <w:rPr>
          <w:rFonts w:hint="eastAsia" w:ascii="仿宋_GB2312" w:hAnsi="宋体" w:eastAsia="仿宋_GB2312"/>
          <w:color w:val="auto"/>
          <w:sz w:val="21"/>
          <w:szCs w:val="21"/>
          <w:highlight w:val="none"/>
          <w:u w:val="single"/>
        </w:rPr>
      </w:pPr>
      <w:r>
        <w:rPr>
          <w:rFonts w:hint="eastAsia" w:ascii="仿宋_GB2312" w:hAnsi="宋体" w:eastAsia="仿宋_GB2312"/>
          <w:color w:val="auto"/>
          <w:sz w:val="21"/>
          <w:szCs w:val="21"/>
          <w:highlight w:val="none"/>
        </w:rPr>
        <w:t>身份证号码：</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16282121">
      <w:pPr>
        <w:pStyle w:val="67"/>
        <w:spacing w:before="120" w:line="360" w:lineRule="auto"/>
        <w:ind w:firstLine="401" w:firstLineChars="190"/>
        <w:rPr>
          <w:rFonts w:hint="eastAsia" w:ascii="仿宋_GB2312" w:hAnsi="宋体" w:eastAsia="仿宋_GB2312"/>
          <w:color w:val="auto"/>
          <w:sz w:val="21"/>
          <w:szCs w:val="21"/>
          <w:highlight w:val="none"/>
        </w:rPr>
      </w:pPr>
      <w:r>
        <w:rPr>
          <w:rFonts w:hint="eastAsia" w:ascii="仿宋_GB2312" w:hAnsi="宋体" w:eastAsia="仿宋_GB2312"/>
          <w:color w:val="auto"/>
          <w:sz w:val="21"/>
          <w:szCs w:val="21"/>
          <w:highlight w:val="none"/>
        </w:rPr>
        <w:t>联系电话</w:t>
      </w:r>
      <w:r>
        <w:rPr>
          <w:rFonts w:hint="eastAsia" w:ascii="仿宋_GB2312" w:hAnsi="宋体" w:eastAsia="仿宋_GB2312"/>
          <w:color w:val="auto"/>
          <w:sz w:val="21"/>
          <w:szCs w:val="21"/>
          <w:highlight w:val="none"/>
          <w:u w:val="single"/>
        </w:rPr>
        <w:t xml:space="preserve">：  </w:t>
      </w:r>
      <w:r>
        <w:rPr>
          <w:rFonts w:hint="eastAsia" w:ascii="仿宋_GB2312" w:hAnsi="宋体" w:eastAsia="仿宋_GB2312"/>
          <w:color w:val="auto"/>
          <w:sz w:val="21"/>
          <w:szCs w:val="21"/>
          <w:highlight w:val="none"/>
          <w:u w:val="single"/>
          <w:lang w:val="en-US" w:eastAsia="zh-CN"/>
        </w:rPr>
        <w:t xml:space="preserve">         </w:t>
      </w:r>
      <w:r>
        <w:rPr>
          <w:rFonts w:hint="eastAsia" w:ascii="仿宋_GB2312" w:hAnsi="宋体" w:eastAsia="仿宋_GB2312"/>
          <w:color w:val="auto"/>
          <w:sz w:val="21"/>
          <w:szCs w:val="21"/>
          <w:highlight w:val="none"/>
          <w:u w:val="single"/>
        </w:rPr>
        <w:t xml:space="preserve">                 </w:t>
      </w:r>
    </w:p>
    <w:p w14:paraId="1C78FB61">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对发包人代表的授权范围如下：代表发包人履行发包人对工程建设管理的权利和义务，签发（或会签）各项工程联系单，对承包人、监理人有监督、协调的权利。工程价款洽商、索赔事项的处理、合同的变更等事项，由发包人代表在监理人的配合下完成，但最终需经发包人同意。</w:t>
      </w:r>
    </w:p>
    <w:p w14:paraId="7BB2CB9C">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2.5 资金来源证明及支付担保</w:t>
      </w:r>
    </w:p>
    <w:p w14:paraId="0041AE9F">
      <w:pPr>
        <w:spacing w:line="450" w:lineRule="exact"/>
        <w:ind w:firstLine="420" w:firstLineChars="200"/>
        <w:rPr>
          <w:rFonts w:hint="eastAsia" w:ascii="宋体" w:hAnsi="宋体" w:cs="宋体"/>
          <w:color w:val="auto"/>
          <w:sz w:val="21"/>
          <w:szCs w:val="21"/>
          <w:highlight w:val="none"/>
        </w:rPr>
      </w:pPr>
      <w:bookmarkStart w:id="398" w:name="_Toc364853226"/>
      <w:r>
        <w:rPr>
          <w:rFonts w:hint="eastAsia" w:ascii="宋体" w:hAnsi="宋体" w:cs="宋体"/>
          <w:color w:val="auto"/>
          <w:sz w:val="21"/>
          <w:szCs w:val="21"/>
          <w:highlight w:val="none"/>
        </w:rPr>
        <w:t>按《宁波市房屋建筑和市政基础设施工程担保管理办法（试行）》规定，发包人</w:t>
      </w:r>
      <w:r>
        <w:rPr>
          <w:rFonts w:hint="eastAsia" w:ascii="宋体" w:hAnsi="宋体" w:cs="宋体"/>
          <w:color w:val="auto"/>
          <w:kern w:val="0"/>
          <w:sz w:val="21"/>
          <w:szCs w:val="21"/>
          <w:highlight w:val="none"/>
          <w:u w:val="single"/>
        </w:rPr>
        <w:t xml:space="preserve">不需 </w:t>
      </w:r>
      <w:r>
        <w:rPr>
          <w:rFonts w:hint="eastAsia" w:ascii="宋体" w:hAnsi="宋体" w:cs="宋体"/>
          <w:color w:val="auto"/>
          <w:sz w:val="21"/>
          <w:szCs w:val="21"/>
          <w:highlight w:val="none"/>
        </w:rPr>
        <w:t>向承包人提供合同款的支付担保。</w:t>
      </w:r>
    </w:p>
    <w:p w14:paraId="28C94CC3">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3. 承包人</w:t>
      </w:r>
      <w:bookmarkEnd w:id="398"/>
    </w:p>
    <w:p w14:paraId="1CCF490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3.1 承包人的一般义务</w:t>
      </w:r>
    </w:p>
    <w:p w14:paraId="4C8585F6">
      <w:pPr>
        <w:spacing w:line="450" w:lineRule="exact"/>
        <w:ind w:firstLine="420" w:firstLineChars="200"/>
        <w:rPr>
          <w:rFonts w:hint="eastAsia" w:ascii="宋体" w:hAnsi="宋体" w:cs="宋体"/>
          <w:color w:val="auto"/>
          <w:sz w:val="21"/>
          <w:szCs w:val="21"/>
          <w:highlight w:val="none"/>
          <w:u w:val="single"/>
        </w:rPr>
      </w:pPr>
      <w:r>
        <w:rPr>
          <w:rFonts w:hint="eastAsia" w:ascii="宋体" w:hAnsi="宋体" w:cs="宋体"/>
          <w:color w:val="auto"/>
          <w:kern w:val="0"/>
          <w:sz w:val="21"/>
          <w:szCs w:val="21"/>
          <w:highlight w:val="none"/>
        </w:rPr>
        <w:t>（9）</w:t>
      </w:r>
      <w:r>
        <w:rPr>
          <w:rFonts w:hint="eastAsia" w:ascii="宋体" w:hAnsi="宋体" w:cs="宋体"/>
          <w:color w:val="auto"/>
          <w:sz w:val="21"/>
          <w:szCs w:val="21"/>
          <w:highlight w:val="none"/>
        </w:rPr>
        <w:t>承包人应在具备竣工验收合格条件后2个月内按宁波市奉化区城建档案归档要求向发包人提交竣工资料，至少包括纸质及电子资料各3套，为此产生的费用由承包人承担。</w:t>
      </w:r>
    </w:p>
    <w:p w14:paraId="59D9D4B6">
      <w:pPr>
        <w:pStyle w:val="67"/>
        <w:spacing w:before="120" w:line="450" w:lineRule="exact"/>
        <w:ind w:firstLine="398" w:firstLineChars="189"/>
        <w:rPr>
          <w:rFonts w:hint="eastAsia" w:hAnsi="宋体" w:cs="宋体"/>
          <w:color w:val="auto"/>
          <w:sz w:val="21"/>
          <w:szCs w:val="21"/>
          <w:highlight w:val="none"/>
        </w:rPr>
      </w:pPr>
      <w:r>
        <w:rPr>
          <w:rFonts w:hint="eastAsia" w:hAnsi="宋体" w:cs="宋体"/>
          <w:color w:val="auto"/>
          <w:sz w:val="21"/>
          <w:szCs w:val="21"/>
          <w:highlight w:val="none"/>
        </w:rPr>
        <w:t>3.2 项目经理</w:t>
      </w:r>
    </w:p>
    <w:p w14:paraId="7D3EDF77">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项目经理姓名：</w:t>
      </w:r>
      <w:r>
        <w:rPr>
          <w:rFonts w:hint="eastAsia" w:hAnsi="宋体" w:cs="宋体"/>
          <w:color w:val="auto"/>
          <w:sz w:val="21"/>
          <w:szCs w:val="21"/>
          <w:highlight w:val="none"/>
          <w:u w:val="single"/>
          <w:lang w:val="en-US" w:eastAsia="zh-CN"/>
        </w:rPr>
        <w:t xml:space="preserve">                      </w:t>
      </w:r>
    </w:p>
    <w:p w14:paraId="242F0436">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身份证号码：</w:t>
      </w:r>
      <w:r>
        <w:rPr>
          <w:rFonts w:hint="eastAsia" w:hAnsi="宋体" w:cs="宋体"/>
          <w:color w:val="auto"/>
          <w:sz w:val="21"/>
          <w:szCs w:val="21"/>
          <w:highlight w:val="none"/>
          <w:u w:val="single"/>
          <w:lang w:val="en-US" w:eastAsia="zh-CN"/>
        </w:rPr>
        <w:t xml:space="preserve">                      </w:t>
      </w:r>
    </w:p>
    <w:p w14:paraId="3DEDCBD8">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联系电话：</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29ACC1B9">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安全员姓名：</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r>
        <w:rPr>
          <w:rFonts w:hint="eastAsia" w:hAnsi="宋体" w:cs="宋体"/>
          <w:color w:val="auto"/>
          <w:sz w:val="21"/>
          <w:szCs w:val="21"/>
          <w:highlight w:val="none"/>
          <w:u w:val="single"/>
        </w:rPr>
        <w:t xml:space="preserve">      </w:t>
      </w:r>
    </w:p>
    <w:p w14:paraId="04FA0F45">
      <w:pPr>
        <w:pStyle w:val="67"/>
        <w:spacing w:before="120" w:line="450" w:lineRule="exact"/>
        <w:ind w:firstLine="398" w:firstLineChars="189"/>
        <w:rPr>
          <w:rFonts w:hint="eastAsia" w:hAnsi="宋体" w:cs="宋体"/>
          <w:color w:val="auto"/>
          <w:sz w:val="21"/>
          <w:szCs w:val="21"/>
          <w:highlight w:val="none"/>
          <w:u w:val="single"/>
        </w:rPr>
      </w:pPr>
      <w:r>
        <w:rPr>
          <w:rFonts w:hint="eastAsia" w:hAnsi="宋体" w:cs="宋体"/>
          <w:color w:val="auto"/>
          <w:sz w:val="21"/>
          <w:szCs w:val="21"/>
          <w:highlight w:val="none"/>
        </w:rPr>
        <w:t>身份证号码：</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49ADC2DB">
      <w:pPr>
        <w:pStyle w:val="67"/>
        <w:spacing w:before="120" w:line="450" w:lineRule="exact"/>
        <w:ind w:firstLine="398" w:firstLineChars="189"/>
        <w:rPr>
          <w:rFonts w:hint="eastAsia" w:hAnsi="宋体" w:cs="宋体"/>
          <w:color w:val="auto"/>
          <w:sz w:val="21"/>
          <w:szCs w:val="21"/>
          <w:highlight w:val="none"/>
        </w:rPr>
      </w:pPr>
      <w:r>
        <w:rPr>
          <w:rFonts w:hint="eastAsia" w:hAnsi="宋体" w:cs="宋体"/>
          <w:color w:val="auto"/>
          <w:sz w:val="21"/>
          <w:szCs w:val="21"/>
          <w:highlight w:val="none"/>
        </w:rPr>
        <w:t>联系电话：</w:t>
      </w:r>
      <w:r>
        <w:rPr>
          <w:rFonts w:hint="eastAsia"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 xml:space="preserve">                       </w:t>
      </w:r>
    </w:p>
    <w:p w14:paraId="45B7FC29">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3.2.1承包人委派的项目</w:t>
      </w:r>
      <w:r>
        <w:rPr>
          <w:rFonts w:hint="eastAsia" w:ascii="宋体" w:hAnsi="宋体" w:cs="宋体"/>
          <w:color w:val="auto"/>
          <w:sz w:val="21"/>
          <w:szCs w:val="21"/>
          <w:highlight w:val="none"/>
        </w:rPr>
        <w:t>经理</w:t>
      </w:r>
      <w:r>
        <w:rPr>
          <w:rFonts w:hint="eastAsia" w:ascii="宋体" w:hAnsi="宋体" w:cs="宋体"/>
          <w:color w:val="auto"/>
          <w:kern w:val="0"/>
          <w:sz w:val="21"/>
          <w:szCs w:val="21"/>
          <w:highlight w:val="none"/>
        </w:rPr>
        <w:t>及其执业行为应遵守通用条款约定，违反约定的，按本专用条款约定，承担违约责任。</w:t>
      </w:r>
    </w:p>
    <w:p w14:paraId="4E0F12D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承包人项目经理必须与承包人所承诺的人员一致，并在根据本合同约定的开工日期前到任。项目经理不得违反本市建设行政主管部门对项目经理的管理规定。未经发包人书面许可，承包人不得更换项目经理。承包人项目经理以及项目管理机构关键岗位人员的姓名、职称、身份证号、执业资格证书号、注册证书号、执业印章号、安全生产考核合格证书号等资料应当在合同协议书中载明。</w:t>
      </w:r>
    </w:p>
    <w:p w14:paraId="759F2407">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sz w:val="21"/>
          <w:szCs w:val="21"/>
          <w:highlight w:val="none"/>
        </w:rPr>
        <w:t>（2）承包人对项目经理的授权范围如下：在承</w:t>
      </w:r>
      <w:r>
        <w:rPr>
          <w:rFonts w:hint="eastAsia" w:ascii="宋体" w:hAnsi="宋体" w:cs="宋体"/>
          <w:color w:val="auto"/>
          <w:kern w:val="0"/>
          <w:sz w:val="21"/>
          <w:szCs w:val="21"/>
          <w:highlight w:val="none"/>
        </w:rPr>
        <w:t>包人授权范围内履行承包人的职权，对工程建设的质量、安全、工期以及工程造价控制负责，所有上报给发包人的文件均需项目经理签字。</w:t>
      </w:r>
    </w:p>
    <w:p w14:paraId="1F9F4414">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（3）承包人未提交劳动合同，以及没有为项目经理缴纳社会保险证明的违约责任：发包人有权解除合同，由此造成的费用增加和工期延误损失均由承包人承担。</w:t>
      </w:r>
    </w:p>
    <w:p w14:paraId="26A97672">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（4）关于项目经理每月在施工现场的时间要求：每月在施工现场时间不得少于</w:t>
      </w:r>
      <w:r>
        <w:rPr>
          <w:rFonts w:hint="eastAsia" w:ascii="宋体" w:hAnsi="宋体" w:cs="宋体"/>
          <w:color w:val="auto"/>
          <w:kern w:val="0"/>
          <w:sz w:val="21"/>
          <w:szCs w:val="21"/>
          <w:highlight w:val="none"/>
          <w:u w:val="single"/>
        </w:rPr>
        <w:t xml:space="preserve"> 25</w:t>
      </w:r>
      <w:r>
        <w:rPr>
          <w:rFonts w:hint="eastAsia" w:ascii="宋体" w:hAnsi="宋体" w:cs="宋体"/>
          <w:color w:val="auto"/>
          <w:kern w:val="0"/>
          <w:sz w:val="21"/>
          <w:szCs w:val="21"/>
          <w:highlight w:val="none"/>
        </w:rPr>
        <w:t>天，每天工作时间不得少于</w:t>
      </w:r>
      <w:r>
        <w:rPr>
          <w:rFonts w:hint="eastAsia" w:ascii="宋体" w:hAnsi="宋体" w:cs="宋体"/>
          <w:color w:val="auto"/>
          <w:kern w:val="0"/>
          <w:sz w:val="21"/>
          <w:szCs w:val="21"/>
          <w:highlight w:val="none"/>
          <w:u w:val="single"/>
        </w:rPr>
        <w:t xml:space="preserve"> 8 </w:t>
      </w:r>
      <w:r>
        <w:rPr>
          <w:rFonts w:hint="eastAsia" w:ascii="宋体" w:hAnsi="宋体" w:cs="宋体"/>
          <w:color w:val="auto"/>
          <w:kern w:val="0"/>
          <w:sz w:val="21"/>
          <w:szCs w:val="21"/>
          <w:highlight w:val="none"/>
        </w:rPr>
        <w:t>小时，且重要工程例会及验收环节等必须由项目经理参加。</w:t>
      </w:r>
    </w:p>
    <w:p w14:paraId="78577A2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（5）项目经理未经批准，擅自离开施工现场的违约责任：处违约金</w:t>
      </w:r>
      <w:r>
        <w:rPr>
          <w:rFonts w:hint="eastAsia" w:ascii="宋体" w:hAnsi="宋体" w:cs="宋体"/>
          <w:color w:val="auto"/>
          <w:kern w:val="0"/>
          <w:sz w:val="21"/>
          <w:szCs w:val="21"/>
          <w:highlight w:val="none"/>
          <w:u w:val="single"/>
        </w:rPr>
        <w:t>1000</w:t>
      </w:r>
      <w:r>
        <w:rPr>
          <w:rFonts w:hint="eastAsia" w:ascii="宋体" w:hAnsi="宋体" w:cs="宋体"/>
          <w:color w:val="auto"/>
          <w:kern w:val="0"/>
          <w:sz w:val="21"/>
          <w:szCs w:val="21"/>
          <w:highlight w:val="none"/>
        </w:rPr>
        <w:t>元/次，违约金从投标函附录中承诺的“未履行项目经理及主要施工管理人员到场承诺违约金限额”中扣除，该项限额不足时，发包人有权向承包人追偿。</w:t>
      </w:r>
    </w:p>
    <w:p w14:paraId="0536173B">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发包人对项目经理擅自离开施工现场的违约处理，应根据监理人对项目经理的考勤结果进行。</w:t>
      </w:r>
    </w:p>
    <w:p w14:paraId="29E1E78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3.2.3 承包人擅自更换项目经理的违约责任：处违约金</w:t>
      </w:r>
      <w:r>
        <w:rPr>
          <w:rFonts w:hint="eastAsia" w:ascii="宋体" w:hAnsi="宋体" w:cs="宋体"/>
          <w:color w:val="auto"/>
          <w:kern w:val="0"/>
          <w:sz w:val="21"/>
          <w:szCs w:val="21"/>
          <w:highlight w:val="none"/>
          <w:u w:val="single"/>
        </w:rPr>
        <w:t xml:space="preserve"> 10000 </w:t>
      </w:r>
      <w:r>
        <w:rPr>
          <w:rFonts w:hint="eastAsia" w:ascii="宋体" w:hAnsi="宋体" w:cs="宋体"/>
          <w:color w:val="auto"/>
          <w:kern w:val="0"/>
          <w:sz w:val="21"/>
          <w:szCs w:val="21"/>
          <w:highlight w:val="none"/>
        </w:rPr>
        <w:t>元/次，违约金从投标函附录中承诺的“未履行项目经理及主要施工管理人员到场承诺违约金限额”中扣除，该项限额不足时，发包人有权向承包人追偿，且有权拒绝接受其擅自更换的项目经理。</w:t>
      </w:r>
    </w:p>
    <w:p w14:paraId="61F808CC">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3.2.4 承包人无正当理由拒绝更换项目经理的违约责任：发包人认为项目经理无法履行职责的，应提供相关证明材料，并签发《整改通知书》，承包人在收到《整改通知书》后仍无改善的，发包人有权要求承包人更换项目经理。承包人无正当理由拒绝更换的，发包人可以一次性扣除承包人投标函附录中承诺的“未履行项目经理及主要施工管理人员到场承诺违约金限额”。情节严重的，发包人有权解除合同，由此造成的一切损失由承包人承担。</w:t>
      </w:r>
    </w:p>
    <w:p w14:paraId="20AE531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3.3 承包人人员</w:t>
      </w:r>
    </w:p>
    <w:p w14:paraId="14A145C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3.3.1 承包人应接到开工通知后7天内提交与</w:t>
      </w:r>
      <w:r>
        <w:rPr>
          <w:rFonts w:hint="eastAsia" w:ascii="宋体" w:hAnsi="宋体" w:cs="宋体"/>
          <w:color w:val="auto"/>
          <w:sz w:val="21"/>
          <w:szCs w:val="21"/>
          <w:highlight w:val="none"/>
        </w:rPr>
        <w:t>投标时所承诺的人员一致的</w:t>
      </w:r>
      <w:r>
        <w:rPr>
          <w:rFonts w:hint="eastAsia" w:ascii="宋体" w:hAnsi="宋体" w:cs="宋体"/>
          <w:color w:val="auto"/>
          <w:kern w:val="0"/>
          <w:sz w:val="21"/>
          <w:szCs w:val="21"/>
          <w:highlight w:val="none"/>
        </w:rPr>
        <w:t>项目管理机构及施工现场管理人员安排报告。</w:t>
      </w:r>
    </w:p>
    <w:p w14:paraId="50093546">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3.3.3 承包人无正当理由拒绝撤换主要施工管理人员的违约责任：发包人认为主要施工管理人员（指技术负责人、安全员、施工员、质量员）无法履行职责的，应提供相关证明材料，并签发《整改通知书》。承包人在收到《整改通知书》后仍无改善的，发包人有权要求承包人更换管理人员。承包人无正当理由拒绝更换的，发包人可以一次性扣除承包人投标函附录中承诺中的“未履行项目经理及主要施工管理人员到场承诺违约金限额”。</w:t>
      </w:r>
    </w:p>
    <w:p w14:paraId="01F2120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3.3.4 承包人主要施工管理人员离开施工现场的批准要求：安全员、施工员每月在施工管理现场不得少于25天，其他主要施工管理人员每月在施工管理现场不得少于15天，有特殊情况少于上述时间的，批准要求按通用条款执行。</w:t>
      </w:r>
    </w:p>
    <w:p w14:paraId="0CFB93B2">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3.3.5 承包人擅自更换主要施工管理人员的违约责任：处违约金5000元/人/次，违约金从投标函附录中承诺中的“未履行项目经理及主要施工管理人员到场承诺违约金限额”中扣除，该项限额不足时，发包人有权向承包人追偿，且有权拒绝接受其擅自更换的主要施工管理人员。</w:t>
      </w:r>
    </w:p>
    <w:p w14:paraId="20B58DD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承包人主要施工管理人员擅自离开施工现场的违约责任：处违约金2000元/人/次，违约金从投标函附录中承诺的“未履行项目经理及主要施工管理人员到场承诺违约金限额”中扣除，该项限额不足时，发包人有权向承包人追偿。</w:t>
      </w:r>
    </w:p>
    <w:p w14:paraId="5C509A8A">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3.5 分包</w:t>
      </w:r>
    </w:p>
    <w:p w14:paraId="1E974A65">
      <w:pPr>
        <w:pStyle w:val="67"/>
        <w:spacing w:before="120" w:line="450" w:lineRule="exact"/>
        <w:ind w:firstLine="399" w:firstLineChars="190"/>
        <w:rPr>
          <w:rFonts w:hint="eastAsia" w:hAnsi="宋体" w:cs="宋体"/>
          <w:b w:val="0"/>
          <w:bCs/>
          <w:color w:val="auto"/>
          <w:kern w:val="0"/>
          <w:sz w:val="21"/>
          <w:szCs w:val="21"/>
          <w:highlight w:val="none"/>
        </w:rPr>
      </w:pPr>
      <w:r>
        <w:rPr>
          <w:rFonts w:hint="eastAsia" w:hAnsi="宋体" w:cs="宋体"/>
          <w:b w:val="0"/>
          <w:bCs/>
          <w:color w:val="auto"/>
          <w:kern w:val="0"/>
          <w:sz w:val="21"/>
          <w:szCs w:val="21"/>
          <w:highlight w:val="none"/>
        </w:rPr>
        <w:t>不允许。</w:t>
      </w:r>
    </w:p>
    <w:p w14:paraId="118E3FCA">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3.6 工程照管与成品、半成品保护</w:t>
      </w:r>
    </w:p>
    <w:p w14:paraId="0365F91A">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工程照管与成品、半成品保护有关约定：执行通用条款。</w:t>
      </w:r>
    </w:p>
    <w:p w14:paraId="2BDE4B5F">
      <w:pPr>
        <w:pStyle w:val="67"/>
        <w:spacing w:before="120" w:line="450" w:lineRule="exact"/>
        <w:ind w:firstLine="401" w:firstLineChars="190"/>
        <w:rPr>
          <w:rFonts w:hint="eastAsia" w:hAnsi="宋体" w:cs="宋体"/>
          <w:color w:val="auto"/>
          <w:sz w:val="21"/>
          <w:szCs w:val="21"/>
          <w:highlight w:val="none"/>
        </w:rPr>
      </w:pPr>
      <w:bookmarkStart w:id="399" w:name="_Toc364853227"/>
      <w:r>
        <w:rPr>
          <w:rFonts w:hint="eastAsia" w:hAnsi="宋体" w:cs="宋体"/>
          <w:color w:val="auto"/>
          <w:sz w:val="21"/>
          <w:szCs w:val="21"/>
          <w:highlight w:val="none"/>
        </w:rPr>
        <w:t>3.7 履约担保</w:t>
      </w:r>
    </w:p>
    <w:p w14:paraId="7AD60462">
      <w:pPr>
        <w:pStyle w:val="67"/>
        <w:spacing w:before="120" w:line="450" w:lineRule="exact"/>
        <w:ind w:left="120" w:hanging="105" w:hanging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（1）承包人提供的履约担保形式为</w:t>
      </w:r>
      <w:r>
        <w:rPr>
          <w:rFonts w:hint="eastAsia" w:hAnsi="宋体" w:cs="宋体"/>
          <w:b w:val="0"/>
          <w:color w:val="auto"/>
          <w:kern w:val="0"/>
          <w:sz w:val="21"/>
          <w:szCs w:val="21"/>
          <w:highlight w:val="none"/>
          <w:u w:val="single"/>
        </w:rPr>
        <w:t xml:space="preserve">  </w:t>
      </w:r>
      <w:r>
        <w:rPr>
          <w:rFonts w:hint="eastAsia" w:hAnsi="宋体" w:cs="宋体"/>
          <w:b w:val="0"/>
          <w:color w:val="auto"/>
          <w:kern w:val="0"/>
          <w:sz w:val="21"/>
          <w:szCs w:val="21"/>
          <w:highlight w:val="none"/>
          <w:u w:val="single"/>
          <w:lang w:val="en-US" w:eastAsia="zh-CN"/>
        </w:rPr>
        <w:t xml:space="preserve">    </w:t>
      </w:r>
      <w:r>
        <w:rPr>
          <w:rFonts w:hint="eastAsia" w:hAnsi="宋体" w:cs="宋体"/>
          <w:b w:val="0"/>
          <w:color w:val="auto"/>
          <w:kern w:val="0"/>
          <w:sz w:val="21"/>
          <w:szCs w:val="21"/>
          <w:highlight w:val="none"/>
        </w:rPr>
        <w:t xml:space="preserve">（ A、履约保函；/  B、履约保证金电汇、/  </w:t>
      </w:r>
      <w:r>
        <w:rPr>
          <w:rFonts w:hint="eastAsia" w:hAnsi="宋体" w:cs="宋体"/>
          <w:b w:val="0"/>
          <w:color w:val="auto"/>
          <w:kern w:val="0"/>
          <w:sz w:val="21"/>
          <w:szCs w:val="21"/>
          <w:highlight w:val="none"/>
          <w:lang w:val="en-US" w:eastAsia="zh-CN"/>
        </w:rPr>
        <w:t>C</w:t>
      </w:r>
      <w:r>
        <w:rPr>
          <w:rFonts w:hint="eastAsia" w:hAnsi="宋体" w:cs="宋体"/>
          <w:b w:val="0"/>
          <w:color w:val="auto"/>
          <w:kern w:val="0"/>
          <w:sz w:val="21"/>
          <w:szCs w:val="21"/>
          <w:highlight w:val="none"/>
        </w:rPr>
        <w:t xml:space="preserve">、银行支票、/ </w:t>
      </w:r>
      <w:r>
        <w:rPr>
          <w:rFonts w:hint="eastAsia" w:hAnsi="宋体" w:cs="宋体"/>
          <w:b w:val="0"/>
          <w:color w:val="auto"/>
          <w:kern w:val="0"/>
          <w:sz w:val="21"/>
          <w:szCs w:val="21"/>
          <w:highlight w:val="none"/>
          <w:lang w:val="en-US" w:eastAsia="zh-CN"/>
        </w:rPr>
        <w:t>D</w:t>
      </w:r>
      <w:r>
        <w:rPr>
          <w:rFonts w:hint="eastAsia" w:hAnsi="宋体" w:cs="宋体"/>
          <w:b w:val="0"/>
          <w:color w:val="auto"/>
          <w:kern w:val="0"/>
          <w:sz w:val="21"/>
          <w:szCs w:val="21"/>
          <w:highlight w:val="none"/>
        </w:rPr>
        <w:t xml:space="preserve">、银行保函、/  </w:t>
      </w:r>
      <w:r>
        <w:rPr>
          <w:rFonts w:hint="eastAsia" w:hAnsi="宋体" w:cs="宋体"/>
          <w:b w:val="0"/>
          <w:color w:val="auto"/>
          <w:kern w:val="0"/>
          <w:sz w:val="21"/>
          <w:szCs w:val="21"/>
          <w:highlight w:val="none"/>
          <w:lang w:val="en-US" w:eastAsia="zh-CN"/>
        </w:rPr>
        <w:t>E</w:t>
      </w:r>
      <w:r>
        <w:rPr>
          <w:rFonts w:hint="eastAsia" w:hAnsi="宋体" w:cs="宋体"/>
          <w:b w:val="0"/>
          <w:color w:val="auto"/>
          <w:kern w:val="0"/>
          <w:sz w:val="21"/>
          <w:szCs w:val="21"/>
          <w:highlight w:val="none"/>
        </w:rPr>
        <w:t xml:space="preserve">、保险公司担保）。                </w:t>
      </w:r>
    </w:p>
    <w:p w14:paraId="6C5B238F">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① 如提供履约保函的，将向发包人提供符合本合同附件6格式的履约保函一份。</w:t>
      </w:r>
    </w:p>
    <w:p w14:paraId="53579FB4">
      <w:pPr>
        <w:pStyle w:val="67"/>
        <w:spacing w:before="120" w:line="450" w:lineRule="exact"/>
        <w:ind w:left="554" w:leftChars="114" w:hanging="315" w:hangingChars="1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②提供履约保证金的，承包人在签订合同</w:t>
      </w:r>
      <w:r>
        <w:rPr>
          <w:rFonts w:hint="eastAsia" w:hAnsi="宋体" w:cs="宋体"/>
          <w:b w:val="0"/>
          <w:color w:val="auto"/>
          <w:kern w:val="0"/>
          <w:sz w:val="21"/>
          <w:szCs w:val="21"/>
          <w:highlight w:val="none"/>
          <w:lang w:eastAsia="zh-CN"/>
        </w:rPr>
        <w:t>的</w:t>
      </w:r>
      <w:r>
        <w:rPr>
          <w:rFonts w:hint="eastAsia" w:hAnsi="宋体" w:cs="宋体"/>
          <w:b w:val="0"/>
          <w:color w:val="auto"/>
          <w:kern w:val="0"/>
          <w:sz w:val="21"/>
          <w:szCs w:val="21"/>
          <w:highlight w:val="none"/>
          <w:lang w:val="en-US" w:eastAsia="zh-CN"/>
        </w:rPr>
        <w:t>同时</w:t>
      </w:r>
      <w:r>
        <w:rPr>
          <w:rFonts w:hint="eastAsia" w:hAnsi="宋体" w:cs="宋体"/>
          <w:b w:val="0"/>
          <w:color w:val="auto"/>
          <w:kern w:val="0"/>
          <w:sz w:val="21"/>
          <w:szCs w:val="21"/>
          <w:highlight w:val="none"/>
        </w:rPr>
        <w:t>向发包人提交合同价款的</w:t>
      </w:r>
      <w:r>
        <w:rPr>
          <w:rFonts w:hint="eastAsia" w:hAnsi="宋体" w:cs="宋体"/>
          <w:b w:val="0"/>
          <w:color w:val="auto"/>
          <w:kern w:val="0"/>
          <w:sz w:val="21"/>
          <w:szCs w:val="21"/>
          <w:highlight w:val="none"/>
          <w:lang w:val="en-US" w:eastAsia="zh-CN"/>
        </w:rPr>
        <w:t>2</w:t>
      </w:r>
      <w:r>
        <w:rPr>
          <w:rFonts w:hint="eastAsia" w:hAnsi="宋体" w:cs="宋体"/>
          <w:b w:val="0"/>
          <w:color w:val="auto"/>
          <w:kern w:val="0"/>
          <w:sz w:val="21"/>
          <w:szCs w:val="21"/>
          <w:highlight w:val="none"/>
        </w:rPr>
        <w:t>%</w:t>
      </w:r>
      <w:r>
        <w:rPr>
          <w:rFonts w:hint="eastAsia" w:hAnsi="宋体" w:cs="宋体"/>
          <w:b w:val="0"/>
          <w:color w:val="auto"/>
          <w:kern w:val="0"/>
          <w:sz w:val="21"/>
          <w:szCs w:val="21"/>
          <w:highlight w:val="none"/>
          <w:lang w:eastAsia="zh-CN"/>
        </w:rPr>
        <w:t>（即</w:t>
      </w:r>
      <w:r>
        <w:rPr>
          <w:rFonts w:hint="eastAsia" w:hAnsi="宋体" w:cs="宋体"/>
          <w:b w:val="0"/>
          <w:color w:val="auto"/>
          <w:kern w:val="0"/>
          <w:sz w:val="21"/>
          <w:szCs w:val="21"/>
          <w:highlight w:val="none"/>
          <w:u w:val="single"/>
          <w:lang w:val="en-US" w:eastAsia="zh-CN"/>
        </w:rPr>
        <w:t xml:space="preserve">  </w:t>
      </w:r>
      <w:r>
        <w:rPr>
          <w:rFonts w:hint="eastAsia" w:hAnsi="宋体" w:cs="宋体"/>
          <w:b w:val="0"/>
          <w:color w:val="auto"/>
          <w:kern w:val="0"/>
          <w:sz w:val="21"/>
          <w:szCs w:val="21"/>
          <w:highlight w:val="none"/>
          <w:lang w:val="en-US" w:eastAsia="zh-CN"/>
        </w:rPr>
        <w:t>元</w:t>
      </w:r>
      <w:r>
        <w:rPr>
          <w:rFonts w:hint="eastAsia" w:hAnsi="宋体" w:cs="宋体"/>
          <w:b w:val="0"/>
          <w:color w:val="auto"/>
          <w:kern w:val="0"/>
          <w:sz w:val="21"/>
          <w:szCs w:val="21"/>
          <w:highlight w:val="none"/>
          <w:lang w:eastAsia="zh-CN"/>
        </w:rPr>
        <w:t>）</w:t>
      </w:r>
      <w:r>
        <w:rPr>
          <w:rFonts w:hint="eastAsia" w:hAnsi="宋体" w:cs="宋体"/>
          <w:b w:val="0"/>
          <w:color w:val="auto"/>
          <w:kern w:val="0"/>
          <w:sz w:val="21"/>
          <w:szCs w:val="21"/>
          <w:highlight w:val="none"/>
        </w:rPr>
        <w:t>的履约保证金；</w:t>
      </w:r>
    </w:p>
    <w:p w14:paraId="34641EEA">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（2）履约担保期限自合同生效之日起至发包人签认并由监理人向承包人出具工程接收证书之日止。</w:t>
      </w:r>
    </w:p>
    <w:p w14:paraId="198D073D">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3）承包人与履约担保有关的任何利息或其它类似的费用或者收益由承包人承担；因承包人原因或其他承包人应承担责任的事由导致工期延长的，继续提供履约担保所增加的费用由承包人承担；非承包人原因导致工期延长的，继续提供履约担保所增加的费用由发包人承担。</w:t>
      </w:r>
    </w:p>
    <w:p w14:paraId="4FA0B742">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b w:val="0"/>
          <w:color w:val="auto"/>
          <w:kern w:val="0"/>
          <w:sz w:val="21"/>
          <w:szCs w:val="21"/>
          <w:highlight w:val="none"/>
        </w:rPr>
        <w:t>（4）履约担保在工程竣工验收合格后28天内予以退还。</w:t>
      </w:r>
    </w:p>
    <w:p w14:paraId="3F25683F">
      <w:pPr>
        <w:pStyle w:val="67"/>
        <w:spacing w:before="120" w:line="450" w:lineRule="exact"/>
        <w:ind w:firstLine="105" w:firstLineChars="50"/>
        <w:rPr>
          <w:rFonts w:hint="eastAsia" w:hAnsi="宋体" w:cs="宋体"/>
          <w:b w:val="0"/>
          <w:color w:val="auto"/>
          <w:kern w:val="0"/>
          <w:sz w:val="21"/>
          <w:szCs w:val="21"/>
          <w:highlight w:val="none"/>
        </w:rPr>
      </w:pPr>
      <w:r>
        <w:rPr>
          <w:rFonts w:hint="eastAsia" w:hAnsi="宋体" w:cs="宋体"/>
          <w:color w:val="auto"/>
          <w:sz w:val="21"/>
          <w:szCs w:val="21"/>
          <w:highlight w:val="none"/>
        </w:rPr>
        <w:t>4. 监理人</w:t>
      </w:r>
      <w:bookmarkEnd w:id="399"/>
    </w:p>
    <w:p w14:paraId="51AE8D2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4.1监理人的一般规定</w:t>
      </w:r>
    </w:p>
    <w:p w14:paraId="6A1FB37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关于监理人的监理内容：工程建设监理合同授予监理人的权利。</w:t>
      </w:r>
    </w:p>
    <w:p w14:paraId="4B6B029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关于监理人的监理权限：涉及费用、工期、图纸更改等工程变更指令和付款、暂停工程施工指令的下达权需取得发包人书面批准方可执行。 </w:t>
      </w:r>
    </w:p>
    <w:p w14:paraId="0812E967">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关于监理人在施工现场的办公场所、生活场所的提供和费用承担的约定：执行通用条款。</w:t>
      </w:r>
    </w:p>
    <w:p w14:paraId="134CB8A1">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4.4 商定或确定</w:t>
      </w:r>
    </w:p>
    <w:p w14:paraId="0785BF0D">
      <w:pPr>
        <w:spacing w:line="450" w:lineRule="exact"/>
        <w:ind w:firstLine="441" w:firstLineChars="210"/>
        <w:rPr>
          <w:rFonts w:hint="eastAsia" w:ascii="宋体" w:hAnsi="宋体" w:cs="宋体"/>
          <w:color w:val="auto"/>
          <w:kern w:val="0"/>
          <w:sz w:val="21"/>
          <w:szCs w:val="21"/>
          <w:highlight w:val="none"/>
        </w:rPr>
      </w:pPr>
      <w:bookmarkStart w:id="400" w:name="_Toc364853228"/>
      <w:r>
        <w:rPr>
          <w:rFonts w:hint="eastAsia" w:ascii="宋体" w:hAnsi="宋体" w:cs="宋体"/>
          <w:color w:val="auto"/>
          <w:kern w:val="0"/>
          <w:sz w:val="21"/>
          <w:szCs w:val="21"/>
          <w:highlight w:val="none"/>
        </w:rPr>
        <w:t>当合同当事人对需要商定或确定的事项不能达成一致时，总监理工程师应按照合同约定作出公正确定，应在合同当事人会商之日起 7 天内提供书面确定意见。</w:t>
      </w:r>
    </w:p>
    <w:p w14:paraId="7EF7E145">
      <w:pPr>
        <w:spacing w:line="450" w:lineRule="exact"/>
        <w:ind w:firstLine="103" w:firstLineChars="49"/>
        <w:rPr>
          <w:rFonts w:hint="eastAsia" w:ascii="宋体" w:hAnsi="宋体" w:cs="宋体"/>
          <w:b/>
          <w:color w:val="auto"/>
          <w:kern w:val="0"/>
          <w:sz w:val="21"/>
          <w:szCs w:val="21"/>
          <w:highlight w:val="none"/>
        </w:rPr>
      </w:pPr>
      <w:r>
        <w:rPr>
          <w:rFonts w:hint="eastAsia" w:ascii="宋体" w:hAnsi="宋体" w:cs="宋体"/>
          <w:b/>
          <w:color w:val="auto"/>
          <w:sz w:val="21"/>
          <w:szCs w:val="21"/>
          <w:highlight w:val="none"/>
        </w:rPr>
        <w:t>5. 工程质量</w:t>
      </w:r>
      <w:bookmarkEnd w:id="400"/>
    </w:p>
    <w:p w14:paraId="019C3AD9">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5.1 质量要求:</w:t>
      </w:r>
      <w:r>
        <w:rPr>
          <w:rFonts w:hint="eastAsia" w:ascii="宋体" w:hAnsi="宋体" w:cs="宋体"/>
          <w:color w:val="auto"/>
          <w:kern w:val="0"/>
          <w:sz w:val="21"/>
          <w:szCs w:val="21"/>
          <w:highlight w:val="none"/>
          <w:u w:val="single"/>
        </w:rPr>
        <w:t>达到国家和行业施工验收规范一次性验收合格</w:t>
      </w:r>
    </w:p>
    <w:p w14:paraId="2B36D6CB">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5.1.1 特殊质量标准和要求：</w:t>
      </w:r>
      <w:r>
        <w:rPr>
          <w:rFonts w:hint="eastAsia" w:ascii="宋体" w:hAnsi="宋体" w:cs="宋体"/>
          <w:color w:val="auto"/>
          <w:kern w:val="0"/>
          <w:sz w:val="21"/>
          <w:szCs w:val="21"/>
          <w:highlight w:val="none"/>
          <w:u w:val="single"/>
        </w:rPr>
        <w:t xml:space="preserve">     无   </w:t>
      </w:r>
      <w:r>
        <w:rPr>
          <w:rFonts w:hint="eastAsia" w:ascii="宋体" w:hAnsi="宋体" w:cs="宋体"/>
          <w:color w:val="auto"/>
          <w:kern w:val="0"/>
          <w:sz w:val="21"/>
          <w:szCs w:val="21"/>
          <w:highlight w:val="none"/>
        </w:rPr>
        <w:t>。</w:t>
      </w:r>
    </w:p>
    <w:p w14:paraId="5A14C6AC">
      <w:pPr>
        <w:pStyle w:val="67"/>
        <w:spacing w:before="120" w:line="450" w:lineRule="exact"/>
        <w:ind w:firstLine="399" w:firstLineChars="190"/>
        <w:rPr>
          <w:rFonts w:hint="eastAsia" w:hAnsi="宋体" w:cs="宋体"/>
          <w:b w:val="0"/>
          <w:color w:val="auto"/>
          <w:sz w:val="21"/>
          <w:szCs w:val="21"/>
          <w:highlight w:val="none"/>
        </w:rPr>
      </w:pPr>
      <w:r>
        <w:rPr>
          <w:rFonts w:hint="eastAsia" w:hAnsi="宋体" w:cs="宋体"/>
          <w:b w:val="0"/>
          <w:color w:val="auto"/>
          <w:sz w:val="21"/>
          <w:szCs w:val="21"/>
          <w:highlight w:val="none"/>
        </w:rPr>
        <w:t>5.3 隐蔽工程检查</w:t>
      </w:r>
    </w:p>
    <w:p w14:paraId="6B923541">
      <w:pPr>
        <w:spacing w:line="450" w:lineRule="exact"/>
        <w:ind w:firstLine="441" w:firstLineChars="210"/>
        <w:rPr>
          <w:rFonts w:hint="eastAsia" w:ascii="宋体" w:hAnsi="宋体" w:cs="宋体"/>
          <w:color w:val="auto"/>
          <w:kern w:val="0"/>
          <w:sz w:val="21"/>
          <w:szCs w:val="21"/>
          <w:highlight w:val="none"/>
        </w:rPr>
      </w:pPr>
      <w:bookmarkStart w:id="401" w:name="_Toc364853229"/>
      <w:r>
        <w:rPr>
          <w:rFonts w:hint="eastAsia" w:ascii="宋体" w:hAnsi="宋体" w:cs="宋体"/>
          <w:color w:val="auto"/>
          <w:kern w:val="0"/>
          <w:sz w:val="21"/>
          <w:szCs w:val="21"/>
          <w:highlight w:val="none"/>
        </w:rPr>
        <w:t>5.3.2承包人提前通知监理人隐蔽工程检查的期限的约定：承包人应在共同检查前</w:t>
      </w:r>
      <w:r>
        <w:rPr>
          <w:rFonts w:hint="eastAsia" w:ascii="宋体" w:hAnsi="宋体" w:cs="宋体"/>
          <w:color w:val="auto"/>
          <w:kern w:val="0"/>
          <w:sz w:val="21"/>
          <w:szCs w:val="21"/>
          <w:highlight w:val="none"/>
          <w:u w:val="single"/>
        </w:rPr>
        <w:t xml:space="preserve">24 </w:t>
      </w:r>
      <w:r>
        <w:rPr>
          <w:rFonts w:hint="eastAsia" w:ascii="宋体" w:hAnsi="宋体" w:cs="宋体"/>
          <w:color w:val="auto"/>
          <w:kern w:val="0"/>
          <w:sz w:val="21"/>
          <w:szCs w:val="21"/>
          <w:highlight w:val="none"/>
        </w:rPr>
        <w:t>小时书面通知监理人检查。</w:t>
      </w:r>
    </w:p>
    <w:p w14:paraId="546E1FB7">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监理人不能按时进行检查时，应提前</w:t>
      </w:r>
      <w:r>
        <w:rPr>
          <w:rFonts w:hint="eastAsia" w:ascii="宋体" w:hAnsi="宋体" w:cs="宋体"/>
          <w:color w:val="auto"/>
          <w:kern w:val="0"/>
          <w:sz w:val="21"/>
          <w:szCs w:val="21"/>
          <w:highlight w:val="none"/>
          <w:u w:val="single"/>
        </w:rPr>
        <w:t xml:space="preserve">  24 </w:t>
      </w:r>
      <w:r>
        <w:rPr>
          <w:rFonts w:hint="eastAsia" w:ascii="宋体" w:hAnsi="宋体" w:cs="宋体"/>
          <w:color w:val="auto"/>
          <w:kern w:val="0"/>
          <w:sz w:val="21"/>
          <w:szCs w:val="21"/>
          <w:highlight w:val="none"/>
        </w:rPr>
        <w:t>小时提交书面延期要求。延期最长不得超过：</w:t>
      </w:r>
      <w:r>
        <w:rPr>
          <w:rFonts w:hint="eastAsia" w:ascii="宋体" w:hAnsi="宋体" w:cs="宋体"/>
          <w:color w:val="auto"/>
          <w:kern w:val="0"/>
          <w:sz w:val="21"/>
          <w:szCs w:val="21"/>
          <w:highlight w:val="none"/>
          <w:u w:val="single"/>
        </w:rPr>
        <w:t xml:space="preserve"> 48</w:t>
      </w:r>
      <w:r>
        <w:rPr>
          <w:rFonts w:hint="eastAsia" w:ascii="宋体" w:hAnsi="宋体" w:cs="宋体"/>
          <w:color w:val="auto"/>
          <w:kern w:val="0"/>
          <w:sz w:val="21"/>
          <w:szCs w:val="21"/>
          <w:highlight w:val="none"/>
        </w:rPr>
        <w:t>小时。</w:t>
      </w:r>
    </w:p>
    <w:p w14:paraId="47B12B51">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6. 安全文明施工与环境保护</w:t>
      </w:r>
      <w:bookmarkEnd w:id="401"/>
    </w:p>
    <w:p w14:paraId="4BE564D7">
      <w:pPr>
        <w:pStyle w:val="67"/>
        <w:spacing w:before="120" w:line="450" w:lineRule="exact"/>
        <w:ind w:firstLine="399" w:firstLineChars="190"/>
        <w:rPr>
          <w:rFonts w:hint="eastAsia" w:hAnsi="宋体" w:cs="宋体"/>
          <w:b w:val="0"/>
          <w:color w:val="auto"/>
          <w:sz w:val="21"/>
          <w:szCs w:val="21"/>
          <w:highlight w:val="none"/>
        </w:rPr>
      </w:pPr>
      <w:r>
        <w:rPr>
          <w:rFonts w:hint="eastAsia" w:hAnsi="宋体" w:cs="宋体"/>
          <w:b w:val="0"/>
          <w:color w:val="auto"/>
          <w:sz w:val="21"/>
          <w:szCs w:val="21"/>
          <w:highlight w:val="none"/>
        </w:rPr>
        <w:t>6.1安全文明施工</w:t>
      </w:r>
    </w:p>
    <w:p w14:paraId="09E06675">
      <w:pPr>
        <w:spacing w:line="450" w:lineRule="exact"/>
        <w:ind w:firstLine="420" w:firstLineChars="200"/>
        <w:rPr>
          <w:rFonts w:hint="eastAsia" w:ascii="宋体" w:hAnsi="宋体" w:cs="宋体"/>
          <w:color w:val="auto"/>
          <w:kern w:val="0"/>
          <w:sz w:val="21"/>
          <w:szCs w:val="21"/>
          <w:highlight w:val="none"/>
        </w:rPr>
      </w:pPr>
      <w:bookmarkStart w:id="402" w:name="_Toc364853230"/>
      <w:r>
        <w:rPr>
          <w:rFonts w:hint="eastAsia" w:ascii="宋体" w:hAnsi="宋体" w:cs="宋体"/>
          <w:color w:val="auto"/>
          <w:kern w:val="0"/>
          <w:sz w:val="21"/>
          <w:szCs w:val="21"/>
          <w:highlight w:val="none"/>
        </w:rPr>
        <w:t>6.1.1 项目安全生产的达标目标及相应事项的约定：</w:t>
      </w:r>
      <w:r>
        <w:rPr>
          <w:rFonts w:hint="eastAsia" w:ascii="宋体" w:hAnsi="宋体" w:cs="宋体"/>
          <w:color w:val="auto"/>
          <w:sz w:val="21"/>
          <w:szCs w:val="21"/>
          <w:highlight w:val="none"/>
          <w:u w:val="single"/>
        </w:rPr>
        <w:t>合格</w:t>
      </w:r>
      <w:r>
        <w:rPr>
          <w:rFonts w:hint="eastAsia" w:ascii="宋体" w:hAnsi="宋体" w:cs="宋体"/>
          <w:color w:val="auto"/>
          <w:kern w:val="0"/>
          <w:sz w:val="21"/>
          <w:szCs w:val="21"/>
          <w:highlight w:val="none"/>
        </w:rPr>
        <w:t>。</w:t>
      </w:r>
    </w:p>
    <w:p w14:paraId="4895AD78">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施工期间由于承包人违反安全操作规范，发生重大死亡及其它事故，发包人将根据事故的严重程度对承包人予以处罚；被政府部门处罚的，承包人承担一切责任。</w:t>
      </w:r>
    </w:p>
    <w:p w14:paraId="03A2C217">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6.1.1.1 承包方未履行安全文明施工发生以下情况之一的，视为承包方未履行安全生产文明施工违约，承包方须支付合同价款的1% ：</w:t>
      </w:r>
    </w:p>
    <w:p w14:paraId="50A47D16">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 xml:space="preserve"> (1)未达到合同要求的安全等级要求（安全等级以宁波市奉化区住房和城乡建设局文件和上级文件为准）；</w:t>
      </w:r>
    </w:p>
    <w:p w14:paraId="13A46AD4">
      <w:pPr>
        <w:spacing w:line="450" w:lineRule="exact"/>
        <w:ind w:firstLine="422" w:firstLineChars="200"/>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 xml:space="preserve"> （2）在施工期间，施工单位发生事故等级为一般事故及以上生产安全责任事故（事故等级和责任按按国务院第493号令和行政部门的事故调查报告认定）；</w:t>
      </w:r>
    </w:p>
    <w:p w14:paraId="7089587E">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6.1.1.2</w:t>
      </w:r>
      <w:r>
        <w:rPr>
          <w:rFonts w:hint="eastAsia" w:ascii="宋体" w:hAnsi="宋体" w:cs="宋体"/>
          <w:b/>
          <w:bCs/>
          <w:color w:val="auto"/>
          <w:kern w:val="0"/>
          <w:szCs w:val="21"/>
          <w:highlight w:val="none"/>
        </w:rPr>
        <w:t>在施工期间，发现承包方现场管理混乱</w:t>
      </w:r>
      <w:r>
        <w:rPr>
          <w:rFonts w:hint="eastAsia" w:ascii="宋体" w:hAnsi="宋体" w:cs="宋体"/>
          <w:b/>
          <w:bCs/>
          <w:color w:val="auto"/>
          <w:kern w:val="0"/>
          <w:szCs w:val="21"/>
          <w:highlight w:val="none"/>
          <w:lang w:eastAsia="zh-CN"/>
        </w:rPr>
        <w:t>的，</w:t>
      </w:r>
      <w:r>
        <w:rPr>
          <w:rFonts w:hint="eastAsia" w:ascii="宋体" w:hAnsi="宋体" w:cs="宋体"/>
          <w:b/>
          <w:bCs/>
          <w:color w:val="auto"/>
          <w:kern w:val="0"/>
          <w:szCs w:val="21"/>
          <w:highlight w:val="none"/>
          <w:lang w:val="en-US" w:eastAsia="zh-CN"/>
        </w:rPr>
        <w:t>每发现一次扣除合同价款的0.3% （上述条款每次扣款金额如低于3000元/次的，则按3000元/次扣除）。</w:t>
      </w:r>
    </w:p>
    <w:p w14:paraId="1FEB4C8A">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6.1.1.3</w:t>
      </w:r>
      <w:r>
        <w:rPr>
          <w:rFonts w:hint="eastAsia" w:ascii="宋体" w:hAnsi="宋体" w:cs="宋体"/>
          <w:b/>
          <w:bCs/>
          <w:color w:val="auto"/>
          <w:kern w:val="0"/>
          <w:szCs w:val="21"/>
          <w:highlight w:val="none"/>
        </w:rPr>
        <w:t>承包方</w:t>
      </w:r>
      <w:r>
        <w:rPr>
          <w:rFonts w:hint="eastAsia" w:ascii="宋体" w:hAnsi="宋体" w:cs="宋体"/>
          <w:b/>
          <w:bCs/>
          <w:color w:val="auto"/>
          <w:kern w:val="0"/>
          <w:szCs w:val="21"/>
          <w:highlight w:val="none"/>
          <w:lang w:val="en-US" w:eastAsia="zh-CN"/>
        </w:rPr>
        <w:t>对</w:t>
      </w:r>
      <w:r>
        <w:rPr>
          <w:rFonts w:hint="eastAsia" w:ascii="宋体" w:hAnsi="宋体" w:cs="宋体"/>
          <w:b/>
          <w:bCs/>
          <w:color w:val="auto"/>
          <w:kern w:val="0"/>
          <w:szCs w:val="21"/>
          <w:highlight w:val="none"/>
        </w:rPr>
        <w:t>安全隐患整改不力，对发包方、监理单位及上级部门提出的安全隐患整改不到位</w:t>
      </w:r>
      <w:r>
        <w:rPr>
          <w:rFonts w:hint="eastAsia" w:ascii="宋体" w:hAnsi="宋体" w:cs="宋体"/>
          <w:b/>
          <w:bCs/>
          <w:color w:val="auto"/>
          <w:kern w:val="0"/>
          <w:szCs w:val="21"/>
          <w:highlight w:val="none"/>
          <w:lang w:eastAsia="zh-CN"/>
        </w:rPr>
        <w:t>的，</w:t>
      </w:r>
      <w:r>
        <w:rPr>
          <w:rFonts w:hint="eastAsia" w:ascii="宋体" w:hAnsi="宋体" w:cs="宋体"/>
          <w:b/>
          <w:bCs/>
          <w:color w:val="auto"/>
          <w:kern w:val="0"/>
          <w:szCs w:val="21"/>
          <w:highlight w:val="none"/>
          <w:lang w:val="en-US" w:eastAsia="zh-CN"/>
        </w:rPr>
        <w:t>每发现一次扣合同价款的0.3%（上述条款每次扣款金额如低于3000元/次的，则按3000元/次扣除）。</w:t>
      </w:r>
    </w:p>
    <w:p w14:paraId="2AD1A8B2">
      <w:pPr>
        <w:pageBreakBefore w:val="0"/>
        <w:widowControl w:val="0"/>
        <w:shd w:val="clear"/>
        <w:kinsoku/>
        <w:wordWrap/>
        <w:overflowPunct/>
        <w:topLinePunct w:val="0"/>
        <w:autoSpaceDE/>
        <w:autoSpaceDN/>
        <w:bidi w:val="0"/>
        <w:adjustRightInd/>
        <w:snapToGrid/>
        <w:spacing w:line="360" w:lineRule="exact"/>
        <w:ind w:firstLine="422" w:firstLineChars="200"/>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rPr>
        <w:t xml:space="preserve"> </w:t>
      </w:r>
      <w:r>
        <w:rPr>
          <w:rFonts w:hint="eastAsia" w:ascii="宋体" w:hAnsi="宋体" w:cs="宋体"/>
          <w:b/>
          <w:bCs/>
          <w:color w:val="auto"/>
          <w:kern w:val="0"/>
          <w:szCs w:val="21"/>
          <w:highlight w:val="none"/>
          <w:lang w:val="en-US" w:eastAsia="zh-CN"/>
        </w:rPr>
        <w:t>注：以上（6.1.1.2和6.1.1.3）条款出现累计</w:t>
      </w:r>
      <w:r>
        <w:rPr>
          <w:rFonts w:hint="eastAsia" w:ascii="宋体" w:hAnsi="宋体" w:cs="宋体"/>
          <w:b/>
          <w:bCs/>
          <w:color w:val="auto"/>
          <w:kern w:val="0"/>
          <w:szCs w:val="21"/>
          <w:highlight w:val="none"/>
        </w:rPr>
        <w:t>三次及以上</w:t>
      </w:r>
      <w:r>
        <w:rPr>
          <w:rFonts w:hint="eastAsia" w:ascii="宋体" w:hAnsi="宋体" w:cs="宋体"/>
          <w:b/>
          <w:bCs/>
          <w:color w:val="auto"/>
          <w:kern w:val="0"/>
          <w:szCs w:val="21"/>
          <w:highlight w:val="none"/>
          <w:lang w:val="en-US" w:eastAsia="zh-CN"/>
        </w:rPr>
        <w:t>相同问题或情况的，除执行上述条款约定的扣款外，还须另行扣除合同价款的1% （扣款金额如低于2000元的，则按2000元扣除）。</w:t>
      </w:r>
    </w:p>
    <w:p w14:paraId="55A75AE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6.1.4 关于治安保卫的特别约定：执行通用条款。</w:t>
      </w:r>
    </w:p>
    <w:p w14:paraId="4B1A0A0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6.1.5文明施工应按《宁波市建设工程文明施工管理规定》文件要求执行。</w:t>
      </w:r>
    </w:p>
    <w:p w14:paraId="32925387">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6.1.6 关于安全文明施工费相关约定：</w:t>
      </w:r>
      <w:r>
        <w:rPr>
          <w:rFonts w:hint="eastAsia" w:ascii="宋体" w:hAnsi="宋体" w:cs="宋体"/>
          <w:color w:val="auto"/>
          <w:kern w:val="0"/>
          <w:sz w:val="21"/>
          <w:szCs w:val="21"/>
          <w:highlight w:val="none"/>
          <w:lang w:val="en-US" w:eastAsia="zh-CN"/>
        </w:rPr>
        <w:t>/</w:t>
      </w:r>
      <w:r>
        <w:rPr>
          <w:rFonts w:hint="eastAsia" w:ascii="宋体" w:eastAsia="宋体" w:cs="Times New Roman"/>
          <w:b w:val="0"/>
          <w:bCs w:val="0"/>
          <w:color w:val="auto"/>
          <w:sz w:val="21"/>
          <w:szCs w:val="21"/>
          <w:highlight w:val="none"/>
          <w:lang w:eastAsia="zh-CN"/>
        </w:rPr>
        <w:t>。</w:t>
      </w:r>
    </w:p>
    <w:p w14:paraId="247368AD">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7. 工期和进度</w:t>
      </w:r>
      <w:bookmarkEnd w:id="402"/>
    </w:p>
    <w:p w14:paraId="5098D6C2">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7.1 施工组织设计</w:t>
      </w:r>
    </w:p>
    <w:p w14:paraId="65B59C45">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7.1.1 合同当事人约定的施工组织设计应包括的其他内容：</w:t>
      </w:r>
      <w:r>
        <w:rPr>
          <w:rFonts w:hint="eastAsia" w:ascii="宋体" w:hAnsi="宋体" w:cs="宋体"/>
          <w:color w:val="auto"/>
          <w:kern w:val="0"/>
          <w:sz w:val="21"/>
          <w:szCs w:val="21"/>
          <w:highlight w:val="none"/>
          <w:u w:val="single"/>
        </w:rPr>
        <w:t>各分部分项施工方案与技术措施、工程进度管理体系与措施、工程质量管理体系与措施、安全生产文明施工管理体系与措施、环境保护管理体系与措施等</w:t>
      </w:r>
      <w:r>
        <w:rPr>
          <w:rFonts w:hint="eastAsia" w:ascii="宋体" w:hAnsi="宋体" w:cs="宋体"/>
          <w:color w:val="auto"/>
          <w:kern w:val="0"/>
          <w:sz w:val="21"/>
          <w:szCs w:val="21"/>
          <w:highlight w:val="none"/>
        </w:rPr>
        <w:t>。</w:t>
      </w:r>
    </w:p>
    <w:p w14:paraId="4F9339C4">
      <w:pPr>
        <w:spacing w:line="450" w:lineRule="exact"/>
        <w:ind w:firstLine="441" w:firstLineChars="21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7.1.2 施工组织设计的提交和修改：按通用条款约定执行。</w:t>
      </w:r>
    </w:p>
    <w:p w14:paraId="200DC82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7.2 施工进度计划</w:t>
      </w:r>
    </w:p>
    <w:p w14:paraId="5EF33EB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施工进度计划的编制和修订：按通用条款约定执行。</w:t>
      </w:r>
    </w:p>
    <w:p w14:paraId="0A9DDDC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7.3 开工</w:t>
      </w:r>
    </w:p>
    <w:p w14:paraId="6010D1CD">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7.3.1 开工准备</w:t>
      </w:r>
    </w:p>
    <w:p w14:paraId="49A6D49B">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关于承包人提交工程开工报审表的期限：按第7.1款[施工组织设计]约定的时间。</w:t>
      </w:r>
    </w:p>
    <w:p w14:paraId="1D9AA4F0">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关于发包人应完成的其他开工准备工作及期限：在第7.3.2项[开工通知]载明的开工日期前7天获得开工所需的各项行政审批和许可手续。</w:t>
      </w:r>
    </w:p>
    <w:p w14:paraId="25B590A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关于承包人应完成的其他开工准备工作及期限： 在第7.3.2项[开工通知]载明的开工日期前7天签订材料、工程设备、周转材料等的采购合同，确定劳动力、材料、机械的进场安排。</w:t>
      </w:r>
    </w:p>
    <w:p w14:paraId="00BEC55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7.3.2 开工通知</w:t>
      </w:r>
    </w:p>
    <w:p w14:paraId="5E10FCCE">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因发包人原因造成监理人未能在通用条款规定的期限内发出开工通知的，承包人有权提出价格调整要求，或者解除合同。</w:t>
      </w:r>
    </w:p>
    <w:p w14:paraId="051547C4">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7.4 测量放线</w:t>
      </w:r>
    </w:p>
    <w:p w14:paraId="2FBB8372">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7.4.1 发包人通过监理人向承包人提供测量基准点、基准线和水准点及其书面资料的期限：不得晚于在第7.3.2项[开工通知]载明的开工日期前7天。</w:t>
      </w:r>
    </w:p>
    <w:p w14:paraId="0D995A3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7.5 工期延误</w:t>
      </w:r>
    </w:p>
    <w:p w14:paraId="6D58515C">
      <w:pPr>
        <w:pStyle w:val="67"/>
        <w:spacing w:before="120" w:line="450" w:lineRule="exact"/>
        <w:ind w:firstLine="401" w:firstLineChars="190"/>
        <w:rPr>
          <w:rFonts w:hint="eastAsia" w:hAnsi="宋体" w:cs="宋体"/>
          <w:b w:val="0"/>
          <w:color w:val="auto"/>
          <w:sz w:val="21"/>
          <w:szCs w:val="21"/>
          <w:highlight w:val="none"/>
        </w:rPr>
      </w:pPr>
      <w:r>
        <w:rPr>
          <w:rFonts w:hint="eastAsia" w:hAnsi="宋体" w:cs="宋体"/>
          <w:color w:val="auto"/>
          <w:sz w:val="21"/>
          <w:szCs w:val="21"/>
          <w:highlight w:val="none"/>
        </w:rPr>
        <w:t xml:space="preserve">7.5.1 </w:t>
      </w:r>
      <w:r>
        <w:rPr>
          <w:rFonts w:hint="eastAsia" w:hAnsi="宋体" w:cs="宋体"/>
          <w:b w:val="0"/>
          <w:color w:val="auto"/>
          <w:sz w:val="21"/>
          <w:szCs w:val="21"/>
          <w:highlight w:val="none"/>
        </w:rPr>
        <w:t>因发包人原因导致工期延误</w:t>
      </w:r>
    </w:p>
    <w:p w14:paraId="217FF7EC">
      <w:pPr>
        <w:pStyle w:val="67"/>
        <w:spacing w:before="120" w:line="450" w:lineRule="exact"/>
        <w:ind w:firstLine="399" w:firstLineChars="190"/>
        <w:rPr>
          <w:rFonts w:hint="eastAsia" w:hAnsi="宋体" w:cs="宋体"/>
          <w:color w:val="auto"/>
          <w:sz w:val="21"/>
          <w:szCs w:val="21"/>
          <w:highlight w:val="none"/>
        </w:rPr>
      </w:pPr>
      <w:r>
        <w:rPr>
          <w:rFonts w:hint="eastAsia" w:hAnsi="宋体" w:cs="宋体"/>
          <w:b w:val="0"/>
          <w:color w:val="auto"/>
          <w:sz w:val="21"/>
          <w:szCs w:val="21"/>
          <w:highlight w:val="none"/>
        </w:rPr>
        <w:t>（7）因发包人原因导致工期延误的其他情形：</w:t>
      </w:r>
      <w:r>
        <w:rPr>
          <w:rFonts w:hint="eastAsia" w:hAnsi="宋体" w:cs="宋体"/>
          <w:b w:val="0"/>
          <w:color w:val="auto"/>
          <w:sz w:val="21"/>
          <w:szCs w:val="21"/>
          <w:highlight w:val="none"/>
          <w:u w:val="single"/>
        </w:rPr>
        <w:t xml:space="preserve">  无  </w:t>
      </w:r>
      <w:r>
        <w:rPr>
          <w:rFonts w:hint="eastAsia" w:hAnsi="宋体" w:cs="宋体"/>
          <w:b w:val="0"/>
          <w:color w:val="auto"/>
          <w:sz w:val="21"/>
          <w:szCs w:val="21"/>
          <w:highlight w:val="none"/>
        </w:rPr>
        <w:t>。</w:t>
      </w:r>
    </w:p>
    <w:p w14:paraId="6E975447">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7.5.2 因承包人原因导致工期延误</w:t>
      </w:r>
    </w:p>
    <w:p w14:paraId="1716CF6A">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因承包人原因造成工期延误，逾期竣工违约金的计算方法根据“投标函附录”承诺确定，为</w:t>
      </w:r>
      <w:r>
        <w:rPr>
          <w:rFonts w:hint="eastAsia" w:ascii="宋体" w:hAnsi="宋体" w:cs="宋体"/>
          <w:color w:val="auto"/>
          <w:kern w:val="0"/>
          <w:sz w:val="21"/>
          <w:szCs w:val="21"/>
          <w:highlight w:val="none"/>
          <w:u w:val="single"/>
          <w:lang w:val="en-US" w:eastAsia="zh-CN"/>
        </w:rPr>
        <w:t>1</w:t>
      </w:r>
      <w:r>
        <w:rPr>
          <w:rFonts w:hint="eastAsia" w:ascii="宋体" w:hAnsi="宋体" w:cs="宋体"/>
          <w:color w:val="auto"/>
          <w:kern w:val="0"/>
          <w:sz w:val="21"/>
          <w:szCs w:val="21"/>
          <w:highlight w:val="none"/>
          <w:u w:val="single"/>
        </w:rPr>
        <w:t>000</w:t>
      </w:r>
      <w:r>
        <w:rPr>
          <w:rFonts w:hint="eastAsia" w:ascii="宋体" w:hAnsi="宋体" w:cs="宋体"/>
          <w:color w:val="auto"/>
          <w:kern w:val="0"/>
          <w:sz w:val="21"/>
          <w:szCs w:val="21"/>
          <w:highlight w:val="none"/>
        </w:rPr>
        <w:t>元/天。</w:t>
      </w:r>
    </w:p>
    <w:p w14:paraId="6BC7D6DC">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因承包人原因造成工期延误，逾期竣工违约金的上限根据“投标函附录”承诺确定，为合同价款的</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2</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w:t>
      </w:r>
    </w:p>
    <w:p w14:paraId="2D7ED288">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7.6 不利物质条件</w:t>
      </w:r>
    </w:p>
    <w:p w14:paraId="0168991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不利物质条件的其他情形和有关约定：地勘资料未设计的地下管道、地雷、岩层等，但不包括气候条件。</w:t>
      </w:r>
    </w:p>
    <w:p w14:paraId="0BC2502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7.7异常恶劣的气候条件</w:t>
      </w:r>
    </w:p>
    <w:p w14:paraId="3DB5213F">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发包人和承包人同意以下情形视为异常恶劣的气候条件：</w:t>
      </w:r>
    </w:p>
    <w:p w14:paraId="6C722EB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（1）12小时内降雨量达到50mm以上；</w:t>
      </w:r>
    </w:p>
    <w:p w14:paraId="3227665D">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（2）风速达到8级及以上的热带风暴（或台风）；</w:t>
      </w:r>
    </w:p>
    <w:p w14:paraId="319DE6C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（3）日最高气温超过38度或低于零下10度；</w:t>
      </w:r>
    </w:p>
    <w:p w14:paraId="62B2A8D5">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（4）造成工程损坏的冰雹和12小时内降雪量达到4mm及以上的大雪灾害。</w:t>
      </w:r>
    </w:p>
    <w:p w14:paraId="0C37B621">
      <w:pPr>
        <w:autoSpaceDE w:val="0"/>
        <w:autoSpaceDN w:val="0"/>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（5）政府有关部门通知停工的其它恶劣气候条件。</w:t>
      </w:r>
    </w:p>
    <w:p w14:paraId="73192C1B">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7.9 提前竣工的奖励</w:t>
      </w:r>
    </w:p>
    <w:p w14:paraId="6023B346">
      <w:pPr>
        <w:autoSpaceDE w:val="0"/>
        <w:autoSpaceDN w:val="0"/>
        <w:adjustRightInd w:val="0"/>
        <w:spacing w:line="450" w:lineRule="exact"/>
        <w:ind w:left="630" w:leftChars="200" w:hanging="210" w:hangingChars="1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7.9.2 提前竣工的奖励：根据“投标函附录”承诺，提前竣工奖励为</w:t>
      </w:r>
      <w:r>
        <w:rPr>
          <w:rFonts w:hint="eastAsia" w:ascii="宋体" w:hAnsi="宋体" w:cs="宋体"/>
          <w:color w:val="auto"/>
          <w:kern w:val="0"/>
          <w:sz w:val="21"/>
          <w:szCs w:val="21"/>
          <w:highlight w:val="none"/>
          <w:u w:val="single"/>
        </w:rPr>
        <w:t xml:space="preserve">  0 </w:t>
      </w:r>
      <w:r>
        <w:rPr>
          <w:rFonts w:hint="eastAsia" w:ascii="宋体" w:hAnsi="宋体" w:cs="宋体"/>
          <w:color w:val="auto"/>
          <w:kern w:val="0"/>
          <w:sz w:val="21"/>
          <w:szCs w:val="21"/>
          <w:highlight w:val="none"/>
        </w:rPr>
        <w:t>元/天。</w:t>
      </w:r>
      <w:bookmarkStart w:id="403" w:name="_Toc364853231"/>
    </w:p>
    <w:p w14:paraId="05443D58">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8. 材料与设备</w:t>
      </w:r>
      <w:bookmarkEnd w:id="403"/>
    </w:p>
    <w:p w14:paraId="7D7C091F">
      <w:pPr>
        <w:pStyle w:val="67"/>
        <w:spacing w:before="120" w:line="450" w:lineRule="exact"/>
        <w:ind w:firstLine="310" w:firstLineChars="147"/>
        <w:rPr>
          <w:rFonts w:hint="eastAsia" w:hAnsi="宋体" w:cs="宋体"/>
          <w:color w:val="auto"/>
          <w:sz w:val="21"/>
          <w:szCs w:val="21"/>
          <w:highlight w:val="none"/>
        </w:rPr>
      </w:pPr>
      <w:r>
        <w:rPr>
          <w:rFonts w:hint="eastAsia" w:hAnsi="宋体" w:cs="宋体"/>
          <w:color w:val="auto"/>
          <w:sz w:val="21"/>
          <w:szCs w:val="21"/>
          <w:highlight w:val="none"/>
        </w:rPr>
        <w:t xml:space="preserve"> 8.2承包人采购材料与工程设备</w:t>
      </w:r>
    </w:p>
    <w:p w14:paraId="555C48DE">
      <w:pPr>
        <w:pStyle w:val="67"/>
        <w:spacing w:before="120" w:line="450" w:lineRule="exact"/>
        <w:ind w:firstLine="480"/>
        <w:rPr>
          <w:rFonts w:hint="eastAsia" w:hAnsi="宋体" w:cs="宋体"/>
          <w:b w:val="0"/>
          <w:color w:val="auto"/>
          <w:sz w:val="21"/>
          <w:szCs w:val="21"/>
          <w:highlight w:val="none"/>
        </w:rPr>
      </w:pPr>
      <w:r>
        <w:rPr>
          <w:rFonts w:hint="eastAsia" w:hAnsi="宋体" w:cs="宋体"/>
          <w:b w:val="0"/>
          <w:color w:val="auto"/>
          <w:sz w:val="21"/>
          <w:szCs w:val="21"/>
          <w:highlight w:val="none"/>
        </w:rPr>
        <w:t>承包人负责采购材料、工程设备的，应按照设计和有关标准要求采购，并提供产品合格证明及出厂证明，对材料、工程设备质量负责。</w:t>
      </w:r>
    </w:p>
    <w:p w14:paraId="082C9B70">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8.4材料与工程设备的保管与使用</w:t>
      </w:r>
    </w:p>
    <w:p w14:paraId="60142E13">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8</w:t>
      </w:r>
      <w:bookmarkStart w:id="404" w:name="_Toc292559878"/>
      <w:bookmarkStart w:id="405" w:name="_Toc292559373"/>
      <w:r>
        <w:rPr>
          <w:rFonts w:hint="eastAsia" w:ascii="宋体" w:hAnsi="宋体" w:cs="宋体"/>
          <w:color w:val="auto"/>
          <w:kern w:val="0"/>
          <w:sz w:val="21"/>
          <w:szCs w:val="21"/>
          <w:highlight w:val="none"/>
        </w:rPr>
        <w:t>.4.1保管费用承担：执行通用条款。</w:t>
      </w:r>
      <w:bookmarkEnd w:id="404"/>
      <w:bookmarkEnd w:id="405"/>
    </w:p>
    <w:p w14:paraId="36ADCEA7">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8.8 施工设备和临时设施</w:t>
      </w:r>
    </w:p>
    <w:p w14:paraId="27219518">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8.8.1 承包人提供的施工设备和临时设施</w:t>
      </w:r>
    </w:p>
    <w:p w14:paraId="73CAF4C5">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关于修建临时设施费用承担的约定：执行通用条款。</w:t>
      </w:r>
      <w:bookmarkStart w:id="406" w:name="_Toc364853232"/>
    </w:p>
    <w:bookmarkEnd w:id="406"/>
    <w:p w14:paraId="4BC6D68F">
      <w:pPr>
        <w:pStyle w:val="5"/>
        <w:spacing w:line="450" w:lineRule="exact"/>
        <w:rPr>
          <w:rFonts w:hint="eastAsia" w:ascii="宋体" w:hAnsi="宋体" w:cs="宋体"/>
          <w:sz w:val="24"/>
          <w:szCs w:val="24"/>
        </w:rPr>
      </w:pPr>
      <w:bookmarkStart w:id="407" w:name="_Toc364853233"/>
      <w:r>
        <w:rPr>
          <w:rFonts w:hint="eastAsia" w:ascii="宋体" w:hAnsi="宋体" w:cs="宋体"/>
          <w:sz w:val="24"/>
          <w:szCs w:val="24"/>
        </w:rPr>
        <w:t>10. 变更</w:t>
      </w:r>
    </w:p>
    <w:p w14:paraId="5C12BCC3">
      <w:pPr>
        <w:pStyle w:val="67"/>
        <w:spacing w:before="120" w:line="450" w:lineRule="exact"/>
        <w:ind w:firstLine="458" w:firstLineChars="190"/>
        <w:rPr>
          <w:rFonts w:hint="eastAsia" w:hAnsi="宋体" w:cs="宋体"/>
          <w:szCs w:val="24"/>
          <w:highlight w:val="none"/>
        </w:rPr>
      </w:pPr>
      <w:r>
        <w:rPr>
          <w:rFonts w:hint="eastAsia" w:hAnsi="宋体" w:cs="宋体"/>
          <w:szCs w:val="24"/>
          <w:highlight w:val="none"/>
        </w:rPr>
        <w:t>10.1变更的范围</w:t>
      </w:r>
    </w:p>
    <w:p w14:paraId="1E4711CE">
      <w:pPr>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合同双方当事人约定：合同履行过程中发生以下情形时，应按照本条约定进行合同变更。</w:t>
      </w:r>
    </w:p>
    <w:p w14:paraId="59CF0DBC">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1）、法律法规以及政府主管部门的政策性调整；</w:t>
      </w:r>
    </w:p>
    <w:p w14:paraId="1B7B6ADE">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2）、增加或减少合同中任何工作，或追加额外的工作；</w:t>
      </w:r>
    </w:p>
    <w:p w14:paraId="36DA73D1">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3）、取消合同中任何工作，但转由他人实施的工作除外；</w:t>
      </w:r>
    </w:p>
    <w:p w14:paraId="5D8E0526">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4)、改变合同中任何工作的质量标准或其他特性；</w:t>
      </w:r>
    </w:p>
    <w:p w14:paraId="48CAD0C5">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5)、改变工程的基线、标高、位置和尺寸；</w:t>
      </w:r>
    </w:p>
    <w:p w14:paraId="3F89939A">
      <w:pPr>
        <w:autoSpaceDE w:val="0"/>
        <w:autoSpaceDN w:val="0"/>
        <w:adjustRightInd w:val="0"/>
        <w:spacing w:before="9" w:line="450" w:lineRule="exact"/>
        <w:ind w:left="524" w:right="-20"/>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6)、改变工程的时间安排或实施顺序。</w:t>
      </w:r>
    </w:p>
    <w:p w14:paraId="7B91F0C7">
      <w:pPr>
        <w:pStyle w:val="67"/>
        <w:spacing w:before="120" w:line="450" w:lineRule="exact"/>
        <w:ind w:firstLine="482" w:firstLineChars="200"/>
        <w:rPr>
          <w:rFonts w:hint="eastAsia" w:hAnsi="宋体" w:cs="宋体"/>
          <w:szCs w:val="24"/>
          <w:highlight w:val="none"/>
        </w:rPr>
      </w:pPr>
      <w:r>
        <w:rPr>
          <w:rFonts w:hint="eastAsia" w:hAnsi="宋体" w:cs="宋体"/>
          <w:szCs w:val="24"/>
          <w:highlight w:val="none"/>
        </w:rPr>
        <w:t>10.4 变更估价</w:t>
      </w:r>
    </w:p>
    <w:p w14:paraId="4DAFF30E">
      <w:pPr>
        <w:spacing w:line="450" w:lineRule="exact"/>
        <w:ind w:firstLine="420" w:firstLineChars="200"/>
        <w:rPr>
          <w:rFonts w:hint="eastAsia" w:ascii="宋体" w:hAnsi="宋体" w:cs="宋体"/>
          <w:kern w:val="0"/>
          <w:sz w:val="24"/>
          <w:szCs w:val="24"/>
        </w:rPr>
      </w:pPr>
      <w:r>
        <w:rPr>
          <w:rFonts w:hint="eastAsia" w:ascii="宋体" w:hAnsi="宋体" w:cs="宋体"/>
          <w:color w:val="0000FF"/>
          <w:kern w:val="0"/>
          <w:szCs w:val="21"/>
          <w:highlight w:val="none"/>
        </w:rPr>
        <w:t xml:space="preserve"> </w:t>
      </w:r>
      <w:r>
        <w:rPr>
          <w:rFonts w:hint="eastAsia" w:ascii="宋体" w:hAnsi="宋体" w:cs="宋体"/>
          <w:kern w:val="0"/>
          <w:sz w:val="24"/>
          <w:szCs w:val="24"/>
        </w:rPr>
        <w:t>10.4.1 变更估价原则</w:t>
      </w:r>
    </w:p>
    <w:p w14:paraId="2931CC1E">
      <w:pPr>
        <w:shd w:val="clear"/>
        <w:spacing w:line="450" w:lineRule="exact"/>
        <w:ind w:firstLine="480" w:firstLineChars="200"/>
        <w:rPr>
          <w:rFonts w:ascii="宋体" w:hAnsi="宋体" w:cs="宋体"/>
          <w:color w:val="0000FF"/>
          <w:szCs w:val="21"/>
          <w:highlight w:val="none"/>
        </w:rPr>
      </w:pPr>
      <w:r>
        <w:rPr>
          <w:rFonts w:hint="eastAsia" w:ascii="宋体" w:hAnsi="宋体"/>
          <w:color w:val="auto"/>
          <w:sz w:val="24"/>
          <w:szCs w:val="22"/>
          <w:highlight w:val="none"/>
        </w:rPr>
        <w:t>10.4.1.</w:t>
      </w:r>
      <w:r>
        <w:rPr>
          <w:rFonts w:hint="eastAsia" w:ascii="宋体" w:hAnsi="宋体"/>
          <w:color w:val="auto"/>
          <w:sz w:val="24"/>
          <w:szCs w:val="22"/>
          <w:highlight w:val="none"/>
          <w:lang w:val="en-US" w:eastAsia="zh-CN"/>
        </w:rPr>
        <w:t>4</w:t>
      </w:r>
      <w:r>
        <w:rPr>
          <w:rFonts w:hint="eastAsia" w:ascii="宋体" w:hAnsi="宋体" w:cs="宋体"/>
          <w:sz w:val="24"/>
          <w:szCs w:val="24"/>
          <w:highlight w:val="none"/>
        </w:rPr>
        <w:t>计价依据：</w:t>
      </w:r>
      <w:r>
        <w:rPr>
          <w:rFonts w:hint="eastAsia" w:ascii="宋体" w:hAnsi="宋体" w:cs="宋体"/>
          <w:kern w:val="0"/>
          <w:sz w:val="24"/>
          <w:szCs w:val="24"/>
          <w:highlight w:val="none"/>
        </w:rPr>
        <w:t xml:space="preserve"> </w:t>
      </w:r>
      <w:r>
        <w:rPr>
          <w:rFonts w:hint="eastAsia" w:ascii="宋体" w:hAnsi="宋体" w:cs="宋体"/>
          <w:color w:val="0000FF"/>
          <w:kern w:val="0"/>
          <w:szCs w:val="21"/>
          <w:highlight w:val="none"/>
        </w:rPr>
        <w:t xml:space="preserve">                                                                                                                                                                                              </w:t>
      </w:r>
    </w:p>
    <w:p w14:paraId="60D3F428">
      <w:pPr>
        <w:shd w:val="clear"/>
        <w:spacing w:line="450" w:lineRule="exact"/>
        <w:ind w:firstLine="420"/>
        <w:rPr>
          <w:rFonts w:hint="eastAsia" w:ascii="宋体" w:hAnsi="宋体" w:cs="宋体"/>
          <w:color w:val="0000FF"/>
          <w:kern w:val="0"/>
          <w:szCs w:val="21"/>
          <w:highlight w:val="none"/>
        </w:rPr>
      </w:pPr>
      <w:r>
        <w:rPr>
          <w:rFonts w:hint="eastAsia" w:ascii="宋体" w:hAnsi="宋体" w:cs="宋体"/>
          <w:color w:val="0000FF"/>
          <w:kern w:val="0"/>
          <w:szCs w:val="21"/>
          <w:highlight w:val="none"/>
        </w:rPr>
        <w:t>一、</w:t>
      </w:r>
      <w:r>
        <w:rPr>
          <w:rFonts w:hint="eastAsia" w:ascii="宋体" w:hAnsi="宋体"/>
          <w:szCs w:val="21"/>
        </w:rPr>
        <w:t>施工图纸等技术资料；工程量：根据施工图纸计算</w:t>
      </w:r>
    </w:p>
    <w:p w14:paraId="46026B96">
      <w:pPr>
        <w:shd w:val="clear"/>
        <w:spacing w:line="45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二、定额采用：</w:t>
      </w:r>
    </w:p>
    <w:p w14:paraId="19234645">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1、信息化部《信息通信建设工程预算定额》（2016年）；</w:t>
      </w:r>
    </w:p>
    <w:p w14:paraId="6FB4B8A6">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2、信息化部《信息通信建设工程费用定额》（2016年）；</w:t>
      </w:r>
    </w:p>
    <w:p w14:paraId="5401058C">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3、浙建建【2018】61号、浙建建发【2019】92号、甬发改投资【2018】601号</w:t>
      </w:r>
      <w:r>
        <w:rPr>
          <w:rFonts w:hint="eastAsia" w:ascii="宋体" w:hAnsi="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浙建建发【2022】37号及省、市有关造价依据。</w:t>
      </w:r>
    </w:p>
    <w:p w14:paraId="53AB247A">
      <w:pPr>
        <w:shd w:val="clear"/>
        <w:spacing w:line="450" w:lineRule="exact"/>
        <w:ind w:firstLine="420" w:firstLineChars="20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三、人工及材料信息价：</w:t>
      </w:r>
    </w:p>
    <w:p w14:paraId="141F4D75">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1、人工价格按通信工程规范计入。技工114元/工日，普工61元/工日。</w:t>
      </w:r>
    </w:p>
    <w:p w14:paraId="78A9311B">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2、材料市场信息价采用202</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lang w:val="en-US" w:eastAsia="zh-CN"/>
        </w:rPr>
        <w:t>年</w:t>
      </w:r>
      <w:r>
        <w:rPr>
          <w:rFonts w:hint="eastAsia" w:ascii="宋体" w:hAnsi="宋体" w:cs="宋体"/>
          <w:color w:val="auto"/>
          <w:kern w:val="0"/>
          <w:szCs w:val="21"/>
          <w:highlight w:val="none"/>
          <w:lang w:val="en-US" w:eastAsia="zh-CN"/>
        </w:rPr>
        <w:t>11</w:t>
      </w:r>
      <w:r>
        <w:rPr>
          <w:rFonts w:hint="eastAsia" w:ascii="宋体" w:hAnsi="宋体" w:eastAsia="宋体" w:cs="宋体"/>
          <w:color w:val="auto"/>
          <w:kern w:val="0"/>
          <w:szCs w:val="21"/>
          <w:highlight w:val="none"/>
          <w:lang w:val="en-US" w:eastAsia="zh-CN"/>
        </w:rPr>
        <w:t>月份《宁波建设工程造价信息》（综合版）。材料市场信息价优先计取顺序为202</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lang w:val="en-US" w:eastAsia="zh-CN"/>
        </w:rPr>
        <w:t>年</w:t>
      </w:r>
      <w:r>
        <w:rPr>
          <w:rFonts w:hint="eastAsia" w:ascii="宋体" w:hAnsi="宋体" w:cs="宋体"/>
          <w:color w:val="auto"/>
          <w:kern w:val="0"/>
          <w:szCs w:val="21"/>
          <w:highlight w:val="none"/>
          <w:lang w:val="en-US" w:eastAsia="zh-CN"/>
        </w:rPr>
        <w:t>11</w:t>
      </w:r>
      <w:r>
        <w:rPr>
          <w:rFonts w:hint="eastAsia" w:ascii="宋体" w:hAnsi="宋体" w:eastAsia="宋体" w:cs="宋体"/>
          <w:color w:val="auto"/>
          <w:kern w:val="0"/>
          <w:szCs w:val="21"/>
          <w:highlight w:val="none"/>
          <w:lang w:val="en-US" w:eastAsia="zh-CN"/>
        </w:rPr>
        <w:t>月份的《宁波建设工程造价信息（综合版奉化栏）》、《宁波建设工程造价信息（综合版）》、《浙江造价信息》；无信息价部分结合相关文件并市场询价取定。</w:t>
      </w:r>
    </w:p>
    <w:p w14:paraId="58BCF3F0">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四、取费标准：</w:t>
      </w:r>
    </w:p>
    <w:p w14:paraId="5322E041">
      <w:pPr>
        <w:shd w:val="clear"/>
        <w:spacing w:line="450" w:lineRule="exact"/>
        <w:ind w:firstLine="420" w:firstLineChars="20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信息化部《信息通信建设工程费用定额》（2016年）；临时设施费按工程距施工企业35KM以内计，施工用水电蒸汽费不计，施工队伍调遣费不计，工程排污费不计。其中：营改增后浙江省通信建设工程造价税金费率的调整按《建建发（2019）092》执行（税金9%）</w:t>
      </w:r>
    </w:p>
    <w:p w14:paraId="2C473D7C">
      <w:pPr>
        <w:shd w:val="clear"/>
        <w:spacing w:line="450" w:lineRule="exact"/>
        <w:ind w:firstLine="422" w:firstLineChars="200"/>
        <w:rPr>
          <w:rFonts w:hint="eastAsia"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本工程广电系统按协议价</w:t>
      </w:r>
      <w:r>
        <w:rPr>
          <w:rFonts w:hint="eastAsia" w:ascii="宋体" w:hAnsi="宋体" w:cs="宋体"/>
          <w:b/>
          <w:bCs/>
          <w:color w:val="auto"/>
          <w:kern w:val="0"/>
          <w:szCs w:val="21"/>
          <w:highlight w:val="none"/>
          <w:lang w:val="en-US" w:eastAsia="zh-CN"/>
        </w:rPr>
        <w:t>3</w:t>
      </w:r>
      <w:r>
        <w:rPr>
          <w:rFonts w:hint="eastAsia" w:ascii="宋体" w:hAnsi="宋体" w:eastAsia="宋体" w:cs="宋体"/>
          <w:b/>
          <w:bCs/>
          <w:color w:val="auto"/>
          <w:kern w:val="0"/>
          <w:szCs w:val="21"/>
          <w:highlight w:val="none"/>
          <w:lang w:val="en-US" w:eastAsia="zh-CN"/>
        </w:rPr>
        <w:t>元/m2计入。</w:t>
      </w:r>
    </w:p>
    <w:p w14:paraId="5E362D04">
      <w:pPr>
        <w:shd w:val="clear"/>
        <w:autoSpaceDE w:val="0"/>
        <w:autoSpaceDN w:val="0"/>
        <w:adjustRightInd w:val="0"/>
        <w:spacing w:before="9" w:line="450" w:lineRule="exact"/>
        <w:ind w:right="-20" w:firstLine="482" w:firstLineChars="200"/>
        <w:rPr>
          <w:rFonts w:hint="eastAsia" w:ascii="宋体" w:hAnsi="宋体"/>
          <w:b/>
          <w:bCs/>
          <w:color w:val="auto"/>
          <w:sz w:val="24"/>
          <w:highlight w:val="yellow"/>
        </w:rPr>
      </w:pPr>
    </w:p>
    <w:p w14:paraId="4DA671BC">
      <w:pPr>
        <w:shd w:val="clear"/>
        <w:autoSpaceDE w:val="0"/>
        <w:autoSpaceDN w:val="0"/>
        <w:adjustRightInd w:val="0"/>
        <w:spacing w:before="9" w:line="450" w:lineRule="exact"/>
        <w:ind w:right="-20" w:firstLine="482" w:firstLineChars="200"/>
        <w:rPr>
          <w:rFonts w:ascii="宋体" w:hAnsi="宋体" w:cs="宋体"/>
          <w:b/>
          <w:color w:val="auto"/>
          <w:kern w:val="0"/>
          <w:szCs w:val="21"/>
          <w:highlight w:val="none"/>
        </w:rPr>
      </w:pPr>
      <w:r>
        <w:rPr>
          <w:rFonts w:hint="eastAsia" w:ascii="宋体" w:hAnsi="宋体"/>
          <w:b/>
          <w:color w:val="auto"/>
          <w:sz w:val="24"/>
          <w:highlight w:val="none"/>
        </w:rPr>
        <w:t>本项目综合折扣为</w:t>
      </w:r>
      <w:r>
        <w:rPr>
          <w:rFonts w:hint="eastAsia" w:ascii="宋体" w:hAnsi="宋体"/>
          <w:b/>
          <w:color w:val="auto"/>
          <w:sz w:val="24"/>
          <w:highlight w:val="none"/>
          <w:u w:val="single"/>
        </w:rPr>
        <w:t xml:space="preserve">    %</w:t>
      </w:r>
      <w:r>
        <w:rPr>
          <w:rFonts w:hint="eastAsia" w:ascii="宋体" w:hAnsi="宋体"/>
          <w:b/>
          <w:color w:val="auto"/>
          <w:sz w:val="24"/>
          <w:highlight w:val="none"/>
        </w:rPr>
        <w:t>。</w:t>
      </w:r>
    </w:p>
    <w:bookmarkEnd w:id="407"/>
    <w:p w14:paraId="5AB2CF71">
      <w:pPr>
        <w:pStyle w:val="5"/>
        <w:spacing w:line="450" w:lineRule="exact"/>
        <w:rPr>
          <w:rFonts w:hint="eastAsia" w:ascii="宋体" w:hAnsi="宋体" w:cs="宋体"/>
          <w:sz w:val="21"/>
          <w:szCs w:val="21"/>
        </w:rPr>
      </w:pPr>
      <w:bookmarkStart w:id="408" w:name="_Toc364853235"/>
      <w:r>
        <w:rPr>
          <w:rFonts w:hint="eastAsia" w:ascii="宋体" w:hAnsi="宋体" w:cs="宋体"/>
          <w:sz w:val="21"/>
          <w:szCs w:val="21"/>
        </w:rPr>
        <w:t>11. 价格调整</w:t>
      </w:r>
    </w:p>
    <w:p w14:paraId="636E774E">
      <w:pPr>
        <w:spacing w:line="450" w:lineRule="exact"/>
        <w:ind w:firstLine="422" w:firstLineChars="200"/>
        <w:rPr>
          <w:rFonts w:hint="eastAsia" w:ascii="宋体" w:hAnsi="宋体" w:cs="宋体"/>
          <w:b/>
          <w:sz w:val="21"/>
          <w:szCs w:val="21"/>
        </w:rPr>
      </w:pPr>
      <w:r>
        <w:rPr>
          <w:rFonts w:hint="eastAsia" w:ascii="宋体" w:hAnsi="宋体" w:cs="宋体"/>
          <w:b/>
          <w:sz w:val="21"/>
          <w:szCs w:val="21"/>
        </w:rPr>
        <w:t>11.1 市场价格波动引起的调整</w:t>
      </w:r>
    </w:p>
    <w:p w14:paraId="77BDB6AB">
      <w:pPr>
        <w:pStyle w:val="67"/>
        <w:spacing w:line="450" w:lineRule="exact"/>
        <w:ind w:firstLine="401" w:firstLineChars="190"/>
        <w:rPr>
          <w:rFonts w:hint="eastAsia" w:hAnsi="宋体" w:cs="宋体"/>
          <w:sz w:val="21"/>
          <w:szCs w:val="21"/>
          <w:highlight w:val="none"/>
        </w:rPr>
      </w:pPr>
      <w:r>
        <w:rPr>
          <w:rFonts w:hint="eastAsia" w:hAnsi="宋体" w:cs="宋体"/>
          <w:sz w:val="21"/>
          <w:szCs w:val="21"/>
          <w:highlight w:val="none"/>
        </w:rPr>
        <w:t>11.1.1 合同当事人约定：</w:t>
      </w:r>
      <w:r>
        <w:rPr>
          <w:rFonts w:hint="eastAsia" w:hAnsi="宋体" w:cs="宋体"/>
          <w:sz w:val="21"/>
          <w:szCs w:val="21"/>
          <w:highlight w:val="none"/>
          <w:lang w:val="en-US" w:eastAsia="zh-CN"/>
        </w:rPr>
        <w:t>/</w:t>
      </w:r>
      <w:r>
        <w:rPr>
          <w:rFonts w:hint="eastAsia" w:hAnsi="宋体" w:cs="宋体"/>
          <w:sz w:val="21"/>
          <w:szCs w:val="21"/>
          <w:highlight w:val="none"/>
        </w:rPr>
        <w:t>。</w:t>
      </w:r>
    </w:p>
    <w:p w14:paraId="41EB2284">
      <w:pPr>
        <w:pStyle w:val="67"/>
        <w:spacing w:before="120" w:line="450" w:lineRule="exact"/>
        <w:ind w:firstLine="401" w:firstLineChars="190"/>
        <w:rPr>
          <w:rFonts w:hint="eastAsia" w:hAnsi="宋体" w:cs="宋体"/>
          <w:sz w:val="21"/>
          <w:szCs w:val="21"/>
        </w:rPr>
      </w:pPr>
      <w:r>
        <w:rPr>
          <w:rFonts w:hint="eastAsia" w:hAnsi="宋体" w:cs="宋体"/>
          <w:sz w:val="21"/>
          <w:szCs w:val="21"/>
        </w:rPr>
        <w:t>11.2 法律变化引起的调整</w:t>
      </w:r>
    </w:p>
    <w:p w14:paraId="1989F1B0">
      <w:pPr>
        <w:spacing w:line="450" w:lineRule="exact"/>
        <w:ind w:firstLine="420" w:firstLineChars="200"/>
        <w:rPr>
          <w:rFonts w:hint="eastAsia" w:ascii="宋体" w:hAnsi="宋体" w:cs="宋体"/>
          <w:sz w:val="21"/>
          <w:szCs w:val="21"/>
        </w:rPr>
      </w:pPr>
      <w:bookmarkStart w:id="409" w:name="_Toc364853234"/>
      <w:r>
        <w:rPr>
          <w:rFonts w:hint="eastAsia" w:ascii="宋体" w:hAnsi="宋体" w:cs="宋体"/>
          <w:sz w:val="21"/>
          <w:szCs w:val="21"/>
        </w:rPr>
        <w:t>合同当事人关于本条的补充约定：</w:t>
      </w:r>
    </w:p>
    <w:p w14:paraId="48277765">
      <w:pPr>
        <w:spacing w:line="450" w:lineRule="exact"/>
        <w:ind w:firstLine="420" w:firstLineChars="200"/>
        <w:rPr>
          <w:rFonts w:hint="eastAsia" w:ascii="宋体" w:hAnsi="宋体" w:cs="宋体"/>
          <w:sz w:val="21"/>
          <w:szCs w:val="21"/>
        </w:rPr>
      </w:pPr>
      <w:r>
        <w:rPr>
          <w:rFonts w:hint="eastAsia" w:ascii="宋体" w:hAnsi="宋体" w:cs="宋体"/>
          <w:sz w:val="21"/>
          <w:szCs w:val="21"/>
        </w:rPr>
        <w:t>（1）本条所称的法律包括法律、法规、规章及规范性文件。</w:t>
      </w:r>
    </w:p>
    <w:p w14:paraId="1333F75A">
      <w:pPr>
        <w:spacing w:line="450" w:lineRule="exact"/>
        <w:ind w:firstLine="420" w:firstLineChars="200"/>
        <w:rPr>
          <w:rFonts w:hint="eastAsia" w:ascii="宋体" w:hAnsi="宋体" w:cs="宋体"/>
          <w:sz w:val="21"/>
          <w:szCs w:val="21"/>
        </w:rPr>
      </w:pPr>
      <w:r>
        <w:rPr>
          <w:rFonts w:hint="eastAsia" w:ascii="宋体" w:hAnsi="宋体" w:cs="宋体"/>
          <w:sz w:val="21"/>
          <w:szCs w:val="21"/>
        </w:rPr>
        <w:t>（2）国有投资项目应按本省建设行政主管部门或其授权工程造价管理机构发布的规定调整合同价款。</w:t>
      </w:r>
    </w:p>
    <w:p w14:paraId="69620677">
      <w:pPr>
        <w:pStyle w:val="5"/>
        <w:spacing w:line="450" w:lineRule="exact"/>
        <w:rPr>
          <w:rFonts w:hint="eastAsia" w:ascii="宋体" w:hAnsi="宋体" w:cs="宋体"/>
          <w:sz w:val="21"/>
          <w:szCs w:val="21"/>
        </w:rPr>
      </w:pPr>
      <w:r>
        <w:rPr>
          <w:rFonts w:hint="eastAsia" w:ascii="宋体" w:hAnsi="宋体" w:cs="宋体"/>
          <w:sz w:val="21"/>
          <w:szCs w:val="21"/>
        </w:rPr>
        <w:t>12. 合同价格、计量与支付</w:t>
      </w:r>
      <w:bookmarkEnd w:id="409"/>
    </w:p>
    <w:p w14:paraId="388E3E3A">
      <w:pPr>
        <w:pStyle w:val="67"/>
        <w:spacing w:before="120" w:line="450" w:lineRule="exact"/>
        <w:ind w:firstLine="401" w:firstLineChars="190"/>
        <w:rPr>
          <w:rFonts w:hint="eastAsia" w:hAnsi="宋体" w:cs="宋体"/>
          <w:sz w:val="21"/>
          <w:szCs w:val="21"/>
        </w:rPr>
      </w:pPr>
      <w:bookmarkStart w:id="410" w:name="_Toc267251461"/>
      <w:bookmarkStart w:id="411" w:name="_Toc292559411"/>
      <w:bookmarkStart w:id="412" w:name="_Toc292559916"/>
      <w:bookmarkStart w:id="413" w:name="_Toc296503206"/>
      <w:bookmarkStart w:id="414" w:name="_Toc296944545"/>
      <w:bookmarkStart w:id="415" w:name="_Toc296346707"/>
      <w:bookmarkStart w:id="416" w:name="_Toc297048392"/>
      <w:bookmarkStart w:id="417" w:name="_Toc296891034"/>
      <w:bookmarkStart w:id="418" w:name="_Toc297120506"/>
      <w:bookmarkStart w:id="419" w:name="_Toc296891246"/>
      <w:bookmarkStart w:id="420" w:name="_Toc296347205"/>
      <w:bookmarkStart w:id="421" w:name="_Toc304295580"/>
      <w:bookmarkStart w:id="422" w:name="_Toc303539160"/>
      <w:bookmarkStart w:id="423" w:name="_Toc297123553"/>
      <w:bookmarkStart w:id="424" w:name="_Toc312678041"/>
      <w:bookmarkStart w:id="425" w:name="_Toc297216212"/>
      <w:bookmarkStart w:id="426" w:name="_Toc300935003"/>
      <w:r>
        <w:rPr>
          <w:rFonts w:hint="eastAsia" w:hAnsi="宋体" w:cs="宋体"/>
          <w:sz w:val="21"/>
          <w:szCs w:val="21"/>
        </w:rPr>
        <w:t>12.1 合</w:t>
      </w:r>
      <w:bookmarkEnd w:id="410"/>
      <w:bookmarkEnd w:id="411"/>
      <w:bookmarkEnd w:id="412"/>
      <w:r>
        <w:rPr>
          <w:rFonts w:hint="eastAsia" w:hAnsi="宋体" w:cs="宋体"/>
          <w:sz w:val="21"/>
          <w:szCs w:val="21"/>
        </w:rPr>
        <w:t>同价</w:t>
      </w:r>
      <w:bookmarkEnd w:id="413"/>
      <w:bookmarkEnd w:id="414"/>
      <w:bookmarkEnd w:id="415"/>
      <w:bookmarkEnd w:id="416"/>
      <w:bookmarkEnd w:id="417"/>
      <w:bookmarkEnd w:id="418"/>
      <w:bookmarkEnd w:id="419"/>
      <w:bookmarkEnd w:id="420"/>
      <w:r>
        <w:rPr>
          <w:rFonts w:hint="eastAsia" w:hAnsi="宋体" w:cs="宋体"/>
          <w:sz w:val="21"/>
          <w:szCs w:val="21"/>
        </w:rPr>
        <w:t>格形式</w:t>
      </w:r>
    </w:p>
    <w:bookmarkEnd w:id="421"/>
    <w:bookmarkEnd w:id="422"/>
    <w:bookmarkEnd w:id="423"/>
    <w:bookmarkEnd w:id="424"/>
    <w:bookmarkEnd w:id="425"/>
    <w:bookmarkEnd w:id="426"/>
    <w:p w14:paraId="7D9178C6">
      <w:pPr>
        <w:spacing w:line="450" w:lineRule="exact"/>
        <w:ind w:firstLine="422" w:firstLineChars="200"/>
        <w:rPr>
          <w:rFonts w:hint="eastAsia" w:hAnsi="宋体" w:cs="宋体"/>
          <w:sz w:val="21"/>
          <w:szCs w:val="21"/>
        </w:rPr>
      </w:pPr>
      <w:r>
        <w:rPr>
          <w:rFonts w:hint="eastAsia" w:ascii="宋体" w:hAnsi="宋体" w:cs="宋体"/>
          <w:b/>
          <w:kern w:val="0"/>
          <w:sz w:val="21"/>
          <w:szCs w:val="21"/>
        </w:rPr>
        <w:t>本合同采用合同当事人签订的合同协议书中约定的价格形式，即：</w:t>
      </w:r>
      <w:r>
        <w:rPr>
          <w:rFonts w:hint="eastAsia" w:ascii="宋体" w:hAnsi="宋体" w:eastAsia="宋体" w:cs="宋体"/>
          <w:b/>
          <w:kern w:val="0"/>
          <w:sz w:val="21"/>
          <w:szCs w:val="21"/>
        </w:rPr>
        <w:t>可调价格合同。</w:t>
      </w:r>
      <w:r>
        <w:rPr>
          <w:rFonts w:hint="eastAsia" w:ascii="宋体" w:hAnsi="宋体" w:cs="宋体"/>
          <w:kern w:val="0"/>
          <w:sz w:val="21"/>
          <w:szCs w:val="21"/>
        </w:rPr>
        <w:t xml:space="preserve"> </w:t>
      </w:r>
      <w:r>
        <w:rPr>
          <w:rFonts w:hint="eastAsia" w:hAnsi="宋体" w:cs="宋体"/>
          <w:sz w:val="21"/>
          <w:szCs w:val="21"/>
        </w:rPr>
        <w:t xml:space="preserve">  </w:t>
      </w:r>
    </w:p>
    <w:p w14:paraId="3188934F">
      <w:pPr>
        <w:pStyle w:val="67"/>
        <w:spacing w:before="120" w:line="450" w:lineRule="exact"/>
        <w:ind w:firstLine="401" w:firstLineChars="190"/>
        <w:rPr>
          <w:rFonts w:hint="eastAsia" w:hAnsi="宋体" w:cs="宋体"/>
          <w:sz w:val="21"/>
          <w:szCs w:val="21"/>
          <w:highlight w:val="none"/>
        </w:rPr>
      </w:pPr>
      <w:r>
        <w:rPr>
          <w:rFonts w:hint="eastAsia" w:hAnsi="宋体" w:cs="宋体"/>
          <w:sz w:val="21"/>
          <w:szCs w:val="21"/>
          <w:highlight w:val="none"/>
        </w:rPr>
        <w:t>12.2 预付款</w:t>
      </w:r>
    </w:p>
    <w:p w14:paraId="3EB94FD0">
      <w:pPr>
        <w:pStyle w:val="13"/>
        <w:spacing w:line="450" w:lineRule="exact"/>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 xml:space="preserve">12.2.1 </w:t>
      </w:r>
      <w:r>
        <w:rPr>
          <w:rFonts w:hint="eastAsia" w:ascii="宋体" w:hAnsi="宋体" w:eastAsia="宋体" w:cs="宋体"/>
          <w:sz w:val="21"/>
          <w:szCs w:val="21"/>
          <w:lang w:val="en-US" w:eastAsia="zh-CN"/>
        </w:rPr>
        <w:t>预付款的支付和扣回的方式：</w:t>
      </w:r>
      <w:r>
        <w:rPr>
          <w:rFonts w:hint="eastAsia" w:ascii="宋体" w:hAnsi="宋体" w:eastAsia="宋体" w:cs="宋体"/>
          <w:b/>
          <w:bCs/>
          <w:sz w:val="21"/>
          <w:szCs w:val="21"/>
          <w:u w:val="single"/>
          <w:lang w:val="en-US" w:eastAsia="zh-CN"/>
        </w:rPr>
        <w:t>在合同签订生效后一周内，支付合同价款的20%。预付款扣回的方式：在前2次工程进度款支付时各扣回预付款的50%。</w:t>
      </w:r>
    </w:p>
    <w:p w14:paraId="638C6709">
      <w:pPr>
        <w:pStyle w:val="67"/>
        <w:spacing w:before="120" w:line="450" w:lineRule="exact"/>
        <w:ind w:firstLine="310" w:firstLineChars="147"/>
        <w:rPr>
          <w:rFonts w:hint="eastAsia" w:hAnsi="宋体" w:cs="宋体"/>
          <w:sz w:val="21"/>
          <w:szCs w:val="21"/>
        </w:rPr>
      </w:pPr>
      <w:r>
        <w:rPr>
          <w:rFonts w:hint="eastAsia" w:hAnsi="宋体" w:cs="宋体"/>
          <w:sz w:val="21"/>
          <w:szCs w:val="21"/>
        </w:rPr>
        <w:t>12.3 计量</w:t>
      </w:r>
    </w:p>
    <w:p w14:paraId="19155B21">
      <w:pPr>
        <w:pStyle w:val="13"/>
        <w:spacing w:line="450" w:lineRule="exact"/>
        <w:ind w:firstLine="420" w:firstLineChars="200"/>
        <w:rPr>
          <w:rFonts w:hint="eastAsia" w:hAnsi="宋体" w:cs="宋体"/>
          <w:sz w:val="21"/>
          <w:szCs w:val="21"/>
        </w:rPr>
      </w:pPr>
      <w:r>
        <w:rPr>
          <w:rFonts w:hint="eastAsia" w:hAnsi="宋体" w:cs="宋体"/>
          <w:sz w:val="21"/>
          <w:szCs w:val="21"/>
        </w:rPr>
        <w:t>关于工程量计算原则约定：按现行的工程量计算规则执行。</w:t>
      </w:r>
    </w:p>
    <w:p w14:paraId="2E0CA745">
      <w:pPr>
        <w:pStyle w:val="13"/>
        <w:spacing w:line="450" w:lineRule="exact"/>
        <w:ind w:firstLine="420" w:firstLineChars="200"/>
        <w:rPr>
          <w:rFonts w:hint="eastAsia" w:hAnsi="宋体" w:cs="宋体"/>
          <w:sz w:val="21"/>
          <w:szCs w:val="21"/>
        </w:rPr>
      </w:pPr>
      <w:r>
        <w:rPr>
          <w:rFonts w:hint="eastAsia" w:hAnsi="宋体" w:cs="宋体"/>
          <w:sz w:val="21"/>
          <w:szCs w:val="21"/>
        </w:rPr>
        <w:t>关于计量周期及本合同计量方式和程序的约定：执行通用条款。</w:t>
      </w:r>
    </w:p>
    <w:p w14:paraId="6EF8453A">
      <w:pPr>
        <w:pStyle w:val="67"/>
        <w:spacing w:before="120" w:line="450" w:lineRule="exact"/>
        <w:ind w:firstLine="401" w:firstLineChars="190"/>
        <w:rPr>
          <w:rFonts w:hint="eastAsia" w:hAnsi="宋体" w:cs="宋体"/>
          <w:sz w:val="21"/>
          <w:szCs w:val="21"/>
        </w:rPr>
      </w:pPr>
      <w:r>
        <w:rPr>
          <w:rFonts w:hint="eastAsia" w:hAnsi="宋体" w:cs="宋体"/>
          <w:sz w:val="21"/>
          <w:szCs w:val="21"/>
        </w:rPr>
        <w:t>12.4 工程进度款支付</w:t>
      </w:r>
    </w:p>
    <w:p w14:paraId="773C58B4">
      <w:pPr>
        <w:pStyle w:val="67"/>
        <w:spacing w:before="120" w:line="450" w:lineRule="exact"/>
        <w:ind w:firstLine="310" w:firstLineChars="147"/>
        <w:rPr>
          <w:rFonts w:hint="eastAsia" w:ascii="宋体" w:hAnsi="宋体" w:eastAsia="宋体" w:cs="宋体"/>
          <w:color w:val="auto"/>
          <w:sz w:val="21"/>
          <w:szCs w:val="21"/>
          <w:highlight w:val="yellow"/>
          <w:u w:val="single"/>
          <w:lang w:val="en-US" w:eastAsia="zh-CN"/>
        </w:rPr>
      </w:pPr>
      <w:r>
        <w:rPr>
          <w:rFonts w:hint="eastAsia" w:ascii="宋体" w:hAnsi="宋体" w:eastAsia="宋体" w:cs="宋体"/>
          <w:color w:val="auto"/>
          <w:sz w:val="21"/>
          <w:szCs w:val="21"/>
          <w:highlight w:val="none"/>
          <w:u w:val="none"/>
          <w:lang w:val="en-US" w:eastAsia="zh-CN"/>
        </w:rPr>
        <w:t>关于付款周期、进度款支付程序和方法的约定</w:t>
      </w:r>
      <w:r>
        <w:rPr>
          <w:rFonts w:hint="eastAsia" w:ascii="宋体" w:hAnsi="宋体" w:cs="宋体"/>
          <w:sz w:val="24"/>
          <w:szCs w:val="24"/>
        </w:rPr>
        <w:t>：</w:t>
      </w:r>
      <w:r>
        <w:rPr>
          <w:rFonts w:hint="eastAsia" w:ascii="宋体" w:hAnsi="宋体" w:eastAsia="宋体" w:cs="宋体"/>
          <w:color w:val="auto"/>
          <w:sz w:val="21"/>
          <w:szCs w:val="21"/>
          <w:highlight w:val="none"/>
          <w:u w:val="single"/>
          <w:lang w:val="en-US" w:eastAsia="zh-CN"/>
        </w:rPr>
        <w:t>在工程施工进度（监理工程师、现场业主代表共同核定的已完合格的工程量）至50%时支付合同价款的30%；工程施工进度（监理工程师、现场业主代表共同核定的已完合格的工程量）至80%时支付合同价款的30%；待工程竣工验收合格后支付至合同价款的80%；待竣工结算经甲方委托的造价咨询机构审核后支付至结算审核价款的98.5%，余款在质保期过后付清。</w:t>
      </w:r>
    </w:p>
    <w:p w14:paraId="04305EFB">
      <w:pPr>
        <w:pStyle w:val="67"/>
        <w:spacing w:before="120" w:line="450" w:lineRule="exact"/>
        <w:ind w:firstLine="401" w:firstLineChars="190"/>
        <w:rPr>
          <w:rFonts w:hint="default" w:hAnsi="宋体" w:cs="宋体"/>
          <w:sz w:val="21"/>
          <w:szCs w:val="21"/>
          <w:lang w:val="en-US" w:eastAsia="zh-CN"/>
        </w:rPr>
      </w:pPr>
      <w:r>
        <w:rPr>
          <w:rFonts w:hint="eastAsia" w:hAnsi="宋体" w:cs="宋体"/>
          <w:sz w:val="21"/>
          <w:szCs w:val="21"/>
          <w:lang w:val="en-US" w:eastAsia="zh-CN"/>
        </w:rPr>
        <w:t>12.5特别约定</w:t>
      </w:r>
    </w:p>
    <w:p w14:paraId="04532324">
      <w:pPr>
        <w:snapToGrid w:val="0"/>
        <w:spacing w:line="450" w:lineRule="exact"/>
        <w:ind w:firstLine="420"/>
        <w:rPr>
          <w:rFonts w:hint="eastAsia" w:ascii="宋体" w:hAnsi="宋体" w:eastAsia="宋体" w:cs="宋体"/>
          <w:color w:val="auto"/>
          <w:sz w:val="21"/>
          <w:szCs w:val="21"/>
          <w:highlight w:val="none"/>
          <w:u w:val="single"/>
          <w:lang w:val="en-US" w:eastAsia="zh-CN"/>
        </w:rPr>
      </w:pPr>
      <w:r>
        <w:rPr>
          <w:rFonts w:hint="eastAsia" w:ascii="宋体" w:hAnsi="宋体" w:cs="宋体"/>
          <w:b/>
          <w:bCs/>
          <w:color w:val="auto"/>
          <w:szCs w:val="21"/>
          <w:highlight w:val="none"/>
          <w:lang w:val="en-US" w:eastAsia="zh-CN"/>
        </w:rPr>
        <w:t>发包人受项目业主委托，实施该项目的施工招标及管理工作。因此上述工程款的支付受项目业主单位向发包人支付工程款的时间、金额的约束，若项目业主单位向发包人支付工程款的时间延迟，则发包人向承包人支付工程款的时间作相应顺延，对此，承包人予以认可并且承诺不会因此追究发包人逾期付款的违约责任。承包人如需项目业主单位的相关信息可向发包人咨询。</w:t>
      </w:r>
    </w:p>
    <w:p w14:paraId="09F3B631">
      <w:pPr>
        <w:snapToGrid w:val="0"/>
        <w:spacing w:line="450" w:lineRule="exact"/>
        <w:ind w:firstLine="420"/>
        <w:rPr>
          <w:rFonts w:hint="eastAsia" w:ascii="宋体" w:hAnsi="宋体" w:cs="宋体"/>
          <w:b/>
          <w:color w:val="auto"/>
          <w:sz w:val="21"/>
          <w:szCs w:val="21"/>
          <w:highlight w:val="none"/>
        </w:rPr>
      </w:pPr>
      <w:r>
        <w:rPr>
          <w:rFonts w:hint="eastAsia" w:ascii="宋体" w:hAnsi="宋体" w:cs="宋体"/>
          <w:b/>
          <w:color w:val="auto"/>
          <w:sz w:val="21"/>
          <w:szCs w:val="21"/>
          <w:highlight w:val="none"/>
        </w:rPr>
        <w:t>1</w:t>
      </w:r>
      <w:r>
        <w:rPr>
          <w:rFonts w:hint="eastAsia" w:ascii="宋体" w:hAnsi="宋体" w:cs="宋体"/>
          <w:b/>
          <w:color w:val="auto"/>
          <w:sz w:val="21"/>
          <w:szCs w:val="21"/>
          <w:highlight w:val="none"/>
          <w:lang w:val="en-US" w:eastAsia="zh-CN"/>
        </w:rPr>
        <w:t>3.</w:t>
      </w:r>
      <w:r>
        <w:rPr>
          <w:rFonts w:hint="eastAsia" w:ascii="宋体" w:hAnsi="宋体" w:cs="宋体"/>
          <w:b/>
          <w:color w:val="auto"/>
          <w:sz w:val="21"/>
          <w:szCs w:val="21"/>
          <w:highlight w:val="none"/>
        </w:rPr>
        <w:t xml:space="preserve"> 验收和工程试车</w:t>
      </w:r>
      <w:bookmarkEnd w:id="408"/>
    </w:p>
    <w:p w14:paraId="45650E94">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.1 分部分项工程验收</w:t>
      </w:r>
    </w:p>
    <w:p w14:paraId="29F8EDAE">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.1.2 监理人不能按时进行验收时，应提前</w:t>
      </w:r>
      <w:r>
        <w:rPr>
          <w:rFonts w:hint="eastAsia" w:ascii="宋体" w:hAnsi="宋体" w:cs="宋体"/>
          <w:color w:val="auto"/>
          <w:sz w:val="21"/>
          <w:szCs w:val="21"/>
          <w:highlight w:val="none"/>
          <w:u w:val="single"/>
        </w:rPr>
        <w:t xml:space="preserve"> 24 </w:t>
      </w:r>
      <w:r>
        <w:rPr>
          <w:rFonts w:hint="eastAsia" w:ascii="宋体" w:hAnsi="宋体" w:cs="宋体"/>
          <w:color w:val="auto"/>
          <w:sz w:val="21"/>
          <w:szCs w:val="21"/>
          <w:highlight w:val="none"/>
        </w:rPr>
        <w:t>小时提交书面延期要求，但延期不能超过48小时。</w:t>
      </w:r>
    </w:p>
    <w:p w14:paraId="6B70E0C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.2 竣工验收</w:t>
      </w:r>
    </w:p>
    <w:p w14:paraId="287C03FD">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13</w:t>
      </w:r>
      <w:r>
        <w:rPr>
          <w:rFonts w:hint="eastAsia" w:ascii="宋体" w:hAnsi="宋体" w:cs="宋体"/>
          <w:color w:val="auto"/>
          <w:sz w:val="21"/>
          <w:szCs w:val="21"/>
          <w:highlight w:val="none"/>
        </w:rPr>
        <w:t>.2.2 竣工验收程序</w:t>
      </w:r>
    </w:p>
    <w:p w14:paraId="52248A08">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关于竣工验收程序的约定：执行通用条款。</w:t>
      </w:r>
    </w:p>
    <w:p w14:paraId="46814FD5">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发包人不按照本项约定组织竣工验收、颁发工程接收证书的违约金的计算方法：执行通用条款。</w:t>
      </w:r>
    </w:p>
    <w:p w14:paraId="3DD1FAC5">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.2.5　移交、接收全部与部分工程</w:t>
      </w:r>
    </w:p>
    <w:p w14:paraId="2F79B851">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承包人向发包人移交工程的期限：在颁发工程接收证书后</w:t>
      </w:r>
      <w:r>
        <w:rPr>
          <w:rFonts w:hint="eastAsia" w:ascii="宋体" w:hAnsi="宋体" w:cs="宋体"/>
          <w:color w:val="auto"/>
          <w:sz w:val="21"/>
          <w:szCs w:val="21"/>
          <w:highlight w:val="none"/>
          <w:u w:val="single"/>
        </w:rPr>
        <w:t xml:space="preserve">7 </w:t>
      </w:r>
      <w:r>
        <w:rPr>
          <w:rFonts w:hint="eastAsia" w:ascii="宋体" w:hAnsi="宋体" w:cs="宋体"/>
          <w:color w:val="auto"/>
          <w:sz w:val="21"/>
          <w:szCs w:val="21"/>
          <w:highlight w:val="none"/>
        </w:rPr>
        <w:t>天内完成工程的移交。</w:t>
      </w:r>
    </w:p>
    <w:p w14:paraId="7C7000DF">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发包人无正当理由未按本合同约定接收全部或部分工程的，除承担自应接收工程</w:t>
      </w:r>
      <w:r>
        <w:rPr>
          <w:rFonts w:hint="eastAsia" w:ascii="宋体" w:hAnsi="宋体" w:cs="宋体"/>
          <w:color w:val="auto"/>
          <w:sz w:val="21"/>
          <w:szCs w:val="21"/>
          <w:highlight w:val="none"/>
        </w:rPr>
        <w:t>之日起的工程照管、成本保护、保管等与工程有关的各项费用外，应当按本专用条款约定的</w:t>
      </w:r>
      <w:r>
        <w:rPr>
          <w:rFonts w:hint="eastAsia" w:ascii="宋体" w:hAnsi="宋体" w:cs="宋体"/>
          <w:color w:val="auto"/>
          <w:kern w:val="0"/>
          <w:sz w:val="21"/>
          <w:szCs w:val="21"/>
          <w:highlight w:val="none"/>
        </w:rPr>
        <w:t>提前竣工奖励的5倍标准</w:t>
      </w:r>
      <w:r>
        <w:rPr>
          <w:rFonts w:hint="eastAsia" w:ascii="宋体" w:hAnsi="宋体" w:cs="宋体"/>
          <w:color w:val="auto"/>
          <w:sz w:val="21"/>
          <w:szCs w:val="21"/>
          <w:highlight w:val="none"/>
        </w:rPr>
        <w:t>向承包人支付逾期接收工程的违约金。</w:t>
      </w:r>
    </w:p>
    <w:p w14:paraId="4A0801BB">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承包人无正当理由未按时移交工程的，除承担自应接收工程之日起的工程照管、成本保护、保管等与工程有关的各项费用外，应当按本合同约定的工期延误赔偿标准的5倍向发</w:t>
      </w:r>
      <w:r>
        <w:rPr>
          <w:rFonts w:hint="eastAsia" w:ascii="宋体" w:hAnsi="宋体" w:cs="宋体"/>
          <w:color w:val="auto"/>
          <w:sz w:val="21"/>
          <w:szCs w:val="21"/>
          <w:highlight w:val="none"/>
        </w:rPr>
        <w:t>包人支付逾期移交工程的违约金。</w:t>
      </w:r>
    </w:p>
    <w:p w14:paraId="228FEE8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.3 工程试车</w:t>
      </w:r>
    </w:p>
    <w:p w14:paraId="7161BB9F">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.3.1 关于试车程序及费用的约定：执行通用条款。</w:t>
      </w:r>
    </w:p>
    <w:p w14:paraId="41679FD3">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13</w:t>
      </w:r>
      <w:r>
        <w:rPr>
          <w:rFonts w:hint="eastAsia" w:ascii="宋体" w:hAnsi="宋体" w:cs="宋体"/>
          <w:color w:val="auto"/>
          <w:sz w:val="21"/>
          <w:szCs w:val="21"/>
          <w:highlight w:val="none"/>
        </w:rPr>
        <w:t>.3.3　关于投料试车相关事项的约定：执行通用条款。</w:t>
      </w:r>
    </w:p>
    <w:p w14:paraId="5C1C922E">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3</w:t>
      </w:r>
      <w:r>
        <w:rPr>
          <w:rFonts w:hint="eastAsia" w:hAnsi="宋体" w:cs="宋体"/>
          <w:color w:val="auto"/>
          <w:sz w:val="21"/>
          <w:szCs w:val="21"/>
          <w:highlight w:val="none"/>
        </w:rPr>
        <w:t>.</w:t>
      </w:r>
      <w:r>
        <w:rPr>
          <w:rFonts w:hint="eastAsia" w:hAnsi="宋体" w:cs="宋体"/>
          <w:color w:val="auto"/>
          <w:sz w:val="21"/>
          <w:szCs w:val="21"/>
          <w:highlight w:val="none"/>
          <w:lang w:val="en-US" w:eastAsia="zh-CN"/>
        </w:rPr>
        <w:t>6</w:t>
      </w:r>
      <w:r>
        <w:rPr>
          <w:rFonts w:hint="eastAsia" w:hAnsi="宋体" w:cs="宋体"/>
          <w:color w:val="auto"/>
          <w:sz w:val="21"/>
          <w:szCs w:val="21"/>
          <w:highlight w:val="none"/>
        </w:rPr>
        <w:t xml:space="preserve"> 竣工退场</w:t>
      </w:r>
    </w:p>
    <w:p w14:paraId="1CDE2390">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 竣工退场</w:t>
      </w:r>
    </w:p>
    <w:p w14:paraId="689D9EBD">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承包人应当在发包人颁发工程接收证书后</w:t>
      </w:r>
      <w:r>
        <w:rPr>
          <w:rFonts w:hint="eastAsia" w:ascii="宋体" w:hAnsi="宋体" w:cs="宋体"/>
          <w:color w:val="auto"/>
          <w:sz w:val="21"/>
          <w:szCs w:val="21"/>
          <w:highlight w:val="none"/>
          <w:u w:val="single"/>
        </w:rPr>
        <w:t xml:space="preserve">  14</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内完成竣工退场，逾期未完成的，按通用条款执行。</w:t>
      </w:r>
    </w:p>
    <w:p w14:paraId="03316CDE">
      <w:pPr>
        <w:pStyle w:val="5"/>
        <w:spacing w:line="450" w:lineRule="exact"/>
        <w:rPr>
          <w:rFonts w:hint="eastAsia" w:ascii="宋体" w:hAnsi="宋体" w:cs="宋体"/>
          <w:color w:val="auto"/>
          <w:sz w:val="21"/>
          <w:szCs w:val="21"/>
          <w:highlight w:val="none"/>
        </w:rPr>
      </w:pPr>
      <w:bookmarkStart w:id="427" w:name="_Toc364853236"/>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 xml:space="preserve"> 竣工结算</w:t>
      </w:r>
      <w:bookmarkEnd w:id="427"/>
    </w:p>
    <w:p w14:paraId="35024F00">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14</w:t>
      </w:r>
      <w:r>
        <w:rPr>
          <w:rFonts w:hint="eastAsia" w:hAnsi="宋体" w:cs="宋体"/>
          <w:color w:val="auto"/>
          <w:sz w:val="21"/>
          <w:szCs w:val="21"/>
          <w:highlight w:val="none"/>
        </w:rPr>
        <w:t>.1 竣工结算申请</w:t>
      </w:r>
    </w:p>
    <w:p w14:paraId="5EA2FBFE">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承包人应当在工程竣工验收合格后</w:t>
      </w:r>
      <w:r>
        <w:rPr>
          <w:rFonts w:hint="eastAsia" w:ascii="宋体" w:hAnsi="宋体" w:cs="宋体"/>
          <w:color w:val="auto"/>
          <w:sz w:val="21"/>
          <w:szCs w:val="21"/>
          <w:highlight w:val="none"/>
          <w:u w:val="single"/>
        </w:rPr>
        <w:t>　28　</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内向发包人或其委托的工程造价咨询人提交竣工结算申请单及其完整的结算资料3份。</w:t>
      </w:r>
    </w:p>
    <w:p w14:paraId="77461A8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或其委托的工程造价咨询人对竣工结算申请单有异议或者结算资料不符合要求的，有权要求承包进行修正和提供补充资料，但应当出具书面的意见。承包人应当按照发包人或其委托的工程造价咨询人出具的书面意见提交修正后的竣工结算申请单或结算资料，竣工结算申请的时间从提交修正后的竣工结算申请单或结算资料起计算。</w:t>
      </w:r>
    </w:p>
    <w:p w14:paraId="376953CB">
      <w:pPr>
        <w:autoSpaceDE w:val="0"/>
        <w:autoSpaceDN w:val="0"/>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竣工结算申请单应包括的内容：按通用条款执行。</w:t>
      </w:r>
    </w:p>
    <w:p w14:paraId="2B3E9763">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.2 竣工结算审核</w:t>
      </w:r>
    </w:p>
    <w:p w14:paraId="40A43042">
      <w:pPr>
        <w:pStyle w:val="68"/>
        <w:adjustRightInd w:val="0"/>
        <w:spacing w:line="450" w:lineRule="exact"/>
        <w:ind w:firstLine="420" w:firstLineChars="200"/>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14.</w:t>
      </w:r>
      <w:r>
        <w:rPr>
          <w:rFonts w:hint="eastAsia" w:hAnsi="宋体" w:eastAsia="宋体" w:cs="宋体"/>
          <w:color w:val="auto"/>
          <w:sz w:val="21"/>
          <w:szCs w:val="21"/>
          <w:highlight w:val="none"/>
        </w:rPr>
        <w:t>2.1 竣工结算审核</w:t>
      </w:r>
    </w:p>
    <w:p w14:paraId="1BC10C2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（1）发包人在收到承包人完整的竣工结算审核申请资料后，应在28天内及时提交财政或审计部门审核，财政或审计部门出具结算审核报告后，发包人应在14天内签发竣工付款证书。</w:t>
      </w:r>
    </w:p>
    <w:p w14:paraId="5FAF907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发包人在收到承包人提交的竣工结算申请单后</w:t>
      </w:r>
      <w:r>
        <w:rPr>
          <w:rFonts w:hint="eastAsia" w:ascii="宋体" w:hAnsi="宋体" w:cs="宋体"/>
          <w:color w:val="auto"/>
          <w:sz w:val="21"/>
          <w:szCs w:val="21"/>
          <w:highlight w:val="none"/>
          <w:u w:val="single"/>
        </w:rPr>
        <w:t>　28　</w:t>
      </w:r>
      <w:r>
        <w:rPr>
          <w:rFonts w:hint="eastAsia" w:ascii="宋体" w:hAnsi="宋体" w:cs="宋体"/>
          <w:color w:val="auto"/>
          <w:sz w:val="21"/>
          <w:szCs w:val="21"/>
          <w:highlight w:val="none"/>
        </w:rPr>
        <w:t>天未提出异议或者未出具结算报告的，视为发包人认可承包人提交的竣工结算申请单，逾期，视为已</w:t>
      </w:r>
    </w:p>
    <w:p w14:paraId="27AFB3C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签发竣工付款证书。</w:t>
      </w:r>
    </w:p>
    <w:p w14:paraId="2F3238B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（2）发包人应在签发竣工付款证书后</w:t>
      </w:r>
      <w:r>
        <w:rPr>
          <w:rFonts w:hint="eastAsia" w:ascii="宋体" w:hAnsi="宋体" w:cs="宋体"/>
          <w:color w:val="auto"/>
          <w:sz w:val="21"/>
          <w:szCs w:val="21"/>
          <w:highlight w:val="none"/>
          <w:u w:val="single"/>
        </w:rPr>
        <w:t>　7　</w:t>
      </w:r>
      <w:r>
        <w:rPr>
          <w:rFonts w:hint="eastAsia" w:ascii="宋体" w:hAnsi="宋体" w:cs="宋体"/>
          <w:color w:val="auto"/>
          <w:sz w:val="21"/>
          <w:szCs w:val="21"/>
          <w:highlight w:val="none"/>
        </w:rPr>
        <w:t>天内，完成对承包人的竣工付款。发包人逾期支付的违约责任按通用条款执行。</w:t>
      </w:r>
    </w:p>
    <w:p w14:paraId="5C9F5370">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承包人对发包人签发的竣工付款证书有异议的内容，应在收到竣工付款证书后7天内提出，按照第20条[争议解决]约定处理。无异议部分，发包人应签发临时竣工付款证书，并按第（2）项约定完成付款；承包人逾期未提出异议的，视为认可发包人的审核结果。</w:t>
      </w:r>
    </w:p>
    <w:p w14:paraId="1E113D9C">
      <w:pPr>
        <w:spacing w:line="450" w:lineRule="exact"/>
        <w:ind w:firstLine="525" w:firstLineChars="250"/>
        <w:rPr>
          <w:rFonts w:hint="eastAsia" w:ascii="宋体" w:hAnsi="宋体" w:cs="宋体"/>
          <w:color w:val="auto"/>
          <w:sz w:val="21"/>
          <w:szCs w:val="21"/>
          <w:highlight w:val="none"/>
        </w:rPr>
      </w:pPr>
      <w:r>
        <w:rPr>
          <w:rFonts w:hint="eastAsia" w:ascii="宋体" w:hAnsi="宋体" w:cs="宋体"/>
          <w:color w:val="auto"/>
          <w:sz w:val="21"/>
          <w:szCs w:val="21"/>
          <w:highlight w:val="none"/>
        </w:rPr>
        <w:t>（4）委托中介机构进行竣工结算审核时发生追加费，其费用由承包方承担。结算追加费执行浙价服【2009】84号标准，结合奉化财政局规定执行。</w:t>
      </w:r>
    </w:p>
    <w:p w14:paraId="61943C38">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（5）关于承包人收款账户的约定：执行通用条款。</w:t>
      </w:r>
    </w:p>
    <w:p w14:paraId="37A09F7D">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14.4</w:t>
      </w:r>
      <w:r>
        <w:rPr>
          <w:rFonts w:hint="eastAsia" w:hAnsi="宋体" w:cs="宋体"/>
          <w:color w:val="auto"/>
          <w:sz w:val="21"/>
          <w:szCs w:val="21"/>
          <w:highlight w:val="none"/>
        </w:rPr>
        <w:t>最终结清</w:t>
      </w:r>
    </w:p>
    <w:p w14:paraId="2DB021D6">
      <w:pPr>
        <w:spacing w:line="450" w:lineRule="exact"/>
        <w:ind w:firstLine="420" w:firstLineChars="200"/>
        <w:rPr>
          <w:rFonts w:hint="eastAsia" w:ascii="宋体" w:hAnsi="宋体" w:cs="宋体"/>
          <w:color w:val="auto"/>
          <w:sz w:val="21"/>
          <w:szCs w:val="21"/>
          <w:highlight w:val="none"/>
        </w:rPr>
      </w:pPr>
      <w:bookmarkStart w:id="428" w:name="_Toc364853237"/>
      <w:r>
        <w:rPr>
          <w:rFonts w:hint="eastAsia" w:ascii="宋体" w:hAnsi="宋体" w:cs="宋体"/>
          <w:color w:val="auto"/>
          <w:sz w:val="21"/>
          <w:szCs w:val="21"/>
          <w:highlight w:val="none"/>
          <w:lang w:val="en-US" w:eastAsia="zh-CN"/>
        </w:rPr>
        <w:t>14.4.1</w:t>
      </w:r>
      <w:r>
        <w:rPr>
          <w:rFonts w:hint="eastAsia" w:ascii="宋体" w:hAnsi="宋体" w:cs="宋体"/>
          <w:color w:val="auto"/>
          <w:sz w:val="21"/>
          <w:szCs w:val="21"/>
          <w:highlight w:val="none"/>
        </w:rPr>
        <w:t xml:space="preserve"> 最终结清申请单</w:t>
      </w:r>
    </w:p>
    <w:p w14:paraId="7DAC476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（1）承包人应在缺陷责任期终止证书颁发后7天内提交3份最终结清申请单，并提供相关证明材料。最终结清申请单应列明质量保证金、应扣除的质量保证金、缺陷责任期内发生的增减费用。</w:t>
      </w:r>
    </w:p>
    <w:p w14:paraId="16907F7B">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（2）发包人对最终结清申请单内容有异议的，有权要求承包人进行修正和提供补充资料，但应当出具书面意见。承包人应当按照发包人的书面意见提交修正后的最终结清申请单。</w:t>
      </w:r>
    </w:p>
    <w:p w14:paraId="2E93C9A5">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14.4.2</w:t>
      </w:r>
      <w:r>
        <w:rPr>
          <w:rFonts w:hint="eastAsia" w:ascii="宋体" w:hAnsi="宋体" w:cs="宋体"/>
          <w:color w:val="auto"/>
          <w:sz w:val="21"/>
          <w:szCs w:val="21"/>
          <w:highlight w:val="none"/>
        </w:rPr>
        <w:t xml:space="preserve"> 最终结清证书和支付</w:t>
      </w:r>
    </w:p>
    <w:p w14:paraId="69286B43">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（1）发包人应在收到承包人提交的最终结清申请单后</w:t>
      </w:r>
      <w:r>
        <w:rPr>
          <w:rFonts w:hint="eastAsia" w:ascii="宋体" w:hAnsi="宋体" w:cs="宋体"/>
          <w:color w:val="auto"/>
          <w:sz w:val="21"/>
          <w:szCs w:val="21"/>
          <w:highlight w:val="none"/>
          <w:u w:val="single"/>
        </w:rPr>
        <w:t>14</w:t>
      </w:r>
      <w:r>
        <w:rPr>
          <w:rFonts w:hint="eastAsia" w:ascii="宋体" w:hAnsi="宋体" w:cs="宋体"/>
          <w:color w:val="auto"/>
          <w:sz w:val="21"/>
          <w:szCs w:val="21"/>
          <w:highlight w:val="none"/>
        </w:rPr>
        <w:t>天内完成审批并向承包人颁发最终结清证书。发包人逾期未完成审批，又未提出修改意见的，视为发包人同意承包人提交的最终结清申请单并已颁发最终结清证书 。</w:t>
      </w:r>
    </w:p>
    <w:p w14:paraId="108012A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（2）发包人应在颁发最终结清证书后</w:t>
      </w:r>
      <w:r>
        <w:rPr>
          <w:rFonts w:hint="eastAsia" w:ascii="宋体" w:hAnsi="宋体" w:cs="宋体"/>
          <w:color w:val="auto"/>
          <w:sz w:val="21"/>
          <w:szCs w:val="21"/>
          <w:highlight w:val="none"/>
          <w:u w:val="single"/>
        </w:rPr>
        <w:t>　7　</w:t>
      </w:r>
      <w:r>
        <w:rPr>
          <w:rFonts w:hint="eastAsia" w:ascii="宋体" w:hAnsi="宋体" w:cs="宋体"/>
          <w:color w:val="auto"/>
          <w:kern w:val="0"/>
          <w:sz w:val="21"/>
          <w:szCs w:val="21"/>
          <w:highlight w:val="none"/>
        </w:rPr>
        <w:t>天</w:t>
      </w:r>
      <w:r>
        <w:rPr>
          <w:rFonts w:hint="eastAsia" w:ascii="宋体" w:hAnsi="宋体" w:cs="宋体"/>
          <w:color w:val="auto"/>
          <w:sz w:val="21"/>
          <w:szCs w:val="21"/>
          <w:highlight w:val="none"/>
        </w:rPr>
        <w:t>内完成支付。发包人逾期支付的违约责任按通用条款执行。</w:t>
      </w:r>
    </w:p>
    <w:p w14:paraId="7F4C7867">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w:t>
      </w:r>
      <w:r>
        <w:rPr>
          <w:rFonts w:hint="eastAsia" w:ascii="宋体" w:hAnsi="宋体" w:cs="宋体"/>
          <w:color w:val="auto"/>
          <w:sz w:val="21"/>
          <w:szCs w:val="21"/>
          <w:highlight w:val="none"/>
        </w:rPr>
        <w:t>. 缺陷责任期与保修</w:t>
      </w:r>
      <w:bookmarkEnd w:id="428"/>
    </w:p>
    <w:p w14:paraId="1A09569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15.2</w:t>
      </w:r>
      <w:r>
        <w:rPr>
          <w:rFonts w:hint="eastAsia" w:hAnsi="宋体" w:cs="宋体"/>
          <w:color w:val="auto"/>
          <w:sz w:val="21"/>
          <w:szCs w:val="21"/>
          <w:highlight w:val="none"/>
        </w:rPr>
        <w:t>缺陷责任期</w:t>
      </w:r>
    </w:p>
    <w:p w14:paraId="2C0A574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15.2.1</w:t>
      </w:r>
      <w:r>
        <w:rPr>
          <w:rFonts w:hint="eastAsia" w:ascii="宋体" w:hAnsi="宋体" w:cs="宋体"/>
          <w:color w:val="auto"/>
          <w:sz w:val="21"/>
          <w:szCs w:val="21"/>
          <w:highlight w:val="none"/>
        </w:rPr>
        <w:t>本合同缺陷责任期为</w:t>
      </w:r>
      <w:r>
        <w:rPr>
          <w:rFonts w:hint="eastAsia" w:ascii="宋体" w:hAnsi="宋体" w:cs="宋体"/>
          <w:color w:val="auto"/>
          <w:sz w:val="21"/>
          <w:szCs w:val="21"/>
          <w:highlight w:val="none"/>
          <w:u w:val="single"/>
        </w:rPr>
        <w:t>　</w:t>
      </w:r>
      <w:r>
        <w:rPr>
          <w:rFonts w:hint="eastAsia" w:ascii="宋体" w:hAnsi="宋体" w:cs="宋体"/>
          <w:color w:val="auto"/>
          <w:sz w:val="21"/>
          <w:szCs w:val="21"/>
          <w:highlight w:val="none"/>
          <w:u w:val="single"/>
          <w:lang w:val="en-US" w:eastAsia="zh-CN"/>
        </w:rPr>
        <w:t>24</w:t>
      </w:r>
      <w:r>
        <w:rPr>
          <w:rFonts w:hint="eastAsia" w:ascii="宋体" w:hAnsi="宋体" w:cs="宋体"/>
          <w:color w:val="auto"/>
          <w:sz w:val="21"/>
          <w:szCs w:val="21"/>
          <w:highlight w:val="none"/>
        </w:rPr>
        <w:t>个月。</w:t>
      </w:r>
    </w:p>
    <w:p w14:paraId="42AE1788">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工程竣工验收合格后，因承包人原因导致的缺陷使工程或或某项主要设备不能按原定目的使用的，发包人有权在原缺陷责任期届满前要求施工承包人延长缺陷责任期，延长的缺陷责任期为</w:t>
      </w:r>
      <w:r>
        <w:rPr>
          <w:rFonts w:hint="eastAsia" w:ascii="宋体" w:hAnsi="宋体" w:cs="宋体"/>
          <w:color w:val="auto"/>
          <w:sz w:val="21"/>
          <w:szCs w:val="21"/>
          <w:highlight w:val="none"/>
          <w:u w:val="single"/>
        </w:rPr>
        <w:t xml:space="preserve">　12  </w:t>
      </w:r>
      <w:r>
        <w:rPr>
          <w:rFonts w:hint="eastAsia" w:ascii="宋体" w:hAnsi="宋体" w:cs="宋体"/>
          <w:color w:val="auto"/>
          <w:sz w:val="21"/>
          <w:szCs w:val="21"/>
          <w:highlight w:val="none"/>
        </w:rPr>
        <w:t>个月。</w:t>
      </w:r>
    </w:p>
    <w:p w14:paraId="1AD38D4F">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15.3</w:t>
      </w:r>
      <w:r>
        <w:rPr>
          <w:rFonts w:hint="eastAsia" w:hAnsi="宋体" w:cs="宋体"/>
          <w:color w:val="auto"/>
          <w:sz w:val="21"/>
          <w:szCs w:val="21"/>
          <w:highlight w:val="none"/>
        </w:rPr>
        <w:t>质量保证担保</w:t>
      </w:r>
    </w:p>
    <w:p w14:paraId="3F0B5C09">
      <w:pPr>
        <w:pStyle w:val="67"/>
        <w:spacing w:before="120" w:line="450" w:lineRule="exact"/>
        <w:ind w:firstLine="399" w:firstLineChars="190"/>
        <w:rPr>
          <w:rFonts w:hint="eastAsia" w:hAnsi="宋体" w:cs="宋体"/>
          <w:color w:val="auto"/>
          <w:sz w:val="21"/>
          <w:szCs w:val="21"/>
          <w:highlight w:val="none"/>
        </w:rPr>
      </w:pPr>
      <w:r>
        <w:rPr>
          <w:rFonts w:hint="eastAsia" w:hAnsi="宋体" w:cs="宋体"/>
          <w:b w:val="0"/>
          <w:color w:val="auto"/>
          <w:kern w:val="2"/>
          <w:sz w:val="21"/>
          <w:szCs w:val="21"/>
          <w:highlight w:val="none"/>
          <w:lang w:val="en-US" w:eastAsia="zh-CN" w:bidi="ar-SA"/>
        </w:rPr>
        <w:t>15.3.1</w:t>
      </w:r>
      <w:r>
        <w:rPr>
          <w:rFonts w:hint="eastAsia" w:ascii="宋体" w:hAnsi="宋体" w:eastAsia="宋体" w:cs="宋体"/>
          <w:b w:val="0"/>
          <w:color w:val="auto"/>
          <w:kern w:val="2"/>
          <w:sz w:val="21"/>
          <w:szCs w:val="21"/>
          <w:highlight w:val="none"/>
          <w:lang w:val="en-US" w:eastAsia="zh-CN" w:bidi="ar-SA"/>
        </w:rPr>
        <w:t>质量保证期：质量保证期：自实际竣工日期起计算24个月。</w:t>
      </w:r>
      <w:r>
        <w:rPr>
          <w:rFonts w:hint="eastAsia" w:hAnsi="宋体" w:cs="宋体"/>
          <w:color w:val="auto"/>
          <w:sz w:val="21"/>
          <w:szCs w:val="21"/>
          <w:highlight w:val="none"/>
        </w:rPr>
        <w:t xml:space="preserve"> </w:t>
      </w:r>
    </w:p>
    <w:p w14:paraId="3EED8BDA">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15.3.2</w:t>
      </w:r>
      <w:r>
        <w:rPr>
          <w:rFonts w:hint="eastAsia" w:ascii="宋体" w:hAnsi="宋体" w:cs="宋体"/>
          <w:color w:val="auto"/>
          <w:sz w:val="21"/>
          <w:szCs w:val="21"/>
          <w:highlight w:val="none"/>
        </w:rPr>
        <w:t>承包人与质量保证担保有关的任何利息或其它类似的费用或者收益由承包人承担；因承包人原因导致缺陷责任期延长的，继续提供质量保证担保所增加的费用由承包人承担。</w:t>
      </w:r>
    </w:p>
    <w:p w14:paraId="387865F5">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15.4</w:t>
      </w:r>
      <w:r>
        <w:rPr>
          <w:rFonts w:hint="eastAsia" w:hAnsi="宋体" w:cs="宋体"/>
          <w:color w:val="auto"/>
          <w:sz w:val="21"/>
          <w:szCs w:val="21"/>
          <w:highlight w:val="none"/>
        </w:rPr>
        <w:t>保修</w:t>
      </w:r>
    </w:p>
    <w:p w14:paraId="2214048C">
      <w:pPr>
        <w:spacing w:line="450" w:lineRule="exact"/>
        <w:ind w:firstLine="420" w:firstLineChars="200"/>
        <w:rPr>
          <w:rFonts w:hint="eastAsia" w:ascii="宋体" w:hAnsi="宋体" w:cs="宋体"/>
          <w:color w:val="auto"/>
          <w:kern w:val="0"/>
          <w:sz w:val="21"/>
          <w:szCs w:val="21"/>
          <w:highlight w:val="none"/>
        </w:rPr>
      </w:pPr>
      <w:bookmarkStart w:id="429" w:name="_Toc364853238"/>
      <w:r>
        <w:rPr>
          <w:rFonts w:hint="eastAsia" w:ascii="宋体" w:hAnsi="宋体" w:cs="宋体"/>
          <w:color w:val="auto"/>
          <w:kern w:val="0"/>
          <w:sz w:val="21"/>
          <w:szCs w:val="21"/>
          <w:highlight w:val="none"/>
          <w:lang w:val="en-US" w:eastAsia="zh-CN"/>
        </w:rPr>
        <w:t>15.4.1</w:t>
      </w:r>
      <w:r>
        <w:rPr>
          <w:rFonts w:hint="eastAsia" w:ascii="宋体" w:hAnsi="宋体" w:cs="宋体"/>
          <w:color w:val="auto"/>
          <w:kern w:val="0"/>
          <w:sz w:val="21"/>
          <w:szCs w:val="21"/>
          <w:highlight w:val="none"/>
        </w:rPr>
        <w:t xml:space="preserve"> 保修责任</w:t>
      </w:r>
    </w:p>
    <w:p w14:paraId="5927D0C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工程保修期为：</w:t>
      </w:r>
      <w:r>
        <w:rPr>
          <w:rFonts w:hint="eastAsia" w:ascii="宋体" w:hAnsi="宋体" w:cs="宋体"/>
          <w:color w:val="auto"/>
          <w:sz w:val="21"/>
          <w:szCs w:val="21"/>
          <w:highlight w:val="none"/>
          <w:lang w:val="en-US" w:eastAsia="zh-CN"/>
        </w:rPr>
        <w:t>2年</w:t>
      </w:r>
      <w:r>
        <w:rPr>
          <w:rFonts w:hint="eastAsia" w:ascii="宋体" w:hAnsi="宋体" w:cs="宋体"/>
          <w:color w:val="auto"/>
          <w:sz w:val="21"/>
          <w:szCs w:val="21"/>
          <w:highlight w:val="none"/>
        </w:rPr>
        <w:t>。</w:t>
      </w:r>
    </w:p>
    <w:p w14:paraId="10A79D6C">
      <w:pPr>
        <w:spacing w:line="450" w:lineRule="exact"/>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15.4.2质量保修金比例为结算价款的1.5%。</w:t>
      </w:r>
    </w:p>
    <w:p w14:paraId="72C46B5C">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15.4.3</w:t>
      </w:r>
      <w:r>
        <w:rPr>
          <w:rFonts w:hint="eastAsia" w:ascii="宋体" w:hAnsi="宋体" w:cs="宋体"/>
          <w:color w:val="auto"/>
          <w:sz w:val="21"/>
          <w:szCs w:val="21"/>
          <w:highlight w:val="none"/>
        </w:rPr>
        <w:t xml:space="preserve"> 修复通知</w:t>
      </w:r>
    </w:p>
    <w:p w14:paraId="05742DF9">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合同当事人约定：承包人收到保修通知并到达工程现场的合理时间为48小时内（含48小时）。</w:t>
      </w:r>
    </w:p>
    <w:p w14:paraId="3C121C83">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w:t>
      </w:r>
      <w:r>
        <w:rPr>
          <w:rFonts w:hint="eastAsia" w:ascii="宋体" w:hAnsi="宋体" w:cs="宋体"/>
          <w:color w:val="auto"/>
          <w:sz w:val="21"/>
          <w:szCs w:val="21"/>
          <w:highlight w:val="none"/>
        </w:rPr>
        <w:t>. 违约</w:t>
      </w:r>
      <w:bookmarkEnd w:id="429"/>
    </w:p>
    <w:p w14:paraId="6F50673A">
      <w:pPr>
        <w:pStyle w:val="67"/>
        <w:spacing w:before="120" w:line="450" w:lineRule="exact"/>
        <w:ind w:firstLine="401" w:firstLineChars="190"/>
        <w:rPr>
          <w:rFonts w:hint="eastAsia" w:hAnsi="宋体" w:cs="宋体"/>
          <w:color w:val="auto"/>
          <w:sz w:val="21"/>
          <w:szCs w:val="21"/>
          <w:highlight w:val="none"/>
        </w:rPr>
      </w:pPr>
      <w:bookmarkStart w:id="430" w:name="_Toc364853239"/>
      <w:r>
        <w:rPr>
          <w:rFonts w:hint="eastAsia" w:hAnsi="宋体" w:cs="宋体"/>
          <w:color w:val="auto"/>
          <w:sz w:val="21"/>
          <w:szCs w:val="21"/>
          <w:highlight w:val="none"/>
          <w:lang w:val="en-US" w:eastAsia="zh-CN"/>
        </w:rPr>
        <w:t>16.1</w:t>
      </w:r>
      <w:r>
        <w:rPr>
          <w:rFonts w:hint="eastAsia" w:hAnsi="宋体" w:cs="宋体"/>
          <w:color w:val="auto"/>
          <w:sz w:val="21"/>
          <w:szCs w:val="21"/>
          <w:highlight w:val="none"/>
        </w:rPr>
        <w:t xml:space="preserve"> 发包人违约</w:t>
      </w:r>
    </w:p>
    <w:p w14:paraId="3E03326F">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.1.1发包人违约的情形按通用条款确定。</w:t>
      </w:r>
    </w:p>
    <w:p w14:paraId="356BB27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.1.2 发包人违约的责任</w:t>
      </w:r>
    </w:p>
    <w:p w14:paraId="70684114">
      <w:pPr>
        <w:spacing w:line="450" w:lineRule="exact"/>
        <w:ind w:firstLine="420" w:firstLineChars="200"/>
        <w:rPr>
          <w:rFonts w:hint="eastAsia" w:ascii="宋体" w:hAnsi="宋体" w:cs="宋体"/>
          <w:color w:val="auto"/>
          <w:sz w:val="21"/>
          <w:szCs w:val="21"/>
          <w:highlight w:val="yellow"/>
        </w:rPr>
      </w:pPr>
      <w:r>
        <w:rPr>
          <w:rFonts w:hint="eastAsia" w:ascii="宋体" w:hAnsi="宋体" w:cs="宋体"/>
          <w:color w:val="auto"/>
          <w:sz w:val="21"/>
          <w:szCs w:val="21"/>
          <w:highlight w:val="none"/>
        </w:rPr>
        <w:t>发包人应承担其违约承包人增加的费用和（或）延误工期，并支付承包人合理的利润。</w:t>
      </w:r>
    </w:p>
    <w:p w14:paraId="1D67A837">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.1.3  关于发包人违约解除合同的约定：执行通用条款。</w:t>
      </w:r>
    </w:p>
    <w:p w14:paraId="504A531E">
      <w:pPr>
        <w:pStyle w:val="67"/>
        <w:spacing w:before="120"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16.2</w:t>
      </w:r>
      <w:r>
        <w:rPr>
          <w:rFonts w:hint="eastAsia" w:hAnsi="宋体" w:cs="宋体"/>
          <w:color w:val="auto"/>
          <w:sz w:val="21"/>
          <w:szCs w:val="21"/>
          <w:highlight w:val="none"/>
        </w:rPr>
        <w:t>承包人违约</w:t>
      </w:r>
    </w:p>
    <w:p w14:paraId="6A17FFC4">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16.2.1</w:t>
      </w:r>
      <w:r>
        <w:rPr>
          <w:rFonts w:hint="eastAsia" w:ascii="宋体" w:hAnsi="宋体" w:cs="宋体"/>
          <w:color w:val="auto"/>
          <w:sz w:val="21"/>
          <w:szCs w:val="21"/>
          <w:highlight w:val="none"/>
        </w:rPr>
        <w:t>承包人违约的情形按通用条款确定。</w:t>
      </w:r>
    </w:p>
    <w:p w14:paraId="63072126">
      <w:pPr>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16.2.2</w:t>
      </w:r>
      <w:r>
        <w:rPr>
          <w:rFonts w:hint="eastAsia" w:ascii="宋体" w:hAnsi="宋体" w:cs="宋体"/>
          <w:color w:val="auto"/>
          <w:sz w:val="21"/>
          <w:szCs w:val="21"/>
          <w:highlight w:val="none"/>
        </w:rPr>
        <w:t>承包人违约的责任</w:t>
      </w:r>
    </w:p>
    <w:p w14:paraId="06323990">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sz w:val="21"/>
          <w:szCs w:val="21"/>
          <w:highlight w:val="none"/>
        </w:rPr>
        <w:t>承包人应承担其违约行为及纠正其违约行为而增加的费用和（或）延误的工期。延误工期的，</w:t>
      </w:r>
      <w:r>
        <w:rPr>
          <w:rFonts w:hint="eastAsia" w:ascii="宋体" w:hAnsi="宋体" w:cs="宋体"/>
          <w:color w:val="auto"/>
          <w:kern w:val="0"/>
          <w:sz w:val="21"/>
          <w:szCs w:val="21"/>
          <w:highlight w:val="none"/>
        </w:rPr>
        <w:t>根据实际延误的时间，按本合同约定的工期延误赔偿标准向发包人支付违约金；延误超过56天的，按本合同约定的工期延误赔偿标准两倍支付违约金；逾期竣工违约金的限额不足时，发包人有权向承包人追偿。</w:t>
      </w:r>
    </w:p>
    <w:p w14:paraId="1F6024B0">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16.2.3</w:t>
      </w:r>
      <w:r>
        <w:rPr>
          <w:rFonts w:hint="eastAsia" w:ascii="宋体" w:hAnsi="宋体" w:cs="宋体"/>
          <w:color w:val="auto"/>
          <w:kern w:val="0"/>
          <w:sz w:val="21"/>
          <w:szCs w:val="21"/>
          <w:highlight w:val="none"/>
        </w:rPr>
        <w:t xml:space="preserve"> 关于因承包人违约解除合同的约定：执行通用条款。</w:t>
      </w:r>
    </w:p>
    <w:p w14:paraId="6CDBCBF8">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发包人继续使用承包人在施工现场的材料、设备、临时工程、承包人文件和由承包人或以其名义编制的其他文件的费用承担方式约定：产生的费用未超过承包人应承担的违约赔偿限额的，由承包人承担；产生的费用超出承包人应承担的违约赔偿限额部分，由发包人承担。</w:t>
      </w:r>
    </w:p>
    <w:p w14:paraId="311D36C2">
      <w:pPr>
        <w:adjustRightInd w:val="0"/>
        <w:spacing w:line="450" w:lineRule="exact"/>
        <w:ind w:firstLine="422" w:firstLineChars="20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16.2.4</w:t>
      </w:r>
      <w:r>
        <w:rPr>
          <w:rFonts w:hint="eastAsia" w:ascii="宋体" w:hAnsi="宋体" w:eastAsia="宋体" w:cs="宋体"/>
          <w:color w:val="auto"/>
          <w:sz w:val="21"/>
          <w:szCs w:val="21"/>
          <w:highlight w:val="none"/>
        </w:rPr>
        <w:t>承包人未履行主要机械设备到场承诺，经监理人和发包人认定影响施工工期或施工质量的，监理人和发包人将签发《整改通知书》，承包人收到《整改通知书》后3天内仍未整改到位的，发包人有权扣除其主要机械设备到场违约金。</w:t>
      </w:r>
    </w:p>
    <w:p w14:paraId="0E1DFFF8">
      <w:pPr>
        <w:adjustRightInd w:val="0"/>
        <w:spacing w:line="45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承包人对合同履约不到位（包含延误合同工期、未达到工程质量要求、未履行项目经理及主要施工管理人员到场承诺、未履行安全文明施工承诺、未履行主要机械设备到场承诺等）导致承包人违约的。若违约金不足以弥补发包人损失的，承包人继续承担赔偿责任</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赔偿款在工程进度款中扣除。</w:t>
      </w:r>
    </w:p>
    <w:p w14:paraId="0E34E9EE">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17. 不可抗力</w:t>
      </w:r>
      <w:bookmarkEnd w:id="430"/>
      <w:r>
        <w:rPr>
          <w:rFonts w:hint="eastAsia" w:ascii="宋体" w:hAnsi="宋体" w:cs="宋体"/>
          <w:color w:val="auto"/>
          <w:sz w:val="21"/>
          <w:szCs w:val="21"/>
          <w:highlight w:val="none"/>
        </w:rPr>
        <w:t xml:space="preserve"> </w:t>
      </w:r>
    </w:p>
    <w:p w14:paraId="685E0B0E">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17.1 不可抗力的确认</w:t>
      </w:r>
    </w:p>
    <w:p w14:paraId="44401CE4">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除通用合同条款约定的不可抗力事件之外，视为不可抗力的其他情形：火灾、洪水、罢工、政府征用、政府禁止令等。</w:t>
      </w:r>
    </w:p>
    <w:p w14:paraId="1EC2EEE5">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17</w:t>
      </w:r>
      <w:r>
        <w:rPr>
          <w:rFonts w:hint="eastAsia" w:hAnsi="宋体" w:cs="宋体"/>
          <w:color w:val="auto"/>
          <w:sz w:val="21"/>
          <w:szCs w:val="21"/>
          <w:highlight w:val="none"/>
          <w:lang w:val="en-US" w:eastAsia="zh-CN"/>
        </w:rPr>
        <w:t>.4</w:t>
      </w:r>
      <w:r>
        <w:rPr>
          <w:rFonts w:hint="eastAsia" w:hAnsi="宋体" w:cs="宋体"/>
          <w:color w:val="auto"/>
          <w:sz w:val="21"/>
          <w:szCs w:val="21"/>
          <w:highlight w:val="none"/>
        </w:rPr>
        <w:t>因不可抗力解除合同</w:t>
      </w:r>
    </w:p>
    <w:p w14:paraId="0C8FDEC5">
      <w:pPr>
        <w:adjustRightInd w:val="0"/>
        <w:spacing w:line="450" w:lineRule="exact"/>
        <w:ind w:firstLine="420" w:firstLineChars="200"/>
        <w:rPr>
          <w:rFonts w:hint="eastAsia" w:ascii="宋体" w:hAnsi="宋体" w:cs="宋体"/>
          <w:color w:val="auto"/>
          <w:kern w:val="0"/>
          <w:sz w:val="21"/>
          <w:szCs w:val="21"/>
          <w:highlight w:val="none"/>
        </w:rPr>
      </w:pPr>
      <w:bookmarkStart w:id="431" w:name="_Toc364853240"/>
      <w:r>
        <w:rPr>
          <w:rFonts w:hint="eastAsia" w:ascii="宋体" w:hAnsi="宋体" w:cs="宋体"/>
          <w:color w:val="auto"/>
          <w:kern w:val="0"/>
          <w:sz w:val="21"/>
          <w:szCs w:val="21"/>
          <w:highlight w:val="none"/>
        </w:rPr>
        <w:t>合同解除后，发包人应在商定或确定发包人应支付款项后28天内完成款项的支付。</w:t>
      </w:r>
    </w:p>
    <w:p w14:paraId="2DDDC828">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18. 保险</w:t>
      </w:r>
      <w:bookmarkEnd w:id="431"/>
    </w:p>
    <w:p w14:paraId="58DD6630">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18.1 工程保险</w:t>
      </w:r>
    </w:p>
    <w:p w14:paraId="6A5B6A6F">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关于工程保险的特别约定：</w:t>
      </w:r>
      <w:r>
        <w:rPr>
          <w:rFonts w:hint="eastAsia" w:ascii="宋体" w:hAnsi="宋体" w:cs="宋体"/>
          <w:color w:val="auto"/>
          <w:sz w:val="21"/>
          <w:szCs w:val="21"/>
          <w:highlight w:val="none"/>
        </w:rPr>
        <w:t>执行通用条款</w:t>
      </w:r>
      <w:r>
        <w:rPr>
          <w:rFonts w:hint="eastAsia" w:ascii="宋体" w:hAnsi="宋体" w:cs="宋体"/>
          <w:color w:val="auto"/>
          <w:kern w:val="0"/>
          <w:sz w:val="21"/>
          <w:szCs w:val="21"/>
          <w:highlight w:val="none"/>
        </w:rPr>
        <w:t>。</w:t>
      </w:r>
    </w:p>
    <w:p w14:paraId="12475D9D">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w:t>
      </w:r>
      <w:r>
        <w:rPr>
          <w:rFonts w:hint="eastAsia" w:hAnsi="宋体" w:cs="宋体"/>
          <w:color w:val="auto"/>
          <w:sz w:val="21"/>
          <w:szCs w:val="21"/>
          <w:highlight w:val="none"/>
          <w:lang w:val="en-US" w:eastAsia="zh-CN"/>
        </w:rPr>
        <w:t>2</w:t>
      </w:r>
      <w:r>
        <w:rPr>
          <w:rFonts w:hint="eastAsia" w:hAnsi="宋体" w:cs="宋体"/>
          <w:color w:val="auto"/>
          <w:sz w:val="21"/>
          <w:szCs w:val="21"/>
          <w:highlight w:val="none"/>
        </w:rPr>
        <w:t xml:space="preserve"> 其他保险</w:t>
      </w:r>
    </w:p>
    <w:p w14:paraId="1601A3FD">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关于其他保险的约定：除第三者责任险外，保险费用由被保险人承担。</w:t>
      </w:r>
    </w:p>
    <w:p w14:paraId="68209D8D">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承包人</w:t>
      </w:r>
      <w:r>
        <w:rPr>
          <w:rFonts w:hint="eastAsia" w:ascii="宋体" w:hAnsi="宋体" w:cs="宋体"/>
          <w:color w:val="auto"/>
          <w:kern w:val="0"/>
          <w:sz w:val="21"/>
          <w:szCs w:val="21"/>
          <w:highlight w:val="none"/>
          <w:u w:val="single"/>
        </w:rPr>
        <w:t xml:space="preserve">  应当 </w:t>
      </w:r>
      <w:r>
        <w:rPr>
          <w:rFonts w:hint="eastAsia" w:ascii="宋体" w:hAnsi="宋体" w:cs="宋体"/>
          <w:color w:val="auto"/>
          <w:kern w:val="0"/>
          <w:sz w:val="21"/>
          <w:szCs w:val="21"/>
          <w:highlight w:val="none"/>
        </w:rPr>
        <w:t>为其施工设备等办理财产保险。</w:t>
      </w:r>
    </w:p>
    <w:p w14:paraId="076BB756">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rPr>
        <w:t>18.</w:t>
      </w:r>
      <w:r>
        <w:rPr>
          <w:rFonts w:hint="eastAsia" w:hAnsi="宋体" w:cs="宋体"/>
          <w:color w:val="auto"/>
          <w:sz w:val="21"/>
          <w:szCs w:val="21"/>
          <w:highlight w:val="none"/>
          <w:lang w:val="en-US" w:eastAsia="zh-CN"/>
        </w:rPr>
        <w:t>7</w:t>
      </w:r>
      <w:r>
        <w:rPr>
          <w:rFonts w:hint="eastAsia" w:hAnsi="宋体" w:cs="宋体"/>
          <w:color w:val="auto"/>
          <w:sz w:val="21"/>
          <w:szCs w:val="21"/>
          <w:highlight w:val="none"/>
        </w:rPr>
        <w:t xml:space="preserve"> 通知义务</w:t>
      </w:r>
    </w:p>
    <w:p w14:paraId="4AB7CD09">
      <w:pPr>
        <w:adjustRightInd w:val="0"/>
        <w:spacing w:line="450" w:lineRule="exact"/>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关于变更保险合同时的通知义务的约定：执行通用条款。</w:t>
      </w:r>
      <w:bookmarkStart w:id="432" w:name="_Toc364853241"/>
    </w:p>
    <w:p w14:paraId="27F488A9">
      <w:pPr>
        <w:pStyle w:val="5"/>
        <w:spacing w:line="45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20</w:t>
      </w:r>
      <w:r>
        <w:rPr>
          <w:rFonts w:hint="eastAsia" w:ascii="宋体" w:hAnsi="宋体" w:cs="宋体"/>
          <w:color w:val="auto"/>
          <w:sz w:val="21"/>
          <w:szCs w:val="21"/>
          <w:highlight w:val="none"/>
        </w:rPr>
        <w:t>. 争议解决</w:t>
      </w:r>
      <w:bookmarkEnd w:id="432"/>
    </w:p>
    <w:p w14:paraId="17E957A8">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20.3</w:t>
      </w:r>
      <w:r>
        <w:rPr>
          <w:rFonts w:hint="eastAsia" w:hAnsi="宋体" w:cs="宋体"/>
          <w:color w:val="auto"/>
          <w:sz w:val="21"/>
          <w:szCs w:val="21"/>
          <w:highlight w:val="none"/>
        </w:rPr>
        <w:t xml:space="preserve"> 争议评审</w:t>
      </w:r>
    </w:p>
    <w:p w14:paraId="15D8AB07">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合同当事人</w:t>
      </w:r>
      <w:r>
        <w:rPr>
          <w:rFonts w:hint="eastAsia" w:ascii="宋体" w:hAnsi="宋体" w:cs="宋体"/>
          <w:color w:val="auto"/>
          <w:kern w:val="0"/>
          <w:sz w:val="21"/>
          <w:szCs w:val="21"/>
          <w:highlight w:val="none"/>
          <w:u w:val="single"/>
        </w:rPr>
        <w:t xml:space="preserve">   不同意  </w:t>
      </w:r>
      <w:r>
        <w:rPr>
          <w:rFonts w:hint="eastAsia" w:ascii="宋体" w:hAnsi="宋体" w:cs="宋体"/>
          <w:color w:val="auto"/>
          <w:kern w:val="0"/>
          <w:sz w:val="21"/>
          <w:szCs w:val="21"/>
          <w:highlight w:val="none"/>
        </w:rPr>
        <w:t xml:space="preserve">将工程争议提交争议评审小组决定。  </w:t>
      </w:r>
    </w:p>
    <w:p w14:paraId="118D8BDF">
      <w:pPr>
        <w:pStyle w:val="67"/>
        <w:spacing w:line="450" w:lineRule="exact"/>
        <w:ind w:firstLine="401" w:firstLineChars="190"/>
        <w:rPr>
          <w:rFonts w:hint="eastAsia" w:hAnsi="宋体" w:cs="宋体"/>
          <w:color w:val="auto"/>
          <w:sz w:val="21"/>
          <w:szCs w:val="21"/>
          <w:highlight w:val="none"/>
        </w:rPr>
      </w:pPr>
      <w:r>
        <w:rPr>
          <w:rFonts w:hint="eastAsia" w:hAnsi="宋体" w:cs="宋体"/>
          <w:color w:val="auto"/>
          <w:sz w:val="21"/>
          <w:szCs w:val="21"/>
          <w:highlight w:val="none"/>
          <w:lang w:val="en-US" w:eastAsia="zh-CN"/>
        </w:rPr>
        <w:t>20.4</w:t>
      </w:r>
      <w:r>
        <w:rPr>
          <w:rFonts w:hint="eastAsia" w:hAnsi="宋体" w:cs="宋体"/>
          <w:color w:val="auto"/>
          <w:sz w:val="21"/>
          <w:szCs w:val="21"/>
          <w:highlight w:val="none"/>
        </w:rPr>
        <w:t>仲裁或诉讼</w:t>
      </w:r>
    </w:p>
    <w:p w14:paraId="1BCB0469">
      <w:pPr>
        <w:adjustRightInd w:val="0"/>
        <w:spacing w:line="45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因合同及合同有关事项发生的争议，向</w:t>
      </w:r>
      <w:r>
        <w:rPr>
          <w:rFonts w:hint="eastAsia" w:ascii="宋体" w:hAnsi="宋体" w:cs="宋体"/>
          <w:color w:val="auto"/>
          <w:kern w:val="0"/>
          <w:sz w:val="21"/>
          <w:szCs w:val="21"/>
          <w:highlight w:val="none"/>
          <w:u w:val="single"/>
        </w:rPr>
        <w:t>宁波市奉化区</w:t>
      </w:r>
      <w:r>
        <w:rPr>
          <w:rFonts w:hint="eastAsia" w:ascii="宋体" w:hAnsi="宋体" w:cs="宋体"/>
          <w:color w:val="auto"/>
          <w:kern w:val="0"/>
          <w:sz w:val="21"/>
          <w:szCs w:val="21"/>
          <w:highlight w:val="none"/>
        </w:rPr>
        <w:t>人民法院起诉。</w:t>
      </w:r>
    </w:p>
    <w:p w14:paraId="366E34A5">
      <w:pPr>
        <w:pStyle w:val="32"/>
        <w:numPr>
          <w:ilvl w:val="0"/>
          <w:numId w:val="0"/>
        </w:numPr>
        <w:shd w:val="clear"/>
        <w:spacing w:line="440" w:lineRule="exact"/>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21.其他条款</w:t>
      </w:r>
    </w:p>
    <w:p w14:paraId="62D7C4B0">
      <w:pPr>
        <w:shd w:val="clear"/>
        <w:spacing w:line="360" w:lineRule="auto"/>
        <w:ind w:firstLine="422" w:firstLineChars="200"/>
        <w:jc w:val="left"/>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发包人受项目业主委托，实施该项目的施工管理工作，若项目业主单位发现合同履约不到位（包含延误合同工期、未达到工程质量要求、未履行项目经理及主要施工管理人员到场承诺、未履行安全文明施工承诺、未履行主要机械设备到场承诺等）对发包人予以处罚，则发包人向承包人作出相应的处罚。</w:t>
      </w:r>
    </w:p>
    <w:p w14:paraId="50E1BC2F">
      <w:pPr>
        <w:rPr>
          <w:rFonts w:hint="default" w:eastAsia="宋体"/>
          <w:lang w:val="en-US" w:eastAsia="zh-CN"/>
        </w:rPr>
      </w:pPr>
    </w:p>
    <w:p w14:paraId="3B90BF3E">
      <w:pPr>
        <w:adjustRightInd w:val="0"/>
        <w:spacing w:line="450" w:lineRule="exact"/>
        <w:ind w:firstLine="420" w:firstLineChars="200"/>
        <w:rPr>
          <w:rFonts w:hint="eastAsia" w:ascii="宋体" w:hAnsi="宋体" w:cs="宋体"/>
          <w:color w:val="auto"/>
          <w:kern w:val="0"/>
          <w:sz w:val="21"/>
          <w:szCs w:val="21"/>
          <w:highlight w:val="none"/>
        </w:rPr>
      </w:pPr>
    </w:p>
    <w:p w14:paraId="68EBA238">
      <w:pPr>
        <w:pStyle w:val="32"/>
        <w:keepNext w:val="0"/>
        <w:keepLines w:val="0"/>
        <w:pageBreakBefore w:val="0"/>
        <w:kinsoku/>
        <w:wordWrap/>
        <w:overflowPunct/>
        <w:topLinePunct w:val="0"/>
        <w:bidi w:val="0"/>
        <w:snapToGrid/>
        <w:spacing w:line="440" w:lineRule="exact"/>
        <w:ind w:firstLine="0" w:firstLineChars="0"/>
        <w:textAlignment w:val="auto"/>
        <w:rPr>
          <w:rFonts w:asciiTheme="minorEastAsia" w:hAnsiTheme="minorEastAsia" w:eastAsiaTheme="minorEastAsia" w:cstheme="minorEastAsia"/>
          <w:color w:val="auto"/>
          <w:highlight w:val="none"/>
        </w:rPr>
      </w:pPr>
    </w:p>
    <w:p w14:paraId="24BA02E3">
      <w:pPr>
        <w:spacing w:line="360" w:lineRule="auto"/>
        <w:ind w:firstLine="482" w:firstLineChars="200"/>
        <w:jc w:val="center"/>
        <w:rPr>
          <w:rFonts w:hint="eastAsia" w:ascii="宋体" w:hAnsi="宋体" w:eastAsia="宋体" w:cs="宋体"/>
          <w:b/>
          <w:bCs/>
          <w:color w:val="auto"/>
          <w:sz w:val="21"/>
          <w:szCs w:val="21"/>
          <w:highlight w:val="none"/>
        </w:rPr>
      </w:pPr>
      <w:r>
        <w:rPr>
          <w:rFonts w:hint="eastAsia" w:asciiTheme="minorEastAsia" w:hAnsiTheme="minorEastAsia" w:eastAsiaTheme="minorEastAsia" w:cstheme="minorEastAsia"/>
          <w:b/>
          <w:color w:val="auto"/>
          <w:sz w:val="24"/>
          <w:highlight w:val="none"/>
        </w:rPr>
        <w:br w:type="page"/>
      </w:r>
      <w:r>
        <w:rPr>
          <w:rFonts w:hint="eastAsia" w:ascii="宋体" w:hAnsi="宋体" w:eastAsia="宋体" w:cs="宋体"/>
          <w:b/>
          <w:bCs/>
          <w:color w:val="auto"/>
          <w:sz w:val="21"/>
          <w:szCs w:val="21"/>
          <w:highlight w:val="none"/>
        </w:rPr>
        <w:t>第四部分  附件</w:t>
      </w:r>
    </w:p>
    <w:p w14:paraId="139E61BE">
      <w:pPr>
        <w:spacing w:line="360" w:lineRule="auto"/>
        <w:ind w:firstLine="420" w:firstLineChars="200"/>
        <w:rPr>
          <w:rFonts w:hint="eastAsia" w:ascii="宋体" w:hAnsi="宋体" w:eastAsia="宋体" w:cs="宋体"/>
          <w:color w:val="auto"/>
          <w:sz w:val="21"/>
          <w:szCs w:val="21"/>
          <w:highlight w:val="none"/>
        </w:rPr>
      </w:pPr>
    </w:p>
    <w:p w14:paraId="05C24CC2">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专用合同条款附件：</w:t>
      </w:r>
    </w:p>
    <w:p w14:paraId="7646677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附件1：工程质量保修书</w:t>
      </w:r>
    </w:p>
    <w:p w14:paraId="0E009FEF">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附件2：安全生产合同</w:t>
      </w:r>
    </w:p>
    <w:p w14:paraId="689A042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附件3：工程项目廉政合同</w:t>
      </w:r>
    </w:p>
    <w:p w14:paraId="3D6F854C">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附件4：承包人用于本工程施工的机械设备表</w:t>
      </w:r>
    </w:p>
    <w:p w14:paraId="5D78DEF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附件5：承包人主要施工管理人员表</w:t>
      </w:r>
    </w:p>
    <w:p w14:paraId="1A085B44">
      <w:pPr>
        <w:spacing w:line="360" w:lineRule="auto"/>
        <w:rPr>
          <w:rFonts w:hint="eastAsia" w:ascii="宋体" w:hAnsi="宋体" w:cs="宋体"/>
          <w:color w:val="auto"/>
          <w:sz w:val="21"/>
          <w:szCs w:val="21"/>
          <w:highlight w:val="none"/>
        </w:rPr>
      </w:pPr>
    </w:p>
    <w:p w14:paraId="62AB1826">
      <w:pPr>
        <w:spacing w:line="360" w:lineRule="auto"/>
        <w:rPr>
          <w:rFonts w:hint="eastAsia" w:ascii="宋体" w:hAnsi="宋体" w:cs="宋体"/>
          <w:color w:val="auto"/>
          <w:sz w:val="21"/>
          <w:szCs w:val="21"/>
          <w:highlight w:val="none"/>
        </w:rPr>
      </w:pPr>
    </w:p>
    <w:p w14:paraId="5FD7F2E9">
      <w:pPr>
        <w:spacing w:line="360" w:lineRule="auto"/>
        <w:rPr>
          <w:rFonts w:hint="eastAsia" w:ascii="宋体" w:hAnsi="宋体" w:cs="宋体"/>
          <w:color w:val="auto"/>
          <w:sz w:val="21"/>
          <w:szCs w:val="21"/>
          <w:highlight w:val="none"/>
        </w:rPr>
      </w:pPr>
    </w:p>
    <w:p w14:paraId="0DF7261A">
      <w:pPr>
        <w:spacing w:line="360" w:lineRule="auto"/>
        <w:rPr>
          <w:rFonts w:hint="eastAsia" w:ascii="宋体" w:hAnsi="宋体" w:cs="宋体"/>
          <w:color w:val="auto"/>
          <w:sz w:val="21"/>
          <w:szCs w:val="21"/>
          <w:highlight w:val="none"/>
        </w:rPr>
      </w:pPr>
    </w:p>
    <w:p w14:paraId="3051838C">
      <w:pPr>
        <w:spacing w:line="360" w:lineRule="auto"/>
        <w:rPr>
          <w:rFonts w:hint="eastAsia" w:ascii="宋体" w:hAnsi="宋体" w:cs="宋体"/>
          <w:color w:val="auto"/>
          <w:sz w:val="21"/>
          <w:szCs w:val="21"/>
          <w:highlight w:val="none"/>
        </w:rPr>
      </w:pPr>
    </w:p>
    <w:p w14:paraId="0A2DB32C">
      <w:pPr>
        <w:spacing w:line="360" w:lineRule="auto"/>
        <w:rPr>
          <w:rFonts w:hint="eastAsia" w:ascii="宋体" w:hAnsi="宋体" w:cs="宋体"/>
          <w:color w:val="auto"/>
          <w:sz w:val="21"/>
          <w:szCs w:val="21"/>
          <w:highlight w:val="none"/>
        </w:rPr>
      </w:pPr>
    </w:p>
    <w:p w14:paraId="2A55A171">
      <w:pPr>
        <w:spacing w:line="360" w:lineRule="auto"/>
        <w:rPr>
          <w:rFonts w:hint="eastAsia" w:ascii="宋体" w:hAnsi="宋体" w:cs="宋体"/>
          <w:color w:val="auto"/>
          <w:sz w:val="21"/>
          <w:szCs w:val="21"/>
          <w:highlight w:val="none"/>
        </w:rPr>
      </w:pPr>
    </w:p>
    <w:p w14:paraId="7ECA0D19">
      <w:pPr>
        <w:spacing w:line="360" w:lineRule="auto"/>
        <w:rPr>
          <w:rFonts w:hint="eastAsia" w:ascii="宋体" w:hAnsi="宋体" w:cs="宋体"/>
          <w:color w:val="auto"/>
          <w:sz w:val="21"/>
          <w:szCs w:val="21"/>
          <w:highlight w:val="none"/>
        </w:rPr>
      </w:pPr>
    </w:p>
    <w:p w14:paraId="55D7B0DF">
      <w:pPr>
        <w:spacing w:line="360" w:lineRule="auto"/>
        <w:rPr>
          <w:rFonts w:hint="eastAsia" w:ascii="宋体" w:hAnsi="宋体" w:cs="宋体"/>
          <w:color w:val="auto"/>
          <w:sz w:val="21"/>
          <w:szCs w:val="21"/>
          <w:highlight w:val="none"/>
        </w:rPr>
      </w:pPr>
    </w:p>
    <w:p w14:paraId="6BEF9289">
      <w:pPr>
        <w:spacing w:line="360" w:lineRule="auto"/>
        <w:rPr>
          <w:rFonts w:hint="eastAsia" w:ascii="宋体" w:hAnsi="宋体" w:cs="宋体"/>
          <w:color w:val="auto"/>
          <w:sz w:val="21"/>
          <w:szCs w:val="21"/>
          <w:highlight w:val="none"/>
        </w:rPr>
      </w:pPr>
    </w:p>
    <w:p w14:paraId="4634675E">
      <w:pPr>
        <w:spacing w:line="360" w:lineRule="auto"/>
        <w:rPr>
          <w:rFonts w:hint="eastAsia" w:ascii="宋体" w:hAnsi="宋体" w:cs="宋体"/>
          <w:color w:val="auto"/>
          <w:sz w:val="21"/>
          <w:szCs w:val="21"/>
          <w:highlight w:val="none"/>
        </w:rPr>
      </w:pPr>
    </w:p>
    <w:p w14:paraId="64E243BF">
      <w:pPr>
        <w:spacing w:line="360" w:lineRule="auto"/>
        <w:rPr>
          <w:rFonts w:hint="eastAsia" w:ascii="宋体" w:hAnsi="宋体" w:cs="宋体"/>
          <w:color w:val="auto"/>
          <w:sz w:val="21"/>
          <w:szCs w:val="21"/>
          <w:highlight w:val="none"/>
        </w:rPr>
      </w:pPr>
    </w:p>
    <w:p w14:paraId="55A9B723">
      <w:pPr>
        <w:spacing w:line="360" w:lineRule="auto"/>
        <w:rPr>
          <w:rFonts w:hint="eastAsia" w:ascii="宋体" w:hAnsi="宋体" w:cs="宋体"/>
          <w:color w:val="auto"/>
          <w:sz w:val="21"/>
          <w:szCs w:val="21"/>
          <w:highlight w:val="none"/>
        </w:rPr>
      </w:pPr>
    </w:p>
    <w:p w14:paraId="401663F3">
      <w:pPr>
        <w:spacing w:line="360" w:lineRule="auto"/>
        <w:rPr>
          <w:rFonts w:hint="eastAsia" w:ascii="宋体" w:hAnsi="宋体" w:cs="宋体"/>
          <w:color w:val="auto"/>
          <w:sz w:val="21"/>
          <w:szCs w:val="21"/>
          <w:highlight w:val="none"/>
        </w:rPr>
      </w:pPr>
    </w:p>
    <w:p w14:paraId="0D93C37C">
      <w:pPr>
        <w:spacing w:line="360" w:lineRule="auto"/>
        <w:rPr>
          <w:rFonts w:hint="eastAsia" w:ascii="宋体" w:hAnsi="宋体" w:cs="宋体"/>
          <w:b/>
          <w:color w:val="auto"/>
          <w:sz w:val="21"/>
          <w:szCs w:val="21"/>
          <w:highlight w:val="none"/>
        </w:rPr>
      </w:pPr>
    </w:p>
    <w:p w14:paraId="159BB73C">
      <w:pPr>
        <w:spacing w:line="360" w:lineRule="auto"/>
        <w:rPr>
          <w:rFonts w:hint="eastAsia" w:ascii="宋体" w:hAnsi="宋体" w:cs="宋体"/>
          <w:b/>
          <w:color w:val="auto"/>
          <w:sz w:val="21"/>
          <w:szCs w:val="21"/>
          <w:highlight w:val="none"/>
        </w:rPr>
      </w:pPr>
    </w:p>
    <w:p w14:paraId="7D5F4528">
      <w:pPr>
        <w:spacing w:line="360" w:lineRule="auto"/>
        <w:rPr>
          <w:rFonts w:hint="eastAsia" w:ascii="宋体" w:hAnsi="宋体" w:cs="宋体"/>
          <w:b/>
          <w:color w:val="auto"/>
          <w:sz w:val="21"/>
          <w:szCs w:val="21"/>
          <w:highlight w:val="none"/>
        </w:rPr>
      </w:pPr>
    </w:p>
    <w:p w14:paraId="04A99BB2">
      <w:pPr>
        <w:spacing w:line="360" w:lineRule="auto"/>
        <w:rPr>
          <w:rFonts w:hint="eastAsia" w:ascii="宋体" w:hAnsi="宋体" w:cs="宋体"/>
          <w:b/>
          <w:color w:val="auto"/>
          <w:sz w:val="21"/>
          <w:szCs w:val="21"/>
          <w:highlight w:val="none"/>
        </w:rPr>
      </w:pPr>
    </w:p>
    <w:p w14:paraId="075765BF">
      <w:pPr>
        <w:spacing w:line="360" w:lineRule="auto"/>
        <w:rPr>
          <w:rFonts w:hint="eastAsia" w:ascii="宋体" w:hAnsi="宋体" w:cs="宋体"/>
          <w:b/>
          <w:color w:val="auto"/>
          <w:sz w:val="21"/>
          <w:szCs w:val="21"/>
          <w:highlight w:val="none"/>
        </w:rPr>
      </w:pPr>
    </w:p>
    <w:p w14:paraId="5680B448">
      <w:pPr>
        <w:spacing w:line="360" w:lineRule="auto"/>
        <w:rPr>
          <w:rFonts w:hint="eastAsia" w:ascii="宋体" w:hAnsi="宋体" w:cs="宋体"/>
          <w:b/>
          <w:color w:val="auto"/>
          <w:sz w:val="21"/>
          <w:szCs w:val="21"/>
          <w:highlight w:val="none"/>
        </w:rPr>
      </w:pPr>
    </w:p>
    <w:p w14:paraId="598D0BAF">
      <w:pPr>
        <w:spacing w:line="360" w:lineRule="auto"/>
        <w:rPr>
          <w:rFonts w:hint="eastAsia" w:ascii="宋体" w:hAnsi="宋体" w:cs="宋体"/>
          <w:b/>
          <w:color w:val="auto"/>
          <w:sz w:val="21"/>
          <w:szCs w:val="21"/>
          <w:highlight w:val="none"/>
        </w:rPr>
      </w:pPr>
    </w:p>
    <w:p w14:paraId="4E339B22">
      <w:pPr>
        <w:spacing w:line="360" w:lineRule="auto"/>
        <w:rPr>
          <w:rFonts w:hint="eastAsia" w:ascii="宋体" w:hAnsi="宋体" w:cs="宋体"/>
          <w:b/>
          <w:color w:val="auto"/>
          <w:sz w:val="21"/>
          <w:szCs w:val="21"/>
          <w:highlight w:val="none"/>
        </w:rPr>
      </w:pPr>
    </w:p>
    <w:p w14:paraId="0F93E107">
      <w:pPr>
        <w:spacing w:line="360" w:lineRule="auto"/>
        <w:rPr>
          <w:rFonts w:hint="eastAsia" w:ascii="宋体" w:hAnsi="宋体" w:cs="宋体"/>
          <w:b/>
          <w:color w:val="auto"/>
          <w:sz w:val="21"/>
          <w:szCs w:val="21"/>
          <w:highlight w:val="none"/>
        </w:rPr>
      </w:pPr>
    </w:p>
    <w:p w14:paraId="71C380AF">
      <w:pPr>
        <w:spacing w:line="360" w:lineRule="auto"/>
        <w:rPr>
          <w:rFonts w:hint="eastAsia" w:ascii="宋体" w:hAnsi="宋体" w:cs="宋体"/>
          <w:b/>
          <w:color w:val="auto"/>
          <w:sz w:val="21"/>
          <w:szCs w:val="21"/>
          <w:highlight w:val="none"/>
        </w:rPr>
      </w:pPr>
    </w:p>
    <w:p w14:paraId="7106AC3D">
      <w:pPr>
        <w:spacing w:line="360" w:lineRule="auto"/>
        <w:rPr>
          <w:rFonts w:hint="eastAsia" w:ascii="宋体" w:hAnsi="宋体" w:cs="宋体"/>
          <w:b/>
          <w:color w:val="auto"/>
          <w:sz w:val="21"/>
          <w:szCs w:val="21"/>
          <w:highlight w:val="none"/>
        </w:rPr>
      </w:pPr>
    </w:p>
    <w:p w14:paraId="620822BB">
      <w:pPr>
        <w:spacing w:line="360" w:lineRule="auto"/>
        <w:rPr>
          <w:rFonts w:hint="eastAsia" w:ascii="宋体" w:hAnsi="宋体" w:cs="宋体"/>
          <w:b/>
          <w:color w:val="auto"/>
          <w:sz w:val="21"/>
          <w:szCs w:val="21"/>
          <w:highlight w:val="none"/>
        </w:rPr>
      </w:pPr>
    </w:p>
    <w:p w14:paraId="67CD2590">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33" w:name="_Toc296346727"/>
      <w:bookmarkStart w:id="434" w:name="_Toc296944565"/>
      <w:bookmarkStart w:id="435" w:name="_Toc296891266"/>
      <w:bookmarkStart w:id="436" w:name="_Toc267261693"/>
      <w:bookmarkStart w:id="437" w:name="_Toc296347225"/>
      <w:bookmarkStart w:id="438" w:name="_Toc296503226"/>
      <w:bookmarkStart w:id="439" w:name="_Toc296891054"/>
      <w:r>
        <w:rPr>
          <w:rFonts w:hint="eastAsia" w:ascii="宋体" w:hAnsi="宋体" w:cs="宋体"/>
          <w:b/>
          <w:color w:val="auto"/>
          <w:sz w:val="21"/>
          <w:szCs w:val="21"/>
          <w:highlight w:val="none"/>
        </w:rPr>
        <w:t>件1：</w:t>
      </w:r>
      <w:bookmarkEnd w:id="433"/>
      <w:bookmarkEnd w:id="434"/>
      <w:bookmarkEnd w:id="435"/>
      <w:bookmarkEnd w:id="436"/>
      <w:bookmarkEnd w:id="437"/>
      <w:bookmarkEnd w:id="438"/>
      <w:bookmarkEnd w:id="439"/>
      <w:r>
        <w:rPr>
          <w:rFonts w:hint="eastAsia" w:ascii="宋体" w:hAnsi="宋体" w:cs="宋体"/>
          <w:b/>
          <w:color w:val="auto"/>
          <w:sz w:val="21"/>
          <w:szCs w:val="21"/>
          <w:highlight w:val="none"/>
        </w:rPr>
        <w:t xml:space="preserve">    </w:t>
      </w:r>
    </w:p>
    <w:p w14:paraId="4F7DFE0A">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工程质量保修书</w:t>
      </w:r>
    </w:p>
    <w:p w14:paraId="002B958C">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 xml:space="preserve">    发包人（全称）：</w:t>
      </w:r>
      <w:r>
        <w:rPr>
          <w:rFonts w:hint="eastAsia" w:ascii="宋体" w:hAnsi="宋体" w:cs="宋体"/>
          <w:color w:val="auto"/>
          <w:sz w:val="21"/>
          <w:szCs w:val="21"/>
          <w:highlight w:val="none"/>
          <w:u w:val="single"/>
        </w:rPr>
        <w:t>宁波市奉化区惠海地下管线投资有限公司</w:t>
      </w:r>
    </w:p>
    <w:p w14:paraId="342F903B">
      <w:pPr>
        <w:spacing w:line="360" w:lineRule="auto"/>
        <w:ind w:firstLine="420" w:firstLineChars="200"/>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rPr>
        <w:t>承包人（全称）：</w:t>
      </w:r>
      <w:r>
        <w:rPr>
          <w:rFonts w:hint="eastAsia" w:ascii="宋体" w:hAnsi="宋体" w:eastAsia="宋体" w:cs="宋体"/>
          <w:color w:val="auto"/>
          <w:sz w:val="21"/>
          <w:szCs w:val="21"/>
          <w:highlight w:val="none"/>
          <w:u w:val="single"/>
          <w:lang w:val="en-US" w:eastAsia="zh-CN"/>
        </w:rPr>
        <w:t xml:space="preserve">                                  </w:t>
      </w:r>
    </w:p>
    <w:p w14:paraId="3BBAA082">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发包人和承包人根据《中华人民共和国建筑法》和《建设工程质量管理条例》，经协商一致就</w:t>
      </w:r>
      <w:r>
        <w:rPr>
          <w:rFonts w:hint="eastAsia" w:ascii="宋体" w:hAnsi="宋体" w:eastAsia="宋体" w:cs="宋体"/>
          <w:color w:val="auto"/>
          <w:sz w:val="21"/>
          <w:szCs w:val="21"/>
          <w:highlight w:val="none"/>
          <w:u w:val="single"/>
          <w:lang w:eastAsia="zh-CN"/>
        </w:rPr>
        <w:t>奉化区FH24-02-09a地块建设项目—通信基础设施和无线通信室内覆盖系统建设</w:t>
      </w:r>
      <w:r>
        <w:rPr>
          <w:rFonts w:hint="eastAsia" w:ascii="宋体" w:hAnsi="宋体" w:eastAsia="宋体" w:cs="宋体"/>
          <w:kern w:val="0"/>
          <w:sz w:val="22"/>
          <w:szCs w:val="22"/>
          <w:lang w:eastAsia="zh-CN"/>
        </w:rPr>
        <w:t>工程</w:t>
      </w:r>
      <w:r>
        <w:rPr>
          <w:rFonts w:hint="eastAsia" w:ascii="宋体" w:hAnsi="宋体" w:cs="宋体"/>
          <w:color w:val="auto"/>
          <w:sz w:val="21"/>
          <w:szCs w:val="21"/>
          <w:highlight w:val="none"/>
        </w:rPr>
        <w:t>质量保修书。</w:t>
      </w:r>
    </w:p>
    <w:p w14:paraId="136CA98D">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一、工程质量保修范围和内容</w:t>
      </w:r>
    </w:p>
    <w:p w14:paraId="777DC462">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承包人在质量保修期内，按照有关法律规定和合同约定，承担工程质量保修责任。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color w:val="auto"/>
          <w:sz w:val="21"/>
          <w:szCs w:val="21"/>
          <w:highlight w:val="none"/>
          <w:u w:val="single"/>
          <w:lang w:eastAsia="zh-CN"/>
        </w:rPr>
        <w:t>施工图范围内的</w:t>
      </w:r>
      <w:r>
        <w:rPr>
          <w:rFonts w:hint="eastAsia" w:ascii="宋体" w:hAnsi="宋体" w:eastAsia="宋体" w:cs="宋体"/>
          <w:color w:val="auto"/>
          <w:sz w:val="21"/>
          <w:szCs w:val="21"/>
          <w:highlight w:val="none"/>
          <w:u w:val="single"/>
          <w:lang w:val="en-US" w:eastAsia="zh-CN"/>
        </w:rPr>
        <w:t>通信基础设施及</w:t>
      </w:r>
      <w:r>
        <w:rPr>
          <w:rFonts w:hint="eastAsia" w:ascii="宋体" w:hAnsi="宋体" w:eastAsia="宋体" w:cs="宋体"/>
          <w:color w:val="auto"/>
          <w:sz w:val="21"/>
          <w:szCs w:val="21"/>
          <w:highlight w:val="none"/>
          <w:u w:val="single"/>
          <w:lang w:eastAsia="zh-CN"/>
        </w:rPr>
        <w:t>无线通信室内覆盖系统工程</w:t>
      </w:r>
      <w:r>
        <w:rPr>
          <w:rFonts w:hint="eastAsia" w:ascii="宋体" w:hAnsi="宋体" w:eastAsia="宋体" w:cs="宋体"/>
          <w:color w:val="auto"/>
          <w:sz w:val="21"/>
          <w:szCs w:val="21"/>
          <w:highlight w:val="none"/>
          <w:lang w:val="en-US" w:eastAsia="zh-CN"/>
        </w:rPr>
        <w:t>。</w:t>
      </w:r>
    </w:p>
    <w:p w14:paraId="5E6D2ACA">
      <w:pPr>
        <w:pStyle w:val="66"/>
        <w:spacing w:line="360" w:lineRule="auto"/>
        <w:ind w:firstLine="422" w:firstLineChars="200"/>
        <w:rPr>
          <w:rFonts w:hint="eastAsia" w:cs="宋体"/>
          <w:b/>
          <w:color w:val="auto"/>
          <w:sz w:val="21"/>
          <w:szCs w:val="21"/>
          <w:highlight w:val="none"/>
        </w:rPr>
      </w:pPr>
      <w:r>
        <w:rPr>
          <w:rFonts w:hint="eastAsia" w:cs="宋体"/>
          <w:b/>
          <w:color w:val="auto"/>
          <w:sz w:val="21"/>
          <w:szCs w:val="21"/>
          <w:highlight w:val="none"/>
        </w:rPr>
        <w:t>二、质量保修期</w:t>
      </w:r>
    </w:p>
    <w:p w14:paraId="7457679E">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根据《建设工程质量管理条例》及有关规定，工程的质量保修期如下：</w:t>
      </w:r>
    </w:p>
    <w:p w14:paraId="4F0AFDD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eastAsia="宋体" w:cs="宋体"/>
          <w:color w:val="auto"/>
          <w:sz w:val="21"/>
          <w:szCs w:val="21"/>
          <w:highlight w:val="none"/>
          <w:lang w:val="en-US" w:eastAsia="zh-CN"/>
        </w:rPr>
        <w:t>本工程保修期为2年。</w:t>
      </w:r>
    </w:p>
    <w:p w14:paraId="50D6EB46">
      <w:pPr>
        <w:spacing w:line="360" w:lineRule="auto"/>
        <w:rPr>
          <w:rFonts w:hint="eastAsia" w:ascii="宋体" w:hAnsi="宋体" w:cs="宋体"/>
          <w:b/>
          <w:color w:val="auto"/>
          <w:sz w:val="21"/>
          <w:szCs w:val="21"/>
          <w:highlight w:val="none"/>
        </w:rPr>
      </w:pPr>
      <w:r>
        <w:rPr>
          <w:rFonts w:hint="eastAsia" w:ascii="宋体" w:hAnsi="宋体" w:cs="宋体"/>
          <w:color w:val="auto"/>
          <w:sz w:val="21"/>
          <w:szCs w:val="21"/>
          <w:highlight w:val="none"/>
        </w:rPr>
        <w:t>　　质量保修期自工程竣工验收合格之日起计算。</w:t>
      </w:r>
    </w:p>
    <w:p w14:paraId="15AE97B8">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三、缺陷责任期</w:t>
      </w:r>
    </w:p>
    <w:p w14:paraId="414AF915">
      <w:pPr>
        <w:spacing w:line="360" w:lineRule="auto"/>
        <w:ind w:firstLine="411" w:firstLineChars="196"/>
        <w:rPr>
          <w:rFonts w:hint="eastAsia" w:ascii="宋体" w:hAnsi="宋体" w:cs="宋体"/>
          <w:color w:val="auto"/>
          <w:sz w:val="21"/>
          <w:szCs w:val="21"/>
          <w:highlight w:val="none"/>
        </w:rPr>
      </w:pPr>
      <w:r>
        <w:rPr>
          <w:rFonts w:hint="eastAsia" w:ascii="宋体" w:hAnsi="宋体" w:cs="宋体"/>
          <w:color w:val="auto"/>
          <w:sz w:val="21"/>
          <w:szCs w:val="21"/>
          <w:highlight w:val="none"/>
        </w:rPr>
        <w:t>工程缺陷责任期为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24</w:t>
      </w:r>
      <w:r>
        <w:rPr>
          <w:rFonts w:hint="eastAsia" w:ascii="宋体" w:hAnsi="宋体" w:cs="宋体"/>
          <w:color w:val="auto"/>
          <w:sz w:val="21"/>
          <w:szCs w:val="21"/>
          <w:highlight w:val="none"/>
        </w:rPr>
        <w:t>个月，缺陷责任期自工程竣工验收合格之日起计算。单位工程先于全部工程进行验收，单位工程缺陷责任期自单位工程验收合格之日起算。</w:t>
      </w:r>
    </w:p>
    <w:p w14:paraId="20EB12D6">
      <w:pPr>
        <w:spacing w:line="360" w:lineRule="auto"/>
        <w:ind w:firstLine="411" w:firstLineChars="196"/>
        <w:rPr>
          <w:rFonts w:hint="eastAsia" w:ascii="宋体" w:hAnsi="宋体" w:cs="宋体"/>
          <w:color w:val="auto"/>
          <w:sz w:val="21"/>
          <w:szCs w:val="21"/>
          <w:highlight w:val="none"/>
        </w:rPr>
      </w:pPr>
      <w:r>
        <w:rPr>
          <w:rFonts w:hint="eastAsia" w:ascii="宋体" w:hAnsi="宋体" w:cs="宋体"/>
          <w:color w:val="auto"/>
          <w:sz w:val="21"/>
          <w:szCs w:val="21"/>
          <w:highlight w:val="none"/>
        </w:rPr>
        <w:t>缺陷责任期终止后，发包人在完成最终结清后应退还承包人的质量保证金保函或剩余的质量保证金。</w:t>
      </w:r>
    </w:p>
    <w:p w14:paraId="08EF70DA">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四、质量保修责任</w:t>
      </w:r>
    </w:p>
    <w:p w14:paraId="2EC24861">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1．属于保修范围、内容的项目，承包人应当在接到保修通知之日起7天内派人保修。承包人不在约定期限内派人保修的，发包人可以委托他人修理。</w:t>
      </w:r>
    </w:p>
    <w:p w14:paraId="1D6FCC5D">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2．发生紧急事故需抢修的，承包人在接到事故通知后，应当立即到达事故现场抢修。</w:t>
      </w:r>
    </w:p>
    <w:p w14:paraId="6273C354">
      <w:pPr>
        <w:spacing w:line="360" w:lineRule="auto"/>
        <w:ind w:left="105" w:leftChars="5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B11C55C">
      <w:pPr>
        <w:spacing w:line="360" w:lineRule="auto"/>
        <w:ind w:left="105" w:leftChars="50" w:firstLine="420" w:firstLineChars="200"/>
        <w:rPr>
          <w:rFonts w:hint="eastAsia" w:ascii="宋体" w:hAnsi="宋体" w:cs="宋体"/>
          <w:b/>
          <w:color w:val="auto"/>
          <w:sz w:val="21"/>
          <w:szCs w:val="21"/>
          <w:highlight w:val="none"/>
        </w:rPr>
      </w:pPr>
      <w:r>
        <w:rPr>
          <w:rFonts w:hint="eastAsia" w:ascii="宋体" w:hAnsi="宋体" w:cs="宋体"/>
          <w:color w:val="auto"/>
          <w:sz w:val="21"/>
          <w:szCs w:val="21"/>
          <w:highlight w:val="none"/>
        </w:rPr>
        <w:t>4．质量保修完成后，由发包人组织验收。</w:t>
      </w:r>
    </w:p>
    <w:p w14:paraId="31CF9CEF">
      <w:pPr>
        <w:spacing w:line="360" w:lineRule="auto"/>
        <w:ind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五、保修费用</w:t>
      </w:r>
    </w:p>
    <w:p w14:paraId="14C8B394">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保修费用由造成质量缺陷的责任方承担。</w:t>
      </w:r>
    </w:p>
    <w:p w14:paraId="3010F5EB">
      <w:pPr>
        <w:spacing w:line="360" w:lineRule="auto"/>
        <w:ind w:firstLine="413" w:firstLineChars="196"/>
        <w:rPr>
          <w:rFonts w:hint="eastAsia" w:ascii="宋体" w:hAnsi="宋体" w:cs="宋体"/>
          <w:b/>
          <w:color w:val="auto"/>
          <w:sz w:val="21"/>
          <w:szCs w:val="21"/>
          <w:highlight w:val="none"/>
          <w:u w:val="single"/>
        </w:rPr>
      </w:pPr>
      <w:r>
        <w:rPr>
          <w:rFonts w:hint="eastAsia" w:ascii="宋体" w:hAnsi="宋体" w:cs="宋体"/>
          <w:b/>
          <w:color w:val="auto"/>
          <w:sz w:val="21"/>
          <w:szCs w:val="21"/>
          <w:highlight w:val="none"/>
        </w:rPr>
        <w:t>六、双方约定的其他工程质量保修事项：</w:t>
      </w:r>
      <w:r>
        <w:rPr>
          <w:rFonts w:hint="eastAsia" w:ascii="宋体" w:hAnsi="宋体" w:cs="宋体"/>
          <w:b/>
          <w:color w:val="auto"/>
          <w:sz w:val="21"/>
          <w:szCs w:val="21"/>
          <w:highlight w:val="none"/>
          <w:u w:val="single"/>
        </w:rPr>
        <w:t xml:space="preserve">    /    </w:t>
      </w:r>
      <w:r>
        <w:rPr>
          <w:rFonts w:hint="eastAsia" w:ascii="宋体" w:hAnsi="宋体" w:cs="宋体"/>
          <w:color w:val="auto"/>
          <w:sz w:val="21"/>
          <w:szCs w:val="21"/>
          <w:highlight w:val="none"/>
        </w:rPr>
        <w:t>。</w:t>
      </w:r>
    </w:p>
    <w:p w14:paraId="057331C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工程质量保修书由发包人、承包人在工程竣工验收前共同签署，作为施工合同附件，其有效期限至保修期满。</w:t>
      </w:r>
    </w:p>
    <w:p w14:paraId="7DBEAF66">
      <w:pPr>
        <w:spacing w:line="360" w:lineRule="auto"/>
        <w:ind w:firstLine="420"/>
        <w:rPr>
          <w:rFonts w:hint="eastAsia" w:ascii="宋体" w:hAnsi="宋体" w:cs="宋体"/>
          <w:color w:val="auto"/>
          <w:sz w:val="21"/>
          <w:szCs w:val="21"/>
          <w:highlight w:val="none"/>
        </w:rPr>
      </w:pPr>
    </w:p>
    <w:p w14:paraId="19480482">
      <w:pPr>
        <w:autoSpaceDE w:val="0"/>
        <w:autoSpaceDN w:val="0"/>
        <w:adjustRightInd w:val="0"/>
        <w:spacing w:line="380" w:lineRule="exact"/>
        <w:jc w:val="lef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rPr>
        <w:t>发包人(公章)：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pacing w:val="14"/>
          <w:sz w:val="21"/>
          <w:szCs w:val="21"/>
          <w:highlight w:val="none"/>
          <w:u w:val="single"/>
        </w:rPr>
        <w:t>宁波市奉化区惠海</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z w:val="21"/>
          <w:szCs w:val="21"/>
          <w:highlight w:val="none"/>
        </w:rPr>
        <w:t>承包人(公章):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27ECCEBB">
      <w:pPr>
        <w:spacing w:line="560" w:lineRule="exact"/>
        <w:ind w:firstLine="1190" w:firstLineChars="500"/>
        <w:rPr>
          <w:rFonts w:hint="eastAsia" w:ascii="宋体" w:hAnsi="宋体" w:eastAsia="宋体" w:cs="宋体"/>
          <w:color w:val="auto"/>
          <w:sz w:val="21"/>
          <w:szCs w:val="21"/>
          <w:highlight w:val="none"/>
          <w:u w:val="single"/>
        </w:rPr>
      </w:pPr>
      <w:r>
        <w:rPr>
          <w:rFonts w:hint="eastAsia" w:ascii="宋体" w:hAnsi="宋体" w:eastAsia="宋体" w:cs="宋体"/>
          <w:color w:val="auto"/>
          <w:spacing w:val="14"/>
          <w:sz w:val="21"/>
          <w:szCs w:val="21"/>
          <w:highlight w:val="none"/>
          <w:u w:val="single"/>
        </w:rPr>
        <w:t>地下管线投资有限公司</w:t>
      </w:r>
      <w:r>
        <w:rPr>
          <w:rFonts w:hint="eastAsia" w:ascii="宋体" w:hAnsi="宋体" w:eastAsia="宋体" w:cs="宋体"/>
          <w:color w:val="auto"/>
          <w:sz w:val="21"/>
          <w:szCs w:val="21"/>
          <w:highlight w:val="none"/>
          <w:u w:val="single"/>
        </w:rPr>
        <w:t xml:space="preserve"> </w:t>
      </w:r>
    </w:p>
    <w:p w14:paraId="55D524B0">
      <w:pPr>
        <w:spacing w:line="560" w:lineRule="exac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rPr>
        <w:t>地  址：</w:t>
      </w:r>
      <w:r>
        <w:rPr>
          <w:rFonts w:hint="eastAsia" w:ascii="宋体" w:hAnsi="宋体" w:eastAsia="宋体" w:cs="宋体"/>
          <w:color w:val="auto"/>
          <w:spacing w:val="14"/>
          <w:sz w:val="21"/>
          <w:szCs w:val="21"/>
          <w:highlight w:val="none"/>
          <w:u w:val="single"/>
        </w:rPr>
        <w:t>宁波市奉化区岳林街道长汀东路558号</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lang w:val="en-US" w:eastAsia="zh-CN"/>
        </w:rPr>
        <w:t xml:space="preserve">                      </w:t>
      </w:r>
    </w:p>
    <w:p w14:paraId="5FB9AC50">
      <w:pPr>
        <w:spacing w:line="560" w:lineRule="exact"/>
        <w:ind w:firstLine="952" w:firstLineChars="400"/>
        <w:rPr>
          <w:rFonts w:hint="eastAsia" w:ascii="宋体" w:hAnsi="宋体" w:eastAsia="宋体" w:cs="宋体"/>
          <w:color w:val="auto"/>
          <w:sz w:val="21"/>
          <w:szCs w:val="21"/>
          <w:highlight w:val="none"/>
        </w:rPr>
      </w:pPr>
      <w:r>
        <w:rPr>
          <w:rFonts w:hint="eastAsia" w:ascii="宋体" w:hAnsi="宋体" w:eastAsia="宋体" w:cs="宋体"/>
          <w:color w:val="auto"/>
          <w:spacing w:val="14"/>
          <w:sz w:val="21"/>
          <w:szCs w:val="21"/>
          <w:highlight w:val="none"/>
          <w:u w:val="single"/>
        </w:rPr>
        <w:t>（城开大厦3号楼北幢9层</w:t>
      </w:r>
      <w:r>
        <w:rPr>
          <w:rFonts w:hint="eastAsia" w:ascii="宋体" w:hAnsi="宋体" w:eastAsia="宋体" w:cs="宋体"/>
          <w:color w:val="auto"/>
          <w:spacing w:val="14"/>
          <w:sz w:val="21"/>
          <w:szCs w:val="21"/>
          <w:highlight w:val="none"/>
          <w:u w:val="single"/>
          <w:lang w:eastAsia="zh-CN"/>
        </w:rPr>
        <w:t>）</w:t>
      </w:r>
      <w:r>
        <w:rPr>
          <w:rFonts w:hint="eastAsia" w:ascii="宋体" w:hAnsi="宋体" w:eastAsia="宋体" w:cs="宋体"/>
          <w:color w:val="auto"/>
          <w:sz w:val="21"/>
          <w:szCs w:val="21"/>
          <w:highlight w:val="none"/>
        </w:rPr>
        <w:t xml:space="preserve">  </w:t>
      </w:r>
    </w:p>
    <w:p w14:paraId="507D621D">
      <w:pPr>
        <w:spacing w:line="56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法定代表人(签字)：</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法定代表人(签字):</w:t>
      </w:r>
      <w:r>
        <w:rPr>
          <w:rFonts w:hint="eastAsia" w:ascii="宋体" w:hAnsi="宋体" w:eastAsia="宋体" w:cs="宋体"/>
          <w:color w:val="auto"/>
          <w:sz w:val="21"/>
          <w:szCs w:val="21"/>
          <w:highlight w:val="none"/>
          <w:u w:val="single"/>
        </w:rPr>
        <w:t xml:space="preserve">                  </w:t>
      </w:r>
    </w:p>
    <w:p w14:paraId="627D8118">
      <w:pPr>
        <w:spacing w:line="56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委托代理人(签字)：</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委托代理人(签字):</w:t>
      </w:r>
      <w:r>
        <w:rPr>
          <w:rFonts w:hint="eastAsia" w:ascii="宋体" w:hAnsi="宋体" w:eastAsia="宋体" w:cs="宋体"/>
          <w:color w:val="auto"/>
          <w:sz w:val="21"/>
          <w:szCs w:val="21"/>
          <w:highlight w:val="none"/>
          <w:u w:val="single"/>
        </w:rPr>
        <w:t xml:space="preserve">                  </w:t>
      </w:r>
    </w:p>
    <w:p w14:paraId="6009FEB6">
      <w:pPr>
        <w:spacing w:line="5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0CAB1D65">
      <w:pPr>
        <w:spacing w:line="5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1446BC28">
      <w:pPr>
        <w:autoSpaceDE w:val="0"/>
        <w:autoSpaceDN w:val="0"/>
        <w:adjustRightInd w:val="0"/>
        <w:spacing w:line="440" w:lineRule="exact"/>
        <w:jc w:val="left"/>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zh-CN"/>
        </w:rPr>
        <w:t>开户银行：</w:t>
      </w:r>
      <w:r>
        <w:rPr>
          <w:rFonts w:hint="eastAsia" w:ascii="宋体" w:hAnsi="宋体" w:eastAsia="宋体" w:cs="宋体"/>
          <w:color w:val="auto"/>
          <w:kern w:val="0"/>
          <w:sz w:val="21"/>
          <w:szCs w:val="21"/>
          <w:highlight w:val="none"/>
          <w:u w:val="single"/>
          <w:lang w:val="zh-CN"/>
        </w:rPr>
        <w:t>宁波银行股份有限公司岳林支行</w:t>
      </w:r>
      <w:r>
        <w:rPr>
          <w:rFonts w:hint="eastAsia" w:ascii="宋体" w:hAnsi="宋体" w:eastAsia="宋体" w:cs="宋体"/>
          <w:color w:val="auto"/>
          <w:kern w:val="0"/>
          <w:sz w:val="21"/>
          <w:szCs w:val="21"/>
          <w:highlight w:val="none"/>
          <w:lang w:val="zh-CN"/>
        </w:rPr>
        <w:t xml:space="preserve">   开户银行：</w:t>
      </w:r>
      <w:r>
        <w:rPr>
          <w:rFonts w:hint="eastAsia" w:ascii="宋体" w:hAnsi="宋体" w:eastAsia="宋体" w:cs="宋体"/>
          <w:color w:val="auto"/>
          <w:kern w:val="0"/>
          <w:sz w:val="21"/>
          <w:szCs w:val="21"/>
          <w:highlight w:val="none"/>
          <w:u w:val="single"/>
          <w:lang w:val="en-US" w:eastAsia="zh-CN"/>
        </w:rPr>
        <w:t xml:space="preserve">                       </w:t>
      </w:r>
    </w:p>
    <w:p w14:paraId="38464873">
      <w:pPr>
        <w:spacing w:line="360" w:lineRule="auto"/>
        <w:rPr>
          <w:rFonts w:hint="eastAsia" w:ascii="宋体" w:hAnsi="宋体" w:cs="宋体"/>
          <w:color w:val="auto"/>
          <w:sz w:val="21"/>
          <w:szCs w:val="21"/>
          <w:highlight w:val="none"/>
          <w:u w:val="single"/>
        </w:rPr>
      </w:pPr>
      <w:r>
        <w:rPr>
          <w:rFonts w:hint="eastAsia" w:ascii="宋体" w:hAnsi="宋体" w:eastAsia="宋体" w:cs="宋体"/>
          <w:color w:val="auto"/>
          <w:kern w:val="0"/>
          <w:sz w:val="21"/>
          <w:szCs w:val="21"/>
          <w:highlight w:val="none"/>
          <w:lang w:val="zh-CN"/>
        </w:rPr>
        <w:t>账号：</w:t>
      </w:r>
      <w:r>
        <w:rPr>
          <w:rFonts w:hint="eastAsia" w:ascii="宋体" w:hAnsi="宋体" w:eastAsia="宋体" w:cs="宋体"/>
          <w:color w:val="auto"/>
          <w:kern w:val="0"/>
          <w:sz w:val="21"/>
          <w:szCs w:val="21"/>
          <w:highlight w:val="none"/>
          <w:u w:val="single"/>
          <w:lang w:val="zh-CN"/>
        </w:rPr>
        <w:t xml:space="preserve">64040122 000030230 </w:t>
      </w:r>
      <w:r>
        <w:rPr>
          <w:rFonts w:hint="eastAsia" w:ascii="宋体" w:hAnsi="宋体" w:eastAsia="宋体" w:cs="宋体"/>
          <w:color w:val="auto"/>
          <w:kern w:val="0"/>
          <w:sz w:val="21"/>
          <w:szCs w:val="21"/>
          <w:highlight w:val="none"/>
          <w:lang w:val="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 xml:space="preserve">账号：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p>
    <w:p w14:paraId="260EA342">
      <w:pPr>
        <w:spacing w:line="360" w:lineRule="auto"/>
        <w:rPr>
          <w:rFonts w:hint="eastAsia" w:ascii="宋体" w:hAnsi="宋体" w:cs="宋体"/>
          <w:color w:val="auto"/>
          <w:sz w:val="21"/>
          <w:szCs w:val="21"/>
          <w:highlight w:val="none"/>
          <w:u w:val="single"/>
        </w:rPr>
      </w:pPr>
    </w:p>
    <w:p w14:paraId="7B9B282E">
      <w:pPr>
        <w:spacing w:line="360" w:lineRule="auto"/>
        <w:rPr>
          <w:rFonts w:hint="eastAsia" w:ascii="宋体" w:hAnsi="宋体" w:cs="宋体"/>
          <w:color w:val="auto"/>
          <w:sz w:val="21"/>
          <w:szCs w:val="21"/>
          <w:highlight w:val="none"/>
          <w:u w:val="single"/>
        </w:rPr>
      </w:pPr>
    </w:p>
    <w:p w14:paraId="34EF9A7B">
      <w:pPr>
        <w:spacing w:line="360" w:lineRule="auto"/>
        <w:rPr>
          <w:rFonts w:hint="eastAsia" w:ascii="宋体" w:hAnsi="宋体" w:cs="宋体"/>
          <w:color w:val="auto"/>
          <w:sz w:val="21"/>
          <w:szCs w:val="21"/>
          <w:highlight w:val="none"/>
          <w:u w:val="single"/>
        </w:rPr>
      </w:pPr>
    </w:p>
    <w:p w14:paraId="77D95A36">
      <w:pPr>
        <w:spacing w:line="360" w:lineRule="auto"/>
        <w:rPr>
          <w:rFonts w:hint="eastAsia" w:ascii="宋体" w:hAnsi="宋体" w:cs="宋体"/>
          <w:color w:val="auto"/>
          <w:sz w:val="21"/>
          <w:szCs w:val="21"/>
          <w:highlight w:val="none"/>
          <w:u w:val="single"/>
        </w:rPr>
      </w:pPr>
    </w:p>
    <w:p w14:paraId="470459FE">
      <w:pPr>
        <w:spacing w:line="360" w:lineRule="auto"/>
        <w:rPr>
          <w:rFonts w:hint="eastAsia" w:ascii="宋体" w:hAnsi="宋体" w:cs="宋体"/>
          <w:color w:val="auto"/>
          <w:sz w:val="21"/>
          <w:szCs w:val="21"/>
          <w:highlight w:val="none"/>
          <w:u w:val="single"/>
        </w:rPr>
      </w:pPr>
    </w:p>
    <w:p w14:paraId="44378B9A">
      <w:pPr>
        <w:spacing w:line="360" w:lineRule="auto"/>
        <w:rPr>
          <w:rFonts w:hint="eastAsia" w:ascii="宋体" w:hAnsi="宋体" w:cs="宋体"/>
          <w:color w:val="auto"/>
          <w:sz w:val="21"/>
          <w:szCs w:val="21"/>
          <w:highlight w:val="none"/>
          <w:u w:val="single"/>
        </w:rPr>
      </w:pPr>
    </w:p>
    <w:p w14:paraId="1C59F768">
      <w:pPr>
        <w:spacing w:line="360" w:lineRule="auto"/>
        <w:rPr>
          <w:rFonts w:hint="eastAsia" w:ascii="宋体" w:hAnsi="宋体" w:cs="宋体"/>
          <w:color w:val="auto"/>
          <w:sz w:val="21"/>
          <w:szCs w:val="21"/>
          <w:highlight w:val="none"/>
          <w:u w:val="single"/>
        </w:rPr>
      </w:pPr>
    </w:p>
    <w:p w14:paraId="6FF7CAF7">
      <w:pPr>
        <w:spacing w:line="360" w:lineRule="auto"/>
        <w:rPr>
          <w:rFonts w:hint="eastAsia" w:ascii="宋体" w:hAnsi="宋体" w:cs="宋体"/>
          <w:color w:val="auto"/>
          <w:sz w:val="21"/>
          <w:szCs w:val="21"/>
          <w:highlight w:val="none"/>
          <w:u w:val="single"/>
        </w:rPr>
      </w:pPr>
    </w:p>
    <w:p w14:paraId="7A9C5E6B">
      <w:pPr>
        <w:spacing w:line="360" w:lineRule="auto"/>
        <w:rPr>
          <w:rFonts w:hint="eastAsia" w:ascii="宋体" w:hAnsi="宋体" w:cs="宋体"/>
          <w:b/>
          <w:bCs/>
          <w:color w:val="auto"/>
          <w:sz w:val="21"/>
          <w:szCs w:val="21"/>
          <w:highlight w:val="none"/>
        </w:rPr>
      </w:pPr>
      <w:bookmarkStart w:id="440" w:name="_Toc358876721"/>
      <w:bookmarkStart w:id="441" w:name="_Toc315695461"/>
      <w:bookmarkStart w:id="442" w:name="_Toc360114130"/>
      <w:bookmarkStart w:id="443" w:name="_Toc315695235"/>
      <w:bookmarkStart w:id="444" w:name="_Toc359567922"/>
    </w:p>
    <w:p w14:paraId="300CA9F5">
      <w:pPr>
        <w:spacing w:line="360" w:lineRule="auto"/>
        <w:rPr>
          <w:rFonts w:hint="eastAsia" w:ascii="宋体" w:hAnsi="宋体" w:cs="宋体"/>
          <w:b/>
          <w:bCs/>
          <w:color w:val="auto"/>
          <w:sz w:val="21"/>
          <w:szCs w:val="21"/>
          <w:highlight w:val="none"/>
        </w:rPr>
      </w:pPr>
    </w:p>
    <w:p w14:paraId="29A57FC1">
      <w:pPr>
        <w:spacing w:line="360" w:lineRule="auto"/>
        <w:rPr>
          <w:rFonts w:hint="eastAsia" w:ascii="宋体" w:hAnsi="宋体" w:cs="宋体"/>
          <w:b/>
          <w:bCs/>
          <w:color w:val="auto"/>
          <w:sz w:val="21"/>
          <w:szCs w:val="21"/>
          <w:highlight w:val="none"/>
        </w:rPr>
      </w:pPr>
    </w:p>
    <w:p w14:paraId="5F47EDE6">
      <w:pPr>
        <w:spacing w:line="360" w:lineRule="auto"/>
        <w:rPr>
          <w:rFonts w:hint="eastAsia" w:ascii="宋体" w:hAnsi="宋体" w:cs="宋体"/>
          <w:b/>
          <w:bCs/>
          <w:color w:val="auto"/>
          <w:sz w:val="21"/>
          <w:szCs w:val="21"/>
          <w:highlight w:val="none"/>
        </w:rPr>
      </w:pPr>
    </w:p>
    <w:p w14:paraId="0A109DB5">
      <w:pPr>
        <w:spacing w:line="360" w:lineRule="auto"/>
        <w:rPr>
          <w:rFonts w:hint="eastAsia" w:ascii="宋体" w:hAnsi="宋体" w:cs="宋体"/>
          <w:b/>
          <w:bCs/>
          <w:color w:val="auto"/>
          <w:sz w:val="21"/>
          <w:szCs w:val="21"/>
          <w:highlight w:val="none"/>
        </w:rPr>
      </w:pPr>
    </w:p>
    <w:p w14:paraId="4F6DEDCD">
      <w:pPr>
        <w:spacing w:line="360" w:lineRule="auto"/>
        <w:rPr>
          <w:rFonts w:hint="eastAsia" w:ascii="宋体" w:hAnsi="宋体" w:cs="宋体"/>
          <w:b/>
          <w:bCs/>
          <w:color w:val="auto"/>
          <w:sz w:val="21"/>
          <w:szCs w:val="21"/>
          <w:highlight w:val="none"/>
        </w:rPr>
      </w:pPr>
    </w:p>
    <w:p w14:paraId="1DF51F8D">
      <w:pPr>
        <w:spacing w:line="360" w:lineRule="auto"/>
        <w:rPr>
          <w:rFonts w:hint="eastAsia" w:ascii="宋体" w:hAnsi="宋体" w:cs="宋体"/>
          <w:b/>
          <w:bCs/>
          <w:color w:val="auto"/>
          <w:sz w:val="21"/>
          <w:szCs w:val="21"/>
          <w:highlight w:val="none"/>
        </w:rPr>
      </w:pPr>
    </w:p>
    <w:p w14:paraId="53E193D0">
      <w:pPr>
        <w:spacing w:line="360" w:lineRule="auto"/>
        <w:rPr>
          <w:rFonts w:hint="eastAsia" w:ascii="宋体" w:hAnsi="宋体" w:cs="宋体"/>
          <w:b/>
          <w:bCs/>
          <w:color w:val="auto"/>
          <w:sz w:val="21"/>
          <w:szCs w:val="21"/>
          <w:highlight w:val="none"/>
        </w:rPr>
      </w:pPr>
    </w:p>
    <w:p w14:paraId="197E3AF1">
      <w:pPr>
        <w:spacing w:line="360" w:lineRule="auto"/>
        <w:rPr>
          <w:rFonts w:hint="eastAsia" w:ascii="宋体" w:hAnsi="宋体" w:cs="宋体"/>
          <w:b/>
          <w:bCs/>
          <w:color w:val="auto"/>
          <w:sz w:val="21"/>
          <w:szCs w:val="21"/>
          <w:highlight w:val="none"/>
        </w:rPr>
      </w:pPr>
    </w:p>
    <w:p w14:paraId="1A38FBFF">
      <w:pPr>
        <w:spacing w:line="360" w:lineRule="auto"/>
        <w:rPr>
          <w:rFonts w:hint="eastAsia" w:ascii="宋体" w:hAnsi="宋体" w:cs="宋体"/>
          <w:b/>
          <w:bCs/>
          <w:color w:val="auto"/>
          <w:sz w:val="21"/>
          <w:szCs w:val="21"/>
          <w:highlight w:val="none"/>
        </w:rPr>
      </w:pPr>
    </w:p>
    <w:p w14:paraId="27302E8B">
      <w:pPr>
        <w:spacing w:line="360" w:lineRule="auto"/>
        <w:rPr>
          <w:rFonts w:hint="eastAsia" w:ascii="宋体" w:hAnsi="宋体" w:cs="宋体"/>
          <w:b/>
          <w:bCs/>
          <w:color w:val="auto"/>
          <w:sz w:val="21"/>
          <w:szCs w:val="21"/>
          <w:highlight w:val="none"/>
        </w:rPr>
      </w:pPr>
    </w:p>
    <w:p w14:paraId="7C22467B">
      <w:pPr>
        <w:spacing w:line="360" w:lineRule="auto"/>
        <w:rPr>
          <w:rFonts w:hint="eastAsia" w:ascii="宋体" w:hAnsi="宋体" w:cs="宋体"/>
          <w:b/>
          <w:bCs/>
          <w:color w:val="auto"/>
          <w:sz w:val="21"/>
          <w:szCs w:val="21"/>
          <w:highlight w:val="none"/>
        </w:rPr>
      </w:pPr>
    </w:p>
    <w:p w14:paraId="33E182D9">
      <w:pPr>
        <w:spacing w:line="360" w:lineRule="auto"/>
        <w:rPr>
          <w:rFonts w:hint="eastAsia" w:ascii="宋体" w:hAnsi="宋体" w:cs="宋体"/>
          <w:b/>
          <w:color w:val="auto"/>
          <w:sz w:val="21"/>
          <w:szCs w:val="21"/>
          <w:highlight w:val="none"/>
        </w:rPr>
      </w:pPr>
      <w:r>
        <w:rPr>
          <w:rFonts w:hint="eastAsia" w:ascii="宋体" w:hAnsi="宋体" w:cs="宋体"/>
          <w:b/>
          <w:bCs/>
          <w:color w:val="auto"/>
          <w:sz w:val="21"/>
          <w:szCs w:val="21"/>
          <w:highlight w:val="none"/>
        </w:rPr>
        <w:t>附件2：</w:t>
      </w:r>
      <w:r>
        <w:rPr>
          <w:rFonts w:hint="eastAsia" w:ascii="宋体" w:hAnsi="宋体" w:cs="宋体"/>
          <w:b/>
          <w:bCs/>
          <w:color w:val="auto"/>
          <w:sz w:val="21"/>
          <w:szCs w:val="21"/>
          <w:highlight w:val="none"/>
          <w:lang w:val="en-US" w:eastAsia="zh-CN"/>
        </w:rPr>
        <w:t xml:space="preserve">                       </w:t>
      </w:r>
      <w:r>
        <w:rPr>
          <w:rFonts w:hint="eastAsia" w:ascii="宋体" w:hAnsi="宋体" w:cs="宋体"/>
          <w:b/>
          <w:color w:val="auto"/>
          <w:sz w:val="21"/>
          <w:szCs w:val="21"/>
          <w:highlight w:val="none"/>
        </w:rPr>
        <w:t>安全生产合同</w:t>
      </w:r>
    </w:p>
    <w:p w14:paraId="13DB7D12">
      <w:pPr>
        <w:spacing w:line="360" w:lineRule="auto"/>
        <w:ind w:firstLine="420" w:firstLineChars="200"/>
        <w:rPr>
          <w:rFonts w:hint="eastAsia" w:ascii="宋体" w:hAnsi="宋体" w:cs="宋体"/>
          <w:bCs/>
          <w:color w:val="auto"/>
          <w:sz w:val="21"/>
          <w:szCs w:val="21"/>
          <w:highlight w:val="none"/>
          <w:u w:val="single"/>
        </w:rPr>
      </w:pPr>
      <w:r>
        <w:rPr>
          <w:rFonts w:hint="eastAsia" w:ascii="宋体" w:hAnsi="宋体" w:cs="宋体"/>
          <w:color w:val="auto"/>
          <w:sz w:val="21"/>
          <w:szCs w:val="21"/>
          <w:highlight w:val="none"/>
        </w:rPr>
        <w:t>为在</w:t>
      </w:r>
      <w:r>
        <w:rPr>
          <w:rFonts w:hint="eastAsia" w:ascii="宋体" w:hAnsi="宋体" w:eastAsia="宋体" w:cs="宋体"/>
          <w:color w:val="auto"/>
          <w:sz w:val="21"/>
          <w:szCs w:val="21"/>
          <w:highlight w:val="none"/>
          <w:u w:val="single"/>
          <w:lang w:eastAsia="zh-CN"/>
        </w:rPr>
        <w:t>奉化区FH24-02-09a地块建设项目—通信基础设施和无线通信室内覆盖系统建设工程</w:t>
      </w:r>
      <w:r>
        <w:rPr>
          <w:rFonts w:hint="eastAsia" w:ascii="宋体" w:hAnsi="宋体" w:cs="宋体"/>
          <w:color w:val="auto"/>
          <w:sz w:val="21"/>
          <w:szCs w:val="21"/>
          <w:highlight w:val="none"/>
        </w:rPr>
        <w:t>（项目名称）施工合同的实施过程中创造安全、高效的施工环境，切实搞好本项目的安全管理工作，本项目发包人</w:t>
      </w:r>
      <w:r>
        <w:rPr>
          <w:rFonts w:hint="eastAsia" w:ascii="宋体" w:hAnsi="宋体" w:cs="宋体"/>
          <w:color w:val="auto"/>
          <w:sz w:val="21"/>
          <w:szCs w:val="21"/>
          <w:highlight w:val="none"/>
          <w:u w:val="single"/>
        </w:rPr>
        <w:t>宁波市奉化区惠海地下管线投资有限公司</w:t>
      </w:r>
      <w:r>
        <w:rPr>
          <w:rFonts w:hint="eastAsia" w:ascii="宋体" w:hAnsi="宋体" w:cs="宋体"/>
          <w:color w:val="auto"/>
          <w:sz w:val="21"/>
          <w:szCs w:val="21"/>
          <w:highlight w:val="none"/>
        </w:rPr>
        <w:t>（发包人名称，以下简称“发包人”）与</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cs="宋体"/>
          <w:color w:val="auto"/>
          <w:sz w:val="21"/>
          <w:szCs w:val="21"/>
          <w:highlight w:val="none"/>
        </w:rPr>
        <w:t>承包人名称，以下简称“承包人”）特此签订安全生产合同：</w:t>
      </w:r>
    </w:p>
    <w:p w14:paraId="2FFF865E">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1.发包人职责</w:t>
      </w:r>
    </w:p>
    <w:p w14:paraId="0A91B8FD">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（1）严格遵守国家有关安全生产的法律法规，认真执行工程承包合同中的有关安全要求。</w:t>
      </w:r>
    </w:p>
    <w:p w14:paraId="31F04334">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（2）按照“安全第一、预防为主”和坚持“管生产必须管安全”的原则进行安全生产管理，做到生产与安全工作同时计划、布置、检查、总结和评比。</w:t>
      </w:r>
    </w:p>
    <w:p w14:paraId="5DB6B670">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（3）重要的安全设施必须坚持与主体工程“三同时”的原则，即：同时设计、审批，同时施工，同时验收，投入使用。</w:t>
      </w:r>
    </w:p>
    <w:p w14:paraId="7016911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（4）定期召开安全生产调度会，及时传达中央及地方有关安全生产的精神。</w:t>
      </w:r>
    </w:p>
    <w:p w14:paraId="43DF10B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（5）组织对承包人施工现场安全生产检查，监督承包人及时处理发现的各种安全隐患。</w:t>
      </w:r>
    </w:p>
    <w:p w14:paraId="7AC509C9">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2.承包人职责</w:t>
      </w:r>
    </w:p>
    <w:p w14:paraId="58873D01">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（1）严格遵守《中华人民共和国安全生产法》、《建设工程安全生产管理条例》等国家有关安全生产的法律法规有关安全生产的规定。认真执行工程承包合同中的有关安全要求。</w:t>
      </w:r>
    </w:p>
    <w:p w14:paraId="15A8AF3C">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1F3EAD45">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规定的最低数量和资质条件配备专职安全生产管理人员，专职负责所有员工的安全和治安保卫工作及预防事故的发生。安全机构人员有权按有关规定发布指令，并采取保护性措施防止事故发生。</w:t>
      </w:r>
    </w:p>
    <w:p w14:paraId="50AD8701">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（4）承包人在任何时候都应采取各种合理的预防措施，防止其员工发生任何违法、违禁、暴力或妨碍治安的行为。</w:t>
      </w:r>
    </w:p>
    <w:p w14:paraId="04E8512D">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14:paraId="782F6EFB">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573FD51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（7）操作人员上岗，必须按规定穿戴防护用品。施工负责人和安全检查员应随时检查劳动防护用品的穿戴情况，不按规定穿戴防护用品的人员不得上岗。</w:t>
      </w:r>
    </w:p>
    <w:p w14:paraId="59C3B3E7">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（8）所有施工机具设备和高空作业的设备均应定期检查，并有安全员的签字记录，保证其经常处于完好状态；不合格的机具、设备和劳动保护用品严禁使用：</w:t>
      </w:r>
    </w:p>
    <w:p w14:paraId="40336ADC">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（9）施工中采用新技术、新工艺、新设备、新材料时，必须制定相应的安全技术措施，施工现场必须具有相关的安全标志牌。</w:t>
      </w:r>
    </w:p>
    <w:p w14:paraId="333067D8">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1485D017">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3.违约责任</w:t>
      </w:r>
    </w:p>
    <w:p w14:paraId="6F5A3E14">
      <w:pPr>
        <w:spacing w:line="420" w:lineRule="exact"/>
        <w:ind w:left="480"/>
        <w:rPr>
          <w:rFonts w:hint="eastAsia" w:ascii="宋体" w:hAnsi="宋体" w:cs="宋体"/>
          <w:color w:val="auto"/>
          <w:sz w:val="21"/>
          <w:szCs w:val="21"/>
          <w:highlight w:val="none"/>
        </w:rPr>
      </w:pPr>
      <w:r>
        <w:rPr>
          <w:rFonts w:hint="eastAsia" w:ascii="宋体" w:hAnsi="宋体" w:cs="宋体"/>
          <w:color w:val="auto"/>
          <w:sz w:val="21"/>
          <w:szCs w:val="21"/>
          <w:highlight w:val="none"/>
        </w:rPr>
        <w:t>如因发包人或承包人违约造成安全事故，将依法追究责任。</w:t>
      </w:r>
    </w:p>
    <w:p w14:paraId="22AB07E2">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4.本合同由双方法定代表人或其授权的代理人签署并加盖单位章后生效，全部工程竣工验收后失效。</w:t>
      </w:r>
    </w:p>
    <w:p w14:paraId="4D6E3544">
      <w:pPr>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w:t>
      </w:r>
      <w:r>
        <w:rPr>
          <w:rFonts w:hint="eastAsia" w:ascii="宋体" w:hAnsi="宋体"/>
          <w:color w:val="auto"/>
          <w:sz w:val="21"/>
          <w:szCs w:val="21"/>
          <w:highlight w:val="none"/>
        </w:rPr>
        <w:t>本合同一式</w:t>
      </w:r>
      <w:r>
        <w:rPr>
          <w:rFonts w:hint="eastAsia" w:ascii="宋体" w:hAnsi="宋体"/>
          <w:color w:val="auto"/>
          <w:sz w:val="21"/>
          <w:szCs w:val="21"/>
          <w:highlight w:val="none"/>
          <w:lang w:eastAsia="zh-CN"/>
        </w:rPr>
        <w:t>陆</w:t>
      </w:r>
      <w:r>
        <w:rPr>
          <w:rFonts w:hint="eastAsia" w:ascii="宋体" w:hAnsi="宋体"/>
          <w:color w:val="auto"/>
          <w:sz w:val="21"/>
          <w:szCs w:val="21"/>
          <w:highlight w:val="none"/>
        </w:rPr>
        <w:t>份，甲、乙双方各执</w:t>
      </w:r>
      <w:r>
        <w:rPr>
          <w:rFonts w:hint="eastAsia" w:ascii="宋体" w:hAnsi="宋体"/>
          <w:color w:val="auto"/>
          <w:sz w:val="21"/>
          <w:szCs w:val="21"/>
          <w:highlight w:val="none"/>
          <w:lang w:eastAsia="zh-CN"/>
        </w:rPr>
        <w:t>贰</w:t>
      </w:r>
      <w:r>
        <w:rPr>
          <w:rFonts w:hint="eastAsia" w:ascii="宋体" w:hAnsi="宋体"/>
          <w:color w:val="auto"/>
          <w:sz w:val="21"/>
          <w:szCs w:val="21"/>
          <w:highlight w:val="none"/>
        </w:rPr>
        <w:t>份，镇（街道）公共资源交易分中心</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份，归档</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w:t>
      </w:r>
    </w:p>
    <w:p w14:paraId="31490134">
      <w:pPr>
        <w:autoSpaceDE w:val="0"/>
        <w:autoSpaceDN w:val="0"/>
        <w:adjustRightInd w:val="0"/>
        <w:spacing w:line="380" w:lineRule="exact"/>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sz w:val="21"/>
          <w:szCs w:val="21"/>
          <w:highlight w:val="none"/>
        </w:rPr>
        <w:t>发包人：（</w:t>
      </w:r>
      <w:r>
        <w:rPr>
          <w:rFonts w:hint="eastAsia" w:ascii="宋体" w:hAnsi="宋体" w:eastAsia="宋体" w:cs="宋体"/>
          <w:color w:val="auto"/>
          <w:sz w:val="21"/>
          <w:szCs w:val="21"/>
          <w:highlight w:val="none"/>
          <w:lang w:val="en-US" w:eastAsia="zh-CN"/>
        </w:rPr>
        <w:t>盖</w:t>
      </w:r>
      <w:r>
        <w:rPr>
          <w:rFonts w:hint="eastAsia" w:ascii="宋体" w:hAnsi="宋体" w:eastAsia="宋体" w:cs="宋体"/>
          <w:color w:val="auto"/>
          <w:sz w:val="21"/>
          <w:szCs w:val="21"/>
          <w:highlight w:val="none"/>
        </w:rPr>
        <w:t>章）</w:t>
      </w:r>
      <w:r>
        <w:rPr>
          <w:rFonts w:hint="eastAsia" w:ascii="宋体" w:hAnsi="宋体" w:eastAsia="宋体" w:cs="宋体"/>
          <w:color w:val="auto"/>
          <w:sz w:val="21"/>
          <w:szCs w:val="21"/>
          <w:highlight w:val="none"/>
          <w:u w:val="single"/>
        </w:rPr>
        <w:t>宁波市奉化区惠海</w:t>
      </w:r>
      <w:r>
        <w:rPr>
          <w:rFonts w:hint="eastAsia" w:ascii="宋体" w:hAnsi="宋体" w:eastAsia="宋体" w:cs="宋体"/>
          <w:color w:val="auto"/>
          <w:spacing w:val="14"/>
          <w:sz w:val="21"/>
          <w:szCs w:val="21"/>
          <w:highlight w:val="none"/>
          <w:u w:val="single"/>
        </w:rPr>
        <w:t xml:space="preserve"> </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z w:val="21"/>
          <w:szCs w:val="21"/>
          <w:highlight w:val="none"/>
        </w:rPr>
        <w:t>承包人：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lang w:val="en-US" w:eastAsia="zh-CN"/>
        </w:rPr>
        <w:t>盖</w:t>
      </w:r>
      <w:r>
        <w:rPr>
          <w:rFonts w:hint="eastAsia" w:ascii="宋体" w:hAnsi="宋体" w:eastAsia="宋体" w:cs="宋体"/>
          <w:color w:val="auto"/>
          <w:sz w:val="21"/>
          <w:szCs w:val="21"/>
          <w:highlight w:val="none"/>
        </w:rPr>
        <w:t>章</w:t>
      </w:r>
      <w:r>
        <w:rPr>
          <w:rFonts w:hint="eastAsia" w:ascii="宋体" w:hAnsi="宋体" w:eastAsia="宋体" w:cs="宋体"/>
          <w:color w:val="auto"/>
          <w:sz w:val="21"/>
          <w:szCs w:val="21"/>
          <w:highlight w:val="none"/>
          <w:u w:val="single"/>
        </w:rPr>
        <w:t>）</w:t>
      </w:r>
    </w:p>
    <w:p w14:paraId="3E21E732">
      <w:pPr>
        <w:spacing w:line="420" w:lineRule="exact"/>
        <w:rPr>
          <w:rFonts w:hint="eastAsia" w:ascii="宋体" w:hAnsi="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地下管线投资有限公司 </w:t>
      </w:r>
      <w:r>
        <w:rPr>
          <w:rFonts w:hint="eastAsia" w:ascii="宋体" w:hAnsi="宋体" w:cs="宋体"/>
          <w:color w:val="auto"/>
          <w:sz w:val="21"/>
          <w:szCs w:val="21"/>
          <w:highlight w:val="none"/>
        </w:rPr>
        <w:t xml:space="preserve"> </w:t>
      </w:r>
    </w:p>
    <w:p w14:paraId="2DE0A268">
      <w:pPr>
        <w:spacing w:line="42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法定代表人或                       法定代表人或</w:t>
      </w:r>
    </w:p>
    <w:p w14:paraId="793DED14">
      <w:pPr>
        <w:spacing w:line="42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其委托代理人：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（签字）  其委托代理人：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（签字）</w:t>
      </w:r>
    </w:p>
    <w:p w14:paraId="63668EA5">
      <w:pPr>
        <w:spacing w:line="420" w:lineRule="exact"/>
        <w:ind w:left="840"/>
        <w:rPr>
          <w:rFonts w:hint="eastAsia" w:ascii="宋体" w:hAnsi="宋体" w:cs="宋体"/>
          <w:color w:val="auto"/>
          <w:sz w:val="21"/>
          <w:szCs w:val="21"/>
          <w:highlight w:val="none"/>
        </w:rPr>
      </w:pPr>
    </w:p>
    <w:p w14:paraId="34B34FCB">
      <w:pPr>
        <w:spacing w:line="420" w:lineRule="exact"/>
        <w:ind w:left="840" w:leftChars="400" w:firstLine="315" w:firstLineChars="15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2025</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 xml:space="preserve">日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2025</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日</w:t>
      </w:r>
    </w:p>
    <w:p w14:paraId="5D57C889">
      <w:pPr>
        <w:spacing w:line="360" w:lineRule="auto"/>
        <w:rPr>
          <w:rFonts w:hint="eastAsia" w:ascii="宋体" w:hAnsi="宋体" w:cs="宋体"/>
          <w:b/>
          <w:bCs/>
          <w:color w:val="auto"/>
          <w:sz w:val="21"/>
          <w:szCs w:val="21"/>
          <w:highlight w:val="none"/>
        </w:rPr>
      </w:pPr>
    </w:p>
    <w:p w14:paraId="162BE858">
      <w:pPr>
        <w:spacing w:line="360" w:lineRule="auto"/>
        <w:jc w:val="both"/>
        <w:rPr>
          <w:rFonts w:hint="eastAsia" w:ascii="宋体" w:hAnsi="宋体" w:cs="宋体"/>
          <w:b/>
          <w:bCs/>
          <w:color w:val="auto"/>
          <w:sz w:val="21"/>
          <w:szCs w:val="21"/>
          <w:highlight w:val="none"/>
        </w:rPr>
      </w:pPr>
    </w:p>
    <w:p w14:paraId="5498AD80">
      <w:pPr>
        <w:spacing w:line="360" w:lineRule="auto"/>
        <w:jc w:val="both"/>
        <w:rPr>
          <w:rFonts w:hint="eastAsia" w:ascii="宋体" w:hAnsi="宋体" w:cs="宋体"/>
          <w:b/>
          <w:bCs/>
          <w:color w:val="auto"/>
          <w:sz w:val="21"/>
          <w:szCs w:val="21"/>
          <w:highlight w:val="none"/>
        </w:rPr>
      </w:pPr>
    </w:p>
    <w:p w14:paraId="533F0D6E">
      <w:pPr>
        <w:spacing w:line="360" w:lineRule="auto"/>
        <w:jc w:val="both"/>
        <w:rPr>
          <w:rFonts w:hint="eastAsia" w:ascii="宋体" w:hAnsi="宋体" w:cs="宋体"/>
          <w:b/>
          <w:bCs/>
          <w:color w:val="auto"/>
          <w:sz w:val="21"/>
          <w:szCs w:val="21"/>
          <w:highlight w:val="none"/>
        </w:rPr>
      </w:pPr>
    </w:p>
    <w:p w14:paraId="13F260B0">
      <w:pPr>
        <w:spacing w:line="360" w:lineRule="auto"/>
        <w:jc w:val="both"/>
        <w:rPr>
          <w:rFonts w:hint="eastAsia" w:ascii="宋体" w:hAnsi="宋体" w:cs="宋体"/>
          <w:b/>
          <w:bCs/>
          <w:color w:val="auto"/>
          <w:sz w:val="21"/>
          <w:szCs w:val="21"/>
          <w:highlight w:val="none"/>
        </w:rPr>
      </w:pPr>
    </w:p>
    <w:p w14:paraId="75964506">
      <w:pPr>
        <w:spacing w:line="360" w:lineRule="auto"/>
        <w:jc w:val="both"/>
        <w:rPr>
          <w:rFonts w:hint="eastAsia" w:ascii="宋体" w:hAnsi="宋体" w:cs="宋体"/>
          <w:b/>
          <w:bCs/>
          <w:color w:val="auto"/>
          <w:sz w:val="21"/>
          <w:szCs w:val="21"/>
          <w:highlight w:val="none"/>
        </w:rPr>
      </w:pPr>
    </w:p>
    <w:p w14:paraId="4AFBAB41">
      <w:pPr>
        <w:spacing w:line="360" w:lineRule="auto"/>
        <w:jc w:val="both"/>
        <w:rPr>
          <w:rFonts w:hint="eastAsia" w:ascii="宋体" w:hAnsi="宋体" w:cs="宋体"/>
          <w:b/>
          <w:bCs/>
          <w:color w:val="auto"/>
          <w:sz w:val="21"/>
          <w:szCs w:val="21"/>
          <w:highlight w:val="none"/>
        </w:rPr>
      </w:pPr>
    </w:p>
    <w:p w14:paraId="2235A049">
      <w:pPr>
        <w:spacing w:line="360" w:lineRule="auto"/>
        <w:jc w:val="both"/>
        <w:rPr>
          <w:rFonts w:hint="eastAsia" w:ascii="宋体" w:hAnsi="宋体" w:cs="宋体"/>
          <w:b/>
          <w:bCs/>
          <w:color w:val="auto"/>
          <w:sz w:val="21"/>
          <w:szCs w:val="21"/>
          <w:highlight w:val="none"/>
        </w:rPr>
      </w:pPr>
    </w:p>
    <w:p w14:paraId="6FE2B6E9">
      <w:pPr>
        <w:spacing w:line="360" w:lineRule="auto"/>
        <w:jc w:val="both"/>
        <w:rPr>
          <w:rFonts w:hint="eastAsia" w:ascii="宋体" w:hAnsi="宋体" w:cs="宋体"/>
          <w:b/>
          <w:bCs/>
          <w:color w:val="auto"/>
          <w:sz w:val="21"/>
          <w:szCs w:val="21"/>
          <w:highlight w:val="none"/>
        </w:rPr>
      </w:pPr>
    </w:p>
    <w:p w14:paraId="36DB8768">
      <w:pPr>
        <w:pStyle w:val="31"/>
        <w:rPr>
          <w:rFonts w:hint="eastAsia"/>
        </w:rPr>
      </w:pPr>
    </w:p>
    <w:p w14:paraId="083C874C">
      <w:pPr>
        <w:spacing w:line="360" w:lineRule="auto"/>
        <w:jc w:val="both"/>
        <w:rPr>
          <w:rFonts w:hint="eastAsia" w:ascii="宋体" w:hAnsi="宋体" w:cs="宋体"/>
          <w:b/>
          <w:color w:val="auto"/>
          <w:sz w:val="21"/>
          <w:szCs w:val="21"/>
          <w:highlight w:val="none"/>
          <w:lang w:val="zh-CN"/>
        </w:rPr>
      </w:pPr>
      <w:r>
        <w:rPr>
          <w:rFonts w:hint="eastAsia" w:ascii="宋体" w:hAnsi="宋体" w:cs="宋体"/>
          <w:b/>
          <w:bCs/>
          <w:color w:val="auto"/>
          <w:sz w:val="21"/>
          <w:szCs w:val="21"/>
          <w:highlight w:val="none"/>
        </w:rPr>
        <w:t>附件3：</w:t>
      </w:r>
      <w:r>
        <w:rPr>
          <w:rFonts w:hint="eastAsia" w:ascii="宋体" w:hAnsi="宋体" w:cs="宋体"/>
          <w:b/>
          <w:bCs/>
          <w:color w:val="auto"/>
          <w:sz w:val="21"/>
          <w:szCs w:val="21"/>
          <w:highlight w:val="none"/>
          <w:lang w:val="en-US" w:eastAsia="zh-CN"/>
        </w:rPr>
        <w:t xml:space="preserve">                            </w:t>
      </w:r>
      <w:r>
        <w:rPr>
          <w:rFonts w:hint="eastAsia" w:ascii="宋体" w:hAnsi="宋体" w:cs="宋体"/>
          <w:b/>
          <w:color w:val="auto"/>
          <w:sz w:val="21"/>
          <w:szCs w:val="21"/>
          <w:highlight w:val="none"/>
          <w:lang w:val="zh-CN"/>
        </w:rPr>
        <w:t>工程项目廉政合同</w:t>
      </w:r>
      <w:bookmarkEnd w:id="440"/>
      <w:bookmarkEnd w:id="441"/>
      <w:bookmarkEnd w:id="442"/>
      <w:bookmarkEnd w:id="443"/>
      <w:bookmarkEnd w:id="444"/>
    </w:p>
    <w:p w14:paraId="19F04E4F">
      <w:pPr>
        <w:keepNext w:val="0"/>
        <w:keepLines w:val="0"/>
        <w:pageBreakBefore w:val="0"/>
        <w:widowControl/>
        <w:numPr>
          <w:ilvl w:val="0"/>
          <w:numId w:val="0"/>
        </w:numPr>
        <w:kinsoku/>
        <w:wordWrap/>
        <w:overflowPunct/>
        <w:topLinePunct w:val="0"/>
        <w:autoSpaceDE/>
        <w:autoSpaceDN/>
        <w:bidi w:val="0"/>
        <w:adjustRightInd/>
        <w:snapToGrid/>
        <w:spacing w:before="100" w:beforeAutospacing="1" w:after="100" w:afterAutospacing="1" w:line="240" w:lineRule="auto"/>
        <w:ind w:firstLine="420" w:firstLineChars="200"/>
        <w:jc w:val="left"/>
        <w:textAlignment w:val="auto"/>
        <w:outlineLvl w:val="0"/>
        <w:rPr>
          <w:rFonts w:hint="eastAsia" w:ascii="宋体" w:hAnsi="宋体" w:eastAsia="宋体" w:cs="宋体"/>
          <w:color w:val="auto"/>
          <w:kern w:val="0"/>
          <w:sz w:val="21"/>
          <w:szCs w:val="21"/>
          <w:highlight w:val="none"/>
          <w:u w:val="single"/>
          <w:lang w:val="en-US" w:eastAsia="zh-CN"/>
        </w:rPr>
      </w:pPr>
      <w:r>
        <w:rPr>
          <w:rFonts w:hint="eastAsia" w:ascii="宋体" w:hAnsi="宋体" w:eastAsia="宋体" w:cs="宋体"/>
          <w:color w:val="auto"/>
          <w:kern w:val="0"/>
          <w:sz w:val="21"/>
          <w:szCs w:val="21"/>
          <w:highlight w:val="none"/>
          <w:lang w:val="zh-CN"/>
        </w:rPr>
        <w:t>工程项目名称：</w:t>
      </w:r>
      <w:r>
        <w:rPr>
          <w:rFonts w:hint="eastAsia" w:ascii="宋体" w:hAnsi="宋体" w:eastAsia="宋体" w:cs="宋体"/>
          <w:color w:val="auto"/>
          <w:kern w:val="0"/>
          <w:sz w:val="21"/>
          <w:szCs w:val="21"/>
          <w:highlight w:val="none"/>
          <w:u w:val="single"/>
          <w:lang w:val="zh-CN" w:eastAsia="zh-CN"/>
        </w:rPr>
        <w:t>奉化区FH24-02-09a地块建设项目—通信基础设施和无线通信室内覆盖系统建设工程</w:t>
      </w:r>
    </w:p>
    <w:p w14:paraId="4B064B1F">
      <w:pPr>
        <w:keepNext w:val="0"/>
        <w:keepLines w:val="0"/>
        <w:pageBreakBefore w:val="0"/>
        <w:widowControl/>
        <w:numPr>
          <w:ilvl w:val="0"/>
          <w:numId w:val="0"/>
        </w:numPr>
        <w:kinsoku/>
        <w:wordWrap/>
        <w:overflowPunct/>
        <w:topLinePunct w:val="0"/>
        <w:autoSpaceDE/>
        <w:autoSpaceDN/>
        <w:bidi w:val="0"/>
        <w:adjustRightInd/>
        <w:snapToGrid/>
        <w:spacing w:before="100" w:beforeAutospacing="1" w:after="100" w:afterAutospacing="1" w:line="240" w:lineRule="exact"/>
        <w:ind w:firstLine="420" w:firstLineChars="200"/>
        <w:jc w:val="left"/>
        <w:textAlignment w:val="auto"/>
        <w:outlineLvl w:val="0"/>
        <w:rPr>
          <w:rFonts w:hint="eastAsia" w:ascii="宋体" w:hAnsi="宋体" w:cs="宋体"/>
          <w:color w:val="auto"/>
          <w:kern w:val="0"/>
          <w:sz w:val="21"/>
          <w:szCs w:val="21"/>
          <w:highlight w:val="none"/>
          <w:u w:val="single"/>
          <w:lang w:val="zh-CN"/>
        </w:rPr>
      </w:pPr>
      <w:r>
        <w:rPr>
          <w:rFonts w:hint="eastAsia" w:ascii="宋体" w:hAnsi="宋体" w:cs="宋体"/>
          <w:color w:val="auto"/>
          <w:kern w:val="0"/>
          <w:sz w:val="21"/>
          <w:szCs w:val="21"/>
          <w:highlight w:val="none"/>
          <w:lang w:val="zh-CN"/>
        </w:rPr>
        <w:t>发包人名称(以下称甲方)：</w:t>
      </w:r>
      <w:r>
        <w:rPr>
          <w:rFonts w:hint="eastAsia" w:ascii="宋体" w:hAnsi="宋体" w:cs="宋体"/>
          <w:color w:val="auto"/>
          <w:kern w:val="0"/>
          <w:sz w:val="21"/>
          <w:szCs w:val="21"/>
          <w:highlight w:val="none"/>
          <w:u w:val="single"/>
          <w:lang w:val="zh-CN"/>
        </w:rPr>
        <w:t xml:space="preserve">宁波市奉化区惠海地下管线投资有限公司 </w:t>
      </w:r>
    </w:p>
    <w:p w14:paraId="402F0073">
      <w:pPr>
        <w:keepNext w:val="0"/>
        <w:keepLines w:val="0"/>
        <w:pageBreakBefore w:val="0"/>
        <w:widowControl w:val="0"/>
        <w:kinsoku/>
        <w:wordWrap/>
        <w:overflowPunct/>
        <w:topLinePunct w:val="0"/>
        <w:autoSpaceDE w:val="0"/>
        <w:autoSpaceDN w:val="0"/>
        <w:bidi w:val="0"/>
        <w:adjustRightInd w:val="0"/>
        <w:snapToGrid/>
        <w:spacing w:line="240" w:lineRule="exact"/>
        <w:ind w:firstLine="420" w:firstLineChars="200"/>
        <w:jc w:val="left"/>
        <w:textAlignment w:val="auto"/>
        <w:outlineLvl w:val="9"/>
        <w:rPr>
          <w:rFonts w:hint="default" w:ascii="宋体" w:hAnsi="宋体" w:eastAsia="宋体" w:cs="宋体"/>
          <w:color w:val="auto"/>
          <w:kern w:val="0"/>
          <w:sz w:val="21"/>
          <w:szCs w:val="21"/>
          <w:highlight w:val="none"/>
          <w:u w:val="single"/>
          <w:lang w:val="en-US"/>
        </w:rPr>
      </w:pPr>
      <w:r>
        <w:rPr>
          <w:rFonts w:hint="eastAsia" w:ascii="宋体" w:hAnsi="宋体" w:cs="宋体"/>
          <w:color w:val="auto"/>
          <w:kern w:val="0"/>
          <w:sz w:val="21"/>
          <w:szCs w:val="21"/>
          <w:highlight w:val="none"/>
          <w:lang w:val="zh-CN"/>
        </w:rPr>
        <w:t>承包人名称(以下称乙方)：</w:t>
      </w:r>
      <w:r>
        <w:rPr>
          <w:rFonts w:hint="eastAsia" w:ascii="宋体" w:hAnsi="宋体" w:eastAsia="宋体" w:cs="宋体"/>
          <w:color w:val="auto"/>
          <w:sz w:val="21"/>
          <w:szCs w:val="21"/>
          <w:highlight w:val="none"/>
          <w:u w:val="single"/>
          <w:lang w:val="en-US" w:eastAsia="zh-CN"/>
        </w:rPr>
        <w:t xml:space="preserve">                                 </w:t>
      </w:r>
    </w:p>
    <w:p w14:paraId="0318AD00">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为加强工程建设中的廉政建设，规范工程项目承包、发包双方的各项活动，防止发生各种谋取不正当利益的违法违纪行为，保护国家、集体和当事人的合法权益，根据国家有关工程建设的法律法规和廉政建设规定，特订立本廉政合同。    </w:t>
      </w:r>
    </w:p>
    <w:p w14:paraId="6D42934B">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第一条  甲乙双方的权利和义务    </w:t>
      </w:r>
    </w:p>
    <w:p w14:paraId="155DA35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(一)严格遵守国家关于市场准入、勘测设计、施工监理、招标询价、工程施工、设备安装和市场经营活动等有关法律法规和相关政策，以及廉政建设的各项规定。    </w:t>
      </w:r>
    </w:p>
    <w:p w14:paraId="5C336EC6">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(二)严格执行本项目发包承包双方签订的 (施工合同、监理合同、勘测设计合同、采购合同、代理合同等)合同，自觉按合同办事。    </w:t>
      </w:r>
    </w:p>
    <w:p w14:paraId="74252FB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业务活动必须坚持公开、公平、公正、诚信、透明的原则(除法律法规认定的商业秘密和合同文件另有规定者外)，双方人员不得为获取不正当的利益，就工程费用、材料供应、工程量变动、工程验收、工程质量等问题进行私下商谈或达成默契，不得损害国家和集体利益，违反工程建设管理规章制度。    </w:t>
      </w:r>
    </w:p>
    <w:p w14:paraId="595FE61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建立健全廉政制度，开展廉政教育，设立廉政告示牌，公布举报电话，监督违法违纪行为。发现对方在业务活动中有违反本合同行为的，有及时提醒对方纠正的权利和义务。情节严重的，有向有关部门举报、建议给予处理并要求告知处理结果的权利。    </w:t>
      </w:r>
    </w:p>
    <w:p w14:paraId="7BCE2A3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第二条  甲方的责任    </w:t>
      </w:r>
    </w:p>
    <w:p w14:paraId="5D397FD5">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甲方的负责人和从事该工程项目的工作人员，在工程项目的事前、事中、事后应遵守以下规定：    </w:t>
      </w:r>
    </w:p>
    <w:p w14:paraId="03CA7212">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(一)不以任何理由向乙方索要或接受回扣、礼金、有价证券、贵重物品和好处费、感谢费等；不在乙方报销应由甲方或个人支付的费用。    </w:t>
      </w:r>
    </w:p>
    <w:p w14:paraId="43996DCC">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(二)不参加乙方安排的宴请及其他消费活动；不接受乙方提供的通讯工具、交通工具、高档办公用品等。    </w:t>
      </w:r>
    </w:p>
    <w:p w14:paraId="045AE1F1">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(三)不要求、暗示和接受乙方为个人装修住房、为配偶子女的工作安排以及本人或亲属旅游、出国(境)等提供方便。    </w:t>
      </w:r>
    </w:p>
    <w:p w14:paraId="43BF4CE8">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(四)配偶、子女不得从事与乙方承包工程有关的设备材料供应、工程分包、劳务等经济活动。    </w:t>
      </w:r>
    </w:p>
    <w:p w14:paraId="416665A9">
      <w:pPr>
        <w:keepNext w:val="0"/>
        <w:keepLines w:val="0"/>
        <w:pageBreakBefore w:val="0"/>
        <w:widowControl w:val="0"/>
        <w:kinsoku/>
        <w:wordWrap/>
        <w:overflowPunct/>
        <w:topLinePunct w:val="0"/>
        <w:autoSpaceDE w:val="0"/>
        <w:autoSpaceDN w:val="0"/>
        <w:bidi w:val="0"/>
        <w:adjustRightInd w:val="0"/>
        <w:snapToGrid/>
        <w:spacing w:line="380" w:lineRule="exact"/>
        <w:ind w:firstLine="315" w:firstLineChars="15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（五)不以任何理由向乙方推荐分包人或要求乙方购买项目合同规定以外的材料、设备和服务等。</w:t>
      </w:r>
    </w:p>
    <w:p w14:paraId="728F6CE4">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第三条  乙方的责任</w:t>
      </w:r>
    </w:p>
    <w:p w14:paraId="0F3F424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乙方应与甲方保持正常的业务交往，按照有关法律法规和程序开展业务活动，严格执行工程建设的有关方针、政策，尤其是有关强制性标准和规范，并遵守以下规定：    </w:t>
      </w:r>
    </w:p>
    <w:p w14:paraId="3E8E90BF">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(一)不以任何理由向甲方及其工作人员行贿或赠送礼金、有价证券、贵重物品。    </w:t>
      </w:r>
    </w:p>
    <w:p w14:paraId="217495B9">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(二)不以任何名义为甲方及其工作人员报销应由对方支付的费用。    </w:t>
      </w:r>
    </w:p>
    <w:p w14:paraId="1B3F628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(三)不以任何理由宴请甲方工作人员或安排其他消费活动。    </w:t>
      </w:r>
    </w:p>
    <w:p w14:paraId="153CEF07">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(四)不为甲方和工作人员购置或提供通讯工具、交通工具、高档办公用品和装修住房等。 </w:t>
      </w:r>
    </w:p>
    <w:p w14:paraId="775AA679">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第四条  违约责任 </w:t>
      </w:r>
    </w:p>
    <w:p w14:paraId="66365398">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甲方工作人员有违反本合同第一、二条责任行为的，按照管理权限，依据有关规定予以处理；涉嫌犯罪的，移交司法机关追究刑事责任；给乙方造成经济损失的，应予赔偿。符合不良行为记录、公示规定的，进行不良行为记录、公示。    </w:t>
      </w:r>
    </w:p>
    <w:p w14:paraId="522ED4FD">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乙方工作人员有违反本合同第一、二条责任行为的，按照管理权限，依据有关规定予以处理；涉嫌犯罪的，移交司法机关追究刑事责任；给甲方造成经济损失的，应予赔偿。符合不良行为记录、公示规定的，进行不良行为记录、公示。    </w:t>
      </w:r>
    </w:p>
    <w:p w14:paraId="5897D4F0">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(三)乙方如将部分辅助项目分包的，乙方有责任向分包人交待本合同的具体内容，并严格执行本合同之规定，分包人如有违反上述责任行为的，乙方将承担连带责任。    </w:t>
      </w:r>
    </w:p>
    <w:p w14:paraId="20705873">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第五条  双方约定：在自觉履行合同的同时，由甲、乙双方的监督单位负责对本合同履行情况进行监督检查。</w:t>
      </w:r>
    </w:p>
    <w:p w14:paraId="3BD4DB17">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第六条  本合同作为</w:t>
      </w:r>
      <w:r>
        <w:rPr>
          <w:rFonts w:hint="eastAsia" w:ascii="宋体" w:hAnsi="宋体" w:eastAsia="宋体" w:cs="宋体"/>
          <w:color w:val="auto"/>
          <w:kern w:val="0"/>
          <w:sz w:val="21"/>
          <w:szCs w:val="21"/>
          <w:highlight w:val="none"/>
          <w:u w:val="single"/>
          <w:lang w:val="zh-CN" w:eastAsia="zh-CN"/>
        </w:rPr>
        <w:t>奉化区FH24-02-09a地块建设项目—通信基础设施和无线通信室内覆盖系统建设工程</w:t>
      </w:r>
      <w:r>
        <w:rPr>
          <w:rFonts w:hint="eastAsia" w:ascii="宋体" w:hAnsi="宋体" w:eastAsia="宋体" w:cs="宋体"/>
          <w:color w:val="auto"/>
          <w:kern w:val="0"/>
          <w:sz w:val="21"/>
          <w:szCs w:val="21"/>
          <w:highlight w:val="none"/>
          <w:lang w:val="zh-CN"/>
        </w:rPr>
        <w:t>签订工程施工合同的附件，与主合同具有同等法律效力。</w:t>
      </w:r>
    </w:p>
    <w:p w14:paraId="277F291F">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甲乙双方签署后立即生效。</w:t>
      </w:r>
    </w:p>
    <w:p w14:paraId="769BED12">
      <w:pPr>
        <w:keepNext w:val="0"/>
        <w:keepLines w:val="0"/>
        <w:pageBreakBefore w:val="0"/>
        <w:widowControl w:val="0"/>
        <w:kinsoku/>
        <w:wordWrap/>
        <w:overflowPunct/>
        <w:topLinePunct w:val="0"/>
        <w:autoSpaceDE w:val="0"/>
        <w:autoSpaceDN w:val="0"/>
        <w:bidi w:val="0"/>
        <w:adjustRightInd w:val="0"/>
        <w:snapToGrid/>
        <w:spacing w:line="380" w:lineRule="exact"/>
        <w:ind w:firstLine="420" w:firstLineChars="200"/>
        <w:jc w:val="left"/>
        <w:textAlignment w:val="auto"/>
        <w:outlineLvl w:val="9"/>
        <w:rPr>
          <w:rFonts w:hint="eastAsia" w:ascii="宋体" w:hAnsi="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xml:space="preserve">第七条  本合同的有效期为双方签署之日起至该工程项目竣工验收合格时止。  </w:t>
      </w:r>
      <w:r>
        <w:rPr>
          <w:rFonts w:hint="eastAsia" w:ascii="宋体" w:hAnsi="宋体" w:cs="宋体"/>
          <w:color w:val="auto"/>
          <w:kern w:val="0"/>
          <w:sz w:val="21"/>
          <w:szCs w:val="21"/>
          <w:highlight w:val="none"/>
          <w:lang w:val="zh-CN"/>
        </w:rPr>
        <w:t xml:space="preserve">  </w:t>
      </w:r>
    </w:p>
    <w:p w14:paraId="303DAF4F">
      <w:pPr>
        <w:keepNext w:val="0"/>
        <w:keepLines w:val="0"/>
        <w:pageBreakBefore w:val="0"/>
        <w:widowControl w:val="0"/>
        <w:kinsoku/>
        <w:wordWrap/>
        <w:overflowPunct/>
        <w:topLinePunct w:val="0"/>
        <w:bidi w:val="0"/>
        <w:snapToGrid/>
        <w:spacing w:line="380" w:lineRule="exact"/>
        <w:ind w:firstLine="420" w:firstLineChars="200"/>
        <w:textAlignment w:val="auto"/>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 xml:space="preserve">第八条  </w:t>
      </w:r>
      <w:r>
        <w:rPr>
          <w:rFonts w:hint="eastAsia" w:ascii="宋体" w:hAnsi="宋体"/>
          <w:color w:val="auto"/>
          <w:sz w:val="21"/>
          <w:szCs w:val="21"/>
          <w:highlight w:val="none"/>
        </w:rPr>
        <w:t>本合同一式</w:t>
      </w:r>
      <w:r>
        <w:rPr>
          <w:rFonts w:hint="eastAsia" w:ascii="宋体" w:hAnsi="宋体"/>
          <w:color w:val="auto"/>
          <w:sz w:val="21"/>
          <w:szCs w:val="21"/>
          <w:highlight w:val="none"/>
          <w:lang w:eastAsia="zh-CN"/>
        </w:rPr>
        <w:t>陆</w:t>
      </w:r>
      <w:r>
        <w:rPr>
          <w:rFonts w:hint="eastAsia" w:ascii="宋体" w:hAnsi="宋体"/>
          <w:color w:val="auto"/>
          <w:sz w:val="21"/>
          <w:szCs w:val="21"/>
          <w:highlight w:val="none"/>
        </w:rPr>
        <w:t>份，甲、乙双方各执</w:t>
      </w:r>
      <w:r>
        <w:rPr>
          <w:rFonts w:hint="eastAsia" w:ascii="宋体" w:hAnsi="宋体"/>
          <w:color w:val="auto"/>
          <w:sz w:val="21"/>
          <w:szCs w:val="21"/>
          <w:highlight w:val="none"/>
          <w:lang w:eastAsia="zh-CN"/>
        </w:rPr>
        <w:t>贰</w:t>
      </w:r>
      <w:r>
        <w:rPr>
          <w:rFonts w:hint="eastAsia" w:ascii="宋体" w:hAnsi="宋体"/>
          <w:color w:val="auto"/>
          <w:sz w:val="21"/>
          <w:szCs w:val="21"/>
          <w:highlight w:val="none"/>
        </w:rPr>
        <w:t>份，镇（街道）公共资源交易分中心</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份，归档</w:t>
      </w:r>
      <w:r>
        <w:rPr>
          <w:rFonts w:hint="eastAsia" w:ascii="宋体" w:hAnsi="宋体"/>
          <w:color w:val="auto"/>
          <w:sz w:val="21"/>
          <w:szCs w:val="21"/>
          <w:highlight w:val="none"/>
          <w:lang w:eastAsia="zh-CN"/>
        </w:rPr>
        <w:t>壹</w:t>
      </w:r>
      <w:r>
        <w:rPr>
          <w:rFonts w:hint="eastAsia" w:ascii="宋体" w:hAnsi="宋体"/>
          <w:color w:val="auto"/>
          <w:sz w:val="21"/>
          <w:szCs w:val="21"/>
          <w:highlight w:val="none"/>
        </w:rPr>
        <w:t>份。</w:t>
      </w:r>
    </w:p>
    <w:p w14:paraId="7906EDB0">
      <w:pPr>
        <w:autoSpaceDE w:val="0"/>
        <w:autoSpaceDN w:val="0"/>
        <w:adjustRightInd w:val="0"/>
        <w:spacing w:line="38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甲方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0"/>
          <w:sz w:val="21"/>
          <w:szCs w:val="21"/>
          <w:highlight w:val="none"/>
          <w:lang w:val="zh-CN"/>
        </w:rPr>
        <w:tab/>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en-US" w:eastAsia="zh-CN"/>
        </w:rPr>
        <w:t xml:space="preserve">   </w:t>
      </w:r>
      <w:r>
        <w:rPr>
          <w:rFonts w:hint="eastAsia" w:ascii="宋体" w:hAnsi="宋体" w:cs="宋体"/>
          <w:color w:val="auto"/>
          <w:kern w:val="0"/>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乙方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盖章</w:t>
      </w:r>
      <w:r>
        <w:rPr>
          <w:rFonts w:hint="eastAsia" w:ascii="宋体" w:hAnsi="宋体" w:eastAsia="宋体" w:cs="宋体"/>
          <w:color w:val="auto"/>
          <w:sz w:val="21"/>
          <w:szCs w:val="21"/>
          <w:highlight w:val="none"/>
        </w:rPr>
        <w:t>)：</w:t>
      </w:r>
    </w:p>
    <w:p w14:paraId="16CCB307">
      <w:pPr>
        <w:tabs>
          <w:tab w:val="left" w:pos="4962"/>
        </w:tabs>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法定代表人或其委托代理人：</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法定代表人或其委托代理人：</w:t>
      </w:r>
    </w:p>
    <w:p w14:paraId="50C570E1">
      <w:pPr>
        <w:autoSpaceDE w:val="0"/>
        <w:autoSpaceDN w:val="0"/>
        <w:adjustRightInd w:val="0"/>
        <w:spacing w:line="38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地址</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宁波市奉化区岳林街道长汀东路558号</w:t>
      </w:r>
      <w:r>
        <w:rPr>
          <w:rFonts w:hint="eastAsia" w:ascii="宋体" w:hAnsi="宋体" w:eastAsia="宋体" w:cs="宋体"/>
          <w:color w:val="auto"/>
          <w:kern w:val="0"/>
          <w:sz w:val="21"/>
          <w:szCs w:val="21"/>
          <w:highlight w:val="none"/>
          <w:lang w:val="en-US" w:eastAsia="zh-CN"/>
        </w:rPr>
        <w:t>地址</w:t>
      </w:r>
      <w:r>
        <w:rPr>
          <w:rFonts w:hint="eastAsia" w:ascii="宋体" w:hAnsi="宋体" w:eastAsia="宋体" w:cs="宋体"/>
          <w:color w:val="auto"/>
          <w:kern w:val="0"/>
          <w:sz w:val="21"/>
          <w:szCs w:val="21"/>
          <w:highlight w:val="none"/>
        </w:rPr>
        <w:t>：</w:t>
      </w:r>
    </w:p>
    <w:p w14:paraId="144BB556">
      <w:pPr>
        <w:spacing w:line="360" w:lineRule="auto"/>
        <w:ind w:firstLine="48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（城开大厦3号楼北幢9层</w:t>
      </w:r>
      <w:r>
        <w:rPr>
          <w:rFonts w:hint="eastAsia" w:ascii="宋体" w:hAnsi="宋体" w:cs="宋体"/>
          <w:color w:val="auto"/>
          <w:sz w:val="21"/>
          <w:szCs w:val="21"/>
          <w:highlight w:val="none"/>
          <w:lang w:eastAsia="zh-CN"/>
        </w:rPr>
        <w:t>）</w:t>
      </w:r>
    </w:p>
    <w:p w14:paraId="610C6CD4">
      <w:pPr>
        <w:tabs>
          <w:tab w:val="left" w:pos="4962"/>
        </w:tabs>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电话：</w:t>
      </w:r>
      <w:r>
        <w:rPr>
          <w:rFonts w:hint="eastAsia" w:ascii="宋体" w:hAnsi="宋体" w:cs="宋体"/>
          <w:color w:val="auto"/>
          <w:sz w:val="21"/>
          <w:szCs w:val="21"/>
          <w:highlight w:val="none"/>
        </w:rPr>
        <w:tab/>
      </w:r>
      <w:r>
        <w:rPr>
          <w:rFonts w:hint="eastAsia" w:ascii="宋体" w:hAnsi="宋体" w:cs="宋体"/>
          <w:color w:val="auto"/>
          <w:sz w:val="21"/>
          <w:szCs w:val="21"/>
          <w:highlight w:val="none"/>
        </w:rPr>
        <w:t>电话：</w:t>
      </w:r>
    </w:p>
    <w:p w14:paraId="5668339D">
      <w:pPr>
        <w:tabs>
          <w:tab w:val="left" w:pos="4962"/>
        </w:tabs>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2025</w:t>
      </w:r>
      <w:r>
        <w:rPr>
          <w:rFonts w:hint="eastAsia" w:ascii="宋体" w:hAnsi="宋体" w:cs="宋体"/>
          <w:color w:val="auto"/>
          <w:sz w:val="21"/>
          <w:szCs w:val="21"/>
          <w:highlight w:val="none"/>
        </w:rPr>
        <w:t>年 月</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日</w:t>
      </w:r>
      <w:r>
        <w:rPr>
          <w:rFonts w:hint="eastAsia" w:ascii="宋体" w:hAnsi="宋体" w:cs="宋体"/>
          <w:color w:val="auto"/>
          <w:sz w:val="21"/>
          <w:szCs w:val="21"/>
          <w:highlight w:val="none"/>
        </w:rPr>
        <w:tab/>
      </w:r>
      <w:r>
        <w:rPr>
          <w:rFonts w:hint="eastAsia" w:ascii="宋体" w:hAnsi="宋体" w:cs="宋体"/>
          <w:color w:val="auto"/>
          <w:sz w:val="21"/>
          <w:szCs w:val="21"/>
          <w:highlight w:val="none"/>
          <w:lang w:val="en-US" w:eastAsia="zh-CN"/>
        </w:rPr>
        <w:t>2025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 日</w:t>
      </w:r>
    </w:p>
    <w:p w14:paraId="6BF384C0">
      <w:pPr>
        <w:spacing w:line="360" w:lineRule="auto"/>
        <w:rPr>
          <w:rFonts w:hint="eastAsia" w:ascii="宋体" w:hAnsi="宋体" w:cs="宋体"/>
          <w:b/>
          <w:color w:val="auto"/>
          <w:sz w:val="21"/>
          <w:szCs w:val="21"/>
          <w:highlight w:val="none"/>
        </w:rPr>
      </w:pPr>
    </w:p>
    <w:p w14:paraId="4ADA3636">
      <w:pPr>
        <w:spacing w:line="360" w:lineRule="auto"/>
        <w:rPr>
          <w:rFonts w:hint="eastAsia" w:ascii="宋体" w:hAnsi="宋体" w:cs="宋体"/>
          <w:b/>
          <w:color w:val="auto"/>
          <w:sz w:val="21"/>
          <w:szCs w:val="21"/>
          <w:highlight w:val="none"/>
        </w:rPr>
      </w:pPr>
    </w:p>
    <w:p w14:paraId="56C0886F">
      <w:pPr>
        <w:spacing w:line="360" w:lineRule="auto"/>
        <w:rPr>
          <w:rFonts w:hint="eastAsia" w:ascii="宋体" w:hAnsi="宋体" w:cs="宋体"/>
          <w:b/>
          <w:color w:val="auto"/>
          <w:sz w:val="21"/>
          <w:szCs w:val="21"/>
          <w:highlight w:val="none"/>
        </w:rPr>
      </w:pPr>
    </w:p>
    <w:p w14:paraId="39A558C8">
      <w:pPr>
        <w:spacing w:line="360" w:lineRule="auto"/>
        <w:rPr>
          <w:rFonts w:hint="eastAsia" w:ascii="宋体" w:hAnsi="宋体" w:cs="宋体"/>
          <w:b/>
          <w:color w:val="auto"/>
          <w:sz w:val="21"/>
          <w:szCs w:val="21"/>
          <w:highlight w:val="none"/>
        </w:rPr>
      </w:pPr>
    </w:p>
    <w:p w14:paraId="6A675A3C">
      <w:pPr>
        <w:spacing w:line="360" w:lineRule="auto"/>
        <w:rPr>
          <w:rFonts w:hint="eastAsia" w:ascii="宋体" w:hAnsi="宋体" w:cs="宋体"/>
          <w:b/>
          <w:color w:val="auto"/>
          <w:sz w:val="21"/>
          <w:szCs w:val="21"/>
          <w:highlight w:val="none"/>
        </w:rPr>
      </w:pPr>
    </w:p>
    <w:p w14:paraId="0D06A927">
      <w:pPr>
        <w:spacing w:line="360" w:lineRule="auto"/>
        <w:rPr>
          <w:rFonts w:hint="eastAsia" w:ascii="宋体" w:hAnsi="宋体" w:cs="宋体"/>
          <w:b/>
          <w:color w:val="auto"/>
          <w:sz w:val="21"/>
          <w:szCs w:val="21"/>
          <w:highlight w:val="none"/>
        </w:rPr>
      </w:pPr>
    </w:p>
    <w:p w14:paraId="064327A7">
      <w:pPr>
        <w:spacing w:line="360" w:lineRule="auto"/>
        <w:rPr>
          <w:rFonts w:hint="eastAsia" w:ascii="宋体" w:hAnsi="宋体" w:cs="宋体"/>
          <w:b/>
          <w:color w:val="auto"/>
          <w:sz w:val="21"/>
          <w:szCs w:val="21"/>
          <w:highlight w:val="none"/>
        </w:rPr>
      </w:pPr>
    </w:p>
    <w:p w14:paraId="64946CF8">
      <w:pPr>
        <w:spacing w:line="360" w:lineRule="auto"/>
        <w:rPr>
          <w:rFonts w:hint="eastAsia" w:ascii="宋体" w:hAnsi="宋体" w:cs="宋体"/>
          <w:b/>
          <w:color w:val="auto"/>
          <w:sz w:val="21"/>
          <w:szCs w:val="21"/>
          <w:highlight w:val="none"/>
        </w:rPr>
      </w:pPr>
    </w:p>
    <w:p w14:paraId="7ED79095">
      <w:pPr>
        <w:spacing w:line="360" w:lineRule="auto"/>
        <w:rPr>
          <w:rFonts w:hint="eastAsia" w:ascii="宋体" w:hAnsi="宋体" w:cs="宋体"/>
          <w:b/>
          <w:color w:val="auto"/>
          <w:sz w:val="21"/>
          <w:szCs w:val="21"/>
          <w:highlight w:val="none"/>
        </w:rPr>
      </w:pPr>
    </w:p>
    <w:p w14:paraId="45B82FF0">
      <w:pPr>
        <w:spacing w:line="360" w:lineRule="auto"/>
        <w:rPr>
          <w:rFonts w:hint="eastAsia" w:ascii="宋体" w:hAnsi="宋体" w:cs="宋体"/>
          <w:b/>
          <w:color w:val="auto"/>
          <w:sz w:val="21"/>
          <w:szCs w:val="21"/>
          <w:highlight w:val="none"/>
        </w:rPr>
      </w:pPr>
    </w:p>
    <w:p w14:paraId="2C380CAD">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45" w:name="_Toc267261698"/>
      <w:bookmarkStart w:id="446" w:name="_Toc296503227"/>
      <w:bookmarkStart w:id="447" w:name="_Toc296944566"/>
      <w:bookmarkStart w:id="448" w:name="_Toc296891055"/>
      <w:bookmarkStart w:id="449" w:name="_Toc296346728"/>
      <w:bookmarkStart w:id="450" w:name="_Toc296347226"/>
      <w:bookmarkStart w:id="451" w:name="_Toc296891267"/>
      <w:r>
        <w:rPr>
          <w:rFonts w:hint="eastAsia" w:ascii="宋体" w:hAnsi="宋体" w:cs="宋体"/>
          <w:b/>
          <w:color w:val="auto"/>
          <w:sz w:val="21"/>
          <w:szCs w:val="21"/>
          <w:highlight w:val="none"/>
        </w:rPr>
        <w:t>件4：</w:t>
      </w:r>
    </w:p>
    <w:bookmarkEnd w:id="445"/>
    <w:bookmarkEnd w:id="446"/>
    <w:bookmarkEnd w:id="447"/>
    <w:bookmarkEnd w:id="448"/>
    <w:bookmarkEnd w:id="449"/>
    <w:bookmarkEnd w:id="450"/>
    <w:bookmarkEnd w:id="451"/>
    <w:p w14:paraId="0D99D552">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承包人用于本工程施工的机械设备表</w:t>
      </w:r>
    </w:p>
    <w:tbl>
      <w:tblPr>
        <w:tblStyle w:val="24"/>
        <w:tblW w:w="88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81"/>
        <w:gridCol w:w="1549"/>
        <w:gridCol w:w="1001"/>
        <w:gridCol w:w="718"/>
        <w:gridCol w:w="794"/>
        <w:gridCol w:w="920"/>
        <w:gridCol w:w="1334"/>
        <w:gridCol w:w="920"/>
        <w:gridCol w:w="828"/>
      </w:tblGrid>
      <w:tr w14:paraId="081893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781" w:type="dxa"/>
            <w:tcBorders>
              <w:top w:val="single" w:color="auto" w:sz="12" w:space="0"/>
              <w:bottom w:val="double" w:color="auto" w:sz="6" w:space="0"/>
            </w:tcBorders>
            <w:noWrap w:val="0"/>
            <w:vAlign w:val="center"/>
          </w:tcPr>
          <w:p w14:paraId="19FD84DA">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序号</w:t>
            </w:r>
          </w:p>
        </w:tc>
        <w:tc>
          <w:tcPr>
            <w:tcW w:w="1549" w:type="dxa"/>
            <w:tcBorders>
              <w:top w:val="single" w:color="auto" w:sz="12" w:space="0"/>
              <w:bottom w:val="double" w:color="auto" w:sz="6" w:space="0"/>
            </w:tcBorders>
            <w:noWrap w:val="0"/>
            <w:vAlign w:val="center"/>
          </w:tcPr>
          <w:p w14:paraId="27B8258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机械或</w:t>
            </w:r>
          </w:p>
          <w:p w14:paraId="159BE83C">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设备名称</w:t>
            </w:r>
          </w:p>
        </w:tc>
        <w:tc>
          <w:tcPr>
            <w:tcW w:w="1001" w:type="dxa"/>
            <w:tcBorders>
              <w:top w:val="single" w:color="auto" w:sz="12" w:space="0"/>
              <w:bottom w:val="double" w:color="auto" w:sz="6" w:space="0"/>
            </w:tcBorders>
            <w:noWrap w:val="0"/>
            <w:vAlign w:val="center"/>
          </w:tcPr>
          <w:p w14:paraId="7D7AADFC">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规格</w:t>
            </w:r>
          </w:p>
          <w:p w14:paraId="39367BC1">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型号</w:t>
            </w:r>
          </w:p>
        </w:tc>
        <w:tc>
          <w:tcPr>
            <w:tcW w:w="718" w:type="dxa"/>
            <w:tcBorders>
              <w:top w:val="single" w:color="auto" w:sz="12" w:space="0"/>
              <w:bottom w:val="double" w:color="auto" w:sz="6" w:space="0"/>
            </w:tcBorders>
            <w:noWrap w:val="0"/>
            <w:vAlign w:val="center"/>
          </w:tcPr>
          <w:p w14:paraId="4230E9DA">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数量</w:t>
            </w:r>
          </w:p>
        </w:tc>
        <w:tc>
          <w:tcPr>
            <w:tcW w:w="794" w:type="dxa"/>
            <w:tcBorders>
              <w:top w:val="single" w:color="auto" w:sz="12" w:space="0"/>
              <w:bottom w:val="double" w:color="auto" w:sz="6" w:space="0"/>
            </w:tcBorders>
            <w:noWrap w:val="0"/>
            <w:vAlign w:val="center"/>
          </w:tcPr>
          <w:p w14:paraId="3D1F28C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产地</w:t>
            </w:r>
          </w:p>
        </w:tc>
        <w:tc>
          <w:tcPr>
            <w:tcW w:w="920" w:type="dxa"/>
            <w:tcBorders>
              <w:top w:val="single" w:color="auto" w:sz="12" w:space="0"/>
              <w:bottom w:val="double" w:color="auto" w:sz="6" w:space="0"/>
            </w:tcBorders>
            <w:noWrap w:val="0"/>
            <w:vAlign w:val="center"/>
          </w:tcPr>
          <w:p w14:paraId="5C6B095D">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制造</w:t>
            </w:r>
          </w:p>
          <w:p w14:paraId="3CCB10BE">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年份</w:t>
            </w:r>
          </w:p>
        </w:tc>
        <w:tc>
          <w:tcPr>
            <w:tcW w:w="1334" w:type="dxa"/>
            <w:tcBorders>
              <w:top w:val="single" w:color="auto" w:sz="12" w:space="0"/>
              <w:bottom w:val="double" w:color="auto" w:sz="6" w:space="0"/>
            </w:tcBorders>
            <w:noWrap w:val="0"/>
            <w:vAlign w:val="center"/>
          </w:tcPr>
          <w:p w14:paraId="3CC94F7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额定功率(kW)</w:t>
            </w:r>
          </w:p>
        </w:tc>
        <w:tc>
          <w:tcPr>
            <w:tcW w:w="920" w:type="dxa"/>
            <w:tcBorders>
              <w:top w:val="single" w:color="auto" w:sz="12" w:space="0"/>
              <w:bottom w:val="double" w:color="auto" w:sz="6" w:space="0"/>
            </w:tcBorders>
            <w:noWrap w:val="0"/>
            <w:vAlign w:val="center"/>
          </w:tcPr>
          <w:p w14:paraId="402D36C8">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生产</w:t>
            </w:r>
          </w:p>
          <w:p w14:paraId="4DFBD8F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能力</w:t>
            </w:r>
          </w:p>
        </w:tc>
        <w:tc>
          <w:tcPr>
            <w:tcW w:w="828" w:type="dxa"/>
            <w:tcBorders>
              <w:top w:val="single" w:color="auto" w:sz="12" w:space="0"/>
              <w:bottom w:val="double" w:color="auto" w:sz="6" w:space="0"/>
            </w:tcBorders>
            <w:noWrap w:val="0"/>
            <w:vAlign w:val="center"/>
          </w:tcPr>
          <w:p w14:paraId="7661EAC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备注</w:t>
            </w:r>
          </w:p>
        </w:tc>
      </w:tr>
      <w:tr w14:paraId="28898B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tcBorders>
              <w:top w:val="double" w:color="auto" w:sz="6" w:space="0"/>
              <w:bottom w:val="single" w:color="auto" w:sz="6" w:space="0"/>
            </w:tcBorders>
            <w:noWrap w:val="0"/>
            <w:vAlign w:val="center"/>
          </w:tcPr>
          <w:p w14:paraId="27CC24C4">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w:t>
            </w:r>
          </w:p>
        </w:tc>
        <w:tc>
          <w:tcPr>
            <w:tcW w:w="1549" w:type="dxa"/>
            <w:tcBorders>
              <w:top w:val="double" w:color="auto" w:sz="6" w:space="0"/>
              <w:bottom w:val="single" w:color="auto" w:sz="6" w:space="0"/>
            </w:tcBorders>
            <w:noWrap w:val="0"/>
            <w:vAlign w:val="center"/>
          </w:tcPr>
          <w:p w14:paraId="5C09F580">
            <w:pPr>
              <w:jc w:val="center"/>
              <w:rPr>
                <w:rFonts w:hint="eastAsia" w:ascii="仿宋_GB2312" w:eastAsia="仿宋_GB2312"/>
                <w:color w:val="auto"/>
                <w:kern w:val="2"/>
                <w:sz w:val="21"/>
                <w:szCs w:val="21"/>
                <w:highlight w:val="none"/>
                <w:lang w:val="en-US" w:eastAsia="zh-CN" w:bidi="ar-SA"/>
              </w:rPr>
            </w:pPr>
          </w:p>
        </w:tc>
        <w:tc>
          <w:tcPr>
            <w:tcW w:w="1001" w:type="dxa"/>
            <w:tcBorders>
              <w:top w:val="double" w:color="auto" w:sz="6" w:space="0"/>
              <w:bottom w:val="single" w:color="auto" w:sz="6" w:space="0"/>
            </w:tcBorders>
            <w:noWrap w:val="0"/>
            <w:vAlign w:val="center"/>
          </w:tcPr>
          <w:p w14:paraId="40FEC9B5">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tcBorders>
              <w:top w:val="double" w:color="auto" w:sz="6" w:space="0"/>
              <w:bottom w:val="single" w:color="auto" w:sz="6" w:space="0"/>
            </w:tcBorders>
            <w:noWrap w:val="0"/>
            <w:vAlign w:val="bottom"/>
          </w:tcPr>
          <w:p w14:paraId="0A029C43">
            <w:pPr>
              <w:jc w:val="center"/>
              <w:rPr>
                <w:rFonts w:hint="eastAsia" w:ascii="仿宋_GB2312" w:eastAsia="仿宋_GB2312"/>
                <w:color w:val="auto"/>
                <w:kern w:val="2"/>
                <w:sz w:val="21"/>
                <w:szCs w:val="21"/>
                <w:highlight w:val="none"/>
                <w:lang w:val="en-US" w:eastAsia="zh-CN" w:bidi="ar-SA"/>
              </w:rPr>
            </w:pPr>
          </w:p>
        </w:tc>
        <w:tc>
          <w:tcPr>
            <w:tcW w:w="794" w:type="dxa"/>
            <w:tcBorders>
              <w:top w:val="double" w:color="auto" w:sz="6" w:space="0"/>
              <w:bottom w:val="single" w:color="auto" w:sz="6" w:space="0"/>
            </w:tcBorders>
            <w:noWrap w:val="0"/>
            <w:vAlign w:val="center"/>
          </w:tcPr>
          <w:p w14:paraId="2BD71394">
            <w:pPr>
              <w:widowControl/>
              <w:jc w:val="center"/>
              <w:rPr>
                <w:rFonts w:hint="eastAsia" w:ascii="仿宋_GB2312" w:hAnsi="宋体" w:eastAsia="仿宋_GB2312" w:cs="宋体"/>
                <w:color w:val="auto"/>
                <w:kern w:val="0"/>
                <w:sz w:val="21"/>
                <w:szCs w:val="21"/>
                <w:highlight w:val="none"/>
                <w:lang w:val="en-US" w:eastAsia="zh-CN" w:bidi="ar-SA"/>
              </w:rPr>
            </w:pPr>
          </w:p>
        </w:tc>
        <w:tc>
          <w:tcPr>
            <w:tcW w:w="920" w:type="dxa"/>
            <w:tcBorders>
              <w:top w:val="double" w:color="auto" w:sz="6" w:space="0"/>
              <w:bottom w:val="single" w:color="auto" w:sz="6" w:space="0"/>
            </w:tcBorders>
            <w:noWrap w:val="0"/>
            <w:vAlign w:val="center"/>
          </w:tcPr>
          <w:p w14:paraId="165F8A49">
            <w:pPr>
              <w:jc w:val="center"/>
              <w:rPr>
                <w:rFonts w:hint="eastAsia" w:ascii="仿宋_GB2312" w:hAnsi="宋体" w:eastAsia="仿宋_GB2312"/>
                <w:color w:val="auto"/>
                <w:kern w:val="2"/>
                <w:sz w:val="21"/>
                <w:szCs w:val="21"/>
                <w:highlight w:val="none"/>
                <w:lang w:val="en-US" w:eastAsia="zh-CN" w:bidi="ar-SA"/>
              </w:rPr>
            </w:pPr>
          </w:p>
        </w:tc>
        <w:tc>
          <w:tcPr>
            <w:tcW w:w="1334" w:type="dxa"/>
            <w:tcBorders>
              <w:top w:val="double" w:color="auto" w:sz="6" w:space="0"/>
              <w:bottom w:val="single" w:color="auto" w:sz="6" w:space="0"/>
            </w:tcBorders>
            <w:noWrap w:val="0"/>
            <w:vAlign w:val="bottom"/>
          </w:tcPr>
          <w:p w14:paraId="3A504BD9">
            <w:pPr>
              <w:jc w:val="center"/>
              <w:rPr>
                <w:rFonts w:hint="eastAsia" w:ascii="仿宋_GB2312" w:eastAsia="仿宋_GB2312"/>
                <w:color w:val="auto"/>
                <w:kern w:val="2"/>
                <w:sz w:val="21"/>
                <w:szCs w:val="21"/>
                <w:highlight w:val="none"/>
                <w:lang w:val="en-US" w:eastAsia="zh-CN" w:bidi="ar-SA"/>
              </w:rPr>
            </w:pPr>
          </w:p>
        </w:tc>
        <w:tc>
          <w:tcPr>
            <w:tcW w:w="920" w:type="dxa"/>
            <w:tcBorders>
              <w:top w:val="double" w:color="auto" w:sz="6" w:space="0"/>
              <w:bottom w:val="single" w:color="auto" w:sz="6" w:space="0"/>
            </w:tcBorders>
            <w:noWrap w:val="0"/>
            <w:vAlign w:val="center"/>
          </w:tcPr>
          <w:p w14:paraId="07BA944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tcBorders>
              <w:top w:val="double" w:color="auto" w:sz="6" w:space="0"/>
              <w:bottom w:val="single" w:color="auto" w:sz="6" w:space="0"/>
            </w:tcBorders>
            <w:noWrap w:val="0"/>
            <w:vAlign w:val="center"/>
          </w:tcPr>
          <w:p w14:paraId="5D505561">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253DE7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tcBorders>
              <w:top w:val="nil"/>
            </w:tcBorders>
            <w:noWrap w:val="0"/>
            <w:vAlign w:val="center"/>
          </w:tcPr>
          <w:p w14:paraId="59F6739E">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2</w:t>
            </w:r>
          </w:p>
        </w:tc>
        <w:tc>
          <w:tcPr>
            <w:tcW w:w="1549" w:type="dxa"/>
            <w:tcBorders>
              <w:top w:val="nil"/>
            </w:tcBorders>
            <w:noWrap w:val="0"/>
            <w:vAlign w:val="center"/>
          </w:tcPr>
          <w:p w14:paraId="2752EF06">
            <w:pPr>
              <w:jc w:val="center"/>
              <w:rPr>
                <w:rFonts w:hint="eastAsia" w:ascii="仿宋_GB2312" w:eastAsia="仿宋_GB2312"/>
                <w:color w:val="auto"/>
                <w:kern w:val="2"/>
                <w:sz w:val="21"/>
                <w:szCs w:val="21"/>
                <w:highlight w:val="none"/>
                <w:lang w:val="en-US" w:eastAsia="zh-CN" w:bidi="ar-SA"/>
              </w:rPr>
            </w:pPr>
          </w:p>
        </w:tc>
        <w:tc>
          <w:tcPr>
            <w:tcW w:w="1001" w:type="dxa"/>
            <w:tcBorders>
              <w:top w:val="nil"/>
            </w:tcBorders>
            <w:noWrap w:val="0"/>
            <w:vAlign w:val="center"/>
          </w:tcPr>
          <w:p w14:paraId="70620AD6">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tcBorders>
              <w:top w:val="nil"/>
            </w:tcBorders>
            <w:noWrap w:val="0"/>
            <w:vAlign w:val="bottom"/>
          </w:tcPr>
          <w:p w14:paraId="2E60C836">
            <w:pPr>
              <w:jc w:val="center"/>
              <w:rPr>
                <w:rFonts w:hint="eastAsia" w:ascii="仿宋_GB2312" w:eastAsia="仿宋_GB2312"/>
                <w:color w:val="auto"/>
                <w:kern w:val="2"/>
                <w:sz w:val="21"/>
                <w:szCs w:val="21"/>
                <w:highlight w:val="none"/>
                <w:lang w:val="en-US" w:eastAsia="zh-CN" w:bidi="ar-SA"/>
              </w:rPr>
            </w:pPr>
          </w:p>
        </w:tc>
        <w:tc>
          <w:tcPr>
            <w:tcW w:w="794" w:type="dxa"/>
            <w:tcBorders>
              <w:top w:val="nil"/>
            </w:tcBorders>
            <w:noWrap w:val="0"/>
            <w:vAlign w:val="center"/>
          </w:tcPr>
          <w:p w14:paraId="127ECBC3">
            <w:pPr>
              <w:jc w:val="center"/>
              <w:rPr>
                <w:rFonts w:hint="eastAsia" w:ascii="仿宋_GB2312" w:hAnsi="宋体" w:eastAsia="仿宋_GB2312"/>
                <w:color w:val="auto"/>
                <w:kern w:val="2"/>
                <w:sz w:val="21"/>
                <w:szCs w:val="21"/>
                <w:highlight w:val="none"/>
                <w:lang w:val="en-US" w:eastAsia="zh-CN" w:bidi="ar-SA"/>
              </w:rPr>
            </w:pPr>
          </w:p>
        </w:tc>
        <w:tc>
          <w:tcPr>
            <w:tcW w:w="920" w:type="dxa"/>
            <w:tcBorders>
              <w:top w:val="nil"/>
            </w:tcBorders>
            <w:noWrap w:val="0"/>
            <w:vAlign w:val="center"/>
          </w:tcPr>
          <w:p w14:paraId="0A193381">
            <w:pPr>
              <w:jc w:val="center"/>
              <w:rPr>
                <w:rFonts w:hint="eastAsia" w:ascii="仿宋_GB2312" w:hAnsi="宋体" w:eastAsia="仿宋_GB2312"/>
                <w:b/>
                <w:color w:val="auto"/>
                <w:kern w:val="2"/>
                <w:sz w:val="21"/>
                <w:szCs w:val="21"/>
                <w:highlight w:val="none"/>
                <w:lang w:val="en-US" w:eastAsia="zh-CN" w:bidi="ar-SA"/>
              </w:rPr>
            </w:pPr>
          </w:p>
        </w:tc>
        <w:tc>
          <w:tcPr>
            <w:tcW w:w="1334" w:type="dxa"/>
            <w:tcBorders>
              <w:top w:val="nil"/>
            </w:tcBorders>
            <w:noWrap w:val="0"/>
            <w:vAlign w:val="bottom"/>
          </w:tcPr>
          <w:p w14:paraId="19979C6D">
            <w:pPr>
              <w:jc w:val="center"/>
              <w:rPr>
                <w:rFonts w:hint="eastAsia" w:ascii="仿宋_GB2312" w:eastAsia="仿宋_GB2312"/>
                <w:color w:val="auto"/>
                <w:kern w:val="2"/>
                <w:sz w:val="21"/>
                <w:szCs w:val="21"/>
                <w:highlight w:val="none"/>
                <w:lang w:val="en-US" w:eastAsia="zh-CN" w:bidi="ar-SA"/>
              </w:rPr>
            </w:pPr>
          </w:p>
        </w:tc>
        <w:tc>
          <w:tcPr>
            <w:tcW w:w="920" w:type="dxa"/>
            <w:tcBorders>
              <w:top w:val="nil"/>
            </w:tcBorders>
            <w:noWrap w:val="0"/>
            <w:vAlign w:val="center"/>
          </w:tcPr>
          <w:p w14:paraId="7484E20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tcBorders>
              <w:top w:val="nil"/>
            </w:tcBorders>
            <w:noWrap w:val="0"/>
            <w:vAlign w:val="center"/>
          </w:tcPr>
          <w:p w14:paraId="70196FE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37B9C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6D7000FC">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3</w:t>
            </w:r>
          </w:p>
        </w:tc>
        <w:tc>
          <w:tcPr>
            <w:tcW w:w="1549" w:type="dxa"/>
            <w:noWrap w:val="0"/>
            <w:vAlign w:val="center"/>
          </w:tcPr>
          <w:p w14:paraId="3AE59B22">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8F67677">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CD183D9">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10E7EF83">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21D3FAC">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3132FDD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1281EA73">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472DEB92">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755E0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85F0ACA">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4</w:t>
            </w:r>
          </w:p>
        </w:tc>
        <w:tc>
          <w:tcPr>
            <w:tcW w:w="1549" w:type="dxa"/>
            <w:noWrap w:val="0"/>
            <w:vAlign w:val="center"/>
          </w:tcPr>
          <w:p w14:paraId="22A7131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E450D1F">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ADE340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EDA8E60">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9FF05D8">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0213102C">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6C1D5D9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7A54964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38CD6E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237A5B9">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5</w:t>
            </w:r>
          </w:p>
        </w:tc>
        <w:tc>
          <w:tcPr>
            <w:tcW w:w="1549" w:type="dxa"/>
            <w:noWrap w:val="0"/>
            <w:vAlign w:val="center"/>
          </w:tcPr>
          <w:p w14:paraId="6F7F83F1">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25BEBD1">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76CC2D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2C1AC7C">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6A1B8B6">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1876D9C">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08BDD074">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6D5C5567">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0F7C2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C6336B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6</w:t>
            </w:r>
          </w:p>
        </w:tc>
        <w:tc>
          <w:tcPr>
            <w:tcW w:w="1549" w:type="dxa"/>
            <w:noWrap w:val="0"/>
            <w:vAlign w:val="center"/>
          </w:tcPr>
          <w:p w14:paraId="0BC51D48">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871ECB3">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7E93E67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5C4D9E12">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DD5B9D4">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3811CF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0C0992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5F294BEB">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3E526B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33B1D46C">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7</w:t>
            </w:r>
          </w:p>
        </w:tc>
        <w:tc>
          <w:tcPr>
            <w:tcW w:w="1549" w:type="dxa"/>
            <w:noWrap w:val="0"/>
            <w:vAlign w:val="center"/>
          </w:tcPr>
          <w:p w14:paraId="23455610">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E198469">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6713F3E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EB922D5">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6E50323">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48131B37">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36010760">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30FB951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ECD86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51DA03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8</w:t>
            </w:r>
          </w:p>
        </w:tc>
        <w:tc>
          <w:tcPr>
            <w:tcW w:w="1549" w:type="dxa"/>
            <w:noWrap w:val="0"/>
            <w:vAlign w:val="center"/>
          </w:tcPr>
          <w:p w14:paraId="194A96A3">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62FD17A">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57F733B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76C6255B">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7C2D2153">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1CDECE23">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1DCFD3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08A812A9">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D9208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C7902D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9</w:t>
            </w:r>
          </w:p>
        </w:tc>
        <w:tc>
          <w:tcPr>
            <w:tcW w:w="1549" w:type="dxa"/>
            <w:noWrap w:val="0"/>
            <w:vAlign w:val="center"/>
          </w:tcPr>
          <w:p w14:paraId="468900D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8A02BBE">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22BAB000">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7C84C7D2">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0A8C1F7">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3F615175">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9AD0E8C">
            <w:pPr>
              <w:spacing w:line="360" w:lineRule="auto"/>
              <w:rPr>
                <w:rFonts w:hint="eastAsia" w:ascii="宋体" w:hAnsi="宋体" w:cs="宋体"/>
                <w:color w:val="auto"/>
                <w:sz w:val="21"/>
                <w:szCs w:val="21"/>
                <w:highlight w:val="none"/>
              </w:rPr>
            </w:pPr>
          </w:p>
        </w:tc>
        <w:tc>
          <w:tcPr>
            <w:tcW w:w="828" w:type="dxa"/>
            <w:noWrap w:val="0"/>
            <w:vAlign w:val="top"/>
          </w:tcPr>
          <w:p w14:paraId="2DBB46B0">
            <w:pPr>
              <w:spacing w:line="360" w:lineRule="auto"/>
              <w:rPr>
                <w:rFonts w:hint="eastAsia" w:ascii="宋体" w:hAnsi="宋体" w:cs="宋体"/>
                <w:color w:val="auto"/>
                <w:sz w:val="21"/>
                <w:szCs w:val="21"/>
                <w:highlight w:val="none"/>
              </w:rPr>
            </w:pPr>
          </w:p>
        </w:tc>
      </w:tr>
      <w:tr w14:paraId="5D44AB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216AA6C9">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10</w:t>
            </w:r>
          </w:p>
        </w:tc>
        <w:tc>
          <w:tcPr>
            <w:tcW w:w="1549" w:type="dxa"/>
            <w:noWrap w:val="0"/>
            <w:vAlign w:val="center"/>
          </w:tcPr>
          <w:p w14:paraId="41205033">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0ED022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3EAA512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231591E">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42BF516F">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10D006E">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6E99331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828" w:type="dxa"/>
            <w:noWrap w:val="0"/>
            <w:vAlign w:val="center"/>
          </w:tcPr>
          <w:p w14:paraId="4D98A7C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E0BFB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52B0BA4">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11</w:t>
            </w:r>
          </w:p>
        </w:tc>
        <w:tc>
          <w:tcPr>
            <w:tcW w:w="1549" w:type="dxa"/>
            <w:noWrap w:val="0"/>
            <w:vAlign w:val="center"/>
          </w:tcPr>
          <w:p w14:paraId="7698487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3EA402E6">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7FFE858">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3813939D">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62E358BA">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05B65813">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1F750E">
            <w:pPr>
              <w:spacing w:line="360" w:lineRule="auto"/>
              <w:rPr>
                <w:rFonts w:hint="eastAsia" w:ascii="宋体" w:hAnsi="宋体" w:cs="宋体"/>
                <w:color w:val="auto"/>
                <w:sz w:val="21"/>
                <w:szCs w:val="21"/>
                <w:highlight w:val="none"/>
              </w:rPr>
            </w:pPr>
          </w:p>
        </w:tc>
        <w:tc>
          <w:tcPr>
            <w:tcW w:w="828" w:type="dxa"/>
            <w:noWrap w:val="0"/>
            <w:vAlign w:val="top"/>
          </w:tcPr>
          <w:p w14:paraId="3D69ECDA">
            <w:pPr>
              <w:spacing w:line="360" w:lineRule="auto"/>
              <w:rPr>
                <w:rFonts w:hint="eastAsia" w:ascii="宋体" w:hAnsi="宋体" w:cs="宋体"/>
                <w:color w:val="auto"/>
                <w:sz w:val="21"/>
                <w:szCs w:val="21"/>
                <w:highlight w:val="none"/>
              </w:rPr>
            </w:pPr>
          </w:p>
        </w:tc>
      </w:tr>
      <w:tr w14:paraId="60F03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E9CD250">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12</w:t>
            </w:r>
          </w:p>
        </w:tc>
        <w:tc>
          <w:tcPr>
            <w:tcW w:w="1549" w:type="dxa"/>
            <w:noWrap w:val="0"/>
            <w:vAlign w:val="center"/>
          </w:tcPr>
          <w:p w14:paraId="7C7F16D8">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F18A49D">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3212CCAD">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A5B0104">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5A9AB3E8">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FB11002">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1EE2D245">
            <w:pPr>
              <w:spacing w:line="360" w:lineRule="auto"/>
              <w:rPr>
                <w:rFonts w:hint="eastAsia" w:ascii="宋体" w:hAnsi="宋体" w:cs="宋体"/>
                <w:color w:val="auto"/>
                <w:sz w:val="21"/>
                <w:szCs w:val="21"/>
                <w:highlight w:val="none"/>
              </w:rPr>
            </w:pPr>
          </w:p>
        </w:tc>
        <w:tc>
          <w:tcPr>
            <w:tcW w:w="828" w:type="dxa"/>
            <w:noWrap w:val="0"/>
            <w:vAlign w:val="top"/>
          </w:tcPr>
          <w:p w14:paraId="2FF345F0">
            <w:pPr>
              <w:spacing w:line="360" w:lineRule="auto"/>
              <w:rPr>
                <w:rFonts w:hint="eastAsia" w:ascii="宋体" w:hAnsi="宋体" w:cs="宋体"/>
                <w:color w:val="auto"/>
                <w:sz w:val="21"/>
                <w:szCs w:val="21"/>
                <w:highlight w:val="none"/>
              </w:rPr>
            </w:pPr>
          </w:p>
        </w:tc>
      </w:tr>
      <w:tr w14:paraId="263A36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AD3B821">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13</w:t>
            </w:r>
          </w:p>
        </w:tc>
        <w:tc>
          <w:tcPr>
            <w:tcW w:w="1549" w:type="dxa"/>
            <w:noWrap w:val="0"/>
            <w:vAlign w:val="center"/>
          </w:tcPr>
          <w:p w14:paraId="79C33E79">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28589A8A">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656238D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17A7F8ED">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3B6F8B8F">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657DBDD8">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EDF92F4">
            <w:pPr>
              <w:spacing w:line="360" w:lineRule="auto"/>
              <w:rPr>
                <w:rFonts w:hint="eastAsia" w:ascii="宋体" w:hAnsi="宋体" w:cs="宋体"/>
                <w:color w:val="auto"/>
                <w:sz w:val="21"/>
                <w:szCs w:val="21"/>
                <w:highlight w:val="none"/>
              </w:rPr>
            </w:pPr>
          </w:p>
        </w:tc>
        <w:tc>
          <w:tcPr>
            <w:tcW w:w="828" w:type="dxa"/>
            <w:noWrap w:val="0"/>
            <w:vAlign w:val="top"/>
          </w:tcPr>
          <w:p w14:paraId="3BAC74A8">
            <w:pPr>
              <w:spacing w:line="360" w:lineRule="auto"/>
              <w:rPr>
                <w:rFonts w:hint="eastAsia" w:ascii="宋体" w:hAnsi="宋体" w:cs="宋体"/>
                <w:color w:val="auto"/>
                <w:sz w:val="21"/>
                <w:szCs w:val="21"/>
                <w:highlight w:val="none"/>
              </w:rPr>
            </w:pPr>
          </w:p>
        </w:tc>
      </w:tr>
      <w:tr w14:paraId="00A1A7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7E21EB6">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14</w:t>
            </w:r>
          </w:p>
        </w:tc>
        <w:tc>
          <w:tcPr>
            <w:tcW w:w="1549" w:type="dxa"/>
            <w:noWrap w:val="0"/>
            <w:vAlign w:val="center"/>
          </w:tcPr>
          <w:p w14:paraId="5EA91367">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FD870A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79B50648">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23DE52F8">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BC809D9">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2646BDD">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441B5F3B">
            <w:pPr>
              <w:spacing w:line="360" w:lineRule="auto"/>
              <w:rPr>
                <w:rFonts w:hint="eastAsia" w:ascii="宋体" w:hAnsi="宋体" w:cs="宋体"/>
                <w:color w:val="auto"/>
                <w:sz w:val="21"/>
                <w:szCs w:val="21"/>
                <w:highlight w:val="none"/>
              </w:rPr>
            </w:pPr>
          </w:p>
        </w:tc>
        <w:tc>
          <w:tcPr>
            <w:tcW w:w="828" w:type="dxa"/>
            <w:noWrap w:val="0"/>
            <w:vAlign w:val="top"/>
          </w:tcPr>
          <w:p w14:paraId="39F2E9F6">
            <w:pPr>
              <w:spacing w:line="360" w:lineRule="auto"/>
              <w:rPr>
                <w:rFonts w:hint="eastAsia" w:ascii="宋体" w:hAnsi="宋体" w:cs="宋体"/>
                <w:color w:val="auto"/>
                <w:sz w:val="21"/>
                <w:szCs w:val="21"/>
                <w:highlight w:val="none"/>
              </w:rPr>
            </w:pPr>
          </w:p>
        </w:tc>
      </w:tr>
      <w:tr w14:paraId="77CC93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54381A77">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15</w:t>
            </w:r>
          </w:p>
        </w:tc>
        <w:tc>
          <w:tcPr>
            <w:tcW w:w="1549" w:type="dxa"/>
            <w:noWrap w:val="0"/>
            <w:vAlign w:val="center"/>
          </w:tcPr>
          <w:p w14:paraId="228BEC3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6767651B">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1205CF9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6EAFBA86">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1D492DA2">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548D4785">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7B133B58">
            <w:pPr>
              <w:spacing w:line="360" w:lineRule="auto"/>
              <w:rPr>
                <w:rFonts w:hint="eastAsia" w:ascii="宋体" w:hAnsi="宋体" w:cs="宋体"/>
                <w:color w:val="auto"/>
                <w:sz w:val="21"/>
                <w:szCs w:val="21"/>
                <w:highlight w:val="none"/>
              </w:rPr>
            </w:pPr>
          </w:p>
        </w:tc>
        <w:tc>
          <w:tcPr>
            <w:tcW w:w="828" w:type="dxa"/>
            <w:noWrap w:val="0"/>
            <w:vAlign w:val="top"/>
          </w:tcPr>
          <w:p w14:paraId="1D2515D0">
            <w:pPr>
              <w:spacing w:line="360" w:lineRule="auto"/>
              <w:rPr>
                <w:rFonts w:hint="eastAsia" w:ascii="宋体" w:hAnsi="宋体" w:cs="宋体"/>
                <w:color w:val="auto"/>
                <w:sz w:val="21"/>
                <w:szCs w:val="21"/>
                <w:highlight w:val="none"/>
              </w:rPr>
            </w:pPr>
          </w:p>
        </w:tc>
      </w:tr>
      <w:tr w14:paraId="5FA446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7A2AD180">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16</w:t>
            </w:r>
          </w:p>
        </w:tc>
        <w:tc>
          <w:tcPr>
            <w:tcW w:w="1549" w:type="dxa"/>
            <w:noWrap w:val="0"/>
            <w:vAlign w:val="center"/>
          </w:tcPr>
          <w:p w14:paraId="58367A11">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2EEF0A34">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4D5B71EA">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0ECAD364">
            <w:pPr>
              <w:widowControl/>
              <w:jc w:val="center"/>
              <w:rPr>
                <w:rFonts w:hint="eastAsia" w:ascii="仿宋_GB2312" w:hAnsi="宋体" w:eastAsia="仿宋_GB2312" w:cs="宋体"/>
                <w:color w:val="auto"/>
                <w:kern w:val="0"/>
                <w:sz w:val="21"/>
                <w:szCs w:val="21"/>
                <w:highlight w:val="none"/>
                <w:lang w:val="en-US" w:eastAsia="zh-CN" w:bidi="ar-SA"/>
              </w:rPr>
            </w:pPr>
          </w:p>
        </w:tc>
        <w:tc>
          <w:tcPr>
            <w:tcW w:w="920" w:type="dxa"/>
            <w:noWrap w:val="0"/>
            <w:vAlign w:val="center"/>
          </w:tcPr>
          <w:p w14:paraId="26C67DA7">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4FCC44A3">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A0D8DB">
            <w:pPr>
              <w:spacing w:line="360" w:lineRule="auto"/>
              <w:rPr>
                <w:rFonts w:hint="eastAsia" w:ascii="宋体" w:hAnsi="宋体" w:cs="宋体"/>
                <w:color w:val="auto"/>
                <w:sz w:val="21"/>
                <w:szCs w:val="21"/>
                <w:highlight w:val="none"/>
              </w:rPr>
            </w:pPr>
          </w:p>
        </w:tc>
        <w:tc>
          <w:tcPr>
            <w:tcW w:w="828" w:type="dxa"/>
            <w:noWrap w:val="0"/>
            <w:vAlign w:val="top"/>
          </w:tcPr>
          <w:p w14:paraId="4BCB02CF">
            <w:pPr>
              <w:spacing w:line="360" w:lineRule="auto"/>
              <w:rPr>
                <w:rFonts w:hint="eastAsia" w:ascii="宋体" w:hAnsi="宋体" w:cs="宋体"/>
                <w:color w:val="auto"/>
                <w:sz w:val="21"/>
                <w:szCs w:val="21"/>
                <w:highlight w:val="none"/>
              </w:rPr>
            </w:pPr>
          </w:p>
        </w:tc>
      </w:tr>
      <w:tr w14:paraId="7438E5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1203103D">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17</w:t>
            </w:r>
          </w:p>
        </w:tc>
        <w:tc>
          <w:tcPr>
            <w:tcW w:w="1549" w:type="dxa"/>
            <w:noWrap w:val="0"/>
            <w:vAlign w:val="center"/>
          </w:tcPr>
          <w:p w14:paraId="69F022C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7128E942">
            <w:pPr>
              <w:widowControl/>
              <w:jc w:val="center"/>
              <w:rPr>
                <w:rFonts w:hint="eastAsia" w:ascii="仿宋_GB2312" w:hAnsi="宋体" w:eastAsia="仿宋_GB2312" w:cs="宋体"/>
                <w:color w:val="auto"/>
                <w:kern w:val="0"/>
                <w:sz w:val="21"/>
                <w:szCs w:val="21"/>
                <w:highlight w:val="none"/>
                <w:lang w:val="en-US" w:eastAsia="zh-CN" w:bidi="ar-SA"/>
              </w:rPr>
            </w:pPr>
          </w:p>
        </w:tc>
        <w:tc>
          <w:tcPr>
            <w:tcW w:w="718" w:type="dxa"/>
            <w:noWrap w:val="0"/>
            <w:vAlign w:val="bottom"/>
          </w:tcPr>
          <w:p w14:paraId="1725F45D">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65A296B">
            <w:pPr>
              <w:jc w:val="center"/>
              <w:rPr>
                <w:rFonts w:hint="eastAsia" w:ascii="仿宋_GB2312" w:hAnsi="宋体" w:eastAsia="仿宋_GB2312"/>
                <w:color w:val="auto"/>
                <w:kern w:val="2"/>
                <w:sz w:val="21"/>
                <w:szCs w:val="21"/>
                <w:highlight w:val="none"/>
                <w:lang w:val="en-US" w:eastAsia="zh-CN" w:bidi="ar-SA"/>
              </w:rPr>
            </w:pPr>
          </w:p>
        </w:tc>
        <w:tc>
          <w:tcPr>
            <w:tcW w:w="920" w:type="dxa"/>
            <w:noWrap w:val="0"/>
            <w:vAlign w:val="center"/>
          </w:tcPr>
          <w:p w14:paraId="281D7686">
            <w:pPr>
              <w:jc w:val="center"/>
              <w:rPr>
                <w:rFonts w:hint="eastAsia" w:ascii="仿宋_GB2312" w:hAnsi="宋体" w:eastAsia="仿宋_GB2312"/>
                <w:b/>
                <w:color w:val="auto"/>
                <w:kern w:val="2"/>
                <w:sz w:val="21"/>
                <w:szCs w:val="21"/>
                <w:highlight w:val="none"/>
                <w:lang w:val="en-US" w:eastAsia="zh-CN" w:bidi="ar-SA"/>
              </w:rPr>
            </w:pPr>
          </w:p>
        </w:tc>
        <w:tc>
          <w:tcPr>
            <w:tcW w:w="1334" w:type="dxa"/>
            <w:noWrap w:val="0"/>
            <w:vAlign w:val="bottom"/>
          </w:tcPr>
          <w:p w14:paraId="2E873956">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361C5B96">
            <w:pPr>
              <w:spacing w:line="360" w:lineRule="auto"/>
              <w:rPr>
                <w:rFonts w:hint="eastAsia" w:ascii="宋体" w:hAnsi="宋体" w:cs="宋体"/>
                <w:color w:val="auto"/>
                <w:sz w:val="21"/>
                <w:szCs w:val="21"/>
                <w:highlight w:val="none"/>
              </w:rPr>
            </w:pPr>
          </w:p>
        </w:tc>
        <w:tc>
          <w:tcPr>
            <w:tcW w:w="828" w:type="dxa"/>
            <w:noWrap w:val="0"/>
            <w:vAlign w:val="top"/>
          </w:tcPr>
          <w:p w14:paraId="2114073F">
            <w:pPr>
              <w:spacing w:line="360" w:lineRule="auto"/>
              <w:rPr>
                <w:rFonts w:hint="eastAsia" w:ascii="宋体" w:hAnsi="宋体" w:cs="宋体"/>
                <w:color w:val="auto"/>
                <w:sz w:val="21"/>
                <w:szCs w:val="21"/>
                <w:highlight w:val="none"/>
              </w:rPr>
            </w:pPr>
          </w:p>
        </w:tc>
      </w:tr>
      <w:tr w14:paraId="69B47E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014CFBE2">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18</w:t>
            </w:r>
          </w:p>
        </w:tc>
        <w:tc>
          <w:tcPr>
            <w:tcW w:w="1549" w:type="dxa"/>
            <w:noWrap w:val="0"/>
            <w:vAlign w:val="center"/>
          </w:tcPr>
          <w:p w14:paraId="38CC384B">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496B1F7B">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7B060A9B">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BB9C575">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215C9CE8">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181D6CD0">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1A6E781">
            <w:pPr>
              <w:spacing w:line="360" w:lineRule="auto"/>
              <w:rPr>
                <w:rFonts w:hint="eastAsia" w:ascii="宋体" w:hAnsi="宋体" w:cs="宋体"/>
                <w:color w:val="auto"/>
                <w:sz w:val="21"/>
                <w:szCs w:val="21"/>
                <w:highlight w:val="none"/>
              </w:rPr>
            </w:pPr>
          </w:p>
        </w:tc>
        <w:tc>
          <w:tcPr>
            <w:tcW w:w="828" w:type="dxa"/>
            <w:noWrap w:val="0"/>
            <w:vAlign w:val="top"/>
          </w:tcPr>
          <w:p w14:paraId="2C4D39B5">
            <w:pPr>
              <w:spacing w:line="360" w:lineRule="auto"/>
              <w:rPr>
                <w:rFonts w:hint="eastAsia" w:ascii="宋体" w:hAnsi="宋体" w:cs="宋体"/>
                <w:color w:val="auto"/>
                <w:sz w:val="21"/>
                <w:szCs w:val="21"/>
                <w:highlight w:val="none"/>
              </w:rPr>
            </w:pPr>
          </w:p>
        </w:tc>
      </w:tr>
      <w:tr w14:paraId="42E21C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4A72BDFA">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19</w:t>
            </w:r>
          </w:p>
        </w:tc>
        <w:tc>
          <w:tcPr>
            <w:tcW w:w="1549" w:type="dxa"/>
            <w:noWrap w:val="0"/>
            <w:vAlign w:val="center"/>
          </w:tcPr>
          <w:p w14:paraId="1AE81790">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092D0CC4">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09DA30D5">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38E2B604">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581E4C44">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56CB23A9">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52BA3568">
            <w:pPr>
              <w:spacing w:line="360" w:lineRule="auto"/>
              <w:rPr>
                <w:rFonts w:hint="eastAsia" w:ascii="宋体" w:hAnsi="宋体" w:cs="宋体"/>
                <w:color w:val="auto"/>
                <w:sz w:val="21"/>
                <w:szCs w:val="21"/>
                <w:highlight w:val="none"/>
              </w:rPr>
            </w:pPr>
          </w:p>
        </w:tc>
        <w:tc>
          <w:tcPr>
            <w:tcW w:w="828" w:type="dxa"/>
            <w:noWrap w:val="0"/>
            <w:vAlign w:val="top"/>
          </w:tcPr>
          <w:p w14:paraId="1D848DD2">
            <w:pPr>
              <w:spacing w:line="360" w:lineRule="auto"/>
              <w:rPr>
                <w:rFonts w:hint="eastAsia" w:ascii="宋体" w:hAnsi="宋体" w:cs="宋体"/>
                <w:color w:val="auto"/>
                <w:sz w:val="21"/>
                <w:szCs w:val="21"/>
                <w:highlight w:val="none"/>
              </w:rPr>
            </w:pPr>
          </w:p>
        </w:tc>
      </w:tr>
      <w:tr w14:paraId="4C244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781" w:type="dxa"/>
            <w:noWrap w:val="0"/>
            <w:vAlign w:val="center"/>
          </w:tcPr>
          <w:p w14:paraId="0AEAC1F2">
            <w:pPr>
              <w:widowControl/>
              <w:jc w:val="center"/>
              <w:rPr>
                <w:rFonts w:hint="eastAsia" w:ascii="仿宋_GB2312" w:hAnsi="宋体" w:eastAsia="仿宋_GB2312" w:cs="宋体"/>
                <w:color w:val="auto"/>
                <w:kern w:val="0"/>
                <w:sz w:val="21"/>
                <w:szCs w:val="21"/>
                <w:highlight w:val="none"/>
                <w:lang w:val="en-US" w:eastAsia="zh-CN" w:bidi="ar-SA"/>
              </w:rPr>
            </w:pPr>
            <w:r>
              <w:rPr>
                <w:rFonts w:hint="eastAsia" w:ascii="仿宋_GB2312" w:hAnsi="宋体" w:eastAsia="仿宋_GB2312" w:cs="宋体"/>
                <w:color w:val="auto"/>
                <w:kern w:val="0"/>
                <w:sz w:val="21"/>
                <w:szCs w:val="21"/>
                <w:highlight w:val="none"/>
              </w:rPr>
              <w:t>20</w:t>
            </w:r>
          </w:p>
        </w:tc>
        <w:tc>
          <w:tcPr>
            <w:tcW w:w="1549" w:type="dxa"/>
            <w:noWrap w:val="0"/>
            <w:vAlign w:val="center"/>
          </w:tcPr>
          <w:p w14:paraId="05083F7A">
            <w:pPr>
              <w:jc w:val="center"/>
              <w:rPr>
                <w:rFonts w:hint="eastAsia" w:ascii="仿宋_GB2312" w:eastAsia="仿宋_GB2312"/>
                <w:color w:val="auto"/>
                <w:kern w:val="2"/>
                <w:sz w:val="21"/>
                <w:szCs w:val="21"/>
                <w:highlight w:val="none"/>
                <w:lang w:val="en-US" w:eastAsia="zh-CN" w:bidi="ar-SA"/>
              </w:rPr>
            </w:pPr>
          </w:p>
        </w:tc>
        <w:tc>
          <w:tcPr>
            <w:tcW w:w="1001" w:type="dxa"/>
            <w:noWrap w:val="0"/>
            <w:vAlign w:val="center"/>
          </w:tcPr>
          <w:p w14:paraId="5196B161">
            <w:pPr>
              <w:widowControl/>
              <w:jc w:val="center"/>
              <w:rPr>
                <w:rFonts w:hint="eastAsia" w:ascii="仿宋_GB2312" w:eastAsia="仿宋_GB2312"/>
                <w:color w:val="auto"/>
                <w:kern w:val="2"/>
                <w:sz w:val="21"/>
                <w:szCs w:val="21"/>
                <w:highlight w:val="none"/>
                <w:lang w:val="en-US" w:eastAsia="zh-CN" w:bidi="ar-SA"/>
              </w:rPr>
            </w:pPr>
          </w:p>
        </w:tc>
        <w:tc>
          <w:tcPr>
            <w:tcW w:w="718" w:type="dxa"/>
            <w:noWrap w:val="0"/>
            <w:vAlign w:val="bottom"/>
          </w:tcPr>
          <w:p w14:paraId="6A3DA207">
            <w:pPr>
              <w:jc w:val="center"/>
              <w:rPr>
                <w:rFonts w:hint="eastAsia" w:ascii="仿宋_GB2312" w:eastAsia="仿宋_GB2312"/>
                <w:color w:val="auto"/>
                <w:kern w:val="2"/>
                <w:sz w:val="21"/>
                <w:szCs w:val="21"/>
                <w:highlight w:val="none"/>
                <w:lang w:val="en-US" w:eastAsia="zh-CN" w:bidi="ar-SA"/>
              </w:rPr>
            </w:pPr>
          </w:p>
        </w:tc>
        <w:tc>
          <w:tcPr>
            <w:tcW w:w="794" w:type="dxa"/>
            <w:noWrap w:val="0"/>
            <w:vAlign w:val="center"/>
          </w:tcPr>
          <w:p w14:paraId="4A13EF15">
            <w:pPr>
              <w:jc w:val="center"/>
              <w:rPr>
                <w:rFonts w:hint="eastAsia" w:ascii="仿宋_GB2312" w:eastAsia="仿宋_GB2312"/>
                <w:color w:val="auto"/>
                <w:kern w:val="2"/>
                <w:sz w:val="21"/>
                <w:szCs w:val="21"/>
                <w:highlight w:val="none"/>
                <w:lang w:val="en-US" w:eastAsia="zh-CN" w:bidi="ar-SA"/>
              </w:rPr>
            </w:pPr>
          </w:p>
        </w:tc>
        <w:tc>
          <w:tcPr>
            <w:tcW w:w="920" w:type="dxa"/>
            <w:noWrap w:val="0"/>
            <w:vAlign w:val="center"/>
          </w:tcPr>
          <w:p w14:paraId="586D26D4">
            <w:pPr>
              <w:jc w:val="center"/>
              <w:rPr>
                <w:rFonts w:hint="eastAsia" w:ascii="仿宋_GB2312" w:eastAsia="仿宋_GB2312"/>
                <w:color w:val="auto"/>
                <w:kern w:val="2"/>
                <w:sz w:val="21"/>
                <w:szCs w:val="21"/>
                <w:highlight w:val="none"/>
                <w:lang w:val="en-US" w:eastAsia="zh-CN" w:bidi="ar-SA"/>
              </w:rPr>
            </w:pPr>
          </w:p>
        </w:tc>
        <w:tc>
          <w:tcPr>
            <w:tcW w:w="1334" w:type="dxa"/>
            <w:noWrap w:val="0"/>
            <w:vAlign w:val="bottom"/>
          </w:tcPr>
          <w:p w14:paraId="1EB41DE7">
            <w:pPr>
              <w:jc w:val="center"/>
              <w:rPr>
                <w:rFonts w:hint="eastAsia" w:ascii="仿宋_GB2312" w:eastAsia="仿宋_GB2312"/>
                <w:color w:val="auto"/>
                <w:kern w:val="2"/>
                <w:sz w:val="21"/>
                <w:szCs w:val="21"/>
                <w:highlight w:val="none"/>
                <w:lang w:val="en-US" w:eastAsia="zh-CN" w:bidi="ar-SA"/>
              </w:rPr>
            </w:pPr>
          </w:p>
        </w:tc>
        <w:tc>
          <w:tcPr>
            <w:tcW w:w="920" w:type="dxa"/>
            <w:noWrap w:val="0"/>
            <w:vAlign w:val="top"/>
          </w:tcPr>
          <w:p w14:paraId="6664696B">
            <w:pPr>
              <w:spacing w:line="360" w:lineRule="auto"/>
              <w:rPr>
                <w:rFonts w:hint="eastAsia" w:ascii="宋体" w:hAnsi="宋体" w:cs="宋体"/>
                <w:color w:val="auto"/>
                <w:sz w:val="21"/>
                <w:szCs w:val="21"/>
                <w:highlight w:val="none"/>
              </w:rPr>
            </w:pPr>
          </w:p>
        </w:tc>
        <w:tc>
          <w:tcPr>
            <w:tcW w:w="828" w:type="dxa"/>
            <w:noWrap w:val="0"/>
            <w:vAlign w:val="top"/>
          </w:tcPr>
          <w:p w14:paraId="34F07DD6">
            <w:pPr>
              <w:spacing w:line="360" w:lineRule="auto"/>
              <w:rPr>
                <w:rFonts w:hint="eastAsia" w:ascii="宋体" w:hAnsi="宋体" w:cs="宋体"/>
                <w:color w:val="auto"/>
                <w:sz w:val="21"/>
                <w:szCs w:val="21"/>
                <w:highlight w:val="none"/>
              </w:rPr>
            </w:pPr>
          </w:p>
        </w:tc>
      </w:tr>
    </w:tbl>
    <w:p w14:paraId="15134FCF">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附</w:t>
      </w:r>
      <w:bookmarkStart w:id="452" w:name="_Toc267261699"/>
      <w:bookmarkStart w:id="453" w:name="_Toc296944567"/>
      <w:bookmarkStart w:id="454" w:name="_Toc296346729"/>
      <w:bookmarkStart w:id="455" w:name="_Toc296347227"/>
      <w:bookmarkStart w:id="456" w:name="_Toc296891056"/>
      <w:bookmarkStart w:id="457" w:name="_Toc296503228"/>
      <w:bookmarkStart w:id="458" w:name="_Toc296891268"/>
      <w:r>
        <w:rPr>
          <w:rFonts w:hint="eastAsia" w:ascii="宋体" w:hAnsi="宋体" w:cs="宋体"/>
          <w:b/>
          <w:color w:val="auto"/>
          <w:sz w:val="21"/>
          <w:szCs w:val="21"/>
          <w:highlight w:val="none"/>
        </w:rPr>
        <w:t>件5：</w:t>
      </w:r>
    </w:p>
    <w:bookmarkEnd w:id="452"/>
    <w:bookmarkEnd w:id="453"/>
    <w:bookmarkEnd w:id="454"/>
    <w:bookmarkEnd w:id="455"/>
    <w:bookmarkEnd w:id="456"/>
    <w:bookmarkEnd w:id="457"/>
    <w:bookmarkEnd w:id="458"/>
    <w:p w14:paraId="46CB3013">
      <w:pPr>
        <w:spacing w:before="120" w:beforeLines="50" w:after="120" w:afterLines="50"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承包人主要施工管理人员表</w:t>
      </w:r>
    </w:p>
    <w:tbl>
      <w:tblPr>
        <w:tblStyle w:val="24"/>
        <w:tblW w:w="88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689"/>
        <w:gridCol w:w="1279"/>
        <w:gridCol w:w="1022"/>
        <w:gridCol w:w="1022"/>
        <w:gridCol w:w="3833"/>
      </w:tblGrid>
      <w:tr w14:paraId="7CB874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12" w:space="0"/>
              <w:bottom w:val="double" w:color="auto" w:sz="6" w:space="0"/>
            </w:tcBorders>
            <w:noWrap w:val="0"/>
            <w:vAlign w:val="center"/>
          </w:tcPr>
          <w:p w14:paraId="3B94CD92">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名    称</w:t>
            </w:r>
          </w:p>
        </w:tc>
        <w:tc>
          <w:tcPr>
            <w:tcW w:w="1279" w:type="dxa"/>
            <w:tcBorders>
              <w:top w:val="single" w:color="auto" w:sz="12" w:space="0"/>
              <w:bottom w:val="double" w:color="auto" w:sz="6" w:space="0"/>
            </w:tcBorders>
            <w:noWrap w:val="0"/>
            <w:vAlign w:val="center"/>
          </w:tcPr>
          <w:p w14:paraId="26AB25C2">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姓名</w:t>
            </w:r>
          </w:p>
        </w:tc>
        <w:tc>
          <w:tcPr>
            <w:tcW w:w="1022" w:type="dxa"/>
            <w:tcBorders>
              <w:top w:val="single" w:color="auto" w:sz="12" w:space="0"/>
              <w:bottom w:val="double" w:color="auto" w:sz="6" w:space="0"/>
            </w:tcBorders>
            <w:noWrap w:val="0"/>
            <w:vAlign w:val="center"/>
          </w:tcPr>
          <w:p w14:paraId="1FB4C86F">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职务</w:t>
            </w:r>
          </w:p>
        </w:tc>
        <w:tc>
          <w:tcPr>
            <w:tcW w:w="1022" w:type="dxa"/>
            <w:tcBorders>
              <w:top w:val="single" w:color="auto" w:sz="12" w:space="0"/>
              <w:bottom w:val="double" w:color="auto" w:sz="6" w:space="0"/>
            </w:tcBorders>
            <w:noWrap w:val="0"/>
            <w:vAlign w:val="center"/>
          </w:tcPr>
          <w:p w14:paraId="659FC1E0">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职称</w:t>
            </w:r>
          </w:p>
        </w:tc>
        <w:tc>
          <w:tcPr>
            <w:tcW w:w="3833" w:type="dxa"/>
            <w:tcBorders>
              <w:top w:val="single" w:color="auto" w:sz="12" w:space="0"/>
              <w:bottom w:val="double" w:color="auto" w:sz="6" w:space="0"/>
            </w:tcBorders>
            <w:noWrap w:val="0"/>
            <w:vAlign w:val="center"/>
          </w:tcPr>
          <w:p w14:paraId="5187ED37">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主要资历、经验及承担过的项目</w:t>
            </w:r>
          </w:p>
        </w:tc>
      </w:tr>
      <w:tr w14:paraId="588627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8845" w:type="dxa"/>
            <w:gridSpan w:val="5"/>
            <w:tcBorders>
              <w:top w:val="double" w:color="auto" w:sz="6" w:space="0"/>
              <w:bottom w:val="single" w:color="auto" w:sz="6" w:space="0"/>
            </w:tcBorders>
            <w:noWrap w:val="0"/>
            <w:vAlign w:val="center"/>
          </w:tcPr>
          <w:p w14:paraId="77280F06">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一、总部人员</w:t>
            </w:r>
          </w:p>
        </w:tc>
      </w:tr>
      <w:tr w14:paraId="1B313C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nil"/>
              <w:bottom w:val="nil"/>
            </w:tcBorders>
            <w:noWrap w:val="0"/>
            <w:vAlign w:val="center"/>
          </w:tcPr>
          <w:p w14:paraId="20B89158">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项目主管</w:t>
            </w:r>
          </w:p>
        </w:tc>
        <w:tc>
          <w:tcPr>
            <w:tcW w:w="1279" w:type="dxa"/>
            <w:tcBorders>
              <w:top w:val="nil"/>
            </w:tcBorders>
            <w:noWrap w:val="0"/>
            <w:vAlign w:val="center"/>
          </w:tcPr>
          <w:p w14:paraId="2E51CD9A">
            <w:pPr>
              <w:pStyle w:val="9"/>
              <w:keepNext/>
              <w:spacing w:after="0" w:line="360" w:lineRule="auto"/>
              <w:ind w:left="63" w:leftChars="30" w:right="63" w:rightChars="30"/>
              <w:rPr>
                <w:rFonts w:hint="eastAsia" w:ascii="宋体" w:hAnsi="宋体" w:cs="宋体"/>
                <w:color w:val="auto"/>
                <w:kern w:val="2"/>
                <w:sz w:val="21"/>
                <w:szCs w:val="21"/>
                <w:highlight w:val="none"/>
                <w:lang w:val="en-US" w:eastAsia="zh-CN" w:bidi="ar-SA"/>
              </w:rPr>
            </w:pPr>
          </w:p>
        </w:tc>
        <w:tc>
          <w:tcPr>
            <w:tcW w:w="1022" w:type="dxa"/>
            <w:tcBorders>
              <w:top w:val="nil"/>
            </w:tcBorders>
            <w:noWrap w:val="0"/>
            <w:vAlign w:val="center"/>
          </w:tcPr>
          <w:p w14:paraId="2B053003">
            <w:pPr>
              <w:pStyle w:val="9"/>
              <w:keepNext/>
              <w:spacing w:after="0" w:line="360" w:lineRule="auto"/>
              <w:ind w:left="63" w:leftChars="30" w:right="63" w:rightChars="30"/>
              <w:rPr>
                <w:rFonts w:hint="eastAsia" w:ascii="宋体" w:hAnsi="宋体" w:cs="宋体"/>
                <w:color w:val="auto"/>
                <w:kern w:val="2"/>
                <w:sz w:val="21"/>
                <w:szCs w:val="21"/>
                <w:highlight w:val="none"/>
                <w:lang w:val="en-US" w:eastAsia="zh-CN" w:bidi="ar-SA"/>
              </w:rPr>
            </w:pPr>
          </w:p>
        </w:tc>
        <w:tc>
          <w:tcPr>
            <w:tcW w:w="1022" w:type="dxa"/>
            <w:tcBorders>
              <w:top w:val="nil"/>
            </w:tcBorders>
            <w:noWrap w:val="0"/>
            <w:vAlign w:val="center"/>
          </w:tcPr>
          <w:p w14:paraId="1D6BE56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top w:val="nil"/>
            </w:tcBorders>
            <w:noWrap w:val="0"/>
            <w:vAlign w:val="center"/>
          </w:tcPr>
          <w:p w14:paraId="6972FCB4">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C6F38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nil"/>
            </w:tcBorders>
            <w:noWrap w:val="0"/>
            <w:vAlign w:val="center"/>
          </w:tcPr>
          <w:p w14:paraId="7EBB877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43641B7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71E52D3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4A7E19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89778E0">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2B0D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nil"/>
              <w:bottom w:val="nil"/>
            </w:tcBorders>
            <w:noWrap w:val="0"/>
            <w:vAlign w:val="center"/>
          </w:tcPr>
          <w:p w14:paraId="601CED1B">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其他人员</w:t>
            </w:r>
          </w:p>
        </w:tc>
        <w:tc>
          <w:tcPr>
            <w:tcW w:w="1279" w:type="dxa"/>
            <w:noWrap w:val="0"/>
            <w:vAlign w:val="center"/>
          </w:tcPr>
          <w:p w14:paraId="434A32A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2A0A6D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4A16A3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4CC1228">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CF5D4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nil"/>
              <w:bottom w:val="nil"/>
            </w:tcBorders>
            <w:noWrap w:val="0"/>
            <w:vAlign w:val="center"/>
          </w:tcPr>
          <w:p w14:paraId="56EF8108">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3E9630A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47F4828">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5CF5C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8A59B83">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7D6DE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8845" w:type="dxa"/>
            <w:gridSpan w:val="5"/>
            <w:tcBorders>
              <w:top w:val="single" w:color="auto" w:sz="6" w:space="0"/>
              <w:bottom w:val="single" w:color="auto" w:sz="6" w:space="0"/>
            </w:tcBorders>
            <w:noWrap w:val="0"/>
            <w:vAlign w:val="center"/>
          </w:tcPr>
          <w:p w14:paraId="6DC40CD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二、现场人员</w:t>
            </w:r>
          </w:p>
        </w:tc>
      </w:tr>
      <w:tr w14:paraId="1B5A70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6C8E1020">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项目经理</w:t>
            </w:r>
          </w:p>
        </w:tc>
        <w:tc>
          <w:tcPr>
            <w:tcW w:w="1279" w:type="dxa"/>
            <w:noWrap w:val="0"/>
            <w:vAlign w:val="center"/>
          </w:tcPr>
          <w:p w14:paraId="2031C5D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63A7CCA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2087DBA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2FD1610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2B64A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1" w:hRule="atLeast"/>
          <w:jc w:val="center"/>
        </w:trPr>
        <w:tc>
          <w:tcPr>
            <w:tcW w:w="1689" w:type="dxa"/>
            <w:tcBorders>
              <w:top w:val="single" w:color="auto" w:sz="6" w:space="0"/>
              <w:bottom w:val="single" w:color="auto" w:sz="6" w:space="0"/>
            </w:tcBorders>
            <w:noWrap w:val="0"/>
            <w:vAlign w:val="center"/>
          </w:tcPr>
          <w:p w14:paraId="696FF2F5">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技术负责人</w:t>
            </w:r>
          </w:p>
        </w:tc>
        <w:tc>
          <w:tcPr>
            <w:tcW w:w="1279" w:type="dxa"/>
            <w:noWrap w:val="0"/>
            <w:vAlign w:val="center"/>
          </w:tcPr>
          <w:p w14:paraId="6F36FDCC">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55EF083D">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7908F15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4BA79C3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45687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4A1347CF">
            <w:pPr>
              <w:pStyle w:val="9"/>
              <w:keepNext/>
              <w:spacing w:after="0" w:line="360" w:lineRule="auto"/>
              <w:ind w:left="63" w:right="63"/>
              <w:rPr>
                <w:rFonts w:hint="default"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施工管理</w:t>
            </w:r>
          </w:p>
        </w:tc>
        <w:tc>
          <w:tcPr>
            <w:tcW w:w="1279" w:type="dxa"/>
            <w:noWrap w:val="0"/>
            <w:vAlign w:val="center"/>
          </w:tcPr>
          <w:p w14:paraId="4463A559">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0846A1A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A5D7BEF">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403B8FA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729DC0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5405C1EF">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质量管理</w:t>
            </w:r>
          </w:p>
        </w:tc>
        <w:tc>
          <w:tcPr>
            <w:tcW w:w="1279" w:type="dxa"/>
            <w:noWrap w:val="0"/>
            <w:vAlign w:val="center"/>
          </w:tcPr>
          <w:p w14:paraId="579D1994">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EBBB463">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6381567E">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124DF99A">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2DC44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6" w:space="0"/>
              <w:bottom w:val="single" w:color="auto" w:sz="6" w:space="0"/>
            </w:tcBorders>
            <w:noWrap w:val="0"/>
            <w:vAlign w:val="center"/>
          </w:tcPr>
          <w:p w14:paraId="2DAC27F3">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安全管理</w:t>
            </w:r>
          </w:p>
        </w:tc>
        <w:tc>
          <w:tcPr>
            <w:tcW w:w="1279" w:type="dxa"/>
            <w:noWrap w:val="0"/>
            <w:vAlign w:val="center"/>
          </w:tcPr>
          <w:p w14:paraId="1537A51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134655BA">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1022" w:type="dxa"/>
            <w:noWrap w:val="0"/>
            <w:vAlign w:val="center"/>
          </w:tcPr>
          <w:p w14:paraId="796D2DD0">
            <w:pPr>
              <w:pStyle w:val="9"/>
              <w:keepNext/>
              <w:spacing w:after="0" w:line="360" w:lineRule="auto"/>
              <w:ind w:left="63" w:leftChars="30" w:right="63" w:rightChars="30"/>
              <w:rPr>
                <w:rFonts w:hint="default" w:ascii="宋体" w:hAnsi="宋体" w:cs="宋体"/>
                <w:color w:val="auto"/>
                <w:kern w:val="2"/>
                <w:sz w:val="21"/>
                <w:szCs w:val="21"/>
                <w:highlight w:val="none"/>
                <w:lang w:val="en-US" w:eastAsia="zh-CN" w:bidi="ar-SA"/>
              </w:rPr>
            </w:pPr>
          </w:p>
        </w:tc>
        <w:tc>
          <w:tcPr>
            <w:tcW w:w="3833" w:type="dxa"/>
            <w:noWrap w:val="0"/>
            <w:vAlign w:val="center"/>
          </w:tcPr>
          <w:p w14:paraId="22008481">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4F7C38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14CF410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24D53EB3">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AB1FF9C">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C9DE7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C2B3A40">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168C2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1" w:hRule="atLeast"/>
          <w:jc w:val="center"/>
        </w:trPr>
        <w:tc>
          <w:tcPr>
            <w:tcW w:w="1689" w:type="dxa"/>
            <w:tcBorders>
              <w:top w:val="single" w:color="auto" w:sz="6" w:space="0"/>
              <w:bottom w:val="single" w:color="auto" w:sz="6" w:space="0"/>
            </w:tcBorders>
            <w:noWrap w:val="0"/>
            <w:vAlign w:val="center"/>
          </w:tcPr>
          <w:p w14:paraId="5531CAE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5284ED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310FFF6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1A202970">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AE55A9C">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5C80BB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7" w:hRule="atLeast"/>
          <w:jc w:val="center"/>
        </w:trPr>
        <w:tc>
          <w:tcPr>
            <w:tcW w:w="1689" w:type="dxa"/>
            <w:tcBorders>
              <w:top w:val="single" w:color="auto" w:sz="6" w:space="0"/>
              <w:bottom w:val="single" w:color="auto" w:sz="6" w:space="0"/>
            </w:tcBorders>
            <w:noWrap w:val="0"/>
            <w:vAlign w:val="center"/>
          </w:tcPr>
          <w:p w14:paraId="309414B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347118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0CD17D6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6F25510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4D8345B7">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1A5DAF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restart"/>
            <w:tcBorders>
              <w:top w:val="single" w:color="auto" w:sz="6" w:space="0"/>
            </w:tcBorders>
            <w:noWrap w:val="0"/>
            <w:vAlign w:val="center"/>
          </w:tcPr>
          <w:p w14:paraId="0820CA16">
            <w:pPr>
              <w:pStyle w:val="9"/>
              <w:keepNext/>
              <w:spacing w:after="0" w:line="360" w:lineRule="auto"/>
              <w:ind w:left="63" w:right="63"/>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其他人员</w:t>
            </w:r>
          </w:p>
        </w:tc>
        <w:tc>
          <w:tcPr>
            <w:tcW w:w="1279" w:type="dxa"/>
            <w:noWrap w:val="0"/>
            <w:vAlign w:val="center"/>
          </w:tcPr>
          <w:p w14:paraId="1ECD0D9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7B8A84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435FCAD">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6C6866AF">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68244E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466A1C3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tcBorders>
              <w:bottom w:val="nil"/>
            </w:tcBorders>
            <w:noWrap w:val="0"/>
            <w:vAlign w:val="center"/>
          </w:tcPr>
          <w:p w14:paraId="7757941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nil"/>
            </w:tcBorders>
            <w:noWrap w:val="0"/>
            <w:vAlign w:val="center"/>
          </w:tcPr>
          <w:p w14:paraId="244A3A8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nil"/>
            </w:tcBorders>
            <w:noWrap w:val="0"/>
            <w:vAlign w:val="center"/>
          </w:tcPr>
          <w:p w14:paraId="4583DF9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bottom w:val="nil"/>
            </w:tcBorders>
            <w:noWrap w:val="0"/>
            <w:vAlign w:val="center"/>
          </w:tcPr>
          <w:p w14:paraId="22DF980D">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69374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6194B4C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1D76346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51CEE0A">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12E996C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774ABB56">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D448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7D3AE151">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5BAA0E7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422EC936">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53348DA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12AB65A9">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0E51D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noWrap w:val="0"/>
            <w:vAlign w:val="center"/>
          </w:tcPr>
          <w:p w14:paraId="301E69F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noWrap w:val="0"/>
            <w:vAlign w:val="center"/>
          </w:tcPr>
          <w:p w14:paraId="7C3FF249">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27BA90C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noWrap w:val="0"/>
            <w:vAlign w:val="center"/>
          </w:tcPr>
          <w:p w14:paraId="7DCBED42">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noWrap w:val="0"/>
            <w:vAlign w:val="center"/>
          </w:tcPr>
          <w:p w14:paraId="2ABDC885">
            <w:pPr>
              <w:pStyle w:val="9"/>
              <w:keepNext/>
              <w:spacing w:after="0" w:line="360" w:lineRule="auto"/>
              <w:ind w:left="63" w:right="63"/>
              <w:rPr>
                <w:rFonts w:hint="eastAsia" w:ascii="宋体" w:hAnsi="宋体" w:cs="宋体"/>
                <w:color w:val="auto"/>
                <w:kern w:val="2"/>
                <w:sz w:val="21"/>
                <w:szCs w:val="21"/>
                <w:highlight w:val="none"/>
                <w:lang w:val="en-US" w:eastAsia="zh-CN"/>
              </w:rPr>
            </w:pPr>
          </w:p>
        </w:tc>
      </w:tr>
      <w:tr w14:paraId="2E5E10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7" w:hRule="atLeast"/>
          <w:jc w:val="center"/>
        </w:trPr>
        <w:tc>
          <w:tcPr>
            <w:tcW w:w="1689" w:type="dxa"/>
            <w:vMerge w:val="continue"/>
            <w:tcBorders>
              <w:bottom w:val="single" w:color="auto" w:sz="12" w:space="0"/>
            </w:tcBorders>
            <w:noWrap w:val="0"/>
            <w:vAlign w:val="center"/>
          </w:tcPr>
          <w:p w14:paraId="50DD61CF">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279" w:type="dxa"/>
            <w:tcBorders>
              <w:bottom w:val="single" w:color="auto" w:sz="12" w:space="0"/>
            </w:tcBorders>
            <w:noWrap w:val="0"/>
            <w:vAlign w:val="center"/>
          </w:tcPr>
          <w:p w14:paraId="6E01B16E">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single" w:color="auto" w:sz="12" w:space="0"/>
            </w:tcBorders>
            <w:noWrap w:val="0"/>
            <w:vAlign w:val="center"/>
          </w:tcPr>
          <w:p w14:paraId="3BC58FA7">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1022" w:type="dxa"/>
            <w:tcBorders>
              <w:bottom w:val="single" w:color="auto" w:sz="12" w:space="0"/>
            </w:tcBorders>
            <w:noWrap w:val="0"/>
            <w:vAlign w:val="center"/>
          </w:tcPr>
          <w:p w14:paraId="0664FEA5">
            <w:pPr>
              <w:pStyle w:val="9"/>
              <w:keepNext/>
              <w:spacing w:after="0" w:line="360" w:lineRule="auto"/>
              <w:ind w:left="63" w:right="63"/>
              <w:rPr>
                <w:rFonts w:hint="eastAsia" w:ascii="宋体" w:hAnsi="宋体" w:cs="宋体"/>
                <w:color w:val="auto"/>
                <w:kern w:val="2"/>
                <w:sz w:val="21"/>
                <w:szCs w:val="21"/>
                <w:highlight w:val="none"/>
                <w:lang w:val="en-US" w:eastAsia="zh-CN"/>
              </w:rPr>
            </w:pPr>
          </w:p>
        </w:tc>
        <w:tc>
          <w:tcPr>
            <w:tcW w:w="3833" w:type="dxa"/>
            <w:tcBorders>
              <w:bottom w:val="single" w:color="auto" w:sz="12" w:space="0"/>
            </w:tcBorders>
            <w:noWrap w:val="0"/>
            <w:vAlign w:val="center"/>
          </w:tcPr>
          <w:p w14:paraId="6AC5D0A5">
            <w:pPr>
              <w:pStyle w:val="9"/>
              <w:keepNext/>
              <w:spacing w:after="0" w:line="360" w:lineRule="auto"/>
              <w:ind w:left="63" w:right="63"/>
              <w:rPr>
                <w:rFonts w:hint="eastAsia" w:ascii="宋体" w:hAnsi="宋体" w:cs="宋体"/>
                <w:color w:val="auto"/>
                <w:kern w:val="2"/>
                <w:sz w:val="21"/>
                <w:szCs w:val="21"/>
                <w:highlight w:val="none"/>
                <w:lang w:val="en-US" w:eastAsia="zh-CN"/>
              </w:rPr>
            </w:pPr>
          </w:p>
        </w:tc>
      </w:tr>
    </w:tbl>
    <w:p w14:paraId="781CC90E">
      <w:pPr>
        <w:rPr>
          <w:rFonts w:asciiTheme="minorEastAsia" w:hAnsiTheme="minorEastAsia" w:eastAsiaTheme="minorEastAsia" w:cstheme="minorEastAsia"/>
          <w:b/>
          <w:color w:val="auto"/>
          <w:sz w:val="24"/>
          <w:highlight w:val="none"/>
        </w:rPr>
      </w:pPr>
    </w:p>
    <w:p w14:paraId="546CBB68">
      <w:pPr>
        <w:spacing w:line="360" w:lineRule="auto"/>
        <w:jc w:val="center"/>
        <w:rPr>
          <w:rFonts w:asciiTheme="minorEastAsia" w:hAnsiTheme="minorEastAsia" w:eastAsiaTheme="minorEastAsia" w:cstheme="minorEastAsia"/>
          <w:b/>
          <w:color w:val="auto"/>
          <w:sz w:val="24"/>
          <w:highlight w:val="none"/>
        </w:rPr>
      </w:pPr>
    </w:p>
    <w:p w14:paraId="36258794">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p>
    <w:p w14:paraId="6207E3BF">
      <w:pPr>
        <w:spacing w:line="360" w:lineRule="auto"/>
        <w:ind w:left="720" w:firstLine="1084" w:firstLineChars="300"/>
        <w:outlineLvl w:val="0"/>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93"/>
      <w:r>
        <w:rPr>
          <w:rFonts w:hint="eastAsia" w:asciiTheme="minorEastAsia" w:hAnsiTheme="minorEastAsia" w:eastAsiaTheme="minorEastAsia" w:cstheme="minorEastAsia"/>
          <w:b/>
          <w:color w:val="auto"/>
          <w:sz w:val="36"/>
          <w:szCs w:val="20"/>
          <w:highlight w:val="none"/>
        </w:rPr>
        <w:t xml:space="preserve"> </w:t>
      </w:r>
      <w:bookmarkEnd w:id="394"/>
      <w:r>
        <w:rPr>
          <w:rFonts w:hint="eastAsia" w:asciiTheme="minorEastAsia" w:hAnsiTheme="minorEastAsia" w:eastAsiaTheme="minorEastAsia" w:cstheme="minorEastAsia"/>
          <w:b/>
          <w:color w:val="auto"/>
          <w:sz w:val="36"/>
          <w:szCs w:val="20"/>
          <w:highlight w:val="none"/>
        </w:rPr>
        <w:t>应提交的有关格式范例</w:t>
      </w:r>
    </w:p>
    <w:p w14:paraId="38AAB778">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7BBEDAF5">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1861ED3B">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7CD55EA7">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091B3296">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有效的企业法人营业执照（或事业法人登记证）、其他组织（个体工商户）的营业执照或者民办非企业单位登记证书；</w:t>
      </w:r>
    </w:p>
    <w:p w14:paraId="58B70C38">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符合参加政府采购活动应当具备的一般条件的承诺函；</w:t>
      </w:r>
    </w:p>
    <w:p w14:paraId="0A471512">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3 落实政府采购政策需满足的资格要求</w:t>
      </w:r>
      <w:r>
        <w:rPr>
          <w:rFonts w:hint="eastAsia" w:asciiTheme="minorEastAsia" w:hAnsiTheme="minorEastAsia" w:eastAsiaTheme="minorEastAsia" w:cstheme="minorEastAsia"/>
          <w:color w:val="auto"/>
          <w:sz w:val="28"/>
          <w:szCs w:val="28"/>
          <w:highlight w:val="none"/>
          <w:lang w:eastAsia="zh-CN"/>
        </w:rPr>
        <w:t>（如有）</w:t>
      </w:r>
      <w:r>
        <w:rPr>
          <w:rFonts w:hint="eastAsia" w:asciiTheme="minorEastAsia" w:hAnsiTheme="minorEastAsia" w:eastAsiaTheme="minorEastAsia" w:cstheme="minorEastAsia"/>
          <w:color w:val="auto"/>
          <w:sz w:val="28"/>
          <w:szCs w:val="28"/>
          <w:highlight w:val="none"/>
        </w:rPr>
        <w:t>；</w:t>
      </w:r>
    </w:p>
    <w:p w14:paraId="3ACF99DB">
      <w:pP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4 本项目的特定资格要求（如有）。</w:t>
      </w:r>
    </w:p>
    <w:p w14:paraId="4E7916AF">
      <w:pPr>
        <w:pStyle w:val="32"/>
        <w:spacing w:line="360" w:lineRule="auto"/>
        <w:ind w:firstLine="480"/>
        <w:rPr>
          <w:rFonts w:asciiTheme="minorEastAsia" w:hAnsiTheme="minorEastAsia" w:eastAsiaTheme="minorEastAsia" w:cstheme="minorEastAsia"/>
          <w:color w:val="auto"/>
          <w:sz w:val="24"/>
          <w:highlight w:val="none"/>
        </w:rPr>
      </w:pPr>
    </w:p>
    <w:p w14:paraId="1BDE9ADE">
      <w:pP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5A66008B">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一、 符合参加政府采购活动应当具备的一般条件的承诺函</w:t>
      </w:r>
    </w:p>
    <w:p w14:paraId="35E9CA84">
      <w:pP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757A430C">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u w:val="single"/>
          <w:lang w:eastAsia="zh-CN"/>
        </w:rPr>
        <w:t>项目编号：</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lang w:eastAsia="zh-CN"/>
        </w:rPr>
        <w:t>】</w:t>
      </w:r>
      <w:r>
        <w:rPr>
          <w:rFonts w:hint="eastAsia" w:asciiTheme="minorEastAsia" w:hAnsiTheme="minorEastAsia" w:eastAsiaTheme="minorEastAsia" w:cstheme="minorEastAsia"/>
          <w:color w:val="auto"/>
          <w:sz w:val="24"/>
          <w:highlight w:val="none"/>
        </w:rPr>
        <w:t>政府采购活动，郑重承诺：</w:t>
      </w:r>
    </w:p>
    <w:p w14:paraId="3EBC1DB9">
      <w:pPr>
        <w:snapToGrid w:val="0"/>
        <w:spacing w:line="360" w:lineRule="auto"/>
        <w:ind w:firstLine="360" w:firstLineChars="1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（一）具备《中华人民共和国政府采购法》第二十二条第一款规定的条件：</w:t>
      </w:r>
    </w:p>
    <w:p w14:paraId="4633B55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具有独立承担民事责任的能力；</w:t>
      </w:r>
    </w:p>
    <w:p w14:paraId="3A4522E3">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 xml:space="preserve">具有良好的商业信誉和健全的财务会计制度； </w:t>
      </w:r>
    </w:p>
    <w:p w14:paraId="64B025C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具有履行合同所必需的设备和专业技术能力；</w:t>
      </w:r>
    </w:p>
    <w:p w14:paraId="51FE8A7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有依法缴纳税收和社会保障资金的良好记录；</w:t>
      </w:r>
    </w:p>
    <w:p w14:paraId="29794C2E">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参加政府采购活动前三年内，在经营活动中没有重大违法记录；</w:t>
      </w:r>
    </w:p>
    <w:p w14:paraId="1E569772">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具有法律、行政法规规定的其他条件。</w:t>
      </w:r>
    </w:p>
    <w:p w14:paraId="4C1B23A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（二）未被信用中国（www.creditchina.gov.cn)、中国政府采购网（www.ccgp.gov.cn）列入失信被执行人、重大税收违法失信主体、政府采购严重违法失信行为记录名单。</w:t>
      </w:r>
    </w:p>
    <w:p w14:paraId="7D47157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（三）不存在以下情况：</w:t>
      </w:r>
    </w:p>
    <w:p w14:paraId="0DC08B3F">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单位负责人为同一人或者存在直接控股、管理关系的不同供应商参加同一合同项下的政府采购活动的；</w:t>
      </w:r>
    </w:p>
    <w:p w14:paraId="4CC2D3A8">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为采购项目提供整体设计、规范编制或者项目管理、监理、检测等服务后再参加该采购项目的其他采购活动的。</w:t>
      </w:r>
    </w:p>
    <w:p w14:paraId="7D8F5E61">
      <w:pP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5AC1303C">
      <w:pP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7B364BA4">
      <w:pPr>
        <w:spacing w:line="360" w:lineRule="auto"/>
        <w:ind w:right="420" w:firstLine="5250" w:firstLineChars="25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法定代表人（签名或印章）：     </w:t>
      </w:r>
    </w:p>
    <w:p w14:paraId="0AE1A1F8">
      <w:pPr>
        <w:spacing w:line="360" w:lineRule="auto"/>
        <w:ind w:right="420" w:firstLine="5460" w:firstLineChars="2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供应商（盖章）：   </w:t>
      </w:r>
    </w:p>
    <w:p w14:paraId="39AD6CE7">
      <w:pPr>
        <w:spacing w:line="360" w:lineRule="auto"/>
        <w:ind w:right="420" w:firstLine="5355" w:firstLineChars="25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年    月    日</w:t>
      </w:r>
    </w:p>
    <w:p w14:paraId="7BA4892D">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7A84C30">
      <w:pP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2389F1BF">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二、落实政府采购政策需满足的资格要求</w:t>
      </w:r>
    </w:p>
    <w:p w14:paraId="7D8C1472">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（根据竞争性磋商公告落实政府采购政策需满足的资格要求选择提供相应的材料；未要求的，无需提供）</w:t>
      </w:r>
    </w:p>
    <w:p w14:paraId="27C5CFD1">
      <w:pPr>
        <w:snapToGrid w:val="0"/>
        <w:spacing w:before="50" w:after="50"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A</w:t>
      </w:r>
      <w:r>
        <w:rPr>
          <w:rFonts w:hint="eastAsia" w:asciiTheme="minorEastAsia" w:hAnsiTheme="minorEastAsia" w:eastAsiaTheme="minorEastAsia" w:cstheme="minorEastAsia"/>
          <w:color w:val="auto"/>
          <w:sz w:val="24"/>
          <w:highlight w:val="none"/>
        </w:rPr>
        <w:t xml:space="preserve">.专门面向中小企业，货物全部由符合政策要求的中小企业（或小微企业）制造或者服务全部由符合政策要求的中小企业（或小微企业）承接的，提供相应的中小企业声明函。 </w:t>
      </w:r>
    </w:p>
    <w:p w14:paraId="272F43DD">
      <w:pPr>
        <w:widowControl/>
        <w:spacing w:line="360" w:lineRule="auto"/>
        <w:ind w:firstLine="480"/>
        <w:jc w:val="left"/>
        <w:rPr>
          <w:rFonts w:asciiTheme="minorEastAsia" w:hAnsiTheme="minorEastAsia" w:eastAsiaTheme="minorEastAsia" w:cstheme="minorEastAsia"/>
          <w:color w:val="auto"/>
          <w:sz w:val="24"/>
          <w:highlight w:val="none"/>
        </w:rPr>
      </w:pPr>
    </w:p>
    <w:p w14:paraId="3AF5D417">
      <w:pPr>
        <w:widowControl/>
        <w:spacing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B.</w:t>
      </w:r>
      <w:r>
        <w:rPr>
          <w:rFonts w:hint="eastAsia" w:asciiTheme="minorEastAsia" w:hAnsiTheme="minorEastAsia" w:eastAsiaTheme="minorEastAsia" w:cstheme="minorEastAsia"/>
          <w:color w:val="auto"/>
          <w:sz w:val="24"/>
          <w:highlight w:val="none"/>
        </w:rPr>
        <w:t>要求以联合体形式参加的，提供联合协议和中小企业声明函，联合协议中中小企业合同金额应当达到竞争性磋商公告载明的比例；如果供应商本身提供所有标的均由中小企业制造或承接的，视同符合了资格条件，无需再与其他中小企业组成联合体参加政府采购活动，无需提供联合协议。</w:t>
      </w:r>
    </w:p>
    <w:p w14:paraId="4278D40F">
      <w:pPr>
        <w:spacing w:line="360" w:lineRule="auto"/>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rPr>
        <w:t>三、本项目的特定资格要求</w:t>
      </w:r>
    </w:p>
    <w:p w14:paraId="4EBD966D">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（根据竞争性磋商公告本项目的特定资格要求提供相应的材料；未要求的，无需提供）</w:t>
      </w:r>
    </w:p>
    <w:p w14:paraId="46F9DF04">
      <w:pPr>
        <w:spacing w:line="360" w:lineRule="auto"/>
        <w:rPr>
          <w:rFonts w:asciiTheme="minorEastAsia" w:hAnsiTheme="minorEastAsia" w:eastAsiaTheme="minorEastAsia" w:cstheme="minorEastAsia"/>
          <w:color w:val="auto"/>
          <w:highlight w:val="none"/>
        </w:rPr>
      </w:pPr>
    </w:p>
    <w:p w14:paraId="50BA447E">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66748DC">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434B5521">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3CCB77C5">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35E211BE">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5CEC8B87">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112DAA56">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2EA970CF">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5694571B">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1E608177">
      <w:pP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74398039">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1559F449">
      <w:pPr>
        <w:spacing w:line="360" w:lineRule="auto"/>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1EDA4413">
      <w:pPr>
        <w:spacing w:line="360" w:lineRule="auto"/>
        <w:ind w:right="420"/>
        <w:jc w:val="center"/>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72DC0830">
      <w:pPr>
        <w:spacing w:line="360" w:lineRule="auto"/>
        <w:jc w:val="center"/>
        <w:outlineLvl w:val="0"/>
        <w:rPr>
          <w:rFonts w:asciiTheme="minorEastAsia" w:hAnsiTheme="minorEastAsia" w:eastAsiaTheme="minorEastAsia" w:cstheme="minorEastAsia"/>
          <w:b/>
          <w:color w:val="auto"/>
          <w:kern w:val="0"/>
          <w:sz w:val="24"/>
          <w:highlight w:val="none"/>
        </w:rPr>
      </w:pPr>
    </w:p>
    <w:p w14:paraId="3BA277A0">
      <w:pPr>
        <w:spacing w:line="360" w:lineRule="auto"/>
        <w:ind w:left="3990" w:leftChars="1900"/>
        <w:outlineLvl w:val="0"/>
        <w:rPr>
          <w:rFonts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 录</w:t>
      </w:r>
    </w:p>
    <w:p w14:paraId="27C8E848">
      <w:pPr>
        <w:snapToGrid w:val="0"/>
        <w:spacing w:line="360" w:lineRule="auto"/>
        <w:ind w:firstLine="960" w:firstLineChars="400"/>
        <w:rPr>
          <w:rFonts w:asciiTheme="minorEastAsia" w:hAnsiTheme="minorEastAsia" w:eastAsiaTheme="minorEastAsia" w:cstheme="minorEastAsia"/>
          <w:color w:val="auto"/>
          <w:sz w:val="24"/>
          <w:highlight w:val="none"/>
        </w:rPr>
      </w:pPr>
    </w:p>
    <w:p w14:paraId="3008F2DE">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符合性自查表；</w:t>
      </w:r>
    </w:p>
    <w:p w14:paraId="77D837E9">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磋商函；</w:t>
      </w:r>
      <w:r>
        <w:rPr>
          <w:rFonts w:hint="eastAsia" w:asciiTheme="minorEastAsia" w:hAnsiTheme="minorEastAsia" w:eastAsiaTheme="minorEastAsia" w:cstheme="minorEastAsia"/>
          <w:color w:val="auto"/>
          <w:sz w:val="28"/>
          <w:szCs w:val="28"/>
          <w:highlight w:val="none"/>
          <w:lang w:val="zh-CN"/>
        </w:rPr>
        <w:t xml:space="preserve"> </w:t>
      </w:r>
    </w:p>
    <w:p w14:paraId="2636F374">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3 授权委托书；</w:t>
      </w:r>
    </w:p>
    <w:p w14:paraId="74C115A5">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4 供应商情况表；</w:t>
      </w:r>
    </w:p>
    <w:p w14:paraId="068D969B">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5 距采购人最近或者能为本项目提供最优服务的网点情况表；</w:t>
      </w:r>
    </w:p>
    <w:p w14:paraId="785C7596">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6 评审标准相应的商务技术资料；</w:t>
      </w:r>
    </w:p>
    <w:p w14:paraId="281436A6">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7 商务偏离表；</w:t>
      </w:r>
    </w:p>
    <w:p w14:paraId="5D8A5607">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8 技术偏离表；</w:t>
      </w:r>
    </w:p>
    <w:p w14:paraId="6925679E">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9 同类业绩情况一览表；</w:t>
      </w:r>
    </w:p>
    <w:p w14:paraId="1BBB07E2">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lang w:val="zh-CN"/>
        </w:rPr>
      </w:pPr>
      <w:r>
        <w:rPr>
          <w:rFonts w:hint="eastAsia" w:asciiTheme="minorEastAsia" w:hAnsiTheme="minorEastAsia" w:eastAsiaTheme="minorEastAsia" w:cstheme="minorEastAsia"/>
          <w:color w:val="auto"/>
          <w:sz w:val="28"/>
          <w:szCs w:val="28"/>
          <w:highlight w:val="none"/>
        </w:rPr>
        <w:t xml:space="preserve">10 </w:t>
      </w:r>
      <w:r>
        <w:rPr>
          <w:rFonts w:hint="eastAsia" w:asciiTheme="minorEastAsia" w:hAnsiTheme="minorEastAsia" w:eastAsiaTheme="minorEastAsia" w:cstheme="minorEastAsia"/>
          <w:color w:val="auto"/>
          <w:sz w:val="28"/>
          <w:szCs w:val="28"/>
          <w:highlight w:val="none"/>
          <w:lang w:val="zh-CN"/>
        </w:rPr>
        <w:t>政府采购供应商廉洁自律承诺书；</w:t>
      </w:r>
    </w:p>
    <w:p w14:paraId="563516DD">
      <w:pP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11 其他资料。</w:t>
      </w:r>
    </w:p>
    <w:p w14:paraId="76C7D96B">
      <w:pPr>
        <w:snapToGrid w:val="0"/>
        <w:spacing w:line="360" w:lineRule="auto"/>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p>
    <w:p w14:paraId="50D78245">
      <w:pPr>
        <w:numPr>
          <w:ilvl w:val="0"/>
          <w:numId w:val="6"/>
        </w:numPr>
        <w:snapToGrid w:val="0"/>
        <w:spacing w:line="360" w:lineRule="auto"/>
        <w:ind w:left="420" w:leftChars="0" w:firstLineChars="0"/>
        <w:jc w:val="center"/>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符合性自查表</w:t>
      </w:r>
    </w:p>
    <w:tbl>
      <w:tblPr>
        <w:tblStyle w:val="24"/>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3544"/>
        <w:gridCol w:w="2693"/>
        <w:gridCol w:w="1276"/>
        <w:gridCol w:w="1979"/>
      </w:tblGrid>
      <w:tr w14:paraId="54157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07" w:type="dxa"/>
            <w:vAlign w:val="center"/>
          </w:tcPr>
          <w:p w14:paraId="04624843">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544" w:type="dxa"/>
            <w:vAlign w:val="center"/>
          </w:tcPr>
          <w:p w14:paraId="33CE47ED">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2693" w:type="dxa"/>
            <w:vAlign w:val="center"/>
          </w:tcPr>
          <w:p w14:paraId="259C4DCC">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276" w:type="dxa"/>
            <w:vAlign w:val="center"/>
          </w:tcPr>
          <w:p w14:paraId="35BBD2E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自查结论</w:t>
            </w:r>
          </w:p>
        </w:tc>
        <w:tc>
          <w:tcPr>
            <w:tcW w:w="1979" w:type="dxa"/>
            <w:vAlign w:val="center"/>
          </w:tcPr>
          <w:p w14:paraId="748A7352">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395A5BE4">
            <w:pP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7F1C1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24ADA675">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544" w:type="dxa"/>
            <w:vAlign w:val="center"/>
          </w:tcPr>
          <w:p w14:paraId="34B81E6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响应文件按照采购文件要求签署、盖章。</w:t>
            </w:r>
          </w:p>
        </w:tc>
        <w:tc>
          <w:tcPr>
            <w:tcW w:w="2693" w:type="dxa"/>
            <w:vAlign w:val="center"/>
          </w:tcPr>
          <w:p w14:paraId="3AE4726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276" w:type="dxa"/>
            <w:vAlign w:val="center"/>
          </w:tcPr>
          <w:p w14:paraId="4D13E33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7C327FDA">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25E44A7B">
            <w:pPr>
              <w:spacing w:line="360" w:lineRule="auto"/>
              <w:rPr>
                <w:rFonts w:asciiTheme="minorEastAsia" w:hAnsiTheme="minorEastAsia" w:eastAsiaTheme="minorEastAsia" w:cstheme="minorEastAsia"/>
                <w:color w:val="auto"/>
                <w:sz w:val="24"/>
                <w:highlight w:val="none"/>
              </w:rPr>
            </w:pPr>
          </w:p>
          <w:p w14:paraId="41A9F59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152D0C4E">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67FC8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75FED9B4">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544" w:type="dxa"/>
            <w:vAlign w:val="center"/>
          </w:tcPr>
          <w:p w14:paraId="76DAC420">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响应文件中承诺的响应有效期不少于采购文件中载明的响应有效期。</w:t>
            </w:r>
          </w:p>
        </w:tc>
        <w:tc>
          <w:tcPr>
            <w:tcW w:w="2693" w:type="dxa"/>
            <w:vAlign w:val="center"/>
          </w:tcPr>
          <w:p w14:paraId="588FEFF6">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磋商函</w:t>
            </w:r>
          </w:p>
        </w:tc>
        <w:tc>
          <w:tcPr>
            <w:tcW w:w="1276" w:type="dxa"/>
            <w:vAlign w:val="center"/>
          </w:tcPr>
          <w:p w14:paraId="40CBA876">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4A8375B4">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4CA2794C">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7CDF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707" w:type="dxa"/>
            <w:vAlign w:val="center"/>
          </w:tcPr>
          <w:p w14:paraId="3BFA06E7">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544" w:type="dxa"/>
            <w:vAlign w:val="center"/>
          </w:tcPr>
          <w:p w14:paraId="378CD7EC">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响应文件满足采购文件的其它实质性要求。</w:t>
            </w:r>
          </w:p>
        </w:tc>
        <w:tc>
          <w:tcPr>
            <w:tcW w:w="2693" w:type="dxa"/>
            <w:vAlign w:val="center"/>
          </w:tcPr>
          <w:p w14:paraId="27DC486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采购文件其它实质性要求相应的材料（“▲” 系指实质性要求条款，采购文件无其它实质性要求的，无需提供）</w:t>
            </w:r>
          </w:p>
        </w:tc>
        <w:tc>
          <w:tcPr>
            <w:tcW w:w="1276" w:type="dxa"/>
            <w:vAlign w:val="center"/>
          </w:tcPr>
          <w:p w14:paraId="21065A8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7A8278BB">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6DDDBD75">
            <w:pP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09002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6FDD51A6">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3544" w:type="dxa"/>
            <w:vAlign w:val="center"/>
          </w:tcPr>
          <w:p w14:paraId="50D0E0F0">
            <w:pP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响应文件没有采购文件中规定的其它无效响应条款的。</w:t>
            </w:r>
          </w:p>
        </w:tc>
        <w:tc>
          <w:tcPr>
            <w:tcW w:w="2693" w:type="dxa"/>
            <w:vAlign w:val="center"/>
          </w:tcPr>
          <w:p w14:paraId="20586ED7">
            <w:pP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72C6C6B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051454E7">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618DE174">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6874B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7169F74F">
            <w:pP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3544" w:type="dxa"/>
            <w:vAlign w:val="center"/>
          </w:tcPr>
          <w:p w14:paraId="48B65985">
            <w:pP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按有关法律、法规、规章不属于响应无效的。</w:t>
            </w:r>
          </w:p>
        </w:tc>
        <w:tc>
          <w:tcPr>
            <w:tcW w:w="2693" w:type="dxa"/>
            <w:vAlign w:val="center"/>
          </w:tcPr>
          <w:p w14:paraId="3E58C5EE">
            <w:pP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1BE954D5">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65F1D26E">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4E7DE2FA">
            <w:pP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37037079">
      <w:pPr>
        <w:snapToGrid w:val="0"/>
        <w:spacing w:line="360" w:lineRule="auto"/>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24"/>
          <w:highlight w:val="none"/>
        </w:rPr>
        <w:t xml:space="preserve">备注：供应商自查表将作为供应商有效性审查的重要内容之一，供应商必须严格按照其内容及序列要求在响应文件中对应如实提供，对资格性证明文件的任何缺漏和不符合项将会直接导致响应无效！ </w:t>
      </w:r>
    </w:p>
    <w:p w14:paraId="17C94631">
      <w:pPr>
        <w:numPr>
          <w:ilvl w:val="0"/>
          <w:numId w:val="6"/>
        </w:numPr>
        <w:snapToGrid w:val="0"/>
        <w:spacing w:line="360" w:lineRule="auto"/>
        <w:ind w:left="420" w:leftChars="0" w:firstLineChars="0"/>
        <w:jc w:val="center"/>
        <w:outlineLvl w:val="0"/>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r>
        <w:rPr>
          <w:rFonts w:hint="eastAsia" w:asciiTheme="minorEastAsia" w:hAnsiTheme="minorEastAsia" w:eastAsiaTheme="minorEastAsia" w:cstheme="minorEastAsia"/>
          <w:b/>
          <w:color w:val="auto"/>
          <w:kern w:val="0"/>
          <w:sz w:val="32"/>
          <w:szCs w:val="32"/>
          <w:highlight w:val="none"/>
        </w:rPr>
        <w:t>磋商</w:t>
      </w:r>
      <w:r>
        <w:rPr>
          <w:rFonts w:hint="eastAsia" w:asciiTheme="minorEastAsia" w:hAnsiTheme="minorEastAsia" w:eastAsiaTheme="minorEastAsia" w:cstheme="minorEastAsia"/>
          <w:b/>
          <w:color w:val="auto"/>
          <w:sz w:val="32"/>
          <w:szCs w:val="32"/>
          <w:highlight w:val="none"/>
        </w:rPr>
        <w:t>函</w:t>
      </w:r>
    </w:p>
    <w:p w14:paraId="6ED48FD0">
      <w:pP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28CEBA75">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u w:val="single"/>
          <w:lang w:eastAsia="zh-CN"/>
        </w:rPr>
        <w:t>项目编号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采购活动，并对此项目进行磋商响应。为此：</w:t>
      </w:r>
    </w:p>
    <w:p w14:paraId="53ED16B7">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我方承诺响应有效期从提交响应文件的截止之日起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本响应文件在响应有效期满之前均具有约束力。</w:t>
      </w:r>
    </w:p>
    <w:p w14:paraId="27FBCBF4">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我方的响应文件包括以下内容：</w:t>
      </w:r>
    </w:p>
    <w:p w14:paraId="0413A746">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7FD63DF4">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2.1.1有效的企业法人营业执照（或事业法人登记证）、其他组织（个体工商户）的营业执照或者民办非企业单位登记证书；</w:t>
      </w:r>
    </w:p>
    <w:p w14:paraId="11B4BE40">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2.1.2符合参加政府采购活动应当具备的一般条件的承诺函；</w:t>
      </w:r>
    </w:p>
    <w:p w14:paraId="488C45C6">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2.1.3落实政府采购政策需满足的资格要求（</w:t>
      </w:r>
      <w:r>
        <w:rPr>
          <w:rFonts w:hint="eastAsia" w:asciiTheme="minorEastAsia" w:hAnsiTheme="minorEastAsia" w:eastAsiaTheme="minorEastAsia" w:cstheme="minorEastAsia"/>
          <w:color w:val="auto"/>
          <w:sz w:val="24"/>
          <w:highlight w:val="none"/>
          <w:lang w:eastAsia="zh-CN"/>
        </w:rPr>
        <w:t>如有</w:t>
      </w:r>
      <w:r>
        <w:rPr>
          <w:rFonts w:hint="eastAsia" w:asciiTheme="minorEastAsia" w:hAnsiTheme="minorEastAsia" w:eastAsiaTheme="minorEastAsia" w:cstheme="minorEastAsia"/>
          <w:color w:val="auto"/>
          <w:sz w:val="24"/>
          <w:highlight w:val="none"/>
        </w:rPr>
        <w:t>）；</w:t>
      </w:r>
    </w:p>
    <w:p w14:paraId="0823AD16">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2.1.4本项目的特定资格要求（</w:t>
      </w:r>
      <w:r>
        <w:rPr>
          <w:rFonts w:hint="eastAsia" w:asciiTheme="minorEastAsia" w:hAnsiTheme="minorEastAsia" w:eastAsiaTheme="minorEastAsia" w:cstheme="minorEastAsia"/>
          <w:color w:val="auto"/>
          <w:sz w:val="24"/>
          <w:highlight w:val="none"/>
          <w:lang w:eastAsia="zh-CN"/>
        </w:rPr>
        <w:t>如有</w:t>
      </w:r>
      <w:r>
        <w:rPr>
          <w:rFonts w:hint="eastAsia" w:asciiTheme="minorEastAsia" w:hAnsiTheme="minorEastAsia" w:eastAsiaTheme="minorEastAsia" w:cstheme="minorEastAsia"/>
          <w:color w:val="auto"/>
          <w:sz w:val="24"/>
          <w:highlight w:val="none"/>
        </w:rPr>
        <w:t>）。</w:t>
      </w:r>
    </w:p>
    <w:p w14:paraId="0D6E109C">
      <w:pPr>
        <w:snapToGrid w:val="0"/>
        <w:spacing w:line="360" w:lineRule="auto"/>
        <w:ind w:left="210" w:leftChars="1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商务技术</w:t>
      </w:r>
      <w:r>
        <w:rPr>
          <w:rFonts w:hint="eastAsia" w:asciiTheme="minorEastAsia" w:hAnsiTheme="minorEastAsia" w:eastAsiaTheme="minorEastAsia" w:cstheme="minorEastAsia"/>
          <w:color w:val="auto"/>
          <w:sz w:val="24"/>
          <w:highlight w:val="none"/>
          <w:lang w:val="zh-CN"/>
        </w:rPr>
        <w:t>文件：</w:t>
      </w:r>
    </w:p>
    <w:p w14:paraId="7CED0183">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 符合性自查表；</w:t>
      </w:r>
    </w:p>
    <w:p w14:paraId="6926CE74">
      <w:pPr>
        <w:snapToGrid w:val="0"/>
        <w:spacing w:line="360" w:lineRule="auto"/>
        <w:ind w:left="420" w:leftChars="200" w:firstLine="480" w:firstLineChars="200"/>
        <w:rPr>
          <w:rFonts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sz w:val="24"/>
          <w:highlight w:val="none"/>
        </w:rPr>
        <w:t>2.2.2 磋商函；</w:t>
      </w:r>
      <w:r>
        <w:rPr>
          <w:rFonts w:hint="eastAsia" w:asciiTheme="minorEastAsia" w:hAnsiTheme="minorEastAsia" w:eastAsiaTheme="minorEastAsia" w:cstheme="minorEastAsia"/>
          <w:color w:val="auto"/>
          <w:sz w:val="24"/>
          <w:highlight w:val="none"/>
          <w:lang w:val="zh-CN"/>
        </w:rPr>
        <w:t xml:space="preserve"> </w:t>
      </w:r>
    </w:p>
    <w:p w14:paraId="460D7E51">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 授权委托书；</w:t>
      </w:r>
    </w:p>
    <w:p w14:paraId="3463398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 供应商情况表；</w:t>
      </w:r>
    </w:p>
    <w:p w14:paraId="7E499A6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2.2.5 距采购人最近或者能为本项目提供最优服务的网点情况表；</w:t>
      </w:r>
    </w:p>
    <w:p w14:paraId="78D26B69">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 评审标准相应的商务技术资料；</w:t>
      </w:r>
    </w:p>
    <w:p w14:paraId="095E6FFD">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7 商务</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668634DA">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 技术</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6E0D2EEB">
      <w:pP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9 同类业绩情况一览表；</w:t>
      </w:r>
    </w:p>
    <w:p w14:paraId="0220D153">
      <w:pPr>
        <w:snapToGrid w:val="0"/>
        <w:spacing w:line="360" w:lineRule="auto"/>
        <w:ind w:left="420" w:leftChars="2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 xml:space="preserve">2.2.10 </w:t>
      </w:r>
      <w:r>
        <w:rPr>
          <w:rFonts w:hint="eastAsia" w:asciiTheme="minorEastAsia" w:hAnsiTheme="minorEastAsia" w:eastAsiaTheme="minorEastAsia" w:cstheme="minorEastAsia"/>
          <w:color w:val="auto"/>
          <w:sz w:val="24"/>
          <w:highlight w:val="none"/>
          <w:lang w:val="zh-CN"/>
        </w:rPr>
        <w:t>政府采购供应商廉洁自律承诺书；</w:t>
      </w:r>
    </w:p>
    <w:p w14:paraId="6C846055">
      <w:pP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2.2.11 其他资料。</w:t>
      </w:r>
    </w:p>
    <w:p w14:paraId="6B6F11BD">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050027CE">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 报价一览表；</w:t>
      </w:r>
    </w:p>
    <w:p w14:paraId="306EA8B6">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2.3.2中小企业声明函（如有）；</w:t>
      </w:r>
    </w:p>
    <w:p w14:paraId="56305DE9">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2.3.3 残疾人福利性单位声明函（如有）；</w:t>
      </w:r>
    </w:p>
    <w:p w14:paraId="2FF47F02">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2.3.4 监狱企业的证明文件（如有）；</w:t>
      </w:r>
    </w:p>
    <w:p w14:paraId="3DDF904B">
      <w:pP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2.3.5 政府采购统计基础信息表。</w:t>
      </w:r>
    </w:p>
    <w:p w14:paraId="019B1E8B">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我方承诺除商务技术偏离表列出的偏离外，我方响应采购文件的全部要求。</w:t>
      </w:r>
    </w:p>
    <w:p w14:paraId="701C9EFB">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如我方成交，我方承诺：</w:t>
      </w:r>
    </w:p>
    <w:p w14:paraId="34F55C28">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066CEF17">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53837630">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4.3按照采购文件要求提交履约保证金； </w:t>
      </w:r>
    </w:p>
    <w:p w14:paraId="1216EF17">
      <w:pP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3106E530">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其他补充说明</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w:t>
      </w:r>
    </w:p>
    <w:p w14:paraId="77F60A41">
      <w:pPr>
        <w:spacing w:line="360" w:lineRule="auto"/>
        <w:ind w:firstLine="3600" w:firstLineChars="1500"/>
        <w:rPr>
          <w:rFonts w:asciiTheme="minorEastAsia" w:hAnsiTheme="minorEastAsia" w:eastAsiaTheme="minorEastAsia" w:cstheme="minorEastAsia"/>
          <w:color w:val="auto"/>
          <w:sz w:val="24"/>
          <w:highlight w:val="none"/>
        </w:rPr>
      </w:pPr>
    </w:p>
    <w:p w14:paraId="5F02E8BA">
      <w:pPr>
        <w:spacing w:line="360" w:lineRule="auto"/>
        <w:ind w:firstLine="3600" w:firstLineChars="1500"/>
        <w:rPr>
          <w:rFonts w:asciiTheme="minorEastAsia" w:hAnsiTheme="minorEastAsia" w:eastAsiaTheme="minorEastAsia" w:cstheme="minorEastAsia"/>
          <w:color w:val="auto"/>
          <w:sz w:val="24"/>
          <w:highlight w:val="none"/>
        </w:rPr>
      </w:pPr>
    </w:p>
    <w:p w14:paraId="71B1D14F">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法定代表人（签名或印章）：     </w:t>
      </w:r>
    </w:p>
    <w:p w14:paraId="6B2196A9">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供应商（盖章）：   </w:t>
      </w:r>
    </w:p>
    <w:p w14:paraId="7366C0B5">
      <w:pPr>
        <w:snapToGrid w:val="0"/>
        <w:spacing w:line="360" w:lineRule="auto"/>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    月    日</w:t>
      </w:r>
    </w:p>
    <w:p w14:paraId="0C3CFA30">
      <w:pPr>
        <w:spacing w:line="360" w:lineRule="auto"/>
        <w:jc w:val="center"/>
        <w:rPr>
          <w:rFonts w:asciiTheme="minorEastAsia" w:hAnsiTheme="minorEastAsia" w:eastAsiaTheme="minorEastAsia" w:cstheme="minorEastAsia"/>
          <w:b/>
          <w:color w:val="auto"/>
          <w:kern w:val="0"/>
          <w:sz w:val="32"/>
          <w:szCs w:val="32"/>
          <w:highlight w:val="none"/>
        </w:rPr>
      </w:pPr>
    </w:p>
    <w:p w14:paraId="43B86DCE">
      <w:pPr>
        <w:spacing w:line="360" w:lineRule="auto"/>
        <w:jc w:val="center"/>
        <w:rPr>
          <w:rFonts w:asciiTheme="minorEastAsia" w:hAnsiTheme="minorEastAsia" w:eastAsiaTheme="minorEastAsia" w:cstheme="minorEastAsia"/>
          <w:b/>
          <w:color w:val="auto"/>
          <w:kern w:val="0"/>
          <w:sz w:val="32"/>
          <w:szCs w:val="32"/>
          <w:highlight w:val="none"/>
          <w:lang w:val="zh-CN"/>
        </w:rPr>
      </w:pPr>
    </w:p>
    <w:p w14:paraId="1C53E9BF">
      <w:pPr>
        <w:spacing w:line="360" w:lineRule="auto"/>
        <w:rPr>
          <w:rFonts w:asciiTheme="minorEastAsia" w:hAnsiTheme="minorEastAsia" w:eastAsiaTheme="minorEastAsia" w:cstheme="minorEastAsia"/>
          <w:b/>
          <w:color w:val="auto"/>
          <w:sz w:val="32"/>
          <w:szCs w:val="32"/>
          <w:highlight w:val="none"/>
        </w:rPr>
      </w:pPr>
      <w:bookmarkStart w:id="459" w:name="_Toc488936100"/>
      <w:bookmarkStart w:id="460" w:name="_Toc14746861"/>
      <w:bookmarkStart w:id="461" w:name="_Toc225223761"/>
      <w:bookmarkStart w:id="462" w:name="_Toc483379796"/>
      <w:bookmarkStart w:id="463" w:name="_Toc110393361"/>
      <w:bookmarkStart w:id="464" w:name="_Toc479927873"/>
    </w:p>
    <w:p w14:paraId="26638480">
      <w:pPr>
        <w:numPr>
          <w:ilvl w:val="0"/>
          <w:numId w:val="6"/>
        </w:numPr>
        <w:snapToGrid w:val="0"/>
        <w:spacing w:line="360" w:lineRule="auto"/>
        <w:ind w:left="420" w:leftChars="0" w:firstLineChars="0"/>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授权委托书</w:t>
      </w:r>
    </w:p>
    <w:p w14:paraId="7BCE5D95">
      <w:pPr>
        <w:spacing w:line="440" w:lineRule="exact"/>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32"/>
          <w:szCs w:val="32"/>
          <w:highlight w:val="none"/>
        </w:rPr>
        <w:t>法定代表人授权委托书</w:t>
      </w:r>
    </w:p>
    <w:p w14:paraId="4D8CE035">
      <w:pPr>
        <w:spacing w:line="440" w:lineRule="exact"/>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Cs/>
          <w:color w:val="auto"/>
          <w:sz w:val="24"/>
          <w:highlight w:val="none"/>
        </w:rPr>
        <w:t>（法定代表人来参加磋商采购活动的，此表不用）</w:t>
      </w:r>
    </w:p>
    <w:p w14:paraId="56C5E4C1">
      <w:pPr>
        <w:snapToGrid w:val="0"/>
        <w:spacing w:line="360" w:lineRule="auto"/>
        <w:rPr>
          <w:rFonts w:asciiTheme="minorEastAsia" w:hAnsiTheme="minorEastAsia" w:eastAsiaTheme="minorEastAsia" w:cstheme="minorEastAsia"/>
          <w:bCs/>
          <w:color w:val="auto"/>
          <w:sz w:val="24"/>
          <w:highlight w:val="none"/>
        </w:rPr>
      </w:pPr>
    </w:p>
    <w:p w14:paraId="6AC172BD">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（采购单位名称）</w:t>
      </w:r>
      <w:r>
        <w:rPr>
          <w:rFonts w:hint="eastAsia" w:asciiTheme="minorEastAsia" w:hAnsiTheme="minorEastAsia" w:eastAsiaTheme="minorEastAsia" w:cstheme="minorEastAsia"/>
          <w:b/>
          <w:bCs/>
          <w:color w:val="auto"/>
          <w:szCs w:val="21"/>
          <w:highlight w:val="none"/>
        </w:rPr>
        <w:t xml:space="preserve"> </w:t>
      </w:r>
      <w:r>
        <w:rPr>
          <w:rFonts w:hint="eastAsia" w:asciiTheme="minorEastAsia" w:hAnsiTheme="minorEastAsia" w:eastAsiaTheme="minorEastAsia" w:cstheme="minorEastAsia"/>
          <w:color w:val="auto"/>
          <w:szCs w:val="21"/>
          <w:highlight w:val="none"/>
        </w:rPr>
        <w:t>：</w:t>
      </w:r>
    </w:p>
    <w:p w14:paraId="37C3750A">
      <w:pP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（姓名）系</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（供应商名称）的法定代表人，现授权委托本单位在职职工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（姓名）以我方的名义参加</w:t>
      </w:r>
      <w:r>
        <w:rPr>
          <w:rFonts w:hint="eastAsia" w:asciiTheme="minorEastAsia" w:hAnsiTheme="minorEastAsia" w:eastAsiaTheme="minorEastAsia" w:cstheme="minorEastAsia"/>
          <w:color w:val="auto"/>
          <w:szCs w:val="21"/>
          <w:highlight w:val="none"/>
          <w:u w:val="single"/>
        </w:rPr>
        <w:t xml:space="preserve">                       政府采购 </w:t>
      </w:r>
      <w:r>
        <w:rPr>
          <w:rFonts w:hint="eastAsia" w:asciiTheme="minorEastAsia" w:hAnsiTheme="minorEastAsia" w:eastAsiaTheme="minorEastAsia" w:cstheme="minorEastAsia"/>
          <w:color w:val="auto"/>
          <w:szCs w:val="21"/>
          <w:highlight w:val="none"/>
        </w:rPr>
        <w:t>项目的磋商采购活动，并代表我方全权办理针对上述项目的磋商、评审、签约等具体事务和签署相关文件。</w:t>
      </w:r>
    </w:p>
    <w:p w14:paraId="07D215C6">
      <w:pP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我方对被授权人的签名事项负全部责任。</w:t>
      </w:r>
    </w:p>
    <w:p w14:paraId="0C630BD5">
      <w:pP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在撤销授权的书面通知以前，本授权书一直有效。被授权人在授权书有效期内签署的所有文件不因授权的撤销而失效。</w:t>
      </w:r>
    </w:p>
    <w:p w14:paraId="5FE2B6F8">
      <w:pPr>
        <w:snapToGrid w:val="0"/>
        <w:spacing w:line="360" w:lineRule="auto"/>
        <w:ind w:firstLine="48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被授权人无转委托权，特此委托。</w:t>
      </w:r>
    </w:p>
    <w:p w14:paraId="4C988985">
      <w:pPr>
        <w:snapToGrid w:val="0"/>
        <w:spacing w:line="360" w:lineRule="auto"/>
        <w:rPr>
          <w:rFonts w:asciiTheme="minorEastAsia" w:hAnsiTheme="minorEastAsia" w:eastAsiaTheme="minorEastAsia" w:cstheme="minorEastAsia"/>
          <w:color w:val="auto"/>
          <w:szCs w:val="21"/>
          <w:highlight w:val="none"/>
        </w:rPr>
      </w:pPr>
    </w:p>
    <w:p w14:paraId="57FC83C1">
      <w:pPr>
        <w:snapToGrid w:val="0"/>
        <w:spacing w:line="360" w:lineRule="auto"/>
        <w:rPr>
          <w:rFonts w:asciiTheme="minorEastAsia" w:hAnsiTheme="minorEastAsia" w:eastAsiaTheme="minorEastAsia" w:cstheme="minorEastAsia"/>
          <w:color w:val="auto"/>
          <w:szCs w:val="21"/>
          <w:highlight w:val="none"/>
        </w:rPr>
      </w:pPr>
    </w:p>
    <w:p w14:paraId="37CCA1D0">
      <w:pPr>
        <w:snapToGrid w:val="0"/>
        <w:spacing w:line="360" w:lineRule="auto"/>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被授权人签名或印章：</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法定代表人签名或印章：</w:t>
      </w:r>
      <w:r>
        <w:rPr>
          <w:rFonts w:hint="eastAsia" w:asciiTheme="minorEastAsia" w:hAnsiTheme="minorEastAsia" w:eastAsiaTheme="minorEastAsia" w:cstheme="minorEastAsia"/>
          <w:color w:val="auto"/>
          <w:szCs w:val="21"/>
          <w:highlight w:val="none"/>
          <w:u w:val="single"/>
        </w:rPr>
        <w:t xml:space="preserve">          </w:t>
      </w:r>
    </w:p>
    <w:p w14:paraId="7F0F4602">
      <w:pPr>
        <w:snapToGrid w:val="0"/>
        <w:spacing w:line="360" w:lineRule="auto"/>
        <w:ind w:firstLine="840" w:firstLineChars="4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职务：</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职务：</w:t>
      </w:r>
      <w:r>
        <w:rPr>
          <w:rFonts w:hint="eastAsia" w:asciiTheme="minorEastAsia" w:hAnsiTheme="minorEastAsia" w:eastAsiaTheme="minorEastAsia" w:cstheme="minorEastAsia"/>
          <w:color w:val="auto"/>
          <w:szCs w:val="21"/>
          <w:highlight w:val="none"/>
          <w:u w:val="single"/>
        </w:rPr>
        <w:t xml:space="preserve">           </w:t>
      </w:r>
    </w:p>
    <w:p w14:paraId="0020D82E">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被授权人身份证号码：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w:t>
      </w:r>
    </w:p>
    <w:p w14:paraId="4BA0B669">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w:t>
      </w:r>
    </w:p>
    <w:p w14:paraId="5B6E3644">
      <w:pPr>
        <w:snapToGrid w:val="0"/>
        <w:spacing w:line="360" w:lineRule="auto"/>
        <w:rPr>
          <w:rFonts w:asciiTheme="minorEastAsia" w:hAnsiTheme="minorEastAsia" w:eastAsiaTheme="minorEastAsia" w:cstheme="minorEastAsia"/>
          <w:color w:val="auto"/>
          <w:szCs w:val="21"/>
          <w:highlight w:val="none"/>
        </w:rPr>
      </w:pPr>
    </w:p>
    <w:p w14:paraId="122D9382">
      <w:pPr>
        <w:spacing w:line="360" w:lineRule="auto"/>
        <w:ind w:firstLine="4830" w:firstLineChars="23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供应商（盖章）：</w:t>
      </w:r>
    </w:p>
    <w:p w14:paraId="16DE94E8">
      <w:pPr>
        <w:spacing w:line="360" w:lineRule="auto"/>
        <w:ind w:firstLine="1260" w:firstLineChars="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日期：</w:t>
      </w:r>
    </w:p>
    <w:p w14:paraId="667D70D9">
      <w:pPr>
        <w:spacing w:line="360" w:lineRule="auto"/>
        <w:rPr>
          <w:rFonts w:asciiTheme="minorEastAsia" w:hAnsiTheme="minorEastAsia" w:eastAsiaTheme="minorEastAsia" w:cstheme="minorEastAsia"/>
          <w:b/>
          <w:color w:val="auto"/>
          <w:szCs w:val="21"/>
          <w:highlight w:val="none"/>
        </w:rPr>
      </w:pPr>
    </w:p>
    <w:p w14:paraId="1FE22D0F">
      <w:pPr>
        <w:spacing w:line="360" w:lineRule="auto"/>
        <w:rPr>
          <w:rFonts w:asciiTheme="minorEastAsia" w:hAnsiTheme="minorEastAsia" w:eastAsiaTheme="minorEastAsia" w:cstheme="minorEastAsia"/>
          <w:b/>
          <w:color w:val="auto"/>
          <w:szCs w:val="21"/>
          <w:highlight w:val="none"/>
        </w:rPr>
      </w:pPr>
    </w:p>
    <w:p w14:paraId="7F50F94E">
      <w:pPr>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附：法定代表人身份证复印件（正反面）、授权代表身份证复印件（正反面）：</w:t>
      </w:r>
    </w:p>
    <w:p w14:paraId="1C62CFBA">
      <w:pPr>
        <w:snapToGrid w:val="0"/>
        <w:spacing w:line="360" w:lineRule="auto"/>
        <w:rPr>
          <w:rFonts w:asciiTheme="minorEastAsia" w:hAnsiTheme="minorEastAsia" w:eastAsiaTheme="minorEastAsia" w:cstheme="minorEastAsia"/>
          <w:color w:val="auto"/>
          <w:sz w:val="24"/>
          <w:highlight w:val="none"/>
        </w:rPr>
      </w:pPr>
    </w:p>
    <w:p w14:paraId="3DF05F3C">
      <w:pPr>
        <w:spacing w:line="360" w:lineRule="auto"/>
        <w:jc w:val="center"/>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32"/>
          <w:szCs w:val="32"/>
          <w:highlight w:val="none"/>
          <w:lang w:val="zh-CN"/>
        </w:rPr>
        <w:t xml:space="preserve">      </w:t>
      </w:r>
      <w:r>
        <w:rPr>
          <w:rFonts w:hint="eastAsia" w:asciiTheme="minorEastAsia" w:hAnsiTheme="minorEastAsia" w:eastAsiaTheme="minorEastAsia" w:cstheme="minorEastAsia"/>
          <w:b/>
          <w:color w:val="auto"/>
          <w:kern w:val="0"/>
          <w:sz w:val="32"/>
          <w:szCs w:val="32"/>
          <w:highlight w:val="none"/>
        </w:rPr>
        <w:t xml:space="preserve"> </w:t>
      </w:r>
    </w:p>
    <w:p w14:paraId="66FD5FF0">
      <w:pPr>
        <w:spacing w:line="360" w:lineRule="auto"/>
        <w:jc w:val="center"/>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四、</w:t>
      </w:r>
      <w:r>
        <w:rPr>
          <w:rFonts w:hint="eastAsia" w:asciiTheme="minorEastAsia" w:hAnsiTheme="minorEastAsia" w:eastAsiaTheme="minorEastAsia" w:cstheme="minorEastAsia"/>
          <w:b/>
          <w:color w:val="auto"/>
          <w:kern w:val="0"/>
          <w:sz w:val="32"/>
          <w:szCs w:val="32"/>
          <w:highlight w:val="none"/>
          <w:lang w:val="zh-CN"/>
        </w:rPr>
        <w:t>供应商基本情况</w:t>
      </w:r>
      <w:bookmarkEnd w:id="459"/>
      <w:bookmarkEnd w:id="460"/>
      <w:bookmarkEnd w:id="461"/>
      <w:bookmarkEnd w:id="462"/>
      <w:bookmarkEnd w:id="463"/>
      <w:bookmarkEnd w:id="464"/>
      <w:r>
        <w:rPr>
          <w:rFonts w:hint="eastAsia" w:asciiTheme="minorEastAsia" w:hAnsiTheme="minorEastAsia" w:eastAsiaTheme="minorEastAsia" w:cstheme="minorEastAsia"/>
          <w:b/>
          <w:color w:val="auto"/>
          <w:kern w:val="0"/>
          <w:sz w:val="32"/>
          <w:szCs w:val="32"/>
          <w:highlight w:val="none"/>
          <w:lang w:val="zh-CN"/>
        </w:rPr>
        <w:t>表</w:t>
      </w:r>
    </w:p>
    <w:tbl>
      <w:tblPr>
        <w:tblStyle w:val="24"/>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09D52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C8DD45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供应商名称</w:t>
            </w:r>
          </w:p>
        </w:tc>
        <w:tc>
          <w:tcPr>
            <w:tcW w:w="7647" w:type="dxa"/>
            <w:gridSpan w:val="5"/>
            <w:vAlign w:val="center"/>
          </w:tcPr>
          <w:p w14:paraId="37EF2C0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058D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45FC2B4">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注册地址</w:t>
            </w:r>
          </w:p>
        </w:tc>
        <w:tc>
          <w:tcPr>
            <w:tcW w:w="2809" w:type="dxa"/>
            <w:gridSpan w:val="2"/>
            <w:vAlign w:val="center"/>
          </w:tcPr>
          <w:p w14:paraId="248C0941">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3029A0C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成立时间</w:t>
            </w:r>
          </w:p>
        </w:tc>
        <w:tc>
          <w:tcPr>
            <w:tcW w:w="3052" w:type="dxa"/>
            <w:gridSpan w:val="2"/>
            <w:vAlign w:val="center"/>
          </w:tcPr>
          <w:p w14:paraId="2FF681A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51A0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9F82A2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统一信用代码</w:t>
            </w:r>
          </w:p>
        </w:tc>
        <w:tc>
          <w:tcPr>
            <w:tcW w:w="2809" w:type="dxa"/>
            <w:gridSpan w:val="2"/>
            <w:vAlign w:val="center"/>
          </w:tcPr>
          <w:p w14:paraId="6E62AE4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63DA2A51">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注册资金</w:t>
            </w:r>
          </w:p>
        </w:tc>
        <w:tc>
          <w:tcPr>
            <w:tcW w:w="3052" w:type="dxa"/>
            <w:gridSpan w:val="2"/>
            <w:vAlign w:val="center"/>
          </w:tcPr>
          <w:p w14:paraId="01895CF6">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E208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AF3550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供应商授权代表联系人姓名</w:t>
            </w:r>
          </w:p>
        </w:tc>
        <w:tc>
          <w:tcPr>
            <w:tcW w:w="1936" w:type="dxa"/>
            <w:vAlign w:val="center"/>
          </w:tcPr>
          <w:p w14:paraId="6FBD5BD2">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358ED22A">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6A7F720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329A216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4293403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2C89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14D0A0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法定代表人姓名</w:t>
            </w:r>
          </w:p>
        </w:tc>
        <w:tc>
          <w:tcPr>
            <w:tcW w:w="1936" w:type="dxa"/>
            <w:vAlign w:val="center"/>
          </w:tcPr>
          <w:p w14:paraId="34C4DBD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209D437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49F4BE3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07EEDE5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4583735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3EA8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257E53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项目负责人姓名</w:t>
            </w:r>
          </w:p>
        </w:tc>
        <w:tc>
          <w:tcPr>
            <w:tcW w:w="1936" w:type="dxa"/>
            <w:vAlign w:val="center"/>
          </w:tcPr>
          <w:p w14:paraId="0242BDAF">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318E726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7DF184E9">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72CEFF96">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技术职称</w:t>
            </w:r>
          </w:p>
        </w:tc>
        <w:tc>
          <w:tcPr>
            <w:tcW w:w="1852" w:type="dxa"/>
            <w:vAlign w:val="center"/>
          </w:tcPr>
          <w:p w14:paraId="7E204646">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9C7D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16C4A48C">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936" w:type="dxa"/>
            <w:vMerge w:val="restart"/>
            <w:vAlign w:val="center"/>
          </w:tcPr>
          <w:p w14:paraId="3005B0B9">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restart"/>
            <w:vAlign w:val="center"/>
          </w:tcPr>
          <w:p w14:paraId="3F6D9F0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w:t>
            </w:r>
          </w:p>
        </w:tc>
        <w:tc>
          <w:tcPr>
            <w:tcW w:w="1786" w:type="dxa"/>
            <w:vAlign w:val="center"/>
          </w:tcPr>
          <w:p w14:paraId="7381ADAA">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高级职称</w:t>
            </w:r>
          </w:p>
        </w:tc>
        <w:tc>
          <w:tcPr>
            <w:tcW w:w="3052" w:type="dxa"/>
            <w:gridSpan w:val="2"/>
            <w:vAlign w:val="center"/>
          </w:tcPr>
          <w:p w14:paraId="271742A5">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08C97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073D1B2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30D4420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2D673F70">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7EE0345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中级职称</w:t>
            </w:r>
          </w:p>
        </w:tc>
        <w:tc>
          <w:tcPr>
            <w:tcW w:w="3052" w:type="dxa"/>
            <w:gridSpan w:val="2"/>
            <w:vAlign w:val="center"/>
          </w:tcPr>
          <w:p w14:paraId="674A05B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B53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0600AF7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6AB1E531">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103484F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2F7ECAD7">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各类注册人员</w:t>
            </w:r>
          </w:p>
        </w:tc>
        <w:tc>
          <w:tcPr>
            <w:tcW w:w="3052" w:type="dxa"/>
            <w:gridSpan w:val="2"/>
            <w:vAlign w:val="center"/>
          </w:tcPr>
          <w:p w14:paraId="124FFC93">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6A2F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E4401E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基本账户开户银行</w:t>
            </w:r>
          </w:p>
        </w:tc>
        <w:tc>
          <w:tcPr>
            <w:tcW w:w="7647" w:type="dxa"/>
            <w:gridSpan w:val="5"/>
            <w:vAlign w:val="center"/>
          </w:tcPr>
          <w:p w14:paraId="7FFCB36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584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C4DF256">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基本账户账号</w:t>
            </w:r>
          </w:p>
        </w:tc>
        <w:tc>
          <w:tcPr>
            <w:tcW w:w="7647" w:type="dxa"/>
            <w:gridSpan w:val="5"/>
            <w:vAlign w:val="center"/>
          </w:tcPr>
          <w:p w14:paraId="0854AA25">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B110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5F8D5DC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经营范围</w:t>
            </w:r>
          </w:p>
        </w:tc>
        <w:tc>
          <w:tcPr>
            <w:tcW w:w="7647" w:type="dxa"/>
            <w:gridSpan w:val="5"/>
            <w:vAlign w:val="center"/>
          </w:tcPr>
          <w:p w14:paraId="78700022">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018B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792EC7D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w:t>
            </w:r>
          </w:p>
        </w:tc>
        <w:tc>
          <w:tcPr>
            <w:tcW w:w="7647" w:type="dxa"/>
            <w:gridSpan w:val="5"/>
            <w:vAlign w:val="center"/>
          </w:tcPr>
          <w:p w14:paraId="34246B3C">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6C8FA7A4">
      <w:pPr>
        <w:adjustRightInd w:val="0"/>
        <w:snapToGrid w:val="0"/>
        <w:spacing w:line="360" w:lineRule="auto"/>
        <w:ind w:firstLine="482" w:firstLineChars="200"/>
        <w:rPr>
          <w:rFonts w:asciiTheme="minorEastAsia" w:hAnsiTheme="minorEastAsia" w:eastAsiaTheme="minorEastAsia" w:cstheme="minorEastAsia"/>
          <w:b/>
          <w:bCs/>
          <w:color w:val="auto"/>
          <w:kern w:val="0"/>
          <w:sz w:val="24"/>
          <w:highlight w:val="none"/>
          <w:lang w:val="zh-CN"/>
        </w:rPr>
      </w:pPr>
      <w:r>
        <w:rPr>
          <w:rFonts w:hint="eastAsia" w:asciiTheme="minorEastAsia" w:hAnsiTheme="minorEastAsia" w:eastAsiaTheme="minorEastAsia" w:cstheme="minorEastAsia"/>
          <w:b/>
          <w:bCs/>
          <w:color w:val="auto"/>
          <w:kern w:val="0"/>
          <w:sz w:val="24"/>
          <w:highlight w:val="none"/>
          <w:lang w:val="zh-CN"/>
        </w:rPr>
        <w:t>兹证明上述声明是真实、正确的，并提供了全部能提供的资料和数据，我们同意遵照贵方要求出示有关证明文件。</w:t>
      </w:r>
    </w:p>
    <w:p w14:paraId="73AEB8A3">
      <w:pPr>
        <w:adjustRightInd w:val="0"/>
        <w:snapToGrid w:val="0"/>
        <w:spacing w:line="360" w:lineRule="auto"/>
        <w:rPr>
          <w:rFonts w:asciiTheme="minorEastAsia" w:hAnsiTheme="minorEastAsia" w:eastAsiaTheme="minorEastAsia" w:cstheme="minorEastAsia"/>
          <w:color w:val="auto"/>
          <w:kern w:val="0"/>
          <w:sz w:val="24"/>
          <w:highlight w:val="none"/>
          <w:lang w:val="zh-CN"/>
        </w:rPr>
      </w:pPr>
    </w:p>
    <w:p w14:paraId="40DBF0CE">
      <w:pPr>
        <w:pStyle w:val="32"/>
        <w:spacing w:line="360" w:lineRule="auto"/>
        <w:ind w:firstLine="560"/>
        <w:rPr>
          <w:rFonts w:asciiTheme="minorEastAsia" w:hAnsiTheme="minorEastAsia" w:eastAsiaTheme="minorEastAsia" w:cstheme="minorEastAsia"/>
          <w:color w:val="auto"/>
          <w:highlight w:val="none"/>
          <w:lang w:val="zh-CN"/>
        </w:rPr>
      </w:pPr>
    </w:p>
    <w:p w14:paraId="6D90EFCC">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3708A74">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1797696F">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A72B688">
      <w:pPr>
        <w:numPr>
          <w:ilvl w:val="0"/>
          <w:numId w:val="0"/>
        </w:numPr>
        <w:snapToGrid w:val="0"/>
        <w:spacing w:line="360" w:lineRule="auto"/>
        <w:ind w:left="420" w:leftChars="0"/>
        <w:jc w:val="both"/>
        <w:outlineLvl w:val="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五、</w:t>
      </w:r>
      <w:r>
        <w:rPr>
          <w:rFonts w:hint="eastAsia" w:asciiTheme="minorEastAsia" w:hAnsiTheme="minorEastAsia" w:eastAsiaTheme="minorEastAsia" w:cstheme="minorEastAsia"/>
          <w:b/>
          <w:color w:val="auto"/>
          <w:kern w:val="0"/>
          <w:sz w:val="32"/>
          <w:szCs w:val="32"/>
          <w:highlight w:val="none"/>
          <w:lang w:val="zh-CN"/>
        </w:rPr>
        <w:t>距采购人最近或者能为本项目提供最优服务的网点情况表</w:t>
      </w:r>
    </w:p>
    <w:tbl>
      <w:tblPr>
        <w:tblStyle w:val="24"/>
        <w:tblW w:w="92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95"/>
        <w:gridCol w:w="1780"/>
        <w:gridCol w:w="209"/>
        <w:gridCol w:w="1581"/>
        <w:gridCol w:w="971"/>
        <w:gridCol w:w="2849"/>
      </w:tblGrid>
      <w:tr w14:paraId="46D25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32B7191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服务网点名称</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7910B92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3B482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F8155CC">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地址</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4D3C66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0765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91FD62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注册资本金</w:t>
            </w:r>
          </w:p>
        </w:tc>
        <w:tc>
          <w:tcPr>
            <w:tcW w:w="1780" w:type="dxa"/>
            <w:tcBorders>
              <w:top w:val="single" w:color="auto" w:sz="4" w:space="0"/>
              <w:left w:val="single" w:color="auto" w:sz="4" w:space="0"/>
              <w:bottom w:val="single" w:color="auto" w:sz="4" w:space="0"/>
              <w:right w:val="single" w:color="auto" w:sz="4" w:space="0"/>
            </w:tcBorders>
            <w:vAlign w:val="center"/>
          </w:tcPr>
          <w:p w14:paraId="2338286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19621D75">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其中：供应商出资比例</w:t>
            </w:r>
          </w:p>
        </w:tc>
        <w:tc>
          <w:tcPr>
            <w:tcW w:w="2849" w:type="dxa"/>
            <w:tcBorders>
              <w:top w:val="single" w:color="auto" w:sz="4" w:space="0"/>
              <w:left w:val="single" w:color="auto" w:sz="4" w:space="0"/>
              <w:bottom w:val="single" w:color="auto" w:sz="4" w:space="0"/>
              <w:right w:val="single" w:color="auto" w:sz="4" w:space="0"/>
            </w:tcBorders>
            <w:vAlign w:val="center"/>
          </w:tcPr>
          <w:p w14:paraId="4076B34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36644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231E8F4">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780" w:type="dxa"/>
            <w:tcBorders>
              <w:top w:val="single" w:color="auto" w:sz="4" w:space="0"/>
              <w:left w:val="single" w:color="auto" w:sz="4" w:space="0"/>
              <w:bottom w:val="single" w:color="auto" w:sz="4" w:space="0"/>
              <w:right w:val="single" w:color="auto" w:sz="4" w:space="0"/>
            </w:tcBorders>
            <w:vAlign w:val="center"/>
          </w:tcPr>
          <w:p w14:paraId="574AA19F">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5B797D5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其中：技术人员数</w:t>
            </w:r>
          </w:p>
        </w:tc>
        <w:tc>
          <w:tcPr>
            <w:tcW w:w="2849" w:type="dxa"/>
            <w:tcBorders>
              <w:top w:val="single" w:color="auto" w:sz="4" w:space="0"/>
              <w:left w:val="single" w:color="auto" w:sz="4" w:space="0"/>
              <w:bottom w:val="single" w:color="auto" w:sz="4" w:space="0"/>
              <w:right w:val="single" w:color="auto" w:sz="4" w:space="0"/>
            </w:tcBorders>
            <w:vAlign w:val="center"/>
          </w:tcPr>
          <w:p w14:paraId="5F7BA048">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C8F5A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1EF1C44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经营期限</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33BFCC37">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D2FE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59DAAF0">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售后服务协议</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289BDFA8">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ECEA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E14A4FF">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售后服务内容</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4429680">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A6E7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2834A7FB">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工作业绩</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11154684">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47F8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7825A6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服务承诺</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3B08E4FE">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6A35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861B148">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业务咨询电话</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65049F0B">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05185473">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传 真</w:t>
            </w:r>
          </w:p>
        </w:tc>
        <w:tc>
          <w:tcPr>
            <w:tcW w:w="3820" w:type="dxa"/>
            <w:gridSpan w:val="2"/>
            <w:tcBorders>
              <w:top w:val="single" w:color="auto" w:sz="4" w:space="0"/>
              <w:left w:val="single" w:color="auto" w:sz="2" w:space="0"/>
              <w:bottom w:val="single" w:color="auto" w:sz="4" w:space="0"/>
              <w:right w:val="single" w:color="auto" w:sz="2" w:space="0"/>
            </w:tcBorders>
            <w:vAlign w:val="center"/>
          </w:tcPr>
          <w:p w14:paraId="3EDAA9B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479B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EB1EFE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负责人</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42B3921A">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1D24017E">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联系电话</w:t>
            </w:r>
          </w:p>
        </w:tc>
        <w:tc>
          <w:tcPr>
            <w:tcW w:w="3820" w:type="dxa"/>
            <w:gridSpan w:val="2"/>
            <w:tcBorders>
              <w:top w:val="single" w:color="auto" w:sz="4" w:space="0"/>
              <w:left w:val="single" w:color="auto" w:sz="2" w:space="0"/>
              <w:bottom w:val="single" w:color="auto" w:sz="4" w:space="0"/>
              <w:right w:val="single" w:color="auto" w:sz="4" w:space="0"/>
            </w:tcBorders>
            <w:vAlign w:val="center"/>
          </w:tcPr>
          <w:p w14:paraId="51249B0D">
            <w:pP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2976B646">
      <w:pPr>
        <w:spacing w:line="360" w:lineRule="auto"/>
        <w:rPr>
          <w:rFonts w:asciiTheme="minorEastAsia" w:hAnsiTheme="minorEastAsia" w:eastAsiaTheme="minorEastAsia" w:cstheme="minorEastAsia"/>
          <w:color w:val="auto"/>
          <w:highlight w:val="none"/>
        </w:rPr>
      </w:pPr>
    </w:p>
    <w:p w14:paraId="231C249D">
      <w:pPr>
        <w:spacing w:line="360" w:lineRule="auto"/>
        <w:rPr>
          <w:rFonts w:asciiTheme="minorEastAsia" w:hAnsiTheme="minorEastAsia" w:eastAsiaTheme="minorEastAsia" w:cstheme="minorEastAsia"/>
          <w:color w:val="auto"/>
          <w:highlight w:val="none"/>
        </w:rPr>
      </w:pPr>
    </w:p>
    <w:p w14:paraId="732D9A82">
      <w:pP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rPr>
        <w:t xml:space="preserve">       </w:t>
      </w:r>
    </w:p>
    <w:p w14:paraId="7D8A310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61F512F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20042BB1">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lang w:val="zh-CN" w:eastAsia="zh-CN"/>
        </w:rPr>
        <w:t>：</w:t>
      </w:r>
    </w:p>
    <w:p w14:paraId="57D6553A">
      <w:pPr>
        <w:numPr>
          <w:ilvl w:val="0"/>
          <w:numId w:val="0"/>
        </w:numP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六、</w:t>
      </w:r>
      <w:r>
        <w:rPr>
          <w:rFonts w:hint="eastAsia" w:asciiTheme="minorEastAsia" w:hAnsiTheme="minorEastAsia" w:eastAsiaTheme="minorEastAsia" w:cstheme="minorEastAsia"/>
          <w:b/>
          <w:color w:val="auto"/>
          <w:kern w:val="0"/>
          <w:sz w:val="32"/>
          <w:szCs w:val="32"/>
          <w:highlight w:val="none"/>
          <w:lang w:val="zh-CN"/>
        </w:rPr>
        <w:t>评审标准相应的商务技术资料</w:t>
      </w:r>
    </w:p>
    <w:p w14:paraId="1093E684">
      <w:pPr>
        <w:snapToGrid w:val="0"/>
        <w:spacing w:line="360" w:lineRule="auto"/>
        <w:jc w:val="left"/>
        <w:rPr>
          <w:rFonts w:hint="eastAsia"/>
        </w:rPr>
      </w:pPr>
      <w:r>
        <w:rPr>
          <w:rFonts w:hint="eastAsia" w:asciiTheme="minorEastAsia" w:hAnsiTheme="minorEastAsia" w:eastAsiaTheme="minorEastAsia" w:cstheme="minorEastAsia"/>
          <w:b/>
          <w:color w:val="auto"/>
          <w:sz w:val="24"/>
          <w:highlight w:val="none"/>
        </w:rPr>
        <w:t>（按采购文件第四部分评审办法前附表中“响应文件中评审标准相应的商务技术资料目录”提供资料）</w:t>
      </w:r>
    </w:p>
    <w:p w14:paraId="16C5D1AE">
      <w:pPr>
        <w:numPr>
          <w:ilvl w:val="0"/>
          <w:numId w:val="7"/>
        </w:num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t>商务</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tbl>
      <w:tblPr>
        <w:tblStyle w:val="25"/>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6042"/>
        <w:gridCol w:w="1166"/>
        <w:gridCol w:w="1414"/>
      </w:tblGrid>
      <w:tr w14:paraId="46F18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236BF30F">
            <w:pPr>
              <w:numPr>
                <w:ilvl w:val="0"/>
                <w:numId w:val="0"/>
              </w:numPr>
              <w:spacing w:before="156" w:beforeLines="50" w:line="240" w:lineRule="auto"/>
              <w:ind w:leftChars="0"/>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序号</w:t>
            </w:r>
          </w:p>
        </w:tc>
        <w:tc>
          <w:tcPr>
            <w:tcW w:w="6042" w:type="dxa"/>
            <w:vAlign w:val="center"/>
          </w:tcPr>
          <w:p w14:paraId="73E4BFC3">
            <w:pPr>
              <w:numPr>
                <w:ilvl w:val="0"/>
                <w:numId w:val="0"/>
              </w:numPr>
              <w:spacing w:before="156" w:beforeLines="50" w:line="240" w:lineRule="auto"/>
              <w:ind w:leftChars="0"/>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商务条款要求</w:t>
            </w:r>
          </w:p>
        </w:tc>
        <w:tc>
          <w:tcPr>
            <w:tcW w:w="1166" w:type="dxa"/>
            <w:vAlign w:val="center"/>
          </w:tcPr>
          <w:p w14:paraId="1B6FDD16">
            <w:pPr>
              <w:numPr>
                <w:ilvl w:val="0"/>
                <w:numId w:val="0"/>
              </w:numPr>
              <w:spacing w:before="156" w:beforeLines="50" w:line="240" w:lineRule="auto"/>
              <w:ind w:leftChars="0"/>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是否响应</w:t>
            </w:r>
          </w:p>
        </w:tc>
        <w:tc>
          <w:tcPr>
            <w:tcW w:w="1414" w:type="dxa"/>
            <w:vAlign w:val="center"/>
          </w:tcPr>
          <w:p w14:paraId="76ED8388">
            <w:pPr>
              <w:numPr>
                <w:ilvl w:val="0"/>
                <w:numId w:val="0"/>
              </w:numPr>
              <w:spacing w:before="156" w:beforeLines="50" w:line="240" w:lineRule="auto"/>
              <w:ind w:leftChars="0"/>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投标人承诺或说明</w:t>
            </w:r>
          </w:p>
        </w:tc>
      </w:tr>
      <w:tr w14:paraId="6D602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205E72CB">
            <w:pPr>
              <w:spacing w:before="156" w:beforeLines="50" w:line="240" w:lineRule="auto"/>
              <w:jc w:val="center"/>
              <w:rPr>
                <w:rFonts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1</w:t>
            </w:r>
          </w:p>
        </w:tc>
        <w:tc>
          <w:tcPr>
            <w:tcW w:w="6042" w:type="dxa"/>
            <w:vAlign w:val="center"/>
          </w:tcPr>
          <w:p w14:paraId="5BC9136E">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履约保证金：签约合同金额的2%，电汇、银行支票、银行保函、保险公司担保等形式。于签订合同的同时缴纳给采购人，项目</w:t>
            </w:r>
            <w:r>
              <w:rPr>
                <w:rFonts w:hint="eastAsia" w:ascii="宋体" w:hAnsi="宋体" w:cs="宋体"/>
                <w:b w:val="0"/>
                <w:bCs/>
                <w:color w:val="auto"/>
                <w:sz w:val="21"/>
                <w:szCs w:val="21"/>
                <w:highlight w:val="none"/>
                <w:lang w:val="en-US" w:eastAsia="zh-CN"/>
              </w:rPr>
              <w:t>竣工</w:t>
            </w:r>
            <w:r>
              <w:rPr>
                <w:rFonts w:hint="eastAsia" w:ascii="宋体" w:hAnsi="宋体" w:eastAsia="宋体" w:cs="宋体"/>
                <w:b w:val="0"/>
                <w:bCs/>
                <w:color w:val="auto"/>
                <w:sz w:val="21"/>
                <w:szCs w:val="21"/>
                <w:highlight w:val="none"/>
                <w:lang w:val="en-US" w:eastAsia="zh-CN"/>
              </w:rPr>
              <w:t>验收后退回。</w:t>
            </w:r>
          </w:p>
        </w:tc>
        <w:tc>
          <w:tcPr>
            <w:tcW w:w="1166" w:type="dxa"/>
          </w:tcPr>
          <w:p w14:paraId="1CEADD24">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7F4C9F4C">
            <w:pPr>
              <w:spacing w:line="360" w:lineRule="auto"/>
              <w:jc w:val="center"/>
              <w:rPr>
                <w:rFonts w:asciiTheme="minorEastAsia" w:hAnsiTheme="minorEastAsia" w:eastAsiaTheme="minorEastAsia" w:cstheme="minorEastAsia"/>
                <w:b/>
                <w:color w:val="auto"/>
                <w:kern w:val="0"/>
                <w:sz w:val="32"/>
                <w:szCs w:val="32"/>
                <w:highlight w:val="none"/>
              </w:rPr>
            </w:pPr>
          </w:p>
        </w:tc>
      </w:tr>
      <w:tr w14:paraId="54F8F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71E08D57">
            <w:pPr>
              <w:spacing w:before="156" w:beforeLines="50" w:line="240" w:lineRule="auto"/>
              <w:jc w:val="center"/>
              <w:rPr>
                <w:rFonts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2</w:t>
            </w:r>
          </w:p>
        </w:tc>
        <w:tc>
          <w:tcPr>
            <w:tcW w:w="6042" w:type="dxa"/>
            <w:vAlign w:val="center"/>
          </w:tcPr>
          <w:p w14:paraId="385195F9">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质量等级要求：达到国家和行业施工验收规范一次性验收合格</w:t>
            </w:r>
          </w:p>
          <w:p w14:paraId="17AE5743">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安全等级要求：合格</w:t>
            </w:r>
          </w:p>
        </w:tc>
        <w:tc>
          <w:tcPr>
            <w:tcW w:w="1166" w:type="dxa"/>
          </w:tcPr>
          <w:p w14:paraId="546AA6D2">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67500AC6">
            <w:pPr>
              <w:spacing w:line="360" w:lineRule="auto"/>
              <w:jc w:val="center"/>
              <w:rPr>
                <w:rFonts w:asciiTheme="minorEastAsia" w:hAnsiTheme="minorEastAsia" w:eastAsiaTheme="minorEastAsia" w:cstheme="minorEastAsia"/>
                <w:b/>
                <w:color w:val="auto"/>
                <w:kern w:val="0"/>
                <w:sz w:val="32"/>
                <w:szCs w:val="32"/>
                <w:highlight w:val="none"/>
              </w:rPr>
            </w:pPr>
          </w:p>
        </w:tc>
      </w:tr>
      <w:tr w14:paraId="3387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6758C6DA">
            <w:pPr>
              <w:spacing w:before="156" w:beforeLines="50" w:line="240" w:lineRule="auto"/>
              <w:jc w:val="center"/>
              <w:rPr>
                <w:rFonts w:hint="eastAsia" w:asciiTheme="minorEastAsia" w:hAnsiTheme="minorEastAsia" w:eastAsiaTheme="minorEastAsia" w:cstheme="minorEastAsia"/>
                <w:color w:val="auto"/>
                <w:kern w:val="0"/>
                <w:sz w:val="24"/>
                <w:highlight w:val="none"/>
                <w:lang w:eastAsia="zh-CN"/>
              </w:rPr>
            </w:pPr>
            <w:r>
              <w:rPr>
                <w:rFonts w:hint="eastAsia" w:ascii="宋体" w:hAnsi="宋体" w:eastAsia="宋体" w:cs="宋体"/>
                <w:b w:val="0"/>
                <w:bCs/>
                <w:color w:val="auto"/>
                <w:sz w:val="21"/>
                <w:szCs w:val="21"/>
                <w:highlight w:val="none"/>
                <w:lang w:val="en-US" w:eastAsia="zh-CN"/>
              </w:rPr>
              <w:t>3</w:t>
            </w:r>
          </w:p>
        </w:tc>
        <w:tc>
          <w:tcPr>
            <w:tcW w:w="6042" w:type="dxa"/>
            <w:vAlign w:val="center"/>
          </w:tcPr>
          <w:p w14:paraId="1237FE67">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缺陷责任期（工程质量保修期）：自工程接受证书中写明的全部工程完工日开始算起（发包人提前验收并签发接受证书的单位工程和部分工程，若未投入正常使用，其缺陷责任期亦按全部工程的完工日开始起算），本工程质量缺陷责任期为2年。</w:t>
            </w:r>
          </w:p>
        </w:tc>
        <w:tc>
          <w:tcPr>
            <w:tcW w:w="1166" w:type="dxa"/>
          </w:tcPr>
          <w:p w14:paraId="7307955C">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6F8E0DA6">
            <w:pPr>
              <w:spacing w:line="360" w:lineRule="auto"/>
              <w:jc w:val="center"/>
              <w:rPr>
                <w:rFonts w:asciiTheme="minorEastAsia" w:hAnsiTheme="minorEastAsia" w:eastAsiaTheme="minorEastAsia" w:cstheme="minorEastAsia"/>
                <w:b/>
                <w:color w:val="auto"/>
                <w:kern w:val="0"/>
                <w:sz w:val="32"/>
                <w:szCs w:val="32"/>
                <w:highlight w:val="none"/>
              </w:rPr>
            </w:pPr>
          </w:p>
        </w:tc>
      </w:tr>
      <w:tr w14:paraId="4F3C9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2E43045A">
            <w:pPr>
              <w:spacing w:before="156" w:beforeLines="50" w:line="240" w:lineRule="auto"/>
              <w:jc w:val="center"/>
              <w:rPr>
                <w:rFonts w:hint="eastAsia"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5</w:t>
            </w:r>
          </w:p>
        </w:tc>
        <w:tc>
          <w:tcPr>
            <w:tcW w:w="6042" w:type="dxa"/>
            <w:vAlign w:val="center"/>
          </w:tcPr>
          <w:p w14:paraId="17647062">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付款方式：在合同签订生效后一周内，支付合同价款的20%；（预付款扣回的方式：在前2次工程进度款支付时各扣回预付款的50%)在工程施工进度</w:t>
            </w:r>
            <w:r>
              <w:rPr>
                <w:rFonts w:hint="eastAsia" w:ascii="宋体" w:hAnsi="宋体" w:cs="宋体"/>
                <w:b w:val="0"/>
                <w:bCs/>
                <w:color w:val="auto"/>
                <w:sz w:val="21"/>
                <w:szCs w:val="21"/>
                <w:highlight w:val="none"/>
                <w:lang w:val="en-US" w:eastAsia="zh-CN"/>
              </w:rPr>
              <w:t>（监理工程师、现场业主代表共同核定的已完合格的工程量）</w:t>
            </w:r>
            <w:r>
              <w:rPr>
                <w:rFonts w:hint="eastAsia" w:ascii="宋体" w:hAnsi="宋体" w:eastAsia="宋体" w:cs="宋体"/>
                <w:b w:val="0"/>
                <w:bCs/>
                <w:color w:val="auto"/>
                <w:sz w:val="21"/>
                <w:szCs w:val="21"/>
                <w:highlight w:val="none"/>
                <w:lang w:val="en-US" w:eastAsia="zh-CN"/>
              </w:rPr>
              <w:t>至50%时支付合同价款的30%；工程施工进度</w:t>
            </w:r>
            <w:r>
              <w:rPr>
                <w:rFonts w:hint="eastAsia" w:ascii="宋体" w:hAnsi="宋体" w:cs="宋体"/>
                <w:b w:val="0"/>
                <w:bCs/>
                <w:color w:val="auto"/>
                <w:sz w:val="21"/>
                <w:szCs w:val="21"/>
                <w:highlight w:val="none"/>
                <w:lang w:val="en-US" w:eastAsia="zh-CN"/>
              </w:rPr>
              <w:t>（监理工程师、现场业主代表共同核定的已完合格的工程量）</w:t>
            </w:r>
            <w:r>
              <w:rPr>
                <w:rFonts w:hint="eastAsia" w:ascii="宋体" w:hAnsi="宋体" w:eastAsia="宋体" w:cs="宋体"/>
                <w:b w:val="0"/>
                <w:bCs/>
                <w:color w:val="auto"/>
                <w:sz w:val="21"/>
                <w:szCs w:val="21"/>
                <w:highlight w:val="none"/>
                <w:lang w:val="en-US" w:eastAsia="zh-CN"/>
              </w:rPr>
              <w:t>至80%时支付合同价款的30%；待工程竣工验收合格后支付至合同价款的80%；待竣工结算经甲方委托的造价咨询机构审核后支付至结算审核价款的</w:t>
            </w:r>
            <w:r>
              <w:rPr>
                <w:rFonts w:hint="eastAsia" w:ascii="宋体" w:hAnsi="宋体" w:cs="宋体"/>
                <w:b w:val="0"/>
                <w:bCs/>
                <w:color w:val="auto"/>
                <w:sz w:val="21"/>
                <w:szCs w:val="21"/>
                <w:highlight w:val="none"/>
                <w:lang w:val="en-US" w:eastAsia="zh-CN"/>
              </w:rPr>
              <w:t>98.5</w:t>
            </w:r>
            <w:r>
              <w:rPr>
                <w:rFonts w:hint="eastAsia" w:ascii="宋体" w:hAnsi="宋体" w:eastAsia="宋体" w:cs="宋体"/>
                <w:b w:val="0"/>
                <w:bCs/>
                <w:color w:val="auto"/>
                <w:sz w:val="21"/>
                <w:szCs w:val="21"/>
                <w:highlight w:val="none"/>
                <w:lang w:val="en-US" w:eastAsia="zh-CN"/>
              </w:rPr>
              <w:t>%，余款</w:t>
            </w:r>
            <w:r>
              <w:rPr>
                <w:rFonts w:hint="eastAsia" w:ascii="宋体" w:hAnsi="宋体" w:cs="宋体"/>
                <w:b w:val="0"/>
                <w:bCs/>
                <w:color w:val="auto"/>
                <w:sz w:val="21"/>
                <w:szCs w:val="21"/>
                <w:highlight w:val="none"/>
                <w:lang w:val="en-US" w:eastAsia="zh-CN"/>
              </w:rPr>
              <w:t>在质保期过后</w:t>
            </w:r>
            <w:r>
              <w:rPr>
                <w:rFonts w:hint="eastAsia" w:ascii="宋体" w:hAnsi="宋体" w:eastAsia="宋体" w:cs="宋体"/>
                <w:b w:val="0"/>
                <w:bCs/>
                <w:color w:val="auto"/>
                <w:sz w:val="21"/>
                <w:szCs w:val="21"/>
                <w:highlight w:val="none"/>
                <w:lang w:val="en-US" w:eastAsia="zh-CN"/>
              </w:rPr>
              <w:t>付清。每次付款前，承包人需提供全额增值税专用发票，否则发包人有权延期付款且不承担违约责任。</w:t>
            </w:r>
          </w:p>
        </w:tc>
        <w:tc>
          <w:tcPr>
            <w:tcW w:w="1166" w:type="dxa"/>
          </w:tcPr>
          <w:p w14:paraId="4136CF3B">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542108A8">
            <w:pPr>
              <w:spacing w:line="360" w:lineRule="auto"/>
              <w:jc w:val="center"/>
              <w:rPr>
                <w:rFonts w:asciiTheme="minorEastAsia" w:hAnsiTheme="minorEastAsia" w:eastAsiaTheme="minorEastAsia" w:cstheme="minorEastAsia"/>
                <w:b/>
                <w:color w:val="auto"/>
                <w:kern w:val="0"/>
                <w:sz w:val="32"/>
                <w:szCs w:val="32"/>
                <w:highlight w:val="none"/>
              </w:rPr>
            </w:pPr>
          </w:p>
        </w:tc>
      </w:tr>
      <w:tr w14:paraId="275F4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4CEDD939">
            <w:pPr>
              <w:spacing w:before="156" w:beforeLines="50" w:line="240" w:lineRule="auto"/>
              <w:jc w:val="center"/>
              <w:rPr>
                <w:rFonts w:hint="eastAsia"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6</w:t>
            </w:r>
          </w:p>
        </w:tc>
        <w:tc>
          <w:tcPr>
            <w:tcW w:w="6042" w:type="dxa"/>
            <w:vAlign w:val="center"/>
          </w:tcPr>
          <w:p w14:paraId="2E8B83F6">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施工工期：合同签订后</w:t>
            </w:r>
            <w:r>
              <w:rPr>
                <w:rFonts w:hint="eastAsia" w:ascii="宋体" w:hAnsi="宋体" w:cs="宋体"/>
                <w:b w:val="0"/>
                <w:bCs/>
                <w:color w:val="auto"/>
                <w:sz w:val="21"/>
                <w:szCs w:val="21"/>
                <w:highlight w:val="none"/>
                <w:lang w:val="en-US" w:eastAsia="zh-CN"/>
              </w:rPr>
              <w:t>500</w:t>
            </w:r>
            <w:r>
              <w:rPr>
                <w:rFonts w:hint="eastAsia" w:ascii="宋体" w:hAnsi="宋体" w:eastAsia="宋体" w:cs="宋体"/>
                <w:b w:val="0"/>
                <w:bCs/>
                <w:color w:val="auto"/>
                <w:sz w:val="21"/>
                <w:szCs w:val="21"/>
                <w:highlight w:val="none"/>
                <w:lang w:val="en-US" w:eastAsia="zh-CN"/>
              </w:rPr>
              <w:t>日历天内完工</w:t>
            </w:r>
          </w:p>
          <w:p w14:paraId="7D9DC0FF">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施工地点：</w:t>
            </w:r>
            <w:r>
              <w:rPr>
                <w:rFonts w:hint="eastAsia" w:ascii="宋体" w:hAnsi="宋体" w:cs="宋体"/>
                <w:b w:val="0"/>
                <w:bCs/>
                <w:color w:val="auto"/>
                <w:sz w:val="21"/>
                <w:szCs w:val="21"/>
                <w:highlight w:val="none"/>
                <w:lang w:val="en-US" w:eastAsia="zh-CN"/>
              </w:rPr>
              <w:t>业主指定地点</w:t>
            </w:r>
            <w:r>
              <w:rPr>
                <w:rFonts w:hint="eastAsia" w:ascii="宋体" w:hAnsi="宋体" w:eastAsia="宋体" w:cs="宋体"/>
                <w:b w:val="0"/>
                <w:bCs/>
                <w:color w:val="auto"/>
                <w:sz w:val="21"/>
                <w:szCs w:val="21"/>
                <w:highlight w:val="none"/>
                <w:lang w:val="en-US" w:eastAsia="zh-CN"/>
              </w:rPr>
              <w:t>。</w:t>
            </w:r>
          </w:p>
        </w:tc>
        <w:tc>
          <w:tcPr>
            <w:tcW w:w="1166" w:type="dxa"/>
          </w:tcPr>
          <w:p w14:paraId="2309B675">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32E6A361">
            <w:pPr>
              <w:spacing w:line="360" w:lineRule="auto"/>
              <w:jc w:val="center"/>
              <w:rPr>
                <w:rFonts w:asciiTheme="minorEastAsia" w:hAnsiTheme="minorEastAsia" w:eastAsiaTheme="minorEastAsia" w:cstheme="minorEastAsia"/>
                <w:b/>
                <w:color w:val="auto"/>
                <w:kern w:val="0"/>
                <w:sz w:val="32"/>
                <w:szCs w:val="32"/>
                <w:highlight w:val="none"/>
              </w:rPr>
            </w:pPr>
          </w:p>
        </w:tc>
      </w:tr>
      <w:tr w14:paraId="6AE2F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439FA33A">
            <w:pPr>
              <w:spacing w:before="156" w:beforeLines="50" w:line="240" w:lineRule="auto"/>
              <w:jc w:val="center"/>
              <w:rPr>
                <w:rFonts w:hint="eastAsia"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7</w:t>
            </w:r>
          </w:p>
        </w:tc>
        <w:tc>
          <w:tcPr>
            <w:tcW w:w="6042" w:type="dxa"/>
            <w:vAlign w:val="center"/>
          </w:tcPr>
          <w:p w14:paraId="7DFAD44E">
            <w:pPr>
              <w:spacing w:before="156" w:beforeLines="50" w:line="240" w:lineRule="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报价方式：按采购文件附件“工程量清单”的价格报统一综合折扣，折扣不得高于94%。</w:t>
            </w:r>
          </w:p>
          <w:p w14:paraId="619CF3BB">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本项目为可调价格合同，工程量按实结算</w:t>
            </w:r>
          </w:p>
        </w:tc>
        <w:tc>
          <w:tcPr>
            <w:tcW w:w="1166" w:type="dxa"/>
          </w:tcPr>
          <w:p w14:paraId="00FC53CC">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23285CEA">
            <w:pPr>
              <w:spacing w:line="360" w:lineRule="auto"/>
              <w:jc w:val="center"/>
              <w:rPr>
                <w:rFonts w:asciiTheme="minorEastAsia" w:hAnsiTheme="minorEastAsia" w:eastAsiaTheme="minorEastAsia" w:cstheme="minorEastAsia"/>
                <w:b/>
                <w:color w:val="auto"/>
                <w:kern w:val="0"/>
                <w:sz w:val="32"/>
                <w:szCs w:val="32"/>
                <w:highlight w:val="none"/>
              </w:rPr>
            </w:pPr>
          </w:p>
        </w:tc>
      </w:tr>
      <w:tr w14:paraId="6D6F1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3AEDFC05">
            <w:pPr>
              <w:spacing w:before="156" w:beforeLines="50" w:line="240" w:lineRule="auto"/>
              <w:jc w:val="center"/>
              <w:rPr>
                <w:rFonts w:hint="eastAsia" w:asciiTheme="minorEastAsia" w:hAnsiTheme="minorEastAsia" w:eastAsiaTheme="minorEastAsia" w:cstheme="minorEastAsia"/>
                <w:color w:val="auto"/>
                <w:kern w:val="0"/>
                <w:sz w:val="24"/>
                <w:highlight w:val="none"/>
              </w:rPr>
            </w:pPr>
            <w:r>
              <w:rPr>
                <w:rFonts w:hint="eastAsia" w:ascii="宋体" w:hAnsi="宋体" w:eastAsia="宋体" w:cs="宋体"/>
                <w:b w:val="0"/>
                <w:bCs/>
                <w:color w:val="auto"/>
                <w:sz w:val="21"/>
                <w:szCs w:val="21"/>
                <w:highlight w:val="none"/>
                <w:lang w:val="en-US" w:eastAsia="zh-CN"/>
              </w:rPr>
              <w:t>8</w:t>
            </w:r>
          </w:p>
        </w:tc>
        <w:tc>
          <w:tcPr>
            <w:tcW w:w="6042" w:type="dxa"/>
            <w:vAlign w:val="center"/>
          </w:tcPr>
          <w:p w14:paraId="021C78EA">
            <w:pPr>
              <w:spacing w:before="156" w:beforeLines="50" w:line="240" w:lineRule="auto"/>
              <w:rPr>
                <w:rFonts w:asciiTheme="minorEastAsia" w:hAnsiTheme="minorEastAsia" w:eastAsiaTheme="minorEastAsia" w:cstheme="minorEastAsia"/>
                <w:b/>
                <w:color w:val="auto"/>
                <w:kern w:val="0"/>
                <w:sz w:val="32"/>
                <w:szCs w:val="32"/>
                <w:highlight w:val="none"/>
              </w:rPr>
            </w:pPr>
            <w:r>
              <w:rPr>
                <w:rFonts w:hint="eastAsia" w:ascii="宋体" w:hAnsi="宋体" w:eastAsia="宋体" w:cs="宋体"/>
                <w:b w:val="0"/>
                <w:bCs/>
                <w:color w:val="auto"/>
                <w:sz w:val="21"/>
                <w:szCs w:val="21"/>
                <w:highlight w:val="none"/>
                <w:lang w:val="en-US" w:eastAsia="zh-CN"/>
              </w:rPr>
              <w:t>本项目签约合同价计算公式：预算金额*中标综合折扣</w:t>
            </w:r>
          </w:p>
        </w:tc>
        <w:tc>
          <w:tcPr>
            <w:tcW w:w="1166" w:type="dxa"/>
          </w:tcPr>
          <w:p w14:paraId="09EBE03F">
            <w:pPr>
              <w:spacing w:line="360" w:lineRule="auto"/>
              <w:jc w:val="center"/>
              <w:rPr>
                <w:rFonts w:asciiTheme="minorEastAsia" w:hAnsiTheme="minorEastAsia" w:eastAsiaTheme="minorEastAsia" w:cstheme="minorEastAsia"/>
                <w:b/>
                <w:color w:val="auto"/>
                <w:kern w:val="0"/>
                <w:sz w:val="32"/>
                <w:szCs w:val="32"/>
                <w:highlight w:val="none"/>
              </w:rPr>
            </w:pPr>
          </w:p>
        </w:tc>
        <w:tc>
          <w:tcPr>
            <w:tcW w:w="1414" w:type="dxa"/>
          </w:tcPr>
          <w:p w14:paraId="4241B376">
            <w:pPr>
              <w:spacing w:line="360" w:lineRule="auto"/>
              <w:jc w:val="center"/>
              <w:rPr>
                <w:rFonts w:asciiTheme="minorEastAsia" w:hAnsiTheme="minorEastAsia" w:eastAsiaTheme="minorEastAsia" w:cstheme="minorEastAsia"/>
                <w:b/>
                <w:color w:val="auto"/>
                <w:kern w:val="0"/>
                <w:sz w:val="32"/>
                <w:szCs w:val="32"/>
                <w:highlight w:val="none"/>
              </w:rPr>
            </w:pPr>
          </w:p>
        </w:tc>
      </w:tr>
    </w:tbl>
    <w:p w14:paraId="05124ADF">
      <w:pPr>
        <w:spacing w:line="240" w:lineRule="auto"/>
        <w:ind w:firstLine="420" w:firstLineChars="200"/>
        <w:jc w:val="left"/>
        <w:rPr>
          <w:rFonts w:hint="eastAsia" w:asciiTheme="minorEastAsia" w:hAnsiTheme="minorEastAsia" w:eastAsiaTheme="minorEastAsia" w:cstheme="minorEastAsia"/>
          <w:b/>
          <w:bCs/>
          <w:color w:val="0000FF"/>
          <w:kern w:val="0"/>
          <w:sz w:val="21"/>
          <w:szCs w:val="21"/>
          <w:highlight w:val="none"/>
          <w:lang w:val="en-US" w:eastAsia="zh-CN"/>
        </w:rPr>
      </w:pPr>
      <w:r>
        <w:rPr>
          <w:rFonts w:hint="eastAsia" w:asciiTheme="minorEastAsia" w:hAnsiTheme="minorEastAsia" w:eastAsiaTheme="minorEastAsia" w:cstheme="minorEastAsia"/>
          <w:b w:val="0"/>
          <w:bCs w:val="0"/>
          <w:color w:val="auto"/>
          <w:kern w:val="0"/>
          <w:sz w:val="21"/>
          <w:szCs w:val="21"/>
          <w:highlight w:val="none"/>
          <w:lang w:val="en-US" w:eastAsia="zh-CN"/>
        </w:rPr>
        <w:t>供应商保证：除商务响应表列出的偏离外，供应商响应采购文件的全部商务要求。供应商需完全响应以上商务条款要求并在“是否响应”一栏里明确，未明确响应的作无效标处理。如有优于的，可以在“投标人承诺或说明”一栏里详细说明。</w:t>
      </w:r>
    </w:p>
    <w:p w14:paraId="68C1A154">
      <w:pPr>
        <w:pStyle w:val="32"/>
        <w:ind w:left="0" w:leftChars="0" w:firstLine="0" w:firstLineChars="0"/>
        <w:rPr>
          <w:rFonts w:asciiTheme="minorEastAsia" w:hAnsiTheme="minorEastAsia" w:eastAsiaTheme="minorEastAsia" w:cstheme="minorEastAsia"/>
          <w:color w:val="auto"/>
          <w:kern w:val="0"/>
          <w:sz w:val="24"/>
          <w:highlight w:val="none"/>
          <w:lang w:val="zh-CN"/>
        </w:rPr>
      </w:pPr>
    </w:p>
    <w:p w14:paraId="231BDAB6">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0B28F6AD">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69D131F3">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lang w:val="zh-CN" w:eastAsia="zh-CN"/>
        </w:rPr>
        <w:t>：</w:t>
      </w:r>
    </w:p>
    <w:p w14:paraId="1E2C955B">
      <w:pPr>
        <w:widowControl/>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en-US" w:eastAsia="zh-CN"/>
        </w:rPr>
        <w:t>八、</w:t>
      </w:r>
      <w:r>
        <w:rPr>
          <w:rFonts w:hint="eastAsia" w:asciiTheme="minorEastAsia" w:hAnsiTheme="minorEastAsia" w:eastAsiaTheme="minorEastAsia" w:cstheme="minorEastAsia"/>
          <w:b/>
          <w:color w:val="auto"/>
          <w:kern w:val="0"/>
          <w:sz w:val="32"/>
          <w:szCs w:val="32"/>
          <w:highlight w:val="none"/>
          <w:lang w:val="zh-CN"/>
        </w:rPr>
        <w:t>技术</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p w14:paraId="312DBA52">
      <w:pPr>
        <w:pStyle w:val="35"/>
        <w:rPr>
          <w:rFonts w:hint="default" w:ascii="Calibri" w:hAnsi="Calibri" w:eastAsia="宋体" w:cs="宋体"/>
          <w:color w:val="auto"/>
          <w:kern w:val="2"/>
          <w:sz w:val="24"/>
          <w:szCs w:val="24"/>
          <w:lang w:val="en-US" w:eastAsia="zh-CN" w:bidi="ar-SA"/>
        </w:rPr>
      </w:pPr>
      <w:r>
        <w:rPr>
          <w:rFonts w:hint="eastAsia" w:ascii="Calibri" w:hAnsi="Calibri" w:eastAsia="宋体" w:cs="宋体"/>
          <w:color w:val="auto"/>
          <w:kern w:val="2"/>
          <w:sz w:val="24"/>
          <w:szCs w:val="24"/>
          <w:lang w:val="en-US" w:eastAsia="zh-CN" w:bidi="ar-SA"/>
        </w:rPr>
        <w:t>1、技术响应表</w:t>
      </w:r>
    </w:p>
    <w:tbl>
      <w:tblPr>
        <w:tblStyle w:val="25"/>
        <w:tblW w:w="97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
        <w:gridCol w:w="6193"/>
        <w:gridCol w:w="1551"/>
        <w:gridCol w:w="1072"/>
      </w:tblGrid>
      <w:tr w14:paraId="2D8E4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3" w:type="dxa"/>
            <w:vAlign w:val="center"/>
          </w:tcPr>
          <w:p w14:paraId="0082AE9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序号</w:t>
            </w:r>
          </w:p>
        </w:tc>
        <w:tc>
          <w:tcPr>
            <w:tcW w:w="6193" w:type="dxa"/>
            <w:vAlign w:val="center"/>
          </w:tcPr>
          <w:p w14:paraId="34A41604">
            <w:pPr>
              <w:spacing w:line="240" w:lineRule="auto"/>
              <w:jc w:val="both"/>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具体内容</w:t>
            </w:r>
          </w:p>
        </w:tc>
        <w:tc>
          <w:tcPr>
            <w:tcW w:w="1551" w:type="dxa"/>
            <w:vAlign w:val="center"/>
          </w:tcPr>
          <w:p w14:paraId="015AE219">
            <w:pPr>
              <w:spacing w:line="240" w:lineRule="auto"/>
              <w:jc w:val="center"/>
              <w:rPr>
                <w:rFonts w:hint="eastAsia" w:cs="宋体"/>
                <w:color w:val="auto"/>
                <w:kern w:val="2"/>
                <w:sz w:val="21"/>
                <w:szCs w:val="21"/>
                <w:lang w:val="en-US" w:eastAsia="zh-CN" w:bidi="ar-SA"/>
              </w:rPr>
            </w:pPr>
            <w:r>
              <w:rPr>
                <w:rFonts w:hint="eastAsia" w:cs="宋体"/>
                <w:color w:val="auto"/>
                <w:kern w:val="2"/>
                <w:sz w:val="21"/>
                <w:szCs w:val="21"/>
                <w:lang w:val="en-US" w:eastAsia="zh-CN" w:bidi="ar-SA"/>
              </w:rPr>
              <w:t>投标人</w:t>
            </w:r>
          </w:p>
          <w:p w14:paraId="38A99C86">
            <w:pPr>
              <w:spacing w:line="240" w:lineRule="auto"/>
              <w:jc w:val="center"/>
              <w:rPr>
                <w:rFonts w:hint="eastAsia" w:ascii="Calibri" w:hAnsi="Calibri" w:eastAsia="宋体" w:cs="宋体"/>
                <w:color w:val="auto"/>
                <w:kern w:val="2"/>
                <w:sz w:val="21"/>
                <w:szCs w:val="21"/>
                <w:lang w:val="en-US" w:eastAsia="zh-CN" w:bidi="ar-SA"/>
              </w:rPr>
            </w:pPr>
            <w:r>
              <w:rPr>
                <w:rFonts w:hint="eastAsia" w:cs="宋体"/>
                <w:color w:val="auto"/>
                <w:kern w:val="2"/>
                <w:sz w:val="21"/>
                <w:szCs w:val="21"/>
                <w:lang w:val="en-US" w:eastAsia="zh-CN" w:bidi="ar-SA"/>
              </w:rPr>
              <w:t>响应描述</w:t>
            </w:r>
          </w:p>
        </w:tc>
        <w:tc>
          <w:tcPr>
            <w:tcW w:w="1072" w:type="dxa"/>
            <w:vAlign w:val="center"/>
          </w:tcPr>
          <w:p w14:paraId="621AFD3F">
            <w:pPr>
              <w:spacing w:line="240" w:lineRule="auto"/>
              <w:jc w:val="center"/>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响应或偏离说明</w:t>
            </w:r>
          </w:p>
        </w:tc>
      </w:tr>
      <w:tr w14:paraId="6416F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983" w:type="dxa"/>
            <w:vAlign w:val="center"/>
          </w:tcPr>
          <w:p w14:paraId="396FDC4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w:t>
            </w:r>
          </w:p>
        </w:tc>
        <w:tc>
          <w:tcPr>
            <w:tcW w:w="6193" w:type="dxa"/>
            <w:vAlign w:val="center"/>
          </w:tcPr>
          <w:p w14:paraId="20C81ADD">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default"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（一）采购范围</w:t>
            </w:r>
          </w:p>
          <w:p w14:paraId="75647E35">
            <w:pPr>
              <w:keepNext w:val="0"/>
              <w:keepLines w:val="0"/>
              <w:pageBreakBefore w:val="0"/>
              <w:widowControl w:val="0"/>
              <w:kinsoku/>
              <w:wordWrap/>
              <w:overflowPunct/>
              <w:topLinePunct w:val="0"/>
              <w:autoSpaceDE/>
              <w:autoSpaceDN/>
              <w:bidi w:val="0"/>
              <w:adjustRightInd/>
              <w:snapToGrid/>
              <w:spacing w:before="156" w:beforeLines="50" w:line="240" w:lineRule="exact"/>
              <w:ind w:left="420" w:leftChars="200" w:firstLine="0" w:firstLineChars="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施工图范围内的通信基础设施及无线通信室内覆盖系统工程</w:t>
            </w:r>
          </w:p>
          <w:p w14:paraId="6BBB750A">
            <w:pPr>
              <w:keepNext w:val="0"/>
              <w:keepLines w:val="0"/>
              <w:pageBreakBefore w:val="0"/>
              <w:widowControl w:val="0"/>
              <w:kinsoku/>
              <w:wordWrap/>
              <w:overflowPunct/>
              <w:topLinePunct w:val="0"/>
              <w:autoSpaceDE/>
              <w:autoSpaceDN/>
              <w:bidi w:val="0"/>
              <w:adjustRightInd/>
              <w:snapToGrid/>
              <w:spacing w:before="156" w:beforeLines="50" w:line="240" w:lineRule="exact"/>
              <w:ind w:left="420" w:leftChars="200" w:firstLine="0" w:firstLineChars="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（二）施工图设计情况：</w:t>
            </w:r>
          </w:p>
          <w:p w14:paraId="76A34829">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1、室外管道：新建6孔PE102管道28m，新建90*120砖砌手孔井3座。</w:t>
            </w:r>
          </w:p>
          <w:p w14:paraId="18C29478">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2、线路工程：新建720芯ODF光缆配线架1个，新建通信分纤箱15个，新建光纤入户箱75个，及其所需的配套管线。</w:t>
            </w:r>
          </w:p>
          <w:p w14:paraId="731EFC0B">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3、无线通信：新建耦合器724个，新建功分器482个，新建吸顶天线1100个，新建壁挂天线204个，及其所需的配套管线。</w:t>
            </w:r>
          </w:p>
          <w:p w14:paraId="6956E329">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w:t>
            </w:r>
            <w:r>
              <w:rPr>
                <w:rFonts w:hint="eastAsia" w:eastAsia="宋体" w:cs="宋体"/>
                <w:color w:val="auto"/>
                <w:kern w:val="2"/>
                <w:sz w:val="21"/>
                <w:szCs w:val="21"/>
                <w:lang w:val="en-US" w:eastAsia="zh-CN" w:bidi="ar-SA"/>
              </w:rPr>
              <w:t>四</w:t>
            </w:r>
            <w:r>
              <w:rPr>
                <w:rFonts w:hint="eastAsia" w:ascii="Calibri" w:hAnsi="Calibri" w:eastAsia="宋体" w:cs="宋体"/>
                <w:color w:val="auto"/>
                <w:kern w:val="2"/>
                <w:sz w:val="21"/>
                <w:szCs w:val="21"/>
                <w:lang w:val="en-US" w:eastAsia="zh-CN" w:bidi="ar-SA"/>
              </w:rPr>
              <w:t>）工程量清单、图纸</w:t>
            </w:r>
          </w:p>
          <w:p w14:paraId="69A65CC9">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详见采购文件附件：工程造价咨询报告书、图纸</w:t>
            </w:r>
          </w:p>
          <w:p w14:paraId="1A9DC306">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1、工程量清单说明</w:t>
            </w:r>
          </w:p>
          <w:p w14:paraId="6707EEEC">
            <w:pPr>
              <w:keepNext w:val="0"/>
              <w:keepLines w:val="0"/>
              <w:pageBreakBefore w:val="0"/>
              <w:widowControl w:val="0"/>
              <w:kinsoku/>
              <w:wordWrap/>
              <w:overflowPunct/>
              <w:topLinePunct w:val="0"/>
              <w:autoSpaceDE/>
              <w:autoSpaceDN/>
              <w:bidi w:val="0"/>
              <w:adjustRightInd/>
              <w:snapToGrid/>
              <w:spacing w:before="156" w:beforeLines="50" w:line="24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1.1本工程量清单应与采购文件中的竞争性磋商须知、合同条款、技术标准和要求及图纸（如有）等一起阅读和理解。</w:t>
            </w:r>
          </w:p>
          <w:p w14:paraId="23C93339">
            <w:pPr>
              <w:keepNext w:val="0"/>
              <w:keepLines w:val="0"/>
              <w:pageBreakBefore w:val="0"/>
              <w:widowControl w:val="0"/>
              <w:kinsoku/>
              <w:wordWrap/>
              <w:overflowPunct/>
              <w:topLinePunct w:val="0"/>
              <w:autoSpaceDE/>
              <w:autoSpaceDN/>
              <w:bidi w:val="0"/>
              <w:adjustRightInd/>
              <w:snapToGrid/>
              <w:spacing w:before="156" w:beforeLines="50" w:line="32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1.2各供应商应仔细阅读理解竞争性磋商文件，了解拟本项目的全部工作内容及招标范围，现场条件、施工现场的位置、周边环境、道路、装卸、施工作业时段等可能影响报价的其他因素，并充分考虑到竞争性磋商文件中包括工程工期要求、付款方式、合同价款方式及调整范围、其他主要合同条款等在内的各项相关条款，按照竞争性磋商文件相关要求，结合企业自身实力，自主优惠报价。任何因忽视或误解工地情况而导致的索赔或工期延误申请将不被批准。采购人对供应商自主做出的推论、解释和结论概不负责。</w:t>
            </w:r>
          </w:p>
          <w:p w14:paraId="0F7101DD">
            <w:pPr>
              <w:keepNext w:val="0"/>
              <w:keepLines w:val="0"/>
              <w:pageBreakBefore w:val="0"/>
              <w:widowControl w:val="0"/>
              <w:kinsoku/>
              <w:wordWrap/>
              <w:overflowPunct/>
              <w:topLinePunct w:val="0"/>
              <w:autoSpaceDE/>
              <w:autoSpaceDN/>
              <w:bidi w:val="0"/>
              <w:adjustRightInd/>
              <w:snapToGrid/>
              <w:spacing w:before="156" w:beforeLines="50" w:line="320" w:lineRule="exact"/>
              <w:ind w:firstLine="420" w:firstLineChars="200"/>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1.3供应商不得擅自改动采购人提供的工程量清单内容（计量单位、工程数量等），磋商综合折扣报价应以采购人提供的工程量清单为基础，结合施工图纸进行报价，磋商采购文件（或补充说明）或工程量清单编制说明中出现对施工图修改调整时，以磋商采购文件（或补充说明）或工程量清单编制说明的修改调整为准；若工程量清单中分部分项工程量清单项目与施工图纸相对应的项目就具体构造、作法、用材等出现矛盾时，磋商报价时以采购人提供的工程量清单为准，结算时按实际工程量调整。</w:t>
            </w:r>
          </w:p>
          <w:p w14:paraId="1527229F">
            <w:pPr>
              <w:keepNext w:val="0"/>
              <w:keepLines w:val="0"/>
              <w:pageBreakBefore w:val="0"/>
              <w:widowControl w:val="0"/>
              <w:kinsoku/>
              <w:wordWrap/>
              <w:overflowPunct/>
              <w:topLinePunct w:val="0"/>
              <w:autoSpaceDE/>
              <w:autoSpaceDN/>
              <w:bidi w:val="0"/>
              <w:adjustRightInd/>
              <w:snapToGrid/>
              <w:spacing w:before="156" w:beforeLines="50" w:line="320" w:lineRule="exact"/>
              <w:ind w:firstLine="422" w:firstLineChars="200"/>
              <w:jc w:val="both"/>
              <w:textAlignment w:val="auto"/>
              <w:rPr>
                <w:rFonts w:hint="eastAsia" w:ascii="Calibri" w:hAnsi="Calibri" w:eastAsia="宋体" w:cs="宋体"/>
                <w:color w:val="auto"/>
                <w:kern w:val="2"/>
                <w:sz w:val="21"/>
                <w:szCs w:val="21"/>
                <w:lang w:val="en-US" w:eastAsia="zh-CN" w:bidi="ar-SA"/>
              </w:rPr>
            </w:pPr>
            <w:r>
              <w:rPr>
                <w:rFonts w:hint="eastAsia" w:ascii="宋体" w:hAnsi="宋体" w:cs="宋体"/>
                <w:b/>
                <w:color w:val="auto"/>
                <w:sz w:val="21"/>
                <w:szCs w:val="21"/>
                <w:highlight w:val="none"/>
                <w:lang w:val="en-US" w:eastAsia="zh-CN"/>
              </w:rPr>
              <w:t>（六）系统设计说明：详见图纸</w:t>
            </w:r>
          </w:p>
        </w:tc>
        <w:tc>
          <w:tcPr>
            <w:tcW w:w="1551" w:type="dxa"/>
            <w:vAlign w:val="center"/>
          </w:tcPr>
          <w:p w14:paraId="4BD9234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Calibri" w:hAnsi="Calibri" w:eastAsia="宋体" w:cs="宋体"/>
                <w:color w:val="auto"/>
                <w:kern w:val="2"/>
                <w:sz w:val="21"/>
                <w:szCs w:val="21"/>
                <w:lang w:val="en-US" w:eastAsia="zh-CN" w:bidi="ar-SA"/>
              </w:rPr>
            </w:pPr>
          </w:p>
        </w:tc>
        <w:tc>
          <w:tcPr>
            <w:tcW w:w="1072" w:type="dxa"/>
            <w:vAlign w:val="center"/>
          </w:tcPr>
          <w:p w14:paraId="7C36FEB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Calibri" w:hAnsi="Calibri" w:eastAsia="宋体" w:cs="宋体"/>
                <w:color w:val="auto"/>
                <w:kern w:val="2"/>
                <w:sz w:val="21"/>
                <w:szCs w:val="21"/>
                <w:lang w:val="en-US" w:eastAsia="zh-CN" w:bidi="ar-SA"/>
              </w:rPr>
            </w:pPr>
          </w:p>
        </w:tc>
      </w:tr>
    </w:tbl>
    <w:p w14:paraId="4C608549">
      <w:pPr>
        <w:spacing w:line="360" w:lineRule="auto"/>
        <w:ind w:firstLine="211" w:firstLineChars="100"/>
        <w:jc w:val="left"/>
        <w:rPr>
          <w:rFonts w:hint="eastAsia" w:ascii="Calibri" w:hAnsi="Calibri" w:eastAsia="宋体" w:cs="宋体"/>
          <w:color w:val="auto"/>
          <w:kern w:val="2"/>
          <w:sz w:val="24"/>
          <w:szCs w:val="24"/>
          <w:lang w:val="en-US" w:eastAsia="zh-CN" w:bidi="ar-SA"/>
        </w:rPr>
      </w:pPr>
      <w:r>
        <w:rPr>
          <w:rFonts w:hint="eastAsia" w:ascii="宋体" w:hAnsi="宋体" w:cs="宋体"/>
          <w:b/>
          <w:bCs/>
          <w:color w:val="auto"/>
          <w:highlight w:val="none"/>
          <w:lang w:val="en-US" w:eastAsia="zh-CN"/>
        </w:rPr>
        <w:t>注：供应商需完全响应“技术响应表 具体内容”并在“响应或偏离说明”一栏里明确，未明确响应的作扣分处理。如有优于的，可以在“投标人响应描述”一栏里详细说明。</w:t>
      </w:r>
    </w:p>
    <w:p w14:paraId="5B811EEB">
      <w:pPr>
        <w:spacing w:line="360" w:lineRule="auto"/>
        <w:ind w:firstLine="720" w:firstLineChars="300"/>
        <w:jc w:val="left"/>
        <w:rPr>
          <w:rFonts w:hint="eastAsia" w:ascii="Calibri" w:hAnsi="Calibri" w:eastAsia="宋体" w:cs="宋体"/>
          <w:color w:val="auto"/>
          <w:kern w:val="2"/>
          <w:sz w:val="24"/>
          <w:szCs w:val="24"/>
          <w:lang w:val="en-US" w:eastAsia="zh-CN" w:bidi="ar-SA"/>
        </w:rPr>
      </w:pPr>
    </w:p>
    <w:p w14:paraId="254BE1BD">
      <w:pPr>
        <w:spacing w:line="360" w:lineRule="auto"/>
        <w:ind w:firstLine="720" w:firstLineChars="300"/>
        <w:jc w:val="left"/>
        <w:rPr>
          <w:rFonts w:hint="eastAsia" w:ascii="Calibri" w:hAnsi="Calibri" w:eastAsia="宋体" w:cs="宋体"/>
          <w:color w:val="auto"/>
          <w:kern w:val="2"/>
          <w:sz w:val="24"/>
          <w:szCs w:val="24"/>
          <w:lang w:val="en-US" w:eastAsia="zh-CN" w:bidi="ar-SA"/>
        </w:rPr>
      </w:pPr>
    </w:p>
    <w:p w14:paraId="66584171">
      <w:pPr>
        <w:spacing w:line="360" w:lineRule="auto"/>
        <w:ind w:firstLine="720" w:firstLineChars="300"/>
        <w:jc w:val="left"/>
        <w:rPr>
          <w:rFonts w:hint="eastAsia" w:ascii="Calibri" w:hAnsi="Calibri" w:eastAsia="宋体" w:cs="宋体"/>
          <w:color w:val="auto"/>
          <w:kern w:val="2"/>
          <w:sz w:val="24"/>
          <w:szCs w:val="24"/>
          <w:lang w:val="en-US" w:eastAsia="zh-CN" w:bidi="ar-SA"/>
        </w:rPr>
      </w:pPr>
    </w:p>
    <w:p w14:paraId="6EFE8A0D">
      <w:pPr>
        <w:spacing w:line="360" w:lineRule="auto"/>
        <w:ind w:firstLine="720" w:firstLineChars="300"/>
        <w:jc w:val="left"/>
        <w:rPr>
          <w:rFonts w:hint="eastAsia" w:ascii="Calibri" w:hAnsi="Calibri" w:eastAsia="宋体" w:cs="宋体"/>
          <w:color w:val="auto"/>
          <w:kern w:val="2"/>
          <w:sz w:val="24"/>
          <w:szCs w:val="24"/>
          <w:lang w:val="en-US" w:eastAsia="zh-CN" w:bidi="ar-SA"/>
        </w:rPr>
      </w:pPr>
      <w:r>
        <w:rPr>
          <w:rFonts w:hint="eastAsia" w:ascii="Calibri" w:hAnsi="Calibri" w:eastAsia="宋体" w:cs="宋体"/>
          <w:color w:val="auto"/>
          <w:kern w:val="2"/>
          <w:sz w:val="24"/>
          <w:szCs w:val="24"/>
          <w:lang w:val="en-US" w:eastAsia="zh-CN" w:bidi="ar-SA"/>
        </w:rPr>
        <w:t>2、带▲条款技术响应表</w:t>
      </w:r>
    </w:p>
    <w:tbl>
      <w:tblPr>
        <w:tblStyle w:val="24"/>
        <w:tblW w:w="973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6320"/>
        <w:gridCol w:w="1557"/>
        <w:gridCol w:w="1126"/>
      </w:tblGrid>
      <w:tr w14:paraId="0F5A6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31" w:type="dxa"/>
            <w:noWrap w:val="0"/>
            <w:vAlign w:val="center"/>
          </w:tcPr>
          <w:p w14:paraId="6201D5A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序号</w:t>
            </w:r>
          </w:p>
        </w:tc>
        <w:tc>
          <w:tcPr>
            <w:tcW w:w="6320" w:type="dxa"/>
            <w:noWrap w:val="0"/>
            <w:vAlign w:val="center"/>
          </w:tcPr>
          <w:p w14:paraId="02FD5BB2">
            <w:pPr>
              <w:spacing w:line="240" w:lineRule="auto"/>
              <w:jc w:val="both"/>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具体内容</w:t>
            </w:r>
          </w:p>
        </w:tc>
        <w:tc>
          <w:tcPr>
            <w:tcW w:w="1557" w:type="dxa"/>
            <w:noWrap w:val="0"/>
            <w:vAlign w:val="center"/>
          </w:tcPr>
          <w:p w14:paraId="09B3E993">
            <w:pPr>
              <w:spacing w:line="240" w:lineRule="auto"/>
              <w:jc w:val="center"/>
              <w:rPr>
                <w:rFonts w:hint="eastAsia" w:cs="宋体"/>
                <w:color w:val="auto"/>
                <w:kern w:val="2"/>
                <w:sz w:val="21"/>
                <w:szCs w:val="21"/>
                <w:lang w:val="en-US" w:eastAsia="zh-CN" w:bidi="ar-SA"/>
              </w:rPr>
            </w:pPr>
            <w:r>
              <w:rPr>
                <w:rFonts w:hint="eastAsia" w:cs="宋体"/>
                <w:color w:val="auto"/>
                <w:kern w:val="2"/>
                <w:sz w:val="21"/>
                <w:szCs w:val="21"/>
                <w:lang w:val="en-US" w:eastAsia="zh-CN" w:bidi="ar-SA"/>
              </w:rPr>
              <w:t>投标人</w:t>
            </w:r>
          </w:p>
          <w:p w14:paraId="084CEE54">
            <w:pPr>
              <w:spacing w:line="240" w:lineRule="auto"/>
              <w:jc w:val="center"/>
              <w:rPr>
                <w:rFonts w:hint="eastAsia" w:ascii="Calibri" w:hAnsi="Calibri" w:eastAsia="宋体" w:cs="宋体"/>
                <w:color w:val="auto"/>
                <w:kern w:val="2"/>
                <w:sz w:val="21"/>
                <w:szCs w:val="21"/>
                <w:lang w:val="en-US" w:eastAsia="zh-CN" w:bidi="ar-SA"/>
              </w:rPr>
            </w:pPr>
            <w:r>
              <w:rPr>
                <w:rFonts w:hint="eastAsia" w:cs="宋体"/>
                <w:color w:val="auto"/>
                <w:kern w:val="2"/>
                <w:sz w:val="21"/>
                <w:szCs w:val="21"/>
                <w:lang w:val="en-US" w:eastAsia="zh-CN" w:bidi="ar-SA"/>
              </w:rPr>
              <w:t>响应描述</w:t>
            </w:r>
          </w:p>
        </w:tc>
        <w:tc>
          <w:tcPr>
            <w:tcW w:w="1126" w:type="dxa"/>
            <w:noWrap w:val="0"/>
            <w:vAlign w:val="center"/>
          </w:tcPr>
          <w:p w14:paraId="1D10FD5F">
            <w:pPr>
              <w:spacing w:line="240" w:lineRule="auto"/>
              <w:jc w:val="center"/>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响应或偏离说明</w:t>
            </w:r>
          </w:p>
        </w:tc>
      </w:tr>
      <w:tr w14:paraId="037D9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731" w:type="dxa"/>
            <w:noWrap w:val="0"/>
            <w:vAlign w:val="center"/>
          </w:tcPr>
          <w:p w14:paraId="027231A8">
            <w:pPr>
              <w:spacing w:line="240" w:lineRule="auto"/>
              <w:jc w:val="center"/>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1</w:t>
            </w:r>
          </w:p>
        </w:tc>
        <w:tc>
          <w:tcPr>
            <w:tcW w:w="6320" w:type="dxa"/>
            <w:noWrap w:val="0"/>
            <w:vAlign w:val="center"/>
          </w:tcPr>
          <w:p w14:paraId="53E9CB8E">
            <w:pPr>
              <w:shd w:val="clear"/>
              <w:tabs>
                <w:tab w:val="left" w:pos="4915"/>
              </w:tabs>
              <w:spacing w:line="360" w:lineRule="auto"/>
              <w:ind w:firstLine="420" w:firstLineChars="200"/>
              <w:rPr>
                <w:rFonts w:hint="eastAsia" w:ascii="Calibri" w:hAnsi="Calibri" w:eastAsia="宋体" w:cs="宋体"/>
                <w:color w:val="auto"/>
                <w:kern w:val="2"/>
                <w:sz w:val="21"/>
                <w:szCs w:val="21"/>
                <w:highlight w:val="none"/>
                <w:lang w:val="en-US" w:eastAsia="zh-CN" w:bidi="ar-SA"/>
              </w:rPr>
            </w:pPr>
            <w:r>
              <w:rPr>
                <w:rFonts w:hint="eastAsia" w:ascii="宋体" w:hAnsi="宋体" w:cs="宋体"/>
                <w:b w:val="0"/>
                <w:bCs/>
                <w:color w:val="auto"/>
                <w:sz w:val="21"/>
                <w:szCs w:val="21"/>
                <w:highlight w:val="none"/>
                <w:lang w:val="en-US" w:eastAsia="zh-CN"/>
              </w:rPr>
              <w:t>▲5.1项目经理：市政公用工程专业注册建造师贰级及以上或通信与广电工程注册建造师壹级，并</w:t>
            </w:r>
            <w:r>
              <w:rPr>
                <w:rFonts w:hint="eastAsia" w:ascii="宋体" w:hAnsi="宋体" w:eastAsia="宋体" w:cs="宋体"/>
                <w:b w:val="0"/>
                <w:bCs/>
                <w:color w:val="auto"/>
                <w:sz w:val="21"/>
                <w:szCs w:val="21"/>
                <w:highlight w:val="none"/>
                <w:lang w:val="en-US" w:eastAsia="zh-CN"/>
              </w:rPr>
              <w:t>具有建设主管部门颁发的有效《安全生产考核合格证书》（B类），同时项目负责人必须具备与本单位所从事的生产经营活动相应的安全生产知识和管理能力，并取得通信主管部门核发的有效安全生产考</w:t>
            </w:r>
            <w:r>
              <w:rPr>
                <w:rFonts w:hint="eastAsia"/>
                <w:color w:val="auto"/>
                <w:highlight w:val="none"/>
              </w:rPr>
              <w:t>核合格证书</w:t>
            </w:r>
            <w:r>
              <w:rPr>
                <w:rFonts w:hint="eastAsia"/>
                <w:color w:val="auto"/>
                <w:highlight w:val="none"/>
                <w:lang w:eastAsia="zh-CN"/>
              </w:rPr>
              <w:t>；</w:t>
            </w:r>
            <w:r>
              <w:rPr>
                <w:rFonts w:hint="eastAsia" w:ascii="宋体" w:hAnsi="宋体" w:cs="宋体"/>
                <w:b w:val="0"/>
                <w:bCs/>
                <w:color w:val="auto"/>
                <w:sz w:val="21"/>
                <w:szCs w:val="21"/>
                <w:highlight w:val="none"/>
                <w:lang w:val="en-US" w:eastAsia="zh-CN"/>
              </w:rPr>
              <w:t>（投标文件中提供相关证书证明资料）</w:t>
            </w:r>
          </w:p>
        </w:tc>
        <w:tc>
          <w:tcPr>
            <w:tcW w:w="1557" w:type="dxa"/>
            <w:noWrap w:val="0"/>
            <w:vAlign w:val="center"/>
          </w:tcPr>
          <w:p w14:paraId="2B4E212D">
            <w:pPr>
              <w:spacing w:line="240" w:lineRule="auto"/>
              <w:jc w:val="both"/>
              <w:rPr>
                <w:rFonts w:hint="eastAsia" w:ascii="Calibri" w:hAnsi="Calibri" w:eastAsia="宋体" w:cs="宋体"/>
                <w:color w:val="auto"/>
                <w:kern w:val="2"/>
                <w:sz w:val="21"/>
                <w:szCs w:val="21"/>
                <w:lang w:val="en-US" w:eastAsia="zh-CN" w:bidi="ar-SA"/>
              </w:rPr>
            </w:pPr>
          </w:p>
        </w:tc>
        <w:tc>
          <w:tcPr>
            <w:tcW w:w="1126" w:type="dxa"/>
            <w:noWrap w:val="0"/>
            <w:vAlign w:val="center"/>
          </w:tcPr>
          <w:p w14:paraId="4C578DA2">
            <w:pPr>
              <w:spacing w:line="240" w:lineRule="auto"/>
              <w:jc w:val="both"/>
              <w:rPr>
                <w:rFonts w:hint="eastAsia" w:ascii="Calibri" w:hAnsi="Calibri" w:eastAsia="宋体" w:cs="宋体"/>
                <w:color w:val="auto"/>
                <w:kern w:val="2"/>
                <w:sz w:val="21"/>
                <w:szCs w:val="21"/>
                <w:lang w:val="en-US" w:eastAsia="zh-CN" w:bidi="ar-SA"/>
              </w:rPr>
            </w:pPr>
          </w:p>
        </w:tc>
      </w:tr>
      <w:tr w14:paraId="35E76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31" w:type="dxa"/>
            <w:noWrap w:val="0"/>
            <w:vAlign w:val="center"/>
          </w:tcPr>
          <w:p w14:paraId="43483129">
            <w:pPr>
              <w:spacing w:line="240" w:lineRule="auto"/>
              <w:jc w:val="center"/>
              <w:rPr>
                <w:rFonts w:hint="eastAsia" w:ascii="Calibri" w:hAnsi="Calibri" w:eastAsia="宋体" w:cs="宋体"/>
                <w:color w:val="auto"/>
                <w:kern w:val="2"/>
                <w:sz w:val="21"/>
                <w:szCs w:val="21"/>
                <w:lang w:val="en-US" w:eastAsia="zh-CN" w:bidi="ar-SA"/>
              </w:rPr>
            </w:pPr>
            <w:r>
              <w:rPr>
                <w:rFonts w:hint="eastAsia" w:ascii="Calibri" w:hAnsi="Calibri" w:eastAsia="宋体" w:cs="宋体"/>
                <w:color w:val="auto"/>
                <w:kern w:val="2"/>
                <w:sz w:val="21"/>
                <w:szCs w:val="21"/>
                <w:lang w:val="en-US" w:eastAsia="zh-CN" w:bidi="ar-SA"/>
              </w:rPr>
              <w:t>2</w:t>
            </w:r>
          </w:p>
        </w:tc>
        <w:tc>
          <w:tcPr>
            <w:tcW w:w="6320" w:type="dxa"/>
            <w:noWrap w:val="0"/>
            <w:vAlign w:val="center"/>
          </w:tcPr>
          <w:p w14:paraId="01451AF0">
            <w:pPr>
              <w:spacing w:line="360" w:lineRule="auto"/>
              <w:ind w:firstLine="420" w:firstLineChars="200"/>
              <w:rPr>
                <w:rFonts w:hint="eastAsia" w:ascii="Calibri" w:hAnsi="Calibri" w:eastAsia="宋体" w:cs="宋体"/>
                <w:color w:val="auto"/>
                <w:kern w:val="2"/>
                <w:sz w:val="21"/>
                <w:szCs w:val="21"/>
                <w:highlight w:val="none"/>
                <w:lang w:val="en-US" w:eastAsia="zh-CN" w:bidi="ar-SA"/>
              </w:rPr>
            </w:pPr>
            <w:r>
              <w:rPr>
                <w:rFonts w:hint="eastAsia" w:ascii="宋体" w:hAnsi="宋体" w:cs="宋体"/>
                <w:b w:val="0"/>
                <w:bCs/>
                <w:color w:val="auto"/>
                <w:sz w:val="21"/>
                <w:szCs w:val="21"/>
                <w:highlight w:val="none"/>
                <w:lang w:val="en-US" w:eastAsia="zh-CN"/>
              </w:rPr>
              <w:t>▲5.2项目专职安全员1名</w:t>
            </w:r>
            <w:r>
              <w:rPr>
                <w:rFonts w:hint="eastAsia" w:ascii="宋体" w:hAnsi="宋体" w:eastAsia="宋体" w:cs="宋体"/>
                <w:b w:val="0"/>
                <w:bCs/>
                <w:color w:val="auto"/>
                <w:sz w:val="21"/>
                <w:szCs w:val="21"/>
                <w:highlight w:val="none"/>
                <w:lang w:val="en-US" w:eastAsia="zh-CN"/>
              </w:rPr>
              <w:t>，具有建设主管部门颁发的有效《安全生产考核合格证书》（C类），同</w:t>
            </w:r>
            <w:r>
              <w:rPr>
                <w:rFonts w:hint="eastAsia" w:ascii="宋体" w:hAnsi="宋体" w:cs="宋体"/>
                <w:b w:val="0"/>
                <w:bCs/>
                <w:color w:val="auto"/>
                <w:sz w:val="21"/>
                <w:szCs w:val="21"/>
                <w:highlight w:val="none"/>
                <w:lang w:val="en-US" w:eastAsia="zh-CN"/>
              </w:rPr>
              <w:t>时</w:t>
            </w:r>
            <w:r>
              <w:rPr>
                <w:rFonts w:hint="eastAsia"/>
                <w:color w:val="auto"/>
                <w:highlight w:val="none"/>
              </w:rPr>
              <w:t>专职安全生产管理人员必须具备与本单位所从事的生产经营活动相应的安全生产知识和管理能力，并取得通信主管部门核发</w:t>
            </w:r>
            <w:r>
              <w:rPr>
                <w:rFonts w:hint="eastAsia"/>
                <w:color w:val="auto"/>
                <w:highlight w:val="none"/>
                <w:lang w:val="en-US" w:eastAsia="zh-CN"/>
              </w:rPr>
              <w:t>的</w:t>
            </w:r>
            <w:r>
              <w:rPr>
                <w:rFonts w:hint="eastAsia"/>
                <w:color w:val="auto"/>
                <w:highlight w:val="none"/>
              </w:rPr>
              <w:t>有效安全生产考核合格证书</w:t>
            </w:r>
            <w:r>
              <w:rPr>
                <w:rFonts w:hint="eastAsia"/>
                <w:color w:val="auto"/>
                <w:highlight w:val="none"/>
                <w:lang w:eastAsia="zh-CN"/>
              </w:rPr>
              <w:t>；</w:t>
            </w:r>
            <w:r>
              <w:rPr>
                <w:rFonts w:hint="eastAsia" w:ascii="宋体" w:hAnsi="宋体" w:cs="宋体"/>
                <w:b w:val="0"/>
                <w:bCs/>
                <w:color w:val="auto"/>
                <w:sz w:val="21"/>
                <w:szCs w:val="21"/>
                <w:highlight w:val="none"/>
                <w:lang w:val="en-US" w:eastAsia="zh-CN"/>
              </w:rPr>
              <w:t>（投标文件中提供相关证书证明资料）</w:t>
            </w:r>
          </w:p>
        </w:tc>
        <w:tc>
          <w:tcPr>
            <w:tcW w:w="1557" w:type="dxa"/>
            <w:noWrap w:val="0"/>
            <w:vAlign w:val="center"/>
          </w:tcPr>
          <w:p w14:paraId="6137F9DA">
            <w:pPr>
              <w:spacing w:line="240" w:lineRule="auto"/>
              <w:jc w:val="both"/>
              <w:rPr>
                <w:rFonts w:hint="eastAsia" w:ascii="Calibri" w:hAnsi="Calibri" w:eastAsia="宋体" w:cs="宋体"/>
                <w:color w:val="auto"/>
                <w:kern w:val="2"/>
                <w:sz w:val="21"/>
                <w:szCs w:val="21"/>
                <w:lang w:val="en-US" w:eastAsia="zh-CN" w:bidi="ar-SA"/>
              </w:rPr>
            </w:pPr>
          </w:p>
        </w:tc>
        <w:tc>
          <w:tcPr>
            <w:tcW w:w="1126" w:type="dxa"/>
            <w:noWrap w:val="0"/>
            <w:vAlign w:val="center"/>
          </w:tcPr>
          <w:p w14:paraId="5E8A0708">
            <w:pPr>
              <w:spacing w:line="240" w:lineRule="auto"/>
              <w:jc w:val="both"/>
              <w:rPr>
                <w:rFonts w:hint="eastAsia" w:ascii="Calibri" w:hAnsi="Calibri" w:eastAsia="宋体" w:cs="宋体"/>
                <w:color w:val="auto"/>
                <w:kern w:val="2"/>
                <w:sz w:val="21"/>
                <w:szCs w:val="21"/>
                <w:lang w:val="en-US" w:eastAsia="zh-CN" w:bidi="ar-SA"/>
              </w:rPr>
            </w:pPr>
          </w:p>
        </w:tc>
      </w:tr>
    </w:tbl>
    <w:p w14:paraId="6F310352">
      <w:pPr>
        <w:spacing w:line="360" w:lineRule="auto"/>
        <w:ind w:firstLine="420" w:firstLineChars="200"/>
        <w:rPr>
          <w:rFonts w:hint="eastAsia" w:ascii="宋体" w:hAnsi="宋体" w:cs="宋体"/>
          <w:color w:val="auto"/>
        </w:rPr>
      </w:pPr>
      <w:r>
        <w:rPr>
          <w:rFonts w:hint="eastAsia" w:ascii="宋体" w:hAnsi="宋体" w:cs="宋体"/>
          <w:color w:val="auto"/>
        </w:rPr>
        <w:t>说明：</w:t>
      </w:r>
      <w:r>
        <w:rPr>
          <w:rFonts w:hint="eastAsia" w:ascii="宋体" w:hAnsi="宋体" w:cs="宋体"/>
          <w:color w:val="auto"/>
          <w:lang w:val="en-US" w:eastAsia="zh-CN"/>
        </w:rPr>
        <w:t>采购文件中</w:t>
      </w:r>
      <w:r>
        <w:rPr>
          <w:rFonts w:hint="eastAsia" w:ascii="宋体" w:hAnsi="宋体" w:cs="宋体"/>
          <w:color w:val="auto"/>
          <w:lang w:eastAsia="zh-CN"/>
        </w:rPr>
        <w:t>“</w:t>
      </w:r>
      <w:r>
        <w:rPr>
          <w:rFonts w:hint="eastAsia" w:ascii="宋体" w:hAnsi="宋体" w:cs="宋体"/>
          <w:color w:val="auto"/>
          <w:lang w:val="en-US" w:eastAsia="zh-CN"/>
        </w:rPr>
        <w:t>第三部分 采购需求</w:t>
      </w:r>
      <w:r>
        <w:rPr>
          <w:rFonts w:hint="eastAsia" w:ascii="宋体" w:hAnsi="宋体" w:cs="宋体"/>
          <w:color w:val="auto"/>
          <w:lang w:eastAsia="zh-CN"/>
        </w:rPr>
        <w:t>”</w:t>
      </w:r>
      <w:r>
        <w:rPr>
          <w:rFonts w:hint="eastAsia" w:ascii="宋体" w:hAnsi="宋体" w:cs="宋体"/>
          <w:color w:val="auto"/>
        </w:rPr>
        <w:t>带“</w:t>
      </w:r>
      <w:r>
        <w:rPr>
          <w:rFonts w:hint="eastAsia" w:ascii="宋体" w:hAnsi="宋体" w:eastAsia="宋体" w:cs="宋体"/>
          <w:color w:val="auto"/>
          <w:szCs w:val="21"/>
        </w:rPr>
        <w:t>▲</w:t>
      </w:r>
      <w:r>
        <w:rPr>
          <w:rFonts w:hint="eastAsia" w:ascii="宋体" w:hAnsi="宋体" w:cs="宋体"/>
          <w:color w:val="auto"/>
        </w:rPr>
        <w:t>”的条款要求提供相关证明资料</w:t>
      </w:r>
      <w:r>
        <w:rPr>
          <w:rFonts w:hint="eastAsia" w:ascii="宋体" w:hAnsi="宋体" w:cs="宋体"/>
          <w:color w:val="auto"/>
          <w:lang w:eastAsia="zh-CN"/>
        </w:rPr>
        <w:t>的</w:t>
      </w:r>
      <w:r>
        <w:rPr>
          <w:rFonts w:hint="eastAsia" w:ascii="宋体" w:hAnsi="宋体" w:cs="宋体"/>
          <w:color w:val="auto"/>
        </w:rPr>
        <w:t>必须一并提供，否则视为</w:t>
      </w:r>
      <w:r>
        <w:rPr>
          <w:rFonts w:hint="eastAsia" w:ascii="宋体" w:hAnsi="宋体" w:cs="宋体"/>
          <w:color w:val="auto"/>
          <w:lang w:val="en-US" w:eastAsia="zh-CN"/>
        </w:rPr>
        <w:t>未实质性响应</w:t>
      </w:r>
      <w:r>
        <w:rPr>
          <w:rFonts w:hint="eastAsia" w:ascii="宋体" w:hAnsi="宋体" w:cs="宋体"/>
          <w:color w:val="auto"/>
        </w:rPr>
        <w:t>。</w:t>
      </w:r>
      <w:r>
        <w:rPr>
          <w:rFonts w:hint="eastAsia" w:ascii="宋体" w:hAnsi="宋体" w:cs="宋体"/>
          <w:b w:val="0"/>
          <w:bCs/>
          <w:color w:val="auto"/>
          <w:sz w:val="21"/>
          <w:szCs w:val="21"/>
          <w:highlight w:val="none"/>
          <w:lang w:val="en-US" w:eastAsia="zh-CN"/>
        </w:rPr>
        <w:t xml:space="preserve"> </w:t>
      </w:r>
    </w:p>
    <w:p w14:paraId="70CC351C">
      <w:pPr>
        <w:spacing w:before="156" w:beforeLines="50" w:line="360" w:lineRule="auto"/>
        <w:ind w:firstLine="422" w:firstLineChars="200"/>
        <w:rPr>
          <w:rFonts w:hint="eastAsia" w:ascii="宋体" w:hAnsi="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（三）项目部分要求前附表（前附表要求如与采购文件其他内容有出入的，以本表为准）</w:t>
      </w:r>
    </w:p>
    <w:tbl>
      <w:tblPr>
        <w:tblStyle w:val="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3669"/>
        <w:gridCol w:w="3103"/>
        <w:gridCol w:w="1541"/>
      </w:tblGrid>
      <w:tr w14:paraId="11BE0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03FB03B1">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序号</w:t>
            </w:r>
          </w:p>
        </w:tc>
        <w:tc>
          <w:tcPr>
            <w:tcW w:w="3669" w:type="dxa"/>
            <w:vAlign w:val="center"/>
          </w:tcPr>
          <w:p w14:paraId="0FFEDBB7">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项目内容</w:t>
            </w:r>
          </w:p>
        </w:tc>
        <w:tc>
          <w:tcPr>
            <w:tcW w:w="3103" w:type="dxa"/>
            <w:vAlign w:val="center"/>
          </w:tcPr>
          <w:p w14:paraId="3A1DC4A5">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说明与要求</w:t>
            </w:r>
          </w:p>
        </w:tc>
        <w:tc>
          <w:tcPr>
            <w:tcW w:w="1541" w:type="dxa"/>
            <w:vAlign w:val="center"/>
          </w:tcPr>
          <w:p w14:paraId="161DAE29">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eastAsia="宋体" w:cs="Times New Roman"/>
                <w:b w:val="0"/>
                <w:bCs w:val="0"/>
                <w:color w:val="auto"/>
                <w:szCs w:val="21"/>
                <w:highlight w:val="none"/>
                <w:lang w:val="en-US" w:eastAsia="zh-CN"/>
              </w:rPr>
              <w:t>供应商响应</w:t>
            </w:r>
          </w:p>
        </w:tc>
      </w:tr>
      <w:tr w14:paraId="12F72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23A704CE">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1</w:t>
            </w:r>
          </w:p>
        </w:tc>
        <w:tc>
          <w:tcPr>
            <w:tcW w:w="3669" w:type="dxa"/>
            <w:vAlign w:val="center"/>
          </w:tcPr>
          <w:p w14:paraId="16BE7C8F">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施工准备时间</w:t>
            </w:r>
          </w:p>
        </w:tc>
        <w:tc>
          <w:tcPr>
            <w:tcW w:w="3103" w:type="dxa"/>
            <w:vAlign w:val="center"/>
          </w:tcPr>
          <w:p w14:paraId="17A48CBF">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签订合同后 7 天</w:t>
            </w:r>
          </w:p>
        </w:tc>
        <w:tc>
          <w:tcPr>
            <w:tcW w:w="1541" w:type="dxa"/>
            <w:vAlign w:val="center"/>
          </w:tcPr>
          <w:p w14:paraId="7F105874">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11D56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4F79A21D">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2</w:t>
            </w:r>
          </w:p>
        </w:tc>
        <w:tc>
          <w:tcPr>
            <w:tcW w:w="3669" w:type="dxa"/>
            <w:vAlign w:val="center"/>
          </w:tcPr>
          <w:p w14:paraId="2D24A45A">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b w:val="0"/>
                <w:bCs w:val="0"/>
                <w:color w:val="auto"/>
                <w:szCs w:val="21"/>
                <w:highlight w:val="none"/>
              </w:rPr>
              <w:t>延误合同工期赔偿标准</w:t>
            </w:r>
          </w:p>
        </w:tc>
        <w:tc>
          <w:tcPr>
            <w:tcW w:w="3103" w:type="dxa"/>
            <w:vAlign w:val="center"/>
          </w:tcPr>
          <w:p w14:paraId="1F0B66E0">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val="en-US" w:eastAsia="zh-CN"/>
              </w:rPr>
              <w:t>1</w:t>
            </w:r>
            <w:r>
              <w:rPr>
                <w:rFonts w:hint="eastAsia" w:ascii="宋体" w:hAnsi="Calibri" w:eastAsia="宋体" w:cs="Times New Roman"/>
                <w:b w:val="0"/>
                <w:bCs w:val="0"/>
                <w:color w:val="auto"/>
                <w:szCs w:val="21"/>
                <w:highlight w:val="none"/>
                <w:lang w:eastAsia="zh-CN"/>
              </w:rPr>
              <w:t>000 元/天</w:t>
            </w:r>
          </w:p>
        </w:tc>
        <w:tc>
          <w:tcPr>
            <w:tcW w:w="1541" w:type="dxa"/>
            <w:vAlign w:val="center"/>
          </w:tcPr>
          <w:p w14:paraId="0DEB9B91">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4D648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6BCFEFD8">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hAnsi="Times New Roman" w:eastAsia="宋体" w:cs="Times New Roman"/>
                <w:b w:val="0"/>
                <w:bCs w:val="0"/>
                <w:color w:val="auto"/>
                <w:szCs w:val="21"/>
                <w:highlight w:val="none"/>
              </w:rPr>
              <w:t>3</w:t>
            </w:r>
          </w:p>
        </w:tc>
        <w:tc>
          <w:tcPr>
            <w:tcW w:w="3669" w:type="dxa"/>
            <w:vAlign w:val="center"/>
          </w:tcPr>
          <w:p w14:paraId="44FAFB36">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未达到工程工期违约金限额</w:t>
            </w:r>
          </w:p>
        </w:tc>
        <w:tc>
          <w:tcPr>
            <w:tcW w:w="3103" w:type="dxa"/>
            <w:vAlign w:val="center"/>
          </w:tcPr>
          <w:p w14:paraId="0A582715">
            <w:pPr>
              <w:pageBreakBefore w:val="0"/>
              <w:kinsoku/>
              <w:wordWrap/>
              <w:overflowPunct/>
              <w:topLinePunct w:val="0"/>
              <w:bidi w:val="0"/>
              <w:snapToGrid w:val="0"/>
              <w:spacing w:line="360" w:lineRule="auto"/>
              <w:jc w:val="center"/>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合同价款的</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u w:val="single"/>
                <w:lang w:val="en-US" w:eastAsia="zh-CN"/>
              </w:rPr>
              <w:t>2</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lang w:eastAsia="zh-CN"/>
              </w:rPr>
              <w:t>%</w:t>
            </w:r>
          </w:p>
        </w:tc>
        <w:tc>
          <w:tcPr>
            <w:tcW w:w="1541" w:type="dxa"/>
            <w:vAlign w:val="center"/>
          </w:tcPr>
          <w:p w14:paraId="23E4A162">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6FE35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2043EC27">
            <w:pPr>
              <w:pageBreakBefore w:val="0"/>
              <w:kinsoku/>
              <w:wordWrap/>
              <w:overflowPunct/>
              <w:topLinePunct w:val="0"/>
              <w:bidi w:val="0"/>
              <w:spacing w:line="360" w:lineRule="auto"/>
              <w:jc w:val="center"/>
              <w:rPr>
                <w:rFonts w:hint="eastAsia" w:ascii="Times New Roman" w:hAnsi="Times New Roman" w:eastAsia="宋体" w:cs="Times New Roman"/>
                <w:b w:val="0"/>
                <w:bCs w:val="0"/>
                <w:color w:val="auto"/>
                <w:szCs w:val="21"/>
                <w:highlight w:val="none"/>
                <w:lang w:val="en-US" w:eastAsia="zh-CN"/>
              </w:rPr>
            </w:pPr>
            <w:r>
              <w:rPr>
                <w:rFonts w:hint="eastAsia" w:ascii="Times New Roman" w:hAnsi="Times New Roman" w:cs="Times New Roman"/>
                <w:b w:val="0"/>
                <w:bCs w:val="0"/>
                <w:color w:val="auto"/>
                <w:szCs w:val="21"/>
                <w:highlight w:val="none"/>
                <w:lang w:val="en-US" w:eastAsia="zh-CN"/>
              </w:rPr>
              <w:t>4</w:t>
            </w:r>
          </w:p>
        </w:tc>
        <w:tc>
          <w:tcPr>
            <w:tcW w:w="3669" w:type="dxa"/>
            <w:vAlign w:val="center"/>
          </w:tcPr>
          <w:p w14:paraId="52F3CBC9">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未达到工程质量验收标准违约金限额</w:t>
            </w:r>
          </w:p>
        </w:tc>
        <w:tc>
          <w:tcPr>
            <w:tcW w:w="3103" w:type="dxa"/>
            <w:vAlign w:val="center"/>
          </w:tcPr>
          <w:p w14:paraId="20B334F2">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合同价款的</w:t>
            </w:r>
            <w:r>
              <w:rPr>
                <w:rFonts w:hint="eastAsia" w:ascii="宋体"/>
                <w:color w:val="auto"/>
                <w:szCs w:val="21"/>
                <w:highlight w:val="none"/>
                <w:u w:val="single"/>
              </w:rPr>
              <w:t xml:space="preserve"> 1 </w:t>
            </w:r>
            <w:r>
              <w:rPr>
                <w:rFonts w:hint="eastAsia" w:ascii="宋体"/>
                <w:color w:val="auto"/>
                <w:szCs w:val="21"/>
                <w:highlight w:val="none"/>
              </w:rPr>
              <w:t>%</w:t>
            </w:r>
          </w:p>
        </w:tc>
        <w:tc>
          <w:tcPr>
            <w:tcW w:w="1541" w:type="dxa"/>
            <w:vAlign w:val="center"/>
          </w:tcPr>
          <w:p w14:paraId="48C617A2">
            <w:pPr>
              <w:pageBreakBefore w:val="0"/>
              <w:kinsoku/>
              <w:wordWrap/>
              <w:overflowPunct/>
              <w:topLinePunct w:val="0"/>
              <w:bidi w:val="0"/>
              <w:spacing w:line="360" w:lineRule="auto"/>
              <w:jc w:val="center"/>
              <w:rPr>
                <w:rFonts w:hint="eastAsia" w:ascii="宋体" w:hAnsi="宋体" w:cs="宋体"/>
                <w:b w:val="0"/>
                <w:bCs w:val="0"/>
                <w:color w:val="FF0000"/>
                <w:sz w:val="21"/>
                <w:szCs w:val="21"/>
                <w:highlight w:val="yellow"/>
                <w:vertAlign w:val="baseline"/>
                <w:lang w:val="en-US" w:eastAsia="zh-CN"/>
              </w:rPr>
            </w:pPr>
          </w:p>
        </w:tc>
      </w:tr>
      <w:tr w14:paraId="09015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182FC9F2">
            <w:pPr>
              <w:pageBreakBefore w:val="0"/>
              <w:kinsoku/>
              <w:wordWrap/>
              <w:overflowPunct/>
              <w:topLinePunct w:val="0"/>
              <w:bidi w:val="0"/>
              <w:spacing w:line="360" w:lineRule="auto"/>
              <w:jc w:val="center"/>
              <w:rPr>
                <w:rFonts w:hint="eastAsia" w:ascii="Times New Roman" w:hAnsi="Times New Roman" w:eastAsia="宋体" w:cs="Times New Roman"/>
                <w:b w:val="0"/>
                <w:bCs w:val="0"/>
                <w:color w:val="auto"/>
                <w:szCs w:val="21"/>
                <w:highlight w:val="none"/>
                <w:lang w:val="en-US" w:eastAsia="zh-CN"/>
              </w:rPr>
            </w:pPr>
            <w:r>
              <w:rPr>
                <w:rFonts w:hint="eastAsia" w:ascii="Times New Roman" w:hAnsi="Times New Roman" w:cs="Times New Roman"/>
                <w:b w:val="0"/>
                <w:bCs w:val="0"/>
                <w:color w:val="auto"/>
                <w:szCs w:val="21"/>
                <w:highlight w:val="none"/>
                <w:lang w:val="en-US" w:eastAsia="zh-CN"/>
              </w:rPr>
              <w:t>5</w:t>
            </w:r>
          </w:p>
        </w:tc>
        <w:tc>
          <w:tcPr>
            <w:tcW w:w="3669" w:type="dxa"/>
            <w:vAlign w:val="center"/>
          </w:tcPr>
          <w:p w14:paraId="5382ED6A">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未履行安全文明施工承诺违约金限额</w:t>
            </w:r>
          </w:p>
        </w:tc>
        <w:tc>
          <w:tcPr>
            <w:tcW w:w="3103" w:type="dxa"/>
            <w:vAlign w:val="center"/>
          </w:tcPr>
          <w:p w14:paraId="2BFCDC12">
            <w:pPr>
              <w:spacing w:line="350" w:lineRule="exact"/>
              <w:jc w:val="center"/>
              <w:rPr>
                <w:rFonts w:hint="eastAsia" w:ascii="宋体" w:hAnsi="Calibri" w:eastAsia="宋体" w:cs="Times New Roman"/>
                <w:b w:val="0"/>
                <w:bCs w:val="0"/>
                <w:color w:val="auto"/>
                <w:szCs w:val="21"/>
                <w:highlight w:val="none"/>
                <w:lang w:eastAsia="zh-CN"/>
              </w:rPr>
            </w:pPr>
            <w:r>
              <w:rPr>
                <w:rFonts w:hint="eastAsia" w:ascii="宋体"/>
                <w:color w:val="auto"/>
                <w:szCs w:val="21"/>
                <w:highlight w:val="none"/>
              </w:rPr>
              <w:t>合同价款的</w:t>
            </w:r>
            <w:r>
              <w:rPr>
                <w:rFonts w:hint="eastAsia" w:ascii="宋体"/>
                <w:color w:val="auto"/>
                <w:szCs w:val="21"/>
                <w:highlight w:val="none"/>
                <w:u w:val="single"/>
              </w:rPr>
              <w:t xml:space="preserve"> 1 </w:t>
            </w:r>
            <w:r>
              <w:rPr>
                <w:rFonts w:hint="eastAsia" w:ascii="宋体"/>
                <w:color w:val="auto"/>
                <w:szCs w:val="21"/>
                <w:highlight w:val="none"/>
              </w:rPr>
              <w:t>%</w:t>
            </w:r>
          </w:p>
        </w:tc>
        <w:tc>
          <w:tcPr>
            <w:tcW w:w="1541" w:type="dxa"/>
            <w:vAlign w:val="center"/>
          </w:tcPr>
          <w:p w14:paraId="5BAD4CE8">
            <w:pPr>
              <w:pageBreakBefore w:val="0"/>
              <w:kinsoku/>
              <w:wordWrap/>
              <w:overflowPunct/>
              <w:topLinePunct w:val="0"/>
              <w:bidi w:val="0"/>
              <w:spacing w:line="360" w:lineRule="auto"/>
              <w:jc w:val="center"/>
              <w:rPr>
                <w:rFonts w:hint="eastAsia" w:ascii="宋体" w:hAnsi="宋体" w:cs="宋体"/>
                <w:b w:val="0"/>
                <w:bCs w:val="0"/>
                <w:color w:val="FF0000"/>
                <w:sz w:val="21"/>
                <w:szCs w:val="21"/>
                <w:highlight w:val="yellow"/>
                <w:vertAlign w:val="baseline"/>
                <w:lang w:val="en-US" w:eastAsia="zh-CN"/>
              </w:rPr>
            </w:pPr>
          </w:p>
        </w:tc>
      </w:tr>
      <w:tr w14:paraId="7F694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vAlign w:val="center"/>
          </w:tcPr>
          <w:p w14:paraId="1D22E2F5">
            <w:pPr>
              <w:pageBreakBefore w:val="0"/>
              <w:kinsoku/>
              <w:wordWrap/>
              <w:overflowPunct/>
              <w:topLinePunct w:val="0"/>
              <w:bidi w:val="0"/>
              <w:spacing w:line="360" w:lineRule="auto"/>
              <w:jc w:val="center"/>
              <w:rPr>
                <w:rFonts w:hint="default" w:ascii="宋体" w:hAnsi="宋体" w:eastAsia="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6</w:t>
            </w:r>
          </w:p>
        </w:tc>
        <w:tc>
          <w:tcPr>
            <w:tcW w:w="3669" w:type="dxa"/>
            <w:vAlign w:val="center"/>
          </w:tcPr>
          <w:p w14:paraId="38599C5D">
            <w:pPr>
              <w:keepNext w:val="0"/>
              <w:keepLines w:val="0"/>
              <w:pageBreakBefore w:val="0"/>
              <w:widowControl w:val="0"/>
              <w:kinsoku/>
              <w:wordWrap/>
              <w:overflowPunct/>
              <w:topLinePunct w:val="0"/>
              <w:autoSpaceDE/>
              <w:autoSpaceDN/>
              <w:bidi w:val="0"/>
              <w:adjustRightInd/>
              <w:snapToGrid/>
              <w:spacing w:line="350" w:lineRule="exact"/>
              <w:jc w:val="center"/>
              <w:textAlignment w:val="auto"/>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未履行项目经理及主要施工管理人员到场承诺违约金限额（项目经理到场率80%以上）</w:t>
            </w:r>
          </w:p>
        </w:tc>
        <w:tc>
          <w:tcPr>
            <w:tcW w:w="3103" w:type="dxa"/>
            <w:vAlign w:val="center"/>
          </w:tcPr>
          <w:p w14:paraId="56FCE2AD">
            <w:pPr>
              <w:keepNext w:val="0"/>
              <w:keepLines w:val="0"/>
              <w:pageBreakBefore w:val="0"/>
              <w:widowControl w:val="0"/>
              <w:kinsoku/>
              <w:wordWrap/>
              <w:overflowPunct/>
              <w:topLinePunct w:val="0"/>
              <w:autoSpaceDE/>
              <w:autoSpaceDN/>
              <w:bidi w:val="0"/>
              <w:adjustRightInd/>
              <w:snapToGrid/>
              <w:spacing w:line="350" w:lineRule="exact"/>
              <w:jc w:val="center"/>
              <w:textAlignment w:val="auto"/>
              <w:rPr>
                <w:rFonts w:hint="eastAsia" w:ascii="宋体" w:hAnsi="宋体" w:cs="宋体"/>
                <w:b w:val="0"/>
                <w:bCs w:val="0"/>
                <w:color w:val="auto"/>
                <w:sz w:val="21"/>
                <w:szCs w:val="21"/>
                <w:highlight w:val="none"/>
                <w:vertAlign w:val="baseline"/>
                <w:lang w:val="en-US" w:eastAsia="zh-CN"/>
              </w:rPr>
            </w:pPr>
            <w:r>
              <w:rPr>
                <w:rFonts w:hint="eastAsia" w:ascii="宋体" w:hAnsi="Calibri" w:eastAsia="宋体" w:cs="Times New Roman"/>
                <w:b w:val="0"/>
                <w:bCs w:val="0"/>
                <w:color w:val="auto"/>
                <w:szCs w:val="21"/>
                <w:highlight w:val="none"/>
                <w:lang w:eastAsia="zh-CN"/>
              </w:rPr>
              <w:t>合同价款的</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u w:val="single"/>
                <w:lang w:val="en-US" w:eastAsia="zh-CN"/>
              </w:rPr>
              <w:t>1</w:t>
            </w:r>
            <w:r>
              <w:rPr>
                <w:rFonts w:hint="eastAsia" w:ascii="宋体" w:hAnsi="Calibri" w:eastAsia="宋体" w:cs="Times New Roman"/>
                <w:b w:val="0"/>
                <w:bCs w:val="0"/>
                <w:color w:val="auto"/>
                <w:szCs w:val="21"/>
                <w:highlight w:val="none"/>
                <w:u w:val="single"/>
                <w:lang w:eastAsia="zh-CN"/>
              </w:rPr>
              <w:t xml:space="preserve"> </w:t>
            </w:r>
            <w:r>
              <w:rPr>
                <w:rFonts w:hint="eastAsia" w:ascii="宋体" w:hAnsi="Calibri" w:eastAsia="宋体" w:cs="Times New Roman"/>
                <w:b w:val="0"/>
                <w:bCs w:val="0"/>
                <w:color w:val="auto"/>
                <w:szCs w:val="21"/>
                <w:highlight w:val="none"/>
                <w:lang w:eastAsia="zh-CN"/>
              </w:rPr>
              <w:t>%</w:t>
            </w:r>
          </w:p>
        </w:tc>
        <w:tc>
          <w:tcPr>
            <w:tcW w:w="1541" w:type="dxa"/>
            <w:vAlign w:val="center"/>
          </w:tcPr>
          <w:p w14:paraId="5DC452E1">
            <w:pPr>
              <w:pageBreakBefore w:val="0"/>
              <w:kinsoku/>
              <w:wordWrap/>
              <w:overflowPunct/>
              <w:topLinePunct w:val="0"/>
              <w:bidi w:val="0"/>
              <w:spacing w:line="360" w:lineRule="auto"/>
              <w:jc w:val="center"/>
              <w:rPr>
                <w:rFonts w:hint="eastAsia" w:ascii="宋体" w:hAnsi="宋体" w:cs="宋体"/>
                <w:b w:val="0"/>
                <w:bCs w:val="0"/>
                <w:color w:val="auto"/>
                <w:sz w:val="21"/>
                <w:szCs w:val="21"/>
                <w:highlight w:val="none"/>
                <w:vertAlign w:val="baseline"/>
                <w:lang w:val="en-US" w:eastAsia="zh-CN"/>
              </w:rPr>
            </w:pPr>
          </w:p>
        </w:tc>
      </w:tr>
      <w:tr w14:paraId="36A9A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14:paraId="7E2822FC">
            <w:pPr>
              <w:spacing w:before="156" w:beforeLines="50" w:line="360" w:lineRule="auto"/>
              <w:jc w:val="center"/>
              <w:rPr>
                <w:rFonts w:hint="default" w:ascii="宋体" w:hAnsi="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7</w:t>
            </w:r>
          </w:p>
        </w:tc>
        <w:tc>
          <w:tcPr>
            <w:tcW w:w="3669" w:type="dxa"/>
          </w:tcPr>
          <w:p w14:paraId="46F0922F">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是否同意</w:t>
            </w:r>
            <w:r>
              <w:rPr>
                <w:rFonts w:hint="eastAsia" w:ascii="Times New Roman"/>
                <w:b w:val="0"/>
                <w:bCs w:val="0"/>
                <w:color w:val="auto"/>
                <w:kern w:val="2"/>
                <w:sz w:val="21"/>
                <w:szCs w:val="21"/>
                <w:highlight w:val="none"/>
              </w:rPr>
              <w:t>采购文件</w:t>
            </w:r>
            <w:r>
              <w:rPr>
                <w:rFonts w:ascii="Times New Roman"/>
                <w:b w:val="0"/>
                <w:bCs w:val="0"/>
                <w:color w:val="auto"/>
                <w:kern w:val="2"/>
                <w:sz w:val="21"/>
                <w:szCs w:val="21"/>
                <w:highlight w:val="none"/>
              </w:rPr>
              <w:t>其它内容</w:t>
            </w:r>
          </w:p>
        </w:tc>
        <w:tc>
          <w:tcPr>
            <w:tcW w:w="3103" w:type="dxa"/>
          </w:tcPr>
          <w:p w14:paraId="4EBF0914">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要求</w:t>
            </w:r>
            <w:r>
              <w:rPr>
                <w:rFonts w:hint="eastAsia" w:ascii="Times New Roman"/>
                <w:b w:val="0"/>
                <w:bCs w:val="0"/>
                <w:color w:val="auto"/>
                <w:kern w:val="2"/>
                <w:sz w:val="21"/>
                <w:szCs w:val="21"/>
                <w:highlight w:val="none"/>
              </w:rPr>
              <w:t>供应商</w:t>
            </w:r>
            <w:r>
              <w:rPr>
                <w:rFonts w:ascii="Times New Roman"/>
                <w:b w:val="0"/>
                <w:bCs w:val="0"/>
                <w:color w:val="auto"/>
                <w:kern w:val="2"/>
                <w:sz w:val="21"/>
                <w:szCs w:val="21"/>
                <w:highlight w:val="none"/>
              </w:rPr>
              <w:t>承诺“同意”</w:t>
            </w:r>
          </w:p>
        </w:tc>
        <w:tc>
          <w:tcPr>
            <w:tcW w:w="1541" w:type="dxa"/>
          </w:tcPr>
          <w:p w14:paraId="3FE70410">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p>
        </w:tc>
      </w:tr>
      <w:tr w14:paraId="1D19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3" w:type="dxa"/>
          </w:tcPr>
          <w:p w14:paraId="451A1E3A">
            <w:pPr>
              <w:spacing w:before="156" w:beforeLines="50" w:line="360" w:lineRule="auto"/>
              <w:jc w:val="center"/>
              <w:rPr>
                <w:rFonts w:hint="default" w:ascii="宋体" w:hAnsi="宋体" w:cs="宋体"/>
                <w:b w:val="0"/>
                <w:bCs w:val="0"/>
                <w:color w:val="auto"/>
                <w:sz w:val="21"/>
                <w:szCs w:val="21"/>
                <w:highlight w:val="none"/>
                <w:vertAlign w:val="baseline"/>
                <w:lang w:val="en-US" w:eastAsia="zh-CN"/>
              </w:rPr>
            </w:pPr>
            <w:r>
              <w:rPr>
                <w:rFonts w:hint="eastAsia" w:ascii="宋体" w:hAnsi="宋体" w:cs="宋体"/>
                <w:b w:val="0"/>
                <w:bCs w:val="0"/>
                <w:color w:val="auto"/>
                <w:sz w:val="21"/>
                <w:szCs w:val="21"/>
                <w:highlight w:val="none"/>
                <w:vertAlign w:val="baseline"/>
                <w:lang w:val="en-US" w:eastAsia="zh-CN"/>
              </w:rPr>
              <w:t>8</w:t>
            </w:r>
          </w:p>
        </w:tc>
        <w:tc>
          <w:tcPr>
            <w:tcW w:w="3669" w:type="dxa"/>
          </w:tcPr>
          <w:p w14:paraId="32F3988E">
            <w:pPr>
              <w:spacing w:before="156" w:beforeLines="50" w:line="360" w:lineRule="auto"/>
              <w:jc w:val="center"/>
              <w:rPr>
                <w:rFonts w:hint="eastAsia" w:ascii="宋体" w:hAnsi="宋体" w:cs="宋体"/>
                <w:b w:val="0"/>
                <w:bCs w:val="0"/>
                <w:color w:val="auto"/>
                <w:sz w:val="21"/>
                <w:szCs w:val="21"/>
                <w:highlight w:val="none"/>
                <w:vertAlign w:val="baseline"/>
                <w:lang w:val="en-US" w:eastAsia="zh-CN"/>
              </w:rPr>
            </w:pPr>
            <w:r>
              <w:rPr>
                <w:rFonts w:ascii="Times New Roman"/>
                <w:b w:val="0"/>
                <w:bCs w:val="0"/>
                <w:color w:val="auto"/>
                <w:kern w:val="2"/>
                <w:sz w:val="21"/>
                <w:szCs w:val="21"/>
                <w:highlight w:val="none"/>
              </w:rPr>
              <w:t>是否同意合同条款及合同附件格式</w:t>
            </w:r>
          </w:p>
        </w:tc>
        <w:tc>
          <w:tcPr>
            <w:tcW w:w="3103" w:type="dxa"/>
            <w:vAlign w:val="top"/>
          </w:tcPr>
          <w:p w14:paraId="03AA9F48">
            <w:pPr>
              <w:spacing w:before="156" w:beforeLines="50" w:line="360" w:lineRule="auto"/>
              <w:jc w:val="center"/>
              <w:rPr>
                <w:rFonts w:hint="eastAsia" w:ascii="宋体" w:hAnsi="宋体" w:eastAsia="宋体" w:cs="宋体"/>
                <w:b w:val="0"/>
                <w:bCs w:val="0"/>
                <w:color w:val="auto"/>
                <w:kern w:val="2"/>
                <w:sz w:val="21"/>
                <w:szCs w:val="21"/>
                <w:highlight w:val="none"/>
                <w:vertAlign w:val="baseline"/>
                <w:lang w:val="en-US" w:eastAsia="zh-CN" w:bidi="ar-SA"/>
              </w:rPr>
            </w:pPr>
            <w:r>
              <w:rPr>
                <w:rFonts w:ascii="Times New Roman"/>
                <w:b w:val="0"/>
                <w:bCs w:val="0"/>
                <w:color w:val="auto"/>
                <w:kern w:val="2"/>
                <w:sz w:val="21"/>
                <w:szCs w:val="21"/>
                <w:highlight w:val="none"/>
              </w:rPr>
              <w:t>要求</w:t>
            </w:r>
            <w:r>
              <w:rPr>
                <w:rFonts w:hint="eastAsia" w:ascii="Times New Roman"/>
                <w:b w:val="0"/>
                <w:bCs w:val="0"/>
                <w:color w:val="auto"/>
                <w:kern w:val="2"/>
                <w:sz w:val="21"/>
                <w:szCs w:val="21"/>
                <w:highlight w:val="none"/>
              </w:rPr>
              <w:t>供应商</w:t>
            </w:r>
            <w:r>
              <w:rPr>
                <w:rFonts w:ascii="Times New Roman"/>
                <w:b w:val="0"/>
                <w:bCs w:val="0"/>
                <w:color w:val="auto"/>
                <w:kern w:val="2"/>
                <w:sz w:val="21"/>
                <w:szCs w:val="21"/>
                <w:highlight w:val="none"/>
              </w:rPr>
              <w:t>承诺“同意”</w:t>
            </w:r>
          </w:p>
        </w:tc>
        <w:tc>
          <w:tcPr>
            <w:tcW w:w="1541" w:type="dxa"/>
            <w:vAlign w:val="top"/>
          </w:tcPr>
          <w:p w14:paraId="143F4ACE">
            <w:pPr>
              <w:spacing w:before="156" w:beforeLines="50" w:line="360" w:lineRule="auto"/>
              <w:jc w:val="center"/>
              <w:rPr>
                <w:rFonts w:hint="eastAsia" w:ascii="宋体" w:hAnsi="宋体" w:eastAsia="宋体" w:cs="宋体"/>
                <w:b w:val="0"/>
                <w:bCs w:val="0"/>
                <w:color w:val="auto"/>
                <w:kern w:val="2"/>
                <w:sz w:val="21"/>
                <w:szCs w:val="21"/>
                <w:highlight w:val="none"/>
                <w:vertAlign w:val="baseline"/>
                <w:lang w:val="en-US" w:eastAsia="zh-CN" w:bidi="ar-SA"/>
              </w:rPr>
            </w:pPr>
          </w:p>
        </w:tc>
      </w:tr>
    </w:tbl>
    <w:p w14:paraId="1718C1FB">
      <w:pPr>
        <w:spacing w:before="156" w:beforeLines="50" w:line="360" w:lineRule="auto"/>
        <w:ind w:firstLine="422" w:firstLineChars="200"/>
        <w:rPr>
          <w:rFonts w:hint="eastAsia" w:asciiTheme="minorEastAsia" w:hAnsiTheme="minorEastAsia" w:eastAsiaTheme="minorEastAsia" w:cstheme="minorEastAsia"/>
          <w:color w:val="auto"/>
          <w:kern w:val="0"/>
          <w:sz w:val="24"/>
          <w:highlight w:val="none"/>
          <w:lang w:val="zh-CN"/>
        </w:rPr>
      </w:pPr>
      <w:r>
        <w:rPr>
          <w:rFonts w:hint="eastAsia" w:ascii="宋体" w:hAnsi="宋体" w:eastAsia="宋体" w:cs="宋体"/>
          <w:b/>
          <w:bCs w:val="0"/>
          <w:color w:val="auto"/>
          <w:sz w:val="21"/>
          <w:szCs w:val="21"/>
          <w:highlight w:val="none"/>
          <w:lang w:val="en-US" w:eastAsia="zh-CN"/>
        </w:rPr>
        <w:t>▲注：“供应商响应”一栏中必须填写“同意”，否则其响应文件将被否决。</w:t>
      </w:r>
    </w:p>
    <w:p w14:paraId="2B9F5746">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28ABF80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6F283B39">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637BD6F">
      <w:pPr>
        <w:pStyle w:val="32"/>
        <w:ind w:firstLine="560"/>
        <w:rPr>
          <w:rFonts w:asciiTheme="minorEastAsia" w:hAnsiTheme="minorEastAsia" w:eastAsiaTheme="minorEastAsia" w:cstheme="minorEastAsia"/>
          <w:color w:val="auto"/>
          <w:highlight w:val="none"/>
        </w:rPr>
      </w:pPr>
    </w:p>
    <w:p w14:paraId="715B6A90">
      <w:pPr>
        <w:numPr>
          <w:ilvl w:val="0"/>
          <w:numId w:val="0"/>
        </w:numPr>
        <w:snapToGrid w:val="0"/>
        <w:spacing w:line="360" w:lineRule="auto"/>
        <w:ind w:firstLine="2570" w:firstLineChars="800"/>
        <w:jc w:val="both"/>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en-US" w:eastAsia="zh-CN"/>
        </w:rPr>
        <w:t>九、</w:t>
      </w:r>
      <w:r>
        <w:rPr>
          <w:rFonts w:hint="eastAsia" w:asciiTheme="minorEastAsia" w:hAnsiTheme="minorEastAsia" w:eastAsiaTheme="minorEastAsia" w:cstheme="minorEastAsia"/>
          <w:b/>
          <w:color w:val="auto"/>
          <w:kern w:val="0"/>
          <w:sz w:val="32"/>
          <w:szCs w:val="32"/>
          <w:highlight w:val="none"/>
        </w:rPr>
        <w:t>同类业绩情况一览表</w:t>
      </w:r>
    </w:p>
    <w:p w14:paraId="29DB2FB7">
      <w:pPr>
        <w:spacing w:line="360" w:lineRule="auto"/>
        <w:jc w:val="center"/>
        <w:rPr>
          <w:rFonts w:asciiTheme="minorEastAsia" w:hAnsiTheme="minorEastAsia" w:eastAsiaTheme="minorEastAsia" w:cstheme="minorEastAsia"/>
          <w:color w:val="auto"/>
          <w:highlight w:val="none"/>
        </w:rPr>
      </w:pPr>
    </w:p>
    <w:tbl>
      <w:tblPr>
        <w:tblStyle w:val="24"/>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829"/>
        <w:gridCol w:w="1701"/>
        <w:gridCol w:w="1693"/>
        <w:gridCol w:w="1950"/>
        <w:gridCol w:w="1792"/>
      </w:tblGrid>
      <w:tr w14:paraId="7C45B9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50ECF231">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序号</w:t>
            </w:r>
          </w:p>
        </w:tc>
        <w:tc>
          <w:tcPr>
            <w:tcW w:w="1829" w:type="dxa"/>
            <w:tcBorders>
              <w:top w:val="single" w:color="auto" w:sz="4" w:space="0"/>
              <w:left w:val="single" w:color="auto" w:sz="4" w:space="0"/>
              <w:bottom w:val="single" w:color="auto" w:sz="4" w:space="0"/>
              <w:right w:val="single" w:color="auto" w:sz="4" w:space="0"/>
            </w:tcBorders>
            <w:vAlign w:val="center"/>
          </w:tcPr>
          <w:p w14:paraId="5E4BAF8D">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采购单位名称</w:t>
            </w:r>
          </w:p>
        </w:tc>
        <w:tc>
          <w:tcPr>
            <w:tcW w:w="1701" w:type="dxa"/>
            <w:tcBorders>
              <w:top w:val="single" w:color="auto" w:sz="4" w:space="0"/>
              <w:left w:val="single" w:color="auto" w:sz="4" w:space="0"/>
              <w:right w:val="single" w:color="auto" w:sz="4" w:space="0"/>
            </w:tcBorders>
            <w:vAlign w:val="center"/>
          </w:tcPr>
          <w:p w14:paraId="651040E8">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项目名称</w:t>
            </w:r>
          </w:p>
        </w:tc>
        <w:tc>
          <w:tcPr>
            <w:tcW w:w="1693" w:type="dxa"/>
            <w:tcBorders>
              <w:top w:val="single" w:color="auto" w:sz="4" w:space="0"/>
              <w:left w:val="single" w:color="auto" w:sz="4" w:space="0"/>
              <w:bottom w:val="single" w:color="auto" w:sz="4" w:space="0"/>
              <w:right w:val="single" w:color="auto" w:sz="4" w:space="0"/>
            </w:tcBorders>
            <w:vAlign w:val="center"/>
          </w:tcPr>
          <w:p w14:paraId="168897B6">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合同金额</w:t>
            </w:r>
          </w:p>
          <w:p w14:paraId="7645A0A9">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7DA25921">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6175A518">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合同签订时间</w:t>
            </w:r>
          </w:p>
        </w:tc>
      </w:tr>
      <w:tr w14:paraId="3A5519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0CB35BDD">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1829" w:type="dxa"/>
            <w:tcBorders>
              <w:top w:val="single" w:color="auto" w:sz="4" w:space="0"/>
              <w:left w:val="single" w:color="auto" w:sz="4" w:space="0"/>
              <w:bottom w:val="single" w:color="auto" w:sz="4" w:space="0"/>
              <w:right w:val="single" w:color="auto" w:sz="4" w:space="0"/>
            </w:tcBorders>
            <w:vAlign w:val="center"/>
          </w:tcPr>
          <w:p w14:paraId="47A340EA">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119B2E3F">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606358AC">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7C1DE36">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B0CF9A6">
            <w:pPr>
              <w:spacing w:line="360" w:lineRule="auto"/>
              <w:jc w:val="left"/>
              <w:rPr>
                <w:rFonts w:asciiTheme="minorEastAsia" w:hAnsiTheme="minorEastAsia" w:eastAsiaTheme="minorEastAsia" w:cstheme="minorEastAsia"/>
                <w:color w:val="auto"/>
                <w:kern w:val="0"/>
                <w:sz w:val="24"/>
                <w:highlight w:val="none"/>
              </w:rPr>
            </w:pPr>
          </w:p>
        </w:tc>
      </w:tr>
      <w:tr w14:paraId="596F0C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323A2FE1">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1829" w:type="dxa"/>
            <w:tcBorders>
              <w:top w:val="single" w:color="auto" w:sz="4" w:space="0"/>
              <w:left w:val="single" w:color="auto" w:sz="4" w:space="0"/>
              <w:bottom w:val="single" w:color="auto" w:sz="4" w:space="0"/>
              <w:right w:val="single" w:color="auto" w:sz="4" w:space="0"/>
            </w:tcBorders>
            <w:vAlign w:val="center"/>
          </w:tcPr>
          <w:p w14:paraId="5314FB57">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269A624B">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07967E25">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86BDF1B">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2593C059">
            <w:pPr>
              <w:spacing w:line="360" w:lineRule="auto"/>
              <w:jc w:val="left"/>
              <w:rPr>
                <w:rFonts w:asciiTheme="minorEastAsia" w:hAnsiTheme="minorEastAsia" w:eastAsiaTheme="minorEastAsia" w:cstheme="minorEastAsia"/>
                <w:color w:val="auto"/>
                <w:kern w:val="0"/>
                <w:sz w:val="24"/>
                <w:highlight w:val="none"/>
              </w:rPr>
            </w:pPr>
          </w:p>
        </w:tc>
      </w:tr>
      <w:tr w14:paraId="31B49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46B654F">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w:t>
            </w:r>
          </w:p>
        </w:tc>
        <w:tc>
          <w:tcPr>
            <w:tcW w:w="1829" w:type="dxa"/>
            <w:tcBorders>
              <w:top w:val="single" w:color="auto" w:sz="4" w:space="0"/>
              <w:left w:val="single" w:color="auto" w:sz="4" w:space="0"/>
              <w:bottom w:val="single" w:color="auto" w:sz="4" w:space="0"/>
              <w:right w:val="single" w:color="auto" w:sz="4" w:space="0"/>
            </w:tcBorders>
            <w:vAlign w:val="center"/>
          </w:tcPr>
          <w:p w14:paraId="1DCFD497">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82A9856">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0C123A46">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47D92BB0">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6E8D177B">
            <w:pPr>
              <w:spacing w:line="360" w:lineRule="auto"/>
              <w:jc w:val="left"/>
              <w:rPr>
                <w:rFonts w:asciiTheme="minorEastAsia" w:hAnsiTheme="minorEastAsia" w:eastAsiaTheme="minorEastAsia" w:cstheme="minorEastAsia"/>
                <w:color w:val="auto"/>
                <w:kern w:val="0"/>
                <w:sz w:val="24"/>
                <w:highlight w:val="none"/>
              </w:rPr>
            </w:pPr>
          </w:p>
        </w:tc>
      </w:tr>
      <w:tr w14:paraId="6155EF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F284BDB">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w:t>
            </w:r>
          </w:p>
        </w:tc>
        <w:tc>
          <w:tcPr>
            <w:tcW w:w="1829" w:type="dxa"/>
            <w:tcBorders>
              <w:top w:val="single" w:color="auto" w:sz="4" w:space="0"/>
              <w:left w:val="single" w:color="auto" w:sz="4" w:space="0"/>
              <w:bottom w:val="single" w:color="auto" w:sz="4" w:space="0"/>
              <w:right w:val="single" w:color="auto" w:sz="4" w:space="0"/>
            </w:tcBorders>
            <w:vAlign w:val="center"/>
          </w:tcPr>
          <w:p w14:paraId="084F8764">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77F8CD7E">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394BC22D">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4F087F18">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9B5888C">
            <w:pPr>
              <w:spacing w:line="360" w:lineRule="auto"/>
              <w:jc w:val="left"/>
              <w:rPr>
                <w:rFonts w:asciiTheme="minorEastAsia" w:hAnsiTheme="minorEastAsia" w:eastAsiaTheme="minorEastAsia" w:cstheme="minorEastAsia"/>
                <w:color w:val="auto"/>
                <w:kern w:val="0"/>
                <w:sz w:val="24"/>
                <w:highlight w:val="none"/>
              </w:rPr>
            </w:pPr>
          </w:p>
        </w:tc>
      </w:tr>
      <w:tr w14:paraId="22F50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7CEBF714">
            <w:pP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5</w:t>
            </w:r>
          </w:p>
        </w:tc>
        <w:tc>
          <w:tcPr>
            <w:tcW w:w="1829" w:type="dxa"/>
            <w:tcBorders>
              <w:top w:val="single" w:color="auto" w:sz="4" w:space="0"/>
              <w:left w:val="single" w:color="auto" w:sz="4" w:space="0"/>
              <w:bottom w:val="single" w:color="auto" w:sz="4" w:space="0"/>
              <w:right w:val="single" w:color="auto" w:sz="4" w:space="0"/>
            </w:tcBorders>
            <w:vAlign w:val="center"/>
          </w:tcPr>
          <w:p w14:paraId="46CA1413">
            <w:pP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3F7380FF">
            <w:pP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56EADEAD">
            <w:pP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671EB83B">
            <w:pP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5597A60">
            <w:pPr>
              <w:spacing w:line="360" w:lineRule="auto"/>
              <w:jc w:val="left"/>
              <w:rPr>
                <w:rFonts w:asciiTheme="minorEastAsia" w:hAnsiTheme="minorEastAsia" w:eastAsiaTheme="minorEastAsia" w:cstheme="minorEastAsia"/>
                <w:color w:val="auto"/>
                <w:kern w:val="0"/>
                <w:sz w:val="24"/>
                <w:highlight w:val="none"/>
              </w:rPr>
            </w:pPr>
          </w:p>
        </w:tc>
      </w:tr>
    </w:tbl>
    <w:p w14:paraId="15A8F119">
      <w:pP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附：评分标准要求的证明材料</w:t>
      </w:r>
    </w:p>
    <w:p w14:paraId="08F1B11F">
      <w:pPr>
        <w:spacing w:line="360" w:lineRule="auto"/>
        <w:jc w:val="left"/>
        <w:rPr>
          <w:rFonts w:asciiTheme="minorEastAsia" w:hAnsiTheme="minorEastAsia" w:eastAsiaTheme="minorEastAsia" w:cstheme="minorEastAsia"/>
          <w:color w:val="auto"/>
          <w:kern w:val="0"/>
          <w:sz w:val="24"/>
          <w:highlight w:val="none"/>
        </w:rPr>
      </w:pPr>
    </w:p>
    <w:p w14:paraId="38E96F73">
      <w:pPr>
        <w:spacing w:line="360" w:lineRule="auto"/>
        <w:jc w:val="left"/>
        <w:rPr>
          <w:rFonts w:asciiTheme="minorEastAsia" w:hAnsiTheme="minorEastAsia" w:eastAsiaTheme="minorEastAsia" w:cstheme="minorEastAsia"/>
          <w:color w:val="auto"/>
          <w:kern w:val="0"/>
          <w:sz w:val="24"/>
          <w:highlight w:val="none"/>
        </w:rPr>
      </w:pPr>
    </w:p>
    <w:p w14:paraId="0A57FF42">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D0AA51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6C8EA27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lang w:val="zh-CN" w:eastAsia="zh-CN"/>
        </w:rPr>
        <w:t>：</w:t>
      </w:r>
    </w:p>
    <w:p w14:paraId="42357193">
      <w:pPr>
        <w:spacing w:line="360" w:lineRule="auto"/>
        <w:ind w:left="4620" w:leftChars="2200"/>
        <w:jc w:val="left"/>
        <w:rPr>
          <w:rFonts w:asciiTheme="minorEastAsia" w:hAnsiTheme="minorEastAsia" w:eastAsiaTheme="minorEastAsia" w:cstheme="minorEastAsia"/>
          <w:b/>
          <w:color w:val="auto"/>
          <w:kern w:val="0"/>
          <w:sz w:val="32"/>
          <w:szCs w:val="32"/>
          <w:highlight w:val="none"/>
          <w:lang w:val="zh-CN"/>
        </w:rPr>
      </w:pPr>
    </w:p>
    <w:p w14:paraId="55F8A66F">
      <w:pPr>
        <w:numPr>
          <w:ilvl w:val="0"/>
          <w:numId w:val="0"/>
        </w:numP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en-US" w:eastAsia="zh-CN"/>
        </w:rPr>
        <w:t>十、</w:t>
      </w:r>
      <w:r>
        <w:rPr>
          <w:rFonts w:hint="eastAsia" w:asciiTheme="minorEastAsia" w:hAnsiTheme="minorEastAsia" w:eastAsiaTheme="minorEastAsia" w:cstheme="minorEastAsia"/>
          <w:b/>
          <w:color w:val="auto"/>
          <w:kern w:val="0"/>
          <w:sz w:val="32"/>
          <w:szCs w:val="32"/>
          <w:highlight w:val="none"/>
          <w:lang w:val="zh-CN"/>
        </w:rPr>
        <w:t>政府采购供应商廉洁自律承诺书</w:t>
      </w:r>
    </w:p>
    <w:p w14:paraId="4B6C6076">
      <w:pPr>
        <w:snapToGrid w:val="0"/>
        <w:spacing w:line="360" w:lineRule="auto"/>
        <w:rPr>
          <w:rFonts w:asciiTheme="minorEastAsia" w:hAnsiTheme="minorEastAsia" w:eastAsiaTheme="minorEastAsia" w:cstheme="minorEastAsia"/>
          <w:color w:val="auto"/>
          <w:sz w:val="24"/>
          <w:highlight w:val="none"/>
        </w:rPr>
      </w:pPr>
    </w:p>
    <w:p w14:paraId="0ED65751">
      <w:pPr>
        <w:snapToGrid w:val="0"/>
        <w:spacing w:line="360" w:lineRule="auto"/>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kern w:val="0"/>
          <w:sz w:val="24"/>
          <w:highlight w:val="none"/>
          <w:lang w:val="zh-CN"/>
        </w:rPr>
        <w:t>：</w:t>
      </w:r>
    </w:p>
    <w:p w14:paraId="278396D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项目磋商要求参加磋商采购活动。在这次采购过程中和成交后，我们将严格遵守国家法律法规要求，并郑重承诺：</w:t>
      </w:r>
    </w:p>
    <w:p w14:paraId="2FC521F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6256DC07">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5337B32B">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4E1260AD">
      <w:pP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1340A677">
      <w:pP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75FE6365">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544BD4C3">
      <w:pP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六、严格遵守《</w:t>
      </w:r>
      <w:r>
        <w:rPr>
          <w:rFonts w:hint="eastAsia" w:asciiTheme="minorEastAsia" w:hAnsiTheme="minorEastAsia" w:eastAsiaTheme="minorEastAsia" w:cstheme="minorEastAsia"/>
          <w:color w:val="auto"/>
          <w:sz w:val="24"/>
          <w:highlight w:val="none"/>
          <w:lang w:val="zh-CN"/>
        </w:rPr>
        <w:t>中华人民共和国</w:t>
      </w:r>
      <w:r>
        <w:rPr>
          <w:rFonts w:hint="eastAsia" w:asciiTheme="minorEastAsia" w:hAnsiTheme="minorEastAsia" w:eastAsiaTheme="minorEastAsia" w:cstheme="minorEastAsia"/>
          <w:color w:val="auto"/>
          <w:kern w:val="0"/>
          <w:sz w:val="24"/>
          <w:highlight w:val="none"/>
          <w:lang w:val="zh-CN"/>
        </w:rPr>
        <w:t>政府采购法》</w:t>
      </w:r>
      <w:r>
        <w:rPr>
          <w:rFonts w:hint="eastAsia" w:asciiTheme="minorEastAsia" w:hAnsiTheme="minorEastAsia" w:eastAsiaTheme="minorEastAsia" w:cstheme="minorEastAsia"/>
          <w:color w:val="auto"/>
          <w:sz w:val="24"/>
          <w:highlight w:val="none"/>
          <w:lang w:val="zh-CN"/>
        </w:rPr>
        <w:t>《中华人民共和国民法典》</w:t>
      </w:r>
      <w:r>
        <w:rPr>
          <w:rFonts w:hint="eastAsia" w:asciiTheme="minorEastAsia" w:hAnsiTheme="minorEastAsia" w:eastAsiaTheme="minorEastAsia" w:cstheme="minorEastAsia"/>
          <w:color w:val="auto"/>
          <w:kern w:val="0"/>
          <w:sz w:val="24"/>
          <w:highlight w:val="none"/>
          <w:lang w:val="zh-CN"/>
        </w:rPr>
        <w:t xml:space="preserve">等法律法规，诚实守信，合法经营，坚决抵制各种违法违纪行为。 </w:t>
      </w:r>
    </w:p>
    <w:p w14:paraId="676BF11B">
      <w:pPr>
        <w:autoSpaceDE w:val="0"/>
        <w:autoSpaceDN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有权立即取消我单位响应、成交或在建项目的建设资格，有权拒绝我单位在一定时期内进入你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54F172A3">
      <w:pP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p>
    <w:p w14:paraId="4F6F784E">
      <w:pPr>
        <w:autoSpaceDE w:val="0"/>
        <w:autoSpaceDN w:val="0"/>
        <w:spacing w:line="360" w:lineRule="auto"/>
        <w:ind w:left="2"/>
        <w:jc w:val="left"/>
        <w:rPr>
          <w:rFonts w:asciiTheme="minorEastAsia" w:hAnsiTheme="minorEastAsia" w:eastAsiaTheme="minorEastAsia" w:cstheme="minorEastAsia"/>
          <w:color w:val="auto"/>
          <w:kern w:val="0"/>
          <w:sz w:val="24"/>
          <w:highlight w:val="none"/>
          <w:lang w:val="zh-CN"/>
        </w:rPr>
      </w:pPr>
    </w:p>
    <w:p w14:paraId="02B0F24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25624E93">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5BCA7D6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78F5913A">
      <w:pPr>
        <w:spacing w:line="360" w:lineRule="auto"/>
        <w:ind w:left="4620" w:leftChars="2200"/>
        <w:rPr>
          <w:rFonts w:asciiTheme="minorEastAsia" w:hAnsiTheme="minorEastAsia" w:eastAsiaTheme="minorEastAsia" w:cstheme="minorEastAsia"/>
          <w:color w:val="auto"/>
          <w:sz w:val="24"/>
          <w:highlight w:val="none"/>
        </w:rPr>
      </w:pPr>
    </w:p>
    <w:p w14:paraId="3EC408D4">
      <w:pPr>
        <w:spacing w:line="360" w:lineRule="auto"/>
        <w:jc w:val="center"/>
        <w:rPr>
          <w:rFonts w:asciiTheme="minorEastAsia" w:hAnsiTheme="minorEastAsia" w:eastAsiaTheme="minorEastAsia" w:cstheme="minorEastAsia"/>
          <w:b/>
          <w:bCs/>
          <w:color w:val="auto"/>
          <w:sz w:val="24"/>
          <w:highlight w:val="none"/>
        </w:rPr>
      </w:pPr>
    </w:p>
    <w:p w14:paraId="2945C582">
      <w:pPr>
        <w:spacing w:line="360" w:lineRule="auto"/>
        <w:jc w:val="center"/>
        <w:rPr>
          <w:rFonts w:asciiTheme="minorEastAsia" w:hAnsiTheme="minorEastAsia" w:eastAsiaTheme="minorEastAsia" w:cstheme="minorEastAsia"/>
          <w:b/>
          <w:bCs/>
          <w:color w:val="auto"/>
          <w:sz w:val="24"/>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04561D52">
      <w:pP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5D50BBF3">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791A6C91">
      <w:pP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5BB47666">
      <w:pPr>
        <w:snapToGrid w:val="0"/>
        <w:spacing w:line="360" w:lineRule="auto"/>
        <w:ind w:firstLine="480" w:firstLineChars="200"/>
        <w:rPr>
          <w:rFonts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sz w:val="24"/>
          <w:highlight w:val="none"/>
        </w:rPr>
        <w:t xml:space="preserve"> </w:t>
      </w:r>
    </w:p>
    <w:p w14:paraId="592F46A3">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报价一览表；</w:t>
      </w:r>
    </w:p>
    <w:p w14:paraId="1BE17A86">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2</w:t>
      </w:r>
      <w:r>
        <w:rPr>
          <w:rFonts w:hint="eastAsia" w:asciiTheme="minorEastAsia" w:hAnsiTheme="minorEastAsia" w:eastAsiaTheme="minorEastAsia" w:cstheme="minorEastAsia"/>
          <w:color w:val="auto"/>
          <w:sz w:val="28"/>
          <w:szCs w:val="28"/>
          <w:highlight w:val="none"/>
        </w:rPr>
        <w:t xml:space="preserve"> 中小企业声明函（如有）；</w:t>
      </w:r>
    </w:p>
    <w:p w14:paraId="7834C168">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3</w:t>
      </w:r>
      <w:r>
        <w:rPr>
          <w:rFonts w:hint="eastAsia" w:asciiTheme="minorEastAsia" w:hAnsiTheme="minorEastAsia" w:eastAsiaTheme="minorEastAsia" w:cstheme="minorEastAsia"/>
          <w:color w:val="auto"/>
          <w:sz w:val="28"/>
          <w:szCs w:val="28"/>
          <w:highlight w:val="none"/>
        </w:rPr>
        <w:t xml:space="preserve"> 残疾人福利性单位声明函（如有）；</w:t>
      </w:r>
    </w:p>
    <w:p w14:paraId="694DE40F">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4</w:t>
      </w:r>
      <w:r>
        <w:rPr>
          <w:rFonts w:hint="eastAsia" w:asciiTheme="minorEastAsia" w:hAnsiTheme="minorEastAsia" w:eastAsiaTheme="minorEastAsia" w:cstheme="minorEastAsia"/>
          <w:color w:val="auto"/>
          <w:sz w:val="28"/>
          <w:szCs w:val="28"/>
          <w:highlight w:val="none"/>
        </w:rPr>
        <w:t xml:space="preserve"> 监狱企业的证明文件（如有）；</w:t>
      </w:r>
    </w:p>
    <w:p w14:paraId="4E943F58">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5</w:t>
      </w:r>
      <w:r>
        <w:rPr>
          <w:rFonts w:hint="eastAsia" w:asciiTheme="minorEastAsia" w:hAnsiTheme="minorEastAsia" w:eastAsiaTheme="minorEastAsia" w:cstheme="minorEastAsia"/>
          <w:color w:val="auto"/>
          <w:sz w:val="28"/>
          <w:szCs w:val="28"/>
          <w:highlight w:val="none"/>
        </w:rPr>
        <w:t xml:space="preserve"> 政府采购统计基础信息表；</w:t>
      </w:r>
    </w:p>
    <w:p w14:paraId="71A00C7D">
      <w:pP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6</w:t>
      </w:r>
      <w:r>
        <w:rPr>
          <w:rFonts w:hint="eastAsia" w:asciiTheme="minorEastAsia" w:hAnsiTheme="minorEastAsia" w:eastAsiaTheme="minorEastAsia" w:cstheme="minorEastAsia"/>
          <w:color w:val="auto"/>
          <w:sz w:val="28"/>
          <w:szCs w:val="28"/>
          <w:highlight w:val="none"/>
        </w:rPr>
        <w:t xml:space="preserve"> 其他资料（如有）。</w:t>
      </w:r>
    </w:p>
    <w:p w14:paraId="121904F3">
      <w:pPr>
        <w:snapToGrid w:val="0"/>
        <w:spacing w:line="360" w:lineRule="auto"/>
        <w:ind w:right="480"/>
        <w:rPr>
          <w:rFonts w:asciiTheme="minorEastAsia" w:hAnsiTheme="minorEastAsia" w:eastAsiaTheme="minorEastAsia" w:cstheme="minorEastAsia"/>
          <w:b/>
          <w:color w:val="auto"/>
          <w:kern w:val="0"/>
          <w:sz w:val="32"/>
          <w:szCs w:val="32"/>
          <w:highlight w:val="none"/>
        </w:rPr>
      </w:pPr>
    </w:p>
    <w:p w14:paraId="0891CB2F">
      <w:pPr>
        <w:pStyle w:val="45"/>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CDF9AAA">
      <w:pPr>
        <w:pStyle w:val="45"/>
        <w:keepNext w:val="0"/>
        <w:pageBreakBefore w:val="0"/>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一、报价一览表</w:t>
      </w:r>
    </w:p>
    <w:p w14:paraId="3AF3E259">
      <w:pPr>
        <w:snapToGrid w:val="0"/>
        <w:spacing w:line="360" w:lineRule="auto"/>
        <w:rPr>
          <w:rFonts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（采购人）、（采购代理机构）</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 xml:space="preserve">                                     </w:t>
      </w:r>
    </w:p>
    <w:p w14:paraId="6343750F">
      <w:pPr>
        <w:snapToGrid w:val="0"/>
        <w:spacing w:line="360" w:lineRule="auto"/>
        <w:ind w:firstLine="482"/>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按你方采购文件要求，我们，本响应文件签字方，谨此向你方发出要约如下：如你方接受本次磋商响应，我方承诺按照如下报价一览表（报价表）的价格完成</w:t>
      </w:r>
      <w:r>
        <w:rPr>
          <w:rFonts w:hint="eastAsia" w:asciiTheme="minorEastAsia" w:hAnsiTheme="minorEastAsia" w:eastAsiaTheme="minorEastAsia" w:cstheme="minorEastAsia"/>
          <w:color w:val="auto"/>
          <w:kern w:val="0"/>
          <w:sz w:val="24"/>
          <w:highlight w:val="none"/>
          <w:lang w:val="en-US" w:eastAsia="zh-CN"/>
        </w:rPr>
        <w:t>本项目的实施</w:t>
      </w:r>
      <w:r>
        <w:rPr>
          <w:rFonts w:hint="eastAsia" w:asciiTheme="minorEastAsia" w:hAnsiTheme="minorEastAsia" w:eastAsiaTheme="minorEastAsia" w:cstheme="minorEastAsia"/>
          <w:color w:val="auto"/>
          <w:kern w:val="0"/>
          <w:sz w:val="24"/>
          <w:highlight w:val="none"/>
          <w:lang w:val="zh-CN"/>
        </w:rPr>
        <w:t>。</w:t>
      </w:r>
    </w:p>
    <w:p w14:paraId="5352BAA1">
      <w:pPr>
        <w:spacing w:line="360" w:lineRule="auto"/>
        <w:jc w:val="center"/>
        <w:rPr>
          <w:rFonts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报价一览表（初次报价表）(单位均为人民币元)</w:t>
      </w:r>
    </w:p>
    <w:tbl>
      <w:tblPr>
        <w:tblStyle w:val="24"/>
        <w:tblpPr w:leftFromText="180" w:rightFromText="180" w:vertAnchor="text" w:horzAnchor="margin" w:tblpX="1" w:tblpY="192"/>
        <w:tblW w:w="8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6"/>
        <w:gridCol w:w="2942"/>
        <w:gridCol w:w="1961"/>
      </w:tblGrid>
      <w:tr w14:paraId="7331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3926" w:type="dxa"/>
            <w:tcBorders>
              <w:top w:val="single" w:color="auto" w:sz="4" w:space="0"/>
              <w:left w:val="single" w:color="auto" w:sz="4" w:space="0"/>
              <w:bottom w:val="single" w:color="auto" w:sz="4" w:space="0"/>
              <w:right w:val="single" w:color="auto" w:sz="4" w:space="0"/>
            </w:tcBorders>
            <w:noWrap w:val="0"/>
            <w:vAlign w:val="center"/>
          </w:tcPr>
          <w:p w14:paraId="7F09B893">
            <w:pPr>
              <w:pStyle w:val="11"/>
              <w:pageBreakBefore w:val="0"/>
              <w:kinsoku/>
              <w:wordWrap/>
              <w:overflowPunct/>
              <w:topLinePunct w:val="0"/>
              <w:bidi w:val="0"/>
              <w:spacing w:line="360" w:lineRule="auto"/>
              <w:ind w:firstLine="0"/>
              <w:jc w:val="center"/>
              <w:rPr>
                <w:color w:val="auto"/>
                <w:szCs w:val="24"/>
                <w:highlight w:val="none"/>
              </w:rPr>
            </w:pPr>
            <w:r>
              <w:rPr>
                <w:rFonts w:hint="eastAsia"/>
                <w:color w:val="auto"/>
                <w:szCs w:val="24"/>
                <w:highlight w:val="none"/>
              </w:rPr>
              <w:t>项目名称</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14DB6578">
            <w:pPr>
              <w:pStyle w:val="11"/>
              <w:pageBreakBefore w:val="0"/>
              <w:kinsoku/>
              <w:wordWrap/>
              <w:overflowPunct/>
              <w:topLinePunct w:val="0"/>
              <w:bidi w:val="0"/>
              <w:spacing w:line="360" w:lineRule="auto"/>
              <w:ind w:left="0" w:leftChars="0" w:firstLine="0" w:firstLineChars="0"/>
              <w:jc w:val="center"/>
              <w:rPr>
                <w:rFonts w:hint="eastAsia" w:eastAsia="方正书宋简体"/>
                <w:color w:val="auto"/>
                <w:szCs w:val="24"/>
                <w:highlight w:val="none"/>
                <w:lang w:eastAsia="zh-CN"/>
              </w:rPr>
            </w:pPr>
            <w:r>
              <w:rPr>
                <w:rFonts w:hint="eastAsia"/>
                <w:color w:val="auto"/>
                <w:szCs w:val="24"/>
                <w:highlight w:val="none"/>
              </w:rPr>
              <w:t>投标报价</w:t>
            </w:r>
            <w:r>
              <w:rPr>
                <w:color w:val="auto"/>
                <w:szCs w:val="24"/>
                <w:highlight w:val="none"/>
              </w:rPr>
              <w:t>（</w:t>
            </w:r>
            <w:r>
              <w:rPr>
                <w:rFonts w:hint="eastAsia"/>
                <w:color w:val="auto"/>
                <w:szCs w:val="24"/>
                <w:highlight w:val="none"/>
                <w:lang w:val="en-US" w:eastAsia="zh-CN"/>
              </w:rPr>
              <w:t>综合折扣</w:t>
            </w:r>
            <w:r>
              <w:rPr>
                <w:rFonts w:hint="eastAsia"/>
                <w:color w:val="auto"/>
                <w:szCs w:val="24"/>
                <w:highlight w:val="none"/>
              </w:rPr>
              <w:t>%</w:t>
            </w:r>
            <w:r>
              <w:rPr>
                <w:color w:val="auto"/>
                <w:szCs w:val="24"/>
                <w:highlight w:val="none"/>
              </w:rPr>
              <w:t>）</w:t>
            </w:r>
          </w:p>
        </w:tc>
        <w:tc>
          <w:tcPr>
            <w:tcW w:w="1961" w:type="dxa"/>
            <w:tcBorders>
              <w:top w:val="single" w:color="auto" w:sz="4" w:space="0"/>
              <w:left w:val="single" w:color="auto" w:sz="4" w:space="0"/>
              <w:bottom w:val="single" w:color="auto" w:sz="4" w:space="0"/>
              <w:right w:val="single" w:color="auto" w:sz="4" w:space="0"/>
            </w:tcBorders>
            <w:noWrap w:val="0"/>
            <w:vAlign w:val="center"/>
          </w:tcPr>
          <w:p w14:paraId="29BB2B99">
            <w:pPr>
              <w:pStyle w:val="11"/>
              <w:pageBreakBefore w:val="0"/>
              <w:kinsoku/>
              <w:wordWrap/>
              <w:overflowPunct/>
              <w:topLinePunct w:val="0"/>
              <w:bidi w:val="0"/>
              <w:spacing w:line="360" w:lineRule="auto"/>
              <w:ind w:firstLine="0"/>
              <w:jc w:val="both"/>
              <w:rPr>
                <w:rFonts w:hint="default" w:eastAsia="方正书宋简体"/>
                <w:color w:val="auto"/>
                <w:szCs w:val="24"/>
                <w:highlight w:val="none"/>
                <w:lang w:val="en-US" w:eastAsia="zh-CN"/>
              </w:rPr>
            </w:pPr>
            <w:r>
              <w:rPr>
                <w:rFonts w:hint="eastAsia" w:eastAsia="方正书宋简体"/>
                <w:color w:val="auto"/>
                <w:szCs w:val="24"/>
                <w:highlight w:val="none"/>
                <w:lang w:val="en-US" w:eastAsia="zh-CN"/>
              </w:rPr>
              <w:t>备注</w:t>
            </w:r>
          </w:p>
        </w:tc>
      </w:tr>
      <w:tr w14:paraId="5E636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3926" w:type="dxa"/>
            <w:tcBorders>
              <w:top w:val="single" w:color="auto" w:sz="4" w:space="0"/>
              <w:left w:val="single" w:color="auto" w:sz="4" w:space="0"/>
              <w:bottom w:val="single" w:color="auto" w:sz="4" w:space="0"/>
              <w:right w:val="single" w:color="auto" w:sz="4" w:space="0"/>
            </w:tcBorders>
            <w:noWrap w:val="0"/>
            <w:vAlign w:val="center"/>
          </w:tcPr>
          <w:p w14:paraId="4C4164CD">
            <w:pPr>
              <w:pStyle w:val="11"/>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rPr>
            </w:pPr>
            <w:r>
              <w:rPr>
                <w:rFonts w:hint="eastAsia" w:ascii="宋体" w:hAnsi="宋体" w:eastAsia="宋体" w:cs="Times New Roman"/>
                <w:color w:val="auto"/>
                <w:szCs w:val="24"/>
                <w:highlight w:val="none"/>
                <w:lang w:val="en-US" w:eastAsia="zh-CN"/>
              </w:rPr>
              <w:t>奉化区FH24-02-09a地块建设项目—通信基础设施和无线通信室内覆盖系统建设工程</w:t>
            </w:r>
          </w:p>
        </w:tc>
        <w:tc>
          <w:tcPr>
            <w:tcW w:w="2942" w:type="dxa"/>
            <w:tcBorders>
              <w:top w:val="single" w:color="auto" w:sz="4" w:space="0"/>
              <w:left w:val="single" w:color="auto" w:sz="4" w:space="0"/>
              <w:bottom w:val="single" w:color="auto" w:sz="4" w:space="0"/>
              <w:right w:val="single" w:color="auto" w:sz="4" w:space="0"/>
            </w:tcBorders>
            <w:noWrap w:val="0"/>
            <w:vAlign w:val="center"/>
          </w:tcPr>
          <w:p w14:paraId="597458AE">
            <w:pPr>
              <w:pStyle w:val="11"/>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rPr>
            </w:pPr>
            <w:r>
              <w:rPr>
                <w:rFonts w:hint="eastAsia" w:ascii="宋体" w:hAnsi="宋体" w:eastAsia="宋体" w:cs="Times New Roman"/>
                <w:color w:val="auto"/>
                <w:szCs w:val="24"/>
                <w:highlight w:val="none"/>
                <w:lang w:val="en-US" w:eastAsia="zh-CN"/>
              </w:rPr>
              <w:t>综合折扣</w:t>
            </w:r>
            <w:r>
              <w:rPr>
                <w:rFonts w:hint="eastAsia" w:ascii="宋体" w:hAnsi="宋体" w:eastAsia="宋体" w:cs="Times New Roman"/>
                <w:color w:val="auto"/>
                <w:szCs w:val="24"/>
                <w:highlight w:val="none"/>
              </w:rPr>
              <w:t>：   %</w:t>
            </w:r>
          </w:p>
        </w:tc>
        <w:tc>
          <w:tcPr>
            <w:tcW w:w="1961" w:type="dxa"/>
            <w:tcBorders>
              <w:top w:val="single" w:color="auto" w:sz="4" w:space="0"/>
              <w:left w:val="single" w:color="auto" w:sz="4" w:space="0"/>
              <w:bottom w:val="single" w:color="auto" w:sz="4" w:space="0"/>
              <w:right w:val="single" w:color="auto" w:sz="4" w:space="0"/>
            </w:tcBorders>
            <w:noWrap w:val="0"/>
            <w:vAlign w:val="center"/>
          </w:tcPr>
          <w:p w14:paraId="72B994AE">
            <w:pPr>
              <w:pStyle w:val="11"/>
              <w:pageBreakBefore w:val="0"/>
              <w:kinsoku/>
              <w:wordWrap/>
              <w:overflowPunct/>
              <w:topLinePunct w:val="0"/>
              <w:bidi w:val="0"/>
              <w:spacing w:line="360" w:lineRule="auto"/>
              <w:ind w:left="0" w:leftChars="0" w:firstLine="0" w:firstLineChars="0"/>
              <w:jc w:val="center"/>
              <w:rPr>
                <w:rFonts w:hint="eastAsia" w:ascii="宋体" w:hAnsi="宋体" w:eastAsia="宋体" w:cs="Times New Roman"/>
                <w:color w:val="auto"/>
                <w:szCs w:val="24"/>
                <w:highlight w:val="none"/>
                <w:lang w:val="en-US" w:eastAsia="zh-CN"/>
              </w:rPr>
            </w:pPr>
          </w:p>
        </w:tc>
      </w:tr>
    </w:tbl>
    <w:p w14:paraId="1F4A7FE5">
      <w:pPr>
        <w:shd w:val="clear"/>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r>
        <w:rPr>
          <w:rFonts w:hint="eastAsia" w:ascii="宋体" w:hAnsi="宋体" w:eastAsia="宋体" w:cs="Times New Roman"/>
          <w:b/>
          <w:color w:val="auto"/>
          <w:sz w:val="24"/>
          <w:highlight w:val="none"/>
          <w:u w:val="single"/>
          <w:lang w:val="zh-CN"/>
        </w:rPr>
        <w:t>1、磋商</w:t>
      </w:r>
      <w:r>
        <w:rPr>
          <w:rFonts w:hint="eastAsia" w:ascii="宋体" w:hAnsi="宋体" w:eastAsia="宋体" w:cs="Times New Roman"/>
          <w:b/>
          <w:color w:val="auto"/>
          <w:sz w:val="24"/>
          <w:highlight w:val="none"/>
          <w:u w:val="single"/>
        </w:rPr>
        <w:t>报价</w:t>
      </w:r>
      <w:r>
        <w:rPr>
          <w:rFonts w:hint="eastAsia" w:ascii="宋体" w:hAnsi="宋体"/>
          <w:b/>
          <w:color w:val="auto"/>
          <w:sz w:val="24"/>
          <w:highlight w:val="none"/>
          <w:u w:val="single"/>
        </w:rPr>
        <w:t>折</w:t>
      </w:r>
      <w:r>
        <w:rPr>
          <w:rFonts w:ascii="宋体" w:hAnsi="宋体"/>
          <w:b/>
          <w:color w:val="auto"/>
          <w:sz w:val="24"/>
          <w:highlight w:val="none"/>
          <w:u w:val="single"/>
        </w:rPr>
        <w:t>扣</w:t>
      </w:r>
      <w:r>
        <w:rPr>
          <w:rFonts w:hint="eastAsia" w:ascii="宋体" w:hAnsi="宋体"/>
          <w:b/>
          <w:color w:val="auto"/>
          <w:sz w:val="24"/>
          <w:highlight w:val="none"/>
          <w:u w:val="single"/>
        </w:rPr>
        <w:t>以“%”的形式填写。</w:t>
      </w:r>
      <w:r>
        <w:rPr>
          <w:rFonts w:hint="eastAsia"/>
          <w:b/>
          <w:color w:val="auto"/>
          <w:sz w:val="24"/>
          <w:highlight w:val="none"/>
          <w:u w:val="single"/>
        </w:rPr>
        <w:t>本次项目设有最高折扣（94%），未按折扣进行报价或超过最高综合折扣进行报价的磋商响应文件作无效处理。</w:t>
      </w:r>
    </w:p>
    <w:p w14:paraId="23EE1026">
      <w:pPr>
        <w:snapToGrid w:val="0"/>
        <w:spacing w:line="360" w:lineRule="auto"/>
        <w:ind w:left="480"/>
        <w:rPr>
          <w:rFonts w:hint="default"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2、报价一经涂改，应在涂改处加盖单位公章或者由法定代表人或授权委托人签名或盖章，否则其投标作无效标处理。</w:t>
      </w:r>
    </w:p>
    <w:p w14:paraId="51DCD216">
      <w:pPr>
        <w:snapToGrid w:val="0"/>
        <w:spacing w:line="360" w:lineRule="auto"/>
        <w:ind w:left="48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en-US" w:eastAsia="zh-CN"/>
        </w:rPr>
        <w:t>3、</w:t>
      </w:r>
      <w:r>
        <w:rPr>
          <w:rFonts w:hint="eastAsia" w:asciiTheme="minorEastAsia" w:hAnsiTheme="minorEastAsia" w:eastAsiaTheme="minorEastAsia" w:cstheme="minorEastAsia"/>
          <w:color w:val="auto"/>
          <w:kern w:val="0"/>
          <w:sz w:val="24"/>
          <w:highlight w:val="none"/>
          <w:lang w:val="zh-CN"/>
        </w:rPr>
        <w:t>供应商需按本表格式填写，不得自行更改。</w:t>
      </w:r>
    </w:p>
    <w:p w14:paraId="6AC8F8B4">
      <w:pPr>
        <w:spacing w:line="360" w:lineRule="auto"/>
        <w:ind w:firstLine="480" w:firstLineChars="20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en-US" w:eastAsia="zh-CN"/>
        </w:rPr>
        <w:t>4</w:t>
      </w:r>
      <w:r>
        <w:rPr>
          <w:rFonts w:hint="eastAsia" w:asciiTheme="minorEastAsia" w:hAnsiTheme="minorEastAsia" w:eastAsiaTheme="minorEastAsia" w:cstheme="minorEastAsia"/>
          <w:color w:val="auto"/>
          <w:kern w:val="0"/>
          <w:sz w:val="24"/>
          <w:highlight w:val="none"/>
          <w:lang w:val="zh-CN"/>
        </w:rPr>
        <w:t>.有关本项目实施所涉及的一切费用均计入报价。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采购人将以合同形式有偿取得货物或服务，不接受供应商给予的赠品、回扣或者与采购无关的其他商品、服务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响应文件含有采购人不能接受的附加条件的，</w:t>
      </w:r>
      <w:r>
        <w:rPr>
          <w:rFonts w:hint="eastAsia" w:asciiTheme="minorEastAsia" w:hAnsiTheme="minorEastAsia" w:eastAsiaTheme="minorEastAsia" w:cstheme="minorEastAsia"/>
          <w:b/>
          <w:color w:val="auto"/>
          <w:sz w:val="24"/>
          <w:highlight w:val="none"/>
          <w:lang w:val="en-US" w:eastAsia="zh-CN"/>
        </w:rPr>
        <w:t>投标</w:t>
      </w:r>
      <w:r>
        <w:rPr>
          <w:rFonts w:hint="eastAsia" w:asciiTheme="minorEastAsia" w:hAnsiTheme="minorEastAsia" w:eastAsiaTheme="minorEastAsia" w:cstheme="minorEastAsia"/>
          <w:b/>
          <w:color w:val="auto"/>
          <w:sz w:val="24"/>
          <w:highlight w:val="none"/>
        </w:rPr>
        <w:t>无效</w:t>
      </w:r>
      <w:r>
        <w:rPr>
          <w:rFonts w:hint="eastAsia" w:asciiTheme="minorEastAsia" w:hAnsiTheme="minorEastAsia" w:eastAsiaTheme="minorEastAsia" w:cstheme="minorEastAsia"/>
          <w:b/>
          <w:color w:val="auto"/>
          <w:kern w:val="0"/>
          <w:sz w:val="24"/>
          <w:highlight w:val="none"/>
          <w:lang w:val="zh-CN"/>
        </w:rPr>
        <w:t>。</w:t>
      </w:r>
    </w:p>
    <w:p w14:paraId="66BB9E23">
      <w:pPr>
        <w:spacing w:line="360" w:lineRule="auto"/>
        <w:rPr>
          <w:rFonts w:hint="eastAsia" w:asciiTheme="minorEastAsia" w:hAnsiTheme="minorEastAsia" w:eastAsiaTheme="minorEastAsia" w:cstheme="minorEastAsia"/>
          <w:color w:val="auto"/>
          <w:sz w:val="24"/>
          <w:highlight w:val="none"/>
        </w:rPr>
      </w:pPr>
    </w:p>
    <w:p w14:paraId="1FD849EC">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 xml:space="preserve">定代表人或其授权委托人（签名或印章）：  </w:t>
      </w:r>
    </w:p>
    <w:p w14:paraId="29434C2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供应商（盖章）：         </w:t>
      </w:r>
    </w:p>
    <w:p w14:paraId="16F9CF1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  期：</w:t>
      </w:r>
    </w:p>
    <w:p w14:paraId="25F12156">
      <w:pP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14:paraId="15AA0F30">
      <w:pP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二、中小企业声明函</w:t>
      </w:r>
    </w:p>
    <w:p w14:paraId="236BD98F">
      <w:pPr>
        <w:widowControl/>
        <w:spacing w:line="360" w:lineRule="auto"/>
        <w:ind w:firstLine="120" w:firstLineChars="50"/>
        <w:jc w:val="left"/>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w:t>
      </w:r>
    </w:p>
    <w:p w14:paraId="77252666">
      <w:pPr>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中小企业声明函</w:t>
      </w:r>
    </w:p>
    <w:p w14:paraId="6614B6E9">
      <w:pPr>
        <w:spacing w:line="360" w:lineRule="auto"/>
        <w:rPr>
          <w:rFonts w:asciiTheme="minorEastAsia" w:hAnsiTheme="minorEastAsia" w:eastAsiaTheme="minorEastAsia" w:cstheme="minorEastAsia"/>
          <w:color w:val="auto"/>
          <w:highlight w:val="none"/>
        </w:rPr>
      </w:pPr>
    </w:p>
    <w:p w14:paraId="7A31C37C">
      <w:pPr>
        <w:spacing w:line="360" w:lineRule="auto"/>
        <w:ind w:firstLine="360" w:firstLineChars="15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本公司郑重声明，根据《政府采购促进中小企业发展管理办法》（财库﹝2020﹞46 号）的规定，本公司参加</w:t>
      </w:r>
      <w:r>
        <w:rPr>
          <w:rFonts w:hint="eastAsia" w:asciiTheme="minorEastAsia" w:hAnsiTheme="minorEastAsia" w:eastAsiaTheme="minorEastAsia" w:cstheme="minorEastAsia"/>
          <w:b/>
          <w:bCs/>
          <w:color w:val="auto"/>
          <w:sz w:val="24"/>
          <w:highlight w:val="none"/>
          <w:u w:val="single"/>
          <w:lang w:eastAsia="zh-CN"/>
        </w:rPr>
        <w:t xml:space="preserve"> </w:t>
      </w:r>
      <w:r>
        <w:rPr>
          <w:rFonts w:hint="eastAsia" w:asciiTheme="minorEastAsia" w:hAnsiTheme="minorEastAsia" w:eastAsiaTheme="minorEastAsia" w:cstheme="minorEastAsia"/>
          <w:b/>
          <w:bCs/>
          <w:color w:val="auto"/>
          <w:sz w:val="24"/>
          <w:highlight w:val="none"/>
          <w:u w:val="single"/>
          <w:lang w:val="en-US" w:eastAsia="zh-CN"/>
        </w:rPr>
        <w:t xml:space="preserve">宁波市奉化区惠海地下管线投资有限公司 </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
          <w:bCs/>
          <w:color w:val="auto"/>
          <w:sz w:val="24"/>
          <w:highlight w:val="none"/>
          <w:u w:val="single"/>
          <w:lang w:val="en-US" w:eastAsia="zh-CN"/>
        </w:rPr>
        <w:t xml:space="preserve"> 奉化区FH24-02-09a地块建设项目—通信基础设施和无线通信室内覆盖系统建设工程</w:t>
      </w:r>
      <w:r>
        <w:rPr>
          <w:rFonts w:hint="eastAsia" w:asciiTheme="minorEastAsia" w:hAnsiTheme="minorEastAsia" w:eastAsiaTheme="minorEastAsia" w:cstheme="minorEastAsia"/>
          <w:color w:val="auto"/>
          <w:sz w:val="24"/>
          <w:highlight w:val="none"/>
        </w:rPr>
        <w:t>采购活动，</w:t>
      </w:r>
      <w:r>
        <w:rPr>
          <w:rFonts w:hint="eastAsia" w:asciiTheme="minorEastAsia" w:hAnsiTheme="minorEastAsia" w:eastAsiaTheme="minorEastAsia" w:cstheme="minorEastAsia"/>
          <w:color w:val="auto"/>
          <w:sz w:val="24"/>
          <w:highlight w:val="none"/>
          <w:lang w:val="en-US" w:eastAsia="zh-CN"/>
        </w:rPr>
        <w:t>工程</w:t>
      </w:r>
      <w:r>
        <w:rPr>
          <w:rFonts w:hint="eastAsia" w:asciiTheme="minorEastAsia" w:hAnsiTheme="minorEastAsia" w:eastAsiaTheme="minorEastAsia" w:cstheme="minorEastAsia"/>
          <w:color w:val="auto"/>
          <w:sz w:val="24"/>
          <w:highlight w:val="none"/>
        </w:rPr>
        <w:t>全部由符合政策要求的中小企业承接。相关企业的具体情况如下：</w:t>
      </w:r>
    </w:p>
    <w:p w14:paraId="126961A6">
      <w:pPr>
        <w:spacing w:line="360" w:lineRule="auto"/>
        <w:ind w:firstLine="482"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u w:val="single"/>
          <w:lang w:val="en-US" w:eastAsia="zh-CN"/>
        </w:rPr>
        <w:t>奉化区FH24-02-09a地块建设项目—通信基础设施和无线通信室内覆盖系统建设工程</w:t>
      </w:r>
      <w:r>
        <w:rPr>
          <w:rFonts w:hint="eastAsia" w:asciiTheme="minorEastAsia" w:hAnsiTheme="minorEastAsia" w:eastAsiaTheme="minorEastAsia" w:cstheme="minorEastAsia"/>
          <w:color w:val="auto"/>
          <w:sz w:val="24"/>
          <w:highlight w:val="none"/>
        </w:rPr>
        <w:t xml:space="preserve">，属于 </w:t>
      </w:r>
      <w:r>
        <w:rPr>
          <w:rFonts w:hint="eastAsia" w:asciiTheme="minorEastAsia" w:hAnsiTheme="minorEastAsia" w:eastAsiaTheme="minorEastAsia" w:cstheme="minorEastAsia"/>
          <w:color w:val="auto"/>
          <w:sz w:val="24"/>
          <w:highlight w:val="none"/>
          <w:u w:val="single"/>
          <w:lang w:val="en-US" w:eastAsia="zh-CN"/>
        </w:rPr>
        <w:t>建筑</w:t>
      </w:r>
      <w:r>
        <w:rPr>
          <w:rFonts w:hint="eastAsia" w:asciiTheme="minorEastAsia" w:hAnsiTheme="minorEastAsia" w:eastAsiaTheme="minorEastAsia" w:cstheme="minorEastAsia"/>
          <w:color w:val="auto"/>
          <w:sz w:val="24"/>
          <w:highlight w:val="none"/>
          <w:u w:val="single"/>
        </w:rPr>
        <w:t>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（中型企业、小型企业、微型企业） </w:t>
      </w:r>
      <w:r>
        <w:rPr>
          <w:rFonts w:hint="eastAsia" w:asciiTheme="minorEastAsia" w:hAnsiTheme="minorEastAsia" w:eastAsiaTheme="minorEastAsia" w:cstheme="minorEastAsia"/>
          <w:color w:val="auto"/>
          <w:sz w:val="24"/>
          <w:highlight w:val="none"/>
        </w:rPr>
        <w:t>；</w:t>
      </w:r>
    </w:p>
    <w:p w14:paraId="191E1574">
      <w:pPr>
        <w:spacing w:line="360" w:lineRule="auto"/>
        <w:jc w:val="left"/>
        <w:rPr>
          <w:rFonts w:asciiTheme="minorEastAsia" w:hAnsiTheme="minorEastAsia" w:eastAsiaTheme="minorEastAsia" w:cstheme="minorEastAsia"/>
          <w:color w:val="auto"/>
          <w:sz w:val="24"/>
          <w:highlight w:val="none"/>
        </w:rPr>
      </w:pPr>
    </w:p>
    <w:p w14:paraId="60D37F2A">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14:paraId="449B594A">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14:paraId="3E0A5A75">
      <w:pPr>
        <w:spacing w:line="360" w:lineRule="auto"/>
        <w:ind w:right="1760"/>
        <w:jc w:val="right"/>
        <w:rPr>
          <w:rFonts w:asciiTheme="minorEastAsia" w:hAnsiTheme="minorEastAsia" w:eastAsiaTheme="minorEastAsia" w:cstheme="minorEastAsia"/>
          <w:color w:val="auto"/>
          <w:sz w:val="24"/>
          <w:highlight w:val="none"/>
        </w:rPr>
      </w:pPr>
    </w:p>
    <w:p w14:paraId="2AE4A831">
      <w:pPr>
        <w:spacing w:line="360" w:lineRule="auto"/>
        <w:ind w:right="1760"/>
        <w:jc w:val="righ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供应商名称（电子签名）：</w:t>
      </w:r>
    </w:p>
    <w:p w14:paraId="6EFE7E76">
      <w:pPr>
        <w:spacing w:line="360" w:lineRule="auto"/>
        <w:ind w:right="1120" w:firstLine="4680" w:firstLineChars="19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 期：</w:t>
      </w:r>
    </w:p>
    <w:p w14:paraId="715427FE">
      <w:pPr>
        <w:spacing w:line="360" w:lineRule="auto"/>
        <w:ind w:firstLine="310" w:firstLineChars="147"/>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Cs w:val="21"/>
          <w:highlight w:val="none"/>
        </w:rPr>
        <w:t>从业人员、营业收入、资产总额填报上一年度数据，无上一年度数据的新成立企业可不填报。</w:t>
      </w:r>
    </w:p>
    <w:p w14:paraId="6E8E33A7">
      <w:pPr>
        <w:spacing w:line="360" w:lineRule="auto"/>
        <w:ind w:right="-283"/>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687B9A4">
      <w:pPr>
        <w:spacing w:line="360" w:lineRule="auto"/>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color w:val="auto"/>
          <w:sz w:val="32"/>
          <w:szCs w:val="32"/>
          <w:highlight w:val="none"/>
        </w:rPr>
        <w:br w:type="page"/>
      </w:r>
    </w:p>
    <w:p w14:paraId="07013213">
      <w:pP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b/>
          <w:bCs/>
          <w:color w:val="auto"/>
          <w:sz w:val="32"/>
          <w:szCs w:val="32"/>
          <w:highlight w:val="none"/>
        </w:rPr>
        <w:t>四、残疾人福利性单位声明函</w:t>
      </w:r>
    </w:p>
    <w:p w14:paraId="48835239">
      <w:pPr>
        <w:spacing w:line="360" w:lineRule="auto"/>
        <w:rPr>
          <w:rFonts w:asciiTheme="minorEastAsia" w:hAnsiTheme="minorEastAsia" w:eastAsiaTheme="minorEastAsia" w:cstheme="minorEastAsia"/>
          <w:b/>
          <w:color w:val="auto"/>
          <w:spacing w:val="6"/>
          <w:sz w:val="30"/>
          <w:szCs w:val="30"/>
          <w:highlight w:val="none"/>
        </w:rPr>
      </w:pPr>
    </w:p>
    <w:p w14:paraId="491755A4">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68D279">
      <w:pP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14:paraId="573D9385">
      <w:pPr>
        <w:spacing w:line="360" w:lineRule="auto"/>
        <w:ind w:firstLine="480" w:firstLineChars="200"/>
        <w:jc w:val="left"/>
        <w:rPr>
          <w:rFonts w:asciiTheme="minorEastAsia" w:hAnsiTheme="minorEastAsia" w:eastAsiaTheme="minorEastAsia" w:cstheme="minorEastAsia"/>
          <w:color w:val="auto"/>
          <w:sz w:val="24"/>
          <w:highlight w:val="none"/>
        </w:rPr>
      </w:pPr>
    </w:p>
    <w:p w14:paraId="734B2BB2">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p>
    <w:p w14:paraId="15A66399">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30210B79">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0B2D9594">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60D4900">
      <w:pPr>
        <w:spacing w:line="360" w:lineRule="auto"/>
        <w:ind w:firstLine="643" w:firstLineChars="200"/>
        <w:jc w:val="left"/>
        <w:rPr>
          <w:rFonts w:asciiTheme="minorEastAsia" w:hAnsiTheme="minorEastAsia" w:eastAsiaTheme="minorEastAsia" w:cstheme="minorEastAsia"/>
          <w:b/>
          <w:color w:val="auto"/>
          <w:sz w:val="32"/>
          <w:szCs w:val="32"/>
          <w:highlight w:val="none"/>
        </w:rPr>
      </w:pPr>
    </w:p>
    <w:p w14:paraId="1E5F4C87">
      <w:pPr>
        <w:spacing w:line="360" w:lineRule="auto"/>
        <w:rPr>
          <w:rFonts w:asciiTheme="minorEastAsia" w:hAnsiTheme="minorEastAsia" w:eastAsiaTheme="minorEastAsia" w:cstheme="minorEastAsia"/>
          <w:b/>
          <w:color w:val="auto"/>
          <w:sz w:val="32"/>
          <w:szCs w:val="32"/>
          <w:highlight w:val="none"/>
        </w:rPr>
      </w:pPr>
    </w:p>
    <w:p w14:paraId="720D7A8F">
      <w:pPr>
        <w:numPr>
          <w:ilvl w:val="0"/>
          <w:numId w:val="8"/>
        </w:numPr>
        <w:spacing w:line="360" w:lineRule="auto"/>
        <w:jc w:val="center"/>
        <w:rPr>
          <w:rFonts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r>
        <w:rPr>
          <w:rFonts w:hint="eastAsia" w:asciiTheme="minorEastAsia" w:hAnsiTheme="minorEastAsia" w:eastAsiaTheme="minorEastAsia" w:cstheme="minorEastAsia"/>
          <w:b/>
          <w:color w:val="auto"/>
          <w:spacing w:val="6"/>
          <w:sz w:val="32"/>
          <w:szCs w:val="32"/>
          <w:highlight w:val="none"/>
        </w:rPr>
        <w:t>政府采购统计基础信息表</w:t>
      </w:r>
    </w:p>
    <w:p w14:paraId="6A91C842">
      <w:pPr>
        <w:pStyle w:val="32"/>
        <w:spacing w:line="360" w:lineRule="auto"/>
        <w:ind w:firstLine="0" w:firstLineChars="0"/>
        <w:rPr>
          <w:rFonts w:asciiTheme="minorEastAsia" w:hAnsiTheme="minorEastAsia" w:eastAsiaTheme="minorEastAsia" w:cstheme="minorEastAsia"/>
          <w:color w:val="auto"/>
          <w:highlight w:val="none"/>
        </w:rPr>
      </w:pPr>
    </w:p>
    <w:tbl>
      <w:tblPr>
        <w:tblStyle w:val="24"/>
        <w:tblW w:w="8537" w:type="dxa"/>
        <w:jc w:val="center"/>
        <w:tblLayout w:type="fixed"/>
        <w:tblCellMar>
          <w:top w:w="0" w:type="dxa"/>
          <w:left w:w="108" w:type="dxa"/>
          <w:bottom w:w="0" w:type="dxa"/>
          <w:right w:w="108" w:type="dxa"/>
        </w:tblCellMar>
      </w:tblPr>
      <w:tblGrid>
        <w:gridCol w:w="4998"/>
        <w:gridCol w:w="3539"/>
      </w:tblGrid>
      <w:tr w14:paraId="60CD428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04FB905">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采购人及采购项目名称</w:t>
            </w:r>
          </w:p>
        </w:tc>
        <w:tc>
          <w:tcPr>
            <w:tcW w:w="3539" w:type="dxa"/>
            <w:tcBorders>
              <w:top w:val="single" w:color="000000" w:sz="4" w:space="0"/>
              <w:left w:val="nil"/>
              <w:bottom w:val="single" w:color="000000" w:sz="4" w:space="0"/>
              <w:right w:val="single" w:color="000000" w:sz="4" w:space="0"/>
            </w:tcBorders>
          </w:tcPr>
          <w:p w14:paraId="12090069">
            <w:pPr>
              <w:spacing w:line="360" w:lineRule="auto"/>
              <w:rPr>
                <w:rFonts w:asciiTheme="minorEastAsia" w:hAnsiTheme="minorEastAsia" w:eastAsiaTheme="minorEastAsia" w:cstheme="minorEastAsia"/>
                <w:color w:val="auto"/>
                <w:highlight w:val="none"/>
              </w:rPr>
            </w:pPr>
          </w:p>
        </w:tc>
      </w:tr>
      <w:tr w14:paraId="18145B5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83D587D">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w:t>
            </w:r>
          </w:p>
        </w:tc>
        <w:tc>
          <w:tcPr>
            <w:tcW w:w="3539" w:type="dxa"/>
            <w:tcBorders>
              <w:top w:val="single" w:color="000000" w:sz="4" w:space="0"/>
              <w:left w:val="nil"/>
              <w:bottom w:val="single" w:color="000000" w:sz="4" w:space="0"/>
              <w:right w:val="single" w:color="000000" w:sz="4" w:space="0"/>
            </w:tcBorders>
          </w:tcPr>
          <w:p w14:paraId="4A66656E">
            <w:pPr>
              <w:spacing w:line="360" w:lineRule="auto"/>
              <w:rPr>
                <w:rFonts w:asciiTheme="minorEastAsia" w:hAnsiTheme="minorEastAsia" w:eastAsiaTheme="minorEastAsia" w:cstheme="minorEastAsia"/>
                <w:color w:val="auto"/>
                <w:highlight w:val="none"/>
              </w:rPr>
            </w:pPr>
          </w:p>
        </w:tc>
      </w:tr>
      <w:tr w14:paraId="21C8409F">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D303426">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供应商是否为外商投资企业</w:t>
            </w:r>
          </w:p>
        </w:tc>
        <w:tc>
          <w:tcPr>
            <w:tcW w:w="3539" w:type="dxa"/>
            <w:tcBorders>
              <w:top w:val="single" w:color="000000" w:sz="4" w:space="0"/>
              <w:left w:val="nil"/>
              <w:bottom w:val="single" w:color="000000" w:sz="4" w:space="0"/>
              <w:right w:val="single" w:color="000000" w:sz="4" w:space="0"/>
            </w:tcBorders>
          </w:tcPr>
          <w:p w14:paraId="55C1F2D5">
            <w:pPr>
              <w:spacing w:line="360" w:lineRule="auto"/>
              <w:rPr>
                <w:rFonts w:asciiTheme="minorEastAsia" w:hAnsiTheme="minorEastAsia" w:eastAsiaTheme="minorEastAsia" w:cstheme="minorEastAsia"/>
                <w:color w:val="auto"/>
                <w:highlight w:val="none"/>
              </w:rPr>
            </w:pPr>
          </w:p>
        </w:tc>
      </w:tr>
      <w:tr w14:paraId="08718C4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10B9C63">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供应商是否为宁波企业</w:t>
            </w:r>
          </w:p>
        </w:tc>
        <w:tc>
          <w:tcPr>
            <w:tcW w:w="3539" w:type="dxa"/>
            <w:tcBorders>
              <w:top w:val="single" w:color="000000" w:sz="4" w:space="0"/>
              <w:left w:val="nil"/>
              <w:bottom w:val="single" w:color="000000" w:sz="4" w:space="0"/>
              <w:right w:val="single" w:color="000000" w:sz="4" w:space="0"/>
            </w:tcBorders>
          </w:tcPr>
          <w:p w14:paraId="0DF7EF2A">
            <w:pPr>
              <w:spacing w:line="360" w:lineRule="auto"/>
              <w:rPr>
                <w:rFonts w:asciiTheme="minorEastAsia" w:hAnsiTheme="minorEastAsia" w:eastAsiaTheme="minorEastAsia" w:cstheme="minorEastAsia"/>
                <w:color w:val="auto"/>
                <w:highlight w:val="none"/>
              </w:rPr>
            </w:pPr>
          </w:p>
        </w:tc>
      </w:tr>
      <w:tr w14:paraId="140DFAE1">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3B385E">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0E608326">
            <w:pPr>
              <w:spacing w:line="360" w:lineRule="auto"/>
              <w:rPr>
                <w:rFonts w:asciiTheme="minorEastAsia" w:hAnsiTheme="minorEastAsia" w:eastAsiaTheme="minorEastAsia" w:cstheme="minorEastAsia"/>
                <w:color w:val="auto"/>
                <w:highlight w:val="none"/>
              </w:rPr>
            </w:pPr>
          </w:p>
        </w:tc>
      </w:tr>
      <w:tr w14:paraId="4BDC0B5B">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C70106">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提供的货物是否本企业制造</w:t>
            </w:r>
          </w:p>
        </w:tc>
        <w:tc>
          <w:tcPr>
            <w:tcW w:w="3539" w:type="dxa"/>
            <w:tcBorders>
              <w:top w:val="single" w:color="000000" w:sz="4" w:space="0"/>
              <w:left w:val="nil"/>
              <w:bottom w:val="single" w:color="000000" w:sz="4" w:space="0"/>
              <w:right w:val="single" w:color="000000" w:sz="4" w:space="0"/>
            </w:tcBorders>
          </w:tcPr>
          <w:p w14:paraId="776A6929">
            <w:pPr>
              <w:spacing w:line="360" w:lineRule="auto"/>
              <w:rPr>
                <w:rFonts w:asciiTheme="minorEastAsia" w:hAnsiTheme="minorEastAsia" w:eastAsiaTheme="minorEastAsia" w:cstheme="minorEastAsia"/>
                <w:color w:val="auto"/>
                <w:highlight w:val="none"/>
              </w:rPr>
            </w:pPr>
          </w:p>
        </w:tc>
      </w:tr>
      <w:tr w14:paraId="0694D725">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296B14B">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货物原产地国别</w:t>
            </w:r>
          </w:p>
        </w:tc>
        <w:tc>
          <w:tcPr>
            <w:tcW w:w="3539" w:type="dxa"/>
            <w:tcBorders>
              <w:top w:val="single" w:color="000000" w:sz="4" w:space="0"/>
              <w:left w:val="nil"/>
              <w:bottom w:val="single" w:color="000000" w:sz="4" w:space="0"/>
              <w:right w:val="single" w:color="000000" w:sz="4" w:space="0"/>
            </w:tcBorders>
          </w:tcPr>
          <w:p w14:paraId="12D97890">
            <w:pPr>
              <w:spacing w:line="360" w:lineRule="auto"/>
              <w:rPr>
                <w:rFonts w:asciiTheme="minorEastAsia" w:hAnsiTheme="minorEastAsia" w:eastAsiaTheme="minorEastAsia" w:cstheme="minorEastAsia"/>
                <w:color w:val="auto"/>
                <w:highlight w:val="none"/>
              </w:rPr>
            </w:pPr>
          </w:p>
        </w:tc>
      </w:tr>
      <w:tr w14:paraId="13955E6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9E51081">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提供的货物是否为节能清单产品</w:t>
            </w:r>
          </w:p>
        </w:tc>
        <w:tc>
          <w:tcPr>
            <w:tcW w:w="3539" w:type="dxa"/>
            <w:tcBorders>
              <w:top w:val="single" w:color="000000" w:sz="4" w:space="0"/>
              <w:left w:val="nil"/>
              <w:bottom w:val="single" w:color="000000" w:sz="4" w:space="0"/>
              <w:right w:val="single" w:color="000000" w:sz="4" w:space="0"/>
            </w:tcBorders>
          </w:tcPr>
          <w:p w14:paraId="0A38FA3E">
            <w:pPr>
              <w:spacing w:line="360" w:lineRule="auto"/>
              <w:rPr>
                <w:rFonts w:asciiTheme="minorEastAsia" w:hAnsiTheme="minorEastAsia" w:eastAsiaTheme="minorEastAsia" w:cstheme="minorEastAsia"/>
                <w:color w:val="auto"/>
                <w:highlight w:val="none"/>
              </w:rPr>
            </w:pPr>
          </w:p>
        </w:tc>
      </w:tr>
      <w:tr w14:paraId="7C78DBC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BE59221">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4DDC60C9">
            <w:pPr>
              <w:spacing w:line="360" w:lineRule="auto"/>
              <w:rPr>
                <w:rFonts w:asciiTheme="minorEastAsia" w:hAnsiTheme="minorEastAsia" w:eastAsiaTheme="minorEastAsia" w:cstheme="minorEastAsia"/>
                <w:color w:val="auto"/>
                <w:highlight w:val="none"/>
              </w:rPr>
            </w:pPr>
          </w:p>
        </w:tc>
      </w:tr>
      <w:tr w14:paraId="57A4E1D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DE11EDB">
            <w:pP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74CCEE49">
            <w:pPr>
              <w:spacing w:line="360" w:lineRule="auto"/>
              <w:rPr>
                <w:rFonts w:asciiTheme="minorEastAsia" w:hAnsiTheme="minorEastAsia" w:eastAsiaTheme="minorEastAsia" w:cstheme="minorEastAsia"/>
                <w:color w:val="auto"/>
                <w:highlight w:val="none"/>
              </w:rPr>
            </w:pPr>
          </w:p>
        </w:tc>
      </w:tr>
    </w:tbl>
    <w:p w14:paraId="32A477D2">
      <w:pPr>
        <w:adjustRightInd w:val="0"/>
        <w:spacing w:line="360" w:lineRule="auto"/>
        <w:jc w:val="left"/>
        <w:rPr>
          <w:rFonts w:asciiTheme="minorEastAsia" w:hAnsiTheme="minorEastAsia" w:eastAsiaTheme="minorEastAsia" w:cstheme="minorEastAsia"/>
          <w:color w:val="auto"/>
          <w:sz w:val="24"/>
          <w:highlight w:val="none"/>
        </w:rPr>
      </w:pPr>
    </w:p>
    <w:p w14:paraId="0DF63900">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备注：请各供应商务必填写此表作为响应文件的组成部分。</w:t>
      </w:r>
    </w:p>
    <w:p w14:paraId="2BA672BA">
      <w:pPr>
        <w:adjustRightInd w:val="0"/>
        <w:spacing w:line="360" w:lineRule="auto"/>
        <w:jc w:val="left"/>
        <w:rPr>
          <w:rFonts w:asciiTheme="minorEastAsia" w:hAnsiTheme="minorEastAsia" w:eastAsiaTheme="minorEastAsia" w:cstheme="minorEastAsia"/>
          <w:color w:val="auto"/>
          <w:sz w:val="24"/>
          <w:highlight w:val="none"/>
        </w:rPr>
      </w:pPr>
    </w:p>
    <w:p w14:paraId="03929715">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p>
    <w:p w14:paraId="53300D8E">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5F7BDF2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255B831B">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00"/>
    <w:family w:val="auto"/>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12FE">
    <w:pPr>
      <w:pStyle w:val="1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087A6AA3">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8AE5C">
    <w:pPr>
      <w:pStyle w:val="1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14DBF070">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3301C">
    <w:pPr>
      <w:pStyle w:val="1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324C60B5">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6F5EB">
    <w:pPr>
      <w:pStyle w:val="1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54FF7B25">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AFDC9">
    <w:pPr>
      <w:pStyle w:val="17"/>
      <w:pBdr>
        <w:bottom w:val="none" w:color="auto" w:sz="0" w:space="0"/>
      </w:pBdr>
      <w:jc w:val="right"/>
      <w:rPr>
        <w:rFonts w:ascii="仿宋_GB2312" w:eastAsia="仿宋_GB2312"/>
        <w:b/>
        <w:i/>
        <w:u w:val="single"/>
      </w:rPr>
    </w:pPr>
    <w:r>
      <w:t></w:t>
    </w:r>
    <w:r>
      <w:rPr>
        <w:rFonts w:hint="eastAsia"/>
      </w:rPr>
      <w:t xml:space="preserve">                                               </w:t>
    </w:r>
  </w:p>
  <w:p w14:paraId="634CE9C8">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138F3">
    <w:pPr>
      <w:pStyle w:val="17"/>
      <w:pBdr>
        <w:bottom w:val="none" w:color="auto" w:sz="0" w:space="1"/>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4FC6C">
    <w:pPr>
      <w:pStyle w:val="17"/>
      <w:pBdr>
        <w:bottom w:val="none" w:color="auto" w:sz="0" w:space="1"/>
      </w:pBdr>
      <w:jc w:val="right"/>
      <w:rPr>
        <w:rFonts w:ascii="仿宋_GB2312" w:eastAsia="仿宋_GB2312"/>
        <w:b/>
        <w:i/>
        <w:u w:val="single"/>
      </w:rPr>
    </w:pPr>
    <w:r>
      <w:rPr>
        <w:rFonts w:hint="eastAsia"/>
      </w:rPr>
      <w:t xml:space="preserve">                                 </w:t>
    </w:r>
  </w:p>
  <w:p w14:paraId="0973DA91">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3037B">
    <w:pPr>
      <w:pStyle w:val="17"/>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9F158476"/>
    <w:multiLevelType w:val="singleLevel"/>
    <w:tmpl w:val="9F158476"/>
    <w:lvl w:ilvl="0" w:tentative="0">
      <w:start w:val="2"/>
      <w:numFmt w:val="decimal"/>
      <w:suff w:val="nothing"/>
      <w:lvlText w:val="%1、"/>
      <w:lvlJc w:val="left"/>
    </w:lvl>
  </w:abstractNum>
  <w:abstractNum w:abstractNumId="2">
    <w:nsid w:val="A95BA21C"/>
    <w:multiLevelType w:val="singleLevel"/>
    <w:tmpl w:val="A95BA21C"/>
    <w:lvl w:ilvl="0" w:tentative="0">
      <w:start w:val="1"/>
      <w:numFmt w:val="decimal"/>
      <w:suff w:val="nothing"/>
      <w:lvlText w:val="%1．"/>
      <w:lvlJc w:val="left"/>
      <w:pPr>
        <w:ind w:left="3711" w:firstLine="400"/>
      </w:pPr>
      <w:rPr>
        <w:rFonts w:hint="default"/>
      </w:rPr>
    </w:lvl>
  </w:abstractNum>
  <w:abstractNum w:abstractNumId="3">
    <w:nsid w:val="E809D7E1"/>
    <w:multiLevelType w:val="singleLevel"/>
    <w:tmpl w:val="E809D7E1"/>
    <w:lvl w:ilvl="0" w:tentative="0">
      <w:start w:val="5"/>
      <w:numFmt w:val="chineseCounting"/>
      <w:suff w:val="nothing"/>
      <w:lvlText w:val="（%1）"/>
      <w:lvlJc w:val="left"/>
      <w:rPr>
        <w:rFonts w:hint="eastAsia"/>
      </w:rPr>
    </w:lvl>
  </w:abstractNum>
  <w:abstractNum w:abstractNumId="4">
    <w:nsid w:val="2DC53F9C"/>
    <w:multiLevelType w:val="singleLevel"/>
    <w:tmpl w:val="2DC53F9C"/>
    <w:lvl w:ilvl="0" w:tentative="0">
      <w:start w:val="5"/>
      <w:numFmt w:val="chineseCounting"/>
      <w:suff w:val="space"/>
      <w:lvlText w:val="第%1部分"/>
      <w:lvlJc w:val="left"/>
      <w:rPr>
        <w:rFonts w:hint="eastAsia"/>
      </w:rPr>
    </w:lvl>
  </w:abstractNum>
  <w:abstractNum w:abstractNumId="5">
    <w:nsid w:val="495C2BCE"/>
    <w:multiLevelType w:val="singleLevel"/>
    <w:tmpl w:val="495C2BCE"/>
    <w:lvl w:ilvl="0" w:tentative="0">
      <w:start w:val="1"/>
      <w:numFmt w:val="chineseCounting"/>
      <w:suff w:val="nothing"/>
      <w:lvlText w:val="%1、"/>
      <w:lvlJc w:val="left"/>
      <w:pPr>
        <w:ind w:left="420"/>
      </w:pPr>
      <w:rPr>
        <w:rFonts w:hint="eastAsia"/>
      </w:rPr>
    </w:lvl>
  </w:abstractNum>
  <w:abstractNum w:abstractNumId="6">
    <w:nsid w:val="5030D621"/>
    <w:multiLevelType w:val="multilevel"/>
    <w:tmpl w:val="5030D621"/>
    <w:lvl w:ilvl="0" w:tentative="0">
      <w:start w:val="3"/>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7">
    <w:nsid w:val="5365A933"/>
    <w:multiLevelType w:val="singleLevel"/>
    <w:tmpl w:val="5365A933"/>
    <w:lvl w:ilvl="0" w:tentative="0">
      <w:start w:val="7"/>
      <w:numFmt w:val="chineseCounting"/>
      <w:suff w:val="nothing"/>
      <w:lvlText w:val="%1、"/>
      <w:lvlJc w:val="left"/>
      <w:rPr>
        <w:rFonts w:hint="eastAsia"/>
      </w:rPr>
    </w:lvl>
  </w:abstractNum>
  <w:num w:numId="1">
    <w:abstractNumId w:val="2"/>
  </w:num>
  <w:num w:numId="2">
    <w:abstractNumId w:val="6"/>
  </w:num>
  <w:num w:numId="3">
    <w:abstractNumId w:val="3"/>
  </w:num>
  <w:num w:numId="4">
    <w:abstractNumId w:val="1"/>
  </w:num>
  <w:num w:numId="5">
    <w:abstractNumId w:val="4"/>
  </w:num>
  <w:num w:numId="6">
    <w:abstractNumId w:val="5"/>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NkY2FhYTJiZmI4MmJiNjZiMDBjMjQ0N2UwOTBjY2YifQ=="/>
  </w:docVars>
  <w:rsids>
    <w:rsidRoot w:val="004E6532"/>
    <w:rsid w:val="00034901"/>
    <w:rsid w:val="001A0E98"/>
    <w:rsid w:val="004369B5"/>
    <w:rsid w:val="00446CD6"/>
    <w:rsid w:val="00453F9B"/>
    <w:rsid w:val="004E6532"/>
    <w:rsid w:val="00535688"/>
    <w:rsid w:val="0054723B"/>
    <w:rsid w:val="00616EEA"/>
    <w:rsid w:val="00621873"/>
    <w:rsid w:val="00803953"/>
    <w:rsid w:val="00877893"/>
    <w:rsid w:val="008859D0"/>
    <w:rsid w:val="00C14B91"/>
    <w:rsid w:val="00C73030"/>
    <w:rsid w:val="00D43C04"/>
    <w:rsid w:val="00F01506"/>
    <w:rsid w:val="00FB3DEC"/>
    <w:rsid w:val="00FC4926"/>
    <w:rsid w:val="01722330"/>
    <w:rsid w:val="017E3702"/>
    <w:rsid w:val="022507A0"/>
    <w:rsid w:val="02974AD8"/>
    <w:rsid w:val="02D95BB6"/>
    <w:rsid w:val="02FF0DA1"/>
    <w:rsid w:val="04133956"/>
    <w:rsid w:val="04330EDE"/>
    <w:rsid w:val="043F7883"/>
    <w:rsid w:val="04756284"/>
    <w:rsid w:val="04E6106A"/>
    <w:rsid w:val="0543421B"/>
    <w:rsid w:val="05735A3A"/>
    <w:rsid w:val="05BE57B7"/>
    <w:rsid w:val="05C46291"/>
    <w:rsid w:val="05F31C91"/>
    <w:rsid w:val="064C314F"/>
    <w:rsid w:val="067803E8"/>
    <w:rsid w:val="06BA6D43"/>
    <w:rsid w:val="06D25D4A"/>
    <w:rsid w:val="06FC438C"/>
    <w:rsid w:val="07213690"/>
    <w:rsid w:val="073E518E"/>
    <w:rsid w:val="07453440"/>
    <w:rsid w:val="079B1B4C"/>
    <w:rsid w:val="07AB20F7"/>
    <w:rsid w:val="08153A45"/>
    <w:rsid w:val="08BD0ECF"/>
    <w:rsid w:val="08C43072"/>
    <w:rsid w:val="08D31906"/>
    <w:rsid w:val="08DB4458"/>
    <w:rsid w:val="08EC5795"/>
    <w:rsid w:val="08F04266"/>
    <w:rsid w:val="08FC70AE"/>
    <w:rsid w:val="0906084A"/>
    <w:rsid w:val="09CB082F"/>
    <w:rsid w:val="0A042457"/>
    <w:rsid w:val="0A0B50CF"/>
    <w:rsid w:val="0A4D50B5"/>
    <w:rsid w:val="0AC534D0"/>
    <w:rsid w:val="0AD019C3"/>
    <w:rsid w:val="0B095AB3"/>
    <w:rsid w:val="0B0A7C7E"/>
    <w:rsid w:val="0BFD6A07"/>
    <w:rsid w:val="0C436DA2"/>
    <w:rsid w:val="0CE64ABC"/>
    <w:rsid w:val="0D014A54"/>
    <w:rsid w:val="0D0504FC"/>
    <w:rsid w:val="0DCE6B40"/>
    <w:rsid w:val="0E050EED"/>
    <w:rsid w:val="0E0662D9"/>
    <w:rsid w:val="0E912047"/>
    <w:rsid w:val="0E985C49"/>
    <w:rsid w:val="0E9E4764"/>
    <w:rsid w:val="0ECE36AE"/>
    <w:rsid w:val="0F461684"/>
    <w:rsid w:val="0F6806E9"/>
    <w:rsid w:val="0FB56209"/>
    <w:rsid w:val="101C0036"/>
    <w:rsid w:val="113E5D8A"/>
    <w:rsid w:val="11B934E8"/>
    <w:rsid w:val="11C61877"/>
    <w:rsid w:val="13144FF5"/>
    <w:rsid w:val="134D79C4"/>
    <w:rsid w:val="13651CF4"/>
    <w:rsid w:val="13727710"/>
    <w:rsid w:val="137C74D8"/>
    <w:rsid w:val="13CD7831"/>
    <w:rsid w:val="13E72483"/>
    <w:rsid w:val="142B4CEC"/>
    <w:rsid w:val="14635EBD"/>
    <w:rsid w:val="14733F9D"/>
    <w:rsid w:val="147541B9"/>
    <w:rsid w:val="14C021B2"/>
    <w:rsid w:val="14F450DE"/>
    <w:rsid w:val="15987341"/>
    <w:rsid w:val="15C56A7A"/>
    <w:rsid w:val="15D1541F"/>
    <w:rsid w:val="15D87EFC"/>
    <w:rsid w:val="15E52C78"/>
    <w:rsid w:val="165E2A90"/>
    <w:rsid w:val="165E7BD5"/>
    <w:rsid w:val="166D49F3"/>
    <w:rsid w:val="167A1613"/>
    <w:rsid w:val="17070C1E"/>
    <w:rsid w:val="17075B7B"/>
    <w:rsid w:val="1720040C"/>
    <w:rsid w:val="172F62D6"/>
    <w:rsid w:val="17552F75"/>
    <w:rsid w:val="17AC492E"/>
    <w:rsid w:val="17EC672F"/>
    <w:rsid w:val="180814BF"/>
    <w:rsid w:val="181222ED"/>
    <w:rsid w:val="183463C4"/>
    <w:rsid w:val="1867549B"/>
    <w:rsid w:val="18CF43F8"/>
    <w:rsid w:val="18DB244F"/>
    <w:rsid w:val="193E2676"/>
    <w:rsid w:val="19B968F6"/>
    <w:rsid w:val="19E85593"/>
    <w:rsid w:val="1A09162B"/>
    <w:rsid w:val="1A1A55E6"/>
    <w:rsid w:val="1A36522D"/>
    <w:rsid w:val="1A892DC6"/>
    <w:rsid w:val="1AB759EF"/>
    <w:rsid w:val="1ABD5311"/>
    <w:rsid w:val="1B2D0950"/>
    <w:rsid w:val="1BA41091"/>
    <w:rsid w:val="1BD47C9F"/>
    <w:rsid w:val="1BF14125"/>
    <w:rsid w:val="1C676ADD"/>
    <w:rsid w:val="1CEA33EA"/>
    <w:rsid w:val="1D780306"/>
    <w:rsid w:val="1DA358F3"/>
    <w:rsid w:val="1DB47B11"/>
    <w:rsid w:val="1DDC2BB3"/>
    <w:rsid w:val="1DDC5928"/>
    <w:rsid w:val="1DE35D79"/>
    <w:rsid w:val="1DE75D86"/>
    <w:rsid w:val="1E200A3C"/>
    <w:rsid w:val="1E25455A"/>
    <w:rsid w:val="1E522E75"/>
    <w:rsid w:val="1E8219AC"/>
    <w:rsid w:val="1E85324A"/>
    <w:rsid w:val="1EC0236C"/>
    <w:rsid w:val="1EC30B03"/>
    <w:rsid w:val="1F6D440A"/>
    <w:rsid w:val="209669C5"/>
    <w:rsid w:val="213A06E6"/>
    <w:rsid w:val="2155267B"/>
    <w:rsid w:val="219F23DC"/>
    <w:rsid w:val="21C11D94"/>
    <w:rsid w:val="22543660"/>
    <w:rsid w:val="2299657C"/>
    <w:rsid w:val="22C73E32"/>
    <w:rsid w:val="235651B5"/>
    <w:rsid w:val="237644FD"/>
    <w:rsid w:val="238705A1"/>
    <w:rsid w:val="23A710EC"/>
    <w:rsid w:val="23F0560A"/>
    <w:rsid w:val="240519D5"/>
    <w:rsid w:val="240E7E40"/>
    <w:rsid w:val="2453522D"/>
    <w:rsid w:val="24547947"/>
    <w:rsid w:val="24681644"/>
    <w:rsid w:val="253E0A44"/>
    <w:rsid w:val="25B763DF"/>
    <w:rsid w:val="25CF1F63"/>
    <w:rsid w:val="25E871FD"/>
    <w:rsid w:val="25EF3DCB"/>
    <w:rsid w:val="25F37999"/>
    <w:rsid w:val="262D0597"/>
    <w:rsid w:val="272A6E20"/>
    <w:rsid w:val="27545EB0"/>
    <w:rsid w:val="2803474D"/>
    <w:rsid w:val="28060F58"/>
    <w:rsid w:val="282C43E5"/>
    <w:rsid w:val="2891704F"/>
    <w:rsid w:val="297E7214"/>
    <w:rsid w:val="298C7B83"/>
    <w:rsid w:val="2A0B7EDE"/>
    <w:rsid w:val="2A4C32D1"/>
    <w:rsid w:val="2A597DE8"/>
    <w:rsid w:val="2A9232F3"/>
    <w:rsid w:val="2AB10EF8"/>
    <w:rsid w:val="2ACB541A"/>
    <w:rsid w:val="2B0A1823"/>
    <w:rsid w:val="2B651CE5"/>
    <w:rsid w:val="2BC76C50"/>
    <w:rsid w:val="2BEB4325"/>
    <w:rsid w:val="2BFC0FF0"/>
    <w:rsid w:val="2C091017"/>
    <w:rsid w:val="2C26606D"/>
    <w:rsid w:val="2CAB0320"/>
    <w:rsid w:val="2E0C6363"/>
    <w:rsid w:val="2FF5557A"/>
    <w:rsid w:val="2FFF0A63"/>
    <w:rsid w:val="305C2AA5"/>
    <w:rsid w:val="307849BD"/>
    <w:rsid w:val="316A07AA"/>
    <w:rsid w:val="31B61E1E"/>
    <w:rsid w:val="31D42AD9"/>
    <w:rsid w:val="31D651A2"/>
    <w:rsid w:val="3233535A"/>
    <w:rsid w:val="33233306"/>
    <w:rsid w:val="33C341A1"/>
    <w:rsid w:val="33E74197"/>
    <w:rsid w:val="343B467F"/>
    <w:rsid w:val="355B0F59"/>
    <w:rsid w:val="356B698C"/>
    <w:rsid w:val="359853D9"/>
    <w:rsid w:val="35A16CAA"/>
    <w:rsid w:val="35A66D8A"/>
    <w:rsid w:val="35C62DE0"/>
    <w:rsid w:val="35FC7E3E"/>
    <w:rsid w:val="360C1CB6"/>
    <w:rsid w:val="360C1DD5"/>
    <w:rsid w:val="36201D7F"/>
    <w:rsid w:val="36CC7811"/>
    <w:rsid w:val="36D93CDC"/>
    <w:rsid w:val="370A0339"/>
    <w:rsid w:val="38121F62"/>
    <w:rsid w:val="383310B6"/>
    <w:rsid w:val="384F79BE"/>
    <w:rsid w:val="385D6A11"/>
    <w:rsid w:val="39737207"/>
    <w:rsid w:val="39B32E3A"/>
    <w:rsid w:val="3A2B48EB"/>
    <w:rsid w:val="3A5008E2"/>
    <w:rsid w:val="3AC52EBA"/>
    <w:rsid w:val="3ACA033D"/>
    <w:rsid w:val="3AF47A17"/>
    <w:rsid w:val="3AF77A09"/>
    <w:rsid w:val="3B0500A6"/>
    <w:rsid w:val="3BC136BC"/>
    <w:rsid w:val="3BDA22C2"/>
    <w:rsid w:val="3C033CD5"/>
    <w:rsid w:val="3C3025F0"/>
    <w:rsid w:val="3C3976F6"/>
    <w:rsid w:val="3C432323"/>
    <w:rsid w:val="3C5928B0"/>
    <w:rsid w:val="3C8660E7"/>
    <w:rsid w:val="3CC813C5"/>
    <w:rsid w:val="3D034FD9"/>
    <w:rsid w:val="3D2708D9"/>
    <w:rsid w:val="3D964084"/>
    <w:rsid w:val="3E5C4A40"/>
    <w:rsid w:val="3E5F0F6A"/>
    <w:rsid w:val="3E682515"/>
    <w:rsid w:val="3F2226C4"/>
    <w:rsid w:val="3F373C95"/>
    <w:rsid w:val="3FD13644"/>
    <w:rsid w:val="3FF12C21"/>
    <w:rsid w:val="3FFC1167"/>
    <w:rsid w:val="3FFF47B3"/>
    <w:rsid w:val="401D732F"/>
    <w:rsid w:val="404716EC"/>
    <w:rsid w:val="40565930"/>
    <w:rsid w:val="40CA1BEA"/>
    <w:rsid w:val="40E57E4D"/>
    <w:rsid w:val="40E63D94"/>
    <w:rsid w:val="41AE11A5"/>
    <w:rsid w:val="41C317D4"/>
    <w:rsid w:val="41F06AA9"/>
    <w:rsid w:val="420E7D4A"/>
    <w:rsid w:val="4259700D"/>
    <w:rsid w:val="431421AB"/>
    <w:rsid w:val="43B753D5"/>
    <w:rsid w:val="441B5933"/>
    <w:rsid w:val="444265B3"/>
    <w:rsid w:val="446B4F27"/>
    <w:rsid w:val="44727C49"/>
    <w:rsid w:val="44A92F3F"/>
    <w:rsid w:val="44CC2054"/>
    <w:rsid w:val="450F36EA"/>
    <w:rsid w:val="4533775E"/>
    <w:rsid w:val="4549052D"/>
    <w:rsid w:val="45840DA9"/>
    <w:rsid w:val="45A656D1"/>
    <w:rsid w:val="45C041D4"/>
    <w:rsid w:val="45F62A2E"/>
    <w:rsid w:val="45F823D0"/>
    <w:rsid w:val="46502789"/>
    <w:rsid w:val="46893028"/>
    <w:rsid w:val="470A75E8"/>
    <w:rsid w:val="47280A93"/>
    <w:rsid w:val="47484C91"/>
    <w:rsid w:val="47AE7265"/>
    <w:rsid w:val="47AF3794"/>
    <w:rsid w:val="480E2480"/>
    <w:rsid w:val="48236574"/>
    <w:rsid w:val="482D19BF"/>
    <w:rsid w:val="486D24D6"/>
    <w:rsid w:val="48A04659"/>
    <w:rsid w:val="48BA396D"/>
    <w:rsid w:val="49164517"/>
    <w:rsid w:val="491D1CBF"/>
    <w:rsid w:val="4971593B"/>
    <w:rsid w:val="49770DAF"/>
    <w:rsid w:val="49863D09"/>
    <w:rsid w:val="49DF112C"/>
    <w:rsid w:val="49E2099E"/>
    <w:rsid w:val="4A084FAB"/>
    <w:rsid w:val="4A190B67"/>
    <w:rsid w:val="4A356245"/>
    <w:rsid w:val="4A940235"/>
    <w:rsid w:val="4B4B4D50"/>
    <w:rsid w:val="4BAF77E3"/>
    <w:rsid w:val="4BF74468"/>
    <w:rsid w:val="4C1F68C9"/>
    <w:rsid w:val="4C871DB8"/>
    <w:rsid w:val="4C8F29A0"/>
    <w:rsid w:val="4CE849E2"/>
    <w:rsid w:val="4D6D377D"/>
    <w:rsid w:val="4DA32011"/>
    <w:rsid w:val="4DCB232F"/>
    <w:rsid w:val="4DE566F3"/>
    <w:rsid w:val="4E5E123E"/>
    <w:rsid w:val="4EC04106"/>
    <w:rsid w:val="4EE51018"/>
    <w:rsid w:val="4F367AC5"/>
    <w:rsid w:val="4F53497B"/>
    <w:rsid w:val="4FCC73F3"/>
    <w:rsid w:val="4FEE4E74"/>
    <w:rsid w:val="50083210"/>
    <w:rsid w:val="50212524"/>
    <w:rsid w:val="502A762A"/>
    <w:rsid w:val="50414974"/>
    <w:rsid w:val="504A7CCC"/>
    <w:rsid w:val="50DC0D48"/>
    <w:rsid w:val="51B734A5"/>
    <w:rsid w:val="51E7154B"/>
    <w:rsid w:val="522D3402"/>
    <w:rsid w:val="52841AC9"/>
    <w:rsid w:val="52875411"/>
    <w:rsid w:val="52B6651B"/>
    <w:rsid w:val="52C253C3"/>
    <w:rsid w:val="52C27015"/>
    <w:rsid w:val="53CC27A6"/>
    <w:rsid w:val="53D43F85"/>
    <w:rsid w:val="53DE2B70"/>
    <w:rsid w:val="54014B46"/>
    <w:rsid w:val="54212AF2"/>
    <w:rsid w:val="54905ECA"/>
    <w:rsid w:val="54C75CD2"/>
    <w:rsid w:val="54FE7E42"/>
    <w:rsid w:val="561346BC"/>
    <w:rsid w:val="565F5285"/>
    <w:rsid w:val="56810B43"/>
    <w:rsid w:val="56920EB1"/>
    <w:rsid w:val="57942791"/>
    <w:rsid w:val="579954F5"/>
    <w:rsid w:val="57F25E45"/>
    <w:rsid w:val="57F64296"/>
    <w:rsid w:val="58615BB3"/>
    <w:rsid w:val="586A1CF4"/>
    <w:rsid w:val="58BB1103"/>
    <w:rsid w:val="59573918"/>
    <w:rsid w:val="59D94D98"/>
    <w:rsid w:val="59DF76D7"/>
    <w:rsid w:val="59F36282"/>
    <w:rsid w:val="5A3F4A9C"/>
    <w:rsid w:val="5A581029"/>
    <w:rsid w:val="5A9870AD"/>
    <w:rsid w:val="5ABF6D03"/>
    <w:rsid w:val="5B490AD6"/>
    <w:rsid w:val="5B7E4CCE"/>
    <w:rsid w:val="5B8B1199"/>
    <w:rsid w:val="5B9F3F13"/>
    <w:rsid w:val="5BCD355F"/>
    <w:rsid w:val="5C593045"/>
    <w:rsid w:val="5C7F2AAC"/>
    <w:rsid w:val="5CD1185B"/>
    <w:rsid w:val="5DE27796"/>
    <w:rsid w:val="5E1B6804"/>
    <w:rsid w:val="5E291DB5"/>
    <w:rsid w:val="5E696B06"/>
    <w:rsid w:val="5E7A7C5D"/>
    <w:rsid w:val="5EEA72F8"/>
    <w:rsid w:val="5F026AF1"/>
    <w:rsid w:val="5F265461"/>
    <w:rsid w:val="5F2F2E7A"/>
    <w:rsid w:val="5F8F1018"/>
    <w:rsid w:val="5FB213EA"/>
    <w:rsid w:val="5FD0361E"/>
    <w:rsid w:val="5FE92E6B"/>
    <w:rsid w:val="60432529"/>
    <w:rsid w:val="606C4BDB"/>
    <w:rsid w:val="61895341"/>
    <w:rsid w:val="61A5713A"/>
    <w:rsid w:val="621D2B26"/>
    <w:rsid w:val="624272DA"/>
    <w:rsid w:val="62456545"/>
    <w:rsid w:val="62A4243E"/>
    <w:rsid w:val="634A36E8"/>
    <w:rsid w:val="638E5CCA"/>
    <w:rsid w:val="63AE1B87"/>
    <w:rsid w:val="63C90AB0"/>
    <w:rsid w:val="63DD0CDE"/>
    <w:rsid w:val="64005F33"/>
    <w:rsid w:val="64106A0E"/>
    <w:rsid w:val="648D45B2"/>
    <w:rsid w:val="64CF3B8C"/>
    <w:rsid w:val="64E5191A"/>
    <w:rsid w:val="64F2458B"/>
    <w:rsid w:val="65322E75"/>
    <w:rsid w:val="653B59DE"/>
    <w:rsid w:val="65D07CD0"/>
    <w:rsid w:val="65FC7344"/>
    <w:rsid w:val="66871F4B"/>
    <w:rsid w:val="66A35E0E"/>
    <w:rsid w:val="67087B42"/>
    <w:rsid w:val="67206C39"/>
    <w:rsid w:val="67A06958"/>
    <w:rsid w:val="68790F37"/>
    <w:rsid w:val="68C34233"/>
    <w:rsid w:val="694A1AEF"/>
    <w:rsid w:val="69761612"/>
    <w:rsid w:val="69A80F39"/>
    <w:rsid w:val="69C75A92"/>
    <w:rsid w:val="69DD66F3"/>
    <w:rsid w:val="6A0D369A"/>
    <w:rsid w:val="6A552E93"/>
    <w:rsid w:val="6A6D3117"/>
    <w:rsid w:val="6AE9751E"/>
    <w:rsid w:val="6B0D0BBE"/>
    <w:rsid w:val="6B40098D"/>
    <w:rsid w:val="6C117498"/>
    <w:rsid w:val="6C333B5C"/>
    <w:rsid w:val="6C7A7069"/>
    <w:rsid w:val="6D064B23"/>
    <w:rsid w:val="6D2453CF"/>
    <w:rsid w:val="6D54763D"/>
    <w:rsid w:val="6EB42D97"/>
    <w:rsid w:val="6EC46A44"/>
    <w:rsid w:val="6ED24445"/>
    <w:rsid w:val="6F6D2C38"/>
    <w:rsid w:val="6F977CB5"/>
    <w:rsid w:val="6FDD4CA3"/>
    <w:rsid w:val="70311EB7"/>
    <w:rsid w:val="703B0F88"/>
    <w:rsid w:val="70B328CC"/>
    <w:rsid w:val="70F33611"/>
    <w:rsid w:val="7146712D"/>
    <w:rsid w:val="71704C61"/>
    <w:rsid w:val="71AB132F"/>
    <w:rsid w:val="71BC17C6"/>
    <w:rsid w:val="71BC1C54"/>
    <w:rsid w:val="71DD3F80"/>
    <w:rsid w:val="73785C20"/>
    <w:rsid w:val="74602D6B"/>
    <w:rsid w:val="747C235C"/>
    <w:rsid w:val="74AC4202"/>
    <w:rsid w:val="74B17B79"/>
    <w:rsid w:val="74B65081"/>
    <w:rsid w:val="74D95234"/>
    <w:rsid w:val="74F47EDD"/>
    <w:rsid w:val="75045DEC"/>
    <w:rsid w:val="75BA17BF"/>
    <w:rsid w:val="75C10104"/>
    <w:rsid w:val="7654281B"/>
    <w:rsid w:val="76C97F21"/>
    <w:rsid w:val="76CD220E"/>
    <w:rsid w:val="77101B8D"/>
    <w:rsid w:val="772A140E"/>
    <w:rsid w:val="77756B2D"/>
    <w:rsid w:val="77A64F39"/>
    <w:rsid w:val="77B5517C"/>
    <w:rsid w:val="77B70EF4"/>
    <w:rsid w:val="78085BF3"/>
    <w:rsid w:val="781212C0"/>
    <w:rsid w:val="78E8332F"/>
    <w:rsid w:val="790A0589"/>
    <w:rsid w:val="792A3C52"/>
    <w:rsid w:val="795F1843"/>
    <w:rsid w:val="7A0F2BA3"/>
    <w:rsid w:val="7A1E16FE"/>
    <w:rsid w:val="7A277342"/>
    <w:rsid w:val="7A5C507C"/>
    <w:rsid w:val="7AA0585A"/>
    <w:rsid w:val="7AB210C4"/>
    <w:rsid w:val="7AF13257"/>
    <w:rsid w:val="7B110F3C"/>
    <w:rsid w:val="7CB00608"/>
    <w:rsid w:val="7CD6006E"/>
    <w:rsid w:val="7CE338D3"/>
    <w:rsid w:val="7CFD1A9F"/>
    <w:rsid w:val="7D130FAD"/>
    <w:rsid w:val="7D6B398A"/>
    <w:rsid w:val="7D893EF3"/>
    <w:rsid w:val="7DB55ED6"/>
    <w:rsid w:val="7DB87774"/>
    <w:rsid w:val="7E8A55B4"/>
    <w:rsid w:val="7E996565"/>
    <w:rsid w:val="7EC02D84"/>
    <w:rsid w:val="7EF67AE6"/>
    <w:rsid w:val="7F111831"/>
    <w:rsid w:val="7F533BF8"/>
    <w:rsid w:val="7F78540D"/>
    <w:rsid w:val="7FED77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semiHidden="0"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9"/>
    <w:pPr>
      <w:keepNext/>
      <w:ind w:firstLine="425"/>
      <w:outlineLvl w:val="0"/>
    </w:pPr>
    <w:rPr>
      <w:b/>
      <w:bCs/>
      <w:i/>
      <w:iCs/>
      <w:sz w:val="52"/>
      <w:szCs w:val="20"/>
    </w:rPr>
  </w:style>
  <w:style w:type="paragraph" w:styleId="3">
    <w:name w:val="heading 2"/>
    <w:basedOn w:val="1"/>
    <w:next w:val="1"/>
    <w:link w:val="39"/>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53"/>
    <w:autoRedefine/>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4"/>
    <w:autoRedefine/>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6"/>
    <w:basedOn w:val="1"/>
    <w:next w:val="1"/>
    <w:autoRedefine/>
    <w:qFormat/>
    <w:uiPriority w:val="0"/>
    <w:pPr>
      <w:keepNext/>
      <w:keepLines/>
      <w:spacing w:before="240" w:beforeLines="0" w:after="64" w:afterLines="0" w:line="317" w:lineRule="auto"/>
      <w:outlineLvl w:val="5"/>
    </w:pPr>
    <w:rPr>
      <w:rFonts w:ascii="Cambria" w:hAnsi="Cambria"/>
      <w:b/>
      <w:bCs/>
      <w:sz w:val="24"/>
      <w:szCs w:val="24"/>
    </w:rPr>
  </w:style>
  <w:style w:type="character" w:default="1" w:styleId="26">
    <w:name w:val="Default Paragraph Font"/>
    <w:autoRedefine/>
    <w:semiHidden/>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link w:val="60"/>
    <w:autoRedefine/>
    <w:unhideWhenUsed/>
    <w:qFormat/>
    <w:uiPriority w:val="99"/>
    <w:pPr>
      <w:jc w:val="left"/>
    </w:pPr>
  </w:style>
  <w:style w:type="paragraph" w:styleId="9">
    <w:name w:val="Body Text"/>
    <w:basedOn w:val="1"/>
    <w:next w:val="10"/>
    <w:link w:val="43"/>
    <w:autoRedefine/>
    <w:qFormat/>
    <w:uiPriority w:val="0"/>
    <w:pPr>
      <w:autoSpaceDE w:val="0"/>
      <w:autoSpaceDN w:val="0"/>
      <w:spacing w:line="360" w:lineRule="auto"/>
    </w:pPr>
    <w:rPr>
      <w:rFonts w:ascii="宋体" w:hAnsi="Arial" w:cs="Arial"/>
      <w:snapToGrid w:val="0"/>
      <w:sz w:val="24"/>
      <w:szCs w:val="21"/>
      <w:lang w:val="zh-CN"/>
    </w:rPr>
  </w:style>
  <w:style w:type="paragraph" w:styleId="10">
    <w:name w:val="Body Text First Indent"/>
    <w:basedOn w:val="9"/>
    <w:next w:val="1"/>
    <w:autoRedefine/>
    <w:qFormat/>
    <w:uiPriority w:val="0"/>
    <w:pPr>
      <w:widowControl w:val="0"/>
      <w:autoSpaceDE w:val="0"/>
      <w:autoSpaceDN w:val="0"/>
      <w:adjustRightInd w:val="0"/>
    </w:pPr>
    <w:rPr>
      <w:rFonts w:ascii="Times New Roman" w:hAnsi="Times New Roman" w:eastAsia="宋体" w:cs="Times New Roman"/>
      <w:sz w:val="28"/>
      <w:lang w:val="en-US" w:eastAsia="zh-CN" w:bidi="ar-SA"/>
    </w:rPr>
  </w:style>
  <w:style w:type="paragraph" w:styleId="11">
    <w:name w:val="Body Text Indent"/>
    <w:basedOn w:val="1"/>
    <w:next w:val="1"/>
    <w:link w:val="40"/>
    <w:autoRedefine/>
    <w:qFormat/>
    <w:uiPriority w:val="0"/>
    <w:pPr>
      <w:spacing w:line="480" w:lineRule="exact"/>
      <w:ind w:firstLine="480" w:firstLineChars="200"/>
    </w:pPr>
    <w:rPr>
      <w:rFonts w:ascii="宋体" w:hAnsi="宋体"/>
      <w:sz w:val="24"/>
    </w:rPr>
  </w:style>
  <w:style w:type="paragraph" w:styleId="12">
    <w:name w:val="toc 3"/>
    <w:basedOn w:val="1"/>
    <w:next w:val="1"/>
    <w:autoRedefine/>
    <w:qFormat/>
    <w:uiPriority w:val="0"/>
    <w:pPr>
      <w:ind w:left="840" w:leftChars="400"/>
    </w:pPr>
    <w:rPr>
      <w:rFonts w:ascii="Times New Roman" w:hAnsi="Times New Roman"/>
    </w:rPr>
  </w:style>
  <w:style w:type="paragraph" w:styleId="13">
    <w:name w:val="Plain Text"/>
    <w:basedOn w:val="1"/>
    <w:next w:val="1"/>
    <w:link w:val="42"/>
    <w:autoRedefine/>
    <w:qFormat/>
    <w:uiPriority w:val="0"/>
    <w:rPr>
      <w:rFonts w:ascii="宋体" w:hAnsi="Courier New" w:cs="Arial"/>
      <w:snapToGrid w:val="0"/>
      <w:szCs w:val="21"/>
    </w:rPr>
  </w:style>
  <w:style w:type="paragraph" w:styleId="14">
    <w:name w:val="Date"/>
    <w:basedOn w:val="1"/>
    <w:next w:val="1"/>
    <w:link w:val="41"/>
    <w:autoRedefine/>
    <w:qFormat/>
    <w:uiPriority w:val="0"/>
    <w:pPr>
      <w:ind w:left="100" w:leftChars="2500"/>
    </w:pPr>
    <w:rPr>
      <w:rFonts w:ascii="宋体"/>
      <w:sz w:val="24"/>
      <w:szCs w:val="21"/>
      <w:lang w:val="zh-CN"/>
    </w:rPr>
  </w:style>
  <w:style w:type="paragraph" w:styleId="15">
    <w:name w:val="Balloon Text"/>
    <w:basedOn w:val="1"/>
    <w:link w:val="56"/>
    <w:autoRedefine/>
    <w:unhideWhenUsed/>
    <w:qFormat/>
    <w:uiPriority w:val="99"/>
    <w:rPr>
      <w:sz w:val="18"/>
      <w:szCs w:val="18"/>
    </w:rPr>
  </w:style>
  <w:style w:type="paragraph" w:styleId="16">
    <w:name w:val="footer"/>
    <w:basedOn w:val="1"/>
    <w:link w:val="38"/>
    <w:autoRedefine/>
    <w:unhideWhenUsed/>
    <w:qFormat/>
    <w:uiPriority w:val="99"/>
    <w:pPr>
      <w:tabs>
        <w:tab w:val="center" w:pos="4153"/>
        <w:tab w:val="right" w:pos="8306"/>
      </w:tabs>
      <w:snapToGrid w:val="0"/>
      <w:jc w:val="left"/>
    </w:pPr>
    <w:rPr>
      <w:sz w:val="18"/>
      <w:szCs w:val="18"/>
    </w:rPr>
  </w:style>
  <w:style w:type="paragraph" w:styleId="17">
    <w:name w:val="header"/>
    <w:basedOn w:val="1"/>
    <w:link w:val="3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19">
    <w:name w:val="toc 6"/>
    <w:basedOn w:val="1"/>
    <w:next w:val="1"/>
    <w:autoRedefine/>
    <w:qFormat/>
    <w:uiPriority w:val="39"/>
    <w:pPr>
      <w:ind w:left="1000" w:leftChars="1000"/>
    </w:pPr>
  </w:style>
  <w:style w:type="paragraph" w:styleId="20">
    <w:name w:val="HTML Preformatted"/>
    <w:basedOn w:val="1"/>
    <w:autoRedefine/>
    <w:qFormat/>
    <w:uiPriority w:val="0"/>
    <w:rPr>
      <w:rFonts w:ascii="Courier New" w:hAnsi="Courier New" w:eastAsia="仿宋_GB2312"/>
      <w:b/>
      <w:sz w:val="32"/>
      <w:szCs w:val="32"/>
      <w:lang w:val="en-GB"/>
    </w:rPr>
  </w:style>
  <w:style w:type="paragraph" w:styleId="21">
    <w:name w:val="Normal (Web)"/>
    <w:basedOn w:val="1"/>
    <w:autoRedefine/>
    <w:qFormat/>
    <w:uiPriority w:val="99"/>
    <w:pPr>
      <w:spacing w:before="100" w:beforeAutospacing="1" w:after="100" w:afterAutospacing="1"/>
      <w:ind w:left="0" w:right="0"/>
      <w:jc w:val="left"/>
    </w:pPr>
    <w:rPr>
      <w:kern w:val="0"/>
      <w:sz w:val="24"/>
      <w:lang w:val="en-US" w:eastAsia="zh-CN" w:bidi="ar"/>
    </w:rPr>
  </w:style>
  <w:style w:type="paragraph" w:styleId="22">
    <w:name w:val="annotation subject"/>
    <w:basedOn w:val="8"/>
    <w:next w:val="8"/>
    <w:link w:val="61"/>
    <w:autoRedefine/>
    <w:unhideWhenUsed/>
    <w:qFormat/>
    <w:uiPriority w:val="99"/>
    <w:rPr>
      <w:b/>
      <w:bCs/>
    </w:rPr>
  </w:style>
  <w:style w:type="paragraph" w:styleId="23">
    <w:name w:val="Body Text First Indent 2"/>
    <w:basedOn w:val="11"/>
    <w:next w:val="1"/>
    <w:autoRedefine/>
    <w:unhideWhenUsed/>
    <w:qFormat/>
    <w:uiPriority w:val="99"/>
    <w:pPr>
      <w:ind w:firstLine="420"/>
    </w:pPr>
  </w:style>
  <w:style w:type="table" w:styleId="25">
    <w:name w:val="Table Grid"/>
    <w:basedOn w:val="24"/>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autoRedefine/>
    <w:qFormat/>
    <w:uiPriority w:val="0"/>
    <w:rPr>
      <w:rFonts w:ascii="Arial" w:hAnsi="Arial" w:eastAsia="黑体" w:cs="Arial"/>
      <w:snapToGrid w:val="0"/>
      <w:kern w:val="0"/>
      <w:szCs w:val="21"/>
    </w:rPr>
  </w:style>
  <w:style w:type="character" w:styleId="28">
    <w:name w:val="FollowedHyperlink"/>
    <w:basedOn w:val="26"/>
    <w:autoRedefine/>
    <w:semiHidden/>
    <w:unhideWhenUsed/>
    <w:qFormat/>
    <w:uiPriority w:val="99"/>
    <w:rPr>
      <w:color w:val="800080"/>
      <w:u w:val="none"/>
    </w:rPr>
  </w:style>
  <w:style w:type="character" w:styleId="29">
    <w:name w:val="Hyperlink"/>
    <w:autoRedefine/>
    <w:qFormat/>
    <w:uiPriority w:val="99"/>
    <w:rPr>
      <w:rFonts w:ascii="Arial" w:hAnsi="Arial" w:eastAsia="黑体" w:cs="Arial"/>
      <w:snapToGrid w:val="0"/>
      <w:color w:val="000000"/>
      <w:kern w:val="0"/>
      <w:sz w:val="18"/>
      <w:szCs w:val="18"/>
      <w:u w:val="none"/>
    </w:rPr>
  </w:style>
  <w:style w:type="character" w:styleId="30">
    <w:name w:val="annotation reference"/>
    <w:basedOn w:val="26"/>
    <w:autoRedefine/>
    <w:unhideWhenUsed/>
    <w:qFormat/>
    <w:uiPriority w:val="99"/>
    <w:rPr>
      <w:sz w:val="21"/>
      <w:szCs w:val="21"/>
    </w:rPr>
  </w:style>
  <w:style w:type="paragraph" w:customStyle="1" w:styleId="31">
    <w:name w:val="List Paragraph"/>
    <w:basedOn w:val="1"/>
    <w:autoRedefine/>
    <w:qFormat/>
    <w:uiPriority w:val="0"/>
    <w:pPr>
      <w:ind w:firstLine="420" w:firstLineChars="200"/>
    </w:pPr>
    <w:rPr>
      <w:rFonts w:ascii="Calibri" w:hAnsi="Calibri"/>
      <w:szCs w:val="22"/>
    </w:rPr>
  </w:style>
  <w:style w:type="paragraph" w:customStyle="1" w:styleId="32">
    <w:name w:val="_Style 3"/>
    <w:basedOn w:val="1"/>
    <w:autoRedefine/>
    <w:qFormat/>
    <w:uiPriority w:val="0"/>
    <w:pPr>
      <w:ind w:firstLine="420" w:firstLineChars="200"/>
    </w:pPr>
    <w:rPr>
      <w:rFonts w:eastAsia="仿宋_GB2312"/>
      <w:sz w:val="28"/>
    </w:rPr>
  </w:style>
  <w:style w:type="paragraph" w:customStyle="1" w:styleId="33">
    <w:name w:val="BodyText"/>
    <w:basedOn w:val="1"/>
    <w:next w:val="1"/>
    <w:autoRedefine/>
    <w:qFormat/>
    <w:uiPriority w:val="0"/>
    <w:pPr>
      <w:spacing w:before="100" w:beforeAutospacing="1" w:after="120"/>
      <w:jc w:val="both"/>
      <w:textAlignment w:val="baseline"/>
    </w:pPr>
    <w:rPr>
      <w:kern w:val="0"/>
      <w:sz w:val="20"/>
      <w:szCs w:val="21"/>
      <w:lang w:val="en-US" w:eastAsia="zh-CN" w:bidi="ar-SA"/>
    </w:rPr>
  </w:style>
  <w:style w:type="paragraph" w:customStyle="1" w:styleId="34">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rPr>
  </w:style>
  <w:style w:type="paragraph" w:customStyle="1" w:styleId="35">
    <w:name w:val="列出段落1"/>
    <w:basedOn w:val="1"/>
    <w:link w:val="57"/>
    <w:autoRedefine/>
    <w:qFormat/>
    <w:uiPriority w:val="0"/>
    <w:pPr>
      <w:ind w:firstLine="420" w:firstLineChars="200"/>
    </w:pPr>
    <w:rPr>
      <w:rFonts w:ascii="Times New Roman" w:hAnsi="Times New Roman" w:eastAsiaTheme="minorEastAsia" w:cstheme="minorBidi"/>
    </w:rPr>
  </w:style>
  <w:style w:type="paragraph" w:customStyle="1" w:styleId="36">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7">
    <w:name w:val="页眉 字符"/>
    <w:basedOn w:val="26"/>
    <w:link w:val="17"/>
    <w:autoRedefine/>
    <w:qFormat/>
    <w:uiPriority w:val="99"/>
    <w:rPr>
      <w:sz w:val="18"/>
      <w:szCs w:val="18"/>
    </w:rPr>
  </w:style>
  <w:style w:type="character" w:customStyle="1" w:styleId="38">
    <w:name w:val="页脚 字符"/>
    <w:basedOn w:val="26"/>
    <w:link w:val="16"/>
    <w:autoRedefine/>
    <w:qFormat/>
    <w:uiPriority w:val="99"/>
    <w:rPr>
      <w:sz w:val="18"/>
      <w:szCs w:val="18"/>
    </w:rPr>
  </w:style>
  <w:style w:type="character" w:customStyle="1" w:styleId="39">
    <w:name w:val="标题 2 字符"/>
    <w:basedOn w:val="26"/>
    <w:link w:val="3"/>
    <w:autoRedefine/>
    <w:qFormat/>
    <w:uiPriority w:val="0"/>
    <w:rPr>
      <w:rFonts w:ascii="仿宋_GB2312" w:hAnsi="仿宋" w:eastAsia="仿宋_GB2312" w:cs="Times New Roman"/>
      <w:b/>
      <w:bCs/>
      <w:sz w:val="32"/>
      <w:szCs w:val="32"/>
      <w:lang w:val="zh-CN"/>
    </w:rPr>
  </w:style>
  <w:style w:type="character" w:customStyle="1" w:styleId="40">
    <w:name w:val="正文文本缩进 字符"/>
    <w:basedOn w:val="26"/>
    <w:link w:val="11"/>
    <w:autoRedefine/>
    <w:qFormat/>
    <w:uiPriority w:val="0"/>
    <w:rPr>
      <w:rFonts w:ascii="宋体" w:hAnsi="宋体" w:eastAsia="宋体" w:cs="Times New Roman"/>
      <w:sz w:val="24"/>
      <w:szCs w:val="24"/>
    </w:rPr>
  </w:style>
  <w:style w:type="character" w:customStyle="1" w:styleId="41">
    <w:name w:val="日期 字符"/>
    <w:basedOn w:val="26"/>
    <w:link w:val="14"/>
    <w:autoRedefine/>
    <w:qFormat/>
    <w:uiPriority w:val="0"/>
    <w:rPr>
      <w:rFonts w:ascii="宋体" w:hAnsi="Calibri" w:eastAsia="宋体" w:cs="Times New Roman"/>
      <w:sz w:val="24"/>
      <w:szCs w:val="21"/>
      <w:lang w:val="zh-CN"/>
    </w:rPr>
  </w:style>
  <w:style w:type="character" w:customStyle="1" w:styleId="42">
    <w:name w:val="纯文本 字符"/>
    <w:basedOn w:val="26"/>
    <w:link w:val="13"/>
    <w:autoRedefine/>
    <w:qFormat/>
    <w:uiPriority w:val="0"/>
    <w:rPr>
      <w:rFonts w:ascii="宋体" w:hAnsi="Courier New" w:eastAsia="宋体" w:cs="Arial"/>
      <w:snapToGrid w:val="0"/>
      <w:szCs w:val="21"/>
    </w:rPr>
  </w:style>
  <w:style w:type="character" w:customStyle="1" w:styleId="43">
    <w:name w:val="正文文本 字符"/>
    <w:basedOn w:val="26"/>
    <w:link w:val="9"/>
    <w:autoRedefine/>
    <w:qFormat/>
    <w:uiPriority w:val="0"/>
    <w:rPr>
      <w:rFonts w:ascii="宋体" w:hAnsi="Arial" w:eastAsia="宋体" w:cs="Arial"/>
      <w:snapToGrid w:val="0"/>
      <w:sz w:val="24"/>
      <w:szCs w:val="21"/>
      <w:lang w:val="zh-CN"/>
    </w:rPr>
  </w:style>
  <w:style w:type="paragraph" w:customStyle="1" w:styleId="44">
    <w:name w:val="索引 11"/>
    <w:basedOn w:val="1"/>
    <w:next w:val="1"/>
    <w:autoRedefine/>
    <w:qFormat/>
    <w:uiPriority w:val="99"/>
    <w:pPr>
      <w:spacing w:line="360" w:lineRule="auto"/>
    </w:pPr>
    <w:rPr>
      <w:rFonts w:ascii="仿宋_GB2312" w:eastAsia="仿宋_GB2312"/>
      <w:sz w:val="24"/>
      <w:szCs w:val="20"/>
    </w:rPr>
  </w:style>
  <w:style w:type="paragraph" w:customStyle="1" w:styleId="4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
    <w:name w:val="text-tag"/>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customStyle="1" w:styleId="48">
    <w:name w:val="纯文本1"/>
    <w:basedOn w:val="1"/>
    <w:autoRedefine/>
    <w:qFormat/>
    <w:uiPriority w:val="0"/>
    <w:rPr>
      <w:rFonts w:ascii="宋体" w:hAnsi="Courier New"/>
      <w:kern w:val="0"/>
      <w:sz w:val="20"/>
      <w:szCs w:val="20"/>
    </w:rPr>
  </w:style>
  <w:style w:type="paragraph" w:customStyle="1" w:styleId="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0_0"/>
    <w:basedOn w:val="49"/>
    <w:autoRedefine/>
    <w:qFormat/>
    <w:uiPriority w:val="0"/>
    <w:rPr>
      <w:rFonts w:ascii="宋体" w:hAnsi="Courier New"/>
      <w:szCs w:val="21"/>
    </w:rPr>
  </w:style>
  <w:style w:type="paragraph" w:customStyle="1" w:styleId="51">
    <w:name w:val="正文2"/>
    <w:basedOn w:val="1"/>
    <w:autoRedefine/>
    <w:qFormat/>
    <w:uiPriority w:val="0"/>
    <w:pPr>
      <w:spacing w:before="156" w:line="360" w:lineRule="auto"/>
      <w:ind w:firstLine="510" w:firstLineChars="200"/>
    </w:pPr>
    <w:rPr>
      <w:sz w:val="24"/>
      <w:szCs w:val="20"/>
    </w:rPr>
  </w:style>
  <w:style w:type="paragraph" w:customStyle="1" w:styleId="52">
    <w:name w:val="正文缩进1"/>
    <w:basedOn w:val="1"/>
    <w:next w:val="11"/>
    <w:autoRedefine/>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3">
    <w:name w:val="标题 3 字符"/>
    <w:basedOn w:val="26"/>
    <w:link w:val="4"/>
    <w:autoRedefine/>
    <w:semiHidden/>
    <w:qFormat/>
    <w:uiPriority w:val="9"/>
    <w:rPr>
      <w:rFonts w:ascii="Calibri" w:hAnsi="Calibri" w:eastAsia="宋体" w:cs="Times New Roman"/>
      <w:b/>
      <w:bCs/>
      <w:sz w:val="32"/>
      <w:szCs w:val="32"/>
    </w:rPr>
  </w:style>
  <w:style w:type="character" w:customStyle="1" w:styleId="54">
    <w:name w:val="标题 4 字符"/>
    <w:basedOn w:val="26"/>
    <w:link w:val="5"/>
    <w:autoRedefine/>
    <w:semiHidden/>
    <w:qFormat/>
    <w:uiPriority w:val="9"/>
    <w:rPr>
      <w:rFonts w:asciiTheme="majorHAnsi" w:hAnsiTheme="majorHAnsi" w:eastAsiaTheme="majorEastAsia" w:cstheme="majorBidi"/>
      <w:b/>
      <w:bCs/>
      <w:sz w:val="28"/>
      <w:szCs w:val="28"/>
    </w:rPr>
  </w:style>
  <w:style w:type="paragraph" w:customStyle="1" w:styleId="55">
    <w:name w:val="标题4"/>
    <w:basedOn w:val="1"/>
    <w:autoRedefine/>
    <w:qFormat/>
    <w:uiPriority w:val="0"/>
    <w:rPr>
      <w:rFonts w:ascii="Times New Roman" w:hAnsi="Times New Roman" w:eastAsia="仿宋_GB2312"/>
      <w:sz w:val="32"/>
      <w:szCs w:val="20"/>
    </w:rPr>
  </w:style>
  <w:style w:type="character" w:customStyle="1" w:styleId="56">
    <w:name w:val="批注框文本 字符"/>
    <w:basedOn w:val="26"/>
    <w:link w:val="15"/>
    <w:autoRedefine/>
    <w:semiHidden/>
    <w:qFormat/>
    <w:uiPriority w:val="99"/>
    <w:rPr>
      <w:rFonts w:ascii="Calibri" w:hAnsi="Calibri" w:eastAsia="宋体" w:cs="Times New Roman"/>
      <w:sz w:val="18"/>
      <w:szCs w:val="18"/>
    </w:rPr>
  </w:style>
  <w:style w:type="character" w:customStyle="1" w:styleId="57">
    <w:name w:val="List Paragraph Char"/>
    <w:link w:val="35"/>
    <w:autoRedefine/>
    <w:qFormat/>
    <w:locked/>
    <w:uiPriority w:val="0"/>
    <w:rPr>
      <w:rFonts w:ascii="Times New Roman" w:hAnsi="Times New Roman"/>
      <w:szCs w:val="24"/>
    </w:rPr>
  </w:style>
  <w:style w:type="paragraph" w:customStyle="1" w:styleId="58">
    <w:name w:val="列表段落1"/>
    <w:basedOn w:val="1"/>
    <w:autoRedefine/>
    <w:qFormat/>
    <w:uiPriority w:val="99"/>
    <w:pPr>
      <w:ind w:firstLine="420" w:firstLineChars="200"/>
    </w:pPr>
  </w:style>
  <w:style w:type="paragraph" w:customStyle="1" w:styleId="59">
    <w:name w:val="修订1"/>
    <w:autoRedefine/>
    <w:hidden/>
    <w:semiHidden/>
    <w:qFormat/>
    <w:uiPriority w:val="99"/>
    <w:rPr>
      <w:rFonts w:ascii="Calibri" w:hAnsi="Calibri" w:eastAsia="宋体" w:cs="Times New Roman"/>
      <w:kern w:val="2"/>
      <w:sz w:val="21"/>
      <w:szCs w:val="24"/>
      <w:lang w:val="en-US" w:eastAsia="zh-CN" w:bidi="ar-SA"/>
    </w:rPr>
  </w:style>
  <w:style w:type="character" w:customStyle="1" w:styleId="60">
    <w:name w:val="批注文字 字符"/>
    <w:basedOn w:val="26"/>
    <w:link w:val="8"/>
    <w:autoRedefine/>
    <w:semiHidden/>
    <w:qFormat/>
    <w:uiPriority w:val="99"/>
    <w:rPr>
      <w:rFonts w:ascii="Calibri" w:hAnsi="Calibri"/>
      <w:kern w:val="2"/>
      <w:sz w:val="21"/>
      <w:szCs w:val="24"/>
    </w:rPr>
  </w:style>
  <w:style w:type="character" w:customStyle="1" w:styleId="61">
    <w:name w:val="批注主题 字符"/>
    <w:basedOn w:val="60"/>
    <w:link w:val="22"/>
    <w:autoRedefine/>
    <w:semiHidden/>
    <w:qFormat/>
    <w:uiPriority w:val="99"/>
    <w:rPr>
      <w:rFonts w:ascii="Calibri" w:hAnsi="Calibri"/>
      <w:b/>
      <w:bCs/>
      <w:kern w:val="2"/>
      <w:sz w:val="21"/>
      <w:szCs w:val="24"/>
    </w:rPr>
  </w:style>
  <w:style w:type="paragraph" w:customStyle="1" w:styleId="62">
    <w:name w:val="修订2"/>
    <w:autoRedefine/>
    <w:hidden/>
    <w:semiHidden/>
    <w:qFormat/>
    <w:uiPriority w:val="99"/>
    <w:rPr>
      <w:rFonts w:ascii="Calibri" w:hAnsi="Calibri" w:eastAsia="宋体" w:cs="Times New Roman"/>
      <w:kern w:val="2"/>
      <w:sz w:val="21"/>
      <w:szCs w:val="24"/>
      <w:lang w:val="en-US" w:eastAsia="zh-CN" w:bidi="ar-SA"/>
    </w:rPr>
  </w:style>
  <w:style w:type="paragraph" w:customStyle="1" w:styleId="63">
    <w:name w:val="修订3"/>
    <w:autoRedefine/>
    <w:hidden/>
    <w:semiHidden/>
    <w:qFormat/>
    <w:uiPriority w:val="99"/>
    <w:rPr>
      <w:rFonts w:ascii="Calibri" w:hAnsi="Calibri" w:eastAsia="宋体" w:cs="Times New Roman"/>
      <w:kern w:val="2"/>
      <w:sz w:val="21"/>
      <w:szCs w:val="24"/>
      <w:lang w:val="en-US" w:eastAsia="zh-CN" w:bidi="ar-SA"/>
    </w:rPr>
  </w:style>
  <w:style w:type="character" w:customStyle="1" w:styleId="64">
    <w:name w:val="textcolor1"/>
    <w:basedOn w:val="26"/>
    <w:autoRedefine/>
    <w:qFormat/>
    <w:uiPriority w:val="0"/>
    <w:rPr>
      <w:color w:val="FF6600"/>
    </w:rPr>
  </w:style>
  <w:style w:type="table" w:customStyle="1" w:styleId="65">
    <w:name w:val="Table Normal"/>
    <w:autoRedefine/>
    <w:semiHidden/>
    <w:unhideWhenUsed/>
    <w:qFormat/>
    <w:uiPriority w:val="0"/>
    <w:tblPr>
      <w:tblCellMar>
        <w:top w:w="0" w:type="dxa"/>
        <w:left w:w="0" w:type="dxa"/>
        <w:bottom w:w="0" w:type="dxa"/>
        <w:right w:w="0" w:type="dxa"/>
      </w:tblCellMar>
    </w:tblPr>
  </w:style>
  <w:style w:type="paragraph" w:customStyle="1" w:styleId="66">
    <w:name w:val="公告正文"/>
    <w:basedOn w:val="1"/>
    <w:autoRedefine/>
    <w:qFormat/>
    <w:uiPriority w:val="0"/>
    <w:pPr>
      <w:spacing w:line="400" w:lineRule="atLeast"/>
      <w:ind w:firstLine="437"/>
    </w:pPr>
    <w:rPr>
      <w:rFonts w:ascii="宋体" w:hAnsi="宋体"/>
      <w:kern w:val="0"/>
      <w:sz w:val="24"/>
    </w:rPr>
  </w:style>
  <w:style w:type="paragraph" w:customStyle="1" w:styleId="67">
    <w:name w:val="须知二级小标题"/>
    <w:basedOn w:val="1"/>
    <w:autoRedefine/>
    <w:qFormat/>
    <w:uiPriority w:val="0"/>
    <w:pPr>
      <w:spacing w:line="500" w:lineRule="exact"/>
    </w:pPr>
    <w:rPr>
      <w:rFonts w:ascii="宋体"/>
      <w:b/>
      <w:sz w:val="24"/>
    </w:rPr>
  </w:style>
  <w:style w:type="paragraph" w:customStyle="1" w:styleId="68">
    <w:name w:val="Plain Text"/>
    <w:basedOn w:val="1"/>
    <w:autoRedefine/>
    <w:qFormat/>
    <w:uiPriority w:val="0"/>
    <w:rPr>
      <w:rFonts w:ascii="宋体" w:hAnsi="Courier New" w:eastAsia="Times New Roman"/>
      <w:kern w:val="0"/>
      <w:sz w:val="20"/>
      <w:szCs w:val="20"/>
    </w:rPr>
  </w:style>
  <w:style w:type="character" w:customStyle="1" w:styleId="69">
    <w:name w:val="cur"/>
    <w:basedOn w:val="26"/>
    <w:autoRedefine/>
    <w:qFormat/>
    <w:uiPriority w:val="0"/>
  </w:style>
  <w:style w:type="character" w:customStyle="1" w:styleId="70">
    <w:name w:val="layui-laypage-curr"/>
    <w:basedOn w:val="26"/>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74</Pages>
  <Words>12641</Words>
  <Characters>14098</Characters>
  <Lines>245</Lines>
  <Paragraphs>69</Paragraphs>
  <TotalTime>102</TotalTime>
  <ScaleCrop>false</ScaleCrop>
  <LinksUpToDate>false</LinksUpToDate>
  <CharactersWithSpaces>14379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2023-02-04T21:06:00Z</dcterms:created>
  <dc:creator>Microsoft</dc:creator>
  <cp:lastModifiedBy>晟</cp:lastModifiedBy>
  <cp:lastPrinted>2024-12-30T07:24:00Z</cp:lastPrinted>
  <dcterms:modified xsi:type="dcterms:W3CDTF">2025-03-31T00:55:31Z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8B5B27000FE445D087EE802C81AAB260_13</vt:lpwstr>
  </property>
  <property fmtid="{D5CDD505-2E9C-101B-9397-08002B2CF9AE}" pid="4" name="KSOTemplateDocerSaveRecord">
    <vt:lpwstr>eyJoZGlkIjoiZGNkY2FhYTJiZmI4MmJiNjZiMDBjMjQ0N2UwOTBjY2YiLCJ1c2VySWQiOiI0Mjk4NjUyNzEifQ==</vt:lpwstr>
  </property>
</Properties>
</file>