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8D124">
      <w:pPr>
        <w:keepNext w:val="0"/>
        <w:keepLines w:val="0"/>
        <w:pageBreakBefore w:val="0"/>
        <w:widowControl w:val="0"/>
        <w:kinsoku/>
        <w:wordWrap/>
        <w:overflowPunct/>
        <w:topLinePunct w:val="0"/>
        <w:autoSpaceDE/>
        <w:autoSpaceDN/>
        <w:bidi w:val="0"/>
        <w:adjustRightInd w:val="0"/>
        <w:snapToGrid/>
        <w:spacing w:line="240" w:lineRule="auto"/>
        <w:ind w:left="0" w:firstLine="0" w:firstLineChars="0"/>
        <w:jc w:val="center"/>
        <w:textAlignment w:val="auto"/>
        <w:rPr>
          <w:rFonts w:hint="eastAsia" w:ascii="仿宋" w:hAnsi="仿宋" w:eastAsia="仿宋" w:cs="仿宋"/>
          <w:b/>
          <w:bCs w:val="0"/>
          <w:color w:val="auto"/>
          <w:sz w:val="44"/>
          <w:szCs w:val="44"/>
        </w:rPr>
      </w:pPr>
      <w:bookmarkStart w:id="0" w:name="_Hlt67893495"/>
      <w:bookmarkEnd w:id="0"/>
      <w:r>
        <w:rPr>
          <w:rFonts w:hint="eastAsia" w:ascii="仿宋" w:hAnsi="仿宋" w:eastAsia="仿宋" w:cs="仿宋"/>
          <w:b/>
          <w:bCs w:val="0"/>
          <w:color w:val="auto"/>
          <w:sz w:val="44"/>
          <w:szCs w:val="44"/>
          <w:lang w:val="en-US" w:eastAsia="zh-CN"/>
        </w:rPr>
        <w:t>嵊州市现代社区建设项目电梯采购及安装</w:t>
      </w:r>
    </w:p>
    <w:p w14:paraId="51731364">
      <w:pPr>
        <w:pStyle w:val="83"/>
        <w:rPr>
          <w:rFonts w:hint="eastAsia" w:ascii="仿宋" w:hAnsi="仿宋" w:eastAsia="仿宋" w:cs="仿宋"/>
          <w:b/>
          <w:bCs/>
          <w:color w:val="auto"/>
          <w:sz w:val="44"/>
          <w:szCs w:val="44"/>
          <w:lang w:val="en-US" w:eastAsia="zh-CN"/>
        </w:rPr>
      </w:pPr>
    </w:p>
    <w:p w14:paraId="3D38BEF0">
      <w:pPr>
        <w:pStyle w:val="83"/>
        <w:rPr>
          <w:rFonts w:hint="eastAsia" w:ascii="仿宋" w:hAnsi="仿宋" w:eastAsia="仿宋" w:cs="仿宋"/>
          <w:b/>
          <w:bCs/>
          <w:color w:val="auto"/>
          <w:sz w:val="44"/>
          <w:szCs w:val="44"/>
          <w:lang w:val="en-US" w:eastAsia="zh-CN"/>
        </w:rPr>
      </w:pPr>
    </w:p>
    <w:p w14:paraId="769125D8">
      <w:pPr>
        <w:pStyle w:val="83"/>
        <w:rPr>
          <w:rFonts w:hint="eastAsia" w:ascii="仿宋" w:hAnsi="仿宋" w:eastAsia="仿宋" w:cs="仿宋"/>
          <w:b/>
          <w:bCs/>
          <w:color w:val="auto"/>
          <w:sz w:val="44"/>
          <w:szCs w:val="44"/>
          <w:lang w:val="en-US" w:eastAsia="zh-CN"/>
        </w:rPr>
      </w:pPr>
    </w:p>
    <w:p w14:paraId="2CA1D27A">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14:paraId="413353B6">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14:paraId="251F425B">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14:paraId="1A94593C">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14:paraId="4A974CB1">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7E6A1CA9">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14:paraId="203FCDDF">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w:t>
      </w:r>
      <w:r>
        <w:rPr>
          <w:rFonts w:hint="eastAsia" w:ascii="仿宋" w:hAnsi="仿宋" w:eastAsia="仿宋" w:cs="仿宋"/>
          <w:b/>
          <w:color w:val="auto"/>
          <w:sz w:val="44"/>
          <w:szCs w:val="44"/>
          <w:lang w:val="en-US" w:eastAsia="zh-CN"/>
        </w:rPr>
        <w:t>国企采购</w:t>
      </w:r>
      <w:r>
        <w:rPr>
          <w:rFonts w:hint="eastAsia" w:ascii="仿宋" w:hAnsi="仿宋" w:eastAsia="仿宋" w:cs="仿宋"/>
          <w:b/>
          <w:color w:val="auto"/>
          <w:sz w:val="44"/>
          <w:szCs w:val="44"/>
        </w:rPr>
        <w:t>电子招投标）</w:t>
      </w:r>
    </w:p>
    <w:p w14:paraId="6B4AF95F">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招标编号:</w:t>
      </w:r>
      <w:r>
        <w:rPr>
          <w:rFonts w:hint="eastAsia" w:ascii="仿宋" w:hAnsi="仿宋" w:eastAsia="仿宋" w:cs="仿宋"/>
          <w:b/>
          <w:color w:val="auto"/>
          <w:sz w:val="28"/>
          <w:szCs w:val="28"/>
          <w:lang w:eastAsia="zh-CN"/>
        </w:rPr>
        <w:t>DFJW-202421</w:t>
      </w:r>
      <w:r>
        <w:rPr>
          <w:rFonts w:hint="eastAsia" w:ascii="仿宋" w:hAnsi="仿宋" w:eastAsia="仿宋" w:cs="仿宋"/>
          <w:b/>
          <w:color w:val="auto"/>
          <w:sz w:val="28"/>
          <w:szCs w:val="28"/>
        </w:rPr>
        <w:t>SZ</w:t>
      </w:r>
    </w:p>
    <w:p w14:paraId="501EA975">
      <w:pPr>
        <w:pStyle w:val="83"/>
        <w:rPr>
          <w:rFonts w:hint="eastAsia" w:ascii="仿宋" w:hAnsi="仿宋" w:eastAsia="仿宋" w:cs="仿宋"/>
          <w:b/>
          <w:color w:val="auto"/>
          <w:sz w:val="28"/>
          <w:szCs w:val="28"/>
        </w:rPr>
      </w:pPr>
    </w:p>
    <w:p w14:paraId="3FD85206">
      <w:pPr>
        <w:pStyle w:val="83"/>
        <w:rPr>
          <w:rFonts w:hint="eastAsia" w:ascii="仿宋" w:hAnsi="仿宋" w:eastAsia="仿宋" w:cs="仿宋"/>
          <w:b/>
          <w:color w:val="auto"/>
          <w:sz w:val="28"/>
          <w:szCs w:val="28"/>
        </w:rPr>
      </w:pPr>
    </w:p>
    <w:p w14:paraId="6C301686">
      <w:pPr>
        <w:pStyle w:val="83"/>
        <w:rPr>
          <w:rFonts w:hint="eastAsia" w:ascii="仿宋" w:hAnsi="仿宋" w:eastAsia="仿宋" w:cs="仿宋"/>
          <w:b/>
          <w:color w:val="auto"/>
          <w:sz w:val="28"/>
          <w:szCs w:val="28"/>
        </w:rPr>
      </w:pPr>
    </w:p>
    <w:tbl>
      <w:tblPr>
        <w:tblStyle w:val="62"/>
        <w:tblW w:w="7181" w:type="dxa"/>
        <w:jc w:val="center"/>
        <w:tblLayout w:type="fixed"/>
        <w:tblCellMar>
          <w:top w:w="0" w:type="dxa"/>
          <w:left w:w="108" w:type="dxa"/>
          <w:bottom w:w="0" w:type="dxa"/>
          <w:right w:w="108" w:type="dxa"/>
        </w:tblCellMar>
      </w:tblPr>
      <w:tblGrid>
        <w:gridCol w:w="2171"/>
        <w:gridCol w:w="5010"/>
      </w:tblGrid>
      <w:tr w14:paraId="60F7BD88">
        <w:tblPrEx>
          <w:tblCellMar>
            <w:top w:w="0" w:type="dxa"/>
            <w:left w:w="108" w:type="dxa"/>
            <w:bottom w:w="0" w:type="dxa"/>
            <w:right w:w="108" w:type="dxa"/>
          </w:tblCellMar>
        </w:tblPrEx>
        <w:trPr>
          <w:trHeight w:val="443" w:hRule="atLeast"/>
          <w:jc w:val="center"/>
        </w:trPr>
        <w:tc>
          <w:tcPr>
            <w:tcW w:w="2171" w:type="dxa"/>
          </w:tcPr>
          <w:p w14:paraId="298C9C98">
            <w:pPr>
              <w:keepNext w:val="0"/>
              <w:keepLines w:val="0"/>
              <w:pageBreakBefore w:val="0"/>
              <w:widowControl w:val="0"/>
              <w:kinsoku/>
              <w:wordWrap/>
              <w:overflowPunct/>
              <w:topLinePunct w:val="0"/>
              <w:autoSpaceDE w:val="0"/>
              <w:autoSpaceDN w:val="0"/>
              <w:bidi w:val="0"/>
              <w:adjustRightInd w:val="0"/>
              <w:snapToGrid/>
              <w:spacing w:afterAutospacing="0" w:line="600" w:lineRule="exact"/>
              <w:ind w:left="0" w:leftChars="0" w:right="0"/>
              <w:jc w:val="distribute"/>
              <w:textAlignment w:val="auto"/>
              <w:rPr>
                <w:rFonts w:hint="eastAsia" w:ascii="仿宋" w:hAnsi="仿宋" w:eastAsia="仿宋" w:cs="仿宋"/>
                <w:color w:val="auto"/>
                <w:spacing w:val="0"/>
                <w:kern w:val="0"/>
                <w:sz w:val="28"/>
                <w:szCs w:val="28"/>
                <w:lang w:val="en-US" w:eastAsia="zh-CN"/>
              </w:rPr>
            </w:pPr>
            <w:r>
              <w:rPr>
                <w:rFonts w:hint="eastAsia" w:ascii="仿宋" w:hAnsi="仿宋" w:eastAsia="仿宋" w:cs="仿宋"/>
                <w:color w:val="auto"/>
                <w:spacing w:val="0"/>
                <w:kern w:val="0"/>
                <w:sz w:val="28"/>
                <w:szCs w:val="28"/>
                <w:lang w:val="en-US" w:eastAsia="zh-CN"/>
              </w:rPr>
              <w:t>采购单位：</w:t>
            </w:r>
          </w:p>
        </w:tc>
        <w:tc>
          <w:tcPr>
            <w:tcW w:w="5010" w:type="dxa"/>
            <w:vAlign w:val="center"/>
          </w:tcPr>
          <w:p w14:paraId="1F999526">
            <w:pPr>
              <w:keepNext w:val="0"/>
              <w:keepLines w:val="0"/>
              <w:pageBreakBefore w:val="0"/>
              <w:widowControl w:val="0"/>
              <w:kinsoku/>
              <w:wordWrap/>
              <w:overflowPunct/>
              <w:topLinePunct w:val="0"/>
              <w:autoSpaceDE w:val="0"/>
              <w:autoSpaceDN w:val="0"/>
              <w:bidi w:val="0"/>
              <w:adjustRightInd w:val="0"/>
              <w:snapToGrid/>
              <w:spacing w:afterAutospacing="0" w:line="600" w:lineRule="exact"/>
              <w:ind w:left="0" w:leftChars="0" w:right="0"/>
              <w:jc w:val="left"/>
              <w:textAlignment w:val="auto"/>
              <w:rPr>
                <w:rFonts w:hint="eastAsia" w:ascii="仿宋" w:hAnsi="仿宋" w:eastAsia="仿宋" w:cs="仿宋"/>
                <w:color w:val="auto"/>
                <w:spacing w:val="0"/>
                <w:kern w:val="0"/>
                <w:sz w:val="28"/>
                <w:szCs w:val="28"/>
              </w:rPr>
            </w:pPr>
            <w:r>
              <w:rPr>
                <w:rFonts w:hint="eastAsia" w:ascii="仿宋" w:hAnsi="仿宋" w:eastAsia="仿宋" w:cs="仿宋"/>
                <w:color w:val="auto"/>
                <w:spacing w:val="0"/>
                <w:kern w:val="0"/>
                <w:sz w:val="28"/>
                <w:szCs w:val="28"/>
                <w:lang w:eastAsia="zh-CN"/>
              </w:rPr>
              <w:t>嵊州市城市建设投资发展集团有限公司</w:t>
            </w:r>
          </w:p>
        </w:tc>
      </w:tr>
      <w:tr w14:paraId="46BA2015">
        <w:tblPrEx>
          <w:tblCellMar>
            <w:top w:w="0" w:type="dxa"/>
            <w:left w:w="108" w:type="dxa"/>
            <w:bottom w:w="0" w:type="dxa"/>
            <w:right w:w="108" w:type="dxa"/>
          </w:tblCellMar>
        </w:tblPrEx>
        <w:trPr>
          <w:trHeight w:val="505" w:hRule="atLeast"/>
          <w:jc w:val="center"/>
        </w:trPr>
        <w:tc>
          <w:tcPr>
            <w:tcW w:w="2171" w:type="dxa"/>
          </w:tcPr>
          <w:p w14:paraId="437750DA">
            <w:pPr>
              <w:keepNext w:val="0"/>
              <w:keepLines w:val="0"/>
              <w:pageBreakBefore w:val="0"/>
              <w:widowControl w:val="0"/>
              <w:kinsoku/>
              <w:wordWrap/>
              <w:overflowPunct/>
              <w:topLinePunct w:val="0"/>
              <w:autoSpaceDE w:val="0"/>
              <w:autoSpaceDN w:val="0"/>
              <w:bidi w:val="0"/>
              <w:adjustRightInd w:val="0"/>
              <w:snapToGrid/>
              <w:spacing w:afterAutospacing="0" w:line="600" w:lineRule="exact"/>
              <w:ind w:left="0" w:leftChars="0" w:right="0"/>
              <w:jc w:val="distribute"/>
              <w:textAlignment w:val="auto"/>
              <w:rPr>
                <w:rFonts w:hint="eastAsia" w:ascii="仿宋" w:hAnsi="仿宋" w:eastAsia="仿宋" w:cs="仿宋"/>
                <w:color w:val="auto"/>
                <w:spacing w:val="0"/>
                <w:kern w:val="0"/>
                <w:sz w:val="28"/>
                <w:szCs w:val="28"/>
                <w:lang w:val="en-US" w:eastAsia="zh-CN"/>
              </w:rPr>
            </w:pPr>
            <w:r>
              <w:rPr>
                <w:rFonts w:hint="eastAsia" w:ascii="仿宋" w:hAnsi="仿宋" w:eastAsia="仿宋" w:cs="仿宋"/>
                <w:color w:val="auto"/>
                <w:spacing w:val="0"/>
                <w:kern w:val="0"/>
                <w:sz w:val="28"/>
                <w:szCs w:val="28"/>
                <w:lang w:val="en-US" w:eastAsia="zh-CN"/>
              </w:rPr>
              <w:t>采购代理机构：</w:t>
            </w:r>
          </w:p>
        </w:tc>
        <w:tc>
          <w:tcPr>
            <w:tcW w:w="5010" w:type="dxa"/>
            <w:vAlign w:val="top"/>
          </w:tcPr>
          <w:p w14:paraId="0FF0B42E">
            <w:pPr>
              <w:keepNext w:val="0"/>
              <w:keepLines w:val="0"/>
              <w:pageBreakBefore w:val="0"/>
              <w:widowControl w:val="0"/>
              <w:kinsoku/>
              <w:wordWrap/>
              <w:overflowPunct/>
              <w:topLinePunct w:val="0"/>
              <w:autoSpaceDE w:val="0"/>
              <w:autoSpaceDN w:val="0"/>
              <w:bidi w:val="0"/>
              <w:adjustRightInd w:val="0"/>
              <w:snapToGrid/>
              <w:spacing w:afterAutospacing="0" w:line="600" w:lineRule="exact"/>
              <w:ind w:left="0" w:leftChars="0" w:right="0"/>
              <w:jc w:val="left"/>
              <w:textAlignment w:val="auto"/>
              <w:rPr>
                <w:rFonts w:hint="eastAsia" w:ascii="仿宋" w:hAnsi="仿宋" w:eastAsia="仿宋" w:cs="仿宋"/>
                <w:color w:val="auto"/>
                <w:spacing w:val="0"/>
                <w:kern w:val="0"/>
                <w:sz w:val="28"/>
                <w:szCs w:val="28"/>
                <w:lang w:val="en-US" w:eastAsia="zh-CN"/>
              </w:rPr>
            </w:pPr>
            <w:r>
              <w:rPr>
                <w:rFonts w:hint="eastAsia" w:ascii="仿宋" w:hAnsi="仿宋" w:eastAsia="仿宋" w:cs="仿宋"/>
                <w:color w:val="auto"/>
                <w:spacing w:val="0"/>
                <w:kern w:val="0"/>
                <w:sz w:val="28"/>
                <w:szCs w:val="28"/>
              </w:rPr>
              <w:t>东方经纬项目管理有限公司</w:t>
            </w:r>
          </w:p>
        </w:tc>
      </w:tr>
      <w:tr w14:paraId="37AE5F98">
        <w:tblPrEx>
          <w:tblCellMar>
            <w:top w:w="0" w:type="dxa"/>
            <w:left w:w="108" w:type="dxa"/>
            <w:bottom w:w="0" w:type="dxa"/>
            <w:right w:w="108" w:type="dxa"/>
          </w:tblCellMar>
        </w:tblPrEx>
        <w:trPr>
          <w:trHeight w:val="333" w:hRule="atLeast"/>
          <w:jc w:val="center"/>
        </w:trPr>
        <w:tc>
          <w:tcPr>
            <w:tcW w:w="7181" w:type="dxa"/>
            <w:gridSpan w:val="2"/>
          </w:tcPr>
          <w:p w14:paraId="253B42E7">
            <w:pPr>
              <w:keepNext w:val="0"/>
              <w:keepLines w:val="0"/>
              <w:pageBreakBefore w:val="0"/>
              <w:widowControl w:val="0"/>
              <w:kinsoku/>
              <w:wordWrap/>
              <w:overflowPunct/>
              <w:topLinePunct w:val="0"/>
              <w:autoSpaceDE w:val="0"/>
              <w:autoSpaceDN w:val="0"/>
              <w:bidi w:val="0"/>
              <w:adjustRightInd w:val="0"/>
              <w:snapToGrid/>
              <w:spacing w:afterAutospacing="0" w:line="600" w:lineRule="exact"/>
              <w:ind w:left="0" w:leftChars="0" w:right="0"/>
              <w:jc w:val="center"/>
              <w:textAlignment w:val="auto"/>
              <w:rPr>
                <w:rFonts w:hint="eastAsia" w:ascii="仿宋" w:hAnsi="仿宋" w:eastAsia="仿宋" w:cs="仿宋"/>
                <w:color w:val="auto"/>
                <w:spacing w:val="93"/>
                <w:kern w:val="0"/>
                <w:sz w:val="28"/>
                <w:szCs w:val="28"/>
              </w:rPr>
            </w:pPr>
            <w:r>
              <w:rPr>
                <w:rFonts w:hint="eastAsia" w:ascii="仿宋" w:hAnsi="仿宋" w:eastAsia="仿宋" w:cs="仿宋"/>
                <w:color w:val="auto"/>
                <w:spacing w:val="0"/>
                <w:kern w:val="0"/>
                <w:sz w:val="28"/>
                <w:szCs w:val="28"/>
              </w:rPr>
              <w:t>二○二</w:t>
            </w:r>
            <w:r>
              <w:rPr>
                <w:rFonts w:hint="eastAsia" w:ascii="仿宋" w:hAnsi="仿宋" w:eastAsia="仿宋" w:cs="仿宋"/>
                <w:color w:val="auto"/>
                <w:spacing w:val="0"/>
                <w:kern w:val="0"/>
                <w:sz w:val="28"/>
                <w:szCs w:val="28"/>
                <w:lang w:val="en-US" w:eastAsia="zh-CN"/>
              </w:rPr>
              <w:t>四</w:t>
            </w:r>
            <w:r>
              <w:rPr>
                <w:rFonts w:hint="eastAsia" w:ascii="仿宋" w:hAnsi="仿宋" w:eastAsia="仿宋" w:cs="仿宋"/>
                <w:color w:val="auto"/>
                <w:spacing w:val="0"/>
                <w:kern w:val="0"/>
                <w:sz w:val="28"/>
                <w:szCs w:val="28"/>
              </w:rPr>
              <w:t>年</w:t>
            </w:r>
            <w:r>
              <w:rPr>
                <w:rFonts w:hint="eastAsia" w:ascii="仿宋" w:hAnsi="仿宋" w:eastAsia="仿宋" w:cs="仿宋"/>
                <w:color w:val="auto"/>
                <w:spacing w:val="0"/>
                <w:kern w:val="0"/>
                <w:sz w:val="28"/>
                <w:szCs w:val="28"/>
                <w:lang w:val="en-US" w:eastAsia="zh-CN"/>
              </w:rPr>
              <w:t>十一</w:t>
            </w:r>
            <w:r>
              <w:rPr>
                <w:rFonts w:hint="eastAsia" w:ascii="仿宋" w:hAnsi="仿宋" w:eastAsia="仿宋" w:cs="仿宋"/>
                <w:color w:val="auto"/>
                <w:spacing w:val="0"/>
                <w:kern w:val="0"/>
                <w:sz w:val="28"/>
                <w:szCs w:val="28"/>
              </w:rPr>
              <w:t>月</w:t>
            </w:r>
          </w:p>
        </w:tc>
      </w:tr>
    </w:tbl>
    <w:p w14:paraId="2FA3CEDF">
      <w:pPr>
        <w:pStyle w:val="639"/>
        <w:rPr>
          <w:rFonts w:hint="eastAsia" w:ascii="仿宋" w:hAnsi="仿宋" w:eastAsia="仿宋" w:cs="仿宋"/>
          <w:color w:val="auto"/>
        </w:rPr>
        <w:sectPr>
          <w:headerReference r:id="rId4" w:type="first"/>
          <w:headerReference r:id="rId3" w:type="default"/>
          <w:footerReference r:id="rId5" w:type="even"/>
          <w:pgSz w:w="11906" w:h="16838"/>
          <w:pgMar w:top="1701" w:right="1134" w:bottom="1701" w:left="1474" w:header="851" w:footer="992" w:gutter="0"/>
          <w:pgNumType w:fmt="decimal" w:start="1"/>
          <w:cols w:space="0" w:num="1"/>
          <w:titlePg/>
          <w:rtlGutter w:val="0"/>
          <w:docGrid w:linePitch="312" w:charSpace="0"/>
        </w:sectPr>
      </w:pPr>
    </w:p>
    <w:p w14:paraId="0B467D59">
      <w:pPr>
        <w:spacing w:line="360" w:lineRule="auto"/>
        <w:jc w:val="center"/>
        <w:rPr>
          <w:rFonts w:hint="eastAsia" w:ascii="仿宋" w:hAnsi="仿宋" w:eastAsia="仿宋" w:cs="仿宋"/>
          <w:color w:val="auto"/>
          <w:sz w:val="24"/>
        </w:rPr>
      </w:pPr>
    </w:p>
    <w:p w14:paraId="3421AC67">
      <w:pPr>
        <w:spacing w:line="360" w:lineRule="auto"/>
        <w:jc w:val="center"/>
        <w:rPr>
          <w:rFonts w:hint="eastAsia" w:ascii="仿宋" w:hAnsi="仿宋" w:eastAsia="仿宋" w:cs="仿宋"/>
          <w:b/>
          <w:color w:val="auto"/>
          <w:sz w:val="44"/>
          <w:szCs w:val="44"/>
        </w:rPr>
      </w:pPr>
      <w:bookmarkStart w:id="1" w:name="_Hlt91233176"/>
      <w:bookmarkEnd w:id="1"/>
      <w:bookmarkStart w:id="2" w:name="_Toc91899869"/>
      <w:r>
        <w:rPr>
          <w:rFonts w:hint="eastAsia" w:ascii="仿宋" w:hAnsi="仿宋" w:eastAsia="仿宋" w:cs="仿宋"/>
          <w:b/>
          <w:color w:val="auto"/>
          <w:sz w:val="44"/>
          <w:szCs w:val="44"/>
        </w:rPr>
        <w:t>目</w:t>
      </w:r>
      <w:r>
        <w:rPr>
          <w:rFonts w:hint="eastAsia" w:ascii="仿宋" w:hAnsi="仿宋" w:eastAsia="仿宋" w:cs="仿宋"/>
          <w:b/>
          <w:color w:val="auto"/>
          <w:sz w:val="44"/>
          <w:szCs w:val="44"/>
          <w:lang w:val="en-US" w:eastAsia="zh-CN"/>
        </w:rPr>
        <w:t xml:space="preserve"> </w:t>
      </w:r>
      <w:r>
        <w:rPr>
          <w:rFonts w:hint="eastAsia" w:ascii="仿宋" w:hAnsi="仿宋" w:eastAsia="仿宋" w:cs="仿宋"/>
          <w:b/>
          <w:color w:val="auto"/>
          <w:sz w:val="44"/>
          <w:szCs w:val="44"/>
        </w:rPr>
        <w:t>录</w:t>
      </w:r>
    </w:p>
    <w:p w14:paraId="5A501A44">
      <w:pPr>
        <w:spacing w:line="360" w:lineRule="auto"/>
        <w:jc w:val="center"/>
        <w:rPr>
          <w:rFonts w:hint="eastAsia" w:ascii="仿宋" w:hAnsi="仿宋" w:eastAsia="仿宋" w:cs="仿宋"/>
          <w:color w:val="auto"/>
        </w:rPr>
      </w:pPr>
    </w:p>
    <w:p w14:paraId="2A9AA05B">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第一部分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招标公告</w:t>
      </w:r>
    </w:p>
    <w:p w14:paraId="6C21F572">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第二部分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投标须知</w:t>
      </w:r>
    </w:p>
    <w:p w14:paraId="282CAAA5">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第三部分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招标项目范围及要求</w:t>
      </w:r>
    </w:p>
    <w:p w14:paraId="1EA03B00">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第四部分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合同的主要条款</w:t>
      </w:r>
    </w:p>
    <w:p w14:paraId="6A85299A">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第五部分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评标方法及标准</w:t>
      </w:r>
    </w:p>
    <w:p w14:paraId="1E10D6BE">
      <w:pPr>
        <w:snapToGrid w:val="0"/>
        <w:spacing w:line="360" w:lineRule="auto"/>
        <w:ind w:firstLine="1506" w:firstLineChars="500"/>
        <w:jc w:val="left"/>
        <w:rPr>
          <w:rFonts w:hint="eastAsia" w:ascii="仿宋" w:hAnsi="仿宋" w:eastAsia="仿宋" w:cs="仿宋"/>
          <w:b/>
          <w:color w:val="auto"/>
          <w:sz w:val="30"/>
          <w:szCs w:val="30"/>
        </w:rPr>
      </w:pPr>
      <w:r>
        <w:rPr>
          <w:rFonts w:hint="eastAsia" w:ascii="仿宋" w:hAnsi="仿宋" w:eastAsia="仿宋" w:cs="仿宋"/>
          <w:b/>
          <w:color w:val="auto"/>
          <w:sz w:val="30"/>
          <w:szCs w:val="30"/>
        </w:rPr>
        <w:t>第六部分</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投标文件及其附件格式</w:t>
      </w:r>
    </w:p>
    <w:p w14:paraId="210C72E1">
      <w:pPr>
        <w:spacing w:line="360" w:lineRule="auto"/>
        <w:ind w:firstLine="549" w:firstLineChars="229"/>
        <w:rPr>
          <w:rFonts w:hint="eastAsia" w:ascii="仿宋" w:hAnsi="仿宋" w:eastAsia="仿宋" w:cs="仿宋"/>
          <w:color w:val="auto"/>
          <w:sz w:val="24"/>
        </w:rPr>
      </w:pPr>
    </w:p>
    <w:p w14:paraId="1B0D443F">
      <w:pPr>
        <w:spacing w:line="360" w:lineRule="auto"/>
        <w:ind w:firstLine="549" w:firstLineChars="229"/>
        <w:rPr>
          <w:rFonts w:hint="eastAsia" w:ascii="仿宋" w:hAnsi="仿宋" w:eastAsia="仿宋" w:cs="仿宋"/>
          <w:color w:val="auto"/>
          <w:sz w:val="24"/>
        </w:rPr>
      </w:pPr>
    </w:p>
    <w:p w14:paraId="76607BA9">
      <w:pPr>
        <w:spacing w:line="360" w:lineRule="auto"/>
        <w:ind w:firstLine="549" w:firstLineChars="229"/>
        <w:rPr>
          <w:rFonts w:hint="eastAsia" w:ascii="仿宋" w:hAnsi="仿宋" w:eastAsia="仿宋" w:cs="仿宋"/>
          <w:color w:val="auto"/>
          <w:sz w:val="24"/>
        </w:rPr>
      </w:pPr>
    </w:p>
    <w:p w14:paraId="3289925B">
      <w:pPr>
        <w:spacing w:line="360" w:lineRule="auto"/>
        <w:ind w:firstLine="549" w:firstLineChars="229"/>
        <w:rPr>
          <w:rFonts w:hint="eastAsia" w:ascii="仿宋" w:hAnsi="仿宋" w:eastAsia="仿宋" w:cs="仿宋"/>
          <w:color w:val="auto"/>
          <w:sz w:val="24"/>
        </w:rPr>
      </w:pPr>
    </w:p>
    <w:p w14:paraId="70B0FC4F">
      <w:pPr>
        <w:spacing w:line="360" w:lineRule="auto"/>
        <w:ind w:firstLine="549" w:firstLineChars="229"/>
        <w:rPr>
          <w:rFonts w:hint="eastAsia" w:ascii="仿宋" w:hAnsi="仿宋" w:eastAsia="仿宋" w:cs="仿宋"/>
          <w:color w:val="auto"/>
          <w:sz w:val="24"/>
        </w:rPr>
      </w:pPr>
    </w:p>
    <w:p w14:paraId="61D69C2A">
      <w:pPr>
        <w:spacing w:line="360" w:lineRule="auto"/>
        <w:ind w:firstLine="549" w:firstLineChars="229"/>
        <w:rPr>
          <w:rFonts w:hint="eastAsia" w:ascii="仿宋" w:hAnsi="仿宋" w:eastAsia="仿宋" w:cs="仿宋"/>
          <w:color w:val="auto"/>
          <w:sz w:val="24"/>
        </w:rPr>
      </w:pPr>
    </w:p>
    <w:p w14:paraId="312C347D">
      <w:pPr>
        <w:spacing w:line="360" w:lineRule="auto"/>
        <w:ind w:firstLine="549" w:firstLineChars="229"/>
        <w:rPr>
          <w:rFonts w:hint="eastAsia" w:ascii="仿宋" w:hAnsi="仿宋" w:eastAsia="仿宋" w:cs="仿宋"/>
          <w:color w:val="auto"/>
          <w:sz w:val="24"/>
        </w:rPr>
      </w:pPr>
    </w:p>
    <w:p w14:paraId="4B3848BB">
      <w:pPr>
        <w:spacing w:line="360" w:lineRule="auto"/>
        <w:ind w:firstLine="549" w:firstLineChars="229"/>
        <w:rPr>
          <w:rFonts w:hint="eastAsia" w:ascii="仿宋" w:hAnsi="仿宋" w:eastAsia="仿宋" w:cs="仿宋"/>
          <w:color w:val="auto"/>
          <w:sz w:val="24"/>
        </w:rPr>
      </w:pPr>
    </w:p>
    <w:p w14:paraId="70DFA44D">
      <w:pPr>
        <w:spacing w:line="360" w:lineRule="auto"/>
        <w:ind w:firstLine="549" w:firstLineChars="229"/>
        <w:rPr>
          <w:rFonts w:hint="eastAsia" w:ascii="仿宋" w:hAnsi="仿宋" w:eastAsia="仿宋" w:cs="仿宋"/>
          <w:color w:val="auto"/>
          <w:sz w:val="24"/>
        </w:rPr>
      </w:pPr>
    </w:p>
    <w:p w14:paraId="43CA16FE">
      <w:pPr>
        <w:spacing w:line="360" w:lineRule="auto"/>
        <w:ind w:firstLine="549" w:firstLineChars="229"/>
        <w:rPr>
          <w:rFonts w:hint="eastAsia" w:ascii="仿宋" w:hAnsi="仿宋" w:eastAsia="仿宋" w:cs="仿宋"/>
          <w:color w:val="auto"/>
          <w:sz w:val="24"/>
        </w:rPr>
      </w:pPr>
    </w:p>
    <w:p w14:paraId="4BC56501">
      <w:pPr>
        <w:spacing w:line="360" w:lineRule="auto"/>
        <w:ind w:firstLine="549" w:firstLineChars="229"/>
        <w:rPr>
          <w:rFonts w:hint="eastAsia" w:ascii="仿宋" w:hAnsi="仿宋" w:eastAsia="仿宋" w:cs="仿宋"/>
          <w:color w:val="auto"/>
          <w:sz w:val="24"/>
        </w:rPr>
      </w:pPr>
    </w:p>
    <w:p w14:paraId="2EF6E30B">
      <w:pPr>
        <w:spacing w:line="360" w:lineRule="auto"/>
        <w:ind w:firstLine="549" w:firstLineChars="229"/>
        <w:rPr>
          <w:rFonts w:hint="eastAsia" w:ascii="仿宋" w:hAnsi="仿宋" w:eastAsia="仿宋" w:cs="仿宋"/>
          <w:color w:val="auto"/>
          <w:sz w:val="24"/>
        </w:rPr>
      </w:pPr>
    </w:p>
    <w:p w14:paraId="6851537A">
      <w:pPr>
        <w:spacing w:line="360" w:lineRule="auto"/>
        <w:ind w:firstLine="549" w:firstLineChars="229"/>
        <w:rPr>
          <w:rFonts w:hint="eastAsia" w:ascii="仿宋" w:hAnsi="仿宋" w:eastAsia="仿宋" w:cs="仿宋"/>
          <w:color w:val="auto"/>
          <w:sz w:val="24"/>
        </w:rPr>
      </w:pPr>
    </w:p>
    <w:p w14:paraId="74A9495A">
      <w:pPr>
        <w:spacing w:line="360" w:lineRule="auto"/>
        <w:rPr>
          <w:rFonts w:hint="eastAsia" w:ascii="仿宋" w:hAnsi="仿宋" w:eastAsia="仿宋" w:cs="仿宋"/>
          <w:color w:val="auto"/>
          <w:sz w:val="24"/>
        </w:rPr>
      </w:pPr>
    </w:p>
    <w:bookmarkEnd w:id="2"/>
    <w:p w14:paraId="64BFEDD3">
      <w:pPr>
        <w:adjustRightInd/>
        <w:spacing w:line="360" w:lineRule="auto"/>
        <w:jc w:val="center"/>
        <w:outlineLvl w:val="0"/>
        <w:rPr>
          <w:rFonts w:hint="eastAsia" w:ascii="仿宋" w:hAnsi="仿宋" w:eastAsia="仿宋" w:cs="仿宋"/>
          <w:b/>
          <w:color w:val="auto"/>
          <w:sz w:val="36"/>
          <w:szCs w:val="20"/>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fmt="decimal" w:start="1"/>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5DBAEE7D">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招标公告</w:t>
      </w:r>
    </w:p>
    <w:p w14:paraId="43FDB9AB">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7F8A270B">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u w:val="single"/>
          <w:lang w:eastAsia="zh-CN"/>
        </w:rPr>
        <w:t>嵊州市现代社区建设项目电梯采购及安装</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招标项目的潜在投标人应在乐采云平台（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"https://www.zcygov.cn/）获取（下载）招标文件，并于202%20年%20月%20日%20点%20分00秒" </w:instrText>
      </w:r>
      <w:r>
        <w:rPr>
          <w:rFonts w:hint="eastAsia" w:ascii="仿宋" w:hAnsi="仿宋" w:eastAsia="仿宋" w:cs="仿宋"/>
          <w:color w:val="auto"/>
          <w:sz w:val="24"/>
          <w:szCs w:val="24"/>
        </w:rPr>
        <w:fldChar w:fldCharType="separate"/>
      </w:r>
      <w:r>
        <w:rPr>
          <w:rStyle w:val="76"/>
          <w:rFonts w:hint="eastAsia" w:ascii="仿宋" w:hAnsi="仿宋" w:eastAsia="仿宋" w:cs="仿宋"/>
          <w:snapToGrid/>
          <w:color w:val="auto"/>
          <w:kern w:val="2"/>
          <w:sz w:val="24"/>
          <w:szCs w:val="24"/>
        </w:rPr>
        <w:t>https://www.lecaiyun.com/）获取（下载）招标文件，并于</w:t>
      </w:r>
      <w:r>
        <w:rPr>
          <w:rStyle w:val="76"/>
          <w:rFonts w:hint="eastAsia" w:ascii="仿宋" w:hAnsi="仿宋" w:eastAsia="仿宋" w:cs="仿宋"/>
          <w:snapToGrid/>
          <w:color w:val="FF0000"/>
          <w:kern w:val="2"/>
          <w:sz w:val="24"/>
          <w:szCs w:val="24"/>
        </w:rPr>
        <w:t>202</w:t>
      </w:r>
      <w:r>
        <w:rPr>
          <w:rStyle w:val="76"/>
          <w:rFonts w:hint="eastAsia" w:ascii="仿宋" w:hAnsi="仿宋" w:eastAsia="仿宋" w:cs="仿宋"/>
          <w:snapToGrid/>
          <w:color w:val="FF0000"/>
          <w:kern w:val="2"/>
          <w:sz w:val="24"/>
          <w:szCs w:val="24"/>
          <w:lang w:val="en-US" w:eastAsia="zh-CN"/>
        </w:rPr>
        <w:t>4</w:t>
      </w:r>
      <w:r>
        <w:rPr>
          <w:rStyle w:val="76"/>
          <w:rFonts w:hint="eastAsia" w:ascii="仿宋" w:hAnsi="仿宋" w:eastAsia="仿宋" w:cs="仿宋"/>
          <w:snapToGrid/>
          <w:color w:val="FF0000"/>
          <w:kern w:val="2"/>
          <w:sz w:val="24"/>
          <w:szCs w:val="24"/>
        </w:rPr>
        <w:t>年</w:t>
      </w:r>
      <w:r>
        <w:rPr>
          <w:rStyle w:val="76"/>
          <w:rFonts w:hint="eastAsia" w:ascii="仿宋" w:hAnsi="仿宋" w:eastAsia="仿宋" w:cs="仿宋"/>
          <w:snapToGrid/>
          <w:color w:val="FF0000"/>
          <w:kern w:val="2"/>
          <w:sz w:val="24"/>
          <w:szCs w:val="24"/>
          <w:lang w:val="en-US" w:eastAsia="zh-CN"/>
        </w:rPr>
        <w:t>12</w:t>
      </w:r>
      <w:r>
        <w:rPr>
          <w:rStyle w:val="76"/>
          <w:rFonts w:hint="eastAsia" w:ascii="仿宋" w:hAnsi="仿宋" w:eastAsia="仿宋" w:cs="仿宋"/>
          <w:snapToGrid/>
          <w:color w:val="FF0000"/>
          <w:kern w:val="2"/>
          <w:sz w:val="24"/>
          <w:szCs w:val="24"/>
        </w:rPr>
        <w:t>月</w:t>
      </w:r>
      <w:r>
        <w:rPr>
          <w:rStyle w:val="76"/>
          <w:rFonts w:hint="eastAsia" w:ascii="仿宋" w:hAnsi="仿宋" w:eastAsia="仿宋" w:cs="仿宋"/>
          <w:snapToGrid/>
          <w:color w:val="FF0000"/>
          <w:kern w:val="2"/>
          <w:sz w:val="24"/>
          <w:szCs w:val="24"/>
          <w:lang w:val="en-US" w:eastAsia="zh-CN"/>
        </w:rPr>
        <w:t>19</w:t>
      </w:r>
      <w:r>
        <w:rPr>
          <w:rStyle w:val="76"/>
          <w:rFonts w:hint="eastAsia" w:ascii="仿宋" w:hAnsi="仿宋" w:eastAsia="仿宋" w:cs="仿宋"/>
          <w:snapToGrid/>
          <w:color w:val="FF0000"/>
          <w:kern w:val="2"/>
          <w:sz w:val="24"/>
          <w:szCs w:val="24"/>
        </w:rPr>
        <w:t>日</w:t>
      </w:r>
      <w:r>
        <w:rPr>
          <w:rStyle w:val="76"/>
          <w:rFonts w:hint="eastAsia" w:ascii="仿宋" w:hAnsi="仿宋" w:eastAsia="仿宋" w:cs="仿宋"/>
          <w:snapToGrid/>
          <w:color w:val="auto"/>
          <w:kern w:val="2"/>
          <w:sz w:val="24"/>
          <w:szCs w:val="24"/>
          <w:lang w:val="en-US" w:eastAsia="zh-CN"/>
        </w:rPr>
        <w:t>09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2D9F9836">
      <w:pPr>
        <w:keepNext w:val="0"/>
        <w:keepLines w:val="0"/>
        <w:pageBreakBefore w:val="0"/>
        <w:widowControl w:val="0"/>
        <w:kinsoku/>
        <w:wordWrap/>
        <w:overflowPunct/>
        <w:topLinePunct w:val="0"/>
        <w:autoSpaceDE/>
        <w:autoSpaceDN/>
        <w:bidi w:val="0"/>
        <w:adjustRightInd w:val="0"/>
        <w:snapToGrid/>
        <w:spacing w:line="40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一、项目基本情况</w:t>
      </w:r>
    </w:p>
    <w:p w14:paraId="57848451">
      <w:pPr>
        <w:keepNext w:val="0"/>
        <w:keepLines w:val="0"/>
        <w:pageBreakBefore w:val="0"/>
        <w:widowControl w:val="0"/>
        <w:kinsoku/>
        <w:wordWrap/>
        <w:overflowPunct/>
        <w:topLinePunct w:val="0"/>
        <w:autoSpaceDE/>
        <w:autoSpaceDN/>
        <w:bidi w:val="0"/>
        <w:adjustRightInd w:val="0"/>
        <w:snapToGrid/>
        <w:spacing w:line="400" w:lineRule="exact"/>
        <w:ind w:left="0"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eastAsia="zh-CN"/>
        </w:rPr>
        <w:t>DFJW-202421</w:t>
      </w:r>
      <w:r>
        <w:rPr>
          <w:rFonts w:hint="eastAsia" w:ascii="仿宋" w:hAnsi="仿宋" w:eastAsia="仿宋" w:cs="仿宋"/>
          <w:b w:val="0"/>
          <w:bCs/>
          <w:color w:val="auto"/>
          <w:sz w:val="24"/>
          <w:szCs w:val="24"/>
        </w:rPr>
        <w:t>SZ</w:t>
      </w:r>
    </w:p>
    <w:p w14:paraId="61C93729">
      <w:pPr>
        <w:keepNext w:val="0"/>
        <w:keepLines w:val="0"/>
        <w:pageBreakBefore w:val="0"/>
        <w:widowControl w:val="0"/>
        <w:kinsoku/>
        <w:wordWrap/>
        <w:overflowPunct/>
        <w:topLinePunct w:val="0"/>
        <w:autoSpaceDE/>
        <w:autoSpaceDN/>
        <w:bidi w:val="0"/>
        <w:adjustRightInd w:val="0"/>
        <w:snapToGrid/>
        <w:spacing w:line="400" w:lineRule="exact"/>
        <w:ind w:left="0"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b w:val="0"/>
          <w:bCs/>
          <w:color w:val="auto"/>
          <w:sz w:val="24"/>
          <w:szCs w:val="24"/>
          <w:lang w:val="en-US" w:eastAsia="zh-CN"/>
        </w:rPr>
        <w:t>嵊州市现代社区建设项目电梯采购及安装</w:t>
      </w:r>
    </w:p>
    <w:p w14:paraId="26E20078">
      <w:pPr>
        <w:keepNext w:val="0"/>
        <w:keepLines w:val="0"/>
        <w:pageBreakBefore w:val="0"/>
        <w:widowControl w:val="0"/>
        <w:kinsoku/>
        <w:wordWrap/>
        <w:overflowPunct/>
        <w:topLinePunct w:val="0"/>
        <w:autoSpaceDE/>
        <w:autoSpaceDN/>
        <w:bidi w:val="0"/>
        <w:adjustRightInd w:val="0"/>
        <w:snapToGrid/>
        <w:spacing w:line="400" w:lineRule="exact"/>
        <w:ind w:left="0" w:firstLine="482" w:firstLineChars="200"/>
        <w:textAlignment w:val="auto"/>
        <w:rPr>
          <w:rFonts w:hint="eastAsia" w:ascii="仿宋" w:hAnsi="仿宋" w:eastAsia="仿宋" w:cs="仿宋"/>
          <w:b/>
          <w:color w:val="FF0000"/>
          <w:sz w:val="24"/>
          <w:szCs w:val="24"/>
          <w:lang w:val="en-US" w:eastAsia="zh-CN"/>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预算金额（元）：</w:t>
      </w:r>
      <w:r>
        <w:rPr>
          <w:rFonts w:hint="eastAsia" w:ascii="仿宋" w:hAnsi="仿宋" w:eastAsia="仿宋" w:cs="仿宋"/>
          <w:b/>
          <w:color w:val="FF0000"/>
          <w:sz w:val="24"/>
          <w:szCs w:val="24"/>
          <w:lang w:val="en-US" w:eastAsia="zh-CN"/>
        </w:rPr>
        <w:t>950000（其中一期420000，二期530000）</w:t>
      </w:r>
    </w:p>
    <w:p w14:paraId="6BCEA251">
      <w:pPr>
        <w:keepNext w:val="0"/>
        <w:keepLines w:val="0"/>
        <w:pageBreakBefore w:val="0"/>
        <w:widowControl w:val="0"/>
        <w:kinsoku/>
        <w:wordWrap/>
        <w:overflowPunct/>
        <w:topLinePunct w:val="0"/>
        <w:autoSpaceDE/>
        <w:autoSpaceDN/>
        <w:bidi w:val="0"/>
        <w:adjustRightInd w:val="0"/>
        <w:snapToGrid/>
        <w:spacing w:line="400" w:lineRule="exact"/>
        <w:ind w:left="0" w:firstLine="482" w:firstLineChars="200"/>
        <w:textAlignment w:val="auto"/>
        <w:rPr>
          <w:rFonts w:hint="eastAsia" w:ascii="仿宋" w:hAnsi="仿宋" w:eastAsia="仿宋" w:cs="仿宋"/>
          <w:b/>
          <w:color w:val="FF0000"/>
          <w:sz w:val="24"/>
          <w:szCs w:val="24"/>
          <w:lang w:val="en-US" w:eastAsia="zh-CN"/>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最高限价（元）：</w:t>
      </w:r>
      <w:r>
        <w:rPr>
          <w:rFonts w:hint="eastAsia" w:ascii="仿宋" w:hAnsi="仿宋" w:eastAsia="仿宋" w:cs="仿宋"/>
          <w:b/>
          <w:color w:val="FF0000"/>
          <w:sz w:val="24"/>
          <w:szCs w:val="24"/>
          <w:lang w:val="en-US" w:eastAsia="zh-CN"/>
        </w:rPr>
        <w:t>950000（其中一期420000，二期530000）</w:t>
      </w:r>
    </w:p>
    <w:p w14:paraId="7CE2886C">
      <w:pPr>
        <w:keepNext w:val="0"/>
        <w:keepLines w:val="0"/>
        <w:pageBreakBefore w:val="0"/>
        <w:widowControl w:val="0"/>
        <w:kinsoku/>
        <w:wordWrap/>
        <w:overflowPunct/>
        <w:topLinePunct w:val="0"/>
        <w:autoSpaceDE/>
        <w:autoSpaceDN/>
        <w:bidi w:val="0"/>
        <w:adjustRightInd w:val="0"/>
        <w:snapToGrid/>
        <w:spacing w:line="400" w:lineRule="exact"/>
        <w:ind w:lef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52"/>
        <w:gridCol w:w="765"/>
        <w:gridCol w:w="822"/>
        <w:gridCol w:w="1574"/>
        <w:gridCol w:w="3132"/>
      </w:tblGrid>
      <w:tr w14:paraId="2A7D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5FA41FEC">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序号</w:t>
            </w:r>
          </w:p>
        </w:tc>
        <w:tc>
          <w:tcPr>
            <w:tcW w:w="1920" w:type="dxa"/>
            <w:vAlign w:val="center"/>
          </w:tcPr>
          <w:p w14:paraId="4FC043F3">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采购内容</w:t>
            </w:r>
          </w:p>
        </w:tc>
        <w:tc>
          <w:tcPr>
            <w:tcW w:w="780" w:type="dxa"/>
            <w:vAlign w:val="center"/>
          </w:tcPr>
          <w:p w14:paraId="659D9D3E">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数量</w:t>
            </w:r>
          </w:p>
        </w:tc>
        <w:tc>
          <w:tcPr>
            <w:tcW w:w="840" w:type="dxa"/>
            <w:vAlign w:val="center"/>
          </w:tcPr>
          <w:p w14:paraId="353E170A">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单位</w:t>
            </w:r>
          </w:p>
        </w:tc>
        <w:tc>
          <w:tcPr>
            <w:tcW w:w="1605" w:type="dxa"/>
            <w:vAlign w:val="center"/>
          </w:tcPr>
          <w:p w14:paraId="1BA80BE7">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预算价（元）</w:t>
            </w:r>
          </w:p>
        </w:tc>
        <w:tc>
          <w:tcPr>
            <w:tcW w:w="3251" w:type="dxa"/>
            <w:vAlign w:val="center"/>
          </w:tcPr>
          <w:p w14:paraId="7D01B00F">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简要技术要求、用途</w:t>
            </w:r>
          </w:p>
        </w:tc>
      </w:tr>
      <w:tr w14:paraId="38CC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483E7F2E">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w:t>
            </w:r>
          </w:p>
        </w:tc>
        <w:tc>
          <w:tcPr>
            <w:tcW w:w="1920" w:type="dxa"/>
            <w:vAlign w:val="center"/>
          </w:tcPr>
          <w:p w14:paraId="1FDBD39F">
            <w:pPr>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电梯采购及</w:t>
            </w:r>
          </w:p>
          <w:p w14:paraId="7270887B">
            <w:pPr>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安装</w:t>
            </w:r>
          </w:p>
        </w:tc>
        <w:tc>
          <w:tcPr>
            <w:tcW w:w="780" w:type="dxa"/>
            <w:vAlign w:val="center"/>
          </w:tcPr>
          <w:p w14:paraId="37F03270">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5</w:t>
            </w:r>
          </w:p>
        </w:tc>
        <w:tc>
          <w:tcPr>
            <w:tcW w:w="840" w:type="dxa"/>
            <w:vAlign w:val="center"/>
          </w:tcPr>
          <w:p w14:paraId="5104937A">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台</w:t>
            </w:r>
          </w:p>
        </w:tc>
        <w:tc>
          <w:tcPr>
            <w:tcW w:w="1605" w:type="dxa"/>
            <w:vAlign w:val="center"/>
          </w:tcPr>
          <w:p w14:paraId="12E205E9">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bCs w:val="0"/>
                <w:color w:val="FF0000"/>
                <w:kern w:val="2"/>
                <w:sz w:val="24"/>
                <w:szCs w:val="24"/>
                <w:lang w:val="en-US" w:eastAsia="zh-CN" w:bidi="ar-SA"/>
              </w:rPr>
            </w:pPr>
            <w:r>
              <w:rPr>
                <w:rFonts w:hint="eastAsia" w:ascii="仿宋" w:hAnsi="仿宋" w:eastAsia="仿宋" w:cs="仿宋"/>
                <w:b/>
                <w:bCs w:val="0"/>
                <w:color w:val="FF0000"/>
                <w:kern w:val="2"/>
                <w:sz w:val="24"/>
                <w:szCs w:val="24"/>
                <w:lang w:val="en-US" w:eastAsia="zh-CN" w:bidi="ar-SA"/>
              </w:rPr>
              <w:t>950000</w:t>
            </w:r>
          </w:p>
          <w:p w14:paraId="1AD3E80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lang w:val="en-US" w:eastAsia="zh-CN"/>
              </w:rPr>
            </w:pPr>
            <w:r>
              <w:rPr>
                <w:rFonts w:hint="eastAsia" w:ascii="仿宋" w:hAnsi="仿宋" w:eastAsia="仿宋" w:cs="仿宋"/>
                <w:b/>
                <w:color w:val="FF0000"/>
                <w:sz w:val="24"/>
                <w:szCs w:val="24"/>
                <w:lang w:val="en-US" w:eastAsia="zh-CN"/>
              </w:rPr>
              <w:t>一期420000二期530000</w:t>
            </w:r>
          </w:p>
        </w:tc>
        <w:tc>
          <w:tcPr>
            <w:tcW w:w="3251" w:type="dxa"/>
            <w:vAlign w:val="center"/>
          </w:tcPr>
          <w:p w14:paraId="689AAFF2">
            <w:pPr>
              <w:pStyle w:val="79"/>
              <w:keepNext/>
              <w:keepLines/>
              <w:pageBreakBefore w:val="0"/>
              <w:widowControl w:val="0"/>
              <w:kinsoku/>
              <w:wordWrap/>
              <w:overflowPunct/>
              <w:topLinePunct w:val="0"/>
              <w:autoSpaceDE/>
              <w:autoSpaceDN/>
              <w:bidi w:val="0"/>
              <w:adjustRightInd w:val="0"/>
              <w:snapToGrid/>
              <w:spacing w:before="0" w:beforeLines="50" w:after="0" w:afterLines="50" w:line="240" w:lineRule="auto"/>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详见采购需求</w:t>
            </w:r>
          </w:p>
        </w:tc>
      </w:tr>
      <w:tr w14:paraId="5B6E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6"/>
          </w:tcPr>
          <w:p w14:paraId="17558302">
            <w:pPr>
              <w:pStyle w:val="79"/>
              <w:keepNext/>
              <w:keepLines/>
              <w:pageBreakBefore w:val="0"/>
              <w:widowControl w:val="0"/>
              <w:kinsoku/>
              <w:wordWrap/>
              <w:overflowPunct/>
              <w:topLinePunct w:val="0"/>
              <w:autoSpaceDE/>
              <w:autoSpaceDN/>
              <w:bidi w:val="0"/>
              <w:adjustRightInd w:val="0"/>
              <w:snapToGrid/>
              <w:spacing w:before="0" w:after="0" w:line="400" w:lineRule="exact"/>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备注：</w:t>
            </w:r>
            <w:r>
              <w:rPr>
                <w:rFonts w:hint="eastAsia" w:ascii="仿宋" w:hAnsi="仿宋" w:eastAsia="仿宋" w:cs="仿宋"/>
                <w:b/>
                <w:bCs w:val="0"/>
                <w:color w:val="FF0000"/>
                <w:sz w:val="24"/>
                <w:szCs w:val="24"/>
                <w:highlight w:val="none"/>
              </w:rPr>
              <w:t>风险控制价为</w:t>
            </w:r>
            <w:r>
              <w:rPr>
                <w:rFonts w:hint="eastAsia" w:ascii="仿宋" w:hAnsi="仿宋" w:eastAsia="仿宋" w:cs="仿宋"/>
                <w:b/>
                <w:bCs w:val="0"/>
                <w:color w:val="FF0000"/>
                <w:sz w:val="24"/>
                <w:szCs w:val="24"/>
                <w:highlight w:val="none"/>
                <w:lang w:val="en-US" w:eastAsia="zh-CN"/>
              </w:rPr>
              <w:t>760000</w:t>
            </w:r>
            <w:r>
              <w:rPr>
                <w:rFonts w:hint="eastAsia" w:ascii="仿宋" w:hAnsi="仿宋" w:eastAsia="仿宋" w:cs="仿宋"/>
                <w:b/>
                <w:bCs w:val="0"/>
                <w:color w:val="FF0000"/>
                <w:sz w:val="24"/>
                <w:szCs w:val="24"/>
                <w:highlight w:val="none"/>
              </w:rPr>
              <w:t>元</w:t>
            </w:r>
            <w:r>
              <w:rPr>
                <w:rFonts w:hint="eastAsia" w:ascii="仿宋" w:hAnsi="仿宋" w:eastAsia="仿宋" w:cs="仿宋"/>
                <w:b/>
                <w:bCs w:val="0"/>
                <w:color w:val="FF0000"/>
                <w:sz w:val="24"/>
                <w:szCs w:val="24"/>
                <w:highlight w:val="none"/>
                <w:lang w:eastAsia="zh-CN"/>
              </w:rPr>
              <w:t>（</w:t>
            </w:r>
            <w:r>
              <w:rPr>
                <w:rFonts w:hint="eastAsia" w:ascii="仿宋" w:hAnsi="仿宋" w:eastAsia="仿宋" w:cs="仿宋"/>
                <w:b/>
                <w:bCs w:val="0"/>
                <w:color w:val="FF0000"/>
                <w:sz w:val="24"/>
                <w:szCs w:val="24"/>
                <w:highlight w:val="none"/>
                <w:lang w:val="en-US" w:eastAsia="zh-CN"/>
              </w:rPr>
              <w:t>其中一期336000，二期424000</w:t>
            </w:r>
            <w:r>
              <w:rPr>
                <w:rFonts w:hint="eastAsia" w:ascii="仿宋" w:hAnsi="仿宋" w:eastAsia="仿宋" w:cs="仿宋"/>
                <w:b/>
                <w:bCs w:val="0"/>
                <w:color w:val="FF0000"/>
                <w:sz w:val="24"/>
                <w:szCs w:val="24"/>
                <w:highlight w:val="none"/>
                <w:lang w:eastAsia="zh-CN"/>
              </w:rPr>
              <w:t>）</w:t>
            </w:r>
            <w:r>
              <w:rPr>
                <w:rFonts w:hint="eastAsia" w:ascii="仿宋" w:hAnsi="仿宋" w:eastAsia="仿宋" w:cs="仿宋"/>
                <w:b/>
                <w:bCs w:val="0"/>
                <w:color w:val="auto"/>
                <w:sz w:val="24"/>
                <w:szCs w:val="24"/>
                <w:highlight w:val="none"/>
              </w:rPr>
              <w:t>，风险控制价为预算金额的80%，若中标人低于该风险控制价中标的，在中标后5个工作日内，中标人必须额外补交中标价净值与风险控制价之差额，中标人不提交的视为放弃中标，采购人将重新组织招标，相关损失由放弃中标的中标单位承担（从投标保证金中扣除）。差额保证金待</w:t>
            </w:r>
            <w:r>
              <w:rPr>
                <w:rFonts w:hint="eastAsia" w:ascii="仿宋" w:hAnsi="仿宋" w:eastAsia="仿宋" w:cs="仿宋"/>
                <w:b/>
                <w:bCs w:val="0"/>
                <w:color w:val="auto"/>
                <w:sz w:val="24"/>
                <w:szCs w:val="24"/>
                <w:highlight w:val="none"/>
                <w:lang w:val="en-US" w:eastAsia="zh-CN"/>
              </w:rPr>
              <w:t>质保期满无相关违约及安全责任等情形</w:t>
            </w:r>
            <w:r>
              <w:rPr>
                <w:rFonts w:hint="eastAsia" w:ascii="仿宋" w:hAnsi="仿宋" w:eastAsia="仿宋" w:cs="仿宋"/>
                <w:b/>
                <w:bCs w:val="0"/>
                <w:color w:val="auto"/>
                <w:sz w:val="24"/>
                <w:szCs w:val="24"/>
                <w:highlight w:val="none"/>
              </w:rPr>
              <w:t>后30日内无息退还。</w:t>
            </w:r>
            <w:r>
              <w:rPr>
                <w:rFonts w:hint="eastAsia" w:ascii="仿宋" w:hAnsi="仿宋" w:eastAsia="仿宋" w:cs="仿宋"/>
                <w:b/>
                <w:bCs w:val="0"/>
                <w:color w:val="auto"/>
                <w:sz w:val="24"/>
                <w:szCs w:val="24"/>
                <w:lang w:val="en-US" w:eastAsia="zh-CN"/>
              </w:rPr>
              <w:t>差额</w:t>
            </w:r>
            <w:r>
              <w:rPr>
                <w:rFonts w:hint="eastAsia" w:ascii="仿宋" w:hAnsi="仿宋" w:eastAsia="仿宋" w:cs="仿宋"/>
                <w:b/>
                <w:bCs w:val="0"/>
                <w:color w:val="auto"/>
                <w:sz w:val="24"/>
                <w:szCs w:val="24"/>
                <w:lang w:val="zh-CN"/>
              </w:rPr>
              <w:t>保证金的交付方式：以现金、电汇、转账方式交纳</w:t>
            </w:r>
            <w:r>
              <w:rPr>
                <w:rFonts w:hint="eastAsia" w:ascii="仿宋" w:hAnsi="仿宋" w:eastAsia="仿宋" w:cs="仿宋"/>
                <w:b/>
                <w:bCs w:val="0"/>
                <w:color w:val="auto"/>
                <w:sz w:val="24"/>
                <w:szCs w:val="24"/>
                <w:lang w:val="zh-CN" w:eastAsia="zh-CN"/>
              </w:rPr>
              <w:t>。</w:t>
            </w:r>
          </w:p>
        </w:tc>
      </w:tr>
    </w:tbl>
    <w:p w14:paraId="257A9D85">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u w:val="single"/>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合同履行期限</w:t>
      </w:r>
      <w:r>
        <w:rPr>
          <w:rFonts w:hint="eastAsia" w:ascii="仿宋" w:hAnsi="仿宋" w:eastAsia="仿宋" w:cs="仿宋"/>
          <w:color w:val="auto"/>
          <w:sz w:val="24"/>
          <w:szCs w:val="24"/>
        </w:rPr>
        <w:t>：</w:t>
      </w:r>
      <w:r>
        <w:rPr>
          <w:rFonts w:hint="eastAsia" w:ascii="仿宋" w:hAnsi="仿宋" w:eastAsia="仿宋" w:cs="仿宋"/>
          <w:b w:val="0"/>
          <w:bCs/>
          <w:color w:val="auto"/>
          <w:sz w:val="24"/>
          <w:szCs w:val="24"/>
          <w:lang w:eastAsia="zh-CN"/>
        </w:rPr>
        <w:t>详见</w:t>
      </w:r>
      <w:r>
        <w:rPr>
          <w:rFonts w:hint="eastAsia" w:ascii="仿宋" w:hAnsi="仿宋" w:eastAsia="仿宋" w:cs="仿宋"/>
          <w:b w:val="0"/>
          <w:bCs/>
          <w:color w:val="auto"/>
          <w:sz w:val="24"/>
          <w:szCs w:val="24"/>
        </w:rPr>
        <w:t>招标文件</w:t>
      </w:r>
    </w:p>
    <w:p w14:paraId="273C0D26">
      <w:pPr>
        <w:keepNext w:val="0"/>
        <w:keepLines w:val="0"/>
        <w:pageBreakBefore w:val="0"/>
        <w:widowControl w:val="0"/>
        <w:kinsoku/>
        <w:wordWrap/>
        <w:overflowPunct/>
        <w:topLinePunct w:val="0"/>
        <w:autoSpaceDE/>
        <w:autoSpaceDN/>
        <w:bidi w:val="0"/>
        <w:spacing w:line="420" w:lineRule="exact"/>
        <w:ind w:lef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8"/>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szCs w:val="24"/>
          </w:rPr>
        </w:sdtEndPr>
        <w:sdtContent>
          <w:r>
            <w:rPr>
              <w:rFonts w:hint="eastAsia" w:ascii="仿宋" w:hAnsi="仿宋"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sz w:val="24"/>
          <w:szCs w:val="24"/>
        </w:rPr>
        <w:t>是，</w:t>
      </w:r>
      <w:sdt>
        <w:sdtPr>
          <w:rPr>
            <w:rFonts w:hint="eastAsia" w:ascii="仿宋" w:hAnsi="仿宋" w:eastAsia="仿宋" w:cs="仿宋"/>
            <w:b w:val="0"/>
            <w:bCs w:val="0"/>
            <w:color w:val="auto"/>
            <w:kern w:val="0"/>
            <w:sz w:val="24"/>
            <w:szCs w:val="24"/>
          </w:rPr>
          <w:id w:val="14746621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szCs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sz w:val="24"/>
          <w:szCs w:val="24"/>
        </w:rPr>
        <w:t>否。</w:t>
      </w:r>
    </w:p>
    <w:p w14:paraId="59A5DFBC">
      <w:pPr>
        <w:pageBreakBefore w:val="0"/>
        <w:widowControl w:val="0"/>
        <w:kinsoku/>
        <w:wordWrap/>
        <w:overflowPunct/>
        <w:topLinePunct w:val="0"/>
        <w:bidi w:val="0"/>
        <w:spacing w:line="42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5CED184E">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1.具有独立承担民事责任的能力；</w:t>
      </w:r>
    </w:p>
    <w:p w14:paraId="6E940B3E">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2.具有良好的商业信誉；</w:t>
      </w:r>
    </w:p>
    <w:p w14:paraId="0C150AB8">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3.具有履行合同所必需的设备和专业技术，售后保障等能力；</w:t>
      </w:r>
    </w:p>
    <w:p w14:paraId="15C05D05">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4.有依法缴纳税收和社会保障资金的良好记录；</w:t>
      </w:r>
    </w:p>
    <w:p w14:paraId="1CC9F2BE">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5.参加采购活动前三年内，没有重大违法记录，严重失信行为和行贿记录；</w:t>
      </w:r>
    </w:p>
    <w:p w14:paraId="7F7DADCF">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6.法律、行政法规规定的其他条件；</w:t>
      </w:r>
    </w:p>
    <w:p w14:paraId="0CC796B6">
      <w:pPr>
        <w:pStyle w:val="23"/>
        <w:keepNext w:val="0"/>
        <w:keepLines w:val="0"/>
        <w:pageBreakBefore w:val="0"/>
        <w:widowControl w:val="0"/>
        <w:kinsoku/>
        <w:wordWrap/>
        <w:overflowPunct/>
        <w:topLinePunct w:val="0"/>
        <w:autoSpaceDE/>
        <w:autoSpaceDN/>
        <w:bidi w:val="0"/>
        <w:adjustRightInd w:val="0"/>
        <w:snapToGrid/>
        <w:spacing w:before="0" w:beforeAutospacing="0" w:after="0" w:line="420" w:lineRule="exact"/>
        <w:ind w:firstLine="480" w:firstLineChars="200"/>
        <w:textAlignment w:val="auto"/>
        <w:outlineLvl w:val="9"/>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7.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752BF926">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b w:val="0"/>
          <w:bCs/>
          <w:snapToGrid/>
          <w:color w:val="auto"/>
          <w:kern w:val="2"/>
          <w:sz w:val="24"/>
          <w:szCs w:val="24"/>
          <w:lang w:val="en-US" w:eastAsia="zh-CN" w:bidi="ar-SA"/>
        </w:rPr>
      </w:pPr>
      <w:r>
        <w:rPr>
          <w:rFonts w:hint="eastAsia" w:ascii="仿宋" w:hAnsi="仿宋" w:eastAsia="仿宋" w:cs="仿宋"/>
          <w:b w:val="0"/>
          <w:bCs/>
          <w:snapToGrid/>
          <w:color w:val="auto"/>
          <w:kern w:val="2"/>
          <w:sz w:val="24"/>
          <w:szCs w:val="24"/>
          <w:lang w:val="en-US" w:eastAsia="zh-CN" w:bidi="ar-SA"/>
        </w:rPr>
        <w:t>8.本项目的特定资格要求：</w:t>
      </w:r>
    </w:p>
    <w:p w14:paraId="55556E4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（1）本项目投标人</w:t>
      </w:r>
      <w:r>
        <w:rPr>
          <w:rFonts w:hint="eastAsia" w:ascii="仿宋" w:hAnsi="仿宋" w:eastAsia="仿宋" w:cs="仿宋"/>
          <w:color w:val="auto"/>
          <w:sz w:val="24"/>
          <w:highlight w:val="none"/>
          <w:lang w:val="en-US" w:eastAsia="zh-CN"/>
        </w:rPr>
        <w:t>若</w:t>
      </w:r>
      <w:r>
        <w:rPr>
          <w:rFonts w:hint="eastAsia" w:ascii="仿宋" w:hAnsi="仿宋" w:eastAsia="仿宋" w:cs="仿宋"/>
          <w:color w:val="auto"/>
          <w:sz w:val="24"/>
          <w:highlight w:val="none"/>
        </w:rPr>
        <w:t>为电梯制造商须具有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《中华人民共和国特种设备制造许可证》(电梯)B级及以上和《中华人民共和国特种设备安装改造维修许可证》(电梯)B级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或新版《中华人民共和国特种设备生产许可证》(电梯制造(含安装、修理、改造)曳引驱动乘客电梯，证书须在有效期内</w:t>
      </w:r>
      <w:r>
        <w:rPr>
          <w:rFonts w:hint="eastAsia" w:ascii="仿宋" w:hAnsi="仿宋" w:eastAsia="仿宋" w:cs="仿宋"/>
          <w:color w:val="auto"/>
          <w:sz w:val="24"/>
          <w:highlight w:val="none"/>
          <w:lang w:eastAsia="zh-CN"/>
        </w:rPr>
        <w:t>。</w:t>
      </w:r>
    </w:p>
    <w:p w14:paraId="2F6B052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（2）本项目投标人</w:t>
      </w:r>
      <w:r>
        <w:rPr>
          <w:rFonts w:hint="eastAsia" w:ascii="仿宋" w:hAnsi="仿宋" w:eastAsia="仿宋" w:cs="仿宋"/>
          <w:color w:val="auto"/>
          <w:sz w:val="24"/>
          <w:highlight w:val="none"/>
          <w:lang w:val="en-US" w:eastAsia="zh-CN"/>
        </w:rPr>
        <w:t>若</w:t>
      </w:r>
      <w:r>
        <w:rPr>
          <w:rFonts w:hint="eastAsia" w:ascii="仿宋" w:hAnsi="仿宋" w:eastAsia="仿宋" w:cs="仿宋"/>
          <w:color w:val="auto"/>
          <w:sz w:val="24"/>
          <w:highlight w:val="none"/>
        </w:rPr>
        <w:t>为电梯经销商(代理商)的须具有</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其经销(代理)电梯制造商的《中华人民共和国特种设备制造许可证》(电梯)B级及以上和《中华人民共和国特种设备安装改造维修许可证》(电梯)B级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或新版《中华人民共和国特种设备生产许可证》(电梯制造(含安装、修理、改造)曳引驱动乘客电梯，证书须在有效期内。②投标人的《中华人民共和国特种设备安装改造维修许可证》(电梯)B级及以上或新版《中华人民共和国特种设备生产许可证》（电梯安装（含修理））曳引驱动乘客电梯，证书须在有效期内。</w:t>
      </w:r>
    </w:p>
    <w:p w14:paraId="02228D03">
      <w:pPr>
        <w:pageBreakBefore w:val="0"/>
        <w:widowControl w:val="0"/>
        <w:kinsoku/>
        <w:wordWrap/>
        <w:overflowPunct/>
        <w:topLinePunct w:val="0"/>
        <w:bidi w:val="0"/>
        <w:spacing w:line="42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三、获取招标文件</w:t>
      </w:r>
    </w:p>
    <w:p w14:paraId="3B45373D">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时间：</w:t>
      </w:r>
      <w:r>
        <w:rPr>
          <w:rFonts w:hint="eastAsia" w:ascii="仿宋" w:hAnsi="仿宋" w:eastAsia="仿宋" w:cs="仿宋"/>
          <w:color w:val="auto"/>
          <w:sz w:val="24"/>
          <w:szCs w:val="24"/>
        </w:rPr>
        <w:t>/至</w:t>
      </w:r>
      <w:r>
        <w:rPr>
          <w:rFonts w:hint="eastAsia" w:ascii="仿宋" w:hAnsi="仿宋" w:eastAsia="仿宋" w:cs="仿宋"/>
          <w:color w:val="FF0000"/>
          <w:sz w:val="24"/>
          <w:szCs w:val="24"/>
          <w:u w:val="single"/>
          <w:lang w:val="en-US" w:eastAsia="zh-CN"/>
        </w:rPr>
        <w:t>2024</w:t>
      </w:r>
      <w:r>
        <w:rPr>
          <w:rFonts w:hint="eastAsia" w:ascii="仿宋" w:hAnsi="仿宋" w:eastAsia="仿宋" w:cs="仿宋"/>
          <w:color w:val="FF0000"/>
          <w:sz w:val="24"/>
          <w:szCs w:val="24"/>
          <w:u w:val="single"/>
        </w:rPr>
        <w:t>年</w:t>
      </w:r>
      <w:r>
        <w:rPr>
          <w:rFonts w:hint="eastAsia" w:ascii="仿宋" w:hAnsi="仿宋" w:eastAsia="仿宋" w:cs="仿宋"/>
          <w:color w:val="FF0000"/>
          <w:sz w:val="24"/>
          <w:szCs w:val="24"/>
          <w:u w:val="single"/>
          <w:lang w:val="en-US" w:eastAsia="zh-CN"/>
        </w:rPr>
        <w:t>12</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19</w:t>
      </w:r>
      <w:r>
        <w:rPr>
          <w:rFonts w:hint="eastAsia" w:ascii="仿宋" w:hAnsi="仿宋" w:eastAsia="仿宋" w:cs="仿宋"/>
          <w:color w:val="FF0000"/>
          <w:sz w:val="24"/>
          <w:szCs w:val="24"/>
          <w:u w:val="single"/>
        </w:rPr>
        <w:t>日</w:t>
      </w:r>
      <w:r>
        <w:rPr>
          <w:rFonts w:hint="eastAsia" w:ascii="仿宋" w:hAnsi="仿宋" w:eastAsia="仿宋" w:cs="仿宋"/>
          <w:color w:val="auto"/>
          <w:sz w:val="24"/>
          <w:szCs w:val="24"/>
        </w:rPr>
        <w:t>，每天上午00:00至12:00 ，下午12:00至23:59（北京时间，线上获取法定节假日均可，线下获取文件法定节假日除外）</w:t>
      </w:r>
    </w:p>
    <w:p w14:paraId="1AEBC8E6">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地点（网址）：</w:t>
      </w:r>
      <w:r>
        <w:rPr>
          <w:rFonts w:hint="eastAsia" w:ascii="仿宋" w:hAnsi="仿宋" w:eastAsia="仿宋" w:cs="仿宋"/>
          <w:color w:val="auto"/>
          <w:sz w:val="24"/>
          <w:szCs w:val="24"/>
        </w:rPr>
        <w:t xml:space="preserve">乐采云平台（https://www.lecaiyun.com/） </w:t>
      </w:r>
    </w:p>
    <w:p w14:paraId="654F6962">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方式：</w:t>
      </w:r>
      <w:r>
        <w:rPr>
          <w:rFonts w:hint="eastAsia" w:ascii="仿宋" w:hAnsi="仿宋" w:eastAsia="仿宋" w:cs="仿宋"/>
          <w:color w:val="auto"/>
          <w:sz w:val="24"/>
          <w:szCs w:val="24"/>
        </w:rPr>
        <w:t xml:space="preserve">供应商登录乐采云平台https://www.lecaiyun.com/在线申请获取采购文件（进入“项目采购”应用，在获取采购文件菜单中选择项目，申请获取采购文件）。 </w:t>
      </w:r>
    </w:p>
    <w:p w14:paraId="113B738D">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售价（元）：</w:t>
      </w:r>
      <w:r>
        <w:rPr>
          <w:rFonts w:hint="eastAsia" w:ascii="仿宋" w:hAnsi="仿宋" w:eastAsia="仿宋" w:cs="仿宋"/>
          <w:color w:val="auto"/>
          <w:sz w:val="24"/>
          <w:szCs w:val="24"/>
        </w:rPr>
        <w:t xml:space="preserve">0 </w:t>
      </w:r>
      <w:r>
        <w:rPr>
          <w:rFonts w:hint="eastAsia" w:ascii="仿宋" w:hAnsi="仿宋" w:eastAsia="仿宋" w:cs="仿宋"/>
          <w:color w:val="auto"/>
          <w:sz w:val="24"/>
          <w:szCs w:val="24"/>
        </w:rPr>
        <w:tab/>
      </w:r>
    </w:p>
    <w:p w14:paraId="12982774">
      <w:pPr>
        <w:pageBreakBefore w:val="0"/>
        <w:widowControl w:val="0"/>
        <w:kinsoku/>
        <w:wordWrap/>
        <w:overflowPunct/>
        <w:topLinePunct w:val="0"/>
        <w:bidi w:val="0"/>
        <w:spacing w:line="42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四、提交投标文件截止时间、开标时间和地点</w:t>
      </w:r>
    </w:p>
    <w:p w14:paraId="7A7F66A5">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提交投标文件截止时间：</w:t>
      </w:r>
      <w:r>
        <w:rPr>
          <w:rFonts w:hint="eastAsia" w:ascii="仿宋" w:hAnsi="仿宋" w:eastAsia="仿宋" w:cs="仿宋"/>
          <w:b w:val="0"/>
          <w:bCs/>
          <w:color w:val="FF0000"/>
          <w:sz w:val="24"/>
          <w:szCs w:val="24"/>
          <w:u w:val="single"/>
          <w:lang w:val="en-US" w:eastAsia="zh-CN"/>
        </w:rPr>
        <w:t>2024</w:t>
      </w:r>
      <w:r>
        <w:rPr>
          <w:rFonts w:hint="eastAsia" w:ascii="仿宋" w:hAnsi="仿宋" w:eastAsia="仿宋" w:cs="仿宋"/>
          <w:color w:val="FF0000"/>
          <w:sz w:val="24"/>
          <w:szCs w:val="24"/>
          <w:u w:val="single"/>
        </w:rPr>
        <w:t>年</w:t>
      </w:r>
      <w:r>
        <w:rPr>
          <w:rFonts w:hint="eastAsia" w:ascii="仿宋" w:hAnsi="仿宋" w:eastAsia="仿宋" w:cs="仿宋"/>
          <w:color w:val="FF0000"/>
          <w:sz w:val="24"/>
          <w:szCs w:val="24"/>
          <w:u w:val="single"/>
          <w:lang w:val="en-US" w:eastAsia="zh-CN"/>
        </w:rPr>
        <w:t>12</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19</w:t>
      </w:r>
      <w:r>
        <w:rPr>
          <w:rFonts w:hint="eastAsia" w:ascii="仿宋" w:hAnsi="仿宋" w:eastAsia="仿宋" w:cs="仿宋"/>
          <w:color w:val="FF0000"/>
          <w:sz w:val="24"/>
          <w:szCs w:val="24"/>
          <w:u w:val="single"/>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分00秒</w:t>
      </w:r>
      <w:r>
        <w:rPr>
          <w:rFonts w:hint="eastAsia" w:ascii="仿宋" w:hAnsi="仿宋" w:eastAsia="仿宋" w:cs="仿宋"/>
          <w:color w:val="auto"/>
          <w:sz w:val="24"/>
          <w:szCs w:val="24"/>
        </w:rPr>
        <w:t>（北京时间）</w:t>
      </w:r>
    </w:p>
    <w:p w14:paraId="0630C4D3">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投标地点（网址）：</w:t>
      </w:r>
      <w:r>
        <w:rPr>
          <w:rFonts w:hint="eastAsia" w:ascii="仿宋" w:hAnsi="仿宋" w:eastAsia="仿宋" w:cs="仿宋"/>
          <w:color w:val="auto"/>
          <w:sz w:val="24"/>
          <w:szCs w:val="24"/>
        </w:rPr>
        <w:t xml:space="preserve">乐采云平台（https://www.lecaiyun.com/） </w:t>
      </w:r>
    </w:p>
    <w:p w14:paraId="0A52AF10">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bCs/>
          <w:color w:val="auto"/>
          <w:sz w:val="24"/>
          <w:szCs w:val="24"/>
          <w:u w:val="single"/>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开标时间：</w:t>
      </w:r>
      <w:r>
        <w:rPr>
          <w:rFonts w:hint="eastAsia" w:ascii="仿宋" w:hAnsi="仿宋" w:eastAsia="仿宋" w:cs="仿宋"/>
          <w:color w:val="auto"/>
          <w:sz w:val="24"/>
          <w:szCs w:val="24"/>
          <w:u w:val="single"/>
        </w:rPr>
        <w:t xml:space="preserve"> </w:t>
      </w:r>
      <w:r>
        <w:rPr>
          <w:rFonts w:hint="eastAsia" w:ascii="仿宋" w:hAnsi="仿宋" w:eastAsia="仿宋" w:cs="仿宋"/>
          <w:color w:val="FF0000"/>
          <w:sz w:val="24"/>
          <w:szCs w:val="24"/>
          <w:u w:val="single"/>
          <w:lang w:val="en-US" w:eastAsia="zh-CN"/>
        </w:rPr>
        <w:t>2024</w:t>
      </w:r>
      <w:r>
        <w:rPr>
          <w:rFonts w:hint="eastAsia" w:ascii="仿宋" w:hAnsi="仿宋" w:eastAsia="仿宋" w:cs="仿宋"/>
          <w:color w:val="FF0000"/>
          <w:sz w:val="24"/>
          <w:szCs w:val="24"/>
          <w:u w:val="single"/>
        </w:rPr>
        <w:t>年</w:t>
      </w:r>
      <w:r>
        <w:rPr>
          <w:rFonts w:hint="eastAsia" w:ascii="仿宋" w:hAnsi="仿宋" w:eastAsia="仿宋" w:cs="仿宋"/>
          <w:color w:val="FF0000"/>
          <w:sz w:val="24"/>
          <w:szCs w:val="24"/>
          <w:u w:val="single"/>
          <w:lang w:val="en-US" w:eastAsia="zh-CN"/>
        </w:rPr>
        <w:t>12</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19</w:t>
      </w:r>
      <w:r>
        <w:rPr>
          <w:rFonts w:hint="eastAsia" w:ascii="仿宋" w:hAnsi="仿宋" w:eastAsia="仿宋" w:cs="仿宋"/>
          <w:color w:val="FF0000"/>
          <w:sz w:val="24"/>
          <w:szCs w:val="24"/>
          <w:u w:val="single"/>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分00秒</w:t>
      </w:r>
    </w:p>
    <w:p w14:paraId="7ADE573B">
      <w:pPr>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开标地点（网址）：</w:t>
      </w:r>
      <w:r>
        <w:rPr>
          <w:rFonts w:hint="eastAsia" w:ascii="仿宋" w:hAnsi="仿宋" w:eastAsia="仿宋" w:cs="仿宋"/>
          <w:color w:val="auto"/>
          <w:sz w:val="24"/>
          <w:szCs w:val="24"/>
        </w:rPr>
        <w:t>乐采云平台（https://www.lecaiyun.com/）</w:t>
      </w:r>
    </w:p>
    <w:p w14:paraId="250CC2C1">
      <w:pPr>
        <w:keepNext w:val="0"/>
        <w:keepLines w:val="0"/>
        <w:pageBreakBefore w:val="0"/>
        <w:widowControl w:val="0"/>
        <w:kinsoku/>
        <w:wordWrap/>
        <w:overflowPunct/>
        <w:topLinePunct w:val="0"/>
        <w:autoSpaceDE/>
        <w:autoSpaceDN/>
        <w:bidi w:val="0"/>
        <w:adjustRightInd w:val="0"/>
        <w:spacing w:line="420" w:lineRule="exact"/>
        <w:ind w:left="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五、投标保证金</w:t>
      </w:r>
    </w:p>
    <w:p w14:paraId="79D889B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投标保证金：人民币15000元（</w:t>
      </w:r>
      <w:r>
        <w:rPr>
          <w:rFonts w:hint="eastAsia" w:ascii="仿宋" w:hAnsi="仿宋" w:eastAsia="仿宋" w:cs="仿宋"/>
          <w:color w:val="auto"/>
          <w:spacing w:val="0"/>
          <w:kern w:val="2"/>
          <w:sz w:val="24"/>
          <w:szCs w:val="24"/>
          <w:highlight w:val="none"/>
          <w:lang w:val="en-US" w:eastAsia="zh-CN" w:bidi="ar-SA"/>
        </w:rPr>
        <w:fldChar w:fldCharType="begin"/>
      </w:r>
      <w:r>
        <w:rPr>
          <w:rFonts w:hint="eastAsia" w:ascii="仿宋" w:hAnsi="仿宋" w:eastAsia="仿宋" w:cs="仿宋"/>
          <w:color w:val="auto"/>
          <w:spacing w:val="0"/>
          <w:kern w:val="2"/>
          <w:sz w:val="24"/>
          <w:szCs w:val="24"/>
          <w:highlight w:val="none"/>
          <w:lang w:val="en-US" w:eastAsia="zh-CN" w:bidi="ar-SA"/>
        </w:rPr>
        <w:instrText xml:space="preserve"> = 15000 \* CHINESENUM4 \* MERGEFORMAT </w:instrText>
      </w:r>
      <w:r>
        <w:rPr>
          <w:rFonts w:hint="eastAsia" w:ascii="仿宋" w:hAnsi="仿宋" w:eastAsia="仿宋" w:cs="仿宋"/>
          <w:color w:val="auto"/>
          <w:spacing w:val="0"/>
          <w:kern w:val="2"/>
          <w:sz w:val="24"/>
          <w:szCs w:val="24"/>
          <w:highlight w:val="none"/>
          <w:lang w:val="en-US" w:eastAsia="zh-CN" w:bidi="ar-SA"/>
        </w:rPr>
        <w:fldChar w:fldCharType="separate"/>
      </w:r>
      <w:r>
        <w:rPr>
          <w:rFonts w:hint="eastAsia" w:ascii="仿宋" w:hAnsi="仿宋" w:eastAsia="仿宋" w:cs="仿宋"/>
          <w:color w:val="auto"/>
          <w:spacing w:val="0"/>
          <w:kern w:val="2"/>
          <w:sz w:val="24"/>
          <w:szCs w:val="24"/>
          <w:highlight w:val="none"/>
          <w:lang w:val="en-US" w:eastAsia="zh-CN" w:bidi="ar-SA"/>
        </w:rPr>
        <w:t>壹万伍仟元整</w:t>
      </w:r>
      <w:r>
        <w:rPr>
          <w:rFonts w:hint="eastAsia" w:ascii="仿宋" w:hAnsi="仿宋" w:eastAsia="仿宋" w:cs="仿宋"/>
          <w:color w:val="auto"/>
          <w:spacing w:val="0"/>
          <w:kern w:val="2"/>
          <w:sz w:val="24"/>
          <w:szCs w:val="24"/>
          <w:highlight w:val="none"/>
          <w:lang w:val="en-US" w:eastAsia="zh-CN" w:bidi="ar-SA"/>
        </w:rPr>
        <w:fldChar w:fldCharType="end"/>
      </w:r>
      <w:r>
        <w:rPr>
          <w:rFonts w:hint="eastAsia" w:ascii="仿宋" w:hAnsi="仿宋" w:eastAsia="仿宋" w:cs="仿宋"/>
          <w:color w:val="auto"/>
          <w:spacing w:val="0"/>
          <w:kern w:val="2"/>
          <w:sz w:val="24"/>
          <w:szCs w:val="24"/>
          <w:highlight w:val="none"/>
          <w:lang w:val="en-US" w:eastAsia="zh-CN" w:bidi="ar-SA"/>
        </w:rPr>
        <w:t xml:space="preserve">）；  </w:t>
      </w:r>
    </w:p>
    <w:p w14:paraId="2F3FDF87">
      <w:pPr>
        <w:keepNext w:val="0"/>
        <w:keepLines w:val="0"/>
        <w:pageBreakBefore w:val="0"/>
        <w:widowControl w:val="0"/>
        <w:kinsoku/>
        <w:wordWrap/>
        <w:overflowPunct/>
        <w:topLinePunct w:val="0"/>
        <w:autoSpaceDE/>
        <w:autoSpaceDN/>
        <w:bidi w:val="0"/>
        <w:adjustRightInd w:val="0"/>
        <w:snapToGrid w:val="0"/>
        <w:spacing w:line="420" w:lineRule="exact"/>
        <w:ind w:firstLine="482"/>
        <w:textAlignment w:val="auto"/>
        <w:rPr>
          <w:rFonts w:hint="eastAsia" w:ascii="仿宋" w:hAnsi="仿宋" w:eastAsia="仿宋" w:cs="仿宋"/>
          <w:b/>
          <w:bCs/>
          <w:color w:val="auto"/>
          <w:sz w:val="24"/>
          <w:szCs w:val="24"/>
        </w:rPr>
      </w:pPr>
      <w:r>
        <w:rPr>
          <w:rFonts w:hint="eastAsia" w:ascii="仿宋" w:hAnsi="仿宋" w:eastAsia="仿宋" w:cs="仿宋"/>
          <w:color w:val="auto"/>
          <w:spacing w:val="0"/>
          <w:kern w:val="2"/>
          <w:sz w:val="24"/>
          <w:szCs w:val="24"/>
          <w:highlight w:val="none"/>
          <w:lang w:val="en-US" w:eastAsia="zh-CN" w:bidi="ar-SA"/>
        </w:rPr>
        <w:t>投标人应于</w:t>
      </w:r>
      <w:r>
        <w:rPr>
          <w:rFonts w:hint="eastAsia" w:ascii="仿宋" w:hAnsi="仿宋" w:eastAsia="仿宋" w:cs="仿宋"/>
          <w:color w:val="FF0000"/>
          <w:spacing w:val="0"/>
          <w:kern w:val="2"/>
          <w:sz w:val="24"/>
          <w:szCs w:val="24"/>
          <w:highlight w:val="none"/>
          <w:lang w:val="en-US" w:eastAsia="zh-CN" w:bidi="ar-SA"/>
        </w:rPr>
        <w:t>2024年12月18日</w:t>
      </w:r>
      <w:r>
        <w:rPr>
          <w:rFonts w:hint="eastAsia" w:ascii="仿宋" w:hAnsi="仿宋" w:eastAsia="仿宋" w:cs="仿宋"/>
          <w:color w:val="auto"/>
          <w:spacing w:val="0"/>
          <w:kern w:val="2"/>
          <w:sz w:val="24"/>
          <w:szCs w:val="24"/>
          <w:highlight w:val="none"/>
          <w:lang w:val="en-US" w:eastAsia="zh-CN" w:bidi="ar-SA"/>
        </w:rPr>
        <w:t>16：00时前将投标保证金以电汇、转账、网上银行交至</w:t>
      </w:r>
      <w:r>
        <w:rPr>
          <w:rFonts w:hint="eastAsia" w:ascii="仿宋" w:hAnsi="仿宋" w:eastAsia="仿宋" w:cs="仿宋"/>
          <w:color w:val="auto"/>
          <w:sz w:val="24"/>
          <w:szCs w:val="24"/>
          <w:lang w:val="zh-CN"/>
        </w:rPr>
        <w:t>东方经纬项目管理有限公司</w:t>
      </w:r>
      <w:r>
        <w:rPr>
          <w:rFonts w:hint="eastAsia" w:ascii="仿宋" w:hAnsi="仿宋" w:eastAsia="仿宋" w:cs="仿宋"/>
          <w:color w:val="auto"/>
          <w:spacing w:val="0"/>
          <w:kern w:val="2"/>
          <w:sz w:val="24"/>
          <w:szCs w:val="24"/>
          <w:highlight w:val="none"/>
          <w:lang w:val="en-US" w:eastAsia="zh-CN" w:bidi="ar-SA"/>
        </w:rPr>
        <w:t>，投标保证金以到账时间为准。</w:t>
      </w:r>
      <w:r>
        <w:rPr>
          <w:rFonts w:hint="eastAsia" w:ascii="仿宋" w:hAnsi="仿宋" w:eastAsia="仿宋" w:cs="仿宋"/>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2DA8883B">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收款单位（户名）：东方经纬项目管理有限公司</w:t>
      </w:r>
      <w:r>
        <w:rPr>
          <w:rFonts w:hint="eastAsia" w:ascii="仿宋" w:hAnsi="仿宋" w:eastAsia="仿宋" w:cs="仿宋"/>
          <w:color w:val="auto"/>
          <w:sz w:val="24"/>
          <w:szCs w:val="24"/>
        </w:rPr>
        <w:t>嵊州分公司</w:t>
      </w:r>
      <w:r>
        <w:rPr>
          <w:rFonts w:hint="eastAsia" w:ascii="仿宋" w:hAnsi="仿宋" w:eastAsia="仿宋" w:cs="仿宋"/>
          <w:color w:val="auto"/>
          <w:sz w:val="24"/>
          <w:szCs w:val="24"/>
          <w:lang w:val="zh-CN"/>
        </w:rPr>
        <w:t> </w:t>
      </w:r>
    </w:p>
    <w:p w14:paraId="219A62C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开</w:t>
      </w:r>
      <w:r>
        <w:rPr>
          <w:rFonts w:hint="eastAsia" w:ascii="仿宋" w:hAnsi="仿宋" w:eastAsia="仿宋" w:cs="仿宋"/>
          <w:color w:val="auto"/>
          <w:sz w:val="24"/>
          <w:szCs w:val="24"/>
        </w:rPr>
        <w:t>户银行</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中国农业银行嵊州临城支行</w:t>
      </w:r>
    </w:p>
    <w:p w14:paraId="7B27E88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账  号：</w:t>
      </w:r>
      <w:r>
        <w:rPr>
          <w:rFonts w:hint="eastAsia" w:ascii="仿宋" w:hAnsi="仿宋" w:eastAsia="仿宋" w:cs="仿宋"/>
          <w:color w:val="auto"/>
          <w:sz w:val="24"/>
          <w:szCs w:val="24"/>
        </w:rPr>
        <w:t>19521401040007551</w:t>
      </w:r>
      <w:r>
        <w:rPr>
          <w:rFonts w:hint="eastAsia" w:ascii="仿宋" w:hAnsi="仿宋" w:eastAsia="仿宋" w:cs="仿宋"/>
          <w:color w:val="auto"/>
          <w:sz w:val="24"/>
          <w:szCs w:val="24"/>
          <w:lang w:val="zh-CN"/>
        </w:rPr>
        <w:t xml:space="preserve"> </w:t>
      </w:r>
    </w:p>
    <w:p w14:paraId="581995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投标保证金的退还：未中标的投标人的投标保证金将在中标通知书发出之日起3个工作日内退还，中标供应商的投标保证金在中标供应商与采购人签订采购合同后5个工作日内退还。</w:t>
      </w:r>
    </w:p>
    <w:p w14:paraId="509EF270">
      <w:pPr>
        <w:pageBreakBefore w:val="0"/>
        <w:widowControl w:val="0"/>
        <w:kinsoku/>
        <w:wordWrap/>
        <w:overflowPunct/>
        <w:topLinePunct w:val="0"/>
        <w:bidi w:val="0"/>
        <w:spacing w:line="420" w:lineRule="exact"/>
        <w:ind w:left="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、公告期限</w:t>
      </w:r>
    </w:p>
    <w:p w14:paraId="33034170">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053CD639">
      <w:pPr>
        <w:pageBreakBefore w:val="0"/>
        <w:widowControl w:val="0"/>
        <w:kinsoku/>
        <w:wordWrap/>
        <w:overflowPunct/>
        <w:topLinePunct w:val="0"/>
        <w:bidi w:val="0"/>
        <w:spacing w:line="42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、其他补充事宜</w:t>
      </w:r>
    </w:p>
    <w:p w14:paraId="67B1B1AA">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4C390752">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70CE9EC6">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其他事项：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w:t>
      </w:r>
      <w:r>
        <w:rPr>
          <w:rFonts w:hint="eastAsia" w:ascii="仿宋" w:hAnsi="仿宋" w:eastAsia="仿宋" w:cs="仿宋"/>
          <w:b/>
          <w:color w:val="auto"/>
          <w:sz w:val="24"/>
          <w:szCs w:val="24"/>
        </w:rPr>
        <w:t>（投标人应特别注意CA锁有效性，CA锁延期、补办后，虽硬件介质不变，但锁的证书Key号发生改变，视为不同锁，会导致开标时无法解密投标文件）</w:t>
      </w:r>
      <w:r>
        <w:rPr>
          <w:rFonts w:hint="eastAsia" w:ascii="仿宋" w:hAnsi="仿宋" w:eastAsia="仿宋" w:cs="仿宋"/>
          <w:color w:val="auto"/>
          <w:sz w:val="24"/>
          <w:szCs w:val="24"/>
        </w:rPr>
        <w:t>，视为投标文件撤回；⑩具体操作指南：详见乐采云平台“服务中心-帮助文档-项目采购-操作流程-电子招投标-政府采购项目电子交易管理操作指南-供应商”。</w:t>
      </w:r>
    </w:p>
    <w:p w14:paraId="6E9F3D96">
      <w:pPr>
        <w:pageBreakBefore w:val="0"/>
        <w:widowControl w:val="0"/>
        <w:kinsoku/>
        <w:wordWrap/>
        <w:overflowPunct/>
        <w:topLinePunct w:val="0"/>
        <w:bidi w:val="0"/>
        <w:spacing w:line="42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、对本次采购提出询问、质疑、投诉，请按以下方式联系</w:t>
      </w:r>
    </w:p>
    <w:p w14:paraId="24A1B26F">
      <w:pPr>
        <w:pStyle w:val="3"/>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bookmarkStart w:id="10" w:name="_Toc28359096"/>
      <w:bookmarkStart w:id="11" w:name="_Toc35393637"/>
      <w:bookmarkStart w:id="12" w:name="_Toc35393806"/>
      <w:bookmarkStart w:id="13" w:name="_Toc28359019"/>
      <w:r>
        <w:rPr>
          <w:rFonts w:hint="eastAsia" w:ascii="仿宋" w:hAnsi="仿宋" w:eastAsia="仿宋" w:cs="仿宋"/>
          <w:color w:val="auto"/>
          <w:sz w:val="24"/>
          <w:szCs w:val="24"/>
        </w:rPr>
        <w:t>1.采购人信息</w:t>
      </w:r>
      <w:bookmarkEnd w:id="10"/>
      <w:bookmarkEnd w:id="11"/>
      <w:bookmarkEnd w:id="12"/>
      <w:bookmarkEnd w:id="13"/>
      <w:r>
        <w:rPr>
          <w:rFonts w:hint="eastAsia" w:ascii="仿宋" w:hAnsi="仿宋" w:eastAsia="仿宋" w:cs="仿宋"/>
          <w:color w:val="auto"/>
          <w:sz w:val="24"/>
          <w:szCs w:val="24"/>
        </w:rPr>
        <w:t>：</w:t>
      </w:r>
    </w:p>
    <w:p w14:paraId="3D152D76">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嵊州市城市建设投资发展集团有限公司</w:t>
      </w:r>
    </w:p>
    <w:p w14:paraId="182128BC">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嵊州市官河南路575号北楼14楼</w:t>
      </w:r>
      <w:r>
        <w:rPr>
          <w:rFonts w:hint="eastAsia" w:ascii="仿宋" w:hAnsi="仿宋" w:eastAsia="仿宋" w:cs="仿宋"/>
          <w:color w:val="auto"/>
          <w:sz w:val="24"/>
          <w:szCs w:val="24"/>
          <w:lang w:val="en-US" w:eastAsia="zh-CN"/>
        </w:rPr>
        <w:t xml:space="preserve">   </w:t>
      </w:r>
    </w:p>
    <w:p w14:paraId="01AA6E37">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陶锂锋</w:t>
      </w:r>
    </w:p>
    <w:p w14:paraId="3206CDD7">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 xml:space="preserve"> 0575-83331253 </w:t>
      </w:r>
    </w:p>
    <w:p w14:paraId="089AFE5B">
      <w:pPr>
        <w:pStyle w:val="3"/>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bookmarkStart w:id="14" w:name="_Toc28359097"/>
      <w:bookmarkStart w:id="15" w:name="_Toc35393638"/>
      <w:bookmarkStart w:id="16" w:name="_Toc35393807"/>
      <w:bookmarkStart w:id="17" w:name="_Toc28359020"/>
    </w:p>
    <w:p w14:paraId="490D021E">
      <w:pPr>
        <w:pStyle w:val="3"/>
        <w:pageBreakBefore w:val="0"/>
        <w:widowControl w:val="0"/>
        <w:kinsoku/>
        <w:wordWrap/>
        <w:overflowPunct/>
        <w:topLinePunct w:val="0"/>
        <w:bidi w:val="0"/>
        <w:spacing w:line="420" w:lineRule="exact"/>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bookmarkEnd w:id="14"/>
      <w:bookmarkEnd w:id="15"/>
      <w:bookmarkEnd w:id="16"/>
      <w:bookmarkEnd w:id="17"/>
      <w:r>
        <w:rPr>
          <w:rFonts w:hint="eastAsia" w:ascii="仿宋" w:hAnsi="仿宋" w:eastAsia="仿宋" w:cs="仿宋"/>
          <w:color w:val="auto"/>
          <w:sz w:val="24"/>
          <w:szCs w:val="24"/>
        </w:rPr>
        <w:t>：</w:t>
      </w:r>
    </w:p>
    <w:p w14:paraId="755A0CBF">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rPr>
      </w:pPr>
      <w:bookmarkStart w:id="18" w:name="_Toc28359098"/>
      <w:bookmarkStart w:id="19" w:name="_Toc28359021"/>
      <w:bookmarkStart w:id="20" w:name="_Toc35393639"/>
      <w:bookmarkStart w:id="21" w:name="_Toc35393808"/>
      <w:r>
        <w:rPr>
          <w:rFonts w:hint="eastAsia" w:ascii="仿宋" w:hAnsi="仿宋" w:eastAsia="仿宋" w:cs="仿宋"/>
          <w:color w:val="auto"/>
          <w:sz w:val="24"/>
          <w:szCs w:val="24"/>
        </w:rPr>
        <w:t>名    称：东方经纬项目管理有限公司</w:t>
      </w:r>
    </w:p>
    <w:p w14:paraId="4E87EC5C">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嵊州市三江街道观河盛世府89幢A座1101</w:t>
      </w:r>
      <w:r>
        <w:rPr>
          <w:rFonts w:hint="eastAsia" w:ascii="仿宋" w:hAnsi="仿宋" w:eastAsia="仿宋" w:cs="仿宋"/>
          <w:color w:val="auto"/>
          <w:sz w:val="24"/>
          <w:szCs w:val="24"/>
          <w:lang w:val="en-US" w:eastAsia="zh-CN"/>
        </w:rPr>
        <w:t>室</w:t>
      </w:r>
    </w:p>
    <w:p w14:paraId="4DC48D14">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项目联系人（询问）：刘丽梅     </w:t>
      </w:r>
    </w:p>
    <w:p w14:paraId="5363EFFD">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18857562906</w:t>
      </w:r>
      <w:r>
        <w:rPr>
          <w:rFonts w:hint="eastAsia" w:ascii="仿宋" w:hAnsi="仿宋" w:eastAsia="仿宋" w:cs="仿宋"/>
          <w:color w:val="auto"/>
          <w:sz w:val="24"/>
          <w:szCs w:val="24"/>
        </w:rPr>
        <w:t xml:space="preserve">    </w:t>
      </w:r>
    </w:p>
    <w:p w14:paraId="61505587">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汪元丽</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14:paraId="6C324E2F">
      <w:pPr>
        <w:keepNext w:val="0"/>
        <w:keepLines w:val="0"/>
        <w:pageBreakBefore w:val="0"/>
        <w:widowControl w:val="0"/>
        <w:kinsoku/>
        <w:wordWrap/>
        <w:overflowPunct/>
        <w:topLinePunct w:val="0"/>
        <w:autoSpaceDE/>
        <w:autoSpaceDN/>
        <w:bidi w:val="0"/>
        <w:spacing w:line="420" w:lineRule="exact"/>
        <w:ind w:lef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质疑联系方式：0575-83181358   </w:t>
      </w:r>
    </w:p>
    <w:p w14:paraId="55EA2885">
      <w:pPr>
        <w:pStyle w:val="23"/>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rPr>
      </w:pPr>
    </w:p>
    <w:p w14:paraId="6E67FA74">
      <w:pPr>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同级</w:t>
      </w:r>
      <w:r>
        <w:rPr>
          <w:rFonts w:hint="eastAsia" w:ascii="仿宋" w:hAnsi="仿宋" w:eastAsia="仿宋" w:cs="仿宋"/>
          <w:b/>
          <w:color w:val="auto"/>
          <w:sz w:val="24"/>
          <w:szCs w:val="24"/>
        </w:rPr>
        <w:t xml:space="preserve">采购监督管理部门信息： </w:t>
      </w:r>
    </w:p>
    <w:p w14:paraId="04B5A811">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嵊州市城市建设投资发展集团有限公司</w:t>
      </w:r>
    </w:p>
    <w:p w14:paraId="7400E77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嵊州市官河南路575号北楼14楼</w:t>
      </w:r>
      <w:r>
        <w:rPr>
          <w:rFonts w:hint="eastAsia" w:ascii="仿宋" w:hAnsi="仿宋" w:eastAsia="仿宋" w:cs="仿宋"/>
          <w:color w:val="auto"/>
          <w:sz w:val="24"/>
          <w:szCs w:val="24"/>
          <w:lang w:val="en-US" w:eastAsia="zh-CN"/>
        </w:rPr>
        <w:t xml:space="preserve">   </w:t>
      </w:r>
    </w:p>
    <w:p w14:paraId="79AA6E1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质疑联系人：裘女士 </w:t>
      </w:r>
    </w:p>
    <w:p w14:paraId="1B483E65">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 0575-83331252</w:t>
      </w:r>
    </w:p>
    <w:bookmarkEnd w:id="18"/>
    <w:bookmarkEnd w:id="19"/>
    <w:bookmarkEnd w:id="20"/>
    <w:bookmarkEnd w:id="21"/>
    <w:p w14:paraId="0AA22408">
      <w:pPr>
        <w:pageBreakBefore w:val="0"/>
        <w:widowControl w:val="0"/>
        <w:kinsoku/>
        <w:wordWrap/>
        <w:overflowPunct/>
        <w:topLinePunct w:val="0"/>
        <w:bidi w:val="0"/>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若对项目采购电子交易系统操作有疑问，可登录乐采云（https://www.lecaiyun.com/），点击右侧咨询小采，获取采小蜜智能服务管家帮助，或拨打乐采云服务热线95763获取热线服务帮助。      </w:t>
      </w:r>
    </w:p>
    <w:p w14:paraId="32FE94E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p w14:paraId="7CE5ED4B">
      <w:pPr>
        <w:pageBreakBefore w:val="0"/>
        <w:widowControl/>
        <w:kinsoku/>
        <w:wordWrap/>
        <w:overflowPunct/>
        <w:topLinePunct w:val="0"/>
        <w:bidi w:val="0"/>
        <w:adjustRightInd/>
        <w:spacing w:line="440" w:lineRule="exact"/>
        <w:ind w:left="0"/>
        <w:jc w:val="left"/>
        <w:rPr>
          <w:rFonts w:hint="eastAsia" w:ascii="仿宋" w:hAnsi="仿宋" w:eastAsia="仿宋" w:cs="仿宋"/>
          <w:snapToGrid w:val="0"/>
          <w:color w:val="auto"/>
          <w:sz w:val="21"/>
          <w:szCs w:val="21"/>
        </w:rPr>
      </w:pPr>
      <w:r>
        <w:rPr>
          <w:rFonts w:hint="eastAsia" w:ascii="仿宋" w:hAnsi="仿宋" w:eastAsia="仿宋" w:cs="仿宋"/>
          <w:b/>
          <w:color w:val="auto"/>
          <w:sz w:val="21"/>
          <w:szCs w:val="21"/>
        </w:rPr>
        <w:br w:type="page"/>
      </w:r>
    </w:p>
    <w:bookmarkEnd w:id="7"/>
    <w:bookmarkEnd w:id="8"/>
    <w:p w14:paraId="5AD50B50">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投标须知</w:t>
      </w:r>
    </w:p>
    <w:p w14:paraId="3AA75E44">
      <w:pPr>
        <w:pageBreakBefore w:val="0"/>
        <w:kinsoku/>
        <w:wordWrap/>
        <w:overflowPunct/>
        <w:topLinePunct w:val="0"/>
        <w:bidi w:val="0"/>
        <w:adjustRightInd/>
        <w:spacing w:line="440" w:lineRule="exact"/>
        <w:ind w:left="0" w:firstLine="3845" w:firstLineChars="1197"/>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76"/>
        <w:gridCol w:w="450"/>
        <w:gridCol w:w="6944"/>
      </w:tblGrid>
      <w:tr w14:paraId="14B3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35CEC8BC">
            <w:pPr>
              <w:pageBreakBefore w:val="0"/>
              <w:kinsoku/>
              <w:wordWrap/>
              <w:overflowPunct/>
              <w:topLinePunct w:val="0"/>
              <w:autoSpaceDE w:val="0"/>
              <w:autoSpaceDN w:val="0"/>
              <w:bidi w:val="0"/>
              <w:spacing w:line="440" w:lineRule="exact"/>
              <w:ind w:lef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370" w:type="dxa"/>
            <w:gridSpan w:val="3"/>
            <w:vAlign w:val="center"/>
          </w:tcPr>
          <w:p w14:paraId="34D3D837">
            <w:pPr>
              <w:pageBreakBefore w:val="0"/>
              <w:kinsoku/>
              <w:wordWrap/>
              <w:overflowPunct/>
              <w:topLinePunct w:val="0"/>
              <w:autoSpaceDE w:val="0"/>
              <w:autoSpaceDN w:val="0"/>
              <w:bidi w:val="0"/>
              <w:spacing w:line="440" w:lineRule="exact"/>
              <w:ind w:lef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内　　　　容</w:t>
            </w:r>
          </w:p>
        </w:tc>
      </w:tr>
      <w:tr w14:paraId="1F0E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CA267F2">
            <w:pPr>
              <w:pageBreakBefore w:val="0"/>
              <w:kinsoku/>
              <w:wordWrap/>
              <w:overflowPunct/>
              <w:topLinePunct w:val="0"/>
              <w:autoSpaceDE w:val="0"/>
              <w:autoSpaceDN w:val="0"/>
              <w:bidi w:val="0"/>
              <w:spacing w:line="440" w:lineRule="exact"/>
              <w:ind w:lef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370" w:type="dxa"/>
            <w:gridSpan w:val="3"/>
            <w:vAlign w:val="center"/>
          </w:tcPr>
          <w:p w14:paraId="66C7CCF3">
            <w:pPr>
              <w:pageBreakBefore w:val="0"/>
              <w:kinsoku/>
              <w:wordWrap/>
              <w:overflowPunct/>
              <w:topLinePunct w:val="0"/>
              <w:autoSpaceDE w:val="0"/>
              <w:autoSpaceDN w:val="0"/>
              <w:bidi w:val="0"/>
              <w:snapToGrid w:val="0"/>
              <w:spacing w:line="440" w:lineRule="exact"/>
              <w:ind w:left="0"/>
              <w:textAlignment w:val="center"/>
              <w:rPr>
                <w:rFonts w:hint="eastAsia" w:ascii="仿宋" w:hAnsi="仿宋" w:eastAsia="仿宋" w:cs="仿宋"/>
                <w:color w:val="auto"/>
                <w:sz w:val="24"/>
                <w:szCs w:val="24"/>
                <w:u w:val="single"/>
              </w:rPr>
            </w:pPr>
            <w:r>
              <w:rPr>
                <w:rFonts w:hint="eastAsia" w:ascii="仿宋" w:hAnsi="仿宋" w:eastAsia="仿宋" w:cs="仿宋"/>
                <w:b/>
                <w:color w:val="auto"/>
                <w:sz w:val="24"/>
                <w:szCs w:val="24"/>
              </w:rPr>
              <w:t>投标人按照项目要求特许资格、资信证明文件（如果有）：</w:t>
            </w:r>
          </w:p>
          <w:p w14:paraId="4D36FAAC">
            <w:pPr>
              <w:pageBreakBefore w:val="0"/>
              <w:kinsoku/>
              <w:wordWrap/>
              <w:overflowPunct/>
              <w:topLinePunct w:val="0"/>
              <w:autoSpaceDE w:val="0"/>
              <w:autoSpaceDN w:val="0"/>
              <w:bidi w:val="0"/>
              <w:spacing w:line="440" w:lineRule="exact"/>
              <w:ind w:left="0" w:firstLine="480" w:firstLineChars="200"/>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C12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057D1CEC">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8370" w:type="dxa"/>
            <w:gridSpan w:val="3"/>
            <w:vAlign w:val="center"/>
          </w:tcPr>
          <w:p w14:paraId="42253812">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投标有效期：</w:t>
            </w:r>
            <w:r>
              <w:rPr>
                <w:rFonts w:hint="eastAsia" w:ascii="仿宋" w:hAnsi="仿宋" w:eastAsia="仿宋" w:cs="仿宋"/>
                <w:color w:val="auto"/>
                <w:sz w:val="24"/>
                <w:szCs w:val="24"/>
              </w:rPr>
              <w:t>投标有效期为从提交投标文件的截止之日起90天。</w:t>
            </w:r>
            <w:r>
              <w:rPr>
                <w:rFonts w:hint="eastAsia" w:ascii="仿宋" w:hAnsi="仿宋" w:eastAsia="仿宋" w:cs="仿宋"/>
                <w:b/>
                <w:color w:val="auto"/>
                <w:sz w:val="24"/>
                <w:szCs w:val="24"/>
              </w:rPr>
              <w:t>投标人的投标文件中承诺的投标有效期少于招标文件中载明的投标有效期的，投标无效。</w:t>
            </w:r>
          </w:p>
        </w:tc>
      </w:tr>
      <w:tr w14:paraId="31C8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1627CAB">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8370" w:type="dxa"/>
            <w:gridSpan w:val="3"/>
            <w:vAlign w:val="center"/>
          </w:tcPr>
          <w:p w14:paraId="13A5BE2E">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转包：</w:t>
            </w:r>
            <w:r>
              <w:rPr>
                <w:rFonts w:hint="eastAsia" w:ascii="仿宋" w:hAnsi="仿宋" w:eastAsia="仿宋" w:cs="仿宋"/>
                <w:color w:val="auto"/>
                <w:sz w:val="24"/>
                <w:szCs w:val="24"/>
              </w:rPr>
              <w:t>本项目不得转包。</w:t>
            </w:r>
          </w:p>
        </w:tc>
      </w:tr>
      <w:tr w14:paraId="153F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4D4CFB1">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8370" w:type="dxa"/>
            <w:gridSpan w:val="3"/>
            <w:vAlign w:val="center"/>
          </w:tcPr>
          <w:p w14:paraId="61FDED21">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分包：</w:t>
            </w:r>
            <w:r>
              <w:rPr>
                <w:rFonts w:hint="eastAsia" w:ascii="仿宋" w:hAnsi="仿宋" w:eastAsia="仿宋" w:cs="仿宋"/>
                <w:color w:val="auto"/>
                <w:kern w:val="0"/>
                <w:sz w:val="24"/>
                <w:szCs w:val="24"/>
              </w:rPr>
              <w:t>☐ A</w:t>
            </w:r>
            <w:r>
              <w:rPr>
                <w:rFonts w:hint="eastAsia" w:ascii="仿宋" w:hAnsi="仿宋" w:eastAsia="仿宋" w:cs="仿宋"/>
                <w:color w:val="auto"/>
                <w:sz w:val="24"/>
                <w:szCs w:val="24"/>
              </w:rPr>
              <w:t>同意将非主体、非关键性的工作分包。</w:t>
            </w:r>
          </w:p>
          <w:p w14:paraId="50A75265">
            <w:pPr>
              <w:pageBreakBefore w:val="0"/>
              <w:kinsoku/>
              <w:wordWrap/>
              <w:overflowPunct/>
              <w:topLinePunct w:val="0"/>
              <w:autoSpaceDE w:val="0"/>
              <w:autoSpaceDN w:val="0"/>
              <w:bidi w:val="0"/>
              <w:spacing w:line="440" w:lineRule="exact"/>
              <w:ind w:left="0" w:firstLine="720" w:firstLineChars="300"/>
              <w:textAlignment w:val="center"/>
              <w:rPr>
                <w:rFonts w:hint="eastAsia" w:ascii="仿宋" w:hAnsi="仿宋" w:eastAsia="仿宋" w:cs="仿宋"/>
                <w:b/>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26C1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25B3C19">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370" w:type="dxa"/>
            <w:gridSpan w:val="3"/>
            <w:shd w:val="clear" w:color="auto" w:fill="auto"/>
            <w:vAlign w:val="center"/>
          </w:tcPr>
          <w:p w14:paraId="4F8AD77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5.1投标保证金：人民币15000元（</w:t>
            </w:r>
            <w:r>
              <w:rPr>
                <w:rFonts w:hint="eastAsia" w:ascii="仿宋" w:hAnsi="仿宋" w:eastAsia="仿宋" w:cs="仿宋"/>
                <w:color w:val="auto"/>
                <w:spacing w:val="0"/>
                <w:kern w:val="2"/>
                <w:sz w:val="24"/>
                <w:szCs w:val="24"/>
                <w:highlight w:val="none"/>
                <w:lang w:val="en-US" w:eastAsia="zh-CN" w:bidi="ar-SA"/>
              </w:rPr>
              <w:fldChar w:fldCharType="begin"/>
            </w:r>
            <w:r>
              <w:rPr>
                <w:rFonts w:hint="eastAsia" w:ascii="仿宋" w:hAnsi="仿宋" w:eastAsia="仿宋" w:cs="仿宋"/>
                <w:color w:val="auto"/>
                <w:spacing w:val="0"/>
                <w:kern w:val="2"/>
                <w:sz w:val="24"/>
                <w:szCs w:val="24"/>
                <w:highlight w:val="none"/>
                <w:lang w:val="en-US" w:eastAsia="zh-CN" w:bidi="ar-SA"/>
              </w:rPr>
              <w:instrText xml:space="preserve"> = 15000 \* CHINESENUM4 \* MERGEFORMAT </w:instrText>
            </w:r>
            <w:r>
              <w:rPr>
                <w:rFonts w:hint="eastAsia" w:ascii="仿宋" w:hAnsi="仿宋" w:eastAsia="仿宋" w:cs="仿宋"/>
                <w:color w:val="auto"/>
                <w:spacing w:val="0"/>
                <w:kern w:val="2"/>
                <w:sz w:val="24"/>
                <w:szCs w:val="24"/>
                <w:highlight w:val="none"/>
                <w:lang w:val="en-US" w:eastAsia="zh-CN" w:bidi="ar-SA"/>
              </w:rPr>
              <w:fldChar w:fldCharType="separate"/>
            </w:r>
            <w:r>
              <w:rPr>
                <w:rFonts w:hint="eastAsia" w:ascii="仿宋" w:hAnsi="仿宋" w:eastAsia="仿宋" w:cs="仿宋"/>
                <w:color w:val="auto"/>
                <w:spacing w:val="0"/>
                <w:kern w:val="2"/>
                <w:sz w:val="24"/>
                <w:szCs w:val="24"/>
                <w:highlight w:val="none"/>
                <w:lang w:val="en-US" w:eastAsia="zh-CN" w:bidi="ar-SA"/>
              </w:rPr>
              <w:t>壹万伍仟元整</w:t>
            </w:r>
            <w:r>
              <w:rPr>
                <w:rFonts w:hint="eastAsia" w:ascii="仿宋" w:hAnsi="仿宋" w:eastAsia="仿宋" w:cs="仿宋"/>
                <w:color w:val="auto"/>
                <w:spacing w:val="0"/>
                <w:kern w:val="2"/>
                <w:sz w:val="24"/>
                <w:szCs w:val="24"/>
                <w:highlight w:val="none"/>
                <w:lang w:val="en-US" w:eastAsia="zh-CN" w:bidi="ar-SA"/>
              </w:rPr>
              <w:fldChar w:fldCharType="end"/>
            </w:r>
            <w:r>
              <w:rPr>
                <w:rFonts w:hint="eastAsia" w:ascii="仿宋" w:hAnsi="仿宋" w:eastAsia="仿宋" w:cs="仿宋"/>
                <w:color w:val="auto"/>
                <w:spacing w:val="0"/>
                <w:kern w:val="2"/>
                <w:sz w:val="24"/>
                <w:szCs w:val="24"/>
                <w:highlight w:val="none"/>
                <w:lang w:val="en-US" w:eastAsia="zh-CN" w:bidi="ar-SA"/>
              </w:rPr>
              <w:t xml:space="preserve">）；  </w:t>
            </w:r>
          </w:p>
          <w:p w14:paraId="0C9777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pacing w:val="0"/>
                <w:kern w:val="2"/>
                <w:sz w:val="24"/>
                <w:szCs w:val="24"/>
                <w:highlight w:val="none"/>
                <w:lang w:val="en-US" w:eastAsia="zh-CN" w:bidi="ar-SA"/>
              </w:rPr>
              <w:t>投标人应于</w:t>
            </w:r>
            <w:r>
              <w:rPr>
                <w:rFonts w:hint="eastAsia" w:ascii="仿宋" w:hAnsi="仿宋" w:eastAsia="仿宋" w:cs="仿宋"/>
                <w:color w:val="FF0000"/>
                <w:spacing w:val="0"/>
                <w:kern w:val="2"/>
                <w:sz w:val="24"/>
                <w:szCs w:val="24"/>
                <w:highlight w:val="none"/>
                <w:lang w:val="en-US" w:eastAsia="zh-CN" w:bidi="ar-SA"/>
              </w:rPr>
              <w:t>2024年12月18日</w:t>
            </w:r>
            <w:r>
              <w:rPr>
                <w:rFonts w:hint="eastAsia" w:ascii="仿宋" w:hAnsi="仿宋" w:eastAsia="仿宋" w:cs="仿宋"/>
                <w:color w:val="auto"/>
                <w:spacing w:val="0"/>
                <w:kern w:val="2"/>
                <w:sz w:val="24"/>
                <w:szCs w:val="24"/>
                <w:highlight w:val="none"/>
                <w:lang w:val="en-US" w:eastAsia="zh-CN" w:bidi="ar-SA"/>
              </w:rPr>
              <w:t>16：00时前将投标保证金以电汇、转账、网上银行交至</w:t>
            </w:r>
            <w:r>
              <w:rPr>
                <w:rFonts w:hint="eastAsia" w:ascii="仿宋" w:hAnsi="仿宋" w:eastAsia="仿宋" w:cs="仿宋"/>
                <w:color w:val="auto"/>
                <w:sz w:val="24"/>
                <w:szCs w:val="24"/>
                <w:lang w:val="zh-CN"/>
              </w:rPr>
              <w:t>东方经纬项目管理有限公司</w:t>
            </w:r>
            <w:r>
              <w:rPr>
                <w:rFonts w:hint="eastAsia" w:ascii="仿宋" w:hAnsi="仿宋" w:eastAsia="仿宋" w:cs="仿宋"/>
                <w:color w:val="auto"/>
                <w:spacing w:val="0"/>
                <w:kern w:val="2"/>
                <w:sz w:val="24"/>
                <w:szCs w:val="24"/>
                <w:highlight w:val="none"/>
                <w:lang w:val="en-US" w:eastAsia="zh-CN" w:bidi="ar-SA"/>
              </w:rPr>
              <w:t>，投标保证金以到账时间为准。</w:t>
            </w:r>
            <w:r>
              <w:rPr>
                <w:rFonts w:hint="eastAsia" w:ascii="仿宋" w:hAnsi="仿宋" w:eastAsia="仿宋" w:cs="仿宋"/>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414EC07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收款单位（户名）：东方经纬项目管理有限公司</w:t>
            </w:r>
            <w:r>
              <w:rPr>
                <w:rFonts w:hint="eastAsia" w:ascii="仿宋" w:hAnsi="仿宋" w:eastAsia="仿宋" w:cs="仿宋"/>
                <w:color w:val="auto"/>
                <w:sz w:val="24"/>
                <w:szCs w:val="24"/>
              </w:rPr>
              <w:t>嵊州分公司</w:t>
            </w:r>
            <w:r>
              <w:rPr>
                <w:rFonts w:hint="eastAsia" w:ascii="仿宋" w:hAnsi="仿宋" w:eastAsia="仿宋" w:cs="仿宋"/>
                <w:color w:val="auto"/>
                <w:sz w:val="24"/>
                <w:szCs w:val="24"/>
                <w:lang w:val="zh-CN"/>
              </w:rPr>
              <w:t> </w:t>
            </w:r>
          </w:p>
          <w:p w14:paraId="7E88D5F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开</w:t>
            </w:r>
            <w:r>
              <w:rPr>
                <w:rFonts w:hint="eastAsia" w:ascii="仿宋" w:hAnsi="仿宋" w:eastAsia="仿宋" w:cs="仿宋"/>
                <w:color w:val="auto"/>
                <w:sz w:val="24"/>
                <w:szCs w:val="24"/>
              </w:rPr>
              <w:t>户银行</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中国农业银行嵊州临城支行</w:t>
            </w:r>
          </w:p>
          <w:p w14:paraId="30D39BA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账  号：</w:t>
            </w:r>
            <w:r>
              <w:rPr>
                <w:rFonts w:hint="eastAsia" w:ascii="仿宋" w:hAnsi="仿宋" w:eastAsia="仿宋" w:cs="仿宋"/>
                <w:color w:val="auto"/>
                <w:sz w:val="24"/>
                <w:szCs w:val="24"/>
              </w:rPr>
              <w:t>19521401040007551</w:t>
            </w:r>
            <w:r>
              <w:rPr>
                <w:rFonts w:hint="eastAsia" w:ascii="仿宋" w:hAnsi="仿宋" w:eastAsia="仿宋" w:cs="仿宋"/>
                <w:color w:val="auto"/>
                <w:sz w:val="24"/>
                <w:szCs w:val="24"/>
                <w:lang w:val="zh-CN"/>
              </w:rPr>
              <w:t xml:space="preserve"> </w:t>
            </w:r>
          </w:p>
          <w:p w14:paraId="049D399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5.2投标保证金的退还：未中标的投标人的投标保证金将在中标通知书发出之日起3个工作日内退还，中标供应商的投标保证金在中标供应商与采购人签订采购合同后5个工作日内退还。</w:t>
            </w:r>
          </w:p>
          <w:p w14:paraId="708C373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5.3投标人有下列情形之一的，投标保证金将不予退还：</w:t>
            </w:r>
          </w:p>
          <w:p w14:paraId="4DC8402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3277C80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（2）未按规定提交履约保证金的；</w:t>
            </w:r>
          </w:p>
          <w:p w14:paraId="40455A2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342F6B27">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16DA1CA5">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（5）其他严重扰乱招投标程序的。</w:t>
            </w:r>
          </w:p>
        </w:tc>
      </w:tr>
      <w:tr w14:paraId="0BF5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1B6C0084">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8370" w:type="dxa"/>
            <w:gridSpan w:val="3"/>
            <w:shd w:val="clear" w:color="auto" w:fill="auto"/>
            <w:vAlign w:val="center"/>
          </w:tcPr>
          <w:p w14:paraId="0BFD572A">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风险控制价</w:t>
            </w:r>
            <w:r>
              <w:rPr>
                <w:rFonts w:hint="eastAsia" w:ascii="仿宋" w:hAnsi="仿宋" w:eastAsia="仿宋" w:cs="仿宋"/>
                <w:b/>
                <w:color w:val="auto"/>
                <w:sz w:val="24"/>
                <w:szCs w:val="24"/>
                <w:highlight w:val="none"/>
                <w:lang w:val="en-US" w:eastAsia="zh-CN"/>
              </w:rPr>
              <w:t>及</w:t>
            </w:r>
            <w:r>
              <w:rPr>
                <w:rFonts w:hint="eastAsia" w:ascii="仿宋" w:hAnsi="仿宋" w:eastAsia="仿宋" w:cs="仿宋"/>
                <w:b/>
                <w:color w:val="auto"/>
                <w:sz w:val="24"/>
                <w:szCs w:val="24"/>
                <w:highlight w:val="none"/>
                <w:lang w:eastAsia="zh-CN"/>
              </w:rPr>
              <w:t>差额保证金：</w:t>
            </w:r>
          </w:p>
          <w:p w14:paraId="606817C3">
            <w:pPr>
              <w:keepNext w:val="0"/>
              <w:keepLines w:val="0"/>
              <w:pageBreakBefore w:val="0"/>
              <w:widowControl w:val="0"/>
              <w:kinsoku/>
              <w:wordWrap/>
              <w:overflowPunct/>
              <w:topLinePunct w:val="0"/>
              <w:bidi w:val="0"/>
              <w:adjustRightInd w:val="0"/>
              <w:snapToGrid/>
              <w:spacing w:line="48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FF0000"/>
                <w:sz w:val="24"/>
                <w:szCs w:val="24"/>
                <w:highlight w:val="none"/>
              </w:rPr>
              <w:t>风险控制价为</w:t>
            </w:r>
            <w:r>
              <w:rPr>
                <w:rFonts w:hint="eastAsia" w:ascii="仿宋" w:hAnsi="仿宋" w:eastAsia="仿宋" w:cs="仿宋"/>
                <w:b/>
                <w:bCs/>
                <w:color w:val="FF0000"/>
                <w:sz w:val="24"/>
                <w:szCs w:val="24"/>
                <w:highlight w:val="none"/>
                <w:lang w:val="en-US" w:eastAsia="zh-CN"/>
              </w:rPr>
              <w:t>760000</w:t>
            </w:r>
            <w:r>
              <w:rPr>
                <w:rFonts w:hint="eastAsia" w:ascii="仿宋" w:hAnsi="仿宋" w:eastAsia="仿宋" w:cs="仿宋"/>
                <w:b/>
                <w:bCs/>
                <w:color w:val="FF0000"/>
                <w:sz w:val="24"/>
                <w:szCs w:val="24"/>
                <w:highlight w:val="none"/>
              </w:rPr>
              <w:t>元</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val="0"/>
                <w:color w:val="FF0000"/>
                <w:sz w:val="24"/>
                <w:szCs w:val="24"/>
                <w:highlight w:val="none"/>
                <w:lang w:val="en-US" w:eastAsia="zh-CN"/>
              </w:rPr>
              <w:t>其中一期336000，二期424000</w:t>
            </w:r>
            <w:r>
              <w:rPr>
                <w:rFonts w:hint="eastAsia" w:ascii="仿宋" w:hAnsi="仿宋" w:eastAsia="仿宋" w:cs="仿宋"/>
                <w:b/>
                <w:bCs w:val="0"/>
                <w:color w:val="FF0000"/>
                <w:sz w:val="24"/>
                <w:szCs w:val="24"/>
                <w:highlight w:val="none"/>
                <w:lang w:eastAsia="zh-CN"/>
              </w:rPr>
              <w:t>）</w:t>
            </w:r>
            <w:r>
              <w:rPr>
                <w:rFonts w:hint="eastAsia" w:ascii="仿宋" w:hAnsi="仿宋" w:eastAsia="仿宋" w:cs="仿宋"/>
                <w:b w:val="0"/>
                <w:bCs w:val="0"/>
                <w:color w:val="FF0000"/>
                <w:sz w:val="24"/>
                <w:szCs w:val="24"/>
                <w:highlight w:val="none"/>
              </w:rPr>
              <w:t>，</w:t>
            </w:r>
            <w:r>
              <w:rPr>
                <w:rFonts w:hint="eastAsia" w:ascii="仿宋" w:hAnsi="仿宋" w:eastAsia="仿宋" w:cs="仿宋"/>
                <w:b w:val="0"/>
                <w:bCs w:val="0"/>
                <w:color w:val="auto"/>
                <w:sz w:val="24"/>
                <w:szCs w:val="24"/>
                <w:highlight w:val="none"/>
              </w:rPr>
              <w:t>风险控制价为预算金额的80%，若中标人低于该风险控制价中标的，在中标后5个工作日内，中标人必须额外补交中标价净值与风险控制价之差额，中标人不提交的视为放弃中标，采购人将重新组织招标，相关损失由放弃中标的中标单位承担（从投标保证金中扣除）。差额保证金待</w:t>
            </w:r>
            <w:r>
              <w:rPr>
                <w:rFonts w:hint="eastAsia" w:ascii="仿宋" w:hAnsi="仿宋" w:eastAsia="仿宋" w:cs="仿宋"/>
                <w:b w:val="0"/>
                <w:bCs w:val="0"/>
                <w:color w:val="auto"/>
                <w:sz w:val="24"/>
                <w:szCs w:val="24"/>
                <w:highlight w:val="none"/>
                <w:lang w:val="en-US" w:eastAsia="zh-CN"/>
              </w:rPr>
              <w:t>质保期满无相关违约及安全责任等情形</w:t>
            </w:r>
            <w:r>
              <w:rPr>
                <w:rFonts w:hint="eastAsia" w:ascii="仿宋" w:hAnsi="仿宋" w:eastAsia="仿宋" w:cs="仿宋"/>
                <w:b w:val="0"/>
                <w:bCs w:val="0"/>
                <w:color w:val="auto"/>
                <w:sz w:val="24"/>
                <w:szCs w:val="24"/>
                <w:highlight w:val="none"/>
              </w:rPr>
              <w:t>后30日内无息退还。</w:t>
            </w:r>
            <w:r>
              <w:rPr>
                <w:rFonts w:hint="eastAsia" w:ascii="仿宋" w:hAnsi="仿宋" w:eastAsia="仿宋" w:cs="仿宋"/>
                <w:b w:val="0"/>
                <w:bCs w:val="0"/>
                <w:color w:val="auto"/>
                <w:sz w:val="24"/>
                <w:szCs w:val="24"/>
                <w:lang w:val="en-US" w:eastAsia="zh-CN"/>
              </w:rPr>
              <w:t>差额</w:t>
            </w:r>
            <w:r>
              <w:rPr>
                <w:rFonts w:hint="eastAsia" w:ascii="仿宋" w:hAnsi="仿宋" w:eastAsia="仿宋" w:cs="仿宋"/>
                <w:b w:val="0"/>
                <w:bCs w:val="0"/>
                <w:color w:val="auto"/>
                <w:sz w:val="24"/>
                <w:szCs w:val="24"/>
                <w:lang w:val="zh-CN"/>
              </w:rPr>
              <w:t>保证金的交付方式：以现金、电汇、转账方式交纳</w:t>
            </w:r>
            <w:r>
              <w:rPr>
                <w:rFonts w:hint="eastAsia" w:ascii="仿宋" w:hAnsi="仿宋" w:eastAsia="仿宋" w:cs="仿宋"/>
                <w:b w:val="0"/>
                <w:bCs w:val="0"/>
                <w:color w:val="auto"/>
                <w:sz w:val="24"/>
                <w:szCs w:val="24"/>
                <w:lang w:val="zh-CN" w:eastAsia="zh-CN"/>
              </w:rPr>
              <w:t>。</w:t>
            </w:r>
          </w:p>
        </w:tc>
      </w:tr>
      <w:tr w14:paraId="3877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2B20F6D">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8370" w:type="dxa"/>
            <w:gridSpan w:val="3"/>
            <w:shd w:val="clear" w:color="auto" w:fill="auto"/>
            <w:vAlign w:val="center"/>
          </w:tcPr>
          <w:p w14:paraId="15F48968">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w:t>
            </w:r>
          </w:p>
          <w:p w14:paraId="3B59ADF0">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eastAsia="zh-CN"/>
              </w:rPr>
              <w:t>7.1</w:t>
            </w:r>
            <w:r>
              <w:rPr>
                <w:rFonts w:hint="eastAsia" w:ascii="仿宋" w:hAnsi="仿宋" w:eastAsia="仿宋" w:cs="仿宋"/>
                <w:color w:val="auto"/>
                <w:sz w:val="24"/>
                <w:szCs w:val="24"/>
              </w:rPr>
              <w:t>本项目实行网上投标，供应商于“乐采云”上提供电子投标文件。</w:t>
            </w:r>
          </w:p>
          <w:p w14:paraId="4236CDB9">
            <w:pPr>
              <w:pStyle w:val="83"/>
              <w:pageBreakBefore w:val="0"/>
              <w:kinsoku/>
              <w:wordWrap/>
              <w:overflowPunct/>
              <w:topLinePunct w:val="0"/>
              <w:bidi w:val="0"/>
              <w:spacing w:line="440" w:lineRule="exact"/>
              <w:ind w:left="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7.2</w:t>
            </w:r>
            <w:r>
              <w:rPr>
                <w:rFonts w:hint="eastAsia" w:ascii="仿宋" w:hAnsi="仿宋" w:eastAsia="仿宋" w:cs="仿宋"/>
                <w:b w:val="0"/>
                <w:bCs/>
                <w:color w:val="auto"/>
                <w:sz w:val="24"/>
                <w:szCs w:val="24"/>
                <w:lang w:eastAsia="zh-CN"/>
              </w:rPr>
              <w:t>如中标，中标单位须在中标公示结束后三个工作日内根据采购人要求提供纸质投标文件（与电子投标文件一致）三份，在领取中标通知书时递交至代理公司（地址：嵊州市三江街道观河盛世府89幢A座1101</w:t>
            </w:r>
            <w:r>
              <w:rPr>
                <w:rFonts w:hint="eastAsia" w:ascii="仿宋" w:hAnsi="仿宋" w:eastAsia="仿宋" w:cs="仿宋"/>
                <w:b w:val="0"/>
                <w:bCs/>
                <w:color w:val="auto"/>
                <w:sz w:val="24"/>
                <w:szCs w:val="24"/>
                <w:lang w:val="en-US" w:eastAsia="zh-CN"/>
              </w:rPr>
              <w:t>室</w:t>
            </w:r>
            <w:r>
              <w:rPr>
                <w:rFonts w:hint="eastAsia" w:ascii="仿宋" w:hAnsi="仿宋" w:eastAsia="仿宋" w:cs="仿宋"/>
                <w:b w:val="0"/>
                <w:bCs/>
                <w:color w:val="auto"/>
                <w:sz w:val="24"/>
                <w:szCs w:val="24"/>
                <w:lang w:eastAsia="zh-CN"/>
              </w:rPr>
              <w:t>）。</w:t>
            </w:r>
          </w:p>
          <w:p w14:paraId="68B661DB">
            <w:pPr>
              <w:pStyle w:val="83"/>
              <w:pageBreakBefore w:val="0"/>
              <w:kinsoku/>
              <w:wordWrap/>
              <w:overflowPunct/>
              <w:topLinePunct w:val="0"/>
              <w:bidi w:val="0"/>
              <w:spacing w:line="440" w:lineRule="exact"/>
              <w:ind w:left="0" w:leftChars="0"/>
              <w:rPr>
                <w:rFonts w:hint="eastAsia"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lang w:val="en-US" w:eastAsia="zh-CN"/>
              </w:rPr>
              <w:t>7.3</w:t>
            </w:r>
            <w:r>
              <w:rPr>
                <w:rFonts w:hint="eastAsia" w:ascii="仿宋" w:hAnsi="仿宋" w:eastAsia="仿宋" w:cs="仿宋"/>
                <w:color w:val="auto"/>
                <w:kern w:val="28"/>
                <w:sz w:val="24"/>
                <w:szCs w:val="24"/>
              </w:rPr>
              <w:t>备份投标文件送达地点：</w:t>
            </w:r>
            <w:r>
              <w:rPr>
                <w:rFonts w:hint="eastAsia" w:ascii="仿宋" w:hAnsi="仿宋" w:eastAsia="仿宋" w:cs="仿宋"/>
                <w:b w:val="0"/>
                <w:bCs/>
                <w:color w:val="auto"/>
                <w:sz w:val="24"/>
                <w:szCs w:val="24"/>
                <w:u w:val="single"/>
                <w:lang w:eastAsia="zh-CN"/>
              </w:rPr>
              <w:t>嵊州市三江街道观河盛世府89幢A座1101</w:t>
            </w:r>
            <w:r>
              <w:rPr>
                <w:rFonts w:hint="eastAsia" w:ascii="仿宋" w:hAnsi="仿宋" w:eastAsia="仿宋" w:cs="仿宋"/>
                <w:b w:val="0"/>
                <w:bCs/>
                <w:color w:val="auto"/>
                <w:sz w:val="24"/>
                <w:szCs w:val="24"/>
                <w:u w:val="single"/>
                <w:lang w:val="en-US" w:eastAsia="zh-CN"/>
              </w:rPr>
              <w:t>室</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刘丽梅18857562906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14:paraId="0762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449D6E7">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8370" w:type="dxa"/>
            <w:gridSpan w:val="3"/>
            <w:vAlign w:val="center"/>
          </w:tcPr>
          <w:p w14:paraId="0C74B959">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tc>
      </w:tr>
      <w:tr w14:paraId="6956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784907D">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8370" w:type="dxa"/>
            <w:gridSpan w:val="3"/>
            <w:vAlign w:val="center"/>
          </w:tcPr>
          <w:p w14:paraId="05D82DC1">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tc>
      </w:tr>
      <w:tr w14:paraId="3FC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461F0CF7">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10</w:t>
            </w:r>
          </w:p>
        </w:tc>
        <w:tc>
          <w:tcPr>
            <w:tcW w:w="8370" w:type="dxa"/>
            <w:gridSpan w:val="3"/>
            <w:vAlign w:val="center"/>
          </w:tcPr>
          <w:p w14:paraId="00AF3DA9">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方案讲解演示：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tc>
      </w:tr>
      <w:tr w14:paraId="2071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4BEB7AE">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11</w:t>
            </w:r>
          </w:p>
        </w:tc>
        <w:tc>
          <w:tcPr>
            <w:tcW w:w="1426" w:type="dxa"/>
            <w:gridSpan w:val="2"/>
            <w:vAlign w:val="center"/>
          </w:tcPr>
          <w:p w14:paraId="3188DD78">
            <w:pPr>
              <w:pageBreakBefore w:val="0"/>
              <w:kinsoku/>
              <w:wordWrap/>
              <w:overflowPunct/>
              <w:topLinePunct w:val="0"/>
              <w:autoSpaceDE w:val="0"/>
              <w:autoSpaceDN w:val="0"/>
              <w:bidi w:val="0"/>
              <w:snapToGrid w:val="0"/>
              <w:spacing w:line="440" w:lineRule="exact"/>
              <w:ind w:left="0"/>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进口产品</w:t>
            </w:r>
          </w:p>
        </w:tc>
        <w:tc>
          <w:tcPr>
            <w:tcW w:w="6944" w:type="dxa"/>
            <w:vAlign w:val="center"/>
          </w:tcPr>
          <w:p w14:paraId="7F6A8599">
            <w:pPr>
              <w:pageBreakBefore w:val="0"/>
              <w:kinsoku/>
              <w:wordWrap/>
              <w:overflowPunct/>
              <w:topLinePunct w:val="0"/>
              <w:autoSpaceDE w:val="0"/>
              <w:autoSpaceDN w:val="0"/>
              <w:bidi w:val="0"/>
              <w:snapToGrid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本项目不允许采购进口产品。</w:t>
            </w:r>
          </w:p>
        </w:tc>
      </w:tr>
      <w:tr w14:paraId="428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F901963">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426" w:type="dxa"/>
            <w:gridSpan w:val="2"/>
            <w:vAlign w:val="center"/>
          </w:tcPr>
          <w:p w14:paraId="56C90498">
            <w:pPr>
              <w:pageBreakBefore w:val="0"/>
              <w:kinsoku/>
              <w:wordWrap/>
              <w:overflowPunct/>
              <w:topLinePunct w:val="0"/>
              <w:autoSpaceDE w:val="0"/>
              <w:autoSpaceDN w:val="0"/>
              <w:bidi w:val="0"/>
              <w:snapToGrid w:val="0"/>
              <w:spacing w:line="440" w:lineRule="exact"/>
              <w:ind w:left="0" w:hanging="14" w:hangingChars="7"/>
              <w:jc w:val="center"/>
              <w:textAlignment w:val="center"/>
              <w:rPr>
                <w:rFonts w:hint="eastAsia" w:ascii="仿宋" w:hAnsi="仿宋" w:eastAsia="仿宋" w:cs="仿宋"/>
                <w:b/>
                <w:color w:val="auto"/>
                <w:spacing w:val="-20"/>
                <w:sz w:val="24"/>
                <w:szCs w:val="24"/>
              </w:rPr>
            </w:pPr>
            <w:r>
              <w:rPr>
                <w:rFonts w:hint="eastAsia" w:ascii="仿宋" w:hAnsi="仿宋" w:eastAsia="仿宋" w:cs="仿宋"/>
                <w:b/>
                <w:color w:val="auto"/>
                <w:spacing w:val="-20"/>
                <w:sz w:val="24"/>
                <w:szCs w:val="24"/>
              </w:rPr>
              <w:t>项目属性与</w:t>
            </w:r>
          </w:p>
          <w:p w14:paraId="30816115">
            <w:pPr>
              <w:pageBreakBefore w:val="0"/>
              <w:kinsoku/>
              <w:wordWrap/>
              <w:overflowPunct/>
              <w:topLinePunct w:val="0"/>
              <w:autoSpaceDE w:val="0"/>
              <w:autoSpaceDN w:val="0"/>
              <w:bidi w:val="0"/>
              <w:snapToGrid w:val="0"/>
              <w:spacing w:line="440" w:lineRule="exact"/>
              <w:ind w:left="0" w:hanging="14" w:hangingChars="7"/>
              <w:jc w:val="center"/>
              <w:textAlignment w:val="center"/>
              <w:rPr>
                <w:rFonts w:hint="eastAsia" w:ascii="仿宋" w:hAnsi="仿宋" w:eastAsia="仿宋" w:cs="仿宋"/>
                <w:b/>
                <w:color w:val="auto"/>
                <w:spacing w:val="-20"/>
                <w:sz w:val="24"/>
                <w:szCs w:val="24"/>
              </w:rPr>
            </w:pPr>
            <w:r>
              <w:rPr>
                <w:rFonts w:hint="eastAsia" w:ascii="仿宋" w:hAnsi="仿宋" w:eastAsia="仿宋" w:cs="仿宋"/>
                <w:b/>
                <w:color w:val="auto"/>
                <w:spacing w:val="-20"/>
                <w:sz w:val="24"/>
                <w:szCs w:val="24"/>
              </w:rPr>
              <w:t>核心产品</w:t>
            </w:r>
          </w:p>
        </w:tc>
        <w:tc>
          <w:tcPr>
            <w:tcW w:w="6944" w:type="dxa"/>
            <w:vAlign w:val="center"/>
          </w:tcPr>
          <w:p w14:paraId="19E78E07">
            <w:pPr>
              <w:pageBreakBefore w:val="0"/>
              <w:kinsoku/>
              <w:wordWrap/>
              <w:overflowPunct/>
              <w:topLinePunct w:val="0"/>
              <w:autoSpaceDE w:val="0"/>
              <w:autoSpaceDN w:val="0"/>
              <w:bidi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sz w:val="24"/>
                <w:szCs w:val="24"/>
              </w:rPr>
              <w:t>。</w:t>
            </w:r>
          </w:p>
          <w:p w14:paraId="2D96A21E">
            <w:pPr>
              <w:pageBreakBefore w:val="0"/>
              <w:kinsoku/>
              <w:wordWrap/>
              <w:overflowPunct/>
              <w:topLinePunct w:val="0"/>
              <w:autoSpaceDE w:val="0"/>
              <w:autoSpaceDN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w:t>
            </w:r>
            <w:r>
              <w:rPr>
                <w:rFonts w:hint="eastAsia" w:ascii="仿宋" w:hAnsi="仿宋" w:eastAsia="仿宋" w:cs="仿宋"/>
                <w:color w:val="auto"/>
                <w:sz w:val="24"/>
                <w:szCs w:val="24"/>
              </w:rPr>
              <w:t>服务类。</w:t>
            </w:r>
          </w:p>
        </w:tc>
      </w:tr>
      <w:tr w14:paraId="53C3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6CDF73C">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                                                                                                                                                                                                                                                                                                                                                                                                                                                                                                                                                                                                                                                                                                                                                                                                                                                                                                                                                                                                                                                                                                                                                                                                                                                                                                                                       </w:t>
            </w:r>
          </w:p>
        </w:tc>
        <w:tc>
          <w:tcPr>
            <w:tcW w:w="976" w:type="dxa"/>
            <w:vMerge w:val="restart"/>
            <w:vAlign w:val="center"/>
          </w:tcPr>
          <w:p w14:paraId="635CDC51">
            <w:pPr>
              <w:pageBreakBefore w:val="0"/>
              <w:kinsoku/>
              <w:wordWrap/>
              <w:overflowPunct/>
              <w:topLinePunct w:val="0"/>
              <w:autoSpaceDE w:val="0"/>
              <w:autoSpaceDN w:val="0"/>
              <w:bidi w:val="0"/>
              <w:snapToGrid w:val="0"/>
              <w:spacing w:line="440" w:lineRule="exact"/>
              <w:ind w:left="0"/>
              <w:jc w:val="left"/>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投标人信用信息事项</w:t>
            </w:r>
          </w:p>
        </w:tc>
        <w:tc>
          <w:tcPr>
            <w:tcW w:w="7394" w:type="dxa"/>
            <w:gridSpan w:val="2"/>
            <w:vAlign w:val="center"/>
          </w:tcPr>
          <w:p w14:paraId="176ECB50">
            <w:pPr>
              <w:pageBreakBefore w:val="0"/>
              <w:kinsoku/>
              <w:wordWrap/>
              <w:overflowPunct/>
              <w:topLinePunct w:val="0"/>
              <w:autoSpaceDE w:val="0"/>
              <w:autoSpaceDN w:val="0"/>
              <w:bidi w:val="0"/>
              <w:snapToGrid w:val="0"/>
              <w:spacing w:line="440" w:lineRule="exact"/>
              <w:ind w:left="0"/>
              <w:textAlignment w:val="center"/>
              <w:rPr>
                <w:rFonts w:hint="eastAsia" w:ascii="仿宋" w:hAnsi="仿宋" w:eastAsia="仿宋" w:cs="仿宋"/>
                <w:b/>
                <w:bCs/>
                <w:color w:val="auto"/>
                <w:sz w:val="24"/>
                <w:szCs w:val="24"/>
              </w:rPr>
            </w:pPr>
            <w:r>
              <w:rPr>
                <w:rFonts w:hint="eastAsia" w:ascii="仿宋" w:hAnsi="仿宋" w:eastAsia="仿宋" w:cs="仿宋"/>
                <w:b/>
                <w:color w:val="auto"/>
                <w:sz w:val="24"/>
                <w:szCs w:val="24"/>
              </w:rPr>
              <w:t>信用信息查询渠道及截止时间：</w:t>
            </w:r>
            <w:r>
              <w:rPr>
                <w:rFonts w:hint="eastAsia" w:ascii="仿宋" w:hAnsi="仿宋" w:eastAsia="仿宋" w:cs="仿宋"/>
                <w:color w:val="auto"/>
                <w:sz w:val="24"/>
                <w:szCs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rPr>
              <w:t>开标当天</w:t>
            </w:r>
            <w:r>
              <w:rPr>
                <w:rFonts w:hint="eastAsia" w:ascii="仿宋" w:hAnsi="仿宋" w:eastAsia="仿宋" w:cs="仿宋"/>
                <w:color w:val="auto"/>
                <w:sz w:val="24"/>
                <w:szCs w:val="24"/>
              </w:rPr>
              <w:t>的信用记录。</w:t>
            </w:r>
          </w:p>
        </w:tc>
      </w:tr>
      <w:tr w14:paraId="3E54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3596452">
            <w:pPr>
              <w:pageBreakBefore w:val="0"/>
              <w:kinsoku/>
              <w:wordWrap/>
              <w:overflowPunct/>
              <w:topLinePunct w:val="0"/>
              <w:autoSpaceDE w:val="0"/>
              <w:autoSpaceDN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p>
        </w:tc>
        <w:tc>
          <w:tcPr>
            <w:tcW w:w="976" w:type="dxa"/>
            <w:vMerge w:val="continue"/>
            <w:vAlign w:val="center"/>
          </w:tcPr>
          <w:p w14:paraId="08D9DB30">
            <w:pPr>
              <w:keepNext/>
              <w:keepLines/>
              <w:pageBreakBefore w:val="0"/>
              <w:tabs>
                <w:tab w:val="left" w:pos="900"/>
              </w:tabs>
              <w:kinsoku/>
              <w:wordWrap/>
              <w:overflowPunct/>
              <w:topLinePunct w:val="0"/>
              <w:bidi w:val="0"/>
              <w:snapToGrid w:val="0"/>
              <w:spacing w:line="440" w:lineRule="exact"/>
              <w:ind w:left="0" w:hanging="720"/>
              <w:textAlignment w:val="center"/>
              <w:outlineLvl w:val="2"/>
              <w:rPr>
                <w:rFonts w:hint="eastAsia" w:ascii="仿宋" w:hAnsi="仿宋" w:eastAsia="仿宋" w:cs="仿宋"/>
                <w:b/>
                <w:color w:val="auto"/>
                <w:sz w:val="24"/>
                <w:szCs w:val="24"/>
              </w:rPr>
            </w:pPr>
          </w:p>
        </w:tc>
        <w:tc>
          <w:tcPr>
            <w:tcW w:w="7394" w:type="dxa"/>
            <w:gridSpan w:val="2"/>
            <w:vAlign w:val="center"/>
          </w:tcPr>
          <w:p w14:paraId="27BE35B9">
            <w:pPr>
              <w:pageBreakBefore w:val="0"/>
              <w:kinsoku/>
              <w:wordWrap/>
              <w:overflowPunct/>
              <w:topLinePunct w:val="0"/>
              <w:bidi w:val="0"/>
              <w:snapToGrid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信用信息查询记录和证据留存的具体方式：</w:t>
            </w:r>
            <w:r>
              <w:rPr>
                <w:rFonts w:hint="eastAsia" w:ascii="仿宋" w:hAnsi="仿宋" w:eastAsia="仿宋" w:cs="仿宋"/>
                <w:color w:val="auto"/>
                <w:sz w:val="24"/>
                <w:szCs w:val="24"/>
              </w:rPr>
              <w:t>采购人或采购人委托的评审小组或采购代理机构现场查询投标人的信用记录，查询结果经确认后与采购文件一起存档。</w:t>
            </w:r>
          </w:p>
        </w:tc>
      </w:tr>
      <w:tr w14:paraId="2ED3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85AD921">
            <w:pPr>
              <w:pageBreakBefore w:val="0"/>
              <w:kinsoku/>
              <w:wordWrap/>
              <w:overflowPunct/>
              <w:topLinePunct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p>
        </w:tc>
        <w:tc>
          <w:tcPr>
            <w:tcW w:w="976" w:type="dxa"/>
            <w:vMerge w:val="continue"/>
            <w:vAlign w:val="center"/>
          </w:tcPr>
          <w:p w14:paraId="5D45301D">
            <w:pPr>
              <w:keepNext/>
              <w:keepLines/>
              <w:pageBreakBefore w:val="0"/>
              <w:tabs>
                <w:tab w:val="left" w:pos="900"/>
              </w:tabs>
              <w:kinsoku/>
              <w:wordWrap/>
              <w:overflowPunct/>
              <w:topLinePunct w:val="0"/>
              <w:bidi w:val="0"/>
              <w:snapToGrid w:val="0"/>
              <w:spacing w:line="440" w:lineRule="exact"/>
              <w:ind w:left="0" w:hanging="720"/>
              <w:textAlignment w:val="center"/>
              <w:outlineLvl w:val="2"/>
              <w:rPr>
                <w:rFonts w:hint="eastAsia" w:ascii="仿宋" w:hAnsi="仿宋" w:eastAsia="仿宋" w:cs="仿宋"/>
                <w:b/>
                <w:color w:val="auto"/>
                <w:sz w:val="24"/>
                <w:szCs w:val="24"/>
              </w:rPr>
            </w:pPr>
          </w:p>
        </w:tc>
        <w:tc>
          <w:tcPr>
            <w:tcW w:w="7394" w:type="dxa"/>
            <w:gridSpan w:val="2"/>
            <w:vAlign w:val="center"/>
          </w:tcPr>
          <w:p w14:paraId="7F53D287">
            <w:pPr>
              <w:pageBreakBefore w:val="0"/>
              <w:kinsoku/>
              <w:wordWrap/>
              <w:overflowPunct/>
              <w:topLinePunct w:val="0"/>
              <w:bidi w:val="0"/>
              <w:snapToGrid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信用信息的使用规则：</w:t>
            </w:r>
            <w:r>
              <w:rPr>
                <w:rFonts w:hint="eastAsia" w:ascii="仿宋" w:hAnsi="仿宋" w:eastAsia="仿宋" w:cs="仿宋"/>
                <w:color w:val="auto"/>
                <w:sz w:val="24"/>
                <w:szCs w:val="24"/>
              </w:rPr>
              <w:t>经查询列入失信被执行人名单、重大税收违法案件当事人名单、政府采购严重违法失信行为记录名单的投标人将被拒绝参与采购活动。</w:t>
            </w:r>
          </w:p>
        </w:tc>
      </w:tr>
      <w:tr w14:paraId="740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889022C">
            <w:pPr>
              <w:pageBreakBefore w:val="0"/>
              <w:kinsoku/>
              <w:wordWrap/>
              <w:overflowPunct/>
              <w:topLinePunct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8370" w:type="dxa"/>
            <w:gridSpan w:val="3"/>
            <w:vAlign w:val="center"/>
          </w:tcPr>
          <w:p w14:paraId="1F741284">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更正补充公告请自行登录浙江政府采购网查看下载。</w:t>
            </w:r>
          </w:p>
        </w:tc>
      </w:tr>
      <w:tr w14:paraId="5B81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BD25E25">
            <w:pPr>
              <w:pageBreakBefore w:val="0"/>
              <w:kinsoku/>
              <w:wordWrap/>
              <w:overflowPunct/>
              <w:topLinePunct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8370" w:type="dxa"/>
            <w:gridSpan w:val="3"/>
            <w:vAlign w:val="center"/>
          </w:tcPr>
          <w:p w14:paraId="47CDF533">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投标与开标注意事项：</w:t>
            </w:r>
          </w:p>
          <w:p w14:paraId="6FA7797B">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1.本项目实行网上投标，采用电子投标文件。若供应商参与投标，自行承担投标一切费用。</w:t>
            </w:r>
          </w:p>
          <w:p w14:paraId="1E4B691A">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367E0D5D">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注：供应商CA相关操作可参考乐采云平台https://www.lecaiyun.com/《CA申领操作指南》和《CA管理操作指南》。完成CA数字证书办理在资料齐全的情况下预计7个工作日左右，建议供应商获取招标文件后立即办理。</w:t>
            </w:r>
          </w:p>
          <w:p w14:paraId="3FA521DC">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3.投标文件制作、递交、解密：</w:t>
            </w:r>
          </w:p>
          <w:p w14:paraId="570B9F34">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3.1应按照本项目招标文件和乐采云平台的要求编制、加密传输投标文件。供应商在使用系统进行投标的过程中遇到涉及平台使用的任何问题，可致电乐采云平台技术支持热线咨询，联系方式：95763。</w:t>
            </w:r>
          </w:p>
          <w:p w14:paraId="3A0B6741">
            <w:pPr>
              <w:pageBreakBefore w:val="0"/>
              <w:kinsoku/>
              <w:wordWrap/>
              <w:overflowPunct/>
              <w:topLinePunct w:val="0"/>
              <w:bidi w:val="0"/>
              <w:snapToGrid w:val="0"/>
              <w:spacing w:line="440" w:lineRule="exact"/>
              <w:ind w:left="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3.2投标人通过“乐采云”平台制作电子投标文件，投标文件制作详见“供应商-政府采购项目电子交易操作指南。</w:t>
            </w:r>
          </w:p>
          <w:p w14:paraId="66EF2157">
            <w:pPr>
              <w:pageBreakBefore w:val="0"/>
              <w:kinsoku/>
              <w:wordWrap/>
              <w:overflowPunct/>
              <w:topLinePunct w:val="0"/>
              <w:bidi w:val="0"/>
              <w:snapToGrid w:val="0"/>
              <w:spacing w:line="440" w:lineRule="exact"/>
              <w:ind w:left="0"/>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3.3开标时间后30分钟内供应商可以登录“乐采云”平台，用“项目采购-开标评标”功能进行解密投标文件。若供应商</w:t>
            </w:r>
            <w:r>
              <w:rPr>
                <w:rFonts w:hint="eastAsia" w:ascii="仿宋" w:hAnsi="仿宋" w:eastAsia="仿宋" w:cs="仿宋"/>
                <w:b/>
                <w:color w:val="auto"/>
                <w:sz w:val="24"/>
                <w:szCs w:val="24"/>
                <w:u w:val="single"/>
              </w:rPr>
              <w:t>未按时解密的</w:t>
            </w:r>
            <w:r>
              <w:rPr>
                <w:rFonts w:hint="eastAsia" w:ascii="仿宋" w:hAnsi="仿宋" w:eastAsia="仿宋" w:cs="仿宋"/>
                <w:color w:val="auto"/>
                <w:sz w:val="24"/>
                <w:szCs w:val="24"/>
              </w:rPr>
              <w:t>，</w:t>
            </w:r>
            <w:r>
              <w:rPr>
                <w:rFonts w:hint="eastAsia" w:ascii="仿宋" w:hAnsi="仿宋" w:eastAsia="仿宋" w:cs="仿宋"/>
                <w:b/>
                <w:color w:val="auto"/>
                <w:sz w:val="24"/>
                <w:szCs w:val="24"/>
                <w:u w:val="single"/>
              </w:rPr>
              <w:t>视为投标文件撤回</w:t>
            </w:r>
            <w:r>
              <w:rPr>
                <w:rFonts w:hint="eastAsia" w:ascii="仿宋" w:hAnsi="仿宋" w:eastAsia="仿宋" w:cs="仿宋"/>
                <w:color w:val="auto"/>
                <w:sz w:val="24"/>
                <w:szCs w:val="24"/>
              </w:rPr>
              <w:t>。</w:t>
            </w:r>
          </w:p>
        </w:tc>
      </w:tr>
      <w:tr w14:paraId="471B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19EB0A2">
            <w:pPr>
              <w:pageBreakBefore w:val="0"/>
              <w:kinsoku/>
              <w:wordWrap/>
              <w:overflowPunct/>
              <w:topLinePunct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16</w:t>
            </w:r>
          </w:p>
        </w:tc>
        <w:tc>
          <w:tcPr>
            <w:tcW w:w="8370" w:type="dxa"/>
            <w:gridSpan w:val="3"/>
            <w:vAlign w:val="center"/>
          </w:tcPr>
          <w:p w14:paraId="3E2F331C">
            <w:pPr>
              <w:pageBreakBefore w:val="0"/>
              <w:kinsoku/>
              <w:wordWrap/>
              <w:overflowPunct/>
              <w:topLinePunct w:val="0"/>
              <w:bidi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采购代理服务费：</w:t>
            </w:r>
          </w:p>
          <w:p w14:paraId="10833FAF">
            <w:pPr>
              <w:spacing w:line="440" w:lineRule="exact"/>
              <w:rPr>
                <w:rFonts w:hint="eastAsia" w:ascii="仿宋" w:hAnsi="仿宋" w:eastAsia="仿宋" w:cs="仿宋"/>
                <w:snapToGrid w:val="0"/>
                <w:kern w:val="28"/>
                <w:sz w:val="24"/>
              </w:rPr>
            </w:pPr>
            <w:r>
              <w:rPr>
                <w:rFonts w:hint="eastAsia" w:ascii="仿宋" w:hAnsi="仿宋" w:eastAsia="仿宋" w:cs="仿宋"/>
                <w:snapToGrid w:val="0"/>
                <w:kern w:val="28"/>
                <w:sz w:val="24"/>
                <w:lang w:val="en-US" w:eastAsia="zh-CN"/>
              </w:rPr>
              <w:t>1.</w:t>
            </w:r>
            <w:r>
              <w:rPr>
                <w:rFonts w:hint="eastAsia" w:ascii="仿宋" w:hAnsi="仿宋" w:eastAsia="仿宋" w:cs="仿宋"/>
                <w:snapToGrid w:val="0"/>
                <w:kern w:val="28"/>
                <w:sz w:val="24"/>
              </w:rPr>
              <w:t>中标单位须向招标代理机构按如下标准</w:t>
            </w:r>
            <w:r>
              <w:rPr>
                <w:rFonts w:hint="eastAsia" w:ascii="仿宋" w:hAnsi="仿宋" w:eastAsia="仿宋" w:cs="仿宋"/>
                <w:snapToGrid w:val="0"/>
                <w:color w:val="auto"/>
                <w:kern w:val="28"/>
                <w:sz w:val="24"/>
                <w:lang w:val="en-US" w:eastAsia="zh-CN"/>
              </w:rPr>
              <w:t>下浮40%</w:t>
            </w:r>
            <w:r>
              <w:rPr>
                <w:rFonts w:hint="eastAsia" w:ascii="仿宋" w:hAnsi="仿宋" w:eastAsia="仿宋" w:cs="仿宋"/>
                <w:snapToGrid w:val="0"/>
                <w:color w:val="auto"/>
                <w:kern w:val="28"/>
                <w:sz w:val="24"/>
              </w:rPr>
              <w:t>收取（招标代理费按差额定率累进法计算）</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szCs w:val="24"/>
                <w:lang w:eastAsia="zh-CN"/>
              </w:rPr>
              <w:t>其他费用按实</w:t>
            </w:r>
            <w:r>
              <w:rPr>
                <w:rFonts w:hint="eastAsia" w:ascii="仿宋" w:hAnsi="仿宋" w:eastAsia="仿宋" w:cs="仿宋"/>
                <w:color w:val="auto"/>
                <w:sz w:val="24"/>
                <w:szCs w:val="24"/>
                <w:lang w:val="en-US" w:eastAsia="zh-CN"/>
              </w:rPr>
              <w:t>结算，</w:t>
            </w:r>
            <w:r>
              <w:rPr>
                <w:rFonts w:hint="eastAsia" w:ascii="仿宋" w:hAnsi="仿宋" w:eastAsia="仿宋" w:cs="仿宋"/>
                <w:snapToGrid w:val="0"/>
                <w:kern w:val="28"/>
                <w:sz w:val="24"/>
              </w:rPr>
              <w:t>请在投标报价中自行考虑：</w:t>
            </w:r>
          </w:p>
          <w:tbl>
            <w:tblPr>
              <w:tblStyle w:val="62"/>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786"/>
              <w:gridCol w:w="1786"/>
              <w:gridCol w:w="1788"/>
            </w:tblGrid>
            <w:tr w14:paraId="30C1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0" w:type="dxa"/>
                  <w:noWrap w:val="0"/>
                  <w:vAlign w:val="center"/>
                </w:tcPr>
                <w:p w14:paraId="47099E83">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中标金额（万元）</w:t>
                  </w:r>
                </w:p>
              </w:tc>
              <w:tc>
                <w:tcPr>
                  <w:tcW w:w="1786" w:type="dxa"/>
                  <w:noWrap w:val="0"/>
                  <w:vAlign w:val="center"/>
                </w:tcPr>
                <w:p w14:paraId="56210A71">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货物招标</w:t>
                  </w:r>
                </w:p>
              </w:tc>
              <w:tc>
                <w:tcPr>
                  <w:tcW w:w="1786" w:type="dxa"/>
                  <w:noWrap w:val="0"/>
                  <w:vAlign w:val="center"/>
                </w:tcPr>
                <w:p w14:paraId="5C75204A">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服务招标</w:t>
                  </w:r>
                </w:p>
              </w:tc>
              <w:tc>
                <w:tcPr>
                  <w:tcW w:w="1788" w:type="dxa"/>
                  <w:noWrap w:val="0"/>
                  <w:vAlign w:val="center"/>
                </w:tcPr>
                <w:p w14:paraId="744D14E3">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工程招标</w:t>
                  </w:r>
                </w:p>
              </w:tc>
            </w:tr>
            <w:tr w14:paraId="06E5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010" w:type="dxa"/>
                  <w:noWrap w:val="0"/>
                  <w:vAlign w:val="center"/>
                </w:tcPr>
                <w:p w14:paraId="58436801">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1786" w:type="dxa"/>
                  <w:noWrap w:val="0"/>
                  <w:vAlign w:val="center"/>
                </w:tcPr>
                <w:p w14:paraId="7F973EAA">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786" w:type="dxa"/>
                  <w:noWrap w:val="0"/>
                  <w:vAlign w:val="center"/>
                </w:tcPr>
                <w:p w14:paraId="34E5EB09">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788" w:type="dxa"/>
                  <w:noWrap w:val="0"/>
                  <w:vAlign w:val="center"/>
                </w:tcPr>
                <w:p w14:paraId="7C231868">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0A7A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010" w:type="dxa"/>
                  <w:noWrap w:val="0"/>
                  <w:vAlign w:val="center"/>
                </w:tcPr>
                <w:p w14:paraId="6F5E1E0A">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100-500</w:t>
                  </w:r>
                </w:p>
              </w:tc>
              <w:tc>
                <w:tcPr>
                  <w:tcW w:w="1786" w:type="dxa"/>
                  <w:noWrap w:val="0"/>
                  <w:vAlign w:val="center"/>
                </w:tcPr>
                <w:p w14:paraId="1F7F82CA">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786" w:type="dxa"/>
                  <w:noWrap w:val="0"/>
                  <w:vAlign w:val="center"/>
                </w:tcPr>
                <w:p w14:paraId="2328AEA6">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w:t>
                  </w:r>
                </w:p>
              </w:tc>
              <w:tc>
                <w:tcPr>
                  <w:tcW w:w="1788" w:type="dxa"/>
                  <w:noWrap w:val="0"/>
                  <w:vAlign w:val="center"/>
                </w:tcPr>
                <w:p w14:paraId="3E730901">
                  <w:pPr>
                    <w:pStyle w:val="5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0.7%</w:t>
                  </w:r>
                </w:p>
              </w:tc>
            </w:tr>
          </w:tbl>
          <w:p w14:paraId="5D62E7FE">
            <w:pPr>
              <w:pageBreakBefore w:val="0"/>
              <w:kinsoku/>
              <w:wordWrap/>
              <w:overflowPunct/>
              <w:topLinePunct w:val="0"/>
              <w:bidi w:val="0"/>
              <w:snapToGrid w:val="0"/>
              <w:spacing w:line="440" w:lineRule="exact"/>
              <w:ind w:left="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代理服务费以（转账或现金形式支付） ：</w:t>
            </w:r>
          </w:p>
          <w:p w14:paraId="423D5672">
            <w:pPr>
              <w:pageBreakBefore w:val="0"/>
              <w:kinsoku/>
              <w:wordWrap/>
              <w:overflowPunct/>
              <w:topLinePunct w:val="0"/>
              <w:bidi w:val="0"/>
              <w:snapToGrid w:val="0"/>
              <w:spacing w:line="440" w:lineRule="exact"/>
              <w:ind w:left="0"/>
              <w:jc w:val="left"/>
              <w:textAlignment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收款单位（户名）：</w:t>
            </w:r>
            <w:r>
              <w:rPr>
                <w:rFonts w:hint="eastAsia" w:ascii="仿宋" w:hAnsi="仿宋" w:eastAsia="仿宋" w:cs="仿宋"/>
                <w:color w:val="auto"/>
                <w:sz w:val="24"/>
                <w:szCs w:val="24"/>
              </w:rPr>
              <w:t>东方经纬项目管理有限公司嵊州分公司</w:t>
            </w:r>
          </w:p>
          <w:p w14:paraId="36998533">
            <w:pPr>
              <w:pageBreakBefore w:val="0"/>
              <w:kinsoku/>
              <w:wordWrap/>
              <w:overflowPunct/>
              <w:topLinePunct w:val="0"/>
              <w:bidi w:val="0"/>
              <w:snapToGrid w:val="0"/>
              <w:spacing w:line="440" w:lineRule="exact"/>
              <w:ind w:left="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开  户：</w:t>
            </w:r>
            <w:r>
              <w:rPr>
                <w:rFonts w:hint="eastAsia" w:ascii="仿宋" w:hAnsi="仿宋" w:eastAsia="仿宋" w:cs="仿宋"/>
                <w:color w:val="auto"/>
                <w:sz w:val="24"/>
                <w:szCs w:val="24"/>
              </w:rPr>
              <w:t>中国农业银行嵊州临城支行</w:t>
            </w:r>
          </w:p>
          <w:p w14:paraId="260B59FC">
            <w:pPr>
              <w:pageBreakBefore w:val="0"/>
              <w:kinsoku/>
              <w:wordWrap/>
              <w:overflowPunct/>
              <w:topLinePunct w:val="0"/>
              <w:bidi w:val="0"/>
              <w:snapToGrid w:val="0"/>
              <w:spacing w:line="440" w:lineRule="exact"/>
              <w:ind w:left="0"/>
              <w:jc w:val="left"/>
              <w:textAlignment w:val="center"/>
              <w:rPr>
                <w:rFonts w:hint="eastAsia" w:ascii="仿宋" w:hAnsi="仿宋" w:eastAsia="仿宋" w:cs="仿宋"/>
                <w:b w:val="0"/>
                <w:bCs/>
                <w:color w:val="auto"/>
                <w:kern w:val="2"/>
                <w:sz w:val="24"/>
                <w:szCs w:val="24"/>
                <w:lang w:val="zh-CN" w:eastAsia="zh-CN" w:bidi="ar-SA"/>
              </w:rPr>
            </w:pPr>
            <w:r>
              <w:rPr>
                <w:rFonts w:hint="eastAsia" w:ascii="仿宋" w:hAnsi="仿宋" w:eastAsia="仿宋" w:cs="仿宋"/>
                <w:color w:val="auto"/>
                <w:sz w:val="24"/>
                <w:szCs w:val="24"/>
                <w:lang w:val="zh-CN"/>
              </w:rPr>
              <w:t>账  号：19521401040007551</w:t>
            </w:r>
          </w:p>
        </w:tc>
      </w:tr>
      <w:tr w14:paraId="3734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EA1A57A">
            <w:pPr>
              <w:pageBreakBefore w:val="0"/>
              <w:kinsoku/>
              <w:wordWrap/>
              <w:overflowPunct/>
              <w:topLinePunct w:val="0"/>
              <w:bidi w:val="0"/>
              <w:spacing w:line="440" w:lineRule="exact"/>
              <w:ind w:left="0" w:leftChars="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w:t>
            </w:r>
          </w:p>
        </w:tc>
        <w:tc>
          <w:tcPr>
            <w:tcW w:w="8370" w:type="dxa"/>
            <w:gridSpan w:val="3"/>
            <w:vAlign w:val="center"/>
          </w:tcPr>
          <w:p w14:paraId="72747F17">
            <w:pPr>
              <w:keepNext w:val="0"/>
              <w:keepLines w:val="0"/>
              <w:pageBreakBefore w:val="0"/>
              <w:widowControl w:val="0"/>
              <w:kinsoku/>
              <w:wordWrap/>
              <w:overflowPunct/>
              <w:topLinePunct w:val="0"/>
              <w:autoSpaceDE w:val="0"/>
              <w:autoSpaceDN w:val="0"/>
              <w:bidi w:val="0"/>
              <w:spacing w:line="440" w:lineRule="exact"/>
              <w:ind w:left="0"/>
              <w:jc w:val="left"/>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sz w:val="24"/>
                <w:szCs w:val="24"/>
                <w:highlight w:val="none"/>
                <w:lang w:val="en-US" w:eastAsia="zh-CN"/>
              </w:rPr>
              <w:t>结束解密后，供应商通过邮件形式将经法定代表人或授权代表签署的《国企采购活动现场确认声明书》（格式见采购文件最后一页内容）扫描件发至代理机构经办人邮箱（</w:t>
            </w:r>
            <w:r>
              <w:rPr>
                <w:rFonts w:hint="eastAsia" w:ascii="仿宋" w:hAnsi="仿宋" w:eastAsia="仿宋" w:cs="仿宋"/>
                <w:b w:val="0"/>
                <w:bCs/>
                <w:color w:val="auto"/>
                <w:sz w:val="24"/>
                <w:szCs w:val="24"/>
                <w:highlight w:val="none"/>
                <w:lang w:val="en-US" w:eastAsia="zh-CN"/>
              </w:rPr>
              <w:fldChar w:fldCharType="begin"/>
            </w:r>
            <w:r>
              <w:rPr>
                <w:rFonts w:hint="eastAsia" w:ascii="仿宋" w:hAnsi="仿宋" w:eastAsia="仿宋" w:cs="仿宋"/>
                <w:b w:val="0"/>
                <w:bCs/>
                <w:color w:val="auto"/>
                <w:sz w:val="24"/>
                <w:szCs w:val="24"/>
                <w:highlight w:val="none"/>
                <w:lang w:val="en-US" w:eastAsia="zh-CN"/>
              </w:rPr>
              <w:instrText xml:space="preserve"> HYPERLINK "mailto:360745117@qq.com" \h </w:instrText>
            </w:r>
            <w:r>
              <w:rPr>
                <w:rFonts w:hint="eastAsia" w:ascii="仿宋" w:hAnsi="仿宋" w:eastAsia="仿宋" w:cs="仿宋"/>
                <w:b w:val="0"/>
                <w:bCs/>
                <w:color w:val="auto"/>
                <w:sz w:val="24"/>
                <w:szCs w:val="24"/>
                <w:highlight w:val="none"/>
                <w:lang w:val="en-US" w:eastAsia="zh-CN"/>
              </w:rPr>
              <w:fldChar w:fldCharType="separate"/>
            </w:r>
            <w:r>
              <w:rPr>
                <w:rFonts w:hint="eastAsia" w:ascii="仿宋" w:hAnsi="仿宋" w:eastAsia="仿宋" w:cs="仿宋"/>
                <w:b w:val="0"/>
                <w:bCs/>
                <w:color w:val="auto"/>
                <w:sz w:val="24"/>
                <w:szCs w:val="24"/>
                <w:highlight w:val="none"/>
                <w:lang w:val="en-US" w:eastAsia="zh-CN"/>
              </w:rPr>
              <w:t>444529836@qq.com</w:t>
            </w:r>
            <w:r>
              <w:rPr>
                <w:rFonts w:hint="eastAsia" w:ascii="仿宋" w:hAnsi="仿宋" w:eastAsia="仿宋" w:cs="仿宋"/>
                <w:b w:val="0"/>
                <w:bCs/>
                <w:color w:val="auto"/>
                <w:sz w:val="24"/>
                <w:szCs w:val="24"/>
                <w:highlight w:val="none"/>
                <w:lang w:val="en-US" w:eastAsia="zh-CN"/>
              </w:rPr>
              <w:fldChar w:fldCharType="end"/>
            </w:r>
            <w:r>
              <w:rPr>
                <w:rFonts w:hint="eastAsia" w:ascii="仿宋" w:hAnsi="仿宋" w:eastAsia="仿宋" w:cs="仿宋"/>
                <w:b w:val="0"/>
                <w:bCs/>
                <w:color w:val="auto"/>
                <w:sz w:val="24"/>
                <w:szCs w:val="24"/>
                <w:highlight w:val="none"/>
                <w:lang w:val="en-US" w:eastAsia="zh-CN"/>
              </w:rPr>
              <w:t>，联系人：刘丽梅，电话：18857562906）</w:t>
            </w:r>
          </w:p>
        </w:tc>
      </w:tr>
      <w:tr w14:paraId="37CE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CD160B5">
            <w:pPr>
              <w:pageBreakBefore w:val="0"/>
              <w:kinsoku/>
              <w:wordWrap/>
              <w:overflowPunct/>
              <w:topLinePunct w:val="0"/>
              <w:bidi w:val="0"/>
              <w:spacing w:line="440" w:lineRule="exact"/>
              <w:ind w:left="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8370" w:type="dxa"/>
            <w:gridSpan w:val="3"/>
            <w:vAlign w:val="center"/>
          </w:tcPr>
          <w:p w14:paraId="5C235636">
            <w:pPr>
              <w:keepNext w:val="0"/>
              <w:keepLines w:val="0"/>
              <w:pageBreakBefore w:val="0"/>
              <w:widowControl w:val="0"/>
              <w:kinsoku/>
              <w:wordWrap/>
              <w:overflowPunct/>
              <w:topLinePunct w:val="0"/>
              <w:autoSpaceDE w:val="0"/>
              <w:autoSpaceDN w:val="0"/>
              <w:bidi w:val="0"/>
              <w:spacing w:line="440" w:lineRule="exact"/>
              <w:ind w:left="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snapToGrid w:val="0"/>
                <w:color w:val="auto"/>
                <w:kern w:val="2"/>
                <w:sz w:val="24"/>
                <w:szCs w:val="24"/>
                <w:lang w:val="en-US" w:eastAsia="zh-CN" w:bidi="ar-SA"/>
              </w:rPr>
              <w:t>推荐中标候选人数量：1名。</w:t>
            </w:r>
          </w:p>
        </w:tc>
      </w:tr>
      <w:tr w14:paraId="4D6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642BFE8">
            <w:pPr>
              <w:keepNext w:val="0"/>
              <w:keepLines w:val="0"/>
              <w:pageBreakBefore w:val="0"/>
              <w:widowControl w:val="0"/>
              <w:kinsoku/>
              <w:wordWrap/>
              <w:overflowPunct/>
              <w:topLinePunct w:val="0"/>
              <w:autoSpaceDE w:val="0"/>
              <w:autoSpaceDN w:val="0"/>
              <w:bidi w:val="0"/>
              <w:spacing w:line="440" w:lineRule="exact"/>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解释</w:t>
            </w:r>
          </w:p>
        </w:tc>
        <w:tc>
          <w:tcPr>
            <w:tcW w:w="8370" w:type="dxa"/>
            <w:gridSpan w:val="3"/>
            <w:vAlign w:val="center"/>
          </w:tcPr>
          <w:p w14:paraId="73ECF0F8">
            <w:pPr>
              <w:keepNext w:val="0"/>
              <w:keepLines w:val="0"/>
              <w:pageBreakBefore w:val="0"/>
              <w:widowControl w:val="0"/>
              <w:kinsoku/>
              <w:wordWrap/>
              <w:overflowPunct/>
              <w:topLinePunct w:val="0"/>
              <w:autoSpaceDE w:val="0"/>
              <w:autoSpaceDN w:val="0"/>
              <w:bidi w:val="0"/>
              <w:spacing w:line="440" w:lineRule="exact"/>
              <w:ind w:lef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凡涉及本招标文件的解释权属于采购人</w:t>
            </w:r>
            <w:r>
              <w:rPr>
                <w:rFonts w:hint="eastAsia" w:ascii="仿宋" w:hAnsi="仿宋" w:eastAsia="仿宋" w:cs="仿宋"/>
                <w:color w:val="auto"/>
                <w:sz w:val="24"/>
                <w:szCs w:val="24"/>
                <w:lang w:val="en-US" w:eastAsia="zh-CN"/>
              </w:rPr>
              <w:t>及采购代理机构。</w:t>
            </w:r>
          </w:p>
        </w:tc>
      </w:tr>
      <w:tr w14:paraId="5BB5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14:paraId="6F29DE84">
            <w:pPr>
              <w:pageBreakBefore w:val="0"/>
              <w:kinsoku/>
              <w:wordWrap/>
              <w:overflowPunct/>
              <w:topLinePunct w:val="0"/>
              <w:bidi w:val="0"/>
              <w:spacing w:line="440" w:lineRule="exact"/>
              <w:ind w:left="0"/>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注：中标人放弃中标资格或因质疑、投诉被取消中标资格或不能履行合同的，本项目重新组织采购。</w:t>
            </w:r>
          </w:p>
        </w:tc>
      </w:tr>
      <w:bookmarkEnd w:id="9"/>
    </w:tbl>
    <w:p w14:paraId="66D87A5C">
      <w:pPr>
        <w:pageBreakBefore/>
        <w:adjustRightInd/>
        <w:spacing w:line="360" w:lineRule="auto"/>
        <w:jc w:val="center"/>
        <w:outlineLvl w:val="0"/>
        <w:rPr>
          <w:rFonts w:hint="eastAsia" w:ascii="仿宋" w:hAnsi="仿宋" w:eastAsia="仿宋" w:cs="仿宋"/>
          <w:b/>
          <w:color w:val="auto"/>
          <w:sz w:val="32"/>
          <w:szCs w:val="32"/>
        </w:rPr>
      </w:pPr>
      <w:bookmarkStart w:id="22" w:name="_Hlt74714665"/>
      <w:bookmarkEnd w:id="22"/>
      <w:bookmarkStart w:id="23" w:name="_Hlt68057669"/>
      <w:bookmarkEnd w:id="23"/>
      <w:bookmarkStart w:id="24" w:name="_Hlt74729768"/>
      <w:bookmarkEnd w:id="24"/>
      <w:bookmarkStart w:id="25" w:name="_Hlt74707468"/>
      <w:bookmarkEnd w:id="25"/>
      <w:bookmarkStart w:id="26" w:name="_Hlt74730295"/>
      <w:bookmarkEnd w:id="26"/>
      <w:bookmarkStart w:id="27" w:name="_Hlt75236101"/>
      <w:bookmarkEnd w:id="27"/>
      <w:bookmarkStart w:id="28" w:name="_Hlt75236011"/>
      <w:bookmarkEnd w:id="28"/>
      <w:bookmarkStart w:id="29" w:name="_Hlt68403820"/>
      <w:bookmarkEnd w:id="29"/>
      <w:bookmarkStart w:id="30" w:name="_Hlt68072990"/>
      <w:bookmarkEnd w:id="30"/>
      <w:bookmarkStart w:id="31" w:name="_Hlt68073093"/>
      <w:bookmarkEnd w:id="31"/>
      <w:bookmarkStart w:id="32" w:name="_Hlt75236290"/>
      <w:bookmarkEnd w:id="32"/>
      <w:bookmarkStart w:id="33" w:name="_Hlt68072998"/>
      <w:bookmarkEnd w:id="33"/>
      <w:bookmarkStart w:id="34" w:name="第三部分"/>
      <w:bookmarkStart w:id="35" w:name="_Toc164416483"/>
      <w:r>
        <w:rPr>
          <w:rFonts w:hint="eastAsia" w:ascii="仿宋" w:hAnsi="仿宋" w:eastAsia="仿宋" w:cs="仿宋"/>
          <w:b/>
          <w:color w:val="auto"/>
          <w:sz w:val="32"/>
          <w:szCs w:val="32"/>
        </w:rPr>
        <w:t>一、总则</w:t>
      </w:r>
    </w:p>
    <w:p w14:paraId="1993FF39">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7185513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14:paraId="1DFB4EDE">
      <w:pPr>
        <w:keepNext w:val="0"/>
        <w:keepLines w:val="0"/>
        <w:pageBreakBefore w:val="0"/>
        <w:widowControl w:val="0"/>
        <w:kinsoku/>
        <w:wordWrap/>
        <w:overflowPunct/>
        <w:topLinePunct w:val="0"/>
        <w:autoSpaceDE/>
        <w:autoSpaceDN/>
        <w:bidi w:val="0"/>
        <w:adjustRightInd/>
        <w:spacing w:line="440" w:lineRule="exact"/>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2D3B617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人”系指招标公告中载明的本项目的采购人。</w:t>
      </w:r>
    </w:p>
    <w:p w14:paraId="6A4461C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“采购代理机构”系指招标公告中载明的本项目的采购代理机构。</w:t>
      </w:r>
    </w:p>
    <w:p w14:paraId="4C6E68E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“投标人”“供应商”系指是指响应招标、参加投标竞争的法人、其他组织或者自然人。</w:t>
      </w:r>
    </w:p>
    <w:p w14:paraId="451EFC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2.4“监督单位”系指招标公告中载明的本项目的监督管理部门。</w:t>
      </w:r>
    </w:p>
    <w:p w14:paraId="7F511D0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 “负责人”系指法人企业的法定负责人，或其他组织为法律、行政法规规定代表单位行使职权的主要负责人，或自然人本人。</w:t>
      </w:r>
    </w:p>
    <w:p w14:paraId="619B79C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2.6“电子签名”系指数据电文中以电子形式所含、所附用于识别签名人身份并表明签名人认可其中内容的数据；“公章”系指单位法定名称章。</w:t>
      </w:r>
    </w:p>
    <w:p w14:paraId="77F31B4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2.7“电子交易平台”系指本项目采购活动所依托的乐采云平台（https://www.lecaiyun.com/）。</w:t>
      </w:r>
    </w:p>
    <w:p w14:paraId="1E8F35B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2.8“★”系指实质性指标要求条款，“▲” 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410AA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lang w:val="en-US" w:eastAsia="zh-CN"/>
        </w:rPr>
        <w:t>2.9</w:t>
      </w: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59EB12F6">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3.采购项目需要落实的采购政策</w:t>
      </w:r>
    </w:p>
    <w:p w14:paraId="4AA40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D2472E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支持绿色发展</w:t>
      </w:r>
    </w:p>
    <w:p w14:paraId="676989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47312F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支持科技创新发展</w:t>
      </w:r>
    </w:p>
    <w:p w14:paraId="75F19F1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对省级以上主管部门认定的首台套产品，自纳入《省推广应用指导目录》起三年内参加政府采购活动，视同已具备相应销售业绩，业绩分为满分。</w:t>
      </w:r>
    </w:p>
    <w:p w14:paraId="3AECF0F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平等对待内外资企业和符合条件的破产重整企业</w:t>
      </w:r>
    </w:p>
    <w:p w14:paraId="624C520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平等对待内外资企业和符合条件的破产重整企业，切实保障企业公平竞争，平等维护企业的合法利益。</w:t>
      </w:r>
    </w:p>
    <w:p w14:paraId="78962F1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★4.特别说明：</w:t>
      </w:r>
    </w:p>
    <w:p w14:paraId="08BB19C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4.1供应商投标所使用的资格、信誉、荣誉、业绩与企业认证必须为投标单位所拥有。供应商投标所使用的采购项目实施人员必须为投标单位正式员工。</w:t>
      </w:r>
    </w:p>
    <w:p w14:paraId="41E7AB9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4.2供应商应仔细阅读招标文件的所有内容，按照招标文件的要求提交投标文件，并对所提供的全部资料的真实性承担法律责任。</w:t>
      </w:r>
    </w:p>
    <w:p w14:paraId="3D6E07E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4.3供应商在投标活动中提供任何虚假材料,其投标无效，并报</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部门查处；中标后发现的,中标人须依照《中华人民共和国消费者权益保护法》规定赔偿采购人，且民事赔偿并不免除违法供应商的行政与刑事责任。</w:t>
      </w:r>
    </w:p>
    <w:p w14:paraId="3291FB76">
      <w:pPr>
        <w:adjustRightInd/>
        <w:spacing w:line="360" w:lineRule="auto"/>
        <w:jc w:val="center"/>
        <w:outlineLvl w:val="0"/>
        <w:rPr>
          <w:rFonts w:hint="eastAsia" w:ascii="仿宋" w:hAnsi="仿宋" w:eastAsia="仿宋" w:cs="仿宋"/>
          <w:b/>
          <w:color w:val="auto"/>
          <w:sz w:val="32"/>
          <w:szCs w:val="32"/>
        </w:rPr>
      </w:pPr>
    </w:p>
    <w:p w14:paraId="0F9F98B8">
      <w:pPr>
        <w:adjustRightInd/>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14:paraId="7EB0B44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1．招标方式</w:t>
      </w:r>
    </w:p>
    <w:p w14:paraId="37CABAF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本次招标采用公开招标方式进行。</w:t>
      </w:r>
    </w:p>
    <w:p w14:paraId="3820D45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 如某一标项投标人或实质性响应招标文件的投标人不足三家时，由采购人重新组织招标或按有关规定实施。</w:t>
      </w:r>
    </w:p>
    <w:p w14:paraId="5E825B7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 本次招标设定限价，即招标公告中公布的各标项预算金额或最高限价（各标项之间的预算金额不能互相调整）。</w:t>
      </w:r>
    </w:p>
    <w:p w14:paraId="14FA8AD0">
      <w:pPr>
        <w:pStyle w:val="25"/>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0" w:firstLineChars="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2.授权委托</w:t>
      </w:r>
    </w:p>
    <w:p w14:paraId="0366C7A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本项目为电子投标项目，投标人的法定代表人或其授权代表或个体工商户不需要参加现场投标和开标。</w:t>
      </w:r>
    </w:p>
    <w:p w14:paraId="5DD99C9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投标费用</w:t>
      </w:r>
    </w:p>
    <w:p w14:paraId="556280C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投标人应自行承担编制投标文件及参加本次投标所涉及的一切费用。不管投标结果如何，</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对上述费用不负任何责任。</w:t>
      </w:r>
    </w:p>
    <w:p w14:paraId="215A71B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 招标文件的修改</w:t>
      </w:r>
    </w:p>
    <w:p w14:paraId="6E55E76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4.1招标文件包括本招标文件及所有的招标答疑记录（澄清、修改）和发出的补充通知。</w:t>
      </w:r>
    </w:p>
    <w:p w14:paraId="2D5FB89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4.2招标文件的澄清 </w:t>
      </w:r>
    </w:p>
    <w:p w14:paraId="65B1340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投标人对招标文件如有疑点要求澄清，可用书面形式（包括并不仅限于纸质、信件和数据电文(包括电报、电传、传真、电子数据交换和电子邮件）)等通知</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，但通知不得迟于开标前7日使</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收到，</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将用书面形式予以答复。如有必要，可将不说明来源的答复发给所有投标人。</w:t>
      </w:r>
    </w:p>
    <w:p w14:paraId="2BFB3C9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4.3招标文件的修改</w:t>
      </w:r>
    </w:p>
    <w:p w14:paraId="688DAE3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4.3.1在投标截止时间前，</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57FD86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4.3.2为使投标人有足够的时间按修改文件要求修正投标文件，</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可酌情推迟投标截止时间和开标时间，并将此变更通知投标人。在这种情况下，</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与投标人以前在投标截止期方面的全部权力、责任和义务，将适用于延长后新的投标截止期。</w:t>
      </w:r>
    </w:p>
    <w:p w14:paraId="5E05B25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5.参考品牌</w:t>
      </w:r>
    </w:p>
    <w:p w14:paraId="1BBC659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26575450">
      <w:pPr>
        <w:adjustRightInd/>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三、投标文件</w:t>
      </w:r>
    </w:p>
    <w:p w14:paraId="3290AD23">
      <w:pPr>
        <w:keepNext w:val="0"/>
        <w:keepLines w:val="0"/>
        <w:pageBreakBefore w:val="0"/>
        <w:widowControl w:val="0"/>
        <w:kinsoku/>
        <w:wordWrap/>
        <w:overflowPunct/>
        <w:topLinePunct w:val="0"/>
        <w:autoSpaceDE/>
        <w:autoSpaceDN/>
        <w:bidi w:val="0"/>
        <w:adjustRightInd w:val="0"/>
        <w:snapToGrid w:val="0"/>
        <w:spacing w:line="440" w:lineRule="exact"/>
        <w:ind w:left="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1.投标文件的语言、计量单位、形式及效力</w:t>
      </w:r>
    </w:p>
    <w:p w14:paraId="34EFE9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1.1投标人应仔细阅读招标文件中的所有内容，按照招标文件要求，详细编制投标文件，并保证投标文件的正确性和真实性。</w:t>
      </w:r>
    </w:p>
    <w:p w14:paraId="1E5CD4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 投标文件以及投标方与招标方就有关投标事宜的所有来往函电，均应以中文书写（技术术语除外）。</w:t>
      </w:r>
    </w:p>
    <w:p w14:paraId="69EE79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 投标计量单位，除招标文件中有特殊要求外，应采用中华人民共和国法定计量单位，货币单位：人民币元。</w:t>
      </w:r>
    </w:p>
    <w:p w14:paraId="060125A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1.4不按招标文件的要求提供的投标文件可能导致被拒绝。</w:t>
      </w:r>
    </w:p>
    <w:p w14:paraId="2C8D100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1.5投标文件的形式和效力</w:t>
      </w:r>
    </w:p>
    <w:p w14:paraId="698DA0E6">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1.5.1投标文件为电子投标文件，电子投标文件按“乐采云供应商项目采购-电子招投标操作指南”及本招标文件要求制作、加密传输。</w:t>
      </w:r>
    </w:p>
    <w:p w14:paraId="6DB7E295">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1.5.2投标文件的效力：</w:t>
      </w:r>
    </w:p>
    <w:p w14:paraId="644084F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投标文件未在投标截止时间前完成传输的，视为投标文件撤回；投标文件未按时解密，亦视为投标文件撤回。</w:t>
      </w:r>
    </w:p>
    <w:p w14:paraId="2EFF2B90">
      <w:pPr>
        <w:pStyle w:val="33"/>
        <w:keepNext w:val="0"/>
        <w:keepLines w:val="0"/>
        <w:pageBreakBefore w:val="0"/>
        <w:widowControl w:val="0"/>
        <w:kinsoku/>
        <w:wordWrap/>
        <w:overflowPunct/>
        <w:topLinePunct w:val="0"/>
        <w:autoSpaceDE/>
        <w:autoSpaceDN/>
        <w:bidi w:val="0"/>
        <w:adjustRightInd w:val="0"/>
        <w:spacing w:line="44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投标文件的组成</w:t>
      </w:r>
    </w:p>
    <w:p w14:paraId="54235D87">
      <w:pPr>
        <w:keepNext w:val="0"/>
        <w:keepLines w:val="0"/>
        <w:pageBreakBefore w:val="0"/>
        <w:widowControl w:val="0"/>
        <w:kinsoku/>
        <w:wordWrap/>
        <w:overflowPunct/>
        <w:topLinePunct w:val="0"/>
        <w:autoSpaceDE/>
        <w:autoSpaceDN/>
        <w:bidi w:val="0"/>
        <w:adjustRightIn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投标文件由“资格文件”、“商务技术（资信）文件资料”、“报价文件资料”三部分组成，其中</w:t>
      </w:r>
      <w:r>
        <w:rPr>
          <w:rFonts w:hint="eastAsia" w:ascii="仿宋" w:hAnsi="仿宋" w:eastAsia="仿宋" w:cs="仿宋"/>
          <w:b/>
          <w:color w:val="auto"/>
          <w:sz w:val="24"/>
          <w:szCs w:val="24"/>
        </w:rPr>
        <w:t>电子投标文件中所须加盖公章部分均应采用电子签章。</w:t>
      </w:r>
    </w:p>
    <w:p w14:paraId="1A14F4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zh-CN"/>
        </w:rPr>
        <w:t>.1资格文件：</w:t>
      </w:r>
    </w:p>
    <w:p w14:paraId="2238BD43">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营业执照扫描件；</w:t>
      </w:r>
    </w:p>
    <w:p w14:paraId="0B5DCF26">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2.符合参加采购活动应当具备的一般条件的承诺函；</w:t>
      </w:r>
      <w:r>
        <w:rPr>
          <w:rFonts w:hint="eastAsia" w:ascii="仿宋" w:hAnsi="仿宋" w:eastAsia="仿宋" w:cs="仿宋"/>
          <w:color w:val="auto"/>
          <w:sz w:val="24"/>
          <w:szCs w:val="24"/>
          <w:lang w:val="en-US" w:eastAsia="zh-CN"/>
        </w:rPr>
        <w:t>（见附件1）</w:t>
      </w:r>
    </w:p>
    <w:p w14:paraId="7FDCF42F">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lang w:val="en-US" w:eastAsia="zh-CN"/>
        </w:rPr>
        <w:t>3.投标保证金（</w:t>
      </w:r>
      <w:r>
        <w:rPr>
          <w:rFonts w:hint="eastAsia" w:ascii="仿宋" w:hAnsi="仿宋" w:eastAsia="仿宋" w:cs="仿宋"/>
          <w:color w:val="auto"/>
          <w:sz w:val="24"/>
          <w:highlight w:val="none"/>
          <w:lang w:val="en-US" w:eastAsia="zh-CN"/>
        </w:rPr>
        <w:t>提供投标保证金缴纳凭证截图）；</w:t>
      </w:r>
    </w:p>
    <w:p w14:paraId="214C18F3">
      <w:pPr>
        <w:keepNext w:val="0"/>
        <w:keepLines w:val="0"/>
        <w:pageBreakBefore w:val="0"/>
        <w:kinsoku/>
        <w:wordWrap/>
        <w:overflowPunct/>
        <w:topLinePunct w:val="0"/>
        <w:bidi w:val="0"/>
        <w:snapToGrid w:val="0"/>
        <w:spacing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本项目的特定资格要求。</w:t>
      </w:r>
    </w:p>
    <w:p w14:paraId="7D933B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2.</w:t>
      </w:r>
      <w:r>
        <w:rPr>
          <w:rFonts w:hint="eastAsia" w:ascii="仿宋" w:hAnsi="仿宋" w:eastAsia="仿宋" w:cs="仿宋"/>
          <w:b/>
          <w:color w:val="auto"/>
          <w:sz w:val="24"/>
          <w:szCs w:val="24"/>
        </w:rPr>
        <w:t>2商务技术</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资信</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zh-CN"/>
        </w:rPr>
        <w:t>文件：</w:t>
      </w:r>
    </w:p>
    <w:p w14:paraId="5E9B0C5D">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1.投标函（见附件2）</w:t>
      </w:r>
      <w:r>
        <w:rPr>
          <w:rFonts w:hint="eastAsia" w:ascii="仿宋" w:hAnsi="仿宋" w:eastAsia="仿宋" w:cs="仿宋"/>
          <w:color w:val="auto"/>
          <w:sz w:val="24"/>
          <w:szCs w:val="24"/>
          <w:lang w:val="zh-CN" w:eastAsia="zh-CN"/>
        </w:rPr>
        <w:t xml:space="preserve"> </w:t>
      </w:r>
    </w:p>
    <w:p w14:paraId="06864628">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2.法定代表人身份证明书或授权委托书（非法定代表人签字时提供）（见附件3）</w:t>
      </w:r>
    </w:p>
    <w:p w14:paraId="6A2C74C4">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3.商务响应表（见附件4）</w:t>
      </w:r>
    </w:p>
    <w:p w14:paraId="11385156">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4.技术偏离表（见附件5）</w:t>
      </w:r>
    </w:p>
    <w:p w14:paraId="338E53B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5.采购供应商廉洁自律承诺书（见附件6）</w:t>
      </w:r>
    </w:p>
    <w:p w14:paraId="21484236">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GB" w:eastAsia="zh-CN"/>
        </w:rPr>
        <w:t>投标人基本情况表</w:t>
      </w:r>
      <w:r>
        <w:rPr>
          <w:rFonts w:hint="eastAsia" w:ascii="仿宋" w:hAnsi="仿宋" w:eastAsia="仿宋" w:cs="仿宋"/>
          <w:color w:val="auto"/>
          <w:sz w:val="24"/>
          <w:szCs w:val="24"/>
          <w:lang w:val="en-US" w:eastAsia="zh-CN"/>
        </w:rPr>
        <w:t>（见附件7）</w:t>
      </w:r>
    </w:p>
    <w:p w14:paraId="25C9E785">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GB" w:eastAsia="zh-CN"/>
        </w:rPr>
        <w:t>类似项目业绩一览表</w:t>
      </w:r>
      <w:r>
        <w:rPr>
          <w:rFonts w:hint="eastAsia" w:ascii="仿宋" w:hAnsi="仿宋" w:eastAsia="仿宋" w:cs="仿宋"/>
          <w:color w:val="auto"/>
          <w:sz w:val="24"/>
          <w:szCs w:val="24"/>
          <w:lang w:val="en-US" w:eastAsia="zh-CN"/>
        </w:rPr>
        <w:t>（见附件8）</w:t>
      </w:r>
    </w:p>
    <w:p w14:paraId="5733F69C">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8.拟派项目负责人情况表（见附件9）</w:t>
      </w:r>
    </w:p>
    <w:p w14:paraId="7F6933A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9.拟派项目实施人员一览表（见附件10）</w:t>
      </w:r>
    </w:p>
    <w:p w14:paraId="3A1D3848">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10.评标标准相应的其他商务技术资料</w:t>
      </w:r>
    </w:p>
    <w:p w14:paraId="153A6EE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 xml:space="preserve">2.3报价文件： </w:t>
      </w:r>
    </w:p>
    <w:p w14:paraId="43E8AEF4">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1.开标一览表（报价表）（见附件11）</w:t>
      </w:r>
    </w:p>
    <w:p w14:paraId="6A39EA43">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2.报价明细表（见附件12）</w:t>
      </w:r>
    </w:p>
    <w:p w14:paraId="1A4F3E9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3.投标人针对报价需要说明的其他文件和说明</w:t>
      </w:r>
    </w:p>
    <w:p w14:paraId="003C6F1C">
      <w:pPr>
        <w:keepNext w:val="0"/>
        <w:keepLines w:val="0"/>
        <w:pageBreakBefore w:val="0"/>
        <w:widowControl w:val="0"/>
        <w:kinsoku/>
        <w:wordWrap/>
        <w:overflowPunct/>
        <w:topLinePunct w:val="0"/>
        <w:autoSpaceDE/>
        <w:autoSpaceDN/>
        <w:bidi w:val="0"/>
        <w:adjustRightInd w:val="0"/>
        <w:snapToGrid w:val="0"/>
        <w:spacing w:line="440" w:lineRule="exact"/>
        <w:ind w:left="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3.投标报价</w:t>
      </w:r>
    </w:p>
    <w:p w14:paraId="367C3AC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3.1</w:t>
      </w:r>
      <w:r>
        <w:rPr>
          <w:rFonts w:hint="eastAsia" w:ascii="仿宋" w:hAnsi="仿宋" w:eastAsia="仿宋" w:cs="仿宋"/>
          <w:sz w:val="24"/>
          <w:szCs w:val="24"/>
          <w:lang w:val="en-US" w:eastAsia="zh-CN"/>
        </w:rPr>
        <w:t>投标报价是履行合同的最终价格，即完成本项目服务内容和要求所产生的</w:t>
      </w:r>
      <w:r>
        <w:rPr>
          <w:rFonts w:hint="eastAsia" w:ascii="仿宋" w:hAnsi="仿宋" w:eastAsia="仿宋" w:cs="仿宋"/>
          <w:color w:val="auto"/>
          <w:sz w:val="24"/>
          <w:szCs w:val="24"/>
          <w:lang w:val="en-US" w:eastAsia="zh-CN"/>
        </w:rPr>
        <w:t>所有费用，包括但不限于搬运、货款</w:t>
      </w:r>
      <w:r>
        <w:rPr>
          <w:rFonts w:hint="eastAsia" w:ascii="仿宋" w:hAnsi="仿宋" w:eastAsia="仿宋" w:cs="仿宋"/>
          <w:b w:val="0"/>
          <w:bCs w:val="0"/>
          <w:color w:val="auto"/>
          <w:sz w:val="24"/>
          <w:szCs w:val="24"/>
          <w:lang w:val="en-US" w:eastAsia="zh-CN"/>
        </w:rPr>
        <w:t>、旧电梯拆除、总包服务费、</w:t>
      </w:r>
      <w:r>
        <w:rPr>
          <w:rFonts w:hint="eastAsia" w:ascii="仿宋" w:hAnsi="仿宋" w:eastAsia="仿宋" w:cs="仿宋"/>
          <w:color w:val="auto"/>
          <w:sz w:val="24"/>
          <w:szCs w:val="24"/>
          <w:lang w:val="en-US" w:eastAsia="zh-CN"/>
        </w:rPr>
        <w:t>备品备件费、专</w:t>
      </w:r>
      <w:r>
        <w:rPr>
          <w:rFonts w:hint="eastAsia" w:ascii="仿宋" w:hAnsi="仿宋" w:eastAsia="仿宋" w:cs="仿宋"/>
          <w:sz w:val="24"/>
          <w:szCs w:val="24"/>
          <w:lang w:val="en-US" w:eastAsia="zh-CN"/>
        </w:rPr>
        <w:t>用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28D6E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3.2招标文件未列明，而投标人认为必需的费用也需列入报价。</w:t>
      </w:r>
    </w:p>
    <w:p w14:paraId="57C94F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3.3投标报价只允许有一个报价，有选择的报价将不予接受（除指定外）。</w:t>
      </w:r>
    </w:p>
    <w:p w14:paraId="274D936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3.4投标人提供虚假材料投标的，投标无效。</w:t>
      </w:r>
    </w:p>
    <w:p w14:paraId="7CEE9534">
      <w:pPr>
        <w:pStyle w:val="134"/>
        <w:keepNext w:val="0"/>
        <w:keepLines w:val="0"/>
        <w:pageBreakBefore w:val="0"/>
        <w:widowControl w:val="0"/>
        <w:kinsoku/>
        <w:wordWrap/>
        <w:overflowPunct/>
        <w:topLinePunct w:val="0"/>
        <w:autoSpaceDE/>
        <w:autoSpaceDN/>
        <w:bidi w:val="0"/>
        <w:adjustRightInd w:val="0"/>
        <w:snapToGrid w:val="0"/>
        <w:spacing w:before="0" w:line="440" w:lineRule="exact"/>
        <w:ind w:left="0" w:firstLine="0" w:firstLineChars="0"/>
        <w:textAlignment w:val="auto"/>
        <w:outlineLvl w:val="0"/>
        <w:rPr>
          <w:rFonts w:hint="eastAsia" w:ascii="仿宋" w:hAnsi="仿宋" w:eastAsia="仿宋" w:cs="仿宋"/>
          <w:b/>
          <w:color w:val="auto"/>
          <w:sz w:val="24"/>
          <w:szCs w:val="24"/>
        </w:rPr>
      </w:pPr>
      <w:r>
        <w:rPr>
          <w:rFonts w:hint="eastAsia" w:ascii="仿宋" w:hAnsi="仿宋" w:eastAsia="仿宋" w:cs="仿宋"/>
          <w:b/>
          <w:color w:val="auto"/>
          <w:kern w:val="0"/>
          <w:sz w:val="24"/>
          <w:szCs w:val="24"/>
        </w:rPr>
        <w:t>4.</w:t>
      </w:r>
      <w:r>
        <w:rPr>
          <w:rFonts w:hint="eastAsia" w:ascii="仿宋" w:hAnsi="仿宋" w:eastAsia="仿宋" w:cs="仿宋"/>
          <w:b/>
          <w:color w:val="auto"/>
          <w:sz w:val="24"/>
          <w:szCs w:val="24"/>
        </w:rPr>
        <w:t>投标文件的编制和签署</w:t>
      </w:r>
    </w:p>
    <w:p w14:paraId="52E327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.1投标文件分为资格文件、商务技术（</w:t>
      </w:r>
      <w:r>
        <w:rPr>
          <w:rFonts w:hint="eastAsia" w:ascii="仿宋" w:hAnsi="仿宋" w:eastAsia="仿宋" w:cs="仿宋"/>
          <w:color w:val="auto"/>
          <w:sz w:val="24"/>
          <w:szCs w:val="24"/>
          <w:lang w:val="en-US" w:eastAsia="zh-CN"/>
        </w:rPr>
        <w:t>资信</w:t>
      </w:r>
      <w:r>
        <w:rPr>
          <w:rFonts w:hint="eastAsia" w:ascii="仿宋" w:hAnsi="仿宋" w:eastAsia="仿宋" w:cs="仿宋"/>
          <w:color w:val="auto"/>
          <w:sz w:val="24"/>
          <w:szCs w:val="24"/>
          <w:lang w:val="zh-CN"/>
        </w:rPr>
        <w:t>）文件、报价文件三部分。各投标人在编制投标文件时请按照招标文件第六部分规定的格式进行，混乱的编排导致投标文件被误读或评标委员会查找不到有效文件是投标人的风险。</w:t>
      </w:r>
    </w:p>
    <w:p w14:paraId="33489C0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7797C1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.3使用“乐采云电子交易客户端”需要提前申领CA数字证书，申领流程请自行前往“浙江政府采购网-下载专区-电子交易客户端-CA驱动和申领流程”进行查阅。</w:t>
      </w:r>
    </w:p>
    <w:p w14:paraId="1384B8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4.4</w:t>
      </w:r>
      <w:r>
        <w:rPr>
          <w:rFonts w:hint="eastAsia" w:ascii="仿宋" w:hAnsi="仿宋" w:eastAsia="仿宋" w:cs="仿宋"/>
          <w:color w:val="auto"/>
          <w:sz w:val="24"/>
          <w:szCs w:val="24"/>
          <w:lang w:val="zh-CN"/>
        </w:rPr>
        <w:t>投标文件按照招标文件第六部分格式要求进行签署、盖章。投标人的投标文件未按照招标文件要求签署、盖章的，其投标无效。</w:t>
      </w:r>
    </w:p>
    <w:p w14:paraId="351EC6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4.5</w:t>
      </w:r>
      <w:r>
        <w:rPr>
          <w:rFonts w:hint="eastAsia" w:ascii="仿宋" w:hAnsi="仿宋" w:eastAsia="仿宋" w:cs="仿宋"/>
          <w:color w:val="auto"/>
          <w:sz w:val="24"/>
          <w:szCs w:val="24"/>
          <w:lang w:val="zh-CN"/>
        </w:rPr>
        <w:t>为确保网上操作合法、有效和安全，投标人应当在投标截止时间前完成在“乐采云平台”的身份认证，确保在电子投标过程中能够对相关数据电文进行加密和使用电子签名。</w:t>
      </w:r>
    </w:p>
    <w:p w14:paraId="1B23AA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4.6</w:t>
      </w:r>
      <w:r>
        <w:rPr>
          <w:rFonts w:hint="eastAsia" w:ascii="仿宋" w:hAnsi="仿宋" w:eastAsia="仿宋" w:cs="仿宋"/>
          <w:color w:val="auto"/>
          <w:sz w:val="24"/>
          <w:szCs w:val="24"/>
          <w:lang w:val="zh-CN"/>
        </w:rPr>
        <w:t>招标文件对投标文件签署、盖章的要求适用于电子签名。</w:t>
      </w:r>
    </w:p>
    <w:p w14:paraId="2FD90B99">
      <w:pPr>
        <w:pStyle w:val="134"/>
        <w:keepNext w:val="0"/>
        <w:keepLines w:val="0"/>
        <w:pageBreakBefore w:val="0"/>
        <w:widowControl w:val="0"/>
        <w:kinsoku/>
        <w:wordWrap/>
        <w:overflowPunct/>
        <w:topLinePunct w:val="0"/>
        <w:autoSpaceDE/>
        <w:autoSpaceDN/>
        <w:bidi w:val="0"/>
        <w:adjustRightInd w:val="0"/>
        <w:spacing w:before="0" w:line="440" w:lineRule="exact"/>
        <w:ind w:left="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 投标文件的提交、补充、修改、撤回</w:t>
      </w:r>
    </w:p>
    <w:p w14:paraId="513D612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F6E4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5.2电子交易平台收到投标文件，将妥善保存并即时向供应商发出确认回执通知。在投标截止时间前，除供应商补充、修改或者撤回投标文件外，任何单位和个人不得解密或提取投标文件。</w:t>
      </w:r>
    </w:p>
    <w:p w14:paraId="733B042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5.3采购人、采购代理机构可以视情况延长投标文件提交的截止时间。在上述情况下，采购代理机构与投标人以前在投标截止期方面的全部权利、责任和义务，将适用于延长至新的投标截止期。</w:t>
      </w:r>
    </w:p>
    <w:p w14:paraId="79E5EE2D">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5.4备份投标文件</w:t>
      </w:r>
    </w:p>
    <w:p w14:paraId="2996D0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869DBFF">
      <w:pPr>
        <w:pStyle w:val="33"/>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2备份投标文件须在“</w:t>
      </w:r>
      <w:r>
        <w:rPr>
          <w:rFonts w:hint="eastAsia" w:ascii="仿宋" w:hAnsi="仿宋" w:eastAsia="仿宋" w:cs="仿宋"/>
          <w:color w:val="auto"/>
          <w:sz w:val="24"/>
          <w:szCs w:val="24"/>
          <w:highlight w:val="none"/>
          <w:lang w:val="en-US"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754BFF9">
      <w:pPr>
        <w:pStyle w:val="33"/>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27AB130F">
      <w:pPr>
        <w:pStyle w:val="33"/>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5395057">
      <w:pPr>
        <w:pStyle w:val="33"/>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5.4.</w:t>
      </w:r>
      <w:r>
        <w:rPr>
          <w:rFonts w:hint="eastAsia" w:ascii="仿宋" w:hAnsi="仿宋" w:eastAsia="仿宋" w:cs="仿宋"/>
          <w:b/>
          <w:bCs/>
          <w:color w:val="auto"/>
          <w:sz w:val="24"/>
          <w:szCs w:val="24"/>
          <w:highlight w:val="none"/>
        </w:rPr>
        <w:t>5投标人仅提交备份投标文件，没有在电子交易平台传输递交投标文件的，投标无效。</w:t>
      </w:r>
    </w:p>
    <w:p w14:paraId="2978BFDE">
      <w:pPr>
        <w:keepNext w:val="0"/>
        <w:keepLines w:val="0"/>
        <w:pageBreakBefore w:val="0"/>
        <w:widowControl w:val="0"/>
        <w:kinsoku/>
        <w:wordWrap/>
        <w:overflowPunct/>
        <w:topLinePunct w:val="0"/>
        <w:autoSpaceDE/>
        <w:autoSpaceDN/>
        <w:bidi w:val="0"/>
        <w:adjustRightInd w:val="0"/>
        <w:spacing w:line="440" w:lineRule="exact"/>
        <w:ind w:left="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6.投标有效期</w:t>
      </w:r>
    </w:p>
    <w:p w14:paraId="2BF72FC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6.1投标有效期为从提交投标文件的截止之日起90天。投标人的投标文件中承诺的投标有效期少于招标文件中载明的投标有效期的，投标无效。</w:t>
      </w:r>
    </w:p>
    <w:p w14:paraId="298678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6.2投标文件合格投递后，自投标截止日期起，在投标有效期内有效。</w:t>
      </w:r>
    </w:p>
    <w:p w14:paraId="20EE1C66">
      <w:pPr>
        <w:pStyle w:val="134"/>
        <w:keepNext w:val="0"/>
        <w:keepLines w:val="0"/>
        <w:pageBreakBefore w:val="0"/>
        <w:widowControl w:val="0"/>
        <w:kinsoku/>
        <w:wordWrap/>
        <w:overflowPunct/>
        <w:topLinePunct w:val="0"/>
        <w:autoSpaceDE/>
        <w:autoSpaceDN/>
        <w:bidi w:val="0"/>
        <w:adjustRightInd w:val="0"/>
        <w:spacing w:before="0" w:line="440" w:lineRule="exact"/>
        <w:ind w:left="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6.3在原定投标有效期满之前，如果出现特殊情况，采购代理机构可以以书面形式通知投标人延长投标有效期。投标人同意延长的，不得要求或被允许修改其投标文件，投标人拒绝延长的，其投标无效。</w:t>
      </w:r>
    </w:p>
    <w:p w14:paraId="7F6DA752">
      <w:pPr>
        <w:spacing w:line="360" w:lineRule="auto"/>
        <w:jc w:val="center"/>
        <w:rPr>
          <w:rFonts w:hint="eastAsia" w:ascii="仿宋" w:hAnsi="仿宋" w:eastAsia="仿宋" w:cs="仿宋"/>
          <w:b/>
          <w:color w:val="auto"/>
          <w:sz w:val="32"/>
          <w:szCs w:val="32"/>
        </w:rPr>
      </w:pPr>
      <w:bookmarkStart w:id="36" w:name="_Toc91899903"/>
      <w:r>
        <w:rPr>
          <w:rFonts w:hint="eastAsia" w:ascii="仿宋" w:hAnsi="仿宋" w:eastAsia="仿宋" w:cs="仿宋"/>
          <w:b/>
          <w:color w:val="auto"/>
          <w:sz w:val="32"/>
          <w:szCs w:val="32"/>
        </w:rPr>
        <w:t>四、开标和评标</w:t>
      </w:r>
    </w:p>
    <w:p w14:paraId="1FC1CF0F">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1．电子招投标开标及评审程序</w:t>
      </w:r>
    </w:p>
    <w:p w14:paraId="7232C098">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1.1投标截止时间后，主持人宣布开标会开始。</w:t>
      </w:r>
    </w:p>
    <w:p w14:paraId="7CDC796D">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1.2投标人登录乐采云平台，用“项目采购-开标评标”功能对电子投标文件进行在线解密。在线解密电子投标文件时间为开标时间起30分钟内。</w:t>
      </w:r>
    </w:p>
    <w:p w14:paraId="7E1EABBA">
      <w:pPr>
        <w:keepNext w:val="0"/>
        <w:keepLines w:val="0"/>
        <w:pageBreakBefore w:val="0"/>
        <w:widowControl w:val="0"/>
        <w:kinsoku/>
        <w:wordWrap/>
        <w:overflowPunct/>
        <w:topLinePunct w:val="0"/>
        <w:autoSpaceDE/>
        <w:autoSpaceDN/>
        <w:bidi w:val="0"/>
        <w:snapToGrid w:val="0"/>
        <w:spacing w:line="49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lang w:val="en-US" w:eastAsia="zh-CN"/>
        </w:rPr>
        <w:t>采购人或采购代理机构对资格文件进行评审。</w:t>
      </w:r>
    </w:p>
    <w:p w14:paraId="5E02B8F0">
      <w:pPr>
        <w:keepNext w:val="0"/>
        <w:keepLines w:val="0"/>
        <w:pageBreakBefore w:val="0"/>
        <w:widowControl w:val="0"/>
        <w:kinsoku/>
        <w:wordWrap/>
        <w:overflowPunct/>
        <w:topLinePunct w:val="0"/>
        <w:autoSpaceDE/>
        <w:autoSpaceDN/>
        <w:bidi w:val="0"/>
        <w:snapToGrid w:val="0"/>
        <w:spacing w:line="49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highlight w:val="none"/>
        </w:rPr>
        <w:t>评标委员会对</w:t>
      </w:r>
      <w:r>
        <w:rPr>
          <w:rFonts w:hint="eastAsia" w:ascii="仿宋" w:hAnsi="仿宋" w:eastAsia="仿宋" w:cs="仿宋"/>
          <w:color w:val="auto"/>
          <w:sz w:val="24"/>
          <w:highlight w:val="none"/>
          <w:lang w:val="en-US" w:eastAsia="zh-CN"/>
        </w:rPr>
        <w:t>招标文件符合性进行审查，对符合性通过的</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资信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文件进行评审。</w:t>
      </w:r>
    </w:p>
    <w:p w14:paraId="58790600">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主持人宣布商务技术得分及无效（废）投标情形（如有），公布经商务技术（资信）评审符合招标文件要求的投标人名单及其商务技术得分。</w:t>
      </w:r>
    </w:p>
    <w:p w14:paraId="1A67C63E">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启封报价文件资料。</w:t>
      </w:r>
    </w:p>
    <w:p w14:paraId="1832782C">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评标委员会对投标文件报价文件资料进行评审，核准投标报价及计算价格分，汇总商务技术分、价格分，根据得分排序确定中标候选人。</w:t>
      </w:r>
    </w:p>
    <w:p w14:paraId="52EAE00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主持人公布评标结果。</w:t>
      </w:r>
    </w:p>
    <w:p w14:paraId="0C5A5BE4">
      <w:pPr>
        <w:keepNext w:val="0"/>
        <w:keepLines w:val="0"/>
        <w:pageBreakBefore w:val="0"/>
        <w:kinsoku/>
        <w:wordWrap/>
        <w:overflowPunct/>
        <w:topLinePunct w:val="0"/>
        <w:autoSpaceDE/>
        <w:autoSpaceDN/>
        <w:bidi w:val="0"/>
        <w:snapToGrid w:val="0"/>
        <w:spacing w:line="440" w:lineRule="exact"/>
        <w:ind w:left="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特别说明：乐采云公司如对电子化开标及评审程序有调整的，按调整后的程序操作。</w:t>
      </w:r>
    </w:p>
    <w:p w14:paraId="15ED9106">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12ED4A35">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53C0E8F8">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5C3F5BE0">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202E1129">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0E2CE56E">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661E143B">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0B09DFD">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3．评标</w:t>
      </w:r>
    </w:p>
    <w:p w14:paraId="4324C497">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3.1评标委员会由招标采购单位依法组建，负责评标活动。评标委员会遵循公开、公平、公正、科学合理、竞争择优的原则。</w:t>
      </w:r>
    </w:p>
    <w:p w14:paraId="03475C03">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3.2评标委员会由采购人代表和有关方面的专家组成，成员人数为</w:t>
      </w:r>
      <w:r>
        <w:rPr>
          <w:rFonts w:hint="eastAsia" w:ascii="仿宋" w:hAnsi="仿宋" w:eastAsia="仿宋" w:cs="仿宋"/>
          <w:color w:val="auto"/>
          <w:sz w:val="24"/>
          <w:szCs w:val="24"/>
          <w:u w:val="single"/>
        </w:rPr>
        <w:t>五</w:t>
      </w:r>
      <w:r>
        <w:rPr>
          <w:rFonts w:hint="eastAsia" w:ascii="仿宋" w:hAnsi="仿宋" w:eastAsia="仿宋" w:cs="仿宋"/>
          <w:color w:val="auto"/>
          <w:sz w:val="24"/>
          <w:szCs w:val="24"/>
        </w:rPr>
        <w:t>人以上单数。</w:t>
      </w:r>
    </w:p>
    <w:p w14:paraId="5A807D0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评标委员会可以要求投标人对其投标文件中含义不明确的内容作必要的澄清或者说明，但澄清或者说明不得超过投标文件的范围或者改变投标文件的实质性内容。</w:t>
      </w:r>
    </w:p>
    <w:p w14:paraId="673BCF63">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7C5C5C07">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供应商通过乐采云平台交换的数据电文必须进行电子签章。</w:t>
      </w:r>
    </w:p>
    <w:p w14:paraId="54C85468">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BCF288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3.6评标委员会对投标文件的判定，只依据投标文件和招标文件内容本身，不依据任何外来证明。</w:t>
      </w:r>
    </w:p>
    <w:p w14:paraId="5A4706A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3.7评标委员会不向落标方解释落标的原因。</w:t>
      </w:r>
    </w:p>
    <w:p w14:paraId="1E1DED72">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4．投标文件的初审鉴定</w:t>
      </w:r>
    </w:p>
    <w:p w14:paraId="2C5F19EF">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4.1资格性审查</w:t>
      </w:r>
    </w:p>
    <w:p w14:paraId="59650D5B">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依据法律、法规和招标文件规定，采购人或采购人代表对投标人进行资格审查，以确定投标人是否具备投标资格。</w:t>
      </w:r>
    </w:p>
    <w:p w14:paraId="510D75AE">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4.2符合性审查</w:t>
      </w:r>
    </w:p>
    <w:p w14:paraId="0DD64E7F">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D0BA9B2">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4.3如果投标文件实质不响应招标文件的各项要求，评标委员会将予以拒绝，并且不允许投标人通过修改或撤销其不符合要求的差异或保留，使之成为具有实质性响应的投标。</w:t>
      </w:r>
    </w:p>
    <w:p w14:paraId="40859730">
      <w:pPr>
        <w:keepNext w:val="0"/>
        <w:keepLines w:val="0"/>
        <w:pageBreakBefore w:val="0"/>
        <w:kinsoku/>
        <w:wordWrap/>
        <w:overflowPunct/>
        <w:topLinePunct w:val="0"/>
        <w:autoSpaceDE/>
        <w:autoSpaceDN/>
        <w:bidi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rPr>
        <w:t xml:space="preserve">5. </w:t>
      </w:r>
      <w:r>
        <w:rPr>
          <w:rFonts w:hint="eastAsia" w:ascii="仿宋" w:hAnsi="仿宋" w:eastAsia="仿宋" w:cs="仿宋"/>
          <w:b/>
          <w:color w:val="auto"/>
          <w:sz w:val="24"/>
          <w:szCs w:val="24"/>
        </w:rPr>
        <w:t>投标文件报价出现前后不一致的，按照下列规定修正：</w:t>
      </w:r>
    </w:p>
    <w:p w14:paraId="0E61DFFA">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5.1投标文件中开标一览表（报价表）内容与投标文件中相应内容不一致的，以开标一览表（报价表）为准；</w:t>
      </w:r>
    </w:p>
    <w:p w14:paraId="54994E67">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5.2大写金额和小写金额不一致的，以大写金额为准；</w:t>
      </w:r>
    </w:p>
    <w:p w14:paraId="014F8A5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5.3单价金额小数点或者百分比有明显错位的，以开标一览表的总价为准，并修改单价；</w:t>
      </w:r>
    </w:p>
    <w:p w14:paraId="3D699DF2">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5.4总价金额与按单价汇总金额不一致的，以单价金额计算结果为准。</w:t>
      </w:r>
    </w:p>
    <w:p w14:paraId="4637C44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val="en-US" w:eastAsia="zh-CN"/>
        </w:rPr>
        <w:t>参照相关</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仿宋" w:hAnsi="仿宋" w:eastAsia="仿宋" w:cs="仿宋"/>
          <w:color w:val="auto"/>
          <w:sz w:val="24"/>
          <w:highlight w:val="none"/>
        </w:rPr>
        <w:t>经投标人确认后产生约束力，投标人不确认的，其投标无效。</w:t>
      </w:r>
    </w:p>
    <w:p w14:paraId="18F31844">
      <w:pPr>
        <w:keepNext w:val="0"/>
        <w:keepLines w:val="0"/>
        <w:pageBreakBefore w:val="0"/>
        <w:kinsoku/>
        <w:wordWrap/>
        <w:overflowPunct/>
        <w:topLinePunct w:val="0"/>
        <w:autoSpaceDE/>
        <w:autoSpaceDN/>
        <w:bidi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6.投标文件的评审、比较和否决</w:t>
      </w:r>
    </w:p>
    <w:p w14:paraId="4A435D52">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6.1评标委员会将对在实质上响应招标文件要求的投标文件进行评估和比较。</w:t>
      </w:r>
    </w:p>
    <w:p w14:paraId="4AD21987">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655EF5CE">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6.3在评标过程中，如发现与招标文件要求相偏离的，评标委员会可对其偏离情形进行必要的核实。</w:t>
      </w:r>
    </w:p>
    <w:p w14:paraId="5E3CE92D">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6.4在评审过程中，如属于实质性偏离或符合无效响应条件的，应当询问相关投标人，并可对其通过乐采云平台进行线上确认，但不允许对偏离条款进行补充、修正或撤回。</w:t>
      </w:r>
    </w:p>
    <w:p w14:paraId="2E868733">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6.5比较与评价。评标委员会应当按照评标标准，对符合性审查合格的投标文件进行商务和技术评估，综合比较与评价。</w:t>
      </w:r>
    </w:p>
    <w:p w14:paraId="584A3D26">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6.6汇总（商务技术得分情况）。评标委员会各成员应当独立对每个投标人的商务技术（资信）文件进行评价，并汇总商务技术得分情况。</w:t>
      </w:r>
    </w:p>
    <w:p w14:paraId="4DE0D08C">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6.7 报价审核。对符合采购需求且通过商务技术（资信）评审的投标人的报价的合理性、准确性等进行审查核实。</w:t>
      </w:r>
    </w:p>
    <w:p w14:paraId="2A3CC4AE">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6294E0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rPr>
        <w:t>6.7.</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highlight w:val="none"/>
        </w:rPr>
        <w:t>如需投标价格修正，按</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规定对投标价格进行修正。</w:t>
      </w:r>
    </w:p>
    <w:p w14:paraId="41C7DD21">
      <w:pPr>
        <w:keepNext w:val="0"/>
        <w:keepLines w:val="0"/>
        <w:pageBreakBefore w:val="0"/>
        <w:kinsoku/>
        <w:wordWrap/>
        <w:overflowPunct/>
        <w:topLinePunct w:val="0"/>
        <w:autoSpaceDE/>
        <w:autoSpaceDN/>
        <w:bidi w:val="0"/>
        <w:snapToGrid w:val="0"/>
        <w:spacing w:line="440" w:lineRule="exact"/>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6.8评标委员会依据招标文件规定的评标标准和方法，对投标文件进行评审和比较后，向采购人或其委托的采购代理机构提供书面评标报告，并按得分高低排序推荐中标候选供应商。</w:t>
      </w:r>
    </w:p>
    <w:p w14:paraId="08944E1D">
      <w:pPr>
        <w:pStyle w:val="15"/>
        <w:keepNext w:val="0"/>
        <w:keepLines w:val="0"/>
        <w:pageBreakBefore w:val="0"/>
        <w:widowControl w:val="0"/>
        <w:tabs>
          <w:tab w:val="clear" w:pos="390"/>
          <w:tab w:val="clear" w:pos="454"/>
        </w:tabs>
        <w:kinsoku/>
        <w:wordWrap/>
        <w:overflowPunct/>
        <w:topLinePunct w:val="0"/>
        <w:autoSpaceDE/>
        <w:autoSpaceDN/>
        <w:bidi w:val="0"/>
        <w:spacing w:afterLines="0" w:line="440" w:lineRule="exact"/>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7.投标文件的澄清</w:t>
      </w:r>
    </w:p>
    <w:p w14:paraId="7F9AD474">
      <w:pPr>
        <w:pStyle w:val="15"/>
        <w:keepNext w:val="0"/>
        <w:keepLines w:val="0"/>
        <w:pageBreakBefore w:val="0"/>
        <w:widowControl w:val="0"/>
        <w:tabs>
          <w:tab w:val="clear" w:pos="390"/>
          <w:tab w:val="clear" w:pos="454"/>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2C4B6E69">
      <w:pPr>
        <w:pStyle w:val="33"/>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223602D5">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投标文件有下列情形之一的作无效投标处理：</w:t>
      </w:r>
    </w:p>
    <w:p w14:paraId="4388B9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8.1投标人不具备招标文件中规定的资格要求的（投标人未提供有效的资格文件的，视为投标人不具备招标文件中规定的资格要求）；</w:t>
      </w:r>
    </w:p>
    <w:p w14:paraId="664FAE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8.2未按照招标文件规定要求签字或盖章的；</w:t>
      </w:r>
    </w:p>
    <w:p w14:paraId="1D20C8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8.3</w:t>
      </w:r>
      <w:r>
        <w:rPr>
          <w:rFonts w:hint="eastAsia" w:ascii="仿宋" w:hAnsi="仿宋" w:eastAsia="仿宋" w:cs="仿宋"/>
          <w:b w:val="0"/>
          <w:bCs w:val="0"/>
          <w:color w:val="auto"/>
          <w:sz w:val="24"/>
          <w:highlight w:val="none"/>
        </w:rPr>
        <w:t>单位负责人为同一人或者存在直接控股、管理关系的不同供应商参加同一合同项下的采购活动的（均无效）；</w:t>
      </w:r>
    </w:p>
    <w:p w14:paraId="6557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 xml:space="preserve">为采购项目提供整体设计、规范编制或者项目管理、监理、检测等服务的供应商参加该采购项目的其他采购活动的； </w:t>
      </w:r>
    </w:p>
    <w:p w14:paraId="6F2549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8.5《法定代表人身份证明书》与提供的身份证复印件信息不符的；《法定代表人授权委托书》与提供的身份证复印件信息不符的；</w:t>
      </w:r>
    </w:p>
    <w:p w14:paraId="3BF03F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8.6《法定代表人授权委托书》或《法定代表人身份证明书》填写不全、错误、</w:t>
      </w:r>
      <w:r>
        <w:rPr>
          <w:rFonts w:hint="eastAsia" w:ascii="仿宋" w:hAnsi="仿宋" w:eastAsia="仿宋" w:cs="仿宋"/>
          <w:b w:val="0"/>
          <w:bCs w:val="0"/>
          <w:color w:val="auto"/>
          <w:sz w:val="24"/>
          <w:highlight w:val="none"/>
          <w:lang w:val="en-US" w:eastAsia="zh-CN"/>
        </w:rPr>
        <w:t>或授权代表未经有效授权的</w:t>
      </w:r>
      <w:r>
        <w:rPr>
          <w:rFonts w:hint="eastAsia" w:ascii="仿宋" w:hAnsi="仿宋" w:eastAsia="仿宋" w:cs="仿宋"/>
          <w:b w:val="0"/>
          <w:bCs w:val="0"/>
          <w:color w:val="auto"/>
          <w:sz w:val="24"/>
          <w:highlight w:val="none"/>
        </w:rPr>
        <w:t>；</w:t>
      </w:r>
    </w:p>
    <w:p w14:paraId="28591C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投标文件中承诺的投标有效期少于招标文件中载明的投标有效期的；</w:t>
      </w:r>
    </w:p>
    <w:p w14:paraId="63D1D8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报价一经涂改，未在涂改处加盖投标单位公章或者未经法定代表人或其授权代表签字或盖章的；</w:t>
      </w:r>
    </w:p>
    <w:p w14:paraId="20C6D5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未按招标文件规定的格式填写，或对招标服务或技术或产品等要求未详细应答或应答内容不全、有缺失的,经评标委员会认定为无法评审的；</w:t>
      </w:r>
    </w:p>
    <w:p w14:paraId="258A3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出现同一标的物或本次招标产品(服务)内的主要产品(重要组成部分)出现商务技术（资信）文件资料、报价文件资料描述不一致或前后描述不一致，经评标委员会认定后为无法评审的；</w:t>
      </w:r>
    </w:p>
    <w:p w14:paraId="296AC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1投标有效期、服务期、付款方式、履约保证金等商务条款不能满足招标文件要求的</w:t>
      </w:r>
      <w:r>
        <w:rPr>
          <w:rFonts w:hint="eastAsia" w:ascii="仿宋" w:hAnsi="仿宋" w:eastAsia="仿宋" w:cs="仿宋"/>
          <w:b w:val="0"/>
          <w:bCs w:val="0"/>
          <w:color w:val="auto"/>
          <w:sz w:val="24"/>
          <w:highlight w:val="none"/>
        </w:rPr>
        <w:t>；</w:t>
      </w:r>
    </w:p>
    <w:p w14:paraId="6D5AA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投标文件含有采购人不能接受的附加条件；</w:t>
      </w:r>
    </w:p>
    <w:p w14:paraId="0801DB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val="0"/>
          <w:color w:val="auto"/>
          <w:sz w:val="24"/>
          <w:highlight w:val="none"/>
          <w:lang w:eastAsia="zh-CN"/>
        </w:rPr>
        <w:t>；</w:t>
      </w:r>
    </w:p>
    <w:p w14:paraId="67DCB9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报价超过招标文件中规定的预算金额或最高限价的；</w:t>
      </w:r>
    </w:p>
    <w:p w14:paraId="4ABF1B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投标文件“商务技术（资信）文件资料”部分中出现《开标一览表》相关内容的；</w:t>
      </w:r>
    </w:p>
    <w:p w14:paraId="5C4C59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评标委员会</w:t>
      </w:r>
      <w:r>
        <w:rPr>
          <w:rFonts w:hint="eastAsia" w:ascii="仿宋" w:hAnsi="仿宋" w:eastAsia="仿宋" w:cs="仿宋"/>
          <w:color w:val="auto"/>
          <w:sz w:val="24"/>
          <w:szCs w:val="24"/>
          <w:highlight w:val="none"/>
        </w:rPr>
        <w:t>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实质性不响应</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文件要求的</w:t>
      </w:r>
      <w:r>
        <w:rPr>
          <w:rFonts w:hint="eastAsia" w:ascii="仿宋" w:hAnsi="仿宋" w:eastAsia="仿宋" w:cs="仿宋"/>
          <w:color w:val="auto"/>
          <w:sz w:val="24"/>
          <w:szCs w:val="24"/>
          <w:highlight w:val="none"/>
          <w:lang w:eastAsia="zh-CN"/>
        </w:rPr>
        <w:t>；</w:t>
      </w:r>
    </w:p>
    <w:p w14:paraId="792A61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8.17</w:t>
      </w:r>
      <w:r>
        <w:rPr>
          <w:rFonts w:hint="eastAsia" w:ascii="仿宋" w:hAnsi="仿宋" w:eastAsia="仿宋" w:cs="仿宋"/>
          <w:b w:val="0"/>
          <w:bCs w:val="0"/>
          <w:color w:val="auto"/>
          <w:sz w:val="24"/>
          <w:highlight w:val="none"/>
        </w:rPr>
        <w:t>《开标一览表》填写不完整或字迹不能辨认或有漏项的，经评标委员会认定属于重大偏差的；</w:t>
      </w:r>
    </w:p>
    <w:p w14:paraId="7B475B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18</w:t>
      </w:r>
      <w:r>
        <w:rPr>
          <w:rFonts w:hint="eastAsia" w:ascii="仿宋" w:hAnsi="仿宋" w:eastAsia="仿宋" w:cs="仿宋"/>
          <w:b w:val="0"/>
          <w:bCs w:val="0"/>
          <w:color w:val="auto"/>
          <w:sz w:val="24"/>
          <w:highlight w:val="none"/>
        </w:rPr>
        <w:t>投标人对根据修正原则修正后的报价不确认的；</w:t>
      </w:r>
    </w:p>
    <w:p w14:paraId="21689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color w:val="auto"/>
          <w:kern w:val="0"/>
          <w:sz w:val="24"/>
          <w:szCs w:val="24"/>
          <w:highlight w:val="none"/>
          <w:lang w:val="en-US" w:eastAsia="zh-CN"/>
        </w:rPr>
        <w:t>8.19</w:t>
      </w:r>
      <w:r>
        <w:rPr>
          <w:rFonts w:hint="eastAsia" w:ascii="仿宋" w:hAnsi="仿宋" w:eastAsia="仿宋" w:cs="仿宋"/>
          <w:b w:val="0"/>
          <w:bCs w:val="0"/>
          <w:color w:val="auto"/>
          <w:sz w:val="24"/>
          <w:highlight w:val="none"/>
        </w:rPr>
        <w:t>投标人</w:t>
      </w:r>
      <w:r>
        <w:rPr>
          <w:rFonts w:hint="eastAsia" w:ascii="仿宋" w:hAnsi="仿宋" w:eastAsia="仿宋" w:cs="仿宋"/>
          <w:b w:val="0"/>
          <w:bCs/>
          <w:color w:val="auto"/>
          <w:sz w:val="24"/>
          <w:szCs w:val="24"/>
          <w:highlight w:val="none"/>
        </w:rPr>
        <w:t>递交两份或两份以上内容不同的</w:t>
      </w: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color w:val="auto"/>
          <w:sz w:val="24"/>
          <w:szCs w:val="24"/>
          <w:highlight w:val="none"/>
        </w:rPr>
        <w:t>文件，且未声明哪一份有效的；</w:t>
      </w:r>
    </w:p>
    <w:p w14:paraId="1A506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投标人提供虚假材料投标的（包括但不限于以下情节）</w:t>
      </w:r>
      <w:r>
        <w:rPr>
          <w:rFonts w:hint="eastAsia" w:ascii="仿宋" w:hAnsi="仿宋" w:eastAsia="仿宋" w:cs="仿宋"/>
          <w:b w:val="0"/>
          <w:bCs w:val="0"/>
          <w:color w:val="auto"/>
          <w:sz w:val="24"/>
          <w:highlight w:val="none"/>
          <w:lang w:eastAsia="zh-CN"/>
        </w:rPr>
        <w:t>：</w:t>
      </w:r>
    </w:p>
    <w:p w14:paraId="4718A2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.1使用伪造、变造的许可证件；</w:t>
      </w:r>
    </w:p>
    <w:p w14:paraId="07D079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.2提供虚假的财务状况或者业绩；</w:t>
      </w:r>
    </w:p>
    <w:p w14:paraId="4DE230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.3提供虚假的项目负责人或者主要技术人员简历、劳动关系证明；</w:t>
      </w:r>
    </w:p>
    <w:p w14:paraId="64F0FF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.4提供虚假的信用状况；</w:t>
      </w:r>
    </w:p>
    <w:p w14:paraId="64F379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.5其他弄虚作假的行为。</w:t>
      </w:r>
    </w:p>
    <w:p w14:paraId="27C813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下列情形之一的，视为投标人串通投标，其投标无效：</w:t>
      </w:r>
    </w:p>
    <w:p w14:paraId="57B57B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.1不同投标人的投标文件由同一单位或者个人编制；</w:t>
      </w:r>
    </w:p>
    <w:p w14:paraId="5B0661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.2不同投标人委托同一单位或者个人办理投标事宜；</w:t>
      </w:r>
    </w:p>
    <w:p w14:paraId="5C1E78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.3不同投标人的投标文件载明的项目管理成员或者联系人员为同一人；</w:t>
      </w:r>
    </w:p>
    <w:p w14:paraId="5DF7E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.4不同投标人的投标文件异常一致或者投标报价呈规律性差异；</w:t>
      </w:r>
    </w:p>
    <w:p w14:paraId="07F92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.5不同投标人的投标文件相互混装；</w:t>
      </w:r>
    </w:p>
    <w:p w14:paraId="714B31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1A027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有下列情形之一的，属于恶意串通，其投标无效：</w:t>
      </w:r>
    </w:p>
    <w:p w14:paraId="5CEF1E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22</w:t>
      </w:r>
      <w:r>
        <w:rPr>
          <w:rFonts w:hint="eastAsia" w:ascii="仿宋" w:hAnsi="仿宋" w:eastAsia="仿宋" w:cs="仿宋"/>
          <w:b w:val="0"/>
          <w:bCs w:val="0"/>
          <w:color w:val="auto"/>
          <w:sz w:val="24"/>
          <w:highlight w:val="none"/>
        </w:rPr>
        <w:t>.1供应商直接或者间接从采购人或者采购机构处获得其他供应商的相关情况并修改其投标文件或者响应文件；</w:t>
      </w:r>
    </w:p>
    <w:p w14:paraId="6AE315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.2供应商按照采购人或者采购机构的授意撤换、修改投标文件或者响应文件；</w:t>
      </w:r>
    </w:p>
    <w:p w14:paraId="3F9497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.3供应商之间协商报价、技术方案等投标文件或者响应文件的实质性内容；</w:t>
      </w:r>
    </w:p>
    <w:p w14:paraId="2ADC66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.4属于同一集团、协会、商会等组织成员的供应商按照该组织要求协同参加采购活动；</w:t>
      </w:r>
    </w:p>
    <w:p w14:paraId="597BA6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.5供应商之间事先约定由某一特定供应商中标、成交；</w:t>
      </w:r>
    </w:p>
    <w:p w14:paraId="6901C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.6供应商之间商定部分供应商放弃参加采购活动或者放弃中标、成交；</w:t>
      </w:r>
    </w:p>
    <w:p w14:paraId="592B5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.7供应商与采购人或者采购机构之间、供应商相互之间，为谋求特定供应商中标、成交或者排斥其他供应商的其他串通行为。</w:t>
      </w:r>
    </w:p>
    <w:p w14:paraId="371E1B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评标委员会认定有重大偏差或实质性不响应招标文件要求的；</w:t>
      </w:r>
    </w:p>
    <w:p w14:paraId="3D9437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投标文件出现不是唯一的、有选择性投标报价的；</w:t>
      </w:r>
    </w:p>
    <w:p w14:paraId="68B1DE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b w:val="0"/>
          <w:bCs/>
          <w:color w:val="auto"/>
          <w:sz w:val="24"/>
          <w:highlight w:val="none"/>
        </w:rPr>
        <w:t>8.2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其他违反法律、法规的情形。</w:t>
      </w:r>
    </w:p>
    <w:p w14:paraId="496F0A9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9.废标的情形</w:t>
      </w:r>
    </w:p>
    <w:p w14:paraId="33B5BF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在招标采购中，出现下列情形之一的，应予废标：</w:t>
      </w:r>
    </w:p>
    <w:p w14:paraId="48FFAE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9.1符合专业条件的投标人或者对招标文件作实质性响应的投标人不足三家的；</w:t>
      </w:r>
    </w:p>
    <w:p w14:paraId="5C22D6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9.2出现影响采购公正的违法、违规行为的；</w:t>
      </w:r>
    </w:p>
    <w:p w14:paraId="792C7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9.3投标人的报价均超过了采购预算，采购人不能支付的；</w:t>
      </w:r>
    </w:p>
    <w:p w14:paraId="6ED1C5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val="0"/>
          <w:bCs/>
          <w:color w:val="auto"/>
          <w:kern w:val="0"/>
          <w:sz w:val="24"/>
          <w:highlight w:val="none"/>
          <w:lang w:val="en-US" w:eastAsia="zh-CN"/>
        </w:rPr>
        <w:t>9.4因重大变故，采购任务取消的。</w:t>
      </w:r>
    </w:p>
    <w:p w14:paraId="02E0ECB8">
      <w:pPr>
        <w:keepNext w:val="0"/>
        <w:keepLines w:val="0"/>
        <w:pageBreakBefore w:val="0"/>
        <w:kinsoku/>
        <w:wordWrap/>
        <w:overflowPunct/>
        <w:topLinePunct w:val="0"/>
        <w:autoSpaceDE/>
        <w:autoSpaceDN/>
        <w:bidi w:val="0"/>
        <w:snapToGrid w:val="0"/>
        <w:spacing w:line="440" w:lineRule="exact"/>
        <w:ind w:left="0"/>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10</w:t>
      </w:r>
      <w:r>
        <w:rPr>
          <w:rFonts w:hint="eastAsia" w:ascii="仿宋" w:hAnsi="仿宋" w:eastAsia="仿宋" w:cs="仿宋"/>
          <w:b/>
          <w:color w:val="auto"/>
          <w:kern w:val="0"/>
          <w:sz w:val="24"/>
          <w:szCs w:val="24"/>
        </w:rPr>
        <w:t>. 评标过程保密</w:t>
      </w:r>
    </w:p>
    <w:p w14:paraId="3FECCE1E">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.1</w:t>
      </w:r>
      <w:r>
        <w:rPr>
          <w:rFonts w:hint="eastAsia" w:ascii="仿宋" w:hAnsi="仿宋" w:eastAsia="仿宋" w:cs="仿宋"/>
          <w:color w:val="auto"/>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E51824B">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.2 在评标期间，投标人企图影响</w:t>
      </w:r>
      <w:r>
        <w:rPr>
          <w:rFonts w:hint="eastAsia" w:ascii="仿宋" w:hAnsi="仿宋" w:eastAsia="仿宋" w:cs="仿宋"/>
          <w:color w:val="auto"/>
          <w:kern w:val="0"/>
          <w:sz w:val="24"/>
          <w:szCs w:val="24"/>
          <w:lang w:eastAsia="zh-CN"/>
        </w:rPr>
        <w:t>采购人</w:t>
      </w:r>
      <w:r>
        <w:rPr>
          <w:rFonts w:hint="eastAsia" w:ascii="仿宋" w:hAnsi="仿宋" w:eastAsia="仿宋" w:cs="仿宋"/>
          <w:color w:val="auto"/>
          <w:kern w:val="0"/>
          <w:sz w:val="24"/>
          <w:szCs w:val="24"/>
        </w:rPr>
        <w:t>或</w:t>
      </w:r>
      <w:r>
        <w:rPr>
          <w:rFonts w:hint="eastAsia" w:ascii="仿宋" w:hAnsi="仿宋" w:eastAsia="仿宋" w:cs="仿宋"/>
          <w:color w:val="auto"/>
          <w:sz w:val="24"/>
          <w:szCs w:val="24"/>
        </w:rPr>
        <w:t>评标委员会</w:t>
      </w:r>
      <w:r>
        <w:rPr>
          <w:rFonts w:hint="eastAsia" w:ascii="仿宋" w:hAnsi="仿宋" w:eastAsia="仿宋" w:cs="仿宋"/>
          <w:color w:val="auto"/>
          <w:kern w:val="0"/>
          <w:sz w:val="24"/>
          <w:szCs w:val="24"/>
        </w:rPr>
        <w:t>的任何活动，都将导致投标被拒绝，并由其承担相应的法律责任。</w:t>
      </w:r>
    </w:p>
    <w:bookmarkEnd w:id="36"/>
    <w:p w14:paraId="25C4C38F">
      <w:pPr>
        <w:pStyle w:val="33"/>
        <w:keepNext w:val="0"/>
        <w:keepLines w:val="0"/>
        <w:pageBreakBefore w:val="0"/>
        <w:kinsoku/>
        <w:wordWrap/>
        <w:overflowPunct/>
        <w:topLinePunct w:val="0"/>
        <w:autoSpaceDE/>
        <w:autoSpaceDN/>
        <w:bidi w:val="0"/>
        <w:spacing w:line="420" w:lineRule="exact"/>
        <w:ind w:firstLine="726"/>
        <w:jc w:val="center"/>
        <w:textAlignment w:val="auto"/>
        <w:rPr>
          <w:rFonts w:hint="eastAsia" w:ascii="仿宋" w:hAnsi="仿宋" w:eastAsia="仿宋" w:cs="仿宋"/>
          <w:b/>
          <w:color w:val="auto"/>
          <w:sz w:val="32"/>
          <w:szCs w:val="32"/>
        </w:rPr>
      </w:pPr>
      <w:bookmarkStart w:id="37" w:name="_Toc84325929"/>
      <w:bookmarkStart w:id="38" w:name="_Toc81372776"/>
      <w:bookmarkStart w:id="39" w:name="_Toc81372953"/>
      <w:r>
        <w:rPr>
          <w:rFonts w:hint="eastAsia" w:ascii="仿宋" w:hAnsi="仿宋" w:eastAsia="仿宋" w:cs="仿宋"/>
          <w:b/>
          <w:color w:val="auto"/>
          <w:sz w:val="32"/>
          <w:szCs w:val="32"/>
        </w:rPr>
        <w:t>五、授予合同</w:t>
      </w:r>
    </w:p>
    <w:bookmarkEnd w:id="37"/>
    <w:bookmarkEnd w:id="38"/>
    <w:bookmarkEnd w:id="39"/>
    <w:p w14:paraId="2F654C7E">
      <w:pPr>
        <w:pStyle w:val="15"/>
        <w:keepNext w:val="0"/>
        <w:keepLines w:val="0"/>
        <w:pageBreakBefore w:val="0"/>
        <w:tabs>
          <w:tab w:val="clear" w:pos="390"/>
          <w:tab w:val="clear" w:pos="454"/>
        </w:tabs>
        <w:kinsoku/>
        <w:wordWrap/>
        <w:overflowPunct/>
        <w:topLinePunct w:val="0"/>
        <w:autoSpaceDE/>
        <w:autoSpaceDN/>
        <w:bidi w:val="0"/>
        <w:spacing w:afterLines="0" w:line="420" w:lineRule="exact"/>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1.中标条件</w:t>
      </w:r>
    </w:p>
    <w:p w14:paraId="5A351AE3">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1.1投标文件基本符合招标文件要求；</w:t>
      </w:r>
    </w:p>
    <w:p w14:paraId="245376B6">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1.2投标人有很好的执行合同的能力；</w:t>
      </w:r>
    </w:p>
    <w:p w14:paraId="492838A7">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1.3实施方案最合理并对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最为有利，最大限度满足招标文件的要求；</w:t>
      </w:r>
    </w:p>
    <w:p w14:paraId="48FF376C">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1.4投标人能够提供质量技术、商务经济占综合优势的系统及服务。</w:t>
      </w:r>
    </w:p>
    <w:p w14:paraId="6CF0379E">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将把中标通知书授予最佳投标者，但最低价不是中标的绝对保证。</w:t>
      </w:r>
    </w:p>
    <w:p w14:paraId="4A100F7A">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2.中标确认</w:t>
      </w:r>
    </w:p>
    <w:p w14:paraId="15FC7DE2">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2.1采购人应当自收到评标报告之日起５个工作日内，在评标报告确定的中标候选人名单中按顺序确定中标人。</w:t>
      </w:r>
    </w:p>
    <w:p w14:paraId="57319A44">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2.2采购人在收到评标报告5个工作日内未按评标报告推荐的中标候选人顺序确定中标人，视同按评标报告推荐的顺序确定的中标候选人为中标人。</w:t>
      </w:r>
    </w:p>
    <w:p w14:paraId="260FE798">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2.3采购人应在确认中标人前再次对资格条件和相关证件材料进一步查验核实。</w:t>
      </w:r>
    </w:p>
    <w:p w14:paraId="5DC8D5BC">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3．中标通知</w:t>
      </w:r>
    </w:p>
    <w:p w14:paraId="3F39DDA8">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3.1采购代理机构对中标结果在指定媒体（浙江政府采购网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"http://www.zjzfcg.gov.cn"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http://zfcg.czt.zj.gov.cn/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发布中标公告，中标公告期限为1个工作日。</w:t>
      </w:r>
    </w:p>
    <w:p w14:paraId="55B6EAE6">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3.2在采购代理机构发出中标通知书前，中标供应商如有违反有关法律法规和本项目要求行为的，则取消该投标人的中标资格</w:t>
      </w:r>
      <w:r>
        <w:rPr>
          <w:rFonts w:hint="eastAsia" w:ascii="仿宋" w:hAnsi="仿宋" w:eastAsia="仿宋" w:cs="仿宋"/>
          <w:color w:val="auto"/>
          <w:sz w:val="24"/>
          <w:szCs w:val="24"/>
          <w:lang w:val="zh-CN"/>
        </w:rPr>
        <w:t>。</w:t>
      </w:r>
    </w:p>
    <w:p w14:paraId="669F1559">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3.3采购代理机构对中标结果不作任何说明和解释，也不回答任何提问。</w:t>
      </w:r>
    </w:p>
    <w:p w14:paraId="7888043D">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4．履约保证金</w:t>
      </w:r>
    </w:p>
    <w:p w14:paraId="2DD3C41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4.1中标单位按照招标文件规定递交履约保证金。</w:t>
      </w:r>
    </w:p>
    <w:p w14:paraId="0F8A125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4.2签订合同后，如中标单位不按双方合同约定履约，则没收其全部履约保证金，履约保证金不足以赔偿损失的，按实际损失赔偿。</w:t>
      </w:r>
    </w:p>
    <w:p w14:paraId="625F1483">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4.3中标单位如未按时交纳履约保证金，采购人有权撤销其中标资格，报请批准后另行采购。</w:t>
      </w:r>
    </w:p>
    <w:p w14:paraId="4AC50601">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5．合同签订及备案</w:t>
      </w:r>
    </w:p>
    <w:p w14:paraId="11E0ADD4">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中标人应当在中标通知书发出之日起30天</w:t>
      </w:r>
      <w:r>
        <w:rPr>
          <w:rFonts w:hint="eastAsia" w:ascii="仿宋" w:hAnsi="仿宋" w:eastAsia="仿宋" w:cs="仿宋"/>
          <w:color w:val="auto"/>
          <w:sz w:val="24"/>
          <w:szCs w:val="24"/>
          <w:highlight w:val="none"/>
        </w:rPr>
        <w:t>（投诉处理等原因导致签订合同延误的除外）</w:t>
      </w:r>
      <w:r>
        <w:rPr>
          <w:rFonts w:hint="eastAsia" w:ascii="仿宋" w:hAnsi="仿宋" w:eastAsia="仿宋" w:cs="仿宋"/>
          <w:color w:val="auto"/>
          <w:sz w:val="24"/>
          <w:szCs w:val="24"/>
        </w:rPr>
        <w:t>内与采购人签订合同，自采购合同签订之日起</w:t>
      </w:r>
      <w:r>
        <w:rPr>
          <w:rFonts w:hint="eastAsia" w:ascii="仿宋" w:hAnsi="仿宋" w:eastAsia="仿宋" w:cs="仿宋"/>
          <w:color w:val="auto"/>
          <w:sz w:val="24"/>
          <w:szCs w:val="24"/>
          <w:lang w:val="en-US" w:eastAsia="zh-CN"/>
        </w:rPr>
        <w:t>2</w:t>
      </w:r>
      <w:r>
        <w:rPr>
          <w:rFonts w:hint="eastAsia" w:ascii="仿宋" w:hAnsi="仿宋" w:eastAsia="仿宋" w:cs="仿宋"/>
          <w:b/>
          <w:bCs/>
          <w:color w:val="auto"/>
          <w:sz w:val="24"/>
          <w:szCs w:val="24"/>
        </w:rPr>
        <w:t>个工作日内</w:t>
      </w:r>
      <w:r>
        <w:rPr>
          <w:rFonts w:hint="eastAsia" w:ascii="仿宋" w:hAnsi="仿宋" w:eastAsia="仿宋" w:cs="仿宋"/>
          <w:color w:val="auto"/>
          <w:sz w:val="24"/>
          <w:szCs w:val="24"/>
        </w:rPr>
        <w:t>，通过电子交易平台进行备案。</w:t>
      </w:r>
    </w:p>
    <w:p w14:paraId="172C747A">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6.验收</w:t>
      </w:r>
    </w:p>
    <w:p w14:paraId="083FE1CD">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1B451D">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706B582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3367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CAD237">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408C2D1F">
      <w:pPr>
        <w:keepNext w:val="0"/>
        <w:keepLines w:val="0"/>
        <w:pageBreakBefore w:val="0"/>
        <w:kinsoku/>
        <w:wordWrap/>
        <w:overflowPunct/>
        <w:topLinePunct w:val="0"/>
        <w:autoSpaceDE/>
        <w:autoSpaceDN/>
        <w:bidi w:val="0"/>
        <w:spacing w:line="4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7.售后服务考核</w:t>
      </w:r>
    </w:p>
    <w:p w14:paraId="16093872">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7E10800D">
      <w:pPr>
        <w:adjustRightInd/>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color w:val="auto"/>
          <w:sz w:val="32"/>
          <w:szCs w:val="20"/>
        </w:rPr>
        <w:t>询问、质疑与投诉</w:t>
      </w:r>
    </w:p>
    <w:p w14:paraId="07C785CD">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1.在线询问、质疑、投诉</w:t>
      </w:r>
    </w:p>
    <w:p w14:paraId="09D12392">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供应商在线提起询问，路径为：乐采云-项目采购-询问质疑投诉-询问列表；供应商在线提起质疑，路径为：乐采云-项目采购-询问质疑投诉-质疑列表。质疑供应商对在线质疑答复不满意的，可在线提起投诉，路径为：浙江政府服务网-政府采购投诉处理-在线办理。</w:t>
      </w:r>
    </w:p>
    <w:p w14:paraId="3EF5CD56">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2. 供应商询问</w:t>
      </w:r>
    </w:p>
    <w:p w14:paraId="654AF68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C3B402">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 供应商质疑</w:t>
      </w:r>
    </w:p>
    <w:p w14:paraId="376000C8">
      <w:pPr>
        <w:keepNext w:val="0"/>
        <w:keepLines w:val="0"/>
        <w:pageBreakBefore w:val="0"/>
        <w:kinsoku/>
        <w:wordWrap/>
        <w:overflowPunct/>
        <w:topLinePunct w:val="0"/>
        <w:bidi w:val="0"/>
        <w:adjustRightIn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kern w:val="0"/>
          <w:sz w:val="24"/>
          <w:szCs w:val="24"/>
          <w:lang w:val="zh-CN"/>
        </w:rPr>
        <w:t>3</w:t>
      </w:r>
      <w:r>
        <w:rPr>
          <w:rFonts w:hint="eastAsia" w:ascii="仿宋" w:hAnsi="仿宋" w:eastAsia="仿宋" w:cs="仿宋"/>
          <w:b/>
          <w:bCs/>
          <w:color w:val="auto"/>
          <w:sz w:val="24"/>
          <w:szCs w:val="24"/>
        </w:rPr>
        <w:t>.1质疑提出时效</w:t>
      </w:r>
    </w:p>
    <w:p w14:paraId="43E8AA28">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38E77DC7">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CEA8F8B">
      <w:pPr>
        <w:keepNext w:val="0"/>
        <w:keepLines w:val="0"/>
        <w:pageBreakBefore w:val="0"/>
        <w:widowControl/>
        <w:kinsoku/>
        <w:wordWrap/>
        <w:overflowPunct/>
        <w:topLinePunct w:val="0"/>
        <w:bidi w:val="0"/>
        <w:adjustRightInd w:val="0"/>
        <w:snapToGrid w:val="0"/>
        <w:spacing w:line="400" w:lineRule="exact"/>
        <w:ind w:firstLine="434" w:firstLineChars="181"/>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61BB1CE2">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37387D05">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20146074">
      <w:pPr>
        <w:keepNext w:val="0"/>
        <w:keepLines w:val="0"/>
        <w:pageBreakBefore w:val="0"/>
        <w:kinsoku/>
        <w:wordWrap/>
        <w:overflowPunct/>
        <w:topLinePunct w:val="0"/>
        <w:bidi w:val="0"/>
        <w:adjustRightInd w:val="0"/>
        <w:spacing w:line="400" w:lineRule="exact"/>
        <w:ind w:firstLine="48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eastAsia" w:ascii="仿宋" w:hAnsi="仿宋" w:eastAsia="仿宋" w:cs="仿宋"/>
          <w:b/>
          <w:bCs/>
          <w:i w:val="0"/>
          <w:iCs w:val="0"/>
          <w:color w:val="auto"/>
          <w:kern w:val="2"/>
          <w:sz w:val="24"/>
          <w:szCs w:val="20"/>
          <w:highlight w:val="none"/>
          <w:vertAlign w:val="baseline"/>
          <w:lang w:val="en-US" w:eastAsia="zh-CN" w:bidi="ar-SA"/>
        </w:rPr>
        <w:t>。</w:t>
      </w:r>
    </w:p>
    <w:p w14:paraId="17AE6D7A">
      <w:pPr>
        <w:keepNext w:val="0"/>
        <w:keepLines w:val="0"/>
        <w:pageBreakBefore w:val="0"/>
        <w:kinsoku/>
        <w:wordWrap/>
        <w:overflowPunct/>
        <w:topLinePunct w:val="0"/>
        <w:bidi w:val="0"/>
        <w:adjustRightIn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kern w:val="0"/>
          <w:sz w:val="24"/>
          <w:szCs w:val="24"/>
          <w:lang w:val="zh-CN"/>
        </w:rPr>
        <w:t>3.</w:t>
      </w:r>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val="zh-CN"/>
        </w:rPr>
        <w:t>质疑函</w:t>
      </w:r>
    </w:p>
    <w:p w14:paraId="38C2E4AA">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3.2.1供应商提出质疑应当提交质疑函和必要的证明材料。质疑函应当包括下列内容：</w:t>
      </w:r>
    </w:p>
    <w:p w14:paraId="40C249F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供应商的姓名或者名称、地址、邮编、联系人及联系电话；</w:t>
      </w:r>
    </w:p>
    <w:p w14:paraId="7F718B10">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质疑项目的名称、编号；</w:t>
      </w:r>
    </w:p>
    <w:p w14:paraId="5898FC95">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具体、明确的质疑事项和与质疑事项相关的请求；</w:t>
      </w:r>
    </w:p>
    <w:p w14:paraId="3318D05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事实依据；</w:t>
      </w:r>
    </w:p>
    <w:p w14:paraId="48DC629B">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必要的法律依据；</w:t>
      </w:r>
    </w:p>
    <w:p w14:paraId="1D073B2D">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提出质疑的日期。</w:t>
      </w:r>
    </w:p>
    <w:p w14:paraId="03966EAD">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6B96B990">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i w:val="0"/>
          <w:iCs w:val="0"/>
          <w:color w:val="auto"/>
          <w:kern w:val="2"/>
          <w:sz w:val="24"/>
          <w:szCs w:val="20"/>
          <w:highlight w:val="none"/>
          <w:vertAlign w:val="baseline"/>
          <w:lang w:val="en-US" w:eastAsia="zh-CN" w:bidi="ar-SA"/>
        </w:rPr>
        <w:t>质疑函不符合相关规定的，应在规定期限内补齐的，招标方自收到补齐材料之日起受理；逾期未补齐的，按自动撤回质疑处理。</w:t>
      </w:r>
    </w:p>
    <w:p w14:paraId="07FDAF2D">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4.供应商投诉</w:t>
      </w:r>
    </w:p>
    <w:p w14:paraId="4F772AA2">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4.1质疑供应商对采购人或采购代理机构的答复不满意或者采购人、采购代理机构未在规定的时间内作出答复的，可以在答复期满后十五个工作日内向采购监督管理部门提出投诉。</w:t>
      </w:r>
    </w:p>
    <w:p w14:paraId="5BB91146">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6B72B39E">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bookmarkEnd w:id="34"/>
      <w:bookmarkEnd w:id="35"/>
      <w:bookmarkStart w:id="40" w:name="_Toc86217003"/>
      <w:bookmarkStart w:id="41" w:name="第五部分"/>
    </w:p>
    <w:p w14:paraId="2BBA62FC">
      <w:pPr>
        <w:rPr>
          <w:rFonts w:hint="eastAsia" w:ascii="仿宋" w:hAnsi="仿宋" w:eastAsia="仿宋" w:cs="仿宋"/>
          <w:color w:val="auto"/>
        </w:rPr>
      </w:pPr>
    </w:p>
    <w:p w14:paraId="285BD2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lang w:val="en-US" w:eastAsia="zh-CN"/>
        </w:rPr>
        <w:t xml:space="preserve">第三部分 </w:t>
      </w:r>
      <w:r>
        <w:rPr>
          <w:rFonts w:hint="eastAsia" w:ascii="仿宋" w:hAnsi="仿宋" w:eastAsia="仿宋" w:cs="仿宋"/>
          <w:b/>
          <w:color w:val="auto"/>
          <w:sz w:val="36"/>
          <w:szCs w:val="20"/>
        </w:rPr>
        <w:t>招标项目范围及要求</w:t>
      </w:r>
    </w:p>
    <w:p w14:paraId="70077A38">
      <w:pPr>
        <w:numPr>
          <w:ilvl w:val="0"/>
          <w:numId w:val="0"/>
        </w:numPr>
        <w:bidi w:val="0"/>
        <w:ind w:left="525" w:leftChars="0"/>
        <w:rPr>
          <w:rFonts w:hint="eastAsia" w:ascii="仿宋" w:hAnsi="仿宋" w:eastAsia="仿宋" w:cs="仿宋"/>
          <w:b/>
          <w:bCs/>
          <w:sz w:val="24"/>
          <w:szCs w:val="24"/>
          <w:lang w:val="en-US" w:eastAsia="zh-CN"/>
        </w:rPr>
      </w:pPr>
    </w:p>
    <w:p w14:paraId="7933F6DF">
      <w:pPr>
        <w:numPr>
          <w:ilvl w:val="0"/>
          <w:numId w:val="2"/>
        </w:numPr>
        <w:bidi w:val="0"/>
        <w:ind w:left="525" w:leftChars="0"/>
        <w:rPr>
          <w:rFonts w:hint="eastAsia" w:ascii="仿宋" w:hAnsi="仿宋" w:eastAsia="仿宋" w:cs="仿宋"/>
          <w:b/>
          <w:bCs/>
          <w:sz w:val="24"/>
          <w:szCs w:val="24"/>
        </w:rPr>
      </w:pPr>
      <w:r>
        <w:rPr>
          <w:rFonts w:hint="eastAsia" w:ascii="仿宋" w:hAnsi="仿宋" w:eastAsia="仿宋" w:cs="仿宋"/>
          <w:b/>
          <w:bCs/>
          <w:sz w:val="24"/>
          <w:szCs w:val="24"/>
        </w:rPr>
        <w:t>采购内容及数量</w:t>
      </w:r>
    </w:p>
    <w:tbl>
      <w:tblPr>
        <w:tblStyle w:val="6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1086"/>
        <w:gridCol w:w="1086"/>
        <w:gridCol w:w="1086"/>
        <w:gridCol w:w="1088"/>
        <w:gridCol w:w="3072"/>
      </w:tblGrid>
      <w:tr w14:paraId="45AA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876">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楼号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40D9">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15B">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电梯</w:t>
            </w:r>
          </w:p>
          <w:p w14:paraId="2A7BB552">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功能</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0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83B4">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数量</w:t>
            </w:r>
          </w:p>
        </w:tc>
        <w:tc>
          <w:tcPr>
            <w:tcW w:w="3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79F7">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备注</w:t>
            </w:r>
          </w:p>
        </w:tc>
      </w:tr>
      <w:tr w14:paraId="2E1F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vMerge w:val="restart"/>
            <w:tcBorders>
              <w:top w:val="single" w:color="000000" w:sz="4" w:space="0"/>
              <w:left w:val="single" w:color="000000" w:sz="4" w:space="0"/>
              <w:right w:val="single" w:color="000000" w:sz="4" w:space="0"/>
            </w:tcBorders>
            <w:shd w:val="clear" w:color="auto" w:fill="auto"/>
            <w:vAlign w:val="center"/>
          </w:tcPr>
          <w:p w14:paraId="4F49ABD3">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1#楼</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75E">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1-DT1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8227">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客梯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BAB6">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50A4">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D9E3">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二期，有机房</w:t>
            </w:r>
          </w:p>
        </w:tc>
      </w:tr>
      <w:tr w14:paraId="14C6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vMerge w:val="continue"/>
            <w:tcBorders>
              <w:left w:val="single" w:color="000000" w:sz="4" w:space="0"/>
              <w:right w:val="single" w:color="000000" w:sz="4" w:space="0"/>
            </w:tcBorders>
            <w:shd w:val="clear" w:color="auto" w:fill="auto"/>
            <w:vAlign w:val="center"/>
          </w:tcPr>
          <w:p w14:paraId="4072CBB1">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0BF">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1-DT2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DCE">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客梯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08A">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587">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66B6">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一期，无机房</w:t>
            </w:r>
          </w:p>
          <w:p w14:paraId="3B6F9960">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原有旧电梯需拆除</w:t>
            </w:r>
          </w:p>
        </w:tc>
      </w:tr>
      <w:tr w14:paraId="58E2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vMerge w:val="continue"/>
            <w:tcBorders>
              <w:left w:val="single" w:color="000000" w:sz="4" w:space="0"/>
              <w:bottom w:val="single" w:color="000000" w:sz="4" w:space="0"/>
              <w:right w:val="single" w:color="000000" w:sz="4" w:space="0"/>
            </w:tcBorders>
            <w:shd w:val="clear" w:color="auto" w:fill="auto"/>
            <w:vAlign w:val="center"/>
          </w:tcPr>
          <w:p w14:paraId="0AC699B3">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4D79">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1-DT3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142">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客梯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C7C">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FB44">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2164">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一期，有机房</w:t>
            </w:r>
          </w:p>
          <w:p w14:paraId="5172D895">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原有旧电梯需拆除</w:t>
            </w:r>
          </w:p>
        </w:tc>
      </w:tr>
      <w:tr w14:paraId="2983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2BDD">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2#楼</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3757">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2-DT1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A69D">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餐梯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7796">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F57">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A04">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二期，无机房</w:t>
            </w:r>
          </w:p>
        </w:tc>
      </w:tr>
      <w:tr w14:paraId="7416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C08E">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3#楼</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FDD">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3-DT1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F36">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客梯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AEA">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DCAC">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204">
            <w:pPr>
              <w:keepNext w:val="0"/>
              <w:keepLines w:val="0"/>
              <w:pageBreakBefore w:val="0"/>
              <w:widowControl/>
              <w:kinsoku/>
              <w:wordWrap/>
              <w:overflowPunct/>
              <w:topLinePunct w:val="0"/>
              <w:autoSpaceDE/>
              <w:autoSpaceDN/>
              <w:bidi w:val="0"/>
              <w:adjustRightInd w:val="0"/>
              <w:snapToGrid/>
              <w:spacing w:before="157" w:beforeLines="50" w:after="157" w:afterLines="50" w:line="240" w:lineRule="auto"/>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二期，无机房</w:t>
            </w:r>
          </w:p>
        </w:tc>
      </w:tr>
    </w:tbl>
    <w:p w14:paraId="24B95899">
      <w:pPr>
        <w:keepNext w:val="0"/>
        <w:keepLines w:val="0"/>
        <w:pageBreakBefore w:val="0"/>
        <w:widowControl w:val="0"/>
        <w:kinsoku/>
        <w:wordWrap/>
        <w:overflowPunct/>
        <w:topLinePunct w:val="0"/>
        <w:autoSpaceDE/>
        <w:autoSpaceDN/>
        <w:bidi w:val="0"/>
        <w:adjustRightInd w:val="0"/>
        <w:snapToGrid/>
        <w:spacing w:line="420" w:lineRule="exact"/>
        <w:ind w:left="0" w:firstLine="482" w:firstLineChars="200"/>
        <w:textAlignment w:val="auto"/>
        <w:outlineLvl w:val="1"/>
        <w:rPr>
          <w:rFonts w:hint="eastAsia" w:ascii="仿宋" w:hAnsi="仿宋" w:eastAsia="仿宋" w:cs="仿宋"/>
          <w:b/>
          <w:color w:val="auto"/>
          <w:sz w:val="24"/>
          <w:szCs w:val="24"/>
          <w:lang w:val="en-US" w:eastAsia="zh-CN"/>
        </w:rPr>
      </w:pPr>
      <w:bookmarkStart w:id="42" w:name="_Toc6200"/>
      <w:r>
        <w:rPr>
          <w:rFonts w:hint="eastAsia" w:ascii="仿宋" w:hAnsi="仿宋" w:eastAsia="仿宋" w:cs="仿宋"/>
          <w:b/>
          <w:color w:val="auto"/>
          <w:sz w:val="24"/>
          <w:szCs w:val="24"/>
          <w:lang w:val="en-US" w:eastAsia="zh-CN"/>
        </w:rPr>
        <w:t>备注：投标报价包含旧电梯拆除费，拆除的旧电梯采购人统一处理，中标人不得擅自处理。</w:t>
      </w:r>
    </w:p>
    <w:p w14:paraId="1AB6EB71">
      <w:pPr>
        <w:keepNext w:val="0"/>
        <w:keepLines w:val="0"/>
        <w:pageBreakBefore w:val="0"/>
        <w:kinsoku/>
        <w:wordWrap/>
        <w:overflowPunct/>
        <w:topLinePunct w:val="0"/>
        <w:autoSpaceDE/>
        <w:autoSpaceDN/>
        <w:bidi w:val="0"/>
        <w:adjustRightInd w:val="0"/>
        <w:spacing w:line="420" w:lineRule="exact"/>
        <w:ind w:left="0" w:firstLine="482"/>
        <w:textAlignment w:val="auto"/>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二、</w:t>
      </w:r>
      <w:r>
        <w:rPr>
          <w:rFonts w:hint="eastAsia" w:ascii="仿宋" w:hAnsi="仿宋" w:eastAsia="仿宋" w:cs="仿宋"/>
          <w:b/>
          <w:sz w:val="24"/>
          <w:szCs w:val="24"/>
        </w:rPr>
        <w:t>技术标准和规范</w:t>
      </w:r>
      <w:bookmarkEnd w:id="42"/>
    </w:p>
    <w:p w14:paraId="4D13697A">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bookmarkStart w:id="43" w:name="_Toc2457"/>
      <w:r>
        <w:rPr>
          <w:rFonts w:hint="eastAsia" w:ascii="仿宋" w:hAnsi="仿宋" w:eastAsia="仿宋" w:cs="仿宋"/>
          <w:b/>
          <w:spacing w:val="5"/>
          <w:sz w:val="24"/>
          <w:szCs w:val="24"/>
        </w:rPr>
        <w:t>1.电梯制造及验收标准:</w:t>
      </w:r>
    </w:p>
    <w:p w14:paraId="623EA15F">
      <w:pPr>
        <w:keepNext w:val="0"/>
        <w:keepLines w:val="0"/>
        <w:pageBreakBefore w:val="0"/>
        <w:kinsoku/>
        <w:wordWrap/>
        <w:overflowPunct/>
        <w:topLinePunct w:val="0"/>
        <w:autoSpaceDE/>
        <w:autoSpaceDN/>
        <w:bidi w:val="0"/>
        <w:adjustRightInd w:val="0"/>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除本章节另有规定的技术要求外，本次电梯产品的设计、制造、测试、安装、验收不低于中华人民共和国下述相关的国家标准：</w:t>
      </w:r>
    </w:p>
    <w:p w14:paraId="0D84AF36">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 《电梯技术条件》GB/T10058-20</w:t>
      </w:r>
      <w:r>
        <w:rPr>
          <w:rFonts w:hint="eastAsia" w:ascii="仿宋" w:hAnsi="仿宋" w:eastAsia="仿宋" w:cs="仿宋"/>
          <w:sz w:val="24"/>
          <w:szCs w:val="24"/>
          <w:lang w:val="en-US" w:eastAsia="zh-CN"/>
        </w:rPr>
        <w:t>23</w:t>
      </w:r>
    </w:p>
    <w:p w14:paraId="72856253">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1.2 《电梯实验方法》GB/T10059-20</w:t>
      </w:r>
      <w:r>
        <w:rPr>
          <w:rFonts w:hint="eastAsia" w:ascii="仿宋" w:hAnsi="仿宋" w:eastAsia="仿宋" w:cs="仿宋"/>
          <w:sz w:val="24"/>
          <w:szCs w:val="24"/>
          <w:lang w:val="en-US" w:eastAsia="zh-CN"/>
        </w:rPr>
        <w:t>23</w:t>
      </w:r>
    </w:p>
    <w:p w14:paraId="431E60B5">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1.3 《电梯安装验收规范》GB/T10060-20</w:t>
      </w:r>
      <w:r>
        <w:rPr>
          <w:rFonts w:hint="eastAsia" w:ascii="仿宋" w:hAnsi="仿宋" w:eastAsia="仿宋" w:cs="仿宋"/>
          <w:sz w:val="24"/>
          <w:szCs w:val="24"/>
          <w:lang w:val="en-US" w:eastAsia="zh-CN"/>
        </w:rPr>
        <w:t>23</w:t>
      </w:r>
    </w:p>
    <w:p w14:paraId="0BD5865F">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1.4 《电梯制造与安装安全规范》GB</w:t>
      </w:r>
      <w:r>
        <w:rPr>
          <w:rFonts w:hint="eastAsia" w:ascii="仿宋" w:hAnsi="仿宋" w:eastAsia="仿宋" w:cs="仿宋"/>
          <w:sz w:val="24"/>
          <w:szCs w:val="24"/>
          <w:lang w:val="en-US" w:eastAsia="zh-CN"/>
        </w:rPr>
        <w:t xml:space="preserve">/T </w:t>
      </w:r>
      <w:r>
        <w:rPr>
          <w:rFonts w:hint="eastAsia" w:ascii="仿宋" w:hAnsi="仿宋" w:eastAsia="仿宋" w:cs="仿宋"/>
          <w:sz w:val="24"/>
          <w:szCs w:val="24"/>
        </w:rPr>
        <w:t>7588-20</w:t>
      </w:r>
      <w:r>
        <w:rPr>
          <w:rFonts w:hint="eastAsia" w:ascii="仿宋" w:hAnsi="仿宋" w:eastAsia="仿宋" w:cs="仿宋"/>
          <w:sz w:val="24"/>
          <w:szCs w:val="24"/>
          <w:lang w:val="en-US" w:eastAsia="zh-CN"/>
        </w:rPr>
        <w:t>20</w:t>
      </w:r>
    </w:p>
    <w:p w14:paraId="1833F18E">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1.5 《电梯工程施工质量验收规范》GB50310-2002</w:t>
      </w:r>
    </w:p>
    <w:p w14:paraId="4A48A277">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1.6《质量保证体系》ISO9001:2008标准国际质量体系认证。</w:t>
      </w:r>
    </w:p>
    <w:p w14:paraId="69B38BE4">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1.7《环保国际体系》ISO14001:2004环保国际体系认证。</w:t>
      </w:r>
    </w:p>
    <w:p w14:paraId="5CCE5745">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1.8《生产标准体系》国家质量监督检验检疫总局颁发的生产许可证，保证电梯的整机质量，执行“GB10060电梯安装验收规范”。</w:t>
      </w:r>
    </w:p>
    <w:p w14:paraId="5FAE9FFB">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1.9《电梯主要参数及轿厢、井道、机房的形式及尺寸》GB/T7025.1-2008.GB/T7025.2-2008.GB/T7025.3-1997</w:t>
      </w:r>
    </w:p>
    <w:p w14:paraId="34A616AE">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1.10《电梯、自动扶梯、自动人行道术语》GB/T7024</w:t>
      </w:r>
    </w:p>
    <w:p w14:paraId="40037E24">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1.11《低压成套开关设备的控制设备》GB/T7251</w:t>
      </w:r>
    </w:p>
    <w:p w14:paraId="39C02389">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1.12《建筑物的电气装置电击防护》GB/T14821.1</w:t>
      </w:r>
    </w:p>
    <w:p w14:paraId="11E1A1E3">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1.13特种设备安全检查条例</w:t>
      </w:r>
    </w:p>
    <w:p w14:paraId="65F6D863">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1.14浙江省消防部门的条例及相关的中国国家消防规范</w:t>
      </w:r>
    </w:p>
    <w:p w14:paraId="77FD38FF">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1.15电力供应部门的供电规章条例</w:t>
      </w:r>
    </w:p>
    <w:p w14:paraId="75DDAE78">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1.16其他有关的中国规定</w:t>
      </w:r>
    </w:p>
    <w:p w14:paraId="6954BE3D">
      <w:pPr>
        <w:keepNext w:val="0"/>
        <w:keepLines w:val="0"/>
        <w:pageBreakBefore w:val="0"/>
        <w:tabs>
          <w:tab w:val="left" w:pos="540"/>
        </w:tabs>
        <w:kinsoku/>
        <w:wordWrap/>
        <w:overflowPunct/>
        <w:topLinePunct w:val="0"/>
        <w:autoSpaceDE/>
        <w:autoSpaceDN/>
        <w:bidi w:val="0"/>
        <w:adjustRightInd w:val="0"/>
        <w:spacing w:line="420" w:lineRule="exact"/>
        <w:ind w:left="0" w:firstLine="561" w:firstLineChars="234"/>
        <w:textAlignment w:val="auto"/>
        <w:rPr>
          <w:rFonts w:hint="eastAsia" w:ascii="仿宋" w:hAnsi="仿宋" w:eastAsia="仿宋" w:cs="仿宋"/>
          <w:sz w:val="24"/>
          <w:szCs w:val="24"/>
        </w:rPr>
      </w:pPr>
      <w:r>
        <w:rPr>
          <w:rFonts w:hint="eastAsia" w:ascii="仿宋" w:hAnsi="仿宋" w:eastAsia="仿宋" w:cs="仿宋"/>
          <w:sz w:val="24"/>
          <w:szCs w:val="24"/>
        </w:rPr>
        <w:t>1.17由采购人认可的其他国家的其他权威标准</w:t>
      </w:r>
    </w:p>
    <w:p w14:paraId="28BEE748">
      <w:pPr>
        <w:keepNext w:val="0"/>
        <w:keepLines w:val="0"/>
        <w:pageBreakBefore w:val="0"/>
        <w:kinsoku/>
        <w:wordWrap/>
        <w:overflowPunct/>
        <w:topLinePunct w:val="0"/>
        <w:autoSpaceDE/>
        <w:autoSpaceDN/>
        <w:bidi w:val="0"/>
        <w:adjustRightInd w:val="0"/>
        <w:spacing w:line="420" w:lineRule="exact"/>
        <w:ind w:left="0" w:firstLine="587" w:firstLineChars="234"/>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1.18国家有新规定的，按照最新规定执行。</w:t>
      </w:r>
    </w:p>
    <w:p w14:paraId="6291AB9E">
      <w:pPr>
        <w:keepNext w:val="0"/>
        <w:keepLines w:val="0"/>
        <w:pageBreakBefore w:val="0"/>
        <w:kinsoku/>
        <w:wordWrap/>
        <w:overflowPunct/>
        <w:topLinePunct w:val="0"/>
        <w:autoSpaceDE/>
        <w:autoSpaceDN/>
        <w:bidi w:val="0"/>
        <w:adjustRightInd w:val="0"/>
        <w:spacing w:line="420" w:lineRule="exact"/>
        <w:ind w:left="0" w:firstLine="512" w:firstLineChars="204"/>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rPr>
        <w:t>2.电梯设施标准</w:t>
      </w:r>
    </w:p>
    <w:p w14:paraId="5316BC72">
      <w:pPr>
        <w:keepNext w:val="0"/>
        <w:keepLines w:val="0"/>
        <w:pageBreakBefore w:val="0"/>
        <w:kinsoku/>
        <w:wordWrap/>
        <w:overflowPunct/>
        <w:topLinePunct w:val="0"/>
        <w:autoSpaceDE/>
        <w:autoSpaceDN/>
        <w:bidi w:val="0"/>
        <w:adjustRightInd w:val="0"/>
        <w:spacing w:line="420" w:lineRule="exact"/>
        <w:ind w:left="0" w:firstLine="510" w:firstLineChars="204"/>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2.1电梯的安全设施符合GB/T10058-2009《电梯技术条件》的规定，及GB7588-2020《电梯制造与安装安全规范》的规定。</w:t>
      </w:r>
    </w:p>
    <w:p w14:paraId="0E099B9E">
      <w:pPr>
        <w:keepNext w:val="0"/>
        <w:keepLines w:val="0"/>
        <w:pageBreakBefore w:val="0"/>
        <w:kinsoku/>
        <w:wordWrap/>
        <w:overflowPunct/>
        <w:topLinePunct w:val="0"/>
        <w:autoSpaceDE/>
        <w:autoSpaceDN/>
        <w:bidi w:val="0"/>
        <w:adjustRightInd w:val="0"/>
        <w:spacing w:line="420" w:lineRule="exact"/>
        <w:ind w:left="0" w:firstLine="510" w:firstLineChars="204"/>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2.2限速器、安全钳、缓冲器符合GB/T10058-2009《电梯技术条件》的规定。</w:t>
      </w:r>
    </w:p>
    <w:p w14:paraId="707D8175">
      <w:pPr>
        <w:keepNext w:val="0"/>
        <w:keepLines w:val="0"/>
        <w:pageBreakBefore w:val="0"/>
        <w:kinsoku/>
        <w:wordWrap/>
        <w:overflowPunct/>
        <w:topLinePunct w:val="0"/>
        <w:autoSpaceDE/>
        <w:autoSpaceDN/>
        <w:bidi w:val="0"/>
        <w:adjustRightInd w:val="0"/>
        <w:spacing w:line="420" w:lineRule="exact"/>
        <w:ind w:left="0" w:firstLine="510" w:firstLineChars="204"/>
        <w:textAlignment w:val="auto"/>
        <w:rPr>
          <w:rFonts w:hint="eastAsia" w:ascii="仿宋" w:hAnsi="仿宋" w:eastAsia="仿宋" w:cs="仿宋"/>
          <w:sz w:val="24"/>
          <w:szCs w:val="24"/>
        </w:rPr>
      </w:pPr>
      <w:r>
        <w:rPr>
          <w:rFonts w:hint="eastAsia" w:ascii="仿宋" w:hAnsi="仿宋" w:eastAsia="仿宋" w:cs="仿宋"/>
          <w:spacing w:val="5"/>
          <w:sz w:val="24"/>
          <w:szCs w:val="24"/>
        </w:rPr>
        <w:t>2.3</w:t>
      </w:r>
      <w:r>
        <w:rPr>
          <w:rFonts w:hint="eastAsia" w:ascii="仿宋" w:hAnsi="仿宋" w:eastAsia="仿宋" w:cs="仿宋"/>
          <w:sz w:val="24"/>
          <w:szCs w:val="24"/>
        </w:rPr>
        <w:t>电气安全要求:电梯电气安全要求符合GB/T10058-2009《电梯技术条件》的规定。</w:t>
      </w:r>
    </w:p>
    <w:p w14:paraId="585E7E0C">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2.4电梯可靠性要求:可靠性达到GB/T10058-2009《电梯技术条件》的要求。</w:t>
      </w:r>
    </w:p>
    <w:p w14:paraId="5B7CE5ED">
      <w:pPr>
        <w:keepNext w:val="0"/>
        <w:keepLines w:val="0"/>
        <w:pageBreakBefore w:val="0"/>
        <w:kinsoku/>
        <w:wordWrap/>
        <w:overflowPunct/>
        <w:topLinePunct w:val="0"/>
        <w:autoSpaceDE/>
        <w:autoSpaceDN/>
        <w:bidi w:val="0"/>
        <w:adjustRightInd w:val="0"/>
        <w:spacing w:line="420" w:lineRule="exact"/>
        <w:ind w:left="0" w:firstLine="502"/>
        <w:textAlignment w:val="auto"/>
        <w:outlineLvl w:val="1"/>
        <w:rPr>
          <w:rFonts w:hint="eastAsia" w:ascii="仿宋" w:hAnsi="仿宋" w:eastAsia="仿宋" w:cs="仿宋"/>
          <w:b/>
          <w:bCs/>
          <w:spacing w:val="5"/>
          <w:sz w:val="24"/>
          <w:szCs w:val="24"/>
        </w:rPr>
      </w:pPr>
      <w:r>
        <w:rPr>
          <w:rFonts w:hint="eastAsia" w:ascii="仿宋" w:hAnsi="仿宋" w:eastAsia="仿宋" w:cs="仿宋"/>
          <w:b/>
          <w:bCs/>
          <w:spacing w:val="5"/>
          <w:sz w:val="24"/>
          <w:szCs w:val="24"/>
        </w:rPr>
        <w:t>2.5国家有新规定的，按照最新规定执行。</w:t>
      </w:r>
      <w:bookmarkEnd w:id="43"/>
      <w:bookmarkStart w:id="44" w:name="_Toc17550"/>
    </w:p>
    <w:p w14:paraId="3C15EDA2">
      <w:pPr>
        <w:keepNext w:val="0"/>
        <w:keepLines w:val="0"/>
        <w:pageBreakBefore w:val="0"/>
        <w:kinsoku/>
        <w:wordWrap/>
        <w:overflowPunct/>
        <w:topLinePunct w:val="0"/>
        <w:autoSpaceDE/>
        <w:autoSpaceDN/>
        <w:bidi w:val="0"/>
        <w:adjustRightInd w:val="0"/>
        <w:spacing w:line="420" w:lineRule="exact"/>
        <w:ind w:left="0" w:firstLine="502"/>
        <w:textAlignment w:val="auto"/>
        <w:outlineLvl w:val="1"/>
        <w:rPr>
          <w:rFonts w:hint="eastAsia" w:ascii="仿宋" w:hAnsi="仿宋" w:eastAsia="仿宋" w:cs="仿宋"/>
          <w:b/>
          <w:sz w:val="24"/>
          <w:szCs w:val="24"/>
        </w:rPr>
      </w:pPr>
      <w:r>
        <w:rPr>
          <w:rFonts w:hint="eastAsia" w:ascii="仿宋" w:hAnsi="仿宋" w:eastAsia="仿宋" w:cs="仿宋"/>
          <w:b/>
          <w:bCs/>
          <w:spacing w:val="5"/>
          <w:sz w:val="24"/>
          <w:szCs w:val="24"/>
          <w:lang w:eastAsia="zh-CN"/>
        </w:rPr>
        <w:t>三、</w:t>
      </w:r>
      <w:r>
        <w:rPr>
          <w:rFonts w:hint="eastAsia" w:ascii="仿宋" w:hAnsi="仿宋" w:eastAsia="仿宋" w:cs="仿宋"/>
          <w:b/>
          <w:sz w:val="24"/>
          <w:szCs w:val="24"/>
        </w:rPr>
        <w:t>基本要求</w:t>
      </w:r>
      <w:bookmarkEnd w:id="44"/>
    </w:p>
    <w:p w14:paraId="7AAC4B4A">
      <w:pPr>
        <w:keepNext w:val="0"/>
        <w:keepLines w:val="0"/>
        <w:pageBreakBefore w:val="0"/>
        <w:kinsoku/>
        <w:wordWrap/>
        <w:overflowPunct/>
        <w:topLinePunct w:val="0"/>
        <w:autoSpaceDE/>
        <w:autoSpaceDN/>
        <w:bidi w:val="0"/>
        <w:adjustRightInd w:val="0"/>
        <w:snapToGrid w:val="0"/>
        <w:spacing w:line="420" w:lineRule="exact"/>
        <w:ind w:left="0" w:firstLine="502" w:firstLineChars="200"/>
        <w:jc w:val="left"/>
        <w:textAlignment w:val="auto"/>
        <w:rPr>
          <w:rFonts w:hint="eastAsia" w:ascii="仿宋" w:hAnsi="仿宋" w:eastAsia="仿宋" w:cs="仿宋"/>
          <w:sz w:val="24"/>
          <w:szCs w:val="24"/>
          <w:lang w:eastAsia="zh-CN"/>
        </w:rPr>
      </w:pPr>
      <w:r>
        <w:rPr>
          <w:rFonts w:hint="eastAsia" w:ascii="仿宋" w:hAnsi="仿宋" w:eastAsia="仿宋" w:cs="仿宋"/>
          <w:b/>
          <w:spacing w:val="5"/>
          <w:sz w:val="24"/>
          <w:szCs w:val="24"/>
          <w:lang w:val="en-US" w:eastAsia="zh-CN"/>
        </w:rPr>
        <w:t>1.质量要求：</w:t>
      </w:r>
      <w:r>
        <w:rPr>
          <w:rFonts w:hint="eastAsia" w:ascii="仿宋" w:hAnsi="仿宋" w:eastAsia="仿宋" w:cs="仿宋"/>
          <w:sz w:val="24"/>
          <w:szCs w:val="24"/>
        </w:rPr>
        <w:t>投标货物必须是全新、未使用过的原装合格正品。投标产品符合招标文件规定的规格、性能和质量的要求，达到国家、行业规定的通用标准和强制标准，属于国家强制认证的产品的必须通过认证。</w:t>
      </w:r>
    </w:p>
    <w:p w14:paraId="18289F18">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2.</w:t>
      </w:r>
      <w:r>
        <w:rPr>
          <w:rFonts w:hint="eastAsia" w:ascii="仿宋" w:hAnsi="仿宋" w:eastAsia="仿宋" w:cs="仿宋"/>
          <w:b/>
          <w:spacing w:val="5"/>
          <w:sz w:val="24"/>
          <w:szCs w:val="24"/>
        </w:rPr>
        <w:t>设备（材料）要求</w:t>
      </w:r>
    </w:p>
    <w:p w14:paraId="010534BC">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（1）投标人所投设备必须是厂商全新的、性能优的，型号、性能及指标符合国家及招标文件提出的有关技术、质量、安全标准。</w:t>
      </w:r>
    </w:p>
    <w:p w14:paraId="063FA203">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（2）所有设备在开箱检验时必须完好，无破损，配置与装箱单相符。数量、质量及性能不低于招标文件的要求。</w:t>
      </w:r>
    </w:p>
    <w:p w14:paraId="33DE3B58">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（3）设备外观清洁，标记编号以及盘面显示等字体清晰，明确。铭牌、使用指示、警告指示应以中文或英文及易懂的通用符号来表示；应准确无误地表明设备之型号、规格、制造厂及生产或出厂日期。</w:t>
      </w:r>
    </w:p>
    <w:p w14:paraId="6D9FDB56">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（4）对于影响设备正常工作的必要组成部分，无论在技术规范中指出与否，投标人都应提供并在投标文件中明确列出。</w:t>
      </w:r>
    </w:p>
    <w:p w14:paraId="16709E43">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5）所有货物提供出厂合格证等质量证明文件，若没有合格证的可提供型式试验报告、各部件的质量保证承诺书（加盖电梯制造单位公章），国外生产的必须有合法的进货渠道证明，如海关报关单、原产地证明、商检证明等，所有资料随电梯到货，开箱验收时检查。</w:t>
      </w:r>
    </w:p>
    <w:p w14:paraId="7B6DE7F7">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（6）随带资料（原件）齐全，并在工程竣工后统一移交给</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w:t>
      </w:r>
    </w:p>
    <w:p w14:paraId="6FB95D8E">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3.</w:t>
      </w:r>
      <w:r>
        <w:rPr>
          <w:rFonts w:hint="eastAsia" w:ascii="仿宋" w:hAnsi="仿宋" w:eastAsia="仿宋" w:cs="仿宋"/>
          <w:b/>
          <w:spacing w:val="5"/>
          <w:sz w:val="24"/>
          <w:szCs w:val="24"/>
        </w:rPr>
        <w:t>制造监制和出厂检验</w:t>
      </w:r>
    </w:p>
    <w:p w14:paraId="3014B175">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（1）在设备制造期间，</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有权在适当的时间到制造厂进行制造监制，在制造监制期间，制造单位有责任提供有关设备各种数据，设备结构图和部件图的详细中文资料。但</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监制并不解除制造单位对所有产品在制造质量上应负的全部责任。</w:t>
      </w:r>
    </w:p>
    <w:p w14:paraId="59D7583E">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（2）主要部件和电气部件及总体工程的检验都应在工厂内完成。中标人须提供由</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工程师认可的一整套检验标准和计划。所有检验应严格地按照认可的方式进行。投标人在投标文件中应把</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工厂检验费用计入产品总价，该费用将包含于投标总价中。在检验结束后，中标人须提供必要的技术数据和图纸，并提交一份测试报告给</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，但</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的工厂检验并不解除制造单位对所有产品在制造质量上应负的全部责任。</w:t>
      </w:r>
    </w:p>
    <w:p w14:paraId="17C8EA53">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4.</w:t>
      </w:r>
      <w:r>
        <w:rPr>
          <w:rFonts w:hint="eastAsia" w:ascii="仿宋" w:hAnsi="仿宋" w:eastAsia="仿宋" w:cs="仿宋"/>
          <w:b/>
          <w:spacing w:val="5"/>
          <w:sz w:val="24"/>
          <w:szCs w:val="24"/>
        </w:rPr>
        <w:t>数量调整</w:t>
      </w:r>
    </w:p>
    <w:p w14:paraId="7852CC5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保留在签约时调整部分方案及定购设备数量和服务的权力，投标人应对方案中设备和服务明细报价，施工设计变更后发生的数量增减，按投标单价不变的前提下进行调整，双方不得拒绝。</w:t>
      </w:r>
    </w:p>
    <w:p w14:paraId="45870531">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（2）如遇本次招标没有涉及的设备或服务时，由中标人提出申请，</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确认后实施。</w:t>
      </w:r>
    </w:p>
    <w:p w14:paraId="4C20F206">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5</w:t>
      </w:r>
      <w:r>
        <w:rPr>
          <w:rFonts w:hint="eastAsia" w:ascii="仿宋" w:hAnsi="仿宋" w:eastAsia="仿宋" w:cs="仿宋"/>
          <w:b/>
          <w:spacing w:val="5"/>
          <w:sz w:val="24"/>
          <w:szCs w:val="24"/>
        </w:rPr>
        <w:t>.运输、保管、保险</w:t>
      </w:r>
    </w:p>
    <w:p w14:paraId="7369B344">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（1）中标人负责设备材料货到现场或</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指定的地点过程中的全部运输，包括装卸车、货物现场的搬运。</w:t>
      </w:r>
    </w:p>
    <w:p w14:paraId="49685B4D">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（2）货物在项目综合验收合格前的保管由中标人负责。</w:t>
      </w:r>
    </w:p>
    <w:p w14:paraId="12104E3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（3）货物在项目综合验收合格前的保险由中标人负责，中标人负责其派出的现场服务人员人身意外保险。</w:t>
      </w:r>
    </w:p>
    <w:p w14:paraId="1DE5EFC5">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6</w:t>
      </w:r>
      <w:r>
        <w:rPr>
          <w:rFonts w:hint="eastAsia" w:ascii="仿宋" w:hAnsi="仿宋" w:eastAsia="仿宋" w:cs="仿宋"/>
          <w:b/>
          <w:spacing w:val="5"/>
          <w:sz w:val="24"/>
          <w:szCs w:val="24"/>
        </w:rPr>
        <w:t>.安装、调试及验收</w:t>
      </w:r>
    </w:p>
    <w:p w14:paraId="34146037">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由电梯设备制造单位派遣制造单位专业技术人员进行全过程现场指导安装。</w:t>
      </w:r>
    </w:p>
    <w:p w14:paraId="13B3ADCD">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中标人应派经</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认可的有经验和能力、具有相应资质的技术人员，负责设备安装工作，在设备安装期间应充分了解设备安装进度要求，保证施工质量，解决施工中出现的技术问题。</w:t>
      </w:r>
    </w:p>
    <w:p w14:paraId="5EA2C557">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（1）中标人负责设备的安装、调试、验收。</w:t>
      </w:r>
    </w:p>
    <w:p w14:paraId="1DDA1ECC">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（2）中标人现场服务人员要服从</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的进度安排。</w:t>
      </w:r>
    </w:p>
    <w:p w14:paraId="2C50BE13">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（3）调试所需专用工具设施物料由中标人自备、自费运到现场，完工后自费搬走。</w:t>
      </w:r>
    </w:p>
    <w:p w14:paraId="5D539A79">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（4）调试：按国家相关施工验收规范进行，分阶段进行调试。</w:t>
      </w:r>
    </w:p>
    <w:p w14:paraId="26BAB3F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（5）设备的拆箱、通电、调试等项工作由中标人负责，但必须在</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指定人员的参与下进行。在实际实施前必须先经</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同意方可进行。调试的原始记录须经各方签字后作为验收的文件之一。</w:t>
      </w:r>
    </w:p>
    <w:p w14:paraId="1D2ED5DD">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rPr>
        <w:t>电梯设备安装完成后，进行调试、验收(包括负责通过有关部门组织的综合验收)。验收由</w:t>
      </w:r>
      <w:r>
        <w:rPr>
          <w:rFonts w:hint="eastAsia" w:ascii="仿宋" w:hAnsi="仿宋" w:eastAsia="仿宋" w:cs="仿宋"/>
          <w:b/>
          <w:spacing w:val="5"/>
          <w:sz w:val="24"/>
          <w:szCs w:val="24"/>
          <w:lang w:eastAsia="zh-CN"/>
        </w:rPr>
        <w:t>采购人</w:t>
      </w:r>
      <w:r>
        <w:rPr>
          <w:rFonts w:hint="eastAsia" w:ascii="仿宋" w:hAnsi="仿宋" w:eastAsia="仿宋" w:cs="仿宋"/>
          <w:b/>
          <w:spacing w:val="5"/>
          <w:sz w:val="24"/>
          <w:szCs w:val="24"/>
        </w:rPr>
        <w:t>与中标人及相关人员依国家有关标准、合同、设计图纸及有关附件要求进行，直至拿到电梯使用许可证。</w:t>
      </w:r>
    </w:p>
    <w:p w14:paraId="6935B55B">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7</w:t>
      </w:r>
      <w:r>
        <w:rPr>
          <w:rFonts w:hint="eastAsia" w:ascii="仿宋" w:hAnsi="仿宋" w:eastAsia="仿宋" w:cs="仿宋"/>
          <w:b/>
          <w:spacing w:val="5"/>
          <w:sz w:val="24"/>
          <w:szCs w:val="24"/>
        </w:rPr>
        <w:t>.资料</w:t>
      </w:r>
    </w:p>
    <w:p w14:paraId="352DFE49">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在试运行前二周，中标人需提交包括控制、操作和维护手册一式六份，以便于</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和相关人员能预先对将要运行的设备有所了解。至少应包括下列基本内容：</w:t>
      </w:r>
    </w:p>
    <w:p w14:paraId="42BD2225">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（1）所有设备规格和详细操作说明。</w:t>
      </w:r>
    </w:p>
    <w:p w14:paraId="22F70679">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（2）主要部件常见故障说明，说明书应包括备件清单、操作和维修方法。</w:t>
      </w:r>
    </w:p>
    <w:p w14:paraId="788C82E8">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（3）例行维修保养项目和期限的建议。</w:t>
      </w:r>
    </w:p>
    <w:p w14:paraId="7DAC1898">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（4）紧急安全措施的建议。</w:t>
      </w:r>
    </w:p>
    <w:p w14:paraId="0E9A9B9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（5）紧急维修中心电话号码、地址，维修人员的电话号码。</w:t>
      </w:r>
    </w:p>
    <w:p w14:paraId="0A0C9193">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（6）中标人应于验收后向</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提供验收报告、技术文档的归纳、整理、提交，并提供完整的软、硬件技术资料。</w:t>
      </w:r>
    </w:p>
    <w:p w14:paraId="4324B787">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lang w:val="en-US" w:eastAsia="zh-CN"/>
        </w:rPr>
        <w:t>8</w:t>
      </w:r>
      <w:r>
        <w:rPr>
          <w:rFonts w:hint="eastAsia" w:ascii="仿宋" w:hAnsi="仿宋" w:eastAsia="仿宋" w:cs="仿宋"/>
          <w:b/>
          <w:spacing w:val="5"/>
          <w:sz w:val="24"/>
          <w:szCs w:val="24"/>
        </w:rPr>
        <w:t>.保养要求和售后服务</w:t>
      </w:r>
    </w:p>
    <w:p w14:paraId="13297C40">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（1）实施全年365天，每天24小时全天候服务，接到故障指令，</w:t>
      </w:r>
      <w:r>
        <w:rPr>
          <w:rFonts w:hint="eastAsia" w:ascii="仿宋" w:hAnsi="仿宋" w:eastAsia="仿宋" w:cs="仿宋"/>
          <w:bCs/>
          <w:spacing w:val="5"/>
          <w:sz w:val="24"/>
          <w:szCs w:val="24"/>
          <w:lang w:val="en-US" w:eastAsia="zh-CN"/>
        </w:rPr>
        <w:t>3</w:t>
      </w:r>
      <w:r>
        <w:rPr>
          <w:rFonts w:hint="eastAsia" w:ascii="仿宋" w:hAnsi="仿宋" w:eastAsia="仿宋" w:cs="仿宋"/>
          <w:bCs/>
          <w:spacing w:val="5"/>
          <w:sz w:val="24"/>
          <w:szCs w:val="24"/>
        </w:rPr>
        <w:t>0分钟内响应。一般故障2小时内修复完毕，</w:t>
      </w:r>
      <w:r>
        <w:rPr>
          <w:rFonts w:hint="eastAsia" w:ascii="仿宋" w:hAnsi="仿宋" w:eastAsia="仿宋" w:cs="仿宋"/>
          <w:sz w:val="24"/>
          <w:szCs w:val="24"/>
        </w:rPr>
        <w:t>重大故障</w:t>
      </w:r>
      <w:r>
        <w:rPr>
          <w:rStyle w:val="971"/>
          <w:rFonts w:hint="eastAsia" w:ascii="仿宋" w:hAnsi="仿宋" w:eastAsia="仿宋" w:cs="仿宋"/>
          <w:sz w:val="24"/>
          <w:szCs w:val="24"/>
        </w:rPr>
        <w:t>修复时间不超过12小时。</w:t>
      </w:r>
      <w:r>
        <w:rPr>
          <w:rFonts w:hint="eastAsia" w:ascii="仿宋" w:hAnsi="仿宋" w:eastAsia="仿宋" w:cs="仿宋"/>
          <w:bCs/>
          <w:spacing w:val="5"/>
          <w:sz w:val="24"/>
          <w:szCs w:val="24"/>
        </w:rPr>
        <w:t>维修点需提供足够的备件以适应维修需求。</w:t>
      </w:r>
    </w:p>
    <w:p w14:paraId="54A7B47C">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w:t>
      </w:r>
      <w:r>
        <w:rPr>
          <w:rFonts w:hint="eastAsia" w:ascii="仿宋" w:hAnsi="仿宋" w:eastAsia="仿宋" w:cs="仿宋"/>
          <w:bCs/>
          <w:spacing w:val="5"/>
          <w:sz w:val="24"/>
          <w:szCs w:val="24"/>
          <w:lang w:val="en-US" w:eastAsia="zh-CN"/>
        </w:rPr>
        <w:t>中标</w:t>
      </w:r>
      <w:r>
        <w:rPr>
          <w:rFonts w:hint="eastAsia" w:ascii="仿宋" w:hAnsi="仿宋" w:eastAsia="仿宋" w:cs="仿宋"/>
          <w:bCs/>
          <w:spacing w:val="5"/>
          <w:sz w:val="24"/>
          <w:szCs w:val="24"/>
        </w:rPr>
        <w:t>人须提供经调试、试运行、验收合格后至少2年的免费质保期和免费维修保养服务 (投标人可根据自身实力作出更长时间的质保承诺)。</w:t>
      </w:r>
    </w:p>
    <w:p w14:paraId="47BD536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（3）日常保养：及时派出专业人员对设备进行检查、调整、润滑，保证设备正常运转。</w:t>
      </w:r>
    </w:p>
    <w:p w14:paraId="7FC22C60">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（4）定期检查：在质保期内，每月二次进行免费检查保养。及时排除故障，进行必要的修理；质保期内无偿更换非人为损坏的机件，提供24小时应急故障处理服务；提供年检前的服务和协助报检工作。</w:t>
      </w:r>
    </w:p>
    <w:p w14:paraId="705FEA69">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（5）24小时服务热线，及时将顾客的需要转达给相应的服务部门，以便迅速作出反应，解决用户的燃眉之急。服务员工将在接到通知后迅速到达故障现场并进行紧急处理。</w:t>
      </w:r>
    </w:p>
    <w:p w14:paraId="7BBF345E">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（6）</w:t>
      </w:r>
      <w:r>
        <w:rPr>
          <w:rFonts w:hint="eastAsia" w:ascii="仿宋" w:hAnsi="仿宋" w:eastAsia="仿宋" w:cs="仿宋"/>
          <w:bCs/>
          <w:spacing w:val="5"/>
          <w:sz w:val="24"/>
          <w:szCs w:val="24"/>
          <w:lang w:val="en-US" w:eastAsia="zh-CN"/>
        </w:rPr>
        <w:t>中标</w:t>
      </w:r>
      <w:r>
        <w:rPr>
          <w:rFonts w:hint="eastAsia" w:ascii="仿宋" w:hAnsi="仿宋" w:eastAsia="仿宋" w:cs="仿宋"/>
          <w:bCs/>
          <w:spacing w:val="5"/>
          <w:sz w:val="24"/>
          <w:szCs w:val="24"/>
        </w:rPr>
        <w:t>人应承诺免费保修贰年（以承诺时间为准），在免费质保期内投标人所提供的电梯在设计上有较大缺陷或重大质量问题的，</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有权退货。</w:t>
      </w:r>
    </w:p>
    <w:p w14:paraId="2E3C86D9">
      <w:pPr>
        <w:pStyle w:val="4"/>
        <w:keepNext w:val="0"/>
        <w:keepLines w:val="0"/>
        <w:pageBreakBefore w:val="0"/>
        <w:kinsoku/>
        <w:wordWrap/>
        <w:overflowPunct/>
        <w:topLinePunct w:val="0"/>
        <w:autoSpaceDE/>
        <w:autoSpaceDN/>
        <w:bidi w:val="0"/>
        <w:adjustRightInd w:val="0"/>
        <w:spacing w:line="420" w:lineRule="exact"/>
        <w:ind w:left="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（7）</w:t>
      </w:r>
      <w:r>
        <w:rPr>
          <w:rFonts w:hint="eastAsia" w:ascii="仿宋" w:hAnsi="仿宋" w:eastAsia="仿宋" w:cs="仿宋"/>
          <w:bCs/>
          <w:spacing w:val="5"/>
          <w:sz w:val="24"/>
          <w:szCs w:val="24"/>
          <w:lang w:val="en-US" w:eastAsia="zh-CN"/>
        </w:rPr>
        <w:t>中标</w:t>
      </w:r>
      <w:r>
        <w:rPr>
          <w:rFonts w:hint="eastAsia" w:ascii="仿宋" w:hAnsi="仿宋" w:eastAsia="仿宋" w:cs="仿宋"/>
          <w:bCs/>
          <w:spacing w:val="5"/>
          <w:sz w:val="24"/>
          <w:szCs w:val="24"/>
        </w:rPr>
        <w:t>人应为</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提供电梯使用和应急处置的免费培训。</w:t>
      </w:r>
    </w:p>
    <w:p w14:paraId="162D2D1C">
      <w:pPr>
        <w:keepNext w:val="0"/>
        <w:keepLines w:val="0"/>
        <w:pageBreakBefore w:val="0"/>
        <w:kinsoku/>
        <w:wordWrap/>
        <w:overflowPunct/>
        <w:topLinePunct w:val="0"/>
        <w:autoSpaceDE/>
        <w:autoSpaceDN/>
        <w:bidi w:val="0"/>
        <w:adjustRightInd w:val="0"/>
        <w:spacing w:line="420" w:lineRule="exact"/>
        <w:textAlignment w:val="auto"/>
        <w:outlineLvl w:val="1"/>
        <w:rPr>
          <w:rFonts w:hint="eastAsia" w:ascii="仿宋" w:hAnsi="仿宋" w:eastAsia="仿宋" w:cs="仿宋"/>
          <w:b/>
          <w:bCs/>
          <w:spacing w:val="5"/>
          <w:sz w:val="24"/>
          <w:szCs w:val="24"/>
          <w:lang w:eastAsia="zh-CN"/>
        </w:rPr>
      </w:pPr>
      <w:bookmarkStart w:id="45" w:name="_Toc11348"/>
      <w:r>
        <w:rPr>
          <w:rFonts w:hint="eastAsia" w:ascii="仿宋" w:hAnsi="仿宋" w:eastAsia="仿宋" w:cs="仿宋"/>
          <w:b/>
          <w:bCs/>
          <w:spacing w:val="5"/>
          <w:sz w:val="24"/>
          <w:szCs w:val="24"/>
          <w:lang w:eastAsia="zh-CN"/>
        </w:rPr>
        <w:t>四、招标范围</w:t>
      </w:r>
      <w:bookmarkEnd w:id="45"/>
    </w:p>
    <w:p w14:paraId="15A0641D">
      <w:pPr>
        <w:keepNext w:val="0"/>
        <w:keepLines w:val="0"/>
        <w:pageBreakBefore w:val="0"/>
        <w:kinsoku/>
        <w:wordWrap/>
        <w:overflowPunct/>
        <w:topLinePunct w:val="0"/>
        <w:autoSpaceDE/>
        <w:autoSpaceDN/>
        <w:bidi w:val="0"/>
        <w:adjustRightInd w:val="0"/>
        <w:spacing w:line="420" w:lineRule="exact"/>
        <w:ind w:left="0" w:firstLine="502"/>
        <w:textAlignment w:val="auto"/>
        <w:rPr>
          <w:rFonts w:hint="eastAsia" w:ascii="仿宋" w:hAnsi="仿宋" w:eastAsia="仿宋" w:cs="仿宋"/>
          <w:b/>
          <w:spacing w:val="5"/>
          <w:sz w:val="24"/>
          <w:szCs w:val="24"/>
        </w:rPr>
      </w:pPr>
      <w:r>
        <w:rPr>
          <w:rFonts w:hint="eastAsia" w:ascii="仿宋" w:hAnsi="仿宋" w:eastAsia="仿宋" w:cs="仿宋"/>
          <w:b/>
          <w:spacing w:val="5"/>
          <w:sz w:val="24"/>
          <w:szCs w:val="24"/>
        </w:rPr>
        <w:t>电梯设备的供应、安装、调试、检测、验收、售后服务等。</w:t>
      </w:r>
    </w:p>
    <w:p w14:paraId="61949570">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中标人的工作范围需包含但不局限于以下内容：</w:t>
      </w:r>
    </w:p>
    <w:p w14:paraId="5232C2D4">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1.提供图纸设计资料，包括土建需要预留、预埋的部件及尺寸，和轿厢平面图；经</w:t>
      </w:r>
      <w:r>
        <w:rPr>
          <w:rFonts w:hint="eastAsia" w:ascii="仿宋" w:hAnsi="仿宋" w:eastAsia="仿宋" w:cs="仿宋"/>
          <w:bCs/>
          <w:spacing w:val="5"/>
          <w:sz w:val="24"/>
          <w:szCs w:val="24"/>
          <w:lang w:eastAsia="zh-CN"/>
        </w:rPr>
        <w:t>采购人</w:t>
      </w:r>
      <w:r>
        <w:rPr>
          <w:rFonts w:hint="eastAsia" w:ascii="仿宋" w:hAnsi="仿宋" w:eastAsia="仿宋" w:cs="仿宋"/>
          <w:bCs/>
          <w:spacing w:val="5"/>
          <w:sz w:val="24"/>
          <w:szCs w:val="24"/>
        </w:rPr>
        <w:t>确认后方可供货、施工。</w:t>
      </w:r>
    </w:p>
    <w:p w14:paraId="2E122F21">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2.电梯井道所有的安装工作，包括电梯安装、随行电缆、五方通话的主机及分机、五方通话线路预设、无偿配合消防信号接入点、控制反馈等信号等一切工作以及调试电缆；</w:t>
      </w:r>
    </w:p>
    <w:p w14:paraId="34E88EF3">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3.设备的制造与供货；</w:t>
      </w:r>
    </w:p>
    <w:p w14:paraId="08AF5B89">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4.设备及部件的包装、保护、运输及仓储和现场内运输；</w:t>
      </w:r>
    </w:p>
    <w:p w14:paraId="29433C82">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5.设备的安装及部件的就位和固定；</w:t>
      </w:r>
    </w:p>
    <w:p w14:paraId="063CA5B0">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6.设备调试；</w:t>
      </w:r>
    </w:p>
    <w:p w14:paraId="70A42475">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7.实施过程中与其他施工人员的协调和配合；</w:t>
      </w:r>
    </w:p>
    <w:p w14:paraId="4ABF6B4D">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8.验收（包括负责通过绍兴市特种设备检测院直至拿到验收合格报告和电梯《安全检验合格》标志）；</w:t>
      </w:r>
    </w:p>
    <w:p w14:paraId="6171CF6F">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9.售后服务；</w:t>
      </w:r>
    </w:p>
    <w:p w14:paraId="331C7014">
      <w:pPr>
        <w:keepNext w:val="0"/>
        <w:keepLines w:val="0"/>
        <w:pageBreakBefore w:val="0"/>
        <w:kinsoku/>
        <w:wordWrap/>
        <w:overflowPunct/>
        <w:topLinePunct w:val="0"/>
        <w:autoSpaceDE/>
        <w:autoSpaceDN/>
        <w:bidi w:val="0"/>
        <w:adjustRightInd w:val="0"/>
        <w:spacing w:line="420" w:lineRule="exact"/>
        <w:ind w:left="0" w:firstLine="500"/>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10.投标人应承担招标范围内所有工作的一切费用和风险。</w:t>
      </w:r>
    </w:p>
    <w:p w14:paraId="21BC82A3">
      <w:pPr>
        <w:keepNext w:val="0"/>
        <w:keepLines w:val="0"/>
        <w:pageBreakBefore w:val="0"/>
        <w:kinsoku/>
        <w:wordWrap/>
        <w:overflowPunct/>
        <w:topLinePunct w:val="0"/>
        <w:autoSpaceDE/>
        <w:autoSpaceDN/>
        <w:bidi w:val="0"/>
        <w:adjustRightInd w:val="0"/>
        <w:spacing w:line="420" w:lineRule="exact"/>
        <w:ind w:left="0" w:firstLine="0" w:firstLineChars="0"/>
        <w:textAlignment w:val="auto"/>
        <w:outlineLvl w:val="1"/>
        <w:rPr>
          <w:rFonts w:hint="eastAsia" w:ascii="仿宋" w:hAnsi="仿宋" w:eastAsia="仿宋" w:cs="仿宋"/>
          <w:b/>
          <w:sz w:val="24"/>
          <w:szCs w:val="24"/>
        </w:rPr>
      </w:pPr>
      <w:bookmarkStart w:id="46" w:name="_Toc16825"/>
      <w:bookmarkStart w:id="47" w:name="_Toc6466"/>
      <w:bookmarkStart w:id="48" w:name="_Toc10284"/>
      <w:r>
        <w:rPr>
          <w:rFonts w:hint="eastAsia" w:ascii="仿宋" w:hAnsi="仿宋" w:eastAsia="仿宋" w:cs="仿宋"/>
          <w:b/>
          <w:sz w:val="24"/>
          <w:szCs w:val="24"/>
          <w:lang w:eastAsia="zh-CN"/>
        </w:rPr>
        <w:t>五、</w:t>
      </w:r>
      <w:r>
        <w:rPr>
          <w:rFonts w:hint="eastAsia" w:ascii="仿宋" w:hAnsi="仿宋" w:eastAsia="仿宋" w:cs="仿宋"/>
          <w:b/>
          <w:sz w:val="24"/>
          <w:szCs w:val="24"/>
        </w:rPr>
        <w:t>电梯的技术规格和要求</w:t>
      </w:r>
      <w:bookmarkEnd w:id="46"/>
      <w:bookmarkEnd w:id="47"/>
      <w:bookmarkEnd w:id="48"/>
    </w:p>
    <w:p w14:paraId="479C02B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1.电梯技术规格表（</w:t>
      </w:r>
      <w:r>
        <w:rPr>
          <w:rFonts w:hint="eastAsia" w:ascii="仿宋" w:hAnsi="仿宋" w:eastAsia="仿宋" w:cs="仿宋"/>
          <w:b/>
          <w:bCs/>
          <w:kern w:val="0"/>
          <w:sz w:val="24"/>
          <w:szCs w:val="24"/>
        </w:rPr>
        <w:t>以下表格中有关数据仅供参考，具体以各投标单位结合实际现场情况并自行设计为准</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p>
    <w:p w14:paraId="3694B038">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所有电梯需为同一品牌。</w:t>
      </w:r>
    </w:p>
    <w:tbl>
      <w:tblPr>
        <w:tblStyle w:val="62"/>
        <w:tblW w:w="9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856"/>
        <w:gridCol w:w="808"/>
        <w:gridCol w:w="1354"/>
        <w:gridCol w:w="838"/>
        <w:gridCol w:w="851"/>
        <w:gridCol w:w="829"/>
        <w:gridCol w:w="713"/>
        <w:gridCol w:w="713"/>
        <w:gridCol w:w="646"/>
        <w:gridCol w:w="577"/>
        <w:gridCol w:w="711"/>
      </w:tblGrid>
      <w:tr w14:paraId="63F0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14:paraId="11A8ED2F">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楼号</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7D55CD8">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序号</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9E2471D">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电梯</w:t>
            </w:r>
          </w:p>
          <w:p w14:paraId="523187B0">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功能</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5E1F8513">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井道尺寸</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A5ECA77">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层/站</w:t>
            </w:r>
          </w:p>
          <w:p w14:paraId="5D281459">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B19947">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载重</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AFB65CF">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速度</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14:paraId="54B035B2">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提升高度</w:t>
            </w:r>
          </w:p>
        </w:tc>
        <w:tc>
          <w:tcPr>
            <w:tcW w:w="713" w:type="dxa"/>
            <w:tcBorders>
              <w:top w:val="single" w:color="auto" w:sz="4" w:space="0"/>
              <w:left w:val="single" w:color="auto" w:sz="4" w:space="0"/>
              <w:bottom w:val="single" w:color="auto" w:sz="4" w:space="0"/>
              <w:right w:val="single" w:color="auto" w:sz="4" w:space="0"/>
            </w:tcBorders>
            <w:shd w:val="clear" w:color="auto" w:fill="FFFFFF"/>
            <w:vAlign w:val="center"/>
          </w:tcPr>
          <w:p w14:paraId="5A17B5D0">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顶层高度</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14:paraId="71365A4D">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底坑深度</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14:paraId="067DA90D">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数量</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200E6941">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备注</w:t>
            </w:r>
          </w:p>
        </w:tc>
      </w:tr>
      <w:tr w14:paraId="5261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AEA13">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1#楼</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CA5C9C1">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1-DT1</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B26C65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客梯</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72CBB63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2100×3000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2BE3512">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6/6/6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87070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1000kg</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6414439">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1.5m/s</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18AEA50">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20.4</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15AF9CA">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4.2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49C7C0C">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1.7</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E25CC5B">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07A242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63" w:leftChars="-30" w:right="-63" w:rightChars="-3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有机房</w:t>
            </w:r>
          </w:p>
        </w:tc>
      </w:tr>
      <w:tr w14:paraId="4153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E4A8F">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2620A7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1-DT2</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B1069D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客梯</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6AD5076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2400×1900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D6FB1B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4/4/4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67E3A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1000kg</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53AEA71">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1.5m/s</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30B0FC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12.7</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A90E4BB">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5.1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909EBC6">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1.6</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1C13157">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DEA7DF5">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63" w:leftChars="-30" w:right="-63" w:rightChars="-3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无机房</w:t>
            </w:r>
          </w:p>
        </w:tc>
      </w:tr>
      <w:tr w14:paraId="08CA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B6985">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ED289D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rPr>
            </w:pPr>
            <w:r>
              <w:rPr>
                <w:rFonts w:hint="eastAsia" w:ascii="仿宋" w:hAnsi="仿宋" w:eastAsia="仿宋" w:cs="仿宋"/>
                <w:bCs/>
                <w:spacing w:val="0"/>
                <w:w w:val="95"/>
                <w:sz w:val="21"/>
                <w:szCs w:val="21"/>
                <w:lang w:val="en-US" w:eastAsia="zh-CN"/>
              </w:rPr>
              <w:t>1-DT3</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DE52F7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客梯</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728181C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1680×2450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5DB6D4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6/6/6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FF464C">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800kg</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AB9D4A4">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1.0m/s</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01FED1A">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20.4</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CB426D9">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4.2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A19D955">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1.4</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5EF38D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49E39E99">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63" w:leftChars="-30" w:right="-63" w:rightChars="-3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有机房</w:t>
            </w:r>
          </w:p>
        </w:tc>
      </w:tr>
      <w:tr w14:paraId="3C85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14:paraId="5FE3B0CB">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2#楼</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8EC64C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2-DT1</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7F790F1">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餐梯</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281AD19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1300×1400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7F18E87">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3/3/3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46B5C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250kg</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E6FE585">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0.4m/s</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110A17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7.8</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47C829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3.9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933CE12">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71BC1FE">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3E900EF8">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63" w:leftChars="-30" w:right="-63" w:rightChars="-3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无机房</w:t>
            </w:r>
          </w:p>
        </w:tc>
      </w:tr>
      <w:tr w14:paraId="521E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14:paraId="752A89B6">
            <w:pPr>
              <w:keepNext w:val="0"/>
              <w:keepLines w:val="0"/>
              <w:pageBreakBefore w:val="0"/>
              <w:widowControl w:val="0"/>
              <w:kinsoku/>
              <w:wordWrap/>
              <w:overflowPunct/>
              <w:topLinePunct w:val="0"/>
              <w:autoSpaceDE/>
              <w:autoSpaceDN/>
              <w:bidi w:val="0"/>
              <w:adjustRightInd w:val="0"/>
              <w:snapToGrid/>
              <w:spacing w:line="300" w:lineRule="exact"/>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3#楼</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A562D5A">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3-DT1</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A764812">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客梯</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0DF3BEBA">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1800×2200</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9E5D99C">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4/4/4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1A5C87">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800kg</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E61A62A">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1.5m/s</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C2024A1">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10.8</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8F63538">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5.65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29C542D">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1.5</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0D18671">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21" w:leftChars="-10" w:right="-21" w:rightChars="-10" w:firstLine="0"/>
              <w:jc w:val="center"/>
              <w:textAlignment w:val="auto"/>
              <w:rPr>
                <w:rFonts w:hint="eastAsia" w:ascii="仿宋" w:hAnsi="仿宋" w:eastAsia="仿宋" w:cs="仿宋"/>
                <w:bCs/>
                <w:spacing w:val="0"/>
                <w:w w:val="95"/>
                <w:sz w:val="21"/>
                <w:szCs w:val="21"/>
                <w:lang w:val="en-US" w:eastAsia="zh-CN"/>
              </w:rPr>
            </w:pPr>
            <w:r>
              <w:rPr>
                <w:rFonts w:hint="eastAsia" w:ascii="仿宋" w:hAnsi="仿宋" w:eastAsia="仿宋" w:cs="仿宋"/>
                <w:bCs/>
                <w:spacing w:val="0"/>
                <w:w w:val="95"/>
                <w:sz w:val="21"/>
                <w:szCs w:val="21"/>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2AECE18B">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left="-63" w:leftChars="-30" w:right="-63" w:rightChars="-30" w:firstLine="0"/>
              <w:jc w:val="center"/>
              <w:textAlignment w:val="auto"/>
              <w:rPr>
                <w:rFonts w:hint="eastAsia" w:ascii="仿宋" w:hAnsi="仿宋" w:eastAsia="仿宋" w:cs="仿宋"/>
                <w:bCs/>
                <w:spacing w:val="0"/>
                <w:w w:val="95"/>
                <w:sz w:val="21"/>
                <w:szCs w:val="21"/>
              </w:rPr>
            </w:pPr>
            <w:r>
              <w:rPr>
                <w:rFonts w:hint="eastAsia" w:ascii="仿宋" w:hAnsi="仿宋" w:eastAsia="仿宋" w:cs="仿宋"/>
                <w:bCs/>
                <w:spacing w:val="0"/>
                <w:w w:val="95"/>
                <w:sz w:val="21"/>
                <w:szCs w:val="21"/>
                <w:lang w:val="en-US" w:eastAsia="zh-CN"/>
              </w:rPr>
              <w:t>无机房</w:t>
            </w:r>
          </w:p>
        </w:tc>
      </w:tr>
    </w:tbl>
    <w:p w14:paraId="340F55A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备注：1-DT2及1-DT3处原有旧电梯需拆除，投标报价包含旧电梯拆除费，拆除的旧电梯采购人统一处理，中标人不得擅自处理。</w:t>
      </w:r>
    </w:p>
    <w:p w14:paraId="1FF45E1D">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技术指标要求</w:t>
      </w:r>
    </w:p>
    <w:p w14:paraId="43F0057B">
      <w:pPr>
        <w:keepNext w:val="0"/>
        <w:keepLines w:val="0"/>
        <w:pageBreakBefore w:val="0"/>
        <w:widowControl w:val="0"/>
        <w:kinsoku/>
        <w:wordWrap/>
        <w:overflowPunct/>
        <w:topLinePunct w:val="0"/>
        <w:autoSpaceDE/>
        <w:autoSpaceDN/>
        <w:bidi w:val="0"/>
        <w:adjustRightInd w:val="0"/>
        <w:snapToGrid/>
        <w:spacing w:line="500" w:lineRule="exact"/>
        <w:ind w:left="0" w:firstLine="482"/>
        <w:textAlignment w:val="auto"/>
        <w:rPr>
          <w:rFonts w:hint="eastAsia" w:ascii="仿宋" w:hAnsi="仿宋" w:eastAsia="仿宋" w:cs="仿宋"/>
          <w:sz w:val="24"/>
          <w:szCs w:val="24"/>
        </w:rPr>
      </w:pPr>
      <w:r>
        <w:rPr>
          <w:rFonts w:hint="eastAsia" w:ascii="仿宋" w:hAnsi="仿宋" w:eastAsia="仿宋" w:cs="仿宋"/>
          <w:b/>
          <w:bCs/>
          <w:sz w:val="24"/>
          <w:szCs w:val="24"/>
        </w:rPr>
        <w:t>2.1客梯要求:</w:t>
      </w:r>
    </w:p>
    <w:tbl>
      <w:tblPr>
        <w:tblStyle w:val="6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14:paraId="3AAF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53F16B37">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轿厢装潢</w:t>
            </w:r>
          </w:p>
        </w:tc>
        <w:tc>
          <w:tcPr>
            <w:tcW w:w="7937" w:type="dxa"/>
            <w:vAlign w:val="center"/>
          </w:tcPr>
          <w:p w14:paraId="0B97D07E">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轿厢两侧壁: SUS304发纹不锈钢</w:t>
            </w:r>
          </w:p>
        </w:tc>
      </w:tr>
      <w:tr w14:paraId="68BD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3CED375B">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656BB5CE">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轿厢后壁：SUS304发纹不锈钢</w:t>
            </w:r>
            <w:r>
              <w:rPr>
                <w:rFonts w:hint="eastAsia" w:ascii="仿宋" w:hAnsi="仿宋" w:eastAsia="仿宋" w:cs="仿宋"/>
                <w:b/>
                <w:bCs/>
                <w:kern w:val="0"/>
                <w:sz w:val="24"/>
                <w:szCs w:val="24"/>
              </w:rPr>
              <w:t>（无障碍梯后壁中间采用镜面不锈钢）</w:t>
            </w:r>
          </w:p>
        </w:tc>
      </w:tr>
      <w:tr w14:paraId="679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5770815">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21C7C194">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轿门材质：SUS304发纹不锈钢</w:t>
            </w:r>
          </w:p>
        </w:tc>
      </w:tr>
      <w:tr w14:paraId="0AA6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34DD5B94">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74BF6AD2">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光幕保护：红外线光幕保护</w:t>
            </w:r>
          </w:p>
        </w:tc>
      </w:tr>
      <w:tr w14:paraId="31DA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B979DBE">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4CF5D039">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地板型号：塑胶或石材地板（可供业主选择,价格不变）</w:t>
            </w:r>
          </w:p>
        </w:tc>
      </w:tr>
      <w:tr w14:paraId="5930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3ABB71B">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2CC69519">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照明设施：高效节能专用灯具，LED 灯照明，提供3种及以上轿顶形式供业主选择，价格不变</w:t>
            </w:r>
          </w:p>
        </w:tc>
      </w:tr>
      <w:tr w14:paraId="64AC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30C3ABC7">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390CEC9A">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通风设施：低噪音风机通风</w:t>
            </w:r>
          </w:p>
        </w:tc>
      </w:tr>
      <w:tr w14:paraId="505C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0FC27688">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27CE847E">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通讯设施：隐藏式对讲装置</w:t>
            </w:r>
          </w:p>
        </w:tc>
      </w:tr>
      <w:tr w14:paraId="56A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03443FDA">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1D2B7805">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检修设施：位于轿厢操纵箱下方</w:t>
            </w:r>
          </w:p>
        </w:tc>
      </w:tr>
      <w:tr w14:paraId="77D7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34C5277B">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显示装置</w:t>
            </w:r>
          </w:p>
        </w:tc>
        <w:tc>
          <w:tcPr>
            <w:tcW w:w="7937" w:type="dxa"/>
            <w:vAlign w:val="center"/>
          </w:tcPr>
          <w:p w14:paraId="1BC104E2">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轿厢内操纵装置：操作盘：一体式操纵箱，发纹不锈钢面板，圆形微动按钮，备有单色液晶楼层显示和方向显示。</w:t>
            </w:r>
          </w:p>
        </w:tc>
      </w:tr>
      <w:tr w14:paraId="588A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05E0511">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217E501F">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厅外操纵召唤装置：标准型客梯召唤器，发纹不锈钢面板，微动按钮，单色液晶楼层和方向指示器</w:t>
            </w:r>
          </w:p>
        </w:tc>
      </w:tr>
      <w:tr w14:paraId="496C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78331386">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厅门及门套</w:t>
            </w:r>
          </w:p>
        </w:tc>
        <w:tc>
          <w:tcPr>
            <w:tcW w:w="7937" w:type="dxa"/>
            <w:vAlign w:val="center"/>
          </w:tcPr>
          <w:p w14:paraId="72B723E2">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厅门材质：层层为SUS304发纹不锈钢</w:t>
            </w:r>
          </w:p>
        </w:tc>
      </w:tr>
      <w:tr w14:paraId="4882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45BA83F8">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2D9E6F7A">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厅门类型：所有层为中分</w:t>
            </w:r>
          </w:p>
        </w:tc>
      </w:tr>
      <w:tr w14:paraId="3082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continue"/>
            <w:vAlign w:val="center"/>
          </w:tcPr>
          <w:p w14:paraId="4B15C377">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7962AFD5">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小门套材质：层层为SUS304发纹不锈钢</w:t>
            </w:r>
          </w:p>
        </w:tc>
      </w:tr>
      <w:tr w14:paraId="6A67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55F92F27">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电力提供</w:t>
            </w:r>
          </w:p>
        </w:tc>
        <w:tc>
          <w:tcPr>
            <w:tcW w:w="7937" w:type="dxa"/>
            <w:vAlign w:val="center"/>
          </w:tcPr>
          <w:p w14:paraId="1D99E38C">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动力电源：电压：380V±10%频率：50Hz 相数：3 相 5 线制，零线和地线始终分开</w:t>
            </w:r>
          </w:p>
        </w:tc>
      </w:tr>
      <w:tr w14:paraId="5E86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3B10049">
            <w:pPr>
              <w:keepNext w:val="0"/>
              <w:keepLines w:val="0"/>
              <w:pageBreakBefore w:val="0"/>
              <w:widowControl w:val="0"/>
              <w:kinsoku/>
              <w:wordWrap/>
              <w:overflowPunct/>
              <w:topLinePunct w:val="0"/>
              <w:autoSpaceDE/>
              <w:autoSpaceDN/>
              <w:bidi w:val="0"/>
              <w:adjustRightInd w:val="0"/>
              <w:spacing w:line="370" w:lineRule="exact"/>
              <w:ind w:firstLine="0" w:firstLineChars="0"/>
              <w:jc w:val="center"/>
              <w:textAlignment w:val="auto"/>
              <w:rPr>
                <w:rFonts w:hint="eastAsia" w:ascii="仿宋" w:hAnsi="仿宋" w:eastAsia="仿宋" w:cs="仿宋"/>
                <w:kern w:val="0"/>
                <w:sz w:val="24"/>
                <w:szCs w:val="24"/>
              </w:rPr>
            </w:pPr>
          </w:p>
        </w:tc>
        <w:tc>
          <w:tcPr>
            <w:tcW w:w="7937" w:type="dxa"/>
            <w:vAlign w:val="center"/>
          </w:tcPr>
          <w:p w14:paraId="789F44E6">
            <w:pPr>
              <w:keepNext w:val="0"/>
              <w:keepLines w:val="0"/>
              <w:pageBreakBefore w:val="0"/>
              <w:widowControl w:val="0"/>
              <w:kinsoku/>
              <w:wordWrap/>
              <w:overflowPunct/>
              <w:topLinePunct w:val="0"/>
              <w:autoSpaceDE/>
              <w:autoSpaceDN/>
              <w:bidi w:val="0"/>
              <w:adjustRightIn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照明电源：电压：220V 频率：50Hz 相数：单相</w:t>
            </w:r>
          </w:p>
        </w:tc>
      </w:tr>
      <w:tr w14:paraId="0F3D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4211835B">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电梯的水平振动、垂直振动加速度</w:t>
            </w:r>
          </w:p>
        </w:tc>
        <w:tc>
          <w:tcPr>
            <w:tcW w:w="7937" w:type="dxa"/>
            <w:vAlign w:val="center"/>
          </w:tcPr>
          <w:p w14:paraId="67B89C58">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电梯轿厢运行时水平方向和垂直方向的振动加速度分别不应大于</w:t>
            </w:r>
            <w:r>
              <w:rPr>
                <w:rFonts w:hint="eastAsia" w:ascii="仿宋" w:hAnsi="仿宋" w:eastAsia="仿宋" w:cs="仿宋"/>
                <w:color w:val="auto"/>
                <w:kern w:val="0"/>
                <w:sz w:val="24"/>
                <w:szCs w:val="24"/>
                <w:lang w:eastAsia="zh-CN"/>
              </w:rPr>
              <w:t>7.5</w:t>
            </w:r>
            <w:r>
              <w:rPr>
                <w:rFonts w:hint="eastAsia" w:ascii="仿宋" w:hAnsi="仿宋" w:eastAsia="仿宋" w:cs="仿宋"/>
                <w:color w:val="auto"/>
                <w:kern w:val="0"/>
                <w:sz w:val="24"/>
                <w:szCs w:val="24"/>
                <w:highlight w:val="none"/>
              </w:rPr>
              <w:t>cm</w:t>
            </w:r>
            <w:r>
              <w:rPr>
                <w:rFonts w:hint="eastAsia" w:ascii="仿宋" w:hAnsi="仿宋" w:eastAsia="仿宋" w:cs="仿宋"/>
                <w:color w:val="auto"/>
                <w:kern w:val="0"/>
                <w:sz w:val="24"/>
                <w:szCs w:val="24"/>
              </w:rPr>
              <w:t>/s²和</w:t>
            </w:r>
            <w:r>
              <w:rPr>
                <w:rFonts w:hint="eastAsia" w:ascii="仿宋" w:hAnsi="仿宋" w:eastAsia="仿宋" w:cs="仿宋"/>
                <w:color w:val="auto"/>
                <w:kern w:val="0"/>
                <w:sz w:val="24"/>
                <w:szCs w:val="24"/>
                <w:lang w:eastAsia="zh-CN"/>
              </w:rPr>
              <w:t>9.0</w:t>
            </w:r>
            <w:r>
              <w:rPr>
                <w:rFonts w:hint="eastAsia" w:ascii="仿宋" w:hAnsi="仿宋" w:eastAsia="仿宋" w:cs="仿宋"/>
                <w:color w:val="auto"/>
                <w:kern w:val="0"/>
                <w:sz w:val="24"/>
                <w:szCs w:val="24"/>
              </w:rPr>
              <w:t>cm/s²</w:t>
            </w:r>
          </w:p>
          <w:p w14:paraId="0E395D87">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FF0000"/>
                <w:kern w:val="0"/>
                <w:sz w:val="24"/>
                <w:szCs w:val="24"/>
                <w:lang w:val="en-US" w:eastAsia="zh-CN"/>
              </w:rPr>
              <w:t>(需提供型式试验报告或委托试验报告）</w:t>
            </w:r>
          </w:p>
        </w:tc>
      </w:tr>
      <w:tr w14:paraId="1FA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7E31D4DC">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color w:val="auto"/>
                <w:sz w:val="24"/>
                <w:szCs w:val="24"/>
              </w:rPr>
              <w:t>▲</w:t>
            </w:r>
            <w:r>
              <w:rPr>
                <w:rFonts w:hint="eastAsia" w:ascii="仿宋" w:hAnsi="仿宋" w:eastAsia="仿宋" w:cs="仿宋"/>
                <w:kern w:val="0"/>
                <w:sz w:val="24"/>
                <w:szCs w:val="24"/>
              </w:rPr>
              <w:t>噪音指数</w:t>
            </w:r>
          </w:p>
        </w:tc>
        <w:tc>
          <w:tcPr>
            <w:tcW w:w="7937" w:type="dxa"/>
            <w:vAlign w:val="center"/>
          </w:tcPr>
          <w:p w14:paraId="2D06A1A7">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轿内≤</w:t>
            </w:r>
            <w:r>
              <w:rPr>
                <w:rFonts w:hint="eastAsia" w:ascii="仿宋" w:hAnsi="仿宋" w:eastAsia="仿宋" w:cs="仿宋"/>
                <w:kern w:val="0"/>
                <w:sz w:val="24"/>
                <w:szCs w:val="24"/>
                <w:lang w:eastAsia="zh-CN"/>
              </w:rPr>
              <w:t>49</w:t>
            </w:r>
            <w:r>
              <w:rPr>
                <w:rFonts w:hint="eastAsia" w:ascii="仿宋" w:hAnsi="仿宋" w:eastAsia="仿宋" w:cs="仿宋"/>
                <w:kern w:val="0"/>
                <w:sz w:val="24"/>
                <w:szCs w:val="24"/>
              </w:rPr>
              <w:t>dB（A）、开关门≤</w:t>
            </w:r>
            <w:r>
              <w:rPr>
                <w:rFonts w:hint="eastAsia" w:ascii="仿宋" w:hAnsi="仿宋" w:eastAsia="仿宋" w:cs="仿宋"/>
                <w:kern w:val="0"/>
                <w:sz w:val="24"/>
                <w:szCs w:val="24"/>
                <w:lang w:eastAsia="zh-CN"/>
              </w:rPr>
              <w:t>51</w:t>
            </w:r>
            <w:r>
              <w:rPr>
                <w:rFonts w:hint="eastAsia" w:ascii="仿宋" w:hAnsi="仿宋" w:eastAsia="仿宋" w:cs="仿宋"/>
                <w:kern w:val="0"/>
                <w:sz w:val="24"/>
                <w:szCs w:val="24"/>
              </w:rPr>
              <w:t>dB（A），机房≤</w:t>
            </w:r>
            <w:r>
              <w:rPr>
                <w:rFonts w:hint="eastAsia" w:ascii="仿宋" w:hAnsi="仿宋" w:eastAsia="仿宋" w:cs="仿宋"/>
                <w:kern w:val="0"/>
                <w:sz w:val="24"/>
                <w:szCs w:val="24"/>
                <w:lang w:val="en-US" w:eastAsia="zh-CN"/>
              </w:rPr>
              <w:t>64</w:t>
            </w:r>
            <w:r>
              <w:rPr>
                <w:rFonts w:hint="eastAsia" w:ascii="仿宋" w:hAnsi="仿宋" w:eastAsia="仿宋" w:cs="仿宋"/>
                <w:kern w:val="0"/>
                <w:sz w:val="24"/>
                <w:szCs w:val="24"/>
              </w:rPr>
              <w:t>dB</w:t>
            </w:r>
          </w:p>
          <w:p w14:paraId="6DA0D303">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color w:val="FF0000"/>
                <w:kern w:val="0"/>
                <w:sz w:val="24"/>
                <w:szCs w:val="24"/>
                <w:lang w:val="en-US" w:eastAsia="zh-CN"/>
              </w:rPr>
              <w:t>(需提供型式试验报告或委托试验报告）</w:t>
            </w:r>
          </w:p>
        </w:tc>
      </w:tr>
      <w:tr w14:paraId="6E2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79DF167C">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color w:val="auto"/>
                <w:sz w:val="24"/>
                <w:szCs w:val="24"/>
              </w:rPr>
              <w:t>▲</w:t>
            </w:r>
            <w:r>
              <w:rPr>
                <w:rFonts w:hint="eastAsia" w:ascii="仿宋" w:hAnsi="仿宋" w:eastAsia="仿宋" w:cs="仿宋"/>
                <w:kern w:val="0"/>
                <w:sz w:val="24"/>
                <w:szCs w:val="24"/>
              </w:rPr>
              <w:t>平层精度</w:t>
            </w:r>
          </w:p>
        </w:tc>
        <w:tc>
          <w:tcPr>
            <w:tcW w:w="7937" w:type="dxa"/>
            <w:vAlign w:val="center"/>
          </w:tcPr>
          <w:p w14:paraId="45D6AB11">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在±</w:t>
            </w:r>
            <w:r>
              <w:rPr>
                <w:rFonts w:hint="eastAsia" w:ascii="仿宋" w:hAnsi="仿宋" w:eastAsia="仿宋" w:cs="仿宋"/>
                <w:kern w:val="0"/>
                <w:sz w:val="24"/>
                <w:szCs w:val="24"/>
                <w:lang w:eastAsia="zh-CN"/>
              </w:rPr>
              <w:t>3.0</w:t>
            </w:r>
            <w:r>
              <w:rPr>
                <w:rFonts w:hint="eastAsia" w:ascii="仿宋" w:hAnsi="仿宋" w:eastAsia="仿宋" w:cs="仿宋"/>
                <w:kern w:val="0"/>
                <w:sz w:val="24"/>
                <w:szCs w:val="24"/>
              </w:rPr>
              <w:t xml:space="preserve">mm范围之内 </w:t>
            </w:r>
            <w:r>
              <w:rPr>
                <w:rFonts w:hint="eastAsia" w:ascii="仿宋" w:hAnsi="仿宋" w:eastAsia="仿宋" w:cs="仿宋"/>
                <w:b/>
                <w:bCs/>
                <w:color w:val="FF0000"/>
                <w:kern w:val="0"/>
                <w:sz w:val="24"/>
                <w:szCs w:val="24"/>
                <w:lang w:val="en-US" w:eastAsia="zh-CN"/>
              </w:rPr>
              <w:t>(需提供型式试验报告或委托试验报告）</w:t>
            </w:r>
          </w:p>
        </w:tc>
      </w:tr>
      <w:tr w14:paraId="4682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10B5035">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平衡系数</w:t>
            </w:r>
          </w:p>
        </w:tc>
        <w:tc>
          <w:tcPr>
            <w:tcW w:w="7937" w:type="dxa"/>
            <w:vAlign w:val="center"/>
          </w:tcPr>
          <w:p w14:paraId="073BD699">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在0.45～0.55之间</w:t>
            </w:r>
          </w:p>
        </w:tc>
      </w:tr>
      <w:tr w14:paraId="0977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4728FED9">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运行故障</w:t>
            </w:r>
          </w:p>
        </w:tc>
        <w:tc>
          <w:tcPr>
            <w:tcW w:w="7937" w:type="dxa"/>
            <w:vAlign w:val="center"/>
          </w:tcPr>
          <w:p w14:paraId="76856472">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电梯每起制动运行60000次中不应超过3次。</w:t>
            </w:r>
          </w:p>
        </w:tc>
      </w:tr>
      <w:tr w14:paraId="2C9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1A263DF1">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控制柜失效（故障）</w:t>
            </w:r>
          </w:p>
        </w:tc>
        <w:tc>
          <w:tcPr>
            <w:tcW w:w="7937" w:type="dxa"/>
            <w:vAlign w:val="center"/>
          </w:tcPr>
          <w:p w14:paraId="1A723C19">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电梯每起制动运行60000次中不应超过2次。</w:t>
            </w:r>
          </w:p>
        </w:tc>
      </w:tr>
      <w:tr w14:paraId="06A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C4FF8F3">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可靠性要求</w:t>
            </w:r>
          </w:p>
        </w:tc>
        <w:tc>
          <w:tcPr>
            <w:tcW w:w="7937" w:type="dxa"/>
            <w:vAlign w:val="center"/>
          </w:tcPr>
          <w:p w14:paraId="70445EA0">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要求连续工作每天24小时，全年365天。</w:t>
            </w:r>
          </w:p>
          <w:p w14:paraId="155EE59A">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正常使用寿命期要求实际运行10万小时以上。</w:t>
            </w:r>
          </w:p>
          <w:p w14:paraId="008E82DA">
            <w:pPr>
              <w:keepNext w:val="0"/>
              <w:keepLines w:val="0"/>
              <w:pageBreakBefore w:val="0"/>
              <w:widowControl w:val="0"/>
              <w:kinsoku/>
              <w:wordWrap/>
              <w:overflowPunct/>
              <w:topLinePunct w:val="0"/>
              <w:autoSpaceDE/>
              <w:autoSpaceDN/>
              <w:bidi w:val="0"/>
              <w:adjustRightInd w:val="0"/>
              <w:snapToGrid w:val="0"/>
              <w:spacing w:line="37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设备故障率应≤3次/运转6万次，如超过一次，保修期免费延长一年。</w:t>
            </w:r>
          </w:p>
        </w:tc>
      </w:tr>
    </w:tbl>
    <w:p w14:paraId="1EF25F01">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2.2餐梯要求：</w:t>
      </w:r>
    </w:p>
    <w:tbl>
      <w:tblPr>
        <w:tblStyle w:val="6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202"/>
      </w:tblGrid>
      <w:tr w14:paraId="048F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2" w:type="dxa"/>
            <w:vMerge w:val="restart"/>
            <w:vAlign w:val="center"/>
          </w:tcPr>
          <w:p w14:paraId="3161170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轿厢装潢</w:t>
            </w:r>
          </w:p>
        </w:tc>
        <w:tc>
          <w:tcPr>
            <w:tcW w:w="7202" w:type="dxa"/>
            <w:vAlign w:val="center"/>
          </w:tcPr>
          <w:p w14:paraId="1B5D955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轿厢两侧壁：</w:t>
            </w:r>
            <w:r>
              <w:rPr>
                <w:rFonts w:hint="eastAsia" w:ascii="仿宋" w:hAnsi="仿宋" w:eastAsia="仿宋" w:cs="仿宋"/>
                <w:kern w:val="0"/>
                <w:sz w:val="24"/>
                <w:szCs w:val="24"/>
                <w:lang w:val="en-US" w:eastAsia="zh-CN"/>
              </w:rPr>
              <w:t>发纹不锈钢</w:t>
            </w:r>
          </w:p>
        </w:tc>
      </w:tr>
      <w:tr w14:paraId="0851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22D7A15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2EA1FEE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轿厢后壁：</w:t>
            </w:r>
            <w:r>
              <w:rPr>
                <w:rFonts w:hint="eastAsia" w:ascii="仿宋" w:hAnsi="仿宋" w:eastAsia="仿宋" w:cs="仿宋"/>
                <w:kern w:val="0"/>
                <w:sz w:val="24"/>
                <w:szCs w:val="24"/>
                <w:lang w:val="en-US" w:eastAsia="zh-CN"/>
              </w:rPr>
              <w:t>发纹不锈钢</w:t>
            </w:r>
          </w:p>
        </w:tc>
      </w:tr>
      <w:tr w14:paraId="106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6AA5CCC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3D81706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轿门材质：</w:t>
            </w:r>
            <w:r>
              <w:rPr>
                <w:rFonts w:hint="eastAsia" w:ascii="仿宋" w:hAnsi="仿宋" w:eastAsia="仿宋" w:cs="仿宋"/>
                <w:kern w:val="0"/>
                <w:sz w:val="24"/>
                <w:szCs w:val="24"/>
                <w:lang w:val="en-US" w:eastAsia="zh-CN"/>
              </w:rPr>
              <w:t>发纹不锈钢</w:t>
            </w:r>
          </w:p>
        </w:tc>
      </w:tr>
      <w:tr w14:paraId="41C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52" w:type="dxa"/>
            <w:vMerge w:val="continue"/>
            <w:vAlign w:val="center"/>
          </w:tcPr>
          <w:p w14:paraId="767D517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70BAFC8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地板型号：防滑花纹钢板</w:t>
            </w:r>
          </w:p>
        </w:tc>
      </w:tr>
      <w:tr w14:paraId="7937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064D7F9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5B94521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检修设施：位于轿厢操纵箱下方</w:t>
            </w:r>
          </w:p>
        </w:tc>
      </w:tr>
      <w:tr w14:paraId="2DF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vAlign w:val="center"/>
          </w:tcPr>
          <w:p w14:paraId="1768A3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显示装置</w:t>
            </w:r>
          </w:p>
        </w:tc>
        <w:tc>
          <w:tcPr>
            <w:tcW w:w="7202" w:type="dxa"/>
            <w:vAlign w:val="center"/>
          </w:tcPr>
          <w:p w14:paraId="5E43A2E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轿厢内操纵装置：发纹不锈钢面板，圆形微动按钮，楼层显示和方向显示</w:t>
            </w:r>
          </w:p>
        </w:tc>
      </w:tr>
      <w:tr w14:paraId="7DE1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0D9EE2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656292C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厅外操纵召唤装置：标准型客梯召唤器，发纹不锈钢面板，微动按钮，楼层和方向指示器</w:t>
            </w:r>
          </w:p>
        </w:tc>
      </w:tr>
      <w:tr w14:paraId="07F5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vAlign w:val="center"/>
          </w:tcPr>
          <w:p w14:paraId="2407DB6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厅门及门套</w:t>
            </w:r>
          </w:p>
        </w:tc>
        <w:tc>
          <w:tcPr>
            <w:tcW w:w="7202" w:type="dxa"/>
            <w:vAlign w:val="center"/>
          </w:tcPr>
          <w:p w14:paraId="2AAEA00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厅门材质：层层</w:t>
            </w:r>
            <w:r>
              <w:rPr>
                <w:rFonts w:hint="eastAsia" w:ascii="仿宋" w:hAnsi="仿宋" w:eastAsia="仿宋" w:cs="仿宋"/>
                <w:kern w:val="0"/>
                <w:sz w:val="24"/>
                <w:szCs w:val="24"/>
                <w:lang w:val="en-US" w:eastAsia="zh-CN"/>
              </w:rPr>
              <w:t>发纹不锈钢</w:t>
            </w:r>
          </w:p>
        </w:tc>
      </w:tr>
      <w:tr w14:paraId="25F8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1944D4E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4024C05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厅门类型：所有层为中分</w:t>
            </w:r>
            <w:r>
              <w:rPr>
                <w:rFonts w:hint="eastAsia" w:ascii="仿宋" w:hAnsi="仿宋" w:eastAsia="仿宋" w:cs="仿宋"/>
                <w:kern w:val="0"/>
                <w:sz w:val="24"/>
                <w:szCs w:val="24"/>
                <w:lang w:val="en-US" w:eastAsia="zh-CN"/>
              </w:rPr>
              <w:t>上下直分</w:t>
            </w:r>
          </w:p>
        </w:tc>
      </w:tr>
      <w:tr w14:paraId="745A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7079F80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24E0773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小门套材质：层层</w:t>
            </w:r>
            <w:r>
              <w:rPr>
                <w:rFonts w:hint="eastAsia" w:ascii="仿宋" w:hAnsi="仿宋" w:eastAsia="仿宋" w:cs="仿宋"/>
                <w:kern w:val="0"/>
                <w:sz w:val="24"/>
                <w:szCs w:val="24"/>
                <w:lang w:val="en-US" w:eastAsia="zh-CN"/>
              </w:rPr>
              <w:t>发纹不锈钢</w:t>
            </w:r>
          </w:p>
        </w:tc>
      </w:tr>
      <w:tr w14:paraId="6BBB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vAlign w:val="center"/>
          </w:tcPr>
          <w:p w14:paraId="1914C1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▲电力提供</w:t>
            </w:r>
          </w:p>
        </w:tc>
        <w:tc>
          <w:tcPr>
            <w:tcW w:w="7202" w:type="dxa"/>
            <w:vAlign w:val="center"/>
          </w:tcPr>
          <w:p w14:paraId="07E5FE8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动力电源：电压：380V±1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%频率：50Hz 相数：3 相 5 线制，零线和地线始终分开</w:t>
            </w:r>
            <w:r>
              <w:rPr>
                <w:rFonts w:hint="eastAsia" w:ascii="仿宋" w:hAnsi="仿宋" w:eastAsia="仿宋" w:cs="仿宋"/>
                <w:kern w:val="0"/>
                <w:sz w:val="24"/>
                <w:szCs w:val="24"/>
                <w:lang w:eastAsia="zh-CN"/>
              </w:rPr>
              <w:t>。</w:t>
            </w:r>
          </w:p>
          <w:p w14:paraId="00FDA10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b/>
                <w:bCs/>
                <w:color w:val="FF0000"/>
                <w:kern w:val="0"/>
                <w:sz w:val="24"/>
                <w:szCs w:val="24"/>
                <w:lang w:val="en-US" w:eastAsia="zh-CN"/>
              </w:rPr>
              <w:t>(需提供委托试验报告证明文件）</w:t>
            </w:r>
          </w:p>
        </w:tc>
      </w:tr>
      <w:tr w14:paraId="00C8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14:paraId="5A509E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7202" w:type="dxa"/>
            <w:vAlign w:val="center"/>
          </w:tcPr>
          <w:p w14:paraId="3E1EE63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照明电源：电压：220V 频率：50Hz 相数：单相</w:t>
            </w:r>
          </w:p>
        </w:tc>
      </w:tr>
      <w:tr w14:paraId="2423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center"/>
          </w:tcPr>
          <w:p w14:paraId="0661EF5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运行故障</w:t>
            </w:r>
          </w:p>
        </w:tc>
        <w:tc>
          <w:tcPr>
            <w:tcW w:w="7202" w:type="dxa"/>
            <w:vAlign w:val="center"/>
          </w:tcPr>
          <w:p w14:paraId="683375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电梯每起制动运行60000次中不应超过3次。</w:t>
            </w:r>
          </w:p>
        </w:tc>
      </w:tr>
      <w:tr w14:paraId="156C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center"/>
          </w:tcPr>
          <w:p w14:paraId="6BDE8EF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控制柜失效</w:t>
            </w:r>
          </w:p>
          <w:p w14:paraId="25C02BE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（故障）</w:t>
            </w:r>
          </w:p>
        </w:tc>
        <w:tc>
          <w:tcPr>
            <w:tcW w:w="7202" w:type="dxa"/>
            <w:vAlign w:val="center"/>
          </w:tcPr>
          <w:p w14:paraId="31E18E2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电梯每起制动运行60000次中不应超过2次。</w:t>
            </w:r>
          </w:p>
        </w:tc>
      </w:tr>
    </w:tbl>
    <w:p w14:paraId="43C613FA">
      <w:pPr>
        <w:keepNext w:val="0"/>
        <w:keepLines w:val="0"/>
        <w:pageBreakBefore w:val="0"/>
        <w:widowControl w:val="0"/>
        <w:numPr>
          <w:ilvl w:val="0"/>
          <w:numId w:val="3"/>
        </w:numPr>
        <w:kinsoku/>
        <w:wordWrap/>
        <w:overflowPunct/>
        <w:topLinePunct w:val="0"/>
        <w:autoSpaceDE/>
        <w:autoSpaceDN/>
        <w:bidi w:val="0"/>
        <w:adjustRightInd w:val="0"/>
        <w:snapToGrid/>
        <w:spacing w:line="50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电梯功能:(客梯)（响应并优于所要求的基本功能）</w:t>
      </w:r>
    </w:p>
    <w:tbl>
      <w:tblPr>
        <w:tblStyle w:val="6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202"/>
      </w:tblGrid>
      <w:tr w14:paraId="0DD4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shd w:val="clear" w:color="auto" w:fill="auto"/>
            <w:vAlign w:val="center"/>
          </w:tcPr>
          <w:p w14:paraId="4B21F11C">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自动运行</w:t>
            </w:r>
          </w:p>
        </w:tc>
        <w:tc>
          <w:tcPr>
            <w:tcW w:w="7202" w:type="dxa"/>
            <w:shd w:val="clear" w:color="auto" w:fill="auto"/>
            <w:vAlign w:val="center"/>
          </w:tcPr>
          <w:p w14:paraId="0502EC87">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按钮响应指示</w:t>
            </w:r>
          </w:p>
        </w:tc>
      </w:tr>
      <w:tr w14:paraId="6DD9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7CC1222">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全集选控制</w:t>
            </w:r>
          </w:p>
        </w:tc>
        <w:tc>
          <w:tcPr>
            <w:tcW w:w="0" w:type="auto"/>
            <w:shd w:val="clear" w:color="auto" w:fill="auto"/>
            <w:vAlign w:val="center"/>
          </w:tcPr>
          <w:p w14:paraId="745B9616">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警铃</w:t>
            </w:r>
          </w:p>
        </w:tc>
      </w:tr>
      <w:tr w14:paraId="08B3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E13B5A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检修运行</w:t>
            </w:r>
          </w:p>
        </w:tc>
        <w:tc>
          <w:tcPr>
            <w:tcW w:w="0" w:type="auto"/>
            <w:shd w:val="clear" w:color="auto" w:fill="auto"/>
            <w:vAlign w:val="center"/>
          </w:tcPr>
          <w:p w14:paraId="49269AAF">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故障自动靠站</w:t>
            </w:r>
          </w:p>
        </w:tc>
      </w:tr>
      <w:tr w14:paraId="63D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2E2B203">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上电自动开门</w:t>
            </w:r>
          </w:p>
        </w:tc>
        <w:tc>
          <w:tcPr>
            <w:tcW w:w="0" w:type="auto"/>
            <w:shd w:val="clear" w:color="auto" w:fill="auto"/>
            <w:vAlign w:val="center"/>
          </w:tcPr>
          <w:p w14:paraId="31D16520">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火灾紧急返回</w:t>
            </w:r>
          </w:p>
        </w:tc>
      </w:tr>
      <w:tr w14:paraId="4622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2884144">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自动延时关门</w:t>
            </w:r>
          </w:p>
        </w:tc>
        <w:tc>
          <w:tcPr>
            <w:tcW w:w="0" w:type="auto"/>
            <w:shd w:val="clear" w:color="auto" w:fill="auto"/>
            <w:vAlign w:val="center"/>
          </w:tcPr>
          <w:p w14:paraId="4CFF4F3A">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消防运行</w:t>
            </w:r>
          </w:p>
        </w:tc>
      </w:tr>
      <w:tr w14:paraId="0FEB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1A5C595">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重复开关门</w:t>
            </w:r>
          </w:p>
        </w:tc>
        <w:tc>
          <w:tcPr>
            <w:tcW w:w="0" w:type="auto"/>
            <w:shd w:val="clear" w:color="auto" w:fill="auto"/>
            <w:vAlign w:val="center"/>
          </w:tcPr>
          <w:p w14:paraId="4A2BEDCD">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锁梯服务控制</w:t>
            </w:r>
          </w:p>
        </w:tc>
      </w:tr>
      <w:tr w14:paraId="11D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959B42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本层外召开门</w:t>
            </w:r>
          </w:p>
        </w:tc>
        <w:tc>
          <w:tcPr>
            <w:tcW w:w="0" w:type="auto"/>
            <w:shd w:val="clear" w:color="auto" w:fill="auto"/>
            <w:vAlign w:val="center"/>
          </w:tcPr>
          <w:p w14:paraId="30F2FA7C">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测试运行</w:t>
            </w:r>
          </w:p>
        </w:tc>
      </w:tr>
      <w:tr w14:paraId="3813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92D400">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停站开门</w:t>
            </w:r>
          </w:p>
        </w:tc>
        <w:tc>
          <w:tcPr>
            <w:tcW w:w="0" w:type="auto"/>
            <w:shd w:val="clear" w:color="auto" w:fill="auto"/>
            <w:vAlign w:val="center"/>
          </w:tcPr>
          <w:p w14:paraId="68508050">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误操作消除</w:t>
            </w:r>
          </w:p>
        </w:tc>
      </w:tr>
      <w:tr w14:paraId="3F26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F469C6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强迫关门</w:t>
            </w:r>
          </w:p>
        </w:tc>
        <w:tc>
          <w:tcPr>
            <w:tcW w:w="0" w:type="auto"/>
            <w:shd w:val="clear" w:color="auto" w:fill="auto"/>
            <w:vAlign w:val="center"/>
          </w:tcPr>
          <w:p w14:paraId="0DF6F9EF">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反向运行指令自动清除</w:t>
            </w:r>
          </w:p>
        </w:tc>
      </w:tr>
      <w:tr w14:paraId="7257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763C15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换站停靠</w:t>
            </w:r>
          </w:p>
        </w:tc>
        <w:tc>
          <w:tcPr>
            <w:tcW w:w="0" w:type="auto"/>
            <w:shd w:val="clear" w:color="auto" w:fill="auto"/>
            <w:vAlign w:val="center"/>
          </w:tcPr>
          <w:p w14:paraId="7E5F3518">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运行限制</w:t>
            </w:r>
          </w:p>
        </w:tc>
      </w:tr>
      <w:tr w14:paraId="252C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A01CF4E">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光幕保护</w:t>
            </w:r>
          </w:p>
        </w:tc>
        <w:tc>
          <w:tcPr>
            <w:tcW w:w="0" w:type="auto"/>
            <w:shd w:val="clear" w:color="auto" w:fill="auto"/>
            <w:vAlign w:val="center"/>
          </w:tcPr>
          <w:p w14:paraId="02591A1C">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机房选层</w:t>
            </w:r>
          </w:p>
        </w:tc>
      </w:tr>
      <w:tr w14:paraId="5233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44E4BE2">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超载报警</w:t>
            </w:r>
          </w:p>
        </w:tc>
        <w:tc>
          <w:tcPr>
            <w:tcW w:w="0" w:type="auto"/>
            <w:shd w:val="clear" w:color="auto" w:fill="auto"/>
            <w:vAlign w:val="center"/>
          </w:tcPr>
          <w:p w14:paraId="0D71D233">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机房开关门</w:t>
            </w:r>
          </w:p>
        </w:tc>
      </w:tr>
      <w:tr w14:paraId="72E5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584D8D6">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满载直驶</w:t>
            </w:r>
          </w:p>
        </w:tc>
        <w:tc>
          <w:tcPr>
            <w:tcW w:w="0" w:type="auto"/>
            <w:shd w:val="clear" w:color="auto" w:fill="auto"/>
            <w:vAlign w:val="center"/>
          </w:tcPr>
          <w:p w14:paraId="0C0CD30B">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不停层设置</w:t>
            </w:r>
          </w:p>
        </w:tc>
      </w:tr>
      <w:tr w14:paraId="3640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8BCA651">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轿内服务指示</w:t>
            </w:r>
          </w:p>
        </w:tc>
        <w:tc>
          <w:tcPr>
            <w:tcW w:w="0" w:type="auto"/>
            <w:shd w:val="clear" w:color="auto" w:fill="auto"/>
            <w:vAlign w:val="center"/>
          </w:tcPr>
          <w:p w14:paraId="484EA2F8">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五方通话</w:t>
            </w:r>
          </w:p>
        </w:tc>
      </w:tr>
      <w:tr w14:paraId="1811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C52B750">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电梯楼层位置校正</w:t>
            </w:r>
          </w:p>
        </w:tc>
        <w:tc>
          <w:tcPr>
            <w:tcW w:w="0" w:type="auto"/>
            <w:shd w:val="clear" w:color="auto" w:fill="auto"/>
            <w:vAlign w:val="center"/>
          </w:tcPr>
          <w:p w14:paraId="145A9070">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预留视频电缆</w:t>
            </w:r>
          </w:p>
        </w:tc>
      </w:tr>
      <w:tr w14:paraId="4A2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E7463FA">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故障诊断</w:t>
            </w:r>
          </w:p>
        </w:tc>
        <w:tc>
          <w:tcPr>
            <w:tcW w:w="0" w:type="auto"/>
            <w:shd w:val="clear" w:color="auto" w:fill="auto"/>
            <w:vAlign w:val="center"/>
          </w:tcPr>
          <w:p w14:paraId="0E3A2E3E">
            <w:pPr>
              <w:keepNext w:val="0"/>
              <w:keepLines w:val="0"/>
              <w:pageBreakBefore w:val="0"/>
              <w:widowControl w:val="0"/>
              <w:kinsoku/>
              <w:wordWrap/>
              <w:overflowPunct/>
              <w:topLinePunct w:val="0"/>
              <w:autoSpaceDE/>
              <w:autoSpaceDN/>
              <w:bidi w:val="0"/>
              <w:adjustRightInd w:val="0"/>
              <w:snapToGrid w:val="0"/>
              <w:spacing w:line="4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误指令取消功能</w:t>
            </w:r>
          </w:p>
        </w:tc>
      </w:tr>
      <w:tr w14:paraId="36A5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8B298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层站服务指示</w:t>
            </w:r>
          </w:p>
        </w:tc>
        <w:tc>
          <w:tcPr>
            <w:tcW w:w="0" w:type="auto"/>
            <w:shd w:val="clear" w:color="auto" w:fill="auto"/>
            <w:vAlign w:val="center"/>
          </w:tcPr>
          <w:p w14:paraId="09DB6A66">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无障碍梯功能：</w:t>
            </w:r>
          </w:p>
          <w:p w14:paraId="0725C672">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轿厢后壁中间镜面不锈钢、侧壁轮椅专用操作盘、盲文按钮、后壁扶手、中文语音报站</w:t>
            </w:r>
          </w:p>
        </w:tc>
      </w:tr>
      <w:tr w14:paraId="1F08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shd w:val="clear" w:color="auto" w:fill="auto"/>
            <w:vAlign w:val="center"/>
          </w:tcPr>
          <w:p w14:paraId="31EB8EF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p w14:paraId="264D3875">
            <w:pPr>
              <w:pStyle w:val="79"/>
              <w:rPr>
                <w:rFonts w:hint="eastAsia" w:ascii="仿宋" w:hAnsi="仿宋" w:eastAsia="仿宋" w:cs="仿宋"/>
              </w:rPr>
            </w:pPr>
            <w:r>
              <w:rPr>
                <w:rFonts w:hint="eastAsia" w:ascii="仿宋" w:hAnsi="仿宋" w:eastAsia="仿宋" w:cs="仿宋"/>
                <w:kern w:val="0"/>
                <w:sz w:val="24"/>
                <w:szCs w:val="24"/>
              </w:rPr>
              <w:t>安全设备或功能</w:t>
            </w:r>
          </w:p>
        </w:tc>
        <w:tc>
          <w:tcPr>
            <w:tcW w:w="0" w:type="auto"/>
            <w:shd w:val="clear" w:color="auto" w:fill="auto"/>
            <w:vAlign w:val="center"/>
          </w:tcPr>
          <w:p w14:paraId="17CA7CFC">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断相和错相保护</w:t>
            </w:r>
          </w:p>
        </w:tc>
      </w:tr>
      <w:tr w14:paraId="5213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4D5D0F8C">
            <w:pPr>
              <w:pStyle w:val="79"/>
              <w:rPr>
                <w:rFonts w:hint="eastAsia" w:ascii="仿宋" w:hAnsi="仿宋" w:eastAsia="仿宋" w:cs="仿宋"/>
              </w:rPr>
            </w:pPr>
          </w:p>
        </w:tc>
        <w:tc>
          <w:tcPr>
            <w:tcW w:w="0" w:type="auto"/>
            <w:shd w:val="clear" w:color="auto" w:fill="auto"/>
            <w:vAlign w:val="center"/>
          </w:tcPr>
          <w:p w14:paraId="7944ACE6">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上、下终点开关和上、下极限开关</w:t>
            </w:r>
          </w:p>
        </w:tc>
      </w:tr>
      <w:tr w14:paraId="76E6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73BF8B72">
            <w:pPr>
              <w:pStyle w:val="79"/>
              <w:rPr>
                <w:rFonts w:hint="eastAsia" w:ascii="仿宋" w:hAnsi="仿宋" w:eastAsia="仿宋" w:cs="仿宋"/>
              </w:rPr>
            </w:pPr>
          </w:p>
        </w:tc>
        <w:tc>
          <w:tcPr>
            <w:tcW w:w="0" w:type="auto"/>
            <w:shd w:val="clear" w:color="auto" w:fill="auto"/>
            <w:vAlign w:val="center"/>
          </w:tcPr>
          <w:p w14:paraId="1070EB65">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缓冲器</w:t>
            </w:r>
          </w:p>
        </w:tc>
      </w:tr>
      <w:tr w14:paraId="69ED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263F0738">
            <w:pPr>
              <w:pStyle w:val="79"/>
              <w:rPr>
                <w:rFonts w:hint="eastAsia" w:ascii="仿宋" w:hAnsi="仿宋" w:eastAsia="仿宋" w:cs="仿宋"/>
              </w:rPr>
            </w:pPr>
          </w:p>
        </w:tc>
        <w:tc>
          <w:tcPr>
            <w:tcW w:w="0" w:type="auto"/>
            <w:shd w:val="clear" w:color="auto" w:fill="auto"/>
            <w:vAlign w:val="center"/>
          </w:tcPr>
          <w:p w14:paraId="556B4D01">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限速器</w:t>
            </w:r>
          </w:p>
        </w:tc>
      </w:tr>
      <w:tr w14:paraId="2CE1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5257149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0" w:type="auto"/>
            <w:shd w:val="clear" w:color="auto" w:fill="auto"/>
            <w:vAlign w:val="center"/>
          </w:tcPr>
          <w:p w14:paraId="6E78B6FC">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安全钳</w:t>
            </w:r>
          </w:p>
        </w:tc>
      </w:tr>
      <w:tr w14:paraId="109C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71A602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0" w:type="auto"/>
            <w:shd w:val="clear" w:color="auto" w:fill="auto"/>
            <w:vAlign w:val="center"/>
          </w:tcPr>
          <w:p w14:paraId="6FE73D90">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紧急停止按钮</w:t>
            </w:r>
          </w:p>
        </w:tc>
      </w:tr>
      <w:tr w14:paraId="2294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4A94AE3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0" w:type="auto"/>
            <w:shd w:val="clear" w:color="auto" w:fill="auto"/>
            <w:vAlign w:val="center"/>
          </w:tcPr>
          <w:p w14:paraId="2945CE96">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层门安全设施</w:t>
            </w:r>
          </w:p>
        </w:tc>
      </w:tr>
      <w:tr w14:paraId="371E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40FA06E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0" w:type="auto"/>
            <w:shd w:val="clear" w:color="auto" w:fill="auto"/>
            <w:vAlign w:val="center"/>
          </w:tcPr>
          <w:p w14:paraId="6EFD5BEA">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轿门安全设施</w:t>
            </w:r>
          </w:p>
        </w:tc>
      </w:tr>
      <w:tr w14:paraId="746F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shd w:val="clear" w:color="auto" w:fill="auto"/>
            <w:vAlign w:val="center"/>
          </w:tcPr>
          <w:p w14:paraId="44D01CE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s="仿宋"/>
                <w:kern w:val="0"/>
                <w:sz w:val="24"/>
                <w:szCs w:val="24"/>
              </w:rPr>
            </w:pPr>
          </w:p>
        </w:tc>
        <w:tc>
          <w:tcPr>
            <w:tcW w:w="0" w:type="auto"/>
            <w:shd w:val="clear" w:color="auto" w:fill="auto"/>
            <w:vAlign w:val="center"/>
          </w:tcPr>
          <w:p w14:paraId="558251C6">
            <w:pPr>
              <w:keepNext w:val="0"/>
              <w:keepLines w:val="0"/>
              <w:pageBreakBefore w:val="0"/>
              <w:widowControl w:val="0"/>
              <w:kinsoku/>
              <w:wordWrap/>
              <w:overflowPunct/>
              <w:topLinePunct w:val="0"/>
              <w:autoSpaceDE/>
              <w:autoSpaceDN/>
              <w:bidi w:val="0"/>
              <w:adjustRightInd w:val="0"/>
              <w:snapToGrid w:val="0"/>
              <w:spacing w:line="360" w:lineRule="exact"/>
              <w:ind w:left="63" w:leftChars="3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上行超速保护装置</w:t>
            </w:r>
          </w:p>
        </w:tc>
      </w:tr>
    </w:tbl>
    <w:p w14:paraId="77D0B674">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outlineLvl w:val="1"/>
        <w:rPr>
          <w:rFonts w:hint="eastAsia" w:ascii="仿宋" w:hAnsi="仿宋" w:eastAsia="仿宋" w:cs="仿宋"/>
          <w:b/>
          <w:sz w:val="24"/>
          <w:szCs w:val="24"/>
        </w:rPr>
      </w:pPr>
      <w:r>
        <w:rPr>
          <w:rFonts w:hint="eastAsia" w:ascii="仿宋" w:hAnsi="仿宋" w:eastAsia="仿宋" w:cs="仿宋"/>
          <w:b/>
          <w:sz w:val="24"/>
          <w:szCs w:val="24"/>
        </w:rPr>
        <w:t>4.乘客电梯一般技术要求</w:t>
      </w:r>
    </w:p>
    <w:p w14:paraId="79714DD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bookmarkStart w:id="49" w:name="_Toc13466"/>
      <w:r>
        <w:rPr>
          <w:rFonts w:hint="eastAsia" w:ascii="仿宋" w:hAnsi="仿宋" w:eastAsia="仿宋" w:cs="仿宋"/>
          <w:sz w:val="24"/>
          <w:szCs w:val="24"/>
        </w:rPr>
        <w:t>4.1工作情况：</w:t>
      </w:r>
    </w:p>
    <w:p w14:paraId="494DB9CB">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投标人提供的产品和服务须适应本标书所有条款，并运转顺利、正常、可靠。</w:t>
      </w:r>
    </w:p>
    <w:p w14:paraId="7E398A19">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4.2可靠性要求：</w:t>
      </w:r>
    </w:p>
    <w:p w14:paraId="5237EFB1">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①要求连续工作每天24小时，全年365天。 </w:t>
      </w:r>
    </w:p>
    <w:p w14:paraId="03E9BCF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②正常使用寿命期要求11万小时以上。</w:t>
      </w:r>
    </w:p>
    <w:p w14:paraId="4AB5086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4.3配置要求</w:t>
      </w:r>
    </w:p>
    <w:p w14:paraId="54930705">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（1）采用32位或双16位以上全电脑集散模块化串行通讯网络控制系统。</w:t>
      </w:r>
    </w:p>
    <w:p w14:paraId="463F40AD">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（2）开门系统采用VVVF门机系统或其他性能相当的门机系统。</w:t>
      </w:r>
    </w:p>
    <w:p w14:paraId="31F6971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（3）并联控制系统中的每台电梯视需要可转成独立运行控制方式。</w:t>
      </w:r>
    </w:p>
    <w:p w14:paraId="3ECD2D93">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5.技术指标要求：</w:t>
      </w:r>
    </w:p>
    <w:p w14:paraId="64CFFA1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5.1平层精度：在±</w:t>
      </w:r>
      <w:r>
        <w:rPr>
          <w:rFonts w:hint="eastAsia" w:ascii="仿宋" w:hAnsi="仿宋" w:eastAsia="仿宋" w:cs="仿宋"/>
          <w:sz w:val="24"/>
          <w:szCs w:val="24"/>
          <w:lang w:eastAsia="zh-CN"/>
        </w:rPr>
        <w:t>3.0</w:t>
      </w:r>
      <w:r>
        <w:rPr>
          <w:rFonts w:hint="eastAsia" w:ascii="仿宋" w:hAnsi="仿宋" w:eastAsia="仿宋" w:cs="仿宋"/>
          <w:sz w:val="24"/>
          <w:szCs w:val="24"/>
        </w:rPr>
        <w:t>mm范围之内。</w:t>
      </w:r>
    </w:p>
    <w:p w14:paraId="59ADD1D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电梯每起制动运行在一年内失效（故障）次数不超过2次，如超过免费维保期延迟一年。</w:t>
      </w:r>
    </w:p>
    <w:p w14:paraId="6FB4CD00">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电梯每起制动运行在一年内控制柜失效（故障）次数不超过2次。</w:t>
      </w:r>
    </w:p>
    <w:p w14:paraId="2608111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5.4在确定认可的材质、工艺要求前提下，其外观质量和舒适感应有可比性的优越。</w:t>
      </w:r>
    </w:p>
    <w:p w14:paraId="3B2DBC86">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请投标人根据投标产品的技术参数详细填写。</w:t>
      </w:r>
    </w:p>
    <w:p w14:paraId="27E20D32">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6.电梯基本功能</w:t>
      </w:r>
    </w:p>
    <w:p w14:paraId="42EBBCBD">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要求投标电梯具有投标型号电梯的标准功能（以提供的相应型号电梯样本为准），且必须包括下列功能：</w:t>
      </w:r>
    </w:p>
    <w:p w14:paraId="36FB1AD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⑴ 司机操作</w:t>
      </w:r>
    </w:p>
    <w:p w14:paraId="7E0CAE90">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⑵ 超重警告</w:t>
      </w:r>
    </w:p>
    <w:p w14:paraId="4C388F7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当电梯超重时，不允许关门启动，门必须打开，并同时发出声光警报，当超重现象消除时，警报自动解除，电梯</w:t>
      </w:r>
      <w:r>
        <w:rPr>
          <w:rFonts w:hint="eastAsia" w:ascii="仿宋" w:hAnsi="仿宋" w:eastAsia="仿宋" w:cs="仿宋"/>
          <w:sz w:val="24"/>
          <w:szCs w:val="24"/>
          <w:lang w:val="en-US" w:eastAsia="zh-CN"/>
        </w:rPr>
        <w:t>恢</w:t>
      </w:r>
      <w:r>
        <w:rPr>
          <w:rFonts w:hint="eastAsia" w:ascii="仿宋" w:hAnsi="仿宋" w:eastAsia="仿宋" w:cs="仿宋"/>
          <w:sz w:val="24"/>
          <w:szCs w:val="24"/>
        </w:rPr>
        <w:t>复正常运行。</w:t>
      </w:r>
    </w:p>
    <w:p w14:paraId="0D84E9EB">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 报警铃</w:t>
      </w:r>
    </w:p>
    <w:p w14:paraId="7208E11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若事故发生，按下警铃按钮，向控制中心和机房呼叫，在轿厢顶和一楼井道的铃声响起。</w:t>
      </w:r>
    </w:p>
    <w:p w14:paraId="3C2C10C1">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⑷ 五方通讯</w:t>
      </w:r>
    </w:p>
    <w:p w14:paraId="12B77DE7">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按下轿厢中的紧急呼叫按钮能向机房和管理中心呼叫、通话，机房、底坑。轿顶、控制中心和轿内之间能五向互通。五方通话在控制中心只允许设一个电话分机来集中受理通话请求。</w:t>
      </w:r>
      <w:r>
        <w:rPr>
          <w:rFonts w:hint="eastAsia" w:ascii="仿宋" w:hAnsi="仿宋" w:eastAsia="仿宋" w:cs="仿宋"/>
          <w:sz w:val="24"/>
          <w:szCs w:val="24"/>
          <w:u w:val="single"/>
        </w:rPr>
        <w:t>投标报价中须含轿内、机房、控制中心、底坑、轿顶的对讲设备及调试费用。</w:t>
      </w:r>
    </w:p>
    <w:p w14:paraId="5390492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⑸ 轿厢紧急照明灯</w:t>
      </w:r>
    </w:p>
    <w:p w14:paraId="31D90C5E">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当照明断电，紧急照明灯会自动打开，当照明电源恢复正常时，紧急照明灯自动熄灭。</w:t>
      </w:r>
    </w:p>
    <w:p w14:paraId="1FBFDCB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⑹ 自动起停轿厢照明、通风装置</w:t>
      </w:r>
    </w:p>
    <w:p w14:paraId="6D31150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如果电梯停用超过设定的时间，自动关闭轿厢内的照明灯及通风装置。如遇召唤在轿门打开时，同时自动开启照明和通风。</w:t>
      </w:r>
      <w:r>
        <w:rPr>
          <w:rFonts w:hint="eastAsia" w:ascii="仿宋" w:hAnsi="仿宋" w:eastAsia="仿宋" w:cs="仿宋"/>
          <w:sz w:val="24"/>
          <w:szCs w:val="24"/>
          <w:u w:val="single"/>
        </w:rPr>
        <w:t>通风装置应为低噪音。</w:t>
      </w:r>
    </w:p>
    <w:p w14:paraId="7F2BEB2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⑺ 满载不停</w:t>
      </w:r>
    </w:p>
    <w:p w14:paraId="11C0F183">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⑻ 防捣乱功能（轿内误召唤自动消除） </w:t>
      </w:r>
    </w:p>
    <w:p w14:paraId="51E027D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如轿厢已登记的召唤次数与乘梯数不一致时，为避免不必要的停靠，轿厢内的召唤将全部自动消除。</w:t>
      </w:r>
    </w:p>
    <w:p w14:paraId="559CA1BE">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⑼ 自动调整保持开门时间</w:t>
      </w:r>
    </w:p>
    <w:p w14:paraId="03AD0CB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按照召唤是层站召唤或轿厢召唤的区别，自动调整保持开门时间。</w:t>
      </w:r>
    </w:p>
    <w:p w14:paraId="22C5ACE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⑽ 到站钟</w:t>
      </w:r>
    </w:p>
    <w:p w14:paraId="123BAAD6">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⑾ 光幕保护</w:t>
      </w:r>
    </w:p>
    <w:p w14:paraId="0D118DAE">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⑿ 逆向操作取消功能</w:t>
      </w:r>
    </w:p>
    <w:p w14:paraId="0AAB69AD">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⒀ 开关门受阻保护（轿厢门开关时遇故障物应自动开门）</w:t>
      </w:r>
    </w:p>
    <w:p w14:paraId="73BA03F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⒁ 紧急消防操作功能</w:t>
      </w:r>
    </w:p>
    <w:p w14:paraId="065630D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⒂ 故障时自动停靠站功能</w:t>
      </w:r>
    </w:p>
    <w:p w14:paraId="794C1FA3">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sz w:val="24"/>
          <w:szCs w:val="24"/>
          <w:u w:val="single"/>
        </w:rPr>
      </w:pPr>
      <w:r>
        <w:rPr>
          <w:rFonts w:hint="eastAsia" w:ascii="仿宋" w:hAnsi="仿宋" w:eastAsia="仿宋" w:cs="仿宋"/>
          <w:b/>
          <w:bCs/>
          <w:sz w:val="24"/>
          <w:szCs w:val="24"/>
          <w:u w:val="single"/>
        </w:rPr>
        <w:t>投标人须对以上基本功能要求做出如实准确的答复。</w:t>
      </w:r>
    </w:p>
    <w:p w14:paraId="2458D976">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以上功能是买方对电梯的基本要求，如有偏离必须在偏离表中如实反映，投标人在投标时应详细列出所提供电梯的其他标准功能。</w:t>
      </w:r>
    </w:p>
    <w:p w14:paraId="1AC595C8">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7.安全设备</w:t>
      </w:r>
    </w:p>
    <w:p w14:paraId="3BA65B7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投标人提供的电梯应包括（但不仅限于）下列设备。其应符合有关标准中的规定。</w:t>
      </w:r>
    </w:p>
    <w:p w14:paraId="3EE5E9A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⑴ 断相和错相保护；</w:t>
      </w:r>
    </w:p>
    <w:p w14:paraId="3245E4A7">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⑵ 上、下终点开关和上、下极限开关；</w:t>
      </w:r>
    </w:p>
    <w:p w14:paraId="005A85C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 缓冲器；</w:t>
      </w:r>
    </w:p>
    <w:p w14:paraId="71C85DE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⑷ 限速器；</w:t>
      </w:r>
    </w:p>
    <w:p w14:paraId="19B2777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⑸ 安全钳；</w:t>
      </w:r>
    </w:p>
    <w:p w14:paraId="7899718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⑹ 紧急停止按钮；</w:t>
      </w:r>
    </w:p>
    <w:p w14:paraId="682CB4D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⑺ 层门安全设施；</w:t>
      </w:r>
    </w:p>
    <w:p w14:paraId="021AABD1">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⑻ 轿门安全设施。</w:t>
      </w:r>
    </w:p>
    <w:p w14:paraId="2119E6EA">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8.制造</w:t>
      </w:r>
    </w:p>
    <w:p w14:paraId="15FD3484">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投标人提供的设备条件应按标准制造，并有替换性和精确装配性。特别对于驱动装置（曳引原件设备）、门机等的装配，所有都应在工厂完成或预装配或其尺寸误差达到预装配水平。</w:t>
      </w:r>
    </w:p>
    <w:p w14:paraId="648D567E">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9.设备性能</w:t>
      </w:r>
    </w:p>
    <w:p w14:paraId="1FA3FD10">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投标人提供的电梯设备应在噪音、震动、减速箱的油渗漏、设备可靠性、性能等方面需符合国家标准。</w:t>
      </w:r>
    </w:p>
    <w:p w14:paraId="379B7EC3">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10.其他</w:t>
      </w:r>
    </w:p>
    <w:p w14:paraId="27C97047">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⑴项目实施过程中，中标人有责任与监理单位、土建单位及其他供应商保持联系和合作。在安装期间，中标人应遵守有关部门的管理，并遵照相关的规定。</w:t>
      </w:r>
    </w:p>
    <w:p w14:paraId="5C058C2D">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⑵ 中标人应与所有相关的部门相联系，获得相关认可，以便设备能及时投入服务。并提交相关文件图纸资料等。</w:t>
      </w:r>
    </w:p>
    <w:p w14:paraId="08F415A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 中标人有责任防止所有电梯在未经正式认可便使用，而应根据</w:t>
      </w:r>
      <w:r>
        <w:rPr>
          <w:rFonts w:hint="eastAsia" w:ascii="仿宋" w:hAnsi="仿宋" w:eastAsia="仿宋" w:cs="仿宋"/>
          <w:sz w:val="24"/>
          <w:szCs w:val="24"/>
          <w:lang w:eastAsia="zh-CN"/>
        </w:rPr>
        <w:t>采购人</w:t>
      </w:r>
      <w:r>
        <w:rPr>
          <w:rFonts w:hint="eastAsia" w:ascii="仿宋" w:hAnsi="仿宋" w:eastAsia="仿宋" w:cs="仿宋"/>
          <w:sz w:val="24"/>
          <w:szCs w:val="24"/>
        </w:rPr>
        <w:t>需要，得到</w:t>
      </w:r>
      <w:r>
        <w:rPr>
          <w:rFonts w:hint="eastAsia" w:ascii="仿宋" w:hAnsi="仿宋" w:eastAsia="仿宋" w:cs="仿宋"/>
          <w:sz w:val="24"/>
          <w:szCs w:val="24"/>
          <w:lang w:eastAsia="zh-CN"/>
        </w:rPr>
        <w:t>采购人</w:t>
      </w:r>
      <w:r>
        <w:rPr>
          <w:rFonts w:hint="eastAsia" w:ascii="仿宋" w:hAnsi="仿宋" w:eastAsia="仿宋" w:cs="仿宋"/>
          <w:sz w:val="24"/>
          <w:szCs w:val="24"/>
        </w:rPr>
        <w:t>认可后再投入运行。</w:t>
      </w:r>
    </w:p>
    <w:p w14:paraId="40FD66E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⑷ 中标人应参加监理单位或甲方要求参加的现场会议，并接受总承包及监理单位的统一管理，遵守建设工地安全生产和文明施工的相关规定，确保符合总包方的管理目标要求。</w:t>
      </w:r>
    </w:p>
    <w:p w14:paraId="03EE7FDD">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⑸ 投标人需对每台电梯填写电梯主要部件的产地、规格说明表。</w:t>
      </w:r>
    </w:p>
    <w:p w14:paraId="40673C36">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outlineLvl w:val="1"/>
        <w:rPr>
          <w:rFonts w:hint="eastAsia" w:ascii="仿宋" w:hAnsi="仿宋" w:eastAsia="仿宋" w:cs="仿宋"/>
          <w:b/>
          <w:sz w:val="24"/>
          <w:szCs w:val="24"/>
        </w:rPr>
      </w:pPr>
      <w:bookmarkStart w:id="50" w:name="_Toc11183"/>
      <w:r>
        <w:rPr>
          <w:rFonts w:hint="eastAsia" w:ascii="仿宋" w:hAnsi="仿宋" w:eastAsia="仿宋" w:cs="仿宋"/>
          <w:b/>
          <w:sz w:val="24"/>
          <w:szCs w:val="24"/>
        </w:rPr>
        <w:t>六、一般要求</w:t>
      </w:r>
      <w:bookmarkEnd w:id="50"/>
    </w:p>
    <w:p w14:paraId="6E26B7F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.所有设备必须是中标人自有的具有相关安装资质的单位安装。</w:t>
      </w:r>
    </w:p>
    <w:p w14:paraId="4D290B7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.所有设备在安装前须经</w:t>
      </w:r>
      <w:r>
        <w:rPr>
          <w:rFonts w:hint="eastAsia" w:ascii="仿宋" w:hAnsi="仿宋" w:eastAsia="仿宋" w:cs="仿宋"/>
          <w:bCs/>
          <w:sz w:val="24"/>
          <w:szCs w:val="24"/>
          <w:lang w:eastAsia="zh-CN"/>
        </w:rPr>
        <w:t>采购人</w:t>
      </w:r>
      <w:r>
        <w:rPr>
          <w:rFonts w:hint="eastAsia" w:ascii="仿宋" w:hAnsi="仿宋" w:eastAsia="仿宋" w:cs="仿宋"/>
          <w:bCs/>
          <w:sz w:val="24"/>
          <w:szCs w:val="24"/>
        </w:rPr>
        <w:t>审核后实施；否则不予付款。</w:t>
      </w:r>
    </w:p>
    <w:p w14:paraId="022C558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.中标人应在合同签订后3日内提供电梯土建施工图，确认相关参数。</w:t>
      </w:r>
    </w:p>
    <w:p w14:paraId="57587B9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.设备安装完成后中标人须提供电梯设备竣工图纸给</w:t>
      </w:r>
      <w:r>
        <w:rPr>
          <w:rFonts w:hint="eastAsia" w:ascii="仿宋" w:hAnsi="仿宋" w:eastAsia="仿宋" w:cs="仿宋"/>
          <w:bCs/>
          <w:sz w:val="24"/>
          <w:szCs w:val="24"/>
          <w:lang w:eastAsia="zh-CN"/>
        </w:rPr>
        <w:t>采购人</w:t>
      </w:r>
      <w:r>
        <w:rPr>
          <w:rFonts w:hint="eastAsia" w:ascii="仿宋" w:hAnsi="仿宋" w:eastAsia="仿宋" w:cs="仿宋"/>
          <w:bCs/>
          <w:sz w:val="24"/>
          <w:szCs w:val="24"/>
        </w:rPr>
        <w:t>。</w:t>
      </w:r>
    </w:p>
    <w:p w14:paraId="2EFA5647">
      <w:pPr>
        <w:keepNext w:val="0"/>
        <w:keepLines w:val="0"/>
        <w:pageBreakBefore w:val="0"/>
        <w:widowControl w:val="0"/>
        <w:kinsoku/>
        <w:wordWrap/>
        <w:overflowPunct/>
        <w:topLinePunct w:val="0"/>
        <w:autoSpaceDE/>
        <w:autoSpaceDN/>
        <w:bidi w:val="0"/>
        <w:snapToGrid/>
        <w:spacing w:line="440" w:lineRule="exact"/>
        <w:ind w:right="0" w:righ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七、其它要求</w:t>
      </w:r>
    </w:p>
    <w:p w14:paraId="753BF6F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1.任何合理化建议或技术偏离，可专列章节说明并报价，供采购人评标时参考。</w:t>
      </w:r>
    </w:p>
    <w:p w14:paraId="414395F3">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2.投标文件应特别详细描述、说明整个电梯设备安装施工环节的处理方法、注意事项、规范、以及详细的施工、网络组织图；</w:t>
      </w:r>
    </w:p>
    <w:p w14:paraId="35D83AE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中标人同采购人签订了设备供货合同后，须按建设进度要求提供下列资料（一式六份）：系统图、布置方案图、电路图、接线图、设计图、装配图、井道尺寸剖面图及其他有必要提供的其他文件和技术资料。采购人将进行图纸审查，内容包括：</w:t>
      </w:r>
    </w:p>
    <w:p w14:paraId="2F201897">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①所有对土建的要求符合现有的实际情况，包括荷载、打孔位置和尺寸、预埋件、吊装预留孔、吊装荷载、通道、预埋沟地基和用于固定的一些细节等；</w:t>
      </w:r>
    </w:p>
    <w:p w14:paraId="6EB9F0D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②主要设备和装置额定值、外形、尺寸、表面装饰、维修、更换、安装方法等；</w:t>
      </w:r>
    </w:p>
    <w:p w14:paraId="3D126F8A">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③与其他设备的连接示意图及工作范围（例，防火系统、电气设备等）；</w:t>
      </w:r>
    </w:p>
    <w:p w14:paraId="29F821DC">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④主要设备的交货程序，外形尺寸、重量和预留吊装位置和吊勾；</w:t>
      </w:r>
    </w:p>
    <w:p w14:paraId="72E6CC32">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⑤主要设备的电源负荷和通风降温要求；</w:t>
      </w:r>
    </w:p>
    <w:p w14:paraId="3501D1D9">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4.如果有任何图纸未被认可，须由供货方按采购人建议做好修改，并再次送审直到认可。</w:t>
      </w:r>
    </w:p>
    <w:p w14:paraId="5B6996DF">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在合同生效后，中标人在执行合同工程中，有责任完成与土建、安装公司及其他公司之间的技术协调，并对工作作出书面的计划，该计划还应取得采购人的书面同意和安排。如果发生争议，经协商一致后，各方都应遵守，并不得借此要求增加费用或延长工期。</w:t>
      </w:r>
    </w:p>
    <w:p w14:paraId="0B5012C8">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6.中标人须在完成合同范围的安装和调试工作后，两星期内提交所有相关的安装记录和工序验收记录，并且在一个月内编写并提交竣工图。</w:t>
      </w:r>
    </w:p>
    <w:p w14:paraId="7A9EA9AB">
      <w:pPr>
        <w:keepNext w:val="0"/>
        <w:keepLines w:val="0"/>
        <w:pageBreakBefore w:val="0"/>
        <w:widowControl w:val="0"/>
        <w:kinsoku/>
        <w:wordWrap/>
        <w:overflowPunct/>
        <w:topLinePunct w:val="0"/>
        <w:autoSpaceDE/>
        <w:autoSpaceDN/>
        <w:bidi w:val="0"/>
        <w:snapToGrid/>
        <w:spacing w:line="440" w:lineRule="exact"/>
        <w:ind w:right="0" w:righ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这部份技术要求（规格）书只是对设备的一些原则性要求，并不是详尽的要求，供应商有责任对设计符合技术规范、标准负责。中标人应对投标内容所涉及的专利承担责任，并负责保护采购人的利益不受任何损害。一切由于文字、商标、技术和软件制作专利引起的法律裁决、诉讼和费用均与采购人无关。</w:t>
      </w:r>
    </w:p>
    <w:p w14:paraId="0FE98D5D">
      <w:pPr>
        <w:pStyle w:val="4"/>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sz w:val="24"/>
          <w:szCs w:val="24"/>
        </w:rPr>
        <w:t>8.采购人提供的设计图纸和内容，根据情况的变化，有可能进行局部修改，中标人应根据修改后的图纸，相应地改变自己的施工方案</w:t>
      </w:r>
      <w:r>
        <w:rPr>
          <w:rFonts w:hint="eastAsia" w:ascii="仿宋" w:hAnsi="仿宋" w:eastAsia="仿宋" w:cs="仿宋"/>
          <w:color w:val="auto"/>
          <w:kern w:val="2"/>
          <w:sz w:val="24"/>
          <w:szCs w:val="24"/>
          <w:lang w:val="en-US" w:eastAsia="zh-CN" w:bidi="ar-SA"/>
        </w:rPr>
        <w:t>。</w:t>
      </w:r>
    </w:p>
    <w:p w14:paraId="373320F5">
      <w:pPr>
        <w:keepNext w:val="0"/>
        <w:keepLines w:val="0"/>
        <w:pageBreakBefore w:val="0"/>
        <w:widowControl w:val="0"/>
        <w:numPr>
          <w:ilvl w:val="0"/>
          <w:numId w:val="0"/>
        </w:numPr>
        <w:kinsoku/>
        <w:wordWrap/>
        <w:overflowPunct/>
        <w:topLinePunct w:val="0"/>
        <w:autoSpaceDE/>
        <w:autoSpaceDN/>
        <w:bidi w:val="0"/>
        <w:snapToGrid/>
        <w:spacing w:line="360" w:lineRule="auto"/>
        <w:ind w:left="420" w:leftChars="0"/>
        <w:textAlignment w:val="auto"/>
        <w:outlineLvl w:val="0"/>
        <w:rPr>
          <w:rFonts w:hint="eastAsia" w:ascii="仿宋" w:hAnsi="仿宋" w:eastAsia="仿宋" w:cs="仿宋"/>
        </w:rPr>
      </w:pPr>
      <w:r>
        <w:rPr>
          <w:rFonts w:hint="eastAsia" w:ascii="仿宋" w:hAnsi="仿宋" w:eastAsia="仿宋" w:cs="仿宋"/>
          <w:b/>
          <w:sz w:val="24"/>
          <w:lang w:val="en-US" w:eastAsia="zh-CN"/>
        </w:rPr>
        <w:t>★八、</w:t>
      </w:r>
      <w:r>
        <w:rPr>
          <w:rFonts w:hint="eastAsia" w:ascii="仿宋" w:hAnsi="仿宋" w:eastAsia="仿宋" w:cs="仿宋"/>
          <w:b/>
          <w:sz w:val="24"/>
        </w:rPr>
        <w:t>商务要求</w:t>
      </w:r>
    </w:p>
    <w:tbl>
      <w:tblPr>
        <w:tblStyle w:val="62"/>
        <w:tblW w:w="93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1"/>
        <w:gridCol w:w="7802"/>
      </w:tblGrid>
      <w:tr w14:paraId="5535B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3E23BEC9">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14:paraId="0E7EA014">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保障要求</w:t>
            </w:r>
          </w:p>
        </w:tc>
        <w:tc>
          <w:tcPr>
            <w:tcW w:w="7802" w:type="dxa"/>
            <w:tcBorders>
              <w:top w:val="single" w:color="auto" w:sz="4" w:space="0"/>
              <w:left w:val="single" w:color="auto" w:sz="4" w:space="0"/>
              <w:bottom w:val="single" w:color="auto" w:sz="4" w:space="0"/>
              <w:right w:val="single" w:color="auto" w:sz="4" w:space="0"/>
            </w:tcBorders>
            <w:vAlign w:val="center"/>
          </w:tcPr>
          <w:p w14:paraId="360839B0">
            <w:pPr>
              <w:pStyle w:val="4"/>
              <w:keepNext w:val="0"/>
              <w:keepLines w:val="0"/>
              <w:pageBreakBefore w:val="0"/>
              <w:numPr>
                <w:ilvl w:val="0"/>
                <w:numId w:val="0"/>
              </w:numPr>
              <w:kinsoku/>
              <w:wordWrap/>
              <w:overflowPunct/>
              <w:topLinePunct w:val="0"/>
              <w:autoSpaceDE/>
              <w:autoSpaceDN/>
              <w:bidi w:val="0"/>
              <w:adjustRightInd w:val="0"/>
              <w:spacing w:line="46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1.中标</w:t>
            </w:r>
            <w:r>
              <w:rPr>
                <w:rFonts w:hint="eastAsia" w:ascii="仿宋" w:hAnsi="仿宋" w:eastAsia="仿宋" w:cs="仿宋"/>
                <w:color w:val="auto"/>
                <w:sz w:val="24"/>
                <w:szCs w:val="24"/>
              </w:rPr>
              <w:t>人须提供经调试、试运行、验收合格后2年的免费质保期</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当中标人的承诺时间超过2年时，按中标人承诺时间）</w:t>
            </w:r>
            <w:r>
              <w:rPr>
                <w:rFonts w:hint="eastAsia" w:ascii="仿宋" w:hAnsi="仿宋" w:eastAsia="仿宋" w:cs="仿宋"/>
                <w:color w:val="auto"/>
                <w:sz w:val="24"/>
                <w:szCs w:val="24"/>
              </w:rPr>
              <w:t>，由中标单位的电梯制造商负责电梯的免费日常维修</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正常保养</w:t>
            </w:r>
            <w:r>
              <w:rPr>
                <w:rFonts w:hint="eastAsia" w:ascii="仿宋" w:hAnsi="仿宋" w:eastAsia="仿宋" w:cs="仿宋"/>
                <w:color w:val="auto"/>
                <w:sz w:val="24"/>
                <w:szCs w:val="24"/>
                <w:lang w:eastAsia="zh-CN"/>
              </w:rPr>
              <w:t>，并承担质保期内相关的的检测</w:t>
            </w:r>
            <w:r>
              <w:rPr>
                <w:rFonts w:hint="eastAsia" w:ascii="仿宋" w:hAnsi="仿宋" w:eastAsia="仿宋" w:cs="仿宋"/>
                <w:color w:val="auto"/>
                <w:sz w:val="24"/>
                <w:szCs w:val="24"/>
              </w:rPr>
              <w:t>检验费</w:t>
            </w:r>
            <w:r>
              <w:rPr>
                <w:rFonts w:hint="eastAsia" w:ascii="仿宋" w:hAnsi="仿宋" w:eastAsia="仿宋" w:cs="仿宋"/>
                <w:color w:val="auto"/>
                <w:sz w:val="24"/>
                <w:szCs w:val="24"/>
                <w:lang w:eastAsia="zh-CN"/>
              </w:rPr>
              <w:t>用（包括特种设备检测费用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提供24小时服务。</w:t>
            </w:r>
          </w:p>
          <w:p w14:paraId="745DC9ED">
            <w:pPr>
              <w:pStyle w:val="4"/>
              <w:keepNext w:val="0"/>
              <w:keepLines w:val="0"/>
              <w:pageBreakBefore w:val="0"/>
              <w:numPr>
                <w:ilvl w:val="0"/>
                <w:numId w:val="0"/>
              </w:numPr>
              <w:kinsoku/>
              <w:wordWrap/>
              <w:overflowPunct/>
              <w:topLinePunct w:val="0"/>
              <w:autoSpaceDE/>
              <w:autoSpaceDN/>
              <w:bidi w:val="0"/>
              <w:adjustRightInd w:val="0"/>
              <w:spacing w:line="46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维修人员接到维修电话后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0分钟响应，一般故障在2小时内修复完毕，重大故障</w:t>
            </w:r>
            <w:r>
              <w:rPr>
                <w:rStyle w:val="971"/>
                <w:rFonts w:hint="eastAsia" w:ascii="仿宋" w:hAnsi="仿宋" w:eastAsia="仿宋" w:cs="仿宋"/>
                <w:color w:val="auto"/>
                <w:sz w:val="24"/>
                <w:szCs w:val="24"/>
              </w:rPr>
              <w:t>修复时间不超过12小时。</w:t>
            </w:r>
          </w:p>
          <w:p w14:paraId="1A112CD4">
            <w:pPr>
              <w:pStyle w:val="4"/>
              <w:keepNext w:val="0"/>
              <w:keepLines w:val="0"/>
              <w:pageBreakBefore w:val="0"/>
              <w:numPr>
                <w:ilvl w:val="0"/>
                <w:numId w:val="0"/>
              </w:numPr>
              <w:kinsoku/>
              <w:wordWrap/>
              <w:overflowPunct/>
              <w:topLinePunct w:val="0"/>
              <w:autoSpaceDE/>
              <w:autoSpaceDN/>
              <w:bidi w:val="0"/>
              <w:adjustRightInd w:val="0"/>
              <w:spacing w:line="46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维修点需提供足够的备件以适应维修需求。</w:t>
            </w:r>
          </w:p>
        </w:tc>
      </w:tr>
      <w:tr w14:paraId="33C62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tcPr>
          <w:p w14:paraId="1C6F35D7">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备品备件及耗材等要求</w:t>
            </w:r>
          </w:p>
        </w:tc>
        <w:tc>
          <w:tcPr>
            <w:tcW w:w="7802" w:type="dxa"/>
            <w:tcBorders>
              <w:top w:val="single" w:color="auto" w:sz="4" w:space="0"/>
              <w:left w:val="single" w:color="auto" w:sz="4" w:space="0"/>
              <w:bottom w:val="single" w:color="auto" w:sz="4" w:space="0"/>
              <w:right w:val="single" w:color="auto" w:sz="4" w:space="0"/>
            </w:tcBorders>
          </w:tcPr>
          <w:p w14:paraId="56CCF276">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投标时标明质保期后5年备品备件及耗材的价格，并提供电梯质保后5年的每台电梯的小包和大包维修费，但不计入投标总价。</w:t>
            </w:r>
          </w:p>
        </w:tc>
      </w:tr>
      <w:tr w14:paraId="68C15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57BBC45C">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技术培训</w:t>
            </w:r>
          </w:p>
        </w:tc>
        <w:tc>
          <w:tcPr>
            <w:tcW w:w="7802" w:type="dxa"/>
            <w:tcBorders>
              <w:top w:val="single" w:color="auto" w:sz="4" w:space="0"/>
              <w:left w:val="single" w:color="auto" w:sz="4" w:space="0"/>
              <w:bottom w:val="single" w:color="auto" w:sz="4" w:space="0"/>
              <w:right w:val="single" w:color="auto" w:sz="4" w:space="0"/>
            </w:tcBorders>
            <w:vAlign w:val="center"/>
          </w:tcPr>
          <w:p w14:paraId="187935DC">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w:t>
            </w:r>
            <w:r>
              <w:rPr>
                <w:rFonts w:hint="eastAsia" w:ascii="仿宋" w:hAnsi="仿宋" w:eastAsia="仿宋" w:cs="仿宋"/>
                <w:sz w:val="24"/>
                <w:szCs w:val="24"/>
              </w:rPr>
              <w:t>须对</w:t>
            </w:r>
            <w:r>
              <w:rPr>
                <w:rFonts w:hint="eastAsia" w:ascii="仿宋" w:hAnsi="仿宋" w:eastAsia="仿宋" w:cs="仿宋"/>
                <w:sz w:val="24"/>
                <w:szCs w:val="24"/>
                <w:lang w:eastAsia="zh-CN"/>
              </w:rPr>
              <w:t>采购人</w:t>
            </w:r>
            <w:r>
              <w:rPr>
                <w:rFonts w:hint="eastAsia" w:ascii="仿宋" w:hAnsi="仿宋" w:eastAsia="仿宋" w:cs="仿宋"/>
                <w:sz w:val="24"/>
                <w:szCs w:val="24"/>
              </w:rPr>
              <w:t>的技术人员进行免费维修培训</w:t>
            </w:r>
            <w:r>
              <w:rPr>
                <w:rFonts w:hint="eastAsia" w:ascii="仿宋" w:hAnsi="仿宋" w:eastAsia="仿宋" w:cs="仿宋"/>
                <w:sz w:val="24"/>
                <w:szCs w:val="24"/>
                <w:lang w:eastAsia="zh-CN"/>
              </w:rPr>
              <w:t>，</w:t>
            </w:r>
            <w:r>
              <w:rPr>
                <w:rFonts w:hint="eastAsia" w:ascii="仿宋" w:hAnsi="仿宋" w:eastAsia="仿宋" w:cs="仿宋"/>
                <w:sz w:val="24"/>
                <w:szCs w:val="24"/>
              </w:rPr>
              <w:t>须在投标文件中提供详细的培训计划,包括培训内容、培训时间等。</w:t>
            </w:r>
          </w:p>
          <w:p w14:paraId="314396DB">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2.提供的负责培训的人员应具备同类工程经验。</w:t>
            </w:r>
          </w:p>
          <w:p w14:paraId="4BE8450F">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3.技术培训至少应包括下列内容：系统的原理、构成和功能的描述、常见故障的处理或排除、各系统部件（设备）的检查、调整和维护。</w:t>
            </w:r>
          </w:p>
        </w:tc>
      </w:tr>
      <w:tr w14:paraId="56245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0EC5ACC2">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交货和</w:t>
            </w:r>
          </w:p>
          <w:p w14:paraId="7083BB90">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完工</w:t>
            </w:r>
          </w:p>
        </w:tc>
        <w:tc>
          <w:tcPr>
            <w:tcW w:w="7802" w:type="dxa"/>
            <w:tcBorders>
              <w:top w:val="single" w:color="auto" w:sz="4" w:space="0"/>
              <w:left w:val="single" w:color="auto" w:sz="4" w:space="0"/>
              <w:bottom w:val="single" w:color="auto" w:sz="4" w:space="0"/>
              <w:right w:val="single" w:color="auto" w:sz="4" w:space="0"/>
            </w:tcBorders>
            <w:vAlign w:val="center"/>
          </w:tcPr>
          <w:p w14:paraId="593763AC">
            <w:pPr>
              <w:pStyle w:val="4"/>
              <w:keepNext w:val="0"/>
              <w:keepLines w:val="0"/>
              <w:pageBreakBefore w:val="0"/>
              <w:numPr>
                <w:ilvl w:val="0"/>
                <w:numId w:val="0"/>
              </w:numPr>
              <w:kinsoku/>
              <w:wordWrap/>
              <w:overflowPunct/>
              <w:topLinePunct w:val="0"/>
              <w:autoSpaceDE/>
              <w:autoSpaceDN/>
              <w:bidi w:val="0"/>
              <w:adjustRightInd w:val="0"/>
              <w:spacing w:line="460" w:lineRule="exact"/>
              <w:ind w:left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合同签订、接到业主单位供货通知后30天内送至施工现场（根据工程进展供货、安装、调试，具体日期以采购人发出的交货通知单为准）</w:t>
            </w:r>
            <w:r>
              <w:rPr>
                <w:rFonts w:hint="eastAsia" w:ascii="仿宋" w:hAnsi="仿宋" w:eastAsia="仿宋" w:cs="仿宋"/>
                <w:sz w:val="24"/>
                <w:szCs w:val="24"/>
                <w:lang w:eastAsia="zh-CN"/>
              </w:rPr>
              <w:t>。</w:t>
            </w:r>
          </w:p>
          <w:p w14:paraId="0C626813">
            <w:pPr>
              <w:pStyle w:val="4"/>
              <w:keepNext w:val="0"/>
              <w:keepLines w:val="0"/>
              <w:pageBreakBefore w:val="0"/>
              <w:numPr>
                <w:ilvl w:val="0"/>
                <w:numId w:val="0"/>
              </w:numPr>
              <w:kinsoku/>
              <w:wordWrap/>
              <w:overflowPunct/>
              <w:topLinePunct w:val="0"/>
              <w:autoSpaceDE/>
              <w:autoSpaceDN/>
              <w:bidi w:val="0"/>
              <w:adjustRightInd w:val="0"/>
              <w:spacing w:line="460" w:lineRule="exact"/>
              <w:ind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中标人负责运至现场安装调试，在整个设备安装调试验收合格前的所有设备材料的运输、保管、保险均由中标人负责</w:t>
            </w:r>
            <w:r>
              <w:rPr>
                <w:rFonts w:hint="eastAsia" w:ascii="仿宋" w:hAnsi="仿宋" w:eastAsia="仿宋" w:cs="仿宋"/>
                <w:sz w:val="24"/>
                <w:szCs w:val="24"/>
                <w:lang w:eastAsia="zh-CN"/>
              </w:rPr>
              <w:t>，</w:t>
            </w:r>
            <w:r>
              <w:rPr>
                <w:rFonts w:hint="eastAsia" w:ascii="仿宋" w:hAnsi="仿宋" w:eastAsia="仿宋" w:cs="仿宋"/>
                <w:sz w:val="24"/>
                <w:szCs w:val="24"/>
              </w:rPr>
              <w:t>具体应配合现场工程施工进度。</w:t>
            </w:r>
          </w:p>
        </w:tc>
      </w:tr>
      <w:tr w14:paraId="41666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6245C733">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付款条件</w:t>
            </w:r>
          </w:p>
        </w:tc>
        <w:tc>
          <w:tcPr>
            <w:tcW w:w="7802" w:type="dxa"/>
            <w:tcBorders>
              <w:top w:val="single" w:color="auto" w:sz="4" w:space="0"/>
              <w:left w:val="single" w:color="auto" w:sz="4" w:space="0"/>
              <w:bottom w:val="single" w:color="auto" w:sz="4" w:space="0"/>
              <w:right w:val="single" w:color="auto" w:sz="4" w:space="0"/>
            </w:tcBorders>
            <w:vAlign w:val="center"/>
          </w:tcPr>
          <w:p w14:paraId="7D3E0489">
            <w:pPr>
              <w:pStyle w:val="4"/>
              <w:keepNext w:val="0"/>
              <w:keepLines w:val="0"/>
              <w:pageBreakBefore w:val="0"/>
              <w:widowControl/>
              <w:kinsoku/>
              <w:wordWrap/>
              <w:overflowPunct/>
              <w:topLinePunct w:val="0"/>
              <w:autoSpaceDE/>
              <w:autoSpaceDN/>
              <w:bidi w:val="0"/>
              <w:adjustRightInd w:val="0"/>
              <w:spacing w:line="460" w:lineRule="exact"/>
              <w:ind w:left="0" w:leftChars="0" w:firstLine="0" w:firstLineChars="0"/>
              <w:jc w:val="left"/>
              <w:textAlignment w:val="auto"/>
              <w:rPr>
                <w:rStyle w:val="971"/>
                <w:rFonts w:hint="eastAsia" w:ascii="仿宋" w:hAnsi="仿宋" w:eastAsia="仿宋" w:cs="仿宋"/>
                <w:color w:val="auto"/>
                <w:sz w:val="24"/>
                <w:szCs w:val="24"/>
              </w:rPr>
            </w:pPr>
            <w:r>
              <w:rPr>
                <w:rFonts w:hint="eastAsia" w:ascii="仿宋" w:hAnsi="仿宋" w:eastAsia="仿宋" w:cs="仿宋"/>
                <w:snapToGrid/>
                <w:color w:val="auto"/>
                <w:kern w:val="2"/>
                <w:sz w:val="24"/>
                <w:szCs w:val="24"/>
                <w:lang w:val="en-US" w:eastAsia="zh-CN" w:bidi="ar-SA"/>
              </w:rPr>
              <w:t>合同签订之日起7个工作日内支付合同款的10%，接采购人通知排产时支付合同款的30%，设备全部到货经验收合格后7个工作日内支付至合同款的80%，安装完成经有关部门验收合格后支付至合同款的95%，余款无质量问题于质保期满后7个工作日内付清（不计息）。</w:t>
            </w:r>
          </w:p>
        </w:tc>
      </w:tr>
      <w:tr w14:paraId="3A289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6A241A14">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7802" w:type="dxa"/>
            <w:tcBorders>
              <w:top w:val="single" w:color="auto" w:sz="4" w:space="0"/>
              <w:left w:val="single" w:color="auto" w:sz="4" w:space="0"/>
              <w:bottom w:val="single" w:color="auto" w:sz="4" w:space="0"/>
              <w:right w:val="single" w:color="auto" w:sz="4" w:space="0"/>
            </w:tcBorders>
            <w:vAlign w:val="center"/>
          </w:tcPr>
          <w:p w14:paraId="02D3976C">
            <w:pPr>
              <w:pStyle w:val="4"/>
              <w:keepNext w:val="0"/>
              <w:keepLines w:val="0"/>
              <w:pageBreakBefore w:val="0"/>
              <w:kinsoku/>
              <w:wordWrap/>
              <w:overflowPunct/>
              <w:topLinePunct w:val="0"/>
              <w:autoSpaceDE/>
              <w:autoSpaceDN/>
              <w:bidi w:val="0"/>
              <w:adjustRightInd w:val="0"/>
              <w:spacing w:line="46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投标报价是履行合同的最终价格，即完成本项目服务内容和要求所产生的所有费用，包括但不限于搬运、货款</w:t>
            </w:r>
            <w:r>
              <w:rPr>
                <w:rFonts w:hint="eastAsia" w:ascii="仿宋" w:hAnsi="仿宋" w:eastAsia="仿宋" w:cs="仿宋"/>
                <w:b w:val="0"/>
                <w:bCs w:val="0"/>
                <w:color w:val="auto"/>
                <w:sz w:val="24"/>
                <w:szCs w:val="24"/>
                <w:lang w:val="en-US" w:eastAsia="zh-CN"/>
              </w:rPr>
              <w:t>、旧电梯拆除、总包服务费、</w:t>
            </w:r>
            <w:r>
              <w:rPr>
                <w:rFonts w:hint="eastAsia" w:ascii="仿宋" w:hAnsi="仿宋" w:eastAsia="仿宋" w:cs="仿宋"/>
                <w:color w:val="auto"/>
                <w:sz w:val="24"/>
                <w:szCs w:val="24"/>
                <w:lang w:val="en-US" w:eastAsia="zh-CN"/>
              </w:rPr>
              <w:t>备品备件费、专用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tc>
      </w:tr>
      <w:tr w14:paraId="4723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254BFC8C">
            <w:pPr>
              <w:pStyle w:val="4"/>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履约保证金</w:t>
            </w:r>
          </w:p>
        </w:tc>
        <w:tc>
          <w:tcPr>
            <w:tcW w:w="7802" w:type="dxa"/>
            <w:tcBorders>
              <w:top w:val="single" w:color="auto" w:sz="4" w:space="0"/>
              <w:left w:val="single" w:color="auto" w:sz="4" w:space="0"/>
              <w:bottom w:val="single" w:color="auto" w:sz="4" w:space="0"/>
              <w:right w:val="single" w:color="auto" w:sz="4" w:space="0"/>
            </w:tcBorders>
            <w:vAlign w:val="center"/>
          </w:tcPr>
          <w:p w14:paraId="0A8666F6">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Style w:val="971"/>
                <w:rFonts w:hint="eastAsia" w:ascii="仿宋" w:hAnsi="仿宋" w:eastAsia="仿宋" w:cs="仿宋"/>
                <w:sz w:val="24"/>
                <w:szCs w:val="24"/>
              </w:rPr>
            </w:pPr>
            <w:r>
              <w:rPr>
                <w:rFonts w:hint="eastAsia" w:ascii="仿宋" w:hAnsi="仿宋" w:eastAsia="仿宋" w:cs="仿宋"/>
                <w:bCs/>
                <w:sz w:val="24"/>
                <w:szCs w:val="24"/>
              </w:rPr>
              <w:t>合同签订前，由中标单位支付采购单位合同总价1%的履约保证金，在验收合格后无相关违约及安全责任等情形后退还（不计息）</w:t>
            </w:r>
            <w:r>
              <w:rPr>
                <w:rStyle w:val="971"/>
                <w:rFonts w:hint="eastAsia" w:ascii="仿宋" w:hAnsi="仿宋" w:eastAsia="仿宋" w:cs="仿宋"/>
                <w:sz w:val="24"/>
                <w:szCs w:val="24"/>
              </w:rPr>
              <w:t>。</w:t>
            </w:r>
          </w:p>
          <w:p w14:paraId="2706D08F">
            <w:pPr>
              <w:pStyle w:val="4"/>
              <w:keepNext w:val="0"/>
              <w:keepLines w:val="0"/>
              <w:pageBreakBefore w:val="0"/>
              <w:kinsoku/>
              <w:wordWrap/>
              <w:overflowPunct/>
              <w:topLinePunct w:val="0"/>
              <w:autoSpaceDE/>
              <w:autoSpaceDN/>
              <w:bidi w:val="0"/>
              <w:adjustRightInd w:val="0"/>
              <w:spacing w:line="460" w:lineRule="exact"/>
              <w:ind w:left="0" w:leftChars="0" w:firstLine="0" w:firstLineChars="0"/>
              <w:jc w:val="left"/>
              <w:textAlignment w:val="auto"/>
              <w:rPr>
                <w:rStyle w:val="971"/>
                <w:rFonts w:hint="eastAsia" w:ascii="仿宋" w:hAnsi="仿宋" w:eastAsia="仿宋" w:cs="仿宋"/>
                <w:sz w:val="24"/>
                <w:szCs w:val="24"/>
              </w:rPr>
            </w:pPr>
            <w:r>
              <w:rPr>
                <w:rStyle w:val="971"/>
                <w:rFonts w:hint="eastAsia" w:ascii="仿宋" w:hAnsi="仿宋" w:eastAsia="仿宋" w:cs="仿宋"/>
                <w:sz w:val="24"/>
                <w:szCs w:val="24"/>
              </w:rPr>
              <w:t>履约保证金支付方式：网上银行、电汇、汇票或</w:t>
            </w:r>
            <w:r>
              <w:rPr>
                <w:rStyle w:val="971"/>
                <w:rFonts w:hint="eastAsia" w:ascii="仿宋" w:hAnsi="仿宋" w:eastAsia="仿宋" w:cs="仿宋"/>
                <w:sz w:val="24"/>
                <w:szCs w:val="24"/>
                <w:lang w:eastAsia="zh-CN"/>
              </w:rPr>
              <w:t>转账</w:t>
            </w:r>
            <w:r>
              <w:rPr>
                <w:rStyle w:val="971"/>
                <w:rFonts w:hint="eastAsia" w:ascii="仿宋" w:hAnsi="仿宋" w:eastAsia="仿宋" w:cs="仿宋"/>
                <w:sz w:val="24"/>
                <w:szCs w:val="24"/>
              </w:rPr>
              <w:t>形式。</w:t>
            </w:r>
          </w:p>
        </w:tc>
      </w:tr>
      <w:tr w14:paraId="7E913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6C70A72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差额</w:t>
            </w:r>
          </w:p>
          <w:p w14:paraId="5EFFA14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保证金</w:t>
            </w:r>
          </w:p>
          <w:p w14:paraId="4AE5C85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(如发生)</w:t>
            </w:r>
          </w:p>
        </w:tc>
        <w:tc>
          <w:tcPr>
            <w:tcW w:w="7802" w:type="dxa"/>
            <w:tcBorders>
              <w:top w:val="single" w:color="auto" w:sz="4" w:space="0"/>
              <w:left w:val="single" w:color="auto" w:sz="4" w:space="0"/>
              <w:bottom w:val="single" w:color="auto" w:sz="4" w:space="0"/>
              <w:right w:val="single" w:color="auto" w:sz="4" w:space="0"/>
            </w:tcBorders>
            <w:shd w:val="clear" w:color="auto" w:fill="auto"/>
            <w:vAlign w:val="center"/>
          </w:tcPr>
          <w:p w14:paraId="3A9ACD00">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若中标人低于该风险控制价中标的，在中标后5个工作日内，中标人必须额外补交中标价净值与风险控制价之差额，中标人不提交的视为放弃中标，采购人将重新组织招标，相关损失由放弃中标的中标单位承担（从投标保证金中扣除）。差额保证金待质保期满无相关违约及安全责任等情形后30日内无息退还。</w:t>
            </w:r>
          </w:p>
          <w:p w14:paraId="257E3B9C">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差额</w:t>
            </w:r>
            <w:r>
              <w:rPr>
                <w:rFonts w:hint="eastAsia" w:ascii="仿宋" w:hAnsi="仿宋" w:eastAsia="仿宋" w:cs="仿宋"/>
                <w:snapToGrid/>
                <w:color w:val="auto"/>
                <w:kern w:val="2"/>
                <w:sz w:val="24"/>
                <w:szCs w:val="24"/>
                <w:highlight w:val="none"/>
                <w:lang w:val="zh-CN" w:eastAsia="zh-CN" w:bidi="ar-SA"/>
              </w:rPr>
              <w:t>保证金的交付方式：以现金、电汇、转账方式交纳。</w:t>
            </w:r>
          </w:p>
        </w:tc>
      </w:tr>
      <w:tr w14:paraId="5A317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048A0146">
            <w:pPr>
              <w:keepNext w:val="0"/>
              <w:keepLines w:val="0"/>
              <w:pageBreakBefore w:val="0"/>
              <w:kinsoku/>
              <w:wordWrap/>
              <w:overflowPunct/>
              <w:topLinePunct w:val="0"/>
              <w:autoSpaceDE/>
              <w:autoSpaceDN/>
              <w:bidi w:val="0"/>
              <w:adjustRightInd w:val="0"/>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w:t>
            </w:r>
          </w:p>
        </w:tc>
        <w:tc>
          <w:tcPr>
            <w:tcW w:w="7802" w:type="dxa"/>
            <w:tcBorders>
              <w:top w:val="single" w:color="auto" w:sz="4" w:space="0"/>
              <w:left w:val="single" w:color="auto" w:sz="4" w:space="0"/>
              <w:bottom w:val="single" w:color="auto" w:sz="4" w:space="0"/>
              <w:right w:val="single" w:color="auto" w:sz="4" w:space="0"/>
            </w:tcBorders>
            <w:vAlign w:val="center"/>
          </w:tcPr>
          <w:p w14:paraId="191F94CF">
            <w:pPr>
              <w:keepNext w:val="0"/>
              <w:keepLines w:val="0"/>
              <w:pageBreakBefore w:val="0"/>
              <w:kinsoku/>
              <w:wordWrap/>
              <w:overflowPunct/>
              <w:topLinePunct w:val="0"/>
              <w:autoSpaceDE/>
              <w:autoSpaceDN/>
              <w:bidi w:val="0"/>
              <w:adjustRightInd w:val="0"/>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采购人有权力对中标货物在数量规格和尺寸上作微调，价格不变。</w:t>
            </w:r>
          </w:p>
        </w:tc>
      </w:tr>
      <w:tr w14:paraId="74DA3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219A72B0">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安全责任</w:t>
            </w:r>
          </w:p>
        </w:tc>
        <w:tc>
          <w:tcPr>
            <w:tcW w:w="7802" w:type="dxa"/>
            <w:tcBorders>
              <w:top w:val="single" w:color="auto" w:sz="4" w:space="0"/>
              <w:left w:val="single" w:color="auto" w:sz="4" w:space="0"/>
              <w:bottom w:val="single" w:color="auto" w:sz="4" w:space="0"/>
              <w:right w:val="single" w:color="auto" w:sz="4" w:space="0"/>
            </w:tcBorders>
            <w:shd w:val="clear" w:color="auto" w:fill="auto"/>
            <w:vAlign w:val="center"/>
          </w:tcPr>
          <w:p w14:paraId="278A7F09">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中标人在项目实施期间应严格遵守国家安全生产规范，及时给员工承保相关保险，杜绝安全事故的发生。如发生安全生产事故由中标人承担一切责任，与采购人无关。</w:t>
            </w:r>
          </w:p>
        </w:tc>
      </w:tr>
    </w:tbl>
    <w:p w14:paraId="1E59E8AB">
      <w:pPr>
        <w:pStyle w:val="2"/>
        <w:jc w:val="both"/>
        <w:rPr>
          <w:rFonts w:hint="eastAsia" w:ascii="仿宋" w:hAnsi="仿宋" w:eastAsia="仿宋" w:cs="仿宋"/>
          <w:lang w:val="en-US" w:eastAsia="zh-CN"/>
        </w:rPr>
        <w:sectPr>
          <w:headerReference r:id="rId11" w:type="default"/>
          <w:footerReference r:id="rId12" w:type="default"/>
          <w:pgSz w:w="11906" w:h="16838"/>
          <w:pgMar w:top="1417" w:right="1797" w:bottom="1417" w:left="1417" w:header="851" w:footer="851" w:gutter="0"/>
          <w:pgNumType w:fmt="decimal"/>
          <w:cols w:space="720" w:num="1"/>
          <w:docGrid w:linePitch="312" w:charSpace="0"/>
        </w:sectPr>
      </w:pPr>
    </w:p>
    <w:bookmarkEnd w:id="49"/>
    <w:p w14:paraId="00913145">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第四部分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拟签订的合同文本</w:t>
      </w:r>
    </w:p>
    <w:p w14:paraId="786DF60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4CEE055F">
      <w:pPr>
        <w:spacing w:line="480" w:lineRule="auto"/>
        <w:jc w:val="center"/>
        <w:rPr>
          <w:rFonts w:hint="eastAsia" w:ascii="仿宋" w:hAnsi="仿宋" w:eastAsia="仿宋" w:cs="仿宋"/>
          <w:b/>
          <w:color w:val="auto"/>
          <w:sz w:val="28"/>
          <w:szCs w:val="28"/>
        </w:rPr>
      </w:pPr>
    </w:p>
    <w:p w14:paraId="095F1AC4">
      <w:pPr>
        <w:pStyle w:val="6"/>
        <w:rPr>
          <w:rFonts w:hint="eastAsia" w:ascii="仿宋" w:hAnsi="仿宋" w:eastAsia="仿宋" w:cs="仿宋"/>
          <w:color w:val="auto"/>
        </w:rPr>
      </w:pPr>
    </w:p>
    <w:p w14:paraId="7109C192">
      <w:pPr>
        <w:spacing w:line="480" w:lineRule="auto"/>
        <w:jc w:val="center"/>
        <w:rPr>
          <w:rFonts w:hint="eastAsia" w:ascii="仿宋" w:hAnsi="仿宋" w:eastAsia="仿宋" w:cs="仿宋"/>
          <w:b/>
          <w:color w:val="auto"/>
          <w:sz w:val="24"/>
        </w:rPr>
      </w:pPr>
    </w:p>
    <w:p w14:paraId="756F34B6">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采购合同参考范本</w:t>
      </w:r>
    </w:p>
    <w:p w14:paraId="673E8A25">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14:paraId="6D5A88C1">
      <w:pPr>
        <w:pStyle w:val="704"/>
        <w:ind w:left="0" w:leftChars="0" w:firstLine="0" w:firstLineChars="0"/>
        <w:rPr>
          <w:rFonts w:hint="eastAsia" w:ascii="仿宋" w:hAnsi="仿宋" w:eastAsia="仿宋" w:cs="仿宋"/>
          <w:color w:val="auto"/>
          <w:szCs w:val="24"/>
        </w:rPr>
      </w:pPr>
    </w:p>
    <w:p w14:paraId="5050A564">
      <w:pPr>
        <w:pStyle w:val="704"/>
        <w:jc w:val="center"/>
        <w:rPr>
          <w:rFonts w:hint="eastAsia" w:ascii="仿宋" w:hAnsi="仿宋" w:eastAsia="仿宋" w:cs="仿宋"/>
          <w:color w:val="auto"/>
          <w:szCs w:val="24"/>
        </w:rPr>
      </w:pPr>
    </w:p>
    <w:p w14:paraId="08B996D9">
      <w:pPr>
        <w:pStyle w:val="704"/>
        <w:keepNext w:val="0"/>
        <w:keepLines w:val="0"/>
        <w:pageBreakBefore w:val="0"/>
        <w:widowControl w:val="0"/>
        <w:kinsoku/>
        <w:wordWrap/>
        <w:overflowPunct/>
        <w:topLinePunct w:val="0"/>
        <w:autoSpaceDE w:val="0"/>
        <w:autoSpaceDN w:val="0"/>
        <w:bidi w:val="0"/>
        <w:adjustRightInd w:val="0"/>
        <w:snapToGrid w:val="0"/>
        <w:spacing w:after="0"/>
        <w:ind w:left="0" w:leftChars="0" w:firstLine="0" w:firstLineChars="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第一部分</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合同书</w:t>
      </w:r>
    </w:p>
    <w:p w14:paraId="7C683E3D">
      <w:pPr>
        <w:pStyle w:val="704"/>
        <w:rPr>
          <w:rFonts w:hint="eastAsia" w:ascii="仿宋" w:hAnsi="仿宋" w:eastAsia="仿宋" w:cs="仿宋"/>
          <w:color w:val="auto"/>
          <w:szCs w:val="24"/>
        </w:rPr>
      </w:pPr>
    </w:p>
    <w:p w14:paraId="239D2D03">
      <w:pPr>
        <w:pStyle w:val="704"/>
        <w:rPr>
          <w:rFonts w:hint="eastAsia" w:ascii="仿宋" w:hAnsi="仿宋" w:eastAsia="仿宋" w:cs="仿宋"/>
          <w:color w:val="auto"/>
          <w:szCs w:val="24"/>
        </w:rPr>
      </w:pPr>
    </w:p>
    <w:p w14:paraId="293D191D">
      <w:pPr>
        <w:spacing w:before="120" w:line="22" w:lineRule="atLeast"/>
        <w:ind w:left="96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2552EEE8">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1440" w:firstLineChars="600"/>
        <w:textAlignment w:val="auto"/>
        <w:rPr>
          <w:rFonts w:hint="eastAsia" w:ascii="仿宋" w:hAnsi="仿宋" w:eastAsia="仿宋" w:cs="仿宋"/>
          <w:color w:val="auto"/>
          <w:sz w:val="24"/>
          <w:szCs w:val="24"/>
        </w:rPr>
      </w:pPr>
    </w:p>
    <w:p w14:paraId="778EEE4F">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1440" w:firstLineChars="60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szCs w:val="24"/>
        </w:rPr>
        <w:t>甲方：</w:t>
      </w:r>
    </w:p>
    <w:p w14:paraId="5FF71231">
      <w:pPr>
        <w:spacing w:before="120" w:line="22" w:lineRule="atLeast"/>
        <w:ind w:left="960" w:firstLine="480" w:firstLineChars="200"/>
        <w:rPr>
          <w:rFonts w:hint="eastAsia" w:ascii="仿宋" w:hAnsi="仿宋" w:eastAsia="仿宋" w:cs="仿宋"/>
          <w:color w:val="auto"/>
          <w:sz w:val="24"/>
          <w:szCs w:val="24"/>
          <w:u w:val="single"/>
        </w:rPr>
      </w:pPr>
    </w:p>
    <w:p w14:paraId="25641408">
      <w:pPr>
        <w:spacing w:before="120" w:line="22" w:lineRule="atLeast"/>
        <w:ind w:left="96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p>
    <w:p w14:paraId="7C67110B">
      <w:pPr>
        <w:spacing w:before="120" w:line="22" w:lineRule="atLeast"/>
        <w:rPr>
          <w:rFonts w:hint="eastAsia" w:ascii="仿宋" w:hAnsi="仿宋" w:eastAsia="仿宋" w:cs="仿宋"/>
          <w:color w:val="auto"/>
          <w:sz w:val="24"/>
          <w:szCs w:val="24"/>
        </w:rPr>
      </w:pPr>
    </w:p>
    <w:p w14:paraId="7642BA9C">
      <w:pPr>
        <w:spacing w:before="120" w:line="22" w:lineRule="atLeast"/>
        <w:ind w:firstLine="1440" w:firstLineChars="600"/>
        <w:rPr>
          <w:rFonts w:hint="eastAsia" w:ascii="仿宋" w:hAnsi="仿宋" w:eastAsia="仿宋" w:cs="仿宋"/>
          <w:color w:val="auto"/>
          <w:sz w:val="24"/>
          <w:szCs w:val="24"/>
          <w:u w:val="single"/>
        </w:rPr>
      </w:pPr>
      <w:r>
        <w:rPr>
          <w:rFonts w:hint="eastAsia" w:ascii="仿宋" w:hAnsi="仿宋" w:eastAsia="仿宋" w:cs="仿宋"/>
          <w:color w:val="auto"/>
          <w:sz w:val="24"/>
          <w:szCs w:val="24"/>
        </w:rPr>
        <w:t>签订地：</w:t>
      </w:r>
    </w:p>
    <w:p w14:paraId="2F510CC6">
      <w:pPr>
        <w:spacing w:before="120" w:line="22" w:lineRule="atLeast"/>
        <w:rPr>
          <w:rFonts w:hint="eastAsia" w:ascii="仿宋" w:hAnsi="仿宋" w:eastAsia="仿宋" w:cs="仿宋"/>
          <w:color w:val="auto"/>
          <w:sz w:val="24"/>
          <w:szCs w:val="24"/>
        </w:rPr>
      </w:pPr>
    </w:p>
    <w:p w14:paraId="34622946">
      <w:pPr>
        <w:spacing w:before="120" w:line="22" w:lineRule="atLeast"/>
        <w:ind w:firstLine="1440" w:firstLineChars="600"/>
        <w:rPr>
          <w:rFonts w:hint="eastAsia" w:ascii="仿宋" w:hAnsi="仿宋" w:eastAsia="仿宋" w:cs="仿宋"/>
          <w:color w:val="auto"/>
          <w:sz w:val="24"/>
          <w:szCs w:val="24"/>
          <w:u w:val="single"/>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062B3663">
      <w:pPr>
        <w:widowControl/>
        <w:jc w:val="left"/>
        <w:rPr>
          <w:rFonts w:hint="eastAsia" w:ascii="仿宋" w:hAnsi="仿宋" w:eastAsia="仿宋" w:cs="仿宋"/>
          <w:color w:val="auto"/>
          <w:kern w:val="0"/>
          <w:sz w:val="24"/>
          <w:szCs w:val="24"/>
        </w:rPr>
        <w:sectPr>
          <w:footerReference r:id="rId13" w:type="default"/>
          <w:pgSz w:w="11907" w:h="16840"/>
          <w:pgMar w:top="1814" w:right="1474" w:bottom="1814" w:left="1474" w:header="851" w:footer="851" w:gutter="0"/>
          <w:pgNumType w:fmt="decimal"/>
          <w:cols w:space="720" w:num="1"/>
        </w:sectPr>
      </w:pPr>
    </w:p>
    <w:p w14:paraId="2A49A1F1">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甲方：</w:t>
      </w:r>
      <w:r>
        <w:rPr>
          <w:rFonts w:hint="eastAsia" w:ascii="仿宋" w:hAnsi="仿宋" w:eastAsia="仿宋" w:cs="仿宋"/>
          <w:color w:val="auto"/>
          <w:spacing w:val="0"/>
          <w:kern w:val="0"/>
          <w:sz w:val="24"/>
          <w:szCs w:val="24"/>
          <w:u w:val="single"/>
          <w:lang w:eastAsia="zh-CN"/>
        </w:rPr>
        <w:t>嵊州市城市建设投资发展集团有限公司</w:t>
      </w:r>
      <w:r>
        <w:rPr>
          <w:rFonts w:hint="eastAsia" w:ascii="仿宋" w:hAnsi="仿宋" w:eastAsia="仿宋" w:cs="仿宋"/>
          <w:b w:val="0"/>
          <w:bCs w:val="0"/>
          <w:color w:val="auto"/>
          <w:kern w:val="0"/>
          <w:sz w:val="24"/>
          <w:szCs w:val="24"/>
          <w:u w:val="single"/>
        </w:rPr>
        <w:t>  </w:t>
      </w:r>
    </w:p>
    <w:p w14:paraId="7CBC96D3">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rPr>
        <w:t>乙方：</w:t>
      </w:r>
      <w:r>
        <w:rPr>
          <w:rFonts w:hint="eastAsia" w:ascii="仿宋" w:hAnsi="仿宋" w:eastAsia="仿宋" w:cs="仿宋"/>
          <w:b w:val="0"/>
          <w:bCs w:val="0"/>
          <w:color w:val="auto"/>
          <w:kern w:val="0"/>
          <w:sz w:val="24"/>
          <w:szCs w:val="24"/>
          <w:u w:val="single"/>
        </w:rPr>
        <w:t>（</w:t>
      </w:r>
      <w:r>
        <w:rPr>
          <w:rFonts w:hint="eastAsia" w:ascii="仿宋" w:hAnsi="仿宋" w:eastAsia="仿宋" w:cs="仿宋"/>
          <w:b w:val="0"/>
          <w:bCs w:val="0"/>
          <w:color w:val="auto"/>
          <w:kern w:val="0"/>
          <w:sz w:val="24"/>
          <w:szCs w:val="24"/>
          <w:u w:val="single"/>
          <w:lang w:val="en-US" w:eastAsia="zh-CN"/>
        </w:rPr>
        <w:t>中标</w:t>
      </w:r>
      <w:r>
        <w:rPr>
          <w:rFonts w:hint="eastAsia" w:ascii="仿宋" w:hAnsi="仿宋" w:eastAsia="仿宋" w:cs="仿宋"/>
          <w:b w:val="0"/>
          <w:bCs w:val="0"/>
          <w:color w:val="auto"/>
          <w:kern w:val="0"/>
          <w:sz w:val="24"/>
          <w:szCs w:val="24"/>
          <w:u w:val="single"/>
          <w:lang w:eastAsia="zh-CN"/>
        </w:rPr>
        <w:t>供应商</w:t>
      </w:r>
      <w:r>
        <w:rPr>
          <w:rFonts w:hint="eastAsia" w:ascii="仿宋" w:hAnsi="仿宋" w:eastAsia="仿宋" w:cs="仿宋"/>
          <w:b w:val="0"/>
          <w:bCs w:val="0"/>
          <w:color w:val="auto"/>
          <w:kern w:val="0"/>
          <w:sz w:val="24"/>
          <w:szCs w:val="24"/>
          <w:u w:val="single"/>
        </w:rPr>
        <w:t>）     </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w:t>
      </w:r>
      <w:r>
        <w:rPr>
          <w:rFonts w:hint="eastAsia" w:ascii="仿宋" w:hAnsi="仿宋" w:eastAsia="仿宋" w:cs="仿宋"/>
          <w:b w:val="0"/>
          <w:bCs w:val="0"/>
          <w:color w:val="auto"/>
          <w:kern w:val="0"/>
          <w:sz w:val="24"/>
          <w:szCs w:val="24"/>
          <w:u w:val="single"/>
          <w:lang w:val="en-US" w:eastAsia="zh-CN"/>
        </w:rPr>
        <w:t xml:space="preserve">                  </w:t>
      </w:r>
    </w:p>
    <w:p w14:paraId="3C1FECA1">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0"/>
          <w:kern w:val="0"/>
          <w:sz w:val="24"/>
          <w:szCs w:val="24"/>
          <w:u w:val="single"/>
          <w:lang w:eastAsia="zh-CN"/>
        </w:rPr>
        <w:t>嵊州市城市建设投资发展集团有限公司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（中标或者成交供应商名称）   </w:t>
      </w:r>
      <w:r>
        <w:rPr>
          <w:rFonts w:hint="eastAsia" w:ascii="仿宋" w:hAnsi="仿宋" w:eastAsia="仿宋" w:cs="仿宋"/>
          <w:color w:val="auto"/>
          <w:sz w:val="24"/>
          <w:szCs w:val="24"/>
          <w:lang w:val="zh-CN"/>
        </w:rPr>
        <w:t>(以下简称：乙方)协商一致，约定以下合同</w:t>
      </w:r>
      <w:r>
        <w:rPr>
          <w:rFonts w:hint="eastAsia" w:ascii="仿宋" w:hAnsi="仿宋" w:eastAsia="仿宋" w:cs="仿宋"/>
          <w:color w:val="auto"/>
          <w:sz w:val="24"/>
          <w:szCs w:val="24"/>
        </w:rPr>
        <w:t>条款，以兹共同遵守、全面履行。</w:t>
      </w:r>
    </w:p>
    <w:p w14:paraId="032750FD">
      <w:pPr>
        <w:keepNext w:val="0"/>
        <w:keepLines w:val="0"/>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rPr>
      </w:pPr>
      <w:bookmarkStart w:id="51" w:name="_Toc3029"/>
      <w:bookmarkStart w:id="52" w:name="_Toc2232"/>
      <w:bookmarkStart w:id="53" w:name="_Toc24059"/>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合同组成部分</w:t>
      </w:r>
      <w:bookmarkEnd w:id="51"/>
      <w:bookmarkEnd w:id="52"/>
      <w:bookmarkEnd w:id="53"/>
    </w:p>
    <w:p w14:paraId="28EB3235">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7F237A">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1.本合同及其补充合同、变更协议；</w:t>
      </w:r>
    </w:p>
    <w:p w14:paraId="39E388E7">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中标或者成交通知书；</w:t>
      </w:r>
    </w:p>
    <w:p w14:paraId="46F474E4">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投标或者响应文件（含澄清或者说明文件）；</w:t>
      </w:r>
    </w:p>
    <w:p w14:paraId="2DFB0640">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采购文件（含澄清或者修改文件）；</w:t>
      </w:r>
    </w:p>
    <w:p w14:paraId="1274D2D0">
      <w:pPr>
        <w:keepNext w:val="0"/>
        <w:keepLines w:val="0"/>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其他相关采购文件。</w:t>
      </w:r>
    </w:p>
    <w:p w14:paraId="44337447">
      <w:pPr>
        <w:keepNext w:val="0"/>
        <w:keepLines w:val="0"/>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lang w:val="en-US" w:eastAsia="zh-CN"/>
        </w:rPr>
      </w:pPr>
      <w:bookmarkStart w:id="54" w:name="_Toc27126"/>
      <w:bookmarkStart w:id="55" w:name="_Toc24300"/>
      <w:bookmarkStart w:id="56" w:name="_Toc21295"/>
      <w:r>
        <w:rPr>
          <w:rFonts w:hint="eastAsia" w:ascii="仿宋" w:hAnsi="仿宋" w:eastAsia="仿宋" w:cs="仿宋"/>
          <w:b/>
          <w:color w:val="auto"/>
          <w:sz w:val="24"/>
          <w:szCs w:val="24"/>
          <w:lang w:val="en-US" w:eastAsia="zh-CN"/>
        </w:rPr>
        <w:t>二、</w:t>
      </w:r>
      <w:bookmarkEnd w:id="54"/>
      <w:bookmarkEnd w:id="55"/>
      <w:bookmarkEnd w:id="56"/>
      <w:r>
        <w:rPr>
          <w:rFonts w:hint="eastAsia" w:ascii="仿宋" w:hAnsi="仿宋" w:eastAsia="仿宋" w:cs="仿宋"/>
          <w:b/>
          <w:color w:val="auto"/>
          <w:sz w:val="24"/>
          <w:szCs w:val="24"/>
          <w:lang w:val="en-US" w:eastAsia="zh-CN"/>
        </w:rPr>
        <w:t xml:space="preserve">采购产品清单及合同价格   </w:t>
      </w:r>
    </w:p>
    <w:tbl>
      <w:tblPr>
        <w:tblStyle w:val="6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78"/>
        <w:gridCol w:w="1467"/>
        <w:gridCol w:w="1485"/>
        <w:gridCol w:w="1365"/>
        <w:gridCol w:w="1263"/>
      </w:tblGrid>
      <w:tr w14:paraId="500B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24" w:type="dxa"/>
            <w:noWrap w:val="0"/>
            <w:vAlign w:val="center"/>
          </w:tcPr>
          <w:p w14:paraId="47D21E00">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1978" w:type="dxa"/>
            <w:noWrap w:val="0"/>
            <w:vAlign w:val="center"/>
          </w:tcPr>
          <w:p w14:paraId="197362FE">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货物名称</w:t>
            </w:r>
          </w:p>
        </w:tc>
        <w:tc>
          <w:tcPr>
            <w:tcW w:w="1467" w:type="dxa"/>
            <w:noWrap w:val="0"/>
            <w:vAlign w:val="center"/>
          </w:tcPr>
          <w:p w14:paraId="3CE85EF1">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产地/品牌</w:t>
            </w:r>
          </w:p>
        </w:tc>
        <w:tc>
          <w:tcPr>
            <w:tcW w:w="1485" w:type="dxa"/>
            <w:noWrap w:val="0"/>
            <w:vAlign w:val="center"/>
          </w:tcPr>
          <w:p w14:paraId="10E9D6C0">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规格型号</w:t>
            </w:r>
          </w:p>
        </w:tc>
        <w:tc>
          <w:tcPr>
            <w:tcW w:w="1365" w:type="dxa"/>
            <w:noWrap w:val="0"/>
            <w:vAlign w:val="center"/>
          </w:tcPr>
          <w:p w14:paraId="55C05343">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单价</w:t>
            </w:r>
          </w:p>
        </w:tc>
        <w:tc>
          <w:tcPr>
            <w:tcW w:w="1263" w:type="dxa"/>
            <w:noWrap w:val="0"/>
            <w:vAlign w:val="center"/>
          </w:tcPr>
          <w:p w14:paraId="431E167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备注</w:t>
            </w:r>
          </w:p>
        </w:tc>
      </w:tr>
      <w:tr w14:paraId="640D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6DAD9CD0">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1978" w:type="dxa"/>
            <w:noWrap w:val="0"/>
            <w:vAlign w:val="center"/>
          </w:tcPr>
          <w:p w14:paraId="284F6910">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0C25E9C2">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067141B7">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6700CBE3">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tcBorders>
              <w:bottom w:val="single" w:color="auto" w:sz="4" w:space="0"/>
            </w:tcBorders>
            <w:noWrap w:val="0"/>
            <w:vAlign w:val="center"/>
          </w:tcPr>
          <w:p w14:paraId="31E5456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r w14:paraId="01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12AA2485">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p>
        </w:tc>
        <w:tc>
          <w:tcPr>
            <w:tcW w:w="1978" w:type="dxa"/>
            <w:noWrap w:val="0"/>
            <w:vAlign w:val="center"/>
          </w:tcPr>
          <w:p w14:paraId="5F31A48F">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149FAFB1">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0E6662F5">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0C73C9F9">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noWrap w:val="0"/>
            <w:vAlign w:val="center"/>
          </w:tcPr>
          <w:p w14:paraId="34E318FE">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r w14:paraId="3019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4C857F3F">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w:t>
            </w:r>
          </w:p>
        </w:tc>
        <w:tc>
          <w:tcPr>
            <w:tcW w:w="1978" w:type="dxa"/>
            <w:noWrap w:val="0"/>
            <w:vAlign w:val="center"/>
          </w:tcPr>
          <w:p w14:paraId="5007F16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467" w:type="dxa"/>
            <w:noWrap w:val="0"/>
            <w:vAlign w:val="center"/>
          </w:tcPr>
          <w:p w14:paraId="1587655A">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485" w:type="dxa"/>
            <w:noWrap w:val="0"/>
            <w:vAlign w:val="center"/>
          </w:tcPr>
          <w:p w14:paraId="54F729E6">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仿宋" w:hAnsi="仿宋" w:eastAsia="仿宋" w:cs="仿宋"/>
                <w:color w:val="auto"/>
                <w:sz w:val="24"/>
                <w:szCs w:val="24"/>
                <w:highlight w:val="none"/>
                <w:shd w:val="clear" w:color="auto" w:fill="auto"/>
              </w:rPr>
            </w:pPr>
          </w:p>
        </w:tc>
        <w:tc>
          <w:tcPr>
            <w:tcW w:w="1365" w:type="dxa"/>
            <w:noWrap w:val="0"/>
            <w:vAlign w:val="center"/>
          </w:tcPr>
          <w:p w14:paraId="74216DB6">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c>
          <w:tcPr>
            <w:tcW w:w="1263" w:type="dxa"/>
            <w:noWrap w:val="0"/>
            <w:vAlign w:val="center"/>
          </w:tcPr>
          <w:p w14:paraId="2C9D6B9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color w:val="auto"/>
                <w:sz w:val="24"/>
                <w:szCs w:val="24"/>
                <w:highlight w:val="none"/>
                <w:shd w:val="clear" w:color="auto" w:fill="auto"/>
              </w:rPr>
            </w:pPr>
          </w:p>
        </w:tc>
      </w:tr>
    </w:tbl>
    <w:p w14:paraId="7E104464">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eastAsia" w:ascii="仿宋" w:hAnsi="仿宋" w:eastAsia="仿宋" w:cs="仿宋"/>
          <w:b/>
          <w:bCs/>
          <w:color w:val="auto"/>
          <w:kern w:val="0"/>
          <w:sz w:val="24"/>
          <w:highlight w:val="none"/>
        </w:rPr>
      </w:pPr>
      <w:bookmarkStart w:id="57" w:name="_Toc11108"/>
      <w:bookmarkStart w:id="58" w:name="_Toc8772"/>
      <w:bookmarkStart w:id="59" w:name="_Toc3625"/>
      <w:bookmarkStart w:id="60" w:name="_Toc31421"/>
      <w:bookmarkStart w:id="61" w:name="_Toc4760"/>
      <w:bookmarkStart w:id="62" w:name="_Toc1814"/>
      <w:bookmarkStart w:id="63" w:name="_Toc10340"/>
      <w:bookmarkStart w:id="64" w:name="_Toc22618"/>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、技术资料</w:t>
      </w:r>
    </w:p>
    <w:p w14:paraId="3A53E4A6">
      <w:pPr>
        <w:keepNext w:val="0"/>
        <w:keepLines w:val="0"/>
        <w:pageBreakBefore w:val="0"/>
        <w:kinsoku/>
        <w:wordWrap/>
        <w:overflowPunct/>
        <w:topLinePunct w:val="0"/>
        <w:autoSpaceDE/>
        <w:autoSpaceDN/>
        <w:bidi w:val="0"/>
        <w:spacing w:line="50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在试运行前二周，</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需提交包括控制、操作和维护手册一式六份，以便于</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和相关人员能预先对将要运行的设备有所了解。至少应包括下列基本内容：</w:t>
      </w:r>
    </w:p>
    <w:p w14:paraId="3DF3D61C">
      <w:pPr>
        <w:keepNext w:val="0"/>
        <w:keepLines w:val="0"/>
        <w:pageBreakBefore w:val="0"/>
        <w:kinsoku/>
        <w:wordWrap/>
        <w:overflowPunct/>
        <w:topLinePunct w:val="0"/>
        <w:autoSpaceDE/>
        <w:autoSpaceDN/>
        <w:bidi w:val="0"/>
        <w:spacing w:line="50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（1）所有设备规格和详细操作说明。</w:t>
      </w:r>
    </w:p>
    <w:p w14:paraId="75368587">
      <w:pPr>
        <w:keepNext w:val="0"/>
        <w:keepLines w:val="0"/>
        <w:pageBreakBefore w:val="0"/>
        <w:kinsoku/>
        <w:wordWrap/>
        <w:overflowPunct/>
        <w:topLinePunct w:val="0"/>
        <w:autoSpaceDE/>
        <w:autoSpaceDN/>
        <w:bidi w:val="0"/>
        <w:spacing w:line="50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（2）主要部件常见故障说明，说明书应包括备件清单、操作和维修方法。</w:t>
      </w:r>
    </w:p>
    <w:p w14:paraId="1BA81607">
      <w:pPr>
        <w:keepNext w:val="0"/>
        <w:keepLines w:val="0"/>
        <w:pageBreakBefore w:val="0"/>
        <w:kinsoku/>
        <w:wordWrap/>
        <w:overflowPunct/>
        <w:topLinePunct w:val="0"/>
        <w:autoSpaceDE/>
        <w:autoSpaceDN/>
        <w:bidi w:val="0"/>
        <w:spacing w:line="50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（3）例行维修保养项目和期限的建议。</w:t>
      </w:r>
    </w:p>
    <w:p w14:paraId="723EF54C">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（4）紧急安全措施的建议。</w:t>
      </w:r>
    </w:p>
    <w:p w14:paraId="3CBF7927">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（5）紧急维修中心电话号码、地址，维修人员的电话号码。</w:t>
      </w:r>
    </w:p>
    <w:p w14:paraId="45BD0C00">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（6）</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应于验收后向</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提供验收报告、技术文档的归纳、整理、提交，并提供完整的软、硬件技术资料。</w:t>
      </w:r>
    </w:p>
    <w:p w14:paraId="3BFC8D38">
      <w:pPr>
        <w:keepNext w:val="0"/>
        <w:keepLines w:val="0"/>
        <w:pageBreakBefore w:val="0"/>
        <w:widowControl/>
        <w:kinsoku/>
        <w:wordWrap/>
        <w:overflowPunct/>
        <w:topLinePunct w:val="0"/>
        <w:autoSpaceDE/>
        <w:autoSpaceDN/>
        <w:bidi w:val="0"/>
        <w:snapToGrid w:val="0"/>
        <w:spacing w:line="450" w:lineRule="exact"/>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四、质量保证</w:t>
      </w:r>
    </w:p>
    <w:p w14:paraId="7DD75B03">
      <w:pPr>
        <w:keepNext w:val="0"/>
        <w:keepLines w:val="0"/>
        <w:pageBreakBefore w:val="0"/>
        <w:kinsoku/>
        <w:wordWrap/>
        <w:overflowPunct/>
        <w:topLinePunct w:val="0"/>
        <w:autoSpaceDE/>
        <w:autoSpaceDN/>
        <w:bidi w:val="0"/>
        <w:adjustRightInd w:val="0"/>
        <w:snapToGrid w:val="0"/>
        <w:spacing w:line="450" w:lineRule="exact"/>
        <w:ind w:lef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投标货物必须是全新、未使用过的原装合格正品。投标产品符合招标文件规定的规格、性能和质量的要求，达到国家、行业规定的通用标准和强制标准，属于国家强制认证的产品的必须通过认证。</w:t>
      </w:r>
    </w:p>
    <w:p w14:paraId="0B290904">
      <w:pPr>
        <w:keepNext w:val="0"/>
        <w:keepLines w:val="0"/>
        <w:pageBreakBefore w:val="0"/>
        <w:kinsoku/>
        <w:wordWrap/>
        <w:overflowPunct/>
        <w:topLinePunct w:val="0"/>
        <w:autoSpaceDE/>
        <w:autoSpaceDN/>
        <w:bidi w:val="0"/>
        <w:spacing w:line="450" w:lineRule="exact"/>
        <w:ind w:firstLine="502"/>
        <w:textAlignment w:val="auto"/>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lang w:val="en-US" w:eastAsia="zh-CN"/>
        </w:rPr>
        <w:t>五、</w:t>
      </w:r>
      <w:r>
        <w:rPr>
          <w:rFonts w:hint="eastAsia" w:ascii="仿宋" w:hAnsi="仿宋" w:eastAsia="仿宋" w:cs="仿宋"/>
          <w:b/>
          <w:color w:val="auto"/>
          <w:spacing w:val="5"/>
          <w:sz w:val="24"/>
          <w:szCs w:val="24"/>
        </w:rPr>
        <w:t>运输、保管、保险</w:t>
      </w:r>
    </w:p>
    <w:p w14:paraId="14FBF864">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（1）</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负责设备材料货到现场或</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指定的地点过程中的全部运输，包括装卸车、货物现场的搬运。</w:t>
      </w:r>
    </w:p>
    <w:p w14:paraId="5C6D5BAC">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（2）货物在项目综合验收合格前的保管由</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w:t>
      </w:r>
    </w:p>
    <w:p w14:paraId="3FBD0C12">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（3）货物在项目综合验收合格前的保险由</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负责其派出的现场服务人员人身意外保险。</w:t>
      </w:r>
    </w:p>
    <w:p w14:paraId="0021523D">
      <w:pPr>
        <w:keepNext w:val="0"/>
        <w:keepLines w:val="0"/>
        <w:pageBreakBefore w:val="0"/>
        <w:widowControl/>
        <w:kinsoku/>
        <w:wordWrap/>
        <w:overflowPunct/>
        <w:topLinePunct w:val="0"/>
        <w:autoSpaceDE/>
        <w:autoSpaceDN/>
        <w:bidi w:val="0"/>
        <w:snapToGrid w:val="0"/>
        <w:spacing w:line="450" w:lineRule="exact"/>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w:t>
      </w:r>
      <w:r>
        <w:rPr>
          <w:rFonts w:hint="eastAsia" w:ascii="仿宋" w:hAnsi="仿宋" w:eastAsia="仿宋" w:cs="仿宋"/>
          <w:b/>
          <w:bCs/>
          <w:color w:val="auto"/>
          <w:sz w:val="24"/>
          <w:szCs w:val="24"/>
          <w:highlight w:val="none"/>
        </w:rPr>
        <w:t>交货安装时间及地点</w:t>
      </w:r>
    </w:p>
    <w:p w14:paraId="0CE156D3">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lang w:eastAsia="zh-CN"/>
        </w:rPr>
      </w:pPr>
      <w:r>
        <w:rPr>
          <w:rFonts w:hint="eastAsia" w:ascii="仿宋" w:hAnsi="仿宋" w:eastAsia="仿宋" w:cs="仿宋"/>
          <w:bCs/>
          <w:color w:val="auto"/>
          <w:spacing w:val="5"/>
          <w:sz w:val="24"/>
          <w:szCs w:val="24"/>
          <w:lang w:val="en-US" w:eastAsia="zh-CN"/>
        </w:rPr>
        <w:t>1.</w:t>
      </w:r>
      <w:r>
        <w:rPr>
          <w:rFonts w:hint="eastAsia" w:ascii="仿宋" w:hAnsi="仿宋" w:eastAsia="仿宋" w:cs="仿宋"/>
          <w:bCs/>
          <w:color w:val="auto"/>
          <w:spacing w:val="5"/>
          <w:sz w:val="24"/>
          <w:szCs w:val="24"/>
        </w:rPr>
        <w:t>合同签订、接到业主单位供货通知后30天内送至施工现场（根据工程进展供货、安装、调试，具体日期以采购人发出的交货通知单为准）</w:t>
      </w:r>
      <w:r>
        <w:rPr>
          <w:rFonts w:hint="eastAsia" w:ascii="仿宋" w:hAnsi="仿宋" w:eastAsia="仿宋" w:cs="仿宋"/>
          <w:bCs/>
          <w:color w:val="auto"/>
          <w:spacing w:val="5"/>
          <w:sz w:val="24"/>
          <w:szCs w:val="24"/>
          <w:lang w:eastAsia="zh-CN"/>
        </w:rPr>
        <w:t>。</w:t>
      </w:r>
    </w:p>
    <w:p w14:paraId="73805DBA">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lang w:val="en-US" w:eastAsia="zh-CN"/>
        </w:rPr>
        <w:t>2.</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负责运至现场安装调试，在整个设备安装调试验收合格前的所有设备材料的运输、保管、保险均由</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w:t>
      </w:r>
      <w:r>
        <w:rPr>
          <w:rFonts w:hint="eastAsia" w:ascii="仿宋" w:hAnsi="仿宋" w:eastAsia="仿宋" w:cs="仿宋"/>
          <w:bCs/>
          <w:color w:val="auto"/>
          <w:spacing w:val="5"/>
          <w:sz w:val="24"/>
          <w:szCs w:val="24"/>
          <w:lang w:eastAsia="zh-CN"/>
        </w:rPr>
        <w:t>，</w:t>
      </w:r>
      <w:r>
        <w:rPr>
          <w:rFonts w:hint="eastAsia" w:ascii="仿宋" w:hAnsi="仿宋" w:eastAsia="仿宋" w:cs="仿宋"/>
          <w:bCs/>
          <w:color w:val="auto"/>
          <w:spacing w:val="5"/>
          <w:sz w:val="24"/>
          <w:szCs w:val="24"/>
        </w:rPr>
        <w:t>具体应配合现场工程施工进度。</w:t>
      </w:r>
    </w:p>
    <w:p w14:paraId="072C992B">
      <w:pPr>
        <w:keepNext w:val="0"/>
        <w:keepLines w:val="0"/>
        <w:pageBreakBefore w:val="0"/>
        <w:kinsoku/>
        <w:wordWrap/>
        <w:overflowPunct/>
        <w:topLinePunct w:val="0"/>
        <w:autoSpaceDE/>
        <w:autoSpaceDN/>
        <w:bidi w:val="0"/>
        <w:spacing w:line="450" w:lineRule="exact"/>
        <w:ind w:firstLine="502"/>
        <w:textAlignment w:val="auto"/>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lang w:val="en-US" w:eastAsia="zh-CN"/>
        </w:rPr>
        <w:t>七、</w:t>
      </w:r>
      <w:r>
        <w:rPr>
          <w:rFonts w:hint="eastAsia" w:ascii="仿宋" w:hAnsi="仿宋" w:eastAsia="仿宋" w:cs="仿宋"/>
          <w:b/>
          <w:color w:val="auto"/>
          <w:spacing w:val="5"/>
          <w:sz w:val="24"/>
          <w:szCs w:val="24"/>
        </w:rPr>
        <w:t>安装、调试及验收</w:t>
      </w:r>
    </w:p>
    <w:p w14:paraId="1EE5955E">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由电梯设备制造单位派遣制造单位专业技术人员进行全过程现场指导安装。</w:t>
      </w:r>
    </w:p>
    <w:p w14:paraId="2E34C5C1">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应派经</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认可的有经验和能力、具有相应资质的技术人员，负责设备安装工作，在设备安装期间应充分了解设备安装进度要求，保证施工质量，解决施工中出现的技术问题。</w:t>
      </w:r>
    </w:p>
    <w:p w14:paraId="2DB56575">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（1）</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负责设备的安装、调试、验收。</w:t>
      </w:r>
    </w:p>
    <w:p w14:paraId="6568B69C">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（2）</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现场服务人员要服从</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的进度安排。</w:t>
      </w:r>
    </w:p>
    <w:p w14:paraId="0B3277CA">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（3）调试所需专用工具设施物料由</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自备、自费运到现场，完工后自费搬走。</w:t>
      </w:r>
    </w:p>
    <w:p w14:paraId="3F5B67F8">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（4）调试：按国家相关施工验收规范进行，分阶段进行调试。</w:t>
      </w:r>
    </w:p>
    <w:p w14:paraId="1C661591">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（5）设备的拆箱、通电、调试等项工作由</w:t>
      </w:r>
      <w:r>
        <w:rPr>
          <w:rFonts w:hint="eastAsia" w:ascii="仿宋" w:hAnsi="仿宋" w:eastAsia="仿宋" w:cs="仿宋"/>
          <w:bCs/>
          <w:color w:val="auto"/>
          <w:spacing w:val="5"/>
          <w:sz w:val="24"/>
          <w:szCs w:val="24"/>
          <w:lang w:eastAsia="zh-CN"/>
        </w:rPr>
        <w:t>乙方</w:t>
      </w:r>
      <w:r>
        <w:rPr>
          <w:rFonts w:hint="eastAsia" w:ascii="仿宋" w:hAnsi="仿宋" w:eastAsia="仿宋" w:cs="仿宋"/>
          <w:bCs/>
          <w:color w:val="auto"/>
          <w:spacing w:val="5"/>
          <w:sz w:val="24"/>
          <w:szCs w:val="24"/>
        </w:rPr>
        <w:t>负责，但必须在</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指定人员的参与下进行。在实际实施前必须先经</w:t>
      </w:r>
      <w:r>
        <w:rPr>
          <w:rFonts w:hint="eastAsia" w:ascii="仿宋" w:hAnsi="仿宋" w:eastAsia="仿宋" w:cs="仿宋"/>
          <w:bCs/>
          <w:color w:val="auto"/>
          <w:spacing w:val="5"/>
          <w:sz w:val="24"/>
          <w:szCs w:val="24"/>
          <w:lang w:eastAsia="zh-CN"/>
        </w:rPr>
        <w:t>采购人</w:t>
      </w:r>
      <w:r>
        <w:rPr>
          <w:rFonts w:hint="eastAsia" w:ascii="仿宋" w:hAnsi="仿宋" w:eastAsia="仿宋" w:cs="仿宋"/>
          <w:bCs/>
          <w:color w:val="auto"/>
          <w:spacing w:val="5"/>
          <w:sz w:val="24"/>
          <w:szCs w:val="24"/>
        </w:rPr>
        <w:t>同意方可进行。调试的原始记录须经各方签字后作为验收的文件之一。</w:t>
      </w:r>
    </w:p>
    <w:p w14:paraId="78244648">
      <w:pPr>
        <w:keepNext w:val="0"/>
        <w:keepLines w:val="0"/>
        <w:pageBreakBefore w:val="0"/>
        <w:kinsoku/>
        <w:wordWrap/>
        <w:overflowPunct/>
        <w:topLinePunct w:val="0"/>
        <w:autoSpaceDE/>
        <w:autoSpaceDN/>
        <w:bidi w:val="0"/>
        <w:spacing w:line="450" w:lineRule="exact"/>
        <w:ind w:firstLine="502"/>
        <w:textAlignment w:val="auto"/>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电梯设备安装完成后，进行调试、验收(包括负责通过有关部门组织的综合验收)。验收由</w:t>
      </w:r>
      <w:r>
        <w:rPr>
          <w:rFonts w:hint="eastAsia" w:ascii="仿宋" w:hAnsi="仿宋" w:eastAsia="仿宋" w:cs="仿宋"/>
          <w:b/>
          <w:color w:val="auto"/>
          <w:spacing w:val="5"/>
          <w:sz w:val="24"/>
          <w:szCs w:val="24"/>
          <w:lang w:eastAsia="zh-CN"/>
        </w:rPr>
        <w:t>采购人</w:t>
      </w:r>
      <w:r>
        <w:rPr>
          <w:rFonts w:hint="eastAsia" w:ascii="仿宋" w:hAnsi="仿宋" w:eastAsia="仿宋" w:cs="仿宋"/>
          <w:b/>
          <w:color w:val="auto"/>
          <w:spacing w:val="5"/>
          <w:sz w:val="24"/>
          <w:szCs w:val="24"/>
        </w:rPr>
        <w:t>与</w:t>
      </w:r>
      <w:r>
        <w:rPr>
          <w:rFonts w:hint="eastAsia" w:ascii="仿宋" w:hAnsi="仿宋" w:eastAsia="仿宋" w:cs="仿宋"/>
          <w:b/>
          <w:color w:val="auto"/>
          <w:spacing w:val="5"/>
          <w:sz w:val="24"/>
          <w:szCs w:val="24"/>
          <w:lang w:eastAsia="zh-CN"/>
        </w:rPr>
        <w:t>乙方</w:t>
      </w:r>
      <w:r>
        <w:rPr>
          <w:rFonts w:hint="eastAsia" w:ascii="仿宋" w:hAnsi="仿宋" w:eastAsia="仿宋" w:cs="仿宋"/>
          <w:b/>
          <w:color w:val="auto"/>
          <w:spacing w:val="5"/>
          <w:sz w:val="24"/>
          <w:szCs w:val="24"/>
        </w:rPr>
        <w:t>及相关人员依国家有关标准、合同、设计图纸及有关附件要求进行，直至拿到电梯使用许可证。</w:t>
      </w:r>
    </w:p>
    <w:p w14:paraId="640B04F4">
      <w:pPr>
        <w:pStyle w:val="143"/>
        <w:keepNext w:val="0"/>
        <w:keepLines w:val="0"/>
        <w:pageBreakBefore w:val="0"/>
        <w:kinsoku/>
        <w:wordWrap/>
        <w:overflowPunct/>
        <w:topLinePunct w:val="0"/>
        <w:autoSpaceDE/>
        <w:autoSpaceDN/>
        <w:bidi w:val="0"/>
        <w:spacing w:line="450" w:lineRule="exact"/>
        <w:ind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kern w:val="0"/>
          <w:sz w:val="24"/>
          <w:highlight w:val="none"/>
          <w:lang w:val="en-US" w:eastAsia="zh-CN"/>
        </w:rPr>
        <w:t>八、售后服务保障要求</w:t>
      </w:r>
    </w:p>
    <w:p w14:paraId="0269F477">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lang w:val="en-US" w:eastAsia="zh-CN"/>
        </w:rPr>
      </w:pPr>
      <w:r>
        <w:rPr>
          <w:rFonts w:hint="eastAsia" w:ascii="仿宋" w:hAnsi="仿宋" w:eastAsia="仿宋" w:cs="仿宋"/>
          <w:bCs/>
          <w:color w:val="auto"/>
          <w:spacing w:val="5"/>
          <w:sz w:val="24"/>
          <w:szCs w:val="24"/>
          <w:lang w:val="en-US" w:eastAsia="zh-CN"/>
        </w:rPr>
        <w:t>1.乙方须提供经调试、试运行、验收合格后2年的免费质保期（当乙方的承诺时间超过2年时，按乙方承诺时间），由中标单位的电梯制造商负责电梯的免费日常维修和正常保养，并承担质保期内相关的的检测检验费用（包括特种设备检测费用 ），提供24小时服务。</w:t>
      </w:r>
    </w:p>
    <w:p w14:paraId="2B405B85">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lang w:val="en-US" w:eastAsia="zh-CN"/>
        </w:rPr>
      </w:pPr>
      <w:r>
        <w:rPr>
          <w:rFonts w:hint="eastAsia" w:ascii="仿宋" w:hAnsi="仿宋" w:eastAsia="仿宋" w:cs="仿宋"/>
          <w:bCs/>
          <w:color w:val="auto"/>
          <w:spacing w:val="5"/>
          <w:sz w:val="24"/>
          <w:szCs w:val="24"/>
          <w:lang w:val="en-US" w:eastAsia="zh-CN"/>
        </w:rPr>
        <w:t>2.维修人员接到维修电话后30分钟响应，一般故障在2小时内修复完毕，重大故障修复时间不超过12小时。</w:t>
      </w:r>
    </w:p>
    <w:p w14:paraId="6F810572">
      <w:pPr>
        <w:keepNext w:val="0"/>
        <w:keepLines w:val="0"/>
        <w:pageBreakBefore w:val="0"/>
        <w:kinsoku/>
        <w:wordWrap/>
        <w:overflowPunct/>
        <w:topLinePunct w:val="0"/>
        <w:autoSpaceDE/>
        <w:autoSpaceDN/>
        <w:bidi w:val="0"/>
        <w:spacing w:line="450" w:lineRule="exact"/>
        <w:ind w:firstLine="500"/>
        <w:textAlignment w:val="auto"/>
        <w:rPr>
          <w:rFonts w:hint="eastAsia" w:ascii="仿宋" w:hAnsi="仿宋" w:eastAsia="仿宋" w:cs="仿宋"/>
          <w:bCs/>
          <w:color w:val="auto"/>
          <w:spacing w:val="5"/>
          <w:sz w:val="24"/>
          <w:szCs w:val="24"/>
          <w:lang w:val="en-US" w:eastAsia="zh-CN"/>
        </w:rPr>
      </w:pPr>
      <w:r>
        <w:rPr>
          <w:rFonts w:hint="eastAsia" w:ascii="仿宋" w:hAnsi="仿宋" w:eastAsia="仿宋" w:cs="仿宋"/>
          <w:bCs/>
          <w:color w:val="auto"/>
          <w:spacing w:val="5"/>
          <w:sz w:val="24"/>
          <w:szCs w:val="24"/>
          <w:lang w:val="en-US" w:eastAsia="zh-CN"/>
        </w:rPr>
        <w:t>3.维修点需提供足够的备件以适应维修需求。</w:t>
      </w:r>
    </w:p>
    <w:p w14:paraId="5CF48666">
      <w:pPr>
        <w:pStyle w:val="143"/>
        <w:keepNext w:val="0"/>
        <w:keepLines w:val="0"/>
        <w:pageBreakBefore w:val="0"/>
        <w:numPr>
          <w:ilvl w:val="0"/>
          <w:numId w:val="0"/>
        </w:numPr>
        <w:kinsoku/>
        <w:wordWrap/>
        <w:overflowPunct/>
        <w:topLinePunct w:val="0"/>
        <w:autoSpaceDE/>
        <w:autoSpaceDN/>
        <w:bidi w:val="0"/>
        <w:spacing w:line="450" w:lineRule="exact"/>
        <w:ind w:firstLine="482" w:firstLineChars="2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szCs w:val="22"/>
          <w:highlight w:val="none"/>
          <w:lang w:val="en-US" w:eastAsia="zh-CN" w:bidi="ar-SA"/>
        </w:rPr>
        <w:t>九、</w:t>
      </w:r>
      <w:r>
        <w:rPr>
          <w:rFonts w:hint="eastAsia" w:ascii="仿宋" w:hAnsi="仿宋" w:eastAsia="仿宋" w:cs="仿宋"/>
          <w:b/>
          <w:bCs/>
          <w:color w:val="auto"/>
          <w:kern w:val="0"/>
          <w:sz w:val="24"/>
          <w:highlight w:val="none"/>
          <w:lang w:val="en-US" w:eastAsia="zh-CN"/>
        </w:rPr>
        <w:t>付款方式</w:t>
      </w:r>
    </w:p>
    <w:p w14:paraId="101FEA97">
      <w:pPr>
        <w:pStyle w:val="4"/>
        <w:keepNext w:val="0"/>
        <w:keepLines w:val="0"/>
        <w:pageBreakBefore w:val="0"/>
        <w:widowControl/>
        <w:kinsoku/>
        <w:wordWrap/>
        <w:overflowPunct/>
        <w:topLinePunct w:val="0"/>
        <w:autoSpaceDE/>
        <w:autoSpaceDN/>
        <w:bidi w:val="0"/>
        <w:adjustRightInd w:val="0"/>
        <w:spacing w:line="450" w:lineRule="exact"/>
        <w:ind w:left="0" w:leftChars="0" w:firstLine="480" w:firstLineChars="200"/>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合同签订之日起7个工作日内支付合同款的10%，接采购人通知排产时支付合同款的30%，设备全部到货经验收合格后7个工作日内支付至合同款的80%，安装完成经有关部门验收合格后支付至合同款的95%，余款无质量问题于质保期满后7个工作日内付清（不计息）。</w:t>
      </w:r>
    </w:p>
    <w:p w14:paraId="01159DF8">
      <w:pPr>
        <w:keepNext w:val="0"/>
        <w:keepLines w:val="0"/>
        <w:pageBreakBefore w:val="0"/>
        <w:kinsoku/>
        <w:wordWrap/>
        <w:overflowPunct/>
        <w:topLinePunct w:val="0"/>
        <w:autoSpaceDE/>
        <w:autoSpaceDN/>
        <w:bidi w:val="0"/>
        <w:snapToGrid/>
        <w:spacing w:line="450" w:lineRule="exact"/>
        <w:ind w:left="0" w:leftChars="0" w:right="0" w:rightChars="0" w:firstLine="482" w:firstLineChars="200"/>
        <w:textAlignment w:val="auto"/>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kern w:val="0"/>
          <w:sz w:val="24"/>
          <w:highlight w:val="none"/>
          <w:lang w:val="en-US" w:eastAsia="zh-CN"/>
        </w:rPr>
        <w:t>十、履约保证金</w:t>
      </w:r>
      <w:r>
        <w:rPr>
          <w:rFonts w:hint="eastAsia" w:ascii="仿宋" w:hAnsi="仿宋" w:eastAsia="仿宋" w:cs="仿宋"/>
          <w:b/>
          <w:bCs w:val="0"/>
          <w:color w:val="auto"/>
          <w:sz w:val="24"/>
          <w:szCs w:val="24"/>
          <w:lang w:val="en-US" w:eastAsia="zh-CN"/>
        </w:rPr>
        <w:t>及</w:t>
      </w:r>
      <w:r>
        <w:rPr>
          <w:rFonts w:hint="eastAsia" w:ascii="仿宋" w:hAnsi="仿宋" w:eastAsia="仿宋" w:cs="仿宋"/>
          <w:b/>
          <w:bCs w:val="0"/>
          <w:color w:val="auto"/>
          <w:sz w:val="24"/>
          <w:szCs w:val="24"/>
          <w:highlight w:val="none"/>
          <w:lang w:val="en-US" w:eastAsia="zh-CN"/>
        </w:rPr>
        <w:t>差额保证金（如发生）</w:t>
      </w:r>
    </w:p>
    <w:p w14:paraId="7B9635BA">
      <w:pPr>
        <w:pStyle w:val="4"/>
        <w:keepNext w:val="0"/>
        <w:keepLines w:val="0"/>
        <w:pageBreakBefore w:val="0"/>
        <w:widowControl/>
        <w:kinsoku/>
        <w:wordWrap/>
        <w:overflowPunct/>
        <w:topLinePunct w:val="0"/>
        <w:autoSpaceDE/>
        <w:autoSpaceDN/>
        <w:bidi w:val="0"/>
        <w:adjustRightInd w:val="0"/>
        <w:spacing w:line="450" w:lineRule="exact"/>
        <w:ind w:left="0" w:leftChars="0" w:firstLine="480" w:firstLineChars="200"/>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1.履约保证金</w:t>
      </w:r>
    </w:p>
    <w:p w14:paraId="7A689CB3">
      <w:pPr>
        <w:pStyle w:val="4"/>
        <w:keepNext w:val="0"/>
        <w:keepLines w:val="0"/>
        <w:pageBreakBefore w:val="0"/>
        <w:widowControl/>
        <w:kinsoku/>
        <w:wordWrap/>
        <w:overflowPunct/>
        <w:topLinePunct w:val="0"/>
        <w:autoSpaceDE/>
        <w:autoSpaceDN/>
        <w:bidi w:val="0"/>
        <w:adjustRightInd w:val="0"/>
        <w:spacing w:line="450" w:lineRule="exact"/>
        <w:ind w:left="0" w:leftChars="0" w:firstLine="480" w:firstLineChars="200"/>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合同签订前，由中标单位支付采购单位合同总价1%的履约保证金，在验收合格后无相关违约及安全责任等情形后退还（不计息）。</w:t>
      </w:r>
    </w:p>
    <w:p w14:paraId="1A3EECBA">
      <w:pPr>
        <w:pStyle w:val="4"/>
        <w:keepNext w:val="0"/>
        <w:keepLines w:val="0"/>
        <w:pageBreakBefore w:val="0"/>
        <w:widowControl/>
        <w:kinsoku/>
        <w:wordWrap/>
        <w:overflowPunct/>
        <w:topLinePunct w:val="0"/>
        <w:autoSpaceDE/>
        <w:autoSpaceDN/>
        <w:bidi w:val="0"/>
        <w:adjustRightInd w:val="0"/>
        <w:spacing w:line="450" w:lineRule="exact"/>
        <w:ind w:left="0" w:leftChars="0" w:firstLine="480" w:firstLineChars="200"/>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履约保证金支付方式：网上银行、电汇、汇票或转账形式。</w:t>
      </w:r>
    </w:p>
    <w:p w14:paraId="4E07D0C2">
      <w:pPr>
        <w:pStyle w:val="4"/>
        <w:keepNext w:val="0"/>
        <w:keepLines w:val="0"/>
        <w:pageBreakBefore w:val="0"/>
        <w:widowControl/>
        <w:kinsoku/>
        <w:wordWrap/>
        <w:overflowPunct/>
        <w:topLinePunct w:val="0"/>
        <w:autoSpaceDE/>
        <w:autoSpaceDN/>
        <w:bidi w:val="0"/>
        <w:adjustRightInd w:val="0"/>
        <w:spacing w:line="450" w:lineRule="exact"/>
        <w:ind w:left="0" w:leftChars="0" w:firstLine="480" w:firstLineChars="200"/>
        <w:jc w:val="left"/>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2.差额保证金（如发生）</w:t>
      </w:r>
    </w:p>
    <w:p w14:paraId="4F87B9F7">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若乙方低于该风险控制价中标的，在中标后5个工作日内，乙方必须额外补交中标价净值与风险控制价之差额，乙方不提交的视为放弃中标，采购人将重新组织招标，相关损失由放弃中标的中标单位承担（从投标保证金中扣除）。差额保证金待质保期满无相关违约及安全责任等情形后30日内无息退还。</w:t>
      </w:r>
    </w:p>
    <w:p w14:paraId="61863ADE">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差额</w:t>
      </w:r>
      <w:r>
        <w:rPr>
          <w:rFonts w:hint="eastAsia" w:ascii="仿宋" w:hAnsi="仿宋" w:eastAsia="仿宋" w:cs="仿宋"/>
          <w:snapToGrid/>
          <w:color w:val="auto"/>
          <w:kern w:val="2"/>
          <w:sz w:val="24"/>
          <w:szCs w:val="24"/>
          <w:highlight w:val="none"/>
          <w:lang w:val="zh-CN" w:eastAsia="zh-CN" w:bidi="ar-SA"/>
        </w:rPr>
        <w:t>保证金的交付方式：以现金、电汇、转账方式交纳。</w:t>
      </w:r>
    </w:p>
    <w:p w14:paraId="47978FAF">
      <w:pPr>
        <w:pStyle w:val="143"/>
        <w:keepNext w:val="0"/>
        <w:keepLines w:val="0"/>
        <w:pageBreakBefore w:val="0"/>
        <w:kinsoku/>
        <w:wordWrap/>
        <w:overflowPunct/>
        <w:topLinePunct w:val="0"/>
        <w:autoSpaceDE/>
        <w:autoSpaceDN/>
        <w:bidi w:val="0"/>
        <w:spacing w:line="450" w:lineRule="exact"/>
        <w:ind w:firstLine="482" w:firstLineChars="200"/>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十一、总包服务费</w:t>
      </w:r>
    </w:p>
    <w:p w14:paraId="5CC413BD">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由乙方支付总包单位服务费为合同金额的1.5%。</w:t>
      </w:r>
    </w:p>
    <w:p w14:paraId="6A1A1343">
      <w:pPr>
        <w:pStyle w:val="143"/>
        <w:keepNext w:val="0"/>
        <w:keepLines w:val="0"/>
        <w:pageBreakBefore w:val="0"/>
        <w:kinsoku/>
        <w:wordWrap/>
        <w:overflowPunct/>
        <w:topLinePunct w:val="0"/>
        <w:autoSpaceDE/>
        <w:autoSpaceDN/>
        <w:bidi w:val="0"/>
        <w:spacing w:line="450" w:lineRule="exact"/>
        <w:ind w:firstLine="482" w:firstLineChars="200"/>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十二、备品备件及耗材等要求</w:t>
      </w:r>
    </w:p>
    <w:p w14:paraId="6CFCBFD0">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rPr>
        <w:t>投标时标明质保期后5年备品备件及耗材的价格，并提供电梯质保后5年的每台电梯的小包和大包维修费，但不计入投标总价。</w:t>
      </w:r>
    </w:p>
    <w:p w14:paraId="3AD85ED9">
      <w:pPr>
        <w:keepNext w:val="0"/>
        <w:keepLines w:val="0"/>
        <w:pageBreakBefore w:val="0"/>
        <w:widowControl/>
        <w:kinsoku/>
        <w:wordWrap/>
        <w:overflowPunct/>
        <w:topLinePunct w:val="0"/>
        <w:autoSpaceDE/>
        <w:autoSpaceDN/>
        <w:bidi w:val="0"/>
        <w:snapToGrid w:val="0"/>
        <w:spacing w:line="450" w:lineRule="exact"/>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十三、技术培训</w:t>
      </w:r>
    </w:p>
    <w:p w14:paraId="6FAAB964">
      <w:pPr>
        <w:pStyle w:val="4"/>
        <w:keepNext w:val="0"/>
        <w:keepLines w:val="0"/>
        <w:pageBreakBefore w:val="0"/>
        <w:widowControl/>
        <w:kinsoku/>
        <w:wordWrap/>
        <w:overflowPunct/>
        <w:topLinePunct w:val="0"/>
        <w:autoSpaceDE/>
        <w:autoSpaceDN/>
        <w:bidi w:val="0"/>
        <w:adjustRightInd w:val="0"/>
        <w:snapToGrid w:val="0"/>
        <w:spacing w:line="45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1.供货方须对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的技术人员进行免费维修培训。乙方须在投标文件中提供详细的培训计划,包括培训内容、培训时间等。</w:t>
      </w:r>
    </w:p>
    <w:p w14:paraId="4DE2780F">
      <w:pPr>
        <w:pStyle w:val="4"/>
        <w:keepNext w:val="0"/>
        <w:keepLines w:val="0"/>
        <w:pageBreakBefore w:val="0"/>
        <w:widowControl/>
        <w:kinsoku/>
        <w:wordWrap/>
        <w:overflowPunct/>
        <w:topLinePunct w:val="0"/>
        <w:autoSpaceDE/>
        <w:autoSpaceDN/>
        <w:bidi w:val="0"/>
        <w:adjustRightInd w:val="0"/>
        <w:snapToGrid w:val="0"/>
        <w:spacing w:line="45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2.供货方提供的负责培训的人员应具备同类工程经验。</w:t>
      </w:r>
    </w:p>
    <w:p w14:paraId="227726B8">
      <w:pPr>
        <w:pStyle w:val="4"/>
        <w:keepNext w:val="0"/>
        <w:keepLines w:val="0"/>
        <w:pageBreakBefore w:val="0"/>
        <w:widowControl/>
        <w:kinsoku/>
        <w:wordWrap/>
        <w:overflowPunct/>
        <w:topLinePunct w:val="0"/>
        <w:autoSpaceDE/>
        <w:autoSpaceDN/>
        <w:bidi w:val="0"/>
        <w:adjustRightInd w:val="0"/>
        <w:snapToGrid w:val="0"/>
        <w:spacing w:line="45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3.技术培训至少应包括下列内容：系统的原理、构成和功能的描述、常见故障的处理或排除、各系统部件（设备）的检查、调整和维护。</w:t>
      </w:r>
    </w:p>
    <w:p w14:paraId="6B1E7B1E">
      <w:pPr>
        <w:keepNext w:val="0"/>
        <w:keepLines w:val="0"/>
        <w:pageBreakBefore w:val="0"/>
        <w:widowControl/>
        <w:kinsoku/>
        <w:wordWrap/>
        <w:overflowPunct/>
        <w:topLinePunct w:val="0"/>
        <w:autoSpaceDE/>
        <w:autoSpaceDN/>
        <w:bidi w:val="0"/>
        <w:snapToGrid w:val="0"/>
        <w:spacing w:line="450" w:lineRule="exact"/>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十四、其他</w:t>
      </w:r>
    </w:p>
    <w:p w14:paraId="76950D89">
      <w:pPr>
        <w:keepNext w:val="0"/>
        <w:keepLines w:val="0"/>
        <w:pageBreakBefore w:val="0"/>
        <w:widowControl/>
        <w:kinsoku/>
        <w:wordWrap/>
        <w:overflowPunct/>
        <w:topLinePunct w:val="0"/>
        <w:autoSpaceDE/>
        <w:autoSpaceDN/>
        <w:bidi w:val="0"/>
        <w:snapToGrid w:val="0"/>
        <w:spacing w:line="45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应保护采购人在使用该货物或其任何一部分不受第三方提出侵犯其专利权、商标权和工业设计权的起诉。如果任何第三方提出侵权指控，中标单位必须与第三方交涉并承担可能发生的一切费用。</w:t>
      </w:r>
    </w:p>
    <w:p w14:paraId="194298B3">
      <w:pPr>
        <w:keepNext w:val="0"/>
        <w:keepLines w:val="0"/>
        <w:pageBreakBefore w:val="0"/>
        <w:widowControl/>
        <w:kinsoku/>
        <w:wordWrap/>
        <w:overflowPunct/>
        <w:topLinePunct w:val="0"/>
        <w:autoSpaceDE/>
        <w:autoSpaceDN/>
        <w:bidi w:val="0"/>
        <w:snapToGrid w:val="0"/>
        <w:spacing w:line="450" w:lineRule="exact"/>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十五、</w:t>
      </w:r>
      <w:r>
        <w:rPr>
          <w:rFonts w:hint="eastAsia" w:ascii="仿宋" w:hAnsi="仿宋" w:eastAsia="仿宋" w:cs="仿宋"/>
          <w:b/>
          <w:bCs/>
          <w:color w:val="auto"/>
          <w:kern w:val="0"/>
          <w:sz w:val="24"/>
          <w:highlight w:val="none"/>
        </w:rPr>
        <w:t>知识产权</w:t>
      </w:r>
    </w:p>
    <w:p w14:paraId="3761B806">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highlight w:val="none"/>
        </w:rPr>
        <w:t>乙方应保证所提供的货物或其任何一部分均不会侵犯任何第三方的知识产权。</w:t>
      </w:r>
    </w:p>
    <w:p w14:paraId="1BB60A4A">
      <w:pPr>
        <w:pStyle w:val="143"/>
        <w:keepNext w:val="0"/>
        <w:keepLines w:val="0"/>
        <w:pageBreakBefore w:val="0"/>
        <w:kinsoku/>
        <w:wordWrap/>
        <w:overflowPunct/>
        <w:topLinePunct w:val="0"/>
        <w:autoSpaceDE/>
        <w:autoSpaceDN/>
        <w:bidi w:val="0"/>
        <w:spacing w:line="45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十六</w:t>
      </w:r>
      <w:r>
        <w:rPr>
          <w:rFonts w:hint="eastAsia" w:ascii="仿宋" w:hAnsi="仿宋" w:eastAsia="仿宋" w:cs="仿宋"/>
          <w:b/>
          <w:color w:val="auto"/>
          <w:sz w:val="24"/>
          <w:szCs w:val="24"/>
          <w:highlight w:val="none"/>
        </w:rPr>
        <w:t>、转包或分包</w:t>
      </w:r>
    </w:p>
    <w:p w14:paraId="46118D73">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highlight w:val="none"/>
        </w:rPr>
        <w:t>本合同范围的</w:t>
      </w:r>
      <w:r>
        <w:rPr>
          <w:rFonts w:hint="eastAsia" w:ascii="仿宋" w:hAnsi="仿宋" w:eastAsia="仿宋" w:cs="仿宋"/>
          <w:b w:val="0"/>
          <w:bCs w:val="0"/>
          <w:color w:val="auto"/>
          <w:kern w:val="0"/>
          <w:sz w:val="24"/>
          <w:highlight w:val="none"/>
          <w:lang w:val="en-US" w:eastAsia="zh-CN"/>
        </w:rPr>
        <w:t>货物</w:t>
      </w:r>
      <w:r>
        <w:rPr>
          <w:rFonts w:hint="eastAsia" w:ascii="仿宋" w:hAnsi="仿宋" w:eastAsia="仿宋" w:cs="仿宋"/>
          <w:b w:val="0"/>
          <w:bCs w:val="0"/>
          <w:color w:val="auto"/>
          <w:kern w:val="0"/>
          <w:sz w:val="24"/>
          <w:highlight w:val="none"/>
        </w:rPr>
        <w:t>，应由乙方直接供应，不得转让他人供应</w:t>
      </w:r>
      <w:r>
        <w:rPr>
          <w:rFonts w:hint="eastAsia" w:ascii="仿宋" w:hAnsi="仿宋" w:eastAsia="仿宋" w:cs="仿宋"/>
          <w:color w:val="auto"/>
          <w:sz w:val="24"/>
          <w:szCs w:val="24"/>
          <w:highlight w:val="none"/>
        </w:rPr>
        <w:t>；</w:t>
      </w:r>
    </w:p>
    <w:p w14:paraId="5415BB24">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highlight w:val="none"/>
          <w:lang w:val="en-US" w:eastAsia="zh-CN"/>
        </w:rPr>
        <w:t>除非得到甲方的书面同意，乙方不得将本合同范围的货物全部或部分分包给他人供应</w:t>
      </w:r>
      <w:r>
        <w:rPr>
          <w:rFonts w:hint="eastAsia" w:ascii="仿宋" w:hAnsi="仿宋" w:eastAsia="仿宋" w:cs="仿宋"/>
          <w:color w:val="auto"/>
          <w:sz w:val="24"/>
          <w:szCs w:val="24"/>
          <w:highlight w:val="none"/>
        </w:rPr>
        <w:t>；</w:t>
      </w:r>
    </w:p>
    <w:p w14:paraId="3B1ADFFA">
      <w:pPr>
        <w:pStyle w:val="143"/>
        <w:keepNext w:val="0"/>
        <w:keepLines w:val="0"/>
        <w:pageBreakBefore w:val="0"/>
        <w:kinsoku/>
        <w:wordWrap/>
        <w:overflowPunct/>
        <w:topLinePunct w:val="0"/>
        <w:autoSpaceDE/>
        <w:autoSpaceDN/>
        <w:bidi w:val="0"/>
        <w:spacing w:line="450" w:lineRule="exact"/>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0"/>
          <w:sz w:val="24"/>
          <w:highlight w:val="none"/>
          <w:lang w:val="en-US" w:eastAsia="zh-CN"/>
        </w:rPr>
        <w:t>如有转让和未经甲方同意的分包行为，甲方有权解除合同，并追究乙方的违约责任</w:t>
      </w:r>
      <w:r>
        <w:rPr>
          <w:rFonts w:hint="eastAsia" w:ascii="仿宋" w:hAnsi="仿宋" w:eastAsia="仿宋" w:cs="仿宋"/>
          <w:color w:val="auto"/>
          <w:sz w:val="24"/>
          <w:szCs w:val="24"/>
          <w:highlight w:val="none"/>
        </w:rPr>
        <w:t>。</w:t>
      </w:r>
      <w:bookmarkEnd w:id="57"/>
      <w:bookmarkEnd w:id="58"/>
      <w:bookmarkEnd w:id="59"/>
      <w:bookmarkEnd w:id="60"/>
      <w:bookmarkEnd w:id="61"/>
      <w:bookmarkStart w:id="65" w:name="_Toc24662"/>
      <w:bookmarkStart w:id="66" w:name="_Toc3079"/>
      <w:bookmarkStart w:id="67" w:name="_Toc2375"/>
      <w:bookmarkStart w:id="68" w:name="_Toc8586"/>
      <w:bookmarkStart w:id="69" w:name="_Toc5698"/>
    </w:p>
    <w:p w14:paraId="04029F76">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十七、</w:t>
      </w:r>
      <w:r>
        <w:rPr>
          <w:rFonts w:hint="eastAsia" w:ascii="仿宋" w:hAnsi="仿宋" w:eastAsia="仿宋" w:cs="仿宋"/>
          <w:b/>
          <w:color w:val="auto"/>
          <w:sz w:val="24"/>
          <w:szCs w:val="24"/>
          <w:highlight w:val="none"/>
        </w:rPr>
        <w:t>违约责任</w:t>
      </w:r>
    </w:p>
    <w:bookmarkEnd w:id="65"/>
    <w:bookmarkEnd w:id="66"/>
    <w:bookmarkEnd w:id="67"/>
    <w:bookmarkEnd w:id="68"/>
    <w:bookmarkEnd w:id="69"/>
    <w:p w14:paraId="0616AAC9">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bookmarkStart w:id="70" w:name="_Toc26807"/>
      <w:bookmarkStart w:id="71" w:name="_Toc30329"/>
      <w:bookmarkStart w:id="72" w:name="_Toc32454"/>
      <w:bookmarkStart w:id="73" w:name="_Toc18683"/>
      <w:bookmarkStart w:id="74" w:name="_Toc9497"/>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3953EC9">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8A69AD4">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6F8B6D">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17A4B0">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bookmarkEnd w:id="70"/>
    <w:bookmarkEnd w:id="71"/>
    <w:bookmarkEnd w:id="72"/>
    <w:bookmarkEnd w:id="73"/>
    <w:bookmarkEnd w:id="74"/>
    <w:p w14:paraId="4AE1F9E0">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bookmarkStart w:id="75" w:name="_Toc15583"/>
      <w:bookmarkStart w:id="76" w:name="_Toc16021"/>
      <w:bookmarkStart w:id="77" w:name="_Toc28375"/>
      <w:r>
        <w:rPr>
          <w:rFonts w:hint="eastAsia" w:ascii="仿宋" w:hAnsi="仿宋" w:eastAsia="仿宋" w:cs="仿宋"/>
          <w:b/>
          <w:color w:val="auto"/>
          <w:sz w:val="24"/>
          <w:highlight w:val="none"/>
          <w:lang w:val="en-US" w:eastAsia="zh-CN"/>
        </w:rPr>
        <w:t>十八、安全责任：</w:t>
      </w:r>
    </w:p>
    <w:p w14:paraId="7D893BF3">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乙方在项目实施期间应严格遵守国家安全生产规范，及时给员工承保相关保险，杜绝安全事故的发生。如发生安全生产事故由乙方承担一切责任，与采购人无关。</w:t>
      </w:r>
    </w:p>
    <w:p w14:paraId="07C5D7B9">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十九、</w:t>
      </w:r>
      <w:r>
        <w:rPr>
          <w:rFonts w:hint="eastAsia" w:ascii="仿宋" w:hAnsi="仿宋" w:eastAsia="仿宋" w:cs="仿宋"/>
          <w:b/>
          <w:color w:val="auto"/>
          <w:sz w:val="24"/>
          <w:szCs w:val="24"/>
          <w:highlight w:val="none"/>
        </w:rPr>
        <w:t>不可抗力事件处理</w:t>
      </w:r>
    </w:p>
    <w:p w14:paraId="46602439">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3534A926">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2BF5BB0A">
      <w:pPr>
        <w:keepNext w:val="0"/>
        <w:keepLines w:val="0"/>
        <w:pageBreakBefore w:val="0"/>
        <w:widowControl w:val="0"/>
        <w:kinsoku/>
        <w:wordWrap/>
        <w:overflowPunct/>
        <w:topLinePunct w:val="0"/>
        <w:autoSpaceDE/>
        <w:autoSpaceDN/>
        <w:bidi w:val="0"/>
        <w:adjustRightInd w:val="0"/>
        <w:snapToGrid/>
        <w:spacing w:line="450" w:lineRule="exact"/>
        <w:ind w:right="0" w:rightChars="0" w:firstLine="47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不可抗力事件延续120天以上，双方应通过友好协商，确定是否继续履行合同。</w:t>
      </w:r>
    </w:p>
    <w:p w14:paraId="0EBE8A67">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w:t>
      </w:r>
      <w:r>
        <w:rPr>
          <w:rFonts w:hint="eastAsia" w:ascii="仿宋" w:hAnsi="仿宋" w:eastAsia="仿宋" w:cs="仿宋"/>
          <w:b/>
          <w:bCs/>
          <w:color w:val="auto"/>
          <w:kern w:val="0"/>
          <w:sz w:val="24"/>
          <w:highlight w:val="none"/>
        </w:rPr>
        <w:t>税费</w:t>
      </w:r>
    </w:p>
    <w:p w14:paraId="09ABB259">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kern w:val="0"/>
          <w:sz w:val="24"/>
          <w:highlight w:val="none"/>
        </w:rPr>
        <w:t>本合同执行中相关的一切税费均由乙方负担。</w:t>
      </w:r>
    </w:p>
    <w:p w14:paraId="58AA6207">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二十一、</w:t>
      </w:r>
      <w:bookmarkEnd w:id="75"/>
      <w:bookmarkEnd w:id="76"/>
      <w:bookmarkEnd w:id="77"/>
      <w:bookmarkStart w:id="78" w:name="_Toc15322"/>
      <w:bookmarkStart w:id="79" w:name="_Toc11173"/>
      <w:bookmarkStart w:id="80" w:name="_Toc7245"/>
      <w:r>
        <w:rPr>
          <w:rFonts w:hint="eastAsia" w:ascii="仿宋" w:hAnsi="仿宋" w:eastAsia="仿宋" w:cs="仿宋"/>
          <w:b/>
          <w:color w:val="auto"/>
          <w:sz w:val="24"/>
          <w:highlight w:val="none"/>
          <w:lang w:val="en-US" w:eastAsia="zh-CN"/>
        </w:rPr>
        <w:t>合同争议的解决</w:t>
      </w:r>
    </w:p>
    <w:p w14:paraId="30A51A6C">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1CAC42B4">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绍兴市</w:t>
      </w:r>
      <w:r>
        <w:rPr>
          <w:rFonts w:hint="eastAsia" w:ascii="仿宋" w:hAnsi="仿宋" w:eastAsia="仿宋" w:cs="仿宋"/>
          <w:color w:val="auto"/>
          <w:sz w:val="24"/>
          <w:szCs w:val="24"/>
          <w:highlight w:val="none"/>
        </w:rPr>
        <w:t>仲裁委员会依申请仲裁时其现行有效的仲裁规则裁决；</w:t>
      </w:r>
    </w:p>
    <w:p w14:paraId="65A83E8F">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人民法院起诉。</w:t>
      </w:r>
    </w:p>
    <w:p w14:paraId="00CDC549">
      <w:pPr>
        <w:keepNext w:val="0"/>
        <w:keepLines w:val="0"/>
        <w:pageBreakBefore w:val="0"/>
        <w:widowControl w:val="0"/>
        <w:kinsoku/>
        <w:wordWrap/>
        <w:overflowPunct/>
        <w:topLinePunct w:val="0"/>
        <w:autoSpaceDE/>
        <w:autoSpaceDN/>
        <w:bidi w:val="0"/>
        <w:adjustRightInd w:val="0"/>
        <w:snapToGrid/>
        <w:spacing w:line="45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二十二、</w:t>
      </w:r>
      <w:r>
        <w:rPr>
          <w:rFonts w:hint="eastAsia" w:ascii="仿宋" w:hAnsi="仿宋" w:eastAsia="仿宋" w:cs="仿宋"/>
          <w:b/>
          <w:color w:val="auto"/>
          <w:sz w:val="24"/>
          <w:szCs w:val="24"/>
          <w:highlight w:val="none"/>
        </w:rPr>
        <w:t>合同生效及其它</w:t>
      </w:r>
    </w:p>
    <w:p w14:paraId="2BBCE54E">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合同经双方法定代表人或授权代表签字并加盖单位公章后生效。</w:t>
      </w:r>
    </w:p>
    <w:p w14:paraId="13315B1D">
      <w:pPr>
        <w:pStyle w:val="143"/>
        <w:keepNext w:val="0"/>
        <w:keepLines w:val="0"/>
        <w:pageBreakBefore w:val="0"/>
        <w:kinsoku/>
        <w:wordWrap/>
        <w:overflowPunct/>
        <w:topLinePunct w:val="0"/>
        <w:autoSpaceDE/>
        <w:autoSpaceDN/>
        <w:bidi w:val="0"/>
        <w:snapToGrid/>
        <w:spacing w:line="45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145A598F">
      <w:pPr>
        <w:keepNext w:val="0"/>
        <w:keepLines w:val="0"/>
        <w:pageBreakBefore w:val="0"/>
        <w:widowControl w:val="0"/>
        <w:kinsoku/>
        <w:wordWrap/>
        <w:overflowPunct/>
        <w:topLinePunct w:val="0"/>
        <w:autoSpaceDE/>
        <w:autoSpaceDN/>
        <w:bidi w:val="0"/>
        <w:adjustRightInd w:val="0"/>
        <w:snapToGrid/>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本合同正本一式肆份，具有同等法律效力，甲乙双方各执贰份。</w:t>
      </w:r>
    </w:p>
    <w:bookmarkEnd w:id="78"/>
    <w:bookmarkEnd w:id="79"/>
    <w:bookmarkEnd w:id="80"/>
    <w:p w14:paraId="6864672C">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二十三、未尽事宜</w:t>
      </w:r>
    </w:p>
    <w:p w14:paraId="3D7A1C04">
      <w:pPr>
        <w:keepNext w:val="0"/>
        <w:keepLines w:val="0"/>
        <w:pageBreakBefore w:val="0"/>
        <w:widowControl w:val="0"/>
        <w:kinsoku/>
        <w:wordWrap/>
        <w:overflowPunct/>
        <w:topLinePunct w:val="0"/>
        <w:autoSpaceDE/>
        <w:autoSpaceDN/>
        <w:bidi w:val="0"/>
        <w:adjustRightInd w:val="0"/>
        <w:snapToGrid/>
        <w:spacing w:line="450" w:lineRule="exact"/>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本合同若有未尽事宜，双方同意通过友好协商并签署书面文件确定。</w:t>
      </w:r>
    </w:p>
    <w:p w14:paraId="4120EA0F">
      <w:pPr>
        <w:keepNext w:val="0"/>
        <w:keepLines w:val="0"/>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bCs w:val="0"/>
          <w:color w:val="auto"/>
          <w:sz w:val="24"/>
          <w:szCs w:val="24"/>
          <w:lang w:val="en-US" w:eastAsia="zh-CN"/>
        </w:rPr>
      </w:pPr>
    </w:p>
    <w:bookmarkEnd w:id="62"/>
    <w:bookmarkEnd w:id="63"/>
    <w:bookmarkEnd w:id="64"/>
    <w:p w14:paraId="58A0FB41">
      <w:pPr>
        <w:rPr>
          <w:rFonts w:hint="eastAsia" w:ascii="仿宋" w:hAnsi="仿宋" w:eastAsia="仿宋" w:cs="仿宋"/>
          <w:color w:val="auto"/>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14:paraId="6D5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center"/>
          </w:tcPr>
          <w:p w14:paraId="46C4CBB3">
            <w:pPr>
              <w:pStyle w:val="33"/>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color w:val="auto"/>
                <w:sz w:val="24"/>
                <w:szCs w:val="24"/>
              </w:rPr>
              <w:t xml:space="preserve">甲方（盖章）： </w:t>
            </w:r>
          </w:p>
        </w:tc>
        <w:tc>
          <w:tcPr>
            <w:tcW w:w="4587" w:type="dxa"/>
            <w:tcBorders>
              <w:top w:val="nil"/>
              <w:left w:val="nil"/>
              <w:bottom w:val="nil"/>
              <w:right w:val="nil"/>
            </w:tcBorders>
            <w:vAlign w:val="center"/>
          </w:tcPr>
          <w:p w14:paraId="6B5AF164">
            <w:pPr>
              <w:pStyle w:val="33"/>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color w:val="auto"/>
                <w:sz w:val="24"/>
                <w:szCs w:val="24"/>
              </w:rPr>
              <w:t>乙方（盖章）：</w:t>
            </w:r>
          </w:p>
        </w:tc>
      </w:tr>
      <w:tr w14:paraId="149A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714C5922">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法定代表人或</w:t>
            </w:r>
          </w:p>
          <w:p w14:paraId="205AC921">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授权代表（签字）：</w:t>
            </w:r>
          </w:p>
        </w:tc>
        <w:tc>
          <w:tcPr>
            <w:tcW w:w="4587" w:type="dxa"/>
            <w:tcBorders>
              <w:top w:val="nil"/>
              <w:left w:val="nil"/>
              <w:bottom w:val="nil"/>
              <w:right w:val="nil"/>
            </w:tcBorders>
            <w:vAlign w:val="top"/>
          </w:tcPr>
          <w:p w14:paraId="4C880744">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法定代表人或</w:t>
            </w:r>
          </w:p>
          <w:p w14:paraId="6FE5363B">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授权代表（签字）：</w:t>
            </w:r>
          </w:p>
        </w:tc>
      </w:tr>
      <w:tr w14:paraId="1CFE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center"/>
          </w:tcPr>
          <w:p w14:paraId="1B6904B6">
            <w:pPr>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color w:val="auto"/>
                <w:sz w:val="24"/>
                <w:szCs w:val="24"/>
              </w:rPr>
              <w:t>地址：</w:t>
            </w:r>
          </w:p>
        </w:tc>
        <w:tc>
          <w:tcPr>
            <w:tcW w:w="4587" w:type="dxa"/>
            <w:tcBorders>
              <w:top w:val="nil"/>
              <w:left w:val="nil"/>
              <w:bottom w:val="nil"/>
              <w:right w:val="nil"/>
            </w:tcBorders>
            <w:vAlign w:val="center"/>
          </w:tcPr>
          <w:p w14:paraId="587C57E4">
            <w:pPr>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color w:val="auto"/>
                <w:sz w:val="24"/>
                <w:szCs w:val="24"/>
              </w:rPr>
              <w:t>地址：</w:t>
            </w:r>
          </w:p>
        </w:tc>
      </w:tr>
      <w:tr w14:paraId="29F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2574968E">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电话:</w:t>
            </w:r>
          </w:p>
        </w:tc>
        <w:tc>
          <w:tcPr>
            <w:tcW w:w="4587" w:type="dxa"/>
            <w:tcBorders>
              <w:top w:val="nil"/>
              <w:left w:val="nil"/>
              <w:bottom w:val="nil"/>
              <w:right w:val="nil"/>
            </w:tcBorders>
            <w:vAlign w:val="top"/>
          </w:tcPr>
          <w:p w14:paraId="7FE29FC9">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电话:</w:t>
            </w:r>
          </w:p>
        </w:tc>
      </w:tr>
      <w:tr w14:paraId="7918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7B1FF43A">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开户银行：</w:t>
            </w:r>
          </w:p>
        </w:tc>
        <w:tc>
          <w:tcPr>
            <w:tcW w:w="4587" w:type="dxa"/>
            <w:tcBorders>
              <w:top w:val="nil"/>
              <w:left w:val="nil"/>
              <w:bottom w:val="nil"/>
              <w:right w:val="nil"/>
            </w:tcBorders>
            <w:vAlign w:val="top"/>
          </w:tcPr>
          <w:p w14:paraId="620E8C69">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开户银行：</w:t>
            </w:r>
          </w:p>
        </w:tc>
      </w:tr>
      <w:tr w14:paraId="580A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760E8B82">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开户名称：</w:t>
            </w:r>
          </w:p>
        </w:tc>
        <w:tc>
          <w:tcPr>
            <w:tcW w:w="4587" w:type="dxa"/>
            <w:tcBorders>
              <w:top w:val="nil"/>
              <w:left w:val="nil"/>
              <w:bottom w:val="nil"/>
              <w:right w:val="nil"/>
            </w:tcBorders>
            <w:vAlign w:val="top"/>
          </w:tcPr>
          <w:p w14:paraId="2C022AE6">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开户名称：</w:t>
            </w:r>
          </w:p>
        </w:tc>
      </w:tr>
      <w:tr w14:paraId="2F40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35ADF2AE">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开户账号：</w:t>
            </w:r>
          </w:p>
        </w:tc>
        <w:tc>
          <w:tcPr>
            <w:tcW w:w="4587" w:type="dxa"/>
            <w:tcBorders>
              <w:top w:val="nil"/>
              <w:left w:val="nil"/>
              <w:bottom w:val="nil"/>
              <w:right w:val="nil"/>
            </w:tcBorders>
            <w:vAlign w:val="top"/>
          </w:tcPr>
          <w:p w14:paraId="232E10C7">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开户账号：</w:t>
            </w:r>
          </w:p>
        </w:tc>
      </w:tr>
      <w:tr w14:paraId="0938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7C5CD56C">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p>
        </w:tc>
        <w:tc>
          <w:tcPr>
            <w:tcW w:w="4587" w:type="dxa"/>
            <w:tcBorders>
              <w:top w:val="nil"/>
              <w:left w:val="nil"/>
              <w:bottom w:val="nil"/>
              <w:right w:val="nil"/>
            </w:tcBorders>
            <w:vAlign w:val="top"/>
          </w:tcPr>
          <w:p w14:paraId="2A9C20EE">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p>
        </w:tc>
      </w:tr>
      <w:tr w14:paraId="1D1F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632C7768">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p>
        </w:tc>
        <w:tc>
          <w:tcPr>
            <w:tcW w:w="4587" w:type="dxa"/>
            <w:tcBorders>
              <w:top w:val="nil"/>
              <w:left w:val="nil"/>
              <w:bottom w:val="nil"/>
              <w:right w:val="nil"/>
            </w:tcBorders>
            <w:vAlign w:val="top"/>
          </w:tcPr>
          <w:p w14:paraId="1A9D159D">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sz w:val="24"/>
                <w:szCs w:val="24"/>
              </w:rPr>
              <w:t>合同签订地点：</w:t>
            </w:r>
          </w:p>
        </w:tc>
      </w:tr>
      <w:tr w14:paraId="56D4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Borders>
              <w:top w:val="nil"/>
              <w:left w:val="nil"/>
              <w:bottom w:val="nil"/>
              <w:right w:val="nil"/>
            </w:tcBorders>
            <w:vAlign w:val="top"/>
          </w:tcPr>
          <w:p w14:paraId="2A88D8CC">
            <w:pPr>
              <w:pStyle w:val="6"/>
              <w:keepNext/>
              <w:keepLines/>
              <w:pageBreakBefore w:val="0"/>
              <w:widowControl w:val="0"/>
              <w:kinsoku/>
              <w:wordWrap/>
              <w:overflowPunct/>
              <w:topLinePunct w:val="0"/>
              <w:autoSpaceDE/>
              <w:autoSpaceDN/>
              <w:bidi w:val="0"/>
              <w:adjustRightInd w:val="0"/>
              <w:snapToGrid/>
              <w:spacing w:before="0" w:after="0" w:line="500" w:lineRule="exact"/>
              <w:ind w:left="0" w:firstLine="0"/>
              <w:jc w:val="left"/>
              <w:textAlignment w:val="auto"/>
              <w:rPr>
                <w:rFonts w:hint="eastAsia" w:ascii="仿宋" w:hAnsi="仿宋" w:eastAsia="仿宋" w:cs="仿宋"/>
                <w:b w:val="0"/>
                <w:bCs w:val="0"/>
                <w:color w:val="auto"/>
                <w:kern w:val="2"/>
                <w:sz w:val="24"/>
                <w:szCs w:val="24"/>
                <w:lang w:val="zh-CN" w:eastAsia="zh-CN" w:bidi="ar-SA"/>
              </w:rPr>
            </w:pPr>
          </w:p>
        </w:tc>
        <w:tc>
          <w:tcPr>
            <w:tcW w:w="4587" w:type="dxa"/>
            <w:tcBorders>
              <w:top w:val="nil"/>
              <w:left w:val="nil"/>
              <w:bottom w:val="nil"/>
              <w:right w:val="nil"/>
            </w:tcBorders>
            <w:vAlign w:val="top"/>
          </w:tcPr>
          <w:p w14:paraId="2D459468">
            <w:pPr>
              <w:pStyle w:val="6"/>
              <w:keepNext/>
              <w:keepLines/>
              <w:pageBreakBefore w:val="0"/>
              <w:widowControl w:val="0"/>
              <w:kinsoku/>
              <w:wordWrap/>
              <w:overflowPunct/>
              <w:topLinePunct w:val="0"/>
              <w:autoSpaceDE/>
              <w:autoSpaceDN/>
              <w:bidi w:val="0"/>
              <w:adjustRightInd w:val="0"/>
              <w:snapToGrid/>
              <w:spacing w:before="0" w:after="0" w:line="500" w:lineRule="exact"/>
              <w:ind w:left="0" w:leftChars="0"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时间：</w:t>
            </w:r>
            <w:r>
              <w:rPr>
                <w:rFonts w:hint="eastAsia" w:ascii="仿宋" w:hAnsi="仿宋" w:eastAsia="仿宋" w:cs="仿宋"/>
                <w:b w:val="0"/>
                <w:bCs w:val="0"/>
                <w:color w:val="auto"/>
                <w:sz w:val="24"/>
                <w:szCs w:val="24"/>
                <w:lang w:val="en-US" w:eastAsia="zh-CN"/>
              </w:rPr>
              <w:t>2024年 月 日</w:t>
            </w:r>
          </w:p>
        </w:tc>
      </w:tr>
    </w:tbl>
    <w:p w14:paraId="42246466">
      <w:pPr>
        <w:pStyle w:val="6"/>
        <w:rPr>
          <w:rFonts w:hint="eastAsia" w:ascii="仿宋" w:hAnsi="仿宋" w:eastAsia="仿宋" w:cs="仿宋"/>
          <w:color w:val="auto"/>
          <w:sz w:val="21"/>
          <w:szCs w:val="21"/>
          <w:lang w:val="zh-CN"/>
        </w:rPr>
      </w:pPr>
    </w:p>
    <w:p w14:paraId="37B01852">
      <w:pPr>
        <w:rPr>
          <w:rFonts w:hint="eastAsia" w:ascii="仿宋" w:hAnsi="仿宋" w:eastAsia="仿宋" w:cs="仿宋"/>
          <w:color w:val="auto"/>
          <w:sz w:val="21"/>
          <w:szCs w:val="21"/>
          <w:lang w:val="zh-CN"/>
        </w:rPr>
      </w:pPr>
    </w:p>
    <w:p w14:paraId="03197D69">
      <w:pPr>
        <w:rPr>
          <w:rFonts w:hint="eastAsia" w:ascii="仿宋" w:hAnsi="仿宋" w:eastAsia="仿宋" w:cs="仿宋"/>
          <w:lang w:val="zh-CN"/>
        </w:rPr>
      </w:pPr>
    </w:p>
    <w:p w14:paraId="1EAA2400">
      <w:pPr>
        <w:pStyle w:val="80"/>
        <w:rPr>
          <w:rFonts w:hint="eastAsia" w:ascii="仿宋" w:hAnsi="仿宋" w:eastAsia="仿宋" w:cs="仿宋"/>
          <w:color w:val="auto"/>
          <w:sz w:val="21"/>
          <w:szCs w:val="21"/>
        </w:rPr>
      </w:pPr>
    </w:p>
    <w:p w14:paraId="47DD4BA3">
      <w:pPr>
        <w:pStyle w:val="80"/>
        <w:rPr>
          <w:rFonts w:hint="eastAsia" w:ascii="仿宋" w:hAnsi="仿宋" w:eastAsia="仿宋" w:cs="仿宋"/>
          <w:color w:val="auto"/>
          <w:sz w:val="21"/>
          <w:szCs w:val="21"/>
        </w:rPr>
      </w:pPr>
    </w:p>
    <w:p w14:paraId="41D7A788">
      <w:pPr>
        <w:pStyle w:val="80"/>
        <w:rPr>
          <w:rFonts w:hint="eastAsia" w:ascii="仿宋" w:hAnsi="仿宋" w:eastAsia="仿宋" w:cs="仿宋"/>
          <w:color w:val="auto"/>
          <w:sz w:val="21"/>
          <w:szCs w:val="21"/>
        </w:rPr>
      </w:pPr>
    </w:p>
    <w:p w14:paraId="039A0AA8">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第五部分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评标方法及标准</w:t>
      </w:r>
    </w:p>
    <w:p w14:paraId="3D1742B5">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1、评标方法：</w:t>
      </w:r>
    </w:p>
    <w:p w14:paraId="54CFB04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FD3B45F">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2.评分标准：</w:t>
      </w:r>
      <w:r>
        <w:rPr>
          <w:rFonts w:hint="eastAsia" w:ascii="仿宋" w:hAnsi="仿宋" w:eastAsia="仿宋" w:cs="仿宋"/>
          <w:color w:val="auto"/>
          <w:sz w:val="24"/>
          <w:szCs w:val="24"/>
        </w:rPr>
        <w:t>共100分，其中商务技术分</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分，价格分</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分。评分依下述所列为评标打分依据，分值如下（计算分值时，按其算术平均值保留小数2位）。</w:t>
      </w:r>
    </w:p>
    <w:p w14:paraId="1754BC99">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2.1商务技术分（</w:t>
      </w:r>
      <w:r>
        <w:rPr>
          <w:rFonts w:hint="eastAsia" w:ascii="仿宋" w:hAnsi="仿宋" w:eastAsia="仿宋" w:cs="仿宋"/>
          <w:b/>
          <w:bCs/>
          <w:iCs/>
          <w:color w:val="auto"/>
          <w:sz w:val="24"/>
          <w:szCs w:val="24"/>
          <w:lang w:val="en-US" w:eastAsia="zh-CN"/>
        </w:rPr>
        <w:t>70</w:t>
      </w:r>
      <w:r>
        <w:rPr>
          <w:rFonts w:hint="eastAsia" w:ascii="仿宋" w:hAnsi="仿宋" w:eastAsia="仿宋" w:cs="仿宋"/>
          <w:b/>
          <w:bCs/>
          <w:iCs/>
          <w:color w:val="auto"/>
          <w:sz w:val="24"/>
          <w:szCs w:val="24"/>
        </w:rPr>
        <w:t>分）</w:t>
      </w:r>
    </w:p>
    <w:tbl>
      <w:tblPr>
        <w:tblStyle w:val="62"/>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08"/>
        <w:gridCol w:w="1514"/>
        <w:gridCol w:w="6351"/>
        <w:gridCol w:w="681"/>
      </w:tblGrid>
      <w:tr w14:paraId="4056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Align w:val="center"/>
          </w:tcPr>
          <w:p w14:paraId="45FD8D48">
            <w:pPr>
              <w:pStyle w:val="24"/>
              <w:keepNext w:val="0"/>
              <w:keepLines w:val="0"/>
              <w:pageBreakBefore w:val="0"/>
              <w:kinsoku/>
              <w:wordWrap/>
              <w:overflowPunct/>
              <w:topLinePunct w:val="0"/>
              <w:bidi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w w:val="95"/>
                <w:sz w:val="24"/>
                <w:szCs w:val="24"/>
              </w:rPr>
              <w:t>序号</w:t>
            </w:r>
          </w:p>
        </w:tc>
        <w:tc>
          <w:tcPr>
            <w:tcW w:w="1514" w:type="dxa"/>
            <w:vAlign w:val="center"/>
          </w:tcPr>
          <w:p w14:paraId="26128E47">
            <w:pPr>
              <w:pStyle w:val="24"/>
              <w:keepNext w:val="0"/>
              <w:keepLines w:val="0"/>
              <w:pageBreakBefore w:val="0"/>
              <w:kinsoku/>
              <w:wordWrap/>
              <w:overflowPunct/>
              <w:topLinePunct w:val="0"/>
              <w:bidi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w w:val="95"/>
                <w:sz w:val="24"/>
                <w:szCs w:val="24"/>
              </w:rPr>
              <w:t>评标内容</w:t>
            </w:r>
          </w:p>
        </w:tc>
        <w:tc>
          <w:tcPr>
            <w:tcW w:w="6351" w:type="dxa"/>
            <w:vAlign w:val="center"/>
          </w:tcPr>
          <w:p w14:paraId="3E6F0BFC">
            <w:pPr>
              <w:pStyle w:val="24"/>
              <w:keepNext w:val="0"/>
              <w:keepLines w:val="0"/>
              <w:pageBreakBefore w:val="0"/>
              <w:kinsoku/>
              <w:wordWrap/>
              <w:overflowPunct/>
              <w:topLinePunct w:val="0"/>
              <w:bidi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评分项目</w:t>
            </w:r>
          </w:p>
        </w:tc>
        <w:tc>
          <w:tcPr>
            <w:tcW w:w="681" w:type="dxa"/>
            <w:vAlign w:val="center"/>
          </w:tcPr>
          <w:p w14:paraId="4E2E403C">
            <w:pPr>
              <w:pStyle w:val="24"/>
              <w:keepNext w:val="0"/>
              <w:keepLines w:val="0"/>
              <w:pageBreakBefore w:val="0"/>
              <w:kinsoku/>
              <w:wordWrap/>
              <w:overflowPunct/>
              <w:topLinePunct w:val="0"/>
              <w:bidi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w w:val="95"/>
                <w:sz w:val="24"/>
                <w:szCs w:val="24"/>
              </w:rPr>
              <w:t>分值</w:t>
            </w:r>
          </w:p>
        </w:tc>
      </w:tr>
      <w:tr w14:paraId="5A995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restart"/>
            <w:vAlign w:val="center"/>
          </w:tcPr>
          <w:p w14:paraId="29CCE22A">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514" w:type="dxa"/>
            <w:vMerge w:val="restart"/>
            <w:vAlign w:val="center"/>
          </w:tcPr>
          <w:p w14:paraId="6D85CD9C">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制造商</w:t>
            </w:r>
          </w:p>
          <w:p w14:paraId="7DB42367">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综合实力</w:t>
            </w:r>
          </w:p>
        </w:tc>
        <w:tc>
          <w:tcPr>
            <w:tcW w:w="6351" w:type="dxa"/>
            <w:vAlign w:val="center"/>
          </w:tcPr>
          <w:p w14:paraId="2FEC92A6">
            <w:pPr>
              <w:pStyle w:val="24"/>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所投品牌的电梯制造商曳引式客梯资质最高速度V可达10.0m/s的得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分，8.0m/s≤最高速度V＜10.0m/s的得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分，6.0m/s≤最高速度V＜8.0m/s的得1分，其余不得分。</w:t>
            </w:r>
          </w:p>
          <w:p w14:paraId="3CB45C0F">
            <w:pPr>
              <w:pStyle w:val="24"/>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color w:val="auto"/>
              </w:rPr>
            </w:pPr>
            <w:r>
              <w:rPr>
                <w:rFonts w:hint="eastAsia" w:ascii="仿宋" w:hAnsi="仿宋" w:eastAsia="仿宋" w:cs="仿宋"/>
                <w:b w:val="0"/>
                <w:bCs/>
                <w:color w:val="auto"/>
                <w:sz w:val="24"/>
                <w:szCs w:val="24"/>
              </w:rPr>
              <w:t>所投品牌的电梯制造商曳引式</w:t>
            </w:r>
            <w:r>
              <w:rPr>
                <w:rFonts w:hint="eastAsia" w:ascii="仿宋" w:hAnsi="仿宋" w:eastAsia="仿宋" w:cs="仿宋"/>
                <w:b w:val="0"/>
                <w:bCs/>
                <w:color w:val="auto"/>
                <w:sz w:val="24"/>
                <w:szCs w:val="24"/>
                <w:lang w:val="en-US" w:eastAsia="zh-CN"/>
              </w:rPr>
              <w:t>消防梯</w:t>
            </w:r>
            <w:r>
              <w:rPr>
                <w:rFonts w:hint="eastAsia" w:ascii="仿宋" w:hAnsi="仿宋" w:eastAsia="仿宋" w:cs="仿宋"/>
                <w:b w:val="0"/>
                <w:bCs/>
                <w:color w:val="auto"/>
                <w:sz w:val="24"/>
                <w:szCs w:val="24"/>
              </w:rPr>
              <w:t>资质最高速度V可达10.0m/s的得</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分，8.0m/s≤最高速度V＜10.0m/s的得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分，6.0m/s≤最高速度V＜8.0m/s的得1分，其余不得分。</w:t>
            </w:r>
          </w:p>
          <w:p w14:paraId="2B4F1A9C">
            <w:pPr>
              <w:pStyle w:val="24"/>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bCs w:val="0"/>
                <w:color w:val="FF0000"/>
                <w:sz w:val="24"/>
                <w:szCs w:val="24"/>
              </w:rPr>
              <w:t>（提供电梯制造商型式试验报告</w:t>
            </w:r>
            <w:r>
              <w:rPr>
                <w:rFonts w:hint="eastAsia" w:ascii="仿宋" w:hAnsi="仿宋" w:eastAsia="仿宋" w:cs="仿宋"/>
                <w:b/>
                <w:bCs w:val="0"/>
                <w:strike w:val="0"/>
                <w:dstrike w:val="0"/>
                <w:color w:val="FF0000"/>
                <w:sz w:val="24"/>
                <w:szCs w:val="24"/>
                <w:highlight w:val="none"/>
                <w:lang w:val="en-US" w:eastAsia="zh-CN"/>
              </w:rPr>
              <w:t>扫描件，</w:t>
            </w:r>
            <w:r>
              <w:rPr>
                <w:rFonts w:hint="eastAsia" w:ascii="仿宋" w:hAnsi="仿宋" w:eastAsia="仿宋" w:cs="仿宋"/>
                <w:b/>
                <w:bCs w:val="0"/>
                <w:color w:val="FF0000"/>
                <w:sz w:val="24"/>
                <w:szCs w:val="24"/>
              </w:rPr>
              <w:t>不提供不得分）</w:t>
            </w:r>
          </w:p>
        </w:tc>
        <w:tc>
          <w:tcPr>
            <w:tcW w:w="681" w:type="dxa"/>
            <w:vAlign w:val="center"/>
          </w:tcPr>
          <w:p w14:paraId="2D086BBA">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w w:val="95"/>
                <w:sz w:val="24"/>
                <w:szCs w:val="24"/>
              </w:rPr>
            </w:pP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1BD2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vAlign w:val="center"/>
          </w:tcPr>
          <w:p w14:paraId="5381FB87">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p>
        </w:tc>
        <w:tc>
          <w:tcPr>
            <w:tcW w:w="1514" w:type="dxa"/>
            <w:vMerge w:val="continue"/>
            <w:vAlign w:val="center"/>
          </w:tcPr>
          <w:p w14:paraId="0C11259C">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6351" w:type="dxa"/>
            <w:vAlign w:val="center"/>
          </w:tcPr>
          <w:p w14:paraId="1567B925">
            <w:pPr>
              <w:pStyle w:val="24"/>
              <w:keepNext w:val="0"/>
              <w:keepLines w:val="0"/>
              <w:pageBreakBefore w:val="0"/>
              <w:kinsoku/>
              <w:wordWrap/>
              <w:overflowPunct/>
              <w:topLinePunct w:val="0"/>
              <w:bidi w:val="0"/>
              <w:snapToGrid w:val="0"/>
              <w:spacing w:line="480" w:lineRule="exact"/>
              <w:ind w:firstLine="0"/>
              <w:jc w:val="left"/>
              <w:textAlignment w:val="auto"/>
              <w:rPr>
                <w:rFonts w:hint="eastAsia" w:ascii="仿宋" w:hAnsi="仿宋" w:eastAsia="仿宋" w:cs="仿宋"/>
                <w:b w:val="0"/>
                <w:bCs/>
                <w:sz w:val="24"/>
                <w:szCs w:val="24"/>
              </w:rPr>
            </w:pPr>
            <w:r>
              <w:rPr>
                <w:rFonts w:hint="eastAsia" w:ascii="仿宋" w:hAnsi="仿宋" w:eastAsia="仿宋" w:cs="仿宋"/>
                <w:b w:val="0"/>
                <w:bCs/>
                <w:kern w:val="0"/>
                <w:sz w:val="24"/>
                <w:szCs w:val="24"/>
                <w:lang w:val="en-US" w:eastAsia="zh-CN"/>
              </w:rPr>
              <w:t>所投品牌生产厂家的实力：市场占有率、产品稳定性、技术力量、信誉、品牌知名度等进行酌情打分（</w:t>
            </w:r>
            <w:r>
              <w:rPr>
                <w:rFonts w:hint="eastAsia" w:ascii="仿宋" w:hAnsi="仿宋" w:eastAsia="仿宋" w:cs="仿宋"/>
                <w:b w:val="0"/>
                <w:bCs/>
                <w:kern w:val="0"/>
                <w:sz w:val="24"/>
                <w:szCs w:val="24"/>
              </w:rPr>
              <w:t>0-</w:t>
            </w:r>
            <w:r>
              <w:rPr>
                <w:rFonts w:hint="eastAsia" w:ascii="仿宋" w:hAnsi="仿宋" w:eastAsia="仿宋" w:cs="仿宋"/>
                <w:b w:val="0"/>
                <w:bCs/>
                <w:kern w:val="0"/>
                <w:sz w:val="24"/>
                <w:szCs w:val="24"/>
                <w:lang w:val="en-US" w:eastAsia="zh-CN"/>
              </w:rPr>
              <w:t>5</w:t>
            </w:r>
            <w:r>
              <w:rPr>
                <w:rFonts w:hint="eastAsia" w:ascii="仿宋" w:hAnsi="仿宋" w:eastAsia="仿宋" w:cs="仿宋"/>
                <w:b w:val="0"/>
                <w:bCs/>
                <w:kern w:val="0"/>
                <w:sz w:val="24"/>
                <w:szCs w:val="24"/>
              </w:rPr>
              <w:t>分）。</w:t>
            </w:r>
          </w:p>
        </w:tc>
        <w:tc>
          <w:tcPr>
            <w:tcW w:w="681" w:type="dxa"/>
            <w:vAlign w:val="center"/>
          </w:tcPr>
          <w:p w14:paraId="0BF8F9F7">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17796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shd w:val="clear" w:color="auto" w:fill="auto"/>
            <w:vAlign w:val="center"/>
          </w:tcPr>
          <w:p w14:paraId="363BFD52">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1514" w:type="dxa"/>
            <w:vMerge w:val="continue"/>
            <w:shd w:val="clear" w:color="auto" w:fill="auto"/>
            <w:vAlign w:val="center"/>
          </w:tcPr>
          <w:p w14:paraId="687A3F82">
            <w:pPr>
              <w:pStyle w:val="59"/>
              <w:keepNext w:val="0"/>
              <w:keepLines w:val="0"/>
              <w:pageBreakBefore w:val="0"/>
              <w:kinsoku/>
              <w:wordWrap/>
              <w:overflowPunct/>
              <w:topLinePunct w:val="0"/>
              <w:bidi w:val="0"/>
              <w:spacing w:line="480" w:lineRule="exact"/>
              <w:ind w:firstLine="0" w:firstLineChars="0"/>
              <w:jc w:val="center"/>
              <w:textAlignment w:val="auto"/>
              <w:rPr>
                <w:rFonts w:hint="eastAsia" w:ascii="仿宋" w:hAnsi="仿宋" w:eastAsia="仿宋" w:cs="仿宋"/>
                <w:b w:val="0"/>
                <w:bCs/>
                <w:sz w:val="24"/>
                <w:szCs w:val="24"/>
              </w:rPr>
            </w:pPr>
          </w:p>
        </w:tc>
        <w:tc>
          <w:tcPr>
            <w:tcW w:w="6351" w:type="dxa"/>
            <w:shd w:val="clear" w:color="auto" w:fill="auto"/>
            <w:vAlign w:val="center"/>
          </w:tcPr>
          <w:p w14:paraId="76A2A9B5">
            <w:pPr>
              <w:pStyle w:val="24"/>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rPr>
              <w:t>投标产品制造商具有ISO9001质量管理体系认证证书、ISO140</w:t>
            </w:r>
            <w:r>
              <w:rPr>
                <w:rFonts w:hint="eastAsia" w:ascii="仿宋" w:hAnsi="仿宋" w:eastAsia="仿宋" w:cs="仿宋"/>
                <w:b w:val="0"/>
                <w:bCs/>
                <w:color w:val="auto"/>
                <w:sz w:val="24"/>
                <w:szCs w:val="24"/>
              </w:rPr>
              <w:t>01 环境管理体系认证证书、ISO45001 职业健康安全管理体系认证证书，ISO50001 能源管理体系认证证书，以上四项证书齐全得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分，缺1项</w:t>
            </w:r>
            <w:r>
              <w:rPr>
                <w:rFonts w:hint="eastAsia" w:ascii="仿宋" w:hAnsi="仿宋" w:eastAsia="仿宋" w:cs="仿宋"/>
                <w:b w:val="0"/>
                <w:bCs/>
                <w:color w:val="auto"/>
                <w:sz w:val="24"/>
                <w:szCs w:val="24"/>
                <w:lang w:val="en-US" w:eastAsia="zh-CN"/>
              </w:rPr>
              <w:t>得1</w:t>
            </w:r>
            <w:r>
              <w:rPr>
                <w:rFonts w:hint="eastAsia" w:ascii="仿宋" w:hAnsi="仿宋" w:eastAsia="仿宋" w:cs="仿宋"/>
                <w:b w:val="0"/>
                <w:bCs/>
                <w:color w:val="auto"/>
                <w:sz w:val="24"/>
                <w:szCs w:val="24"/>
              </w:rPr>
              <w:t>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缺2项</w:t>
            </w:r>
            <w:r>
              <w:rPr>
                <w:rFonts w:hint="eastAsia" w:ascii="仿宋" w:hAnsi="仿宋" w:eastAsia="仿宋" w:cs="仿宋"/>
                <w:b w:val="0"/>
                <w:bCs/>
                <w:color w:val="auto"/>
                <w:sz w:val="24"/>
                <w:szCs w:val="24"/>
                <w:lang w:val="en-US" w:eastAsia="zh-CN"/>
              </w:rPr>
              <w:t>及以上</w:t>
            </w:r>
            <w:r>
              <w:rPr>
                <w:rFonts w:hint="eastAsia" w:ascii="仿宋" w:hAnsi="仿宋" w:eastAsia="仿宋" w:cs="仿宋"/>
                <w:b w:val="0"/>
                <w:bCs/>
                <w:color w:val="auto"/>
                <w:sz w:val="24"/>
                <w:szCs w:val="24"/>
              </w:rPr>
              <w:t>不得分</w:t>
            </w:r>
            <w:r>
              <w:rPr>
                <w:rFonts w:hint="eastAsia" w:ascii="仿宋" w:hAnsi="仿宋" w:eastAsia="仿宋" w:cs="仿宋"/>
                <w:b w:val="0"/>
                <w:bCs/>
                <w:color w:val="auto"/>
                <w:sz w:val="24"/>
                <w:szCs w:val="24"/>
                <w:lang w:eastAsia="zh-CN"/>
              </w:rPr>
              <w:t>。</w:t>
            </w:r>
          </w:p>
          <w:p w14:paraId="1B009B89">
            <w:pPr>
              <w:pStyle w:val="517"/>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bCs w:val="0"/>
                <w:color w:val="FF0000"/>
                <w:sz w:val="24"/>
                <w:szCs w:val="24"/>
                <w:lang w:eastAsia="zh-CN"/>
              </w:rPr>
            </w:pPr>
            <w:r>
              <w:rPr>
                <w:rFonts w:hint="eastAsia" w:ascii="仿宋" w:hAnsi="仿宋" w:eastAsia="仿宋" w:cs="仿宋"/>
                <w:b/>
                <w:bCs w:val="0"/>
                <w:color w:val="FF0000"/>
                <w:sz w:val="24"/>
                <w:szCs w:val="24"/>
                <w:lang w:eastAsia="zh-CN"/>
              </w:rPr>
              <w:t>（</w:t>
            </w:r>
            <w:r>
              <w:rPr>
                <w:rFonts w:hint="eastAsia" w:ascii="仿宋" w:hAnsi="仿宋" w:eastAsia="仿宋" w:cs="仿宋"/>
                <w:b/>
                <w:bCs w:val="0"/>
                <w:color w:val="FF0000"/>
                <w:sz w:val="24"/>
                <w:szCs w:val="24"/>
              </w:rPr>
              <w:t>提供</w:t>
            </w:r>
            <w:r>
              <w:rPr>
                <w:rFonts w:hint="eastAsia" w:ascii="仿宋" w:hAnsi="仿宋" w:eastAsia="仿宋" w:cs="仿宋"/>
                <w:b/>
                <w:bCs w:val="0"/>
                <w:color w:val="FF0000"/>
                <w:sz w:val="24"/>
                <w:szCs w:val="24"/>
                <w:lang w:val="en-US" w:eastAsia="zh-CN"/>
              </w:rPr>
              <w:t>相关</w:t>
            </w:r>
            <w:r>
              <w:rPr>
                <w:rFonts w:hint="eastAsia" w:ascii="仿宋" w:hAnsi="仿宋" w:eastAsia="仿宋" w:cs="仿宋"/>
                <w:b/>
                <w:bCs w:val="0"/>
                <w:color w:val="FF0000"/>
                <w:sz w:val="24"/>
                <w:szCs w:val="24"/>
              </w:rPr>
              <w:t>证书</w:t>
            </w:r>
            <w:r>
              <w:rPr>
                <w:rFonts w:hint="eastAsia" w:ascii="仿宋" w:hAnsi="仿宋" w:eastAsia="仿宋" w:cs="仿宋"/>
                <w:b/>
                <w:bCs w:val="0"/>
                <w:strike w:val="0"/>
                <w:dstrike w:val="0"/>
                <w:color w:val="FF0000"/>
                <w:sz w:val="24"/>
                <w:szCs w:val="24"/>
                <w:highlight w:val="none"/>
                <w:lang w:val="en-US" w:eastAsia="zh-CN"/>
              </w:rPr>
              <w:t>扫描件或官网截图</w:t>
            </w:r>
            <w:r>
              <w:rPr>
                <w:rFonts w:hint="eastAsia" w:ascii="仿宋" w:hAnsi="仿宋" w:eastAsia="仿宋" w:cs="仿宋"/>
                <w:b/>
                <w:bCs w:val="0"/>
                <w:color w:val="FF0000"/>
                <w:sz w:val="24"/>
                <w:szCs w:val="24"/>
              </w:rPr>
              <w:t>，不提供不得分</w:t>
            </w:r>
            <w:r>
              <w:rPr>
                <w:rFonts w:hint="eastAsia" w:ascii="仿宋" w:hAnsi="仿宋" w:eastAsia="仿宋" w:cs="仿宋"/>
                <w:b/>
                <w:bCs w:val="0"/>
                <w:color w:val="FF0000"/>
                <w:sz w:val="24"/>
                <w:szCs w:val="24"/>
                <w:lang w:eastAsia="zh-CN"/>
              </w:rPr>
              <w:t>）</w:t>
            </w:r>
          </w:p>
        </w:tc>
        <w:tc>
          <w:tcPr>
            <w:tcW w:w="681" w:type="dxa"/>
            <w:shd w:val="clear" w:color="auto" w:fill="auto"/>
            <w:vAlign w:val="center"/>
          </w:tcPr>
          <w:p w14:paraId="61E66630">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2分</w:t>
            </w:r>
          </w:p>
        </w:tc>
      </w:tr>
      <w:tr w14:paraId="5959F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shd w:val="clear" w:color="auto" w:fill="auto"/>
            <w:vAlign w:val="center"/>
          </w:tcPr>
          <w:p w14:paraId="266A365C">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zh-CN" w:eastAsia="zh-CN" w:bidi="ar-SA"/>
              </w:rPr>
            </w:pPr>
            <w:r>
              <w:rPr>
                <w:rFonts w:hint="eastAsia" w:ascii="仿宋" w:hAnsi="仿宋" w:eastAsia="仿宋" w:cs="仿宋"/>
                <w:b w:val="0"/>
                <w:bCs/>
                <w:sz w:val="24"/>
                <w:szCs w:val="24"/>
              </w:rPr>
              <w:t>2</w:t>
            </w:r>
          </w:p>
        </w:tc>
        <w:tc>
          <w:tcPr>
            <w:tcW w:w="1514" w:type="dxa"/>
            <w:shd w:val="clear" w:color="auto" w:fill="auto"/>
            <w:vAlign w:val="center"/>
          </w:tcPr>
          <w:p w14:paraId="0C3B68A2">
            <w:pPr>
              <w:pStyle w:val="59"/>
              <w:keepNext w:val="0"/>
              <w:keepLines w:val="0"/>
              <w:pageBreakBefore w:val="0"/>
              <w:kinsoku/>
              <w:wordWrap/>
              <w:overflowPunct/>
              <w:topLinePunct w:val="0"/>
              <w:bidi w:val="0"/>
              <w:spacing w:line="480" w:lineRule="exact"/>
              <w:ind w:firstLine="0" w:firstLineChars="0"/>
              <w:jc w:val="center"/>
              <w:textAlignment w:val="auto"/>
              <w:rPr>
                <w:rFonts w:hint="eastAsia" w:ascii="仿宋" w:hAnsi="仿宋" w:eastAsia="仿宋" w:cs="仿宋"/>
                <w:b w:val="0"/>
                <w:bCs/>
                <w:kern w:val="0"/>
                <w:sz w:val="24"/>
                <w:szCs w:val="24"/>
                <w:lang w:val="en-GB" w:eastAsia="zh-CN" w:bidi="ar-SA"/>
              </w:rPr>
            </w:pPr>
            <w:r>
              <w:rPr>
                <w:rFonts w:hint="eastAsia" w:ascii="仿宋" w:hAnsi="仿宋" w:eastAsia="仿宋" w:cs="仿宋"/>
                <w:b w:val="0"/>
                <w:bCs/>
                <w:sz w:val="24"/>
                <w:szCs w:val="24"/>
              </w:rPr>
              <w:t>业绩</w:t>
            </w:r>
          </w:p>
        </w:tc>
        <w:tc>
          <w:tcPr>
            <w:tcW w:w="6351" w:type="dxa"/>
            <w:shd w:val="clear" w:color="auto" w:fill="auto"/>
            <w:vAlign w:val="center"/>
          </w:tcPr>
          <w:p w14:paraId="084558EF">
            <w:pPr>
              <w:pStyle w:val="517"/>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投标人提供近3年</w:t>
            </w:r>
            <w:r>
              <w:rPr>
                <w:rFonts w:hint="eastAsia" w:ascii="仿宋" w:hAnsi="仿宋" w:eastAsia="仿宋" w:cs="仿宋"/>
                <w:b w:val="0"/>
                <w:bCs/>
                <w:sz w:val="24"/>
                <w:szCs w:val="24"/>
              </w:rPr>
              <w:t>以来(以合同签订时间为准），具有</w:t>
            </w:r>
            <w:r>
              <w:rPr>
                <w:rFonts w:hint="eastAsia" w:ascii="仿宋" w:hAnsi="仿宋" w:eastAsia="仿宋" w:cs="仿宋"/>
                <w:b w:val="0"/>
                <w:bCs/>
                <w:sz w:val="24"/>
                <w:szCs w:val="24"/>
                <w:lang w:val="en-US" w:eastAsia="zh-CN"/>
              </w:rPr>
              <w:t>所投品牌</w:t>
            </w:r>
            <w:r>
              <w:rPr>
                <w:rFonts w:hint="eastAsia" w:ascii="仿宋" w:hAnsi="仿宋" w:eastAsia="仿宋" w:cs="仿宋"/>
                <w:b w:val="0"/>
                <w:bCs/>
                <w:sz w:val="24"/>
                <w:szCs w:val="24"/>
              </w:rPr>
              <w:t>项目业绩每提供一个得1分，最多得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2D416F2D">
            <w:pPr>
              <w:pStyle w:val="517"/>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pacing w:val="-5"/>
                <w:kern w:val="0"/>
                <w:sz w:val="24"/>
                <w:szCs w:val="24"/>
                <w:lang w:val="en-US" w:eastAsia="zh-CN" w:bidi="ar-SA"/>
              </w:rPr>
            </w:pPr>
            <w:r>
              <w:rPr>
                <w:rFonts w:hint="eastAsia" w:ascii="仿宋" w:hAnsi="仿宋" w:eastAsia="仿宋" w:cs="仿宋"/>
                <w:b/>
                <w:bCs w:val="0"/>
                <w:color w:val="FF0000"/>
                <w:sz w:val="24"/>
                <w:szCs w:val="24"/>
                <w:lang w:eastAsia="zh-CN"/>
              </w:rPr>
              <w:t>（</w:t>
            </w:r>
            <w:r>
              <w:rPr>
                <w:rFonts w:hint="eastAsia" w:ascii="仿宋" w:hAnsi="仿宋" w:eastAsia="仿宋" w:cs="仿宋"/>
                <w:b/>
                <w:bCs w:val="0"/>
                <w:color w:val="FF0000"/>
                <w:sz w:val="24"/>
                <w:szCs w:val="24"/>
                <w:lang w:val="en-US" w:eastAsia="zh-CN"/>
              </w:rPr>
              <w:t>提供</w:t>
            </w:r>
            <w:r>
              <w:rPr>
                <w:rFonts w:hint="eastAsia" w:ascii="仿宋" w:hAnsi="仿宋" w:eastAsia="仿宋" w:cs="仿宋"/>
                <w:b/>
                <w:bCs w:val="0"/>
                <w:color w:val="FF0000"/>
                <w:sz w:val="24"/>
                <w:szCs w:val="24"/>
              </w:rPr>
              <w:t>相关合同</w:t>
            </w:r>
            <w:r>
              <w:rPr>
                <w:rFonts w:hint="eastAsia" w:ascii="仿宋" w:hAnsi="仿宋" w:eastAsia="仿宋" w:cs="仿宋"/>
                <w:b/>
                <w:bCs w:val="0"/>
                <w:color w:val="FF0000"/>
                <w:sz w:val="24"/>
                <w:szCs w:val="24"/>
                <w:lang w:eastAsia="zh-CN"/>
              </w:rPr>
              <w:t>扫描</w:t>
            </w:r>
            <w:r>
              <w:rPr>
                <w:rFonts w:hint="eastAsia" w:ascii="仿宋" w:hAnsi="仿宋" w:eastAsia="仿宋" w:cs="仿宋"/>
                <w:b/>
                <w:bCs w:val="0"/>
                <w:color w:val="FF0000"/>
                <w:sz w:val="24"/>
                <w:szCs w:val="24"/>
              </w:rPr>
              <w:t>件</w:t>
            </w:r>
            <w:r>
              <w:rPr>
                <w:rFonts w:hint="eastAsia" w:ascii="仿宋" w:hAnsi="仿宋" w:eastAsia="仿宋" w:cs="仿宋"/>
                <w:b/>
                <w:bCs w:val="0"/>
                <w:color w:val="FF0000"/>
                <w:sz w:val="24"/>
                <w:szCs w:val="24"/>
                <w:lang w:val="en-US" w:eastAsia="zh-CN"/>
              </w:rPr>
              <w:t>及验收报告）</w:t>
            </w:r>
          </w:p>
        </w:tc>
        <w:tc>
          <w:tcPr>
            <w:tcW w:w="681" w:type="dxa"/>
            <w:shd w:val="clear" w:color="auto" w:fill="auto"/>
            <w:vAlign w:val="center"/>
          </w:tcPr>
          <w:p w14:paraId="7C5C7148">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en-US" w:eastAsia="zh-CN" w:bidi="ar-SA"/>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tc>
      </w:tr>
      <w:tr w14:paraId="3A5E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shd w:val="clear" w:color="auto" w:fill="auto"/>
            <w:vAlign w:val="center"/>
          </w:tcPr>
          <w:p w14:paraId="4CB3B37A">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zh-CN" w:eastAsia="zh-CN" w:bidi="ar-SA"/>
              </w:rPr>
            </w:pPr>
            <w:r>
              <w:rPr>
                <w:rFonts w:hint="eastAsia" w:ascii="仿宋" w:hAnsi="仿宋" w:eastAsia="仿宋" w:cs="仿宋"/>
                <w:b w:val="0"/>
                <w:bCs/>
                <w:sz w:val="24"/>
                <w:szCs w:val="24"/>
              </w:rPr>
              <w:t>3</w:t>
            </w:r>
          </w:p>
        </w:tc>
        <w:tc>
          <w:tcPr>
            <w:tcW w:w="1514" w:type="dxa"/>
            <w:vAlign w:val="center"/>
          </w:tcPr>
          <w:p w14:paraId="04544196">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整机性能</w:t>
            </w:r>
          </w:p>
        </w:tc>
        <w:tc>
          <w:tcPr>
            <w:tcW w:w="6351" w:type="dxa"/>
            <w:vAlign w:val="center"/>
          </w:tcPr>
          <w:p w14:paraId="787B8CEC">
            <w:pPr>
              <w:pStyle w:val="24"/>
              <w:keepNext w:val="0"/>
              <w:keepLines w:val="0"/>
              <w:pageBreakBefore w:val="0"/>
              <w:kinsoku/>
              <w:wordWrap/>
              <w:overflowPunct/>
              <w:topLinePunct w:val="0"/>
              <w:bidi w:val="0"/>
              <w:snapToGrid w:val="0"/>
              <w:spacing w:line="480" w:lineRule="exact"/>
              <w:ind w:firstLine="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投标人对所选垂直客梯产品型号，对投标产品的节能性，安全可靠性，在品牌系列型号中的先进性，进行综合评价。</w:t>
            </w:r>
          </w:p>
        </w:tc>
        <w:tc>
          <w:tcPr>
            <w:tcW w:w="681" w:type="dxa"/>
            <w:vAlign w:val="center"/>
          </w:tcPr>
          <w:p w14:paraId="0AB68589">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79F8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restart"/>
            <w:shd w:val="clear" w:color="auto" w:fill="auto"/>
            <w:vAlign w:val="center"/>
          </w:tcPr>
          <w:p w14:paraId="380CD046">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default" w:ascii="仿宋" w:hAnsi="仿宋" w:eastAsia="仿宋" w:cs="仿宋"/>
                <w:b w:val="0"/>
                <w:bCs/>
                <w:snapToGrid/>
                <w:kern w:val="2"/>
                <w:sz w:val="24"/>
                <w:szCs w:val="24"/>
                <w:lang w:val="en-US" w:eastAsia="zh-CN" w:bidi="ar-SA"/>
              </w:rPr>
            </w:pPr>
            <w:r>
              <w:rPr>
                <w:rFonts w:hint="eastAsia" w:ascii="仿宋" w:hAnsi="仿宋" w:eastAsia="仿宋" w:cs="仿宋"/>
                <w:b w:val="0"/>
                <w:bCs/>
                <w:snapToGrid/>
                <w:kern w:val="2"/>
                <w:sz w:val="24"/>
                <w:szCs w:val="24"/>
                <w:lang w:val="en-US" w:eastAsia="zh-CN" w:bidi="ar-SA"/>
              </w:rPr>
              <w:t>4</w:t>
            </w:r>
          </w:p>
        </w:tc>
        <w:tc>
          <w:tcPr>
            <w:tcW w:w="1514" w:type="dxa"/>
            <w:vMerge w:val="restart"/>
            <w:vAlign w:val="center"/>
          </w:tcPr>
          <w:p w14:paraId="5850EE6B">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施工及</w:t>
            </w:r>
          </w:p>
          <w:p w14:paraId="76B9663D">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施工方案</w:t>
            </w:r>
          </w:p>
        </w:tc>
        <w:tc>
          <w:tcPr>
            <w:tcW w:w="6351" w:type="dxa"/>
            <w:vAlign w:val="center"/>
          </w:tcPr>
          <w:p w14:paraId="30D1124E">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对施工方案中的质量保证、施工进度保证、安全生产和文明施工保证措施、完善的人力资源安排、与施工总承包单位和其他</w:t>
            </w:r>
            <w:r>
              <w:rPr>
                <w:rFonts w:hint="eastAsia" w:ascii="仿宋" w:hAnsi="仿宋" w:eastAsia="仿宋" w:cs="仿宋"/>
                <w:b w:val="0"/>
                <w:bCs/>
                <w:strike w:val="0"/>
                <w:dstrike w:val="0"/>
                <w:color w:val="auto"/>
                <w:sz w:val="24"/>
                <w:szCs w:val="24"/>
                <w:highlight w:val="none"/>
                <w:lang w:val="en-US" w:eastAsia="zh-CN"/>
              </w:rPr>
              <w:t>施工</w:t>
            </w:r>
            <w:r>
              <w:rPr>
                <w:rFonts w:hint="eastAsia" w:ascii="仿宋" w:hAnsi="仿宋" w:eastAsia="仿宋" w:cs="仿宋"/>
                <w:b w:val="0"/>
                <w:bCs/>
                <w:sz w:val="24"/>
                <w:szCs w:val="24"/>
              </w:rPr>
              <w:t>单位的配合措施</w:t>
            </w:r>
            <w:r>
              <w:rPr>
                <w:rFonts w:hint="eastAsia" w:ascii="仿宋" w:hAnsi="仿宋" w:eastAsia="仿宋" w:cs="仿宋"/>
                <w:b w:val="0"/>
                <w:bCs/>
                <w:sz w:val="24"/>
                <w:szCs w:val="24"/>
                <w:lang w:val="en-US" w:eastAsia="zh-CN"/>
              </w:rPr>
              <w:t>和施工方案的完整性</w:t>
            </w:r>
            <w:r>
              <w:rPr>
                <w:rFonts w:hint="eastAsia" w:ascii="仿宋" w:hAnsi="仿宋" w:eastAsia="仿宋" w:cs="仿宋"/>
                <w:b w:val="0"/>
                <w:bCs/>
                <w:sz w:val="24"/>
                <w:szCs w:val="24"/>
              </w:rPr>
              <w:t>进行打分，最高得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c>
          <w:tcPr>
            <w:tcW w:w="681" w:type="dxa"/>
            <w:vAlign w:val="center"/>
          </w:tcPr>
          <w:p w14:paraId="4BAE6F0F">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5分</w:t>
            </w:r>
          </w:p>
        </w:tc>
      </w:tr>
      <w:tr w14:paraId="4161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shd w:val="clear" w:color="auto" w:fill="auto"/>
            <w:vAlign w:val="center"/>
          </w:tcPr>
          <w:p w14:paraId="5787E3F5">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zh-CN" w:eastAsia="zh-CN" w:bidi="ar-SA"/>
              </w:rPr>
            </w:pPr>
          </w:p>
        </w:tc>
        <w:tc>
          <w:tcPr>
            <w:tcW w:w="1514" w:type="dxa"/>
            <w:vMerge w:val="continue"/>
            <w:vAlign w:val="center"/>
          </w:tcPr>
          <w:p w14:paraId="03B2CD95">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6351" w:type="dxa"/>
            <w:vAlign w:val="center"/>
          </w:tcPr>
          <w:p w14:paraId="37735EF6">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安全生产方案：根据投标人提供的针对本项目安全生产方案的合理性、可行性进行酌情打分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最高得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681" w:type="dxa"/>
            <w:vAlign w:val="center"/>
          </w:tcPr>
          <w:p w14:paraId="5420287B">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5分</w:t>
            </w:r>
          </w:p>
        </w:tc>
      </w:tr>
      <w:tr w14:paraId="7915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shd w:val="clear" w:color="auto" w:fill="auto"/>
            <w:vAlign w:val="center"/>
          </w:tcPr>
          <w:p w14:paraId="42F04BF1">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zh-CN" w:eastAsia="zh-CN" w:bidi="ar-SA"/>
              </w:rPr>
            </w:pPr>
          </w:p>
        </w:tc>
        <w:tc>
          <w:tcPr>
            <w:tcW w:w="1514" w:type="dxa"/>
            <w:vMerge w:val="continue"/>
            <w:vAlign w:val="center"/>
          </w:tcPr>
          <w:p w14:paraId="36F3E9FC">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6351" w:type="dxa"/>
            <w:vAlign w:val="center"/>
          </w:tcPr>
          <w:p w14:paraId="22028B63">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验收方案：根据投标人提供的针对本项目验收方案的合理性、可行性进行酌情打分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最高得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c>
          <w:tcPr>
            <w:tcW w:w="681" w:type="dxa"/>
            <w:vAlign w:val="center"/>
          </w:tcPr>
          <w:p w14:paraId="0A0B3CC6">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5分</w:t>
            </w:r>
          </w:p>
        </w:tc>
      </w:tr>
      <w:tr w14:paraId="02C1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shd w:val="clear" w:color="auto" w:fill="auto"/>
            <w:vAlign w:val="center"/>
          </w:tcPr>
          <w:p w14:paraId="3A55303F">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default" w:ascii="仿宋" w:hAnsi="仿宋" w:eastAsia="仿宋" w:cs="仿宋"/>
                <w:b w:val="0"/>
                <w:bCs/>
                <w:snapToGrid/>
                <w:kern w:val="2"/>
                <w:sz w:val="24"/>
                <w:szCs w:val="24"/>
                <w:lang w:val="en-US" w:eastAsia="zh-CN" w:bidi="ar-SA"/>
              </w:rPr>
            </w:pPr>
            <w:r>
              <w:rPr>
                <w:rFonts w:hint="eastAsia" w:ascii="仿宋" w:hAnsi="仿宋" w:eastAsia="仿宋" w:cs="仿宋"/>
                <w:b w:val="0"/>
                <w:bCs/>
                <w:snapToGrid/>
                <w:kern w:val="2"/>
                <w:sz w:val="24"/>
                <w:szCs w:val="24"/>
                <w:lang w:val="en-US" w:eastAsia="zh-CN" w:bidi="ar-SA"/>
              </w:rPr>
              <w:t>5</w:t>
            </w:r>
          </w:p>
        </w:tc>
        <w:tc>
          <w:tcPr>
            <w:tcW w:w="1514" w:type="dxa"/>
            <w:vAlign w:val="center"/>
          </w:tcPr>
          <w:p w14:paraId="7B84CF92">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客梯主要部件</w:t>
            </w:r>
          </w:p>
        </w:tc>
        <w:tc>
          <w:tcPr>
            <w:tcW w:w="6351" w:type="dxa"/>
            <w:vAlign w:val="center"/>
          </w:tcPr>
          <w:p w14:paraId="581DD1CC">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所投</w:t>
            </w:r>
            <w:r>
              <w:rPr>
                <w:rFonts w:hint="eastAsia" w:ascii="仿宋" w:hAnsi="仿宋" w:eastAsia="仿宋" w:cs="仿宋"/>
                <w:b w:val="0"/>
                <w:bCs/>
                <w:sz w:val="24"/>
                <w:szCs w:val="24"/>
                <w:lang w:val="en-US" w:eastAsia="zh-CN"/>
              </w:rPr>
              <w:t>客梯</w:t>
            </w:r>
            <w:r>
              <w:rPr>
                <w:rFonts w:hint="eastAsia" w:ascii="仿宋" w:hAnsi="仿宋" w:eastAsia="仿宋" w:cs="仿宋"/>
                <w:b w:val="0"/>
                <w:bCs/>
                <w:sz w:val="24"/>
                <w:szCs w:val="24"/>
              </w:rPr>
              <w:t>电梯安全部件：曳引机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门机，控制柜，</w:t>
            </w:r>
            <w:r>
              <w:rPr>
                <w:rFonts w:hint="eastAsia" w:ascii="仿宋" w:hAnsi="仿宋" w:eastAsia="仿宋" w:cs="仿宋"/>
                <w:b w:val="0"/>
                <w:bCs/>
                <w:sz w:val="24"/>
                <w:szCs w:val="24"/>
              </w:rPr>
              <w:t>限速器、安全钳、缓冲器、</w:t>
            </w:r>
            <w:r>
              <w:rPr>
                <w:rFonts w:hint="eastAsia" w:ascii="仿宋" w:hAnsi="仿宋" w:eastAsia="仿宋" w:cs="仿宋"/>
                <w:b w:val="0"/>
                <w:bCs/>
                <w:sz w:val="24"/>
                <w:szCs w:val="24"/>
                <w:lang w:val="en-US" w:eastAsia="zh-CN"/>
              </w:rPr>
              <w:t>厅门</w:t>
            </w:r>
            <w:r>
              <w:rPr>
                <w:rFonts w:hint="eastAsia" w:ascii="仿宋" w:hAnsi="仿宋" w:eastAsia="仿宋" w:cs="仿宋"/>
                <w:b w:val="0"/>
                <w:bCs/>
                <w:sz w:val="24"/>
                <w:szCs w:val="24"/>
              </w:rPr>
              <w:t>门锁、</w:t>
            </w:r>
            <w:r>
              <w:rPr>
                <w:rFonts w:hint="eastAsia" w:ascii="仿宋" w:hAnsi="仿宋" w:eastAsia="仿宋" w:cs="仿宋"/>
                <w:b w:val="0"/>
                <w:bCs/>
                <w:sz w:val="24"/>
                <w:szCs w:val="24"/>
                <w:lang w:val="en-US" w:eastAsia="zh-CN"/>
              </w:rPr>
              <w:t>轿厢门锁</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安全电路</w:t>
            </w:r>
            <w:r>
              <w:rPr>
                <w:rFonts w:hint="eastAsia" w:ascii="仿宋" w:hAnsi="仿宋" w:eastAsia="仿宋" w:cs="仿宋"/>
                <w:b w:val="0"/>
                <w:bCs/>
                <w:sz w:val="24"/>
                <w:szCs w:val="24"/>
              </w:rPr>
              <w:t>、轿厢意外移动保护装置、上行超速保护装置，以上每一项部件采用原厂原品牌产品的得1分</w:t>
            </w:r>
            <w:r>
              <w:rPr>
                <w:rFonts w:hint="eastAsia" w:ascii="仿宋" w:hAnsi="仿宋" w:eastAsia="仿宋" w:cs="仿宋"/>
                <w:b w:val="0"/>
                <w:bCs/>
                <w:sz w:val="24"/>
                <w:szCs w:val="24"/>
                <w:lang w:eastAsia="zh-CN"/>
              </w:rPr>
              <w:t>。</w:t>
            </w:r>
          </w:p>
        </w:tc>
        <w:tc>
          <w:tcPr>
            <w:tcW w:w="681" w:type="dxa"/>
            <w:vAlign w:val="center"/>
          </w:tcPr>
          <w:p w14:paraId="04F57A4F">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11分</w:t>
            </w:r>
          </w:p>
        </w:tc>
      </w:tr>
      <w:tr w14:paraId="2487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shd w:val="clear" w:color="auto" w:fill="auto"/>
            <w:vAlign w:val="center"/>
          </w:tcPr>
          <w:p w14:paraId="2675CCF9">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514" w:type="dxa"/>
            <w:shd w:val="clear" w:color="auto" w:fill="auto"/>
            <w:vAlign w:val="center"/>
          </w:tcPr>
          <w:p w14:paraId="2959FF59">
            <w:pPr>
              <w:pStyle w:val="24"/>
              <w:keepNext w:val="0"/>
              <w:keepLines w:val="0"/>
              <w:pageBreakBefore w:val="0"/>
              <w:kinsoku/>
              <w:wordWrap/>
              <w:overflowPunct/>
              <w:topLinePunct w:val="0"/>
              <w:autoSpaceDE w:val="0"/>
              <w:autoSpaceDN w:val="0"/>
              <w:bidi w:val="0"/>
              <w:adjustRightInd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zh-CN" w:eastAsia="zh-CN" w:bidi="ar-SA"/>
              </w:rPr>
            </w:pPr>
            <w:r>
              <w:rPr>
                <w:rFonts w:hint="eastAsia" w:ascii="仿宋" w:hAnsi="仿宋" w:eastAsia="仿宋" w:cs="仿宋"/>
                <w:b w:val="0"/>
                <w:bCs/>
                <w:sz w:val="24"/>
                <w:szCs w:val="24"/>
              </w:rPr>
              <w:t>技术响应</w:t>
            </w:r>
          </w:p>
        </w:tc>
        <w:tc>
          <w:tcPr>
            <w:tcW w:w="6351" w:type="dxa"/>
            <w:shd w:val="clear" w:color="auto" w:fill="auto"/>
            <w:vAlign w:val="center"/>
          </w:tcPr>
          <w:p w14:paraId="5A0F4F39">
            <w:pPr>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对所投电梯技术功能</w:t>
            </w:r>
            <w:r>
              <w:rPr>
                <w:rFonts w:hint="eastAsia" w:ascii="仿宋" w:hAnsi="仿宋" w:eastAsia="仿宋" w:cs="仿宋"/>
                <w:b w:val="0"/>
                <w:bCs/>
                <w:sz w:val="24"/>
                <w:szCs w:val="24"/>
                <w:lang w:val="en-US" w:eastAsia="zh-CN"/>
              </w:rPr>
              <w:t>及指标</w:t>
            </w:r>
            <w:r>
              <w:rPr>
                <w:rFonts w:hint="eastAsia" w:ascii="仿宋" w:hAnsi="仿宋" w:eastAsia="仿宋" w:cs="仿宋"/>
                <w:b w:val="0"/>
                <w:bCs/>
                <w:sz w:val="24"/>
                <w:szCs w:val="24"/>
              </w:rPr>
              <w:t>等要求满足性进行打分，</w:t>
            </w:r>
            <w:r>
              <w:rPr>
                <w:rFonts w:hint="eastAsia" w:ascii="仿宋" w:hAnsi="仿宋" w:eastAsia="仿宋" w:cs="仿宋"/>
                <w:b w:val="0"/>
                <w:bCs/>
                <w:sz w:val="24"/>
                <w:szCs w:val="24"/>
                <w:lang w:val="en-US" w:eastAsia="zh-CN"/>
              </w:rPr>
              <w:t>带</w:t>
            </w:r>
            <w:r>
              <w:rPr>
                <w:rFonts w:hint="eastAsia" w:ascii="仿宋" w:hAnsi="仿宋" w:eastAsia="仿宋" w:cs="仿宋"/>
                <w:spacing w:val="6"/>
                <w:sz w:val="24"/>
                <w:szCs w:val="24"/>
              </w:rPr>
              <w:t>▲</w:t>
            </w:r>
            <w:r>
              <w:rPr>
                <w:rFonts w:hint="eastAsia" w:ascii="仿宋" w:hAnsi="仿宋" w:eastAsia="仿宋" w:cs="仿宋"/>
                <w:b w:val="0"/>
                <w:bCs/>
                <w:sz w:val="24"/>
                <w:szCs w:val="24"/>
              </w:rPr>
              <w:t>偏离一项扣</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eastAsia="仿宋" w:cs="仿宋"/>
                <w:b w:val="0"/>
                <w:bCs/>
                <w:sz w:val="24"/>
                <w:szCs w:val="24"/>
                <w:lang w:val="en-US" w:eastAsia="zh-CN"/>
              </w:rPr>
              <w:t>其他每项扣0.5分，</w:t>
            </w:r>
            <w:r>
              <w:rPr>
                <w:rFonts w:hint="eastAsia" w:ascii="仿宋" w:hAnsi="仿宋" w:eastAsia="仿宋" w:cs="仿宋"/>
                <w:b w:val="0"/>
                <w:bCs/>
                <w:sz w:val="24"/>
                <w:szCs w:val="24"/>
              </w:rPr>
              <w:t>共</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分，扣完为止</w:t>
            </w:r>
            <w:r>
              <w:rPr>
                <w:rFonts w:hint="eastAsia" w:ascii="仿宋" w:hAnsi="仿宋" w:eastAsia="仿宋" w:cs="仿宋"/>
                <w:b w:val="0"/>
                <w:bCs/>
                <w:sz w:val="24"/>
                <w:szCs w:val="24"/>
                <w:lang w:eastAsia="zh-CN"/>
              </w:rPr>
              <w:t>。</w:t>
            </w:r>
          </w:p>
        </w:tc>
        <w:tc>
          <w:tcPr>
            <w:tcW w:w="681" w:type="dxa"/>
            <w:shd w:val="clear" w:color="auto" w:fill="auto"/>
            <w:vAlign w:val="center"/>
          </w:tcPr>
          <w:p w14:paraId="775F54DC">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napToGrid/>
                <w:kern w:val="2"/>
                <w:sz w:val="24"/>
                <w:szCs w:val="24"/>
                <w:lang w:val="en-US" w:eastAsia="zh-CN" w:bidi="ar-SA"/>
              </w:rPr>
            </w:pP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0C553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restart"/>
            <w:vAlign w:val="center"/>
          </w:tcPr>
          <w:p w14:paraId="139A75A2">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514" w:type="dxa"/>
            <w:vMerge w:val="restart"/>
            <w:vAlign w:val="center"/>
          </w:tcPr>
          <w:p w14:paraId="41EAEA86">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售后服务能力</w:t>
            </w:r>
          </w:p>
        </w:tc>
        <w:tc>
          <w:tcPr>
            <w:tcW w:w="6351" w:type="dxa"/>
            <w:vAlign w:val="center"/>
          </w:tcPr>
          <w:p w14:paraId="2D54E536">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1.大小包费用：</w:t>
            </w:r>
            <w:r>
              <w:rPr>
                <w:rStyle w:val="971"/>
                <w:rFonts w:hint="eastAsia" w:ascii="仿宋" w:hAnsi="仿宋" w:eastAsia="仿宋" w:cs="仿宋"/>
                <w:color w:val="auto"/>
                <w:kern w:val="0"/>
                <w:sz w:val="24"/>
                <w:szCs w:val="22"/>
                <w:lang w:val="en-US" w:eastAsia="zh-CN" w:bidi="ar-SA"/>
              </w:rPr>
              <w:t>根据投标单位在质保期满后5年所有的小包费用和大包费用报价（不计入总报价）横向比较打分，本项最高得3分。</w:t>
            </w:r>
          </w:p>
        </w:tc>
        <w:tc>
          <w:tcPr>
            <w:tcW w:w="681" w:type="dxa"/>
            <w:vAlign w:val="center"/>
          </w:tcPr>
          <w:p w14:paraId="56412532">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3分</w:t>
            </w:r>
          </w:p>
        </w:tc>
      </w:tr>
      <w:tr w14:paraId="6ECA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vAlign w:val="center"/>
          </w:tcPr>
          <w:p w14:paraId="539F1662">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lang w:val="en-US" w:eastAsia="zh-CN"/>
              </w:rPr>
            </w:pPr>
          </w:p>
        </w:tc>
        <w:tc>
          <w:tcPr>
            <w:tcW w:w="1514" w:type="dxa"/>
            <w:vMerge w:val="continue"/>
            <w:vAlign w:val="center"/>
          </w:tcPr>
          <w:p w14:paraId="4269F2D8">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6351" w:type="dxa"/>
            <w:vAlign w:val="center"/>
          </w:tcPr>
          <w:p w14:paraId="05F30AAC">
            <w:pPr>
              <w:pStyle w:val="24"/>
              <w:keepNext w:val="0"/>
              <w:keepLines w:val="0"/>
              <w:pageBreakBefore w:val="0"/>
              <w:kinsoku/>
              <w:wordWrap/>
              <w:overflowPunct/>
              <w:topLinePunct w:val="0"/>
              <w:bidi w:val="0"/>
              <w:snapToGrid w:val="0"/>
              <w:spacing w:line="480" w:lineRule="exact"/>
              <w:ind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根据针对本项目的</w:t>
            </w:r>
            <w:r>
              <w:rPr>
                <w:rFonts w:hint="eastAsia" w:ascii="仿宋" w:hAnsi="仿宋" w:eastAsia="仿宋" w:cs="仿宋"/>
                <w:b w:val="0"/>
                <w:bCs/>
                <w:color w:val="auto"/>
                <w:sz w:val="24"/>
                <w:szCs w:val="24"/>
                <w:lang w:val="en-US" w:eastAsia="zh-CN"/>
              </w:rPr>
              <w:t>质保期及质保期后五年内的</w:t>
            </w:r>
            <w:r>
              <w:rPr>
                <w:rFonts w:hint="eastAsia" w:ascii="仿宋" w:hAnsi="仿宋" w:eastAsia="仿宋" w:cs="仿宋"/>
                <w:b w:val="0"/>
                <w:bCs/>
                <w:color w:val="auto"/>
                <w:sz w:val="24"/>
                <w:szCs w:val="24"/>
              </w:rPr>
              <w:t>备品备件</w:t>
            </w:r>
            <w:r>
              <w:rPr>
                <w:rFonts w:hint="eastAsia" w:ascii="仿宋" w:hAnsi="仿宋" w:eastAsia="仿宋" w:cs="仿宋"/>
                <w:b w:val="0"/>
                <w:bCs/>
                <w:color w:val="auto"/>
                <w:sz w:val="24"/>
                <w:szCs w:val="24"/>
                <w:lang w:val="en-US" w:eastAsia="zh-CN"/>
              </w:rPr>
              <w:t>清单</w:t>
            </w:r>
            <w:r>
              <w:rPr>
                <w:rFonts w:hint="eastAsia" w:ascii="仿宋" w:hAnsi="仿宋" w:eastAsia="仿宋" w:cs="仿宋"/>
                <w:b w:val="0"/>
                <w:bCs/>
                <w:color w:val="auto"/>
                <w:sz w:val="24"/>
                <w:szCs w:val="24"/>
              </w:rPr>
              <w:t>是否</w:t>
            </w:r>
            <w:r>
              <w:rPr>
                <w:rFonts w:hint="eastAsia" w:ascii="仿宋" w:hAnsi="仿宋" w:eastAsia="仿宋" w:cs="仿宋"/>
                <w:b w:val="0"/>
                <w:bCs/>
                <w:sz w:val="24"/>
                <w:szCs w:val="24"/>
              </w:rPr>
              <w:t>配备齐全，易损件能否及时送达，以及承诺提供最齐全、最优惠的零配件及专用耗材等情况打分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本项最高得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w:t>
            </w:r>
          </w:p>
        </w:tc>
        <w:tc>
          <w:tcPr>
            <w:tcW w:w="681" w:type="dxa"/>
            <w:vAlign w:val="center"/>
          </w:tcPr>
          <w:p w14:paraId="49D3482B">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w:t>
            </w:r>
          </w:p>
        </w:tc>
      </w:tr>
      <w:tr w14:paraId="3EA9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vAlign w:val="center"/>
          </w:tcPr>
          <w:p w14:paraId="45A662CE">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1514" w:type="dxa"/>
            <w:vMerge w:val="continue"/>
            <w:vAlign w:val="center"/>
          </w:tcPr>
          <w:p w14:paraId="35A72619">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p>
        </w:tc>
        <w:tc>
          <w:tcPr>
            <w:tcW w:w="6351" w:type="dxa"/>
            <w:vAlign w:val="center"/>
          </w:tcPr>
          <w:p w14:paraId="74C636C3">
            <w:pPr>
              <w:pStyle w:val="24"/>
              <w:keepNext w:val="0"/>
              <w:keepLines w:val="0"/>
              <w:pageBreakBefore w:val="0"/>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质保期承诺：提供整梯质保期（含维保、验收、年检费用）24个月。每增加</w:t>
            </w:r>
            <w:r>
              <w:rPr>
                <w:rFonts w:hint="eastAsia" w:ascii="仿宋" w:hAnsi="仿宋" w:eastAsia="仿宋" w:cs="仿宋"/>
                <w:b w:val="0"/>
                <w:bCs/>
                <w:sz w:val="24"/>
                <w:szCs w:val="24"/>
                <w:lang w:val="en-US" w:eastAsia="zh-CN"/>
              </w:rPr>
              <w:t>1年</w:t>
            </w:r>
            <w:r>
              <w:rPr>
                <w:rFonts w:hint="eastAsia" w:ascii="仿宋" w:hAnsi="仿宋" w:eastAsia="仿宋" w:cs="仿宋"/>
                <w:b w:val="0"/>
                <w:bCs/>
                <w:sz w:val="24"/>
                <w:szCs w:val="24"/>
              </w:rPr>
              <w:t>得1分，本项最高得2分。</w:t>
            </w:r>
          </w:p>
          <w:p w14:paraId="7CAD8A42">
            <w:pPr>
              <w:pStyle w:val="24"/>
              <w:keepNext w:val="0"/>
              <w:keepLines w:val="0"/>
              <w:pageBreakBefore w:val="0"/>
              <w:numPr>
                <w:ilvl w:val="0"/>
                <w:numId w:val="0"/>
              </w:numPr>
              <w:kinsoku/>
              <w:wordWrap/>
              <w:overflowPunct/>
              <w:topLinePunct w:val="0"/>
              <w:bidi w:val="0"/>
              <w:snapToGrid w:val="0"/>
              <w:spacing w:line="480" w:lineRule="exact"/>
              <w:ind w:left="0" w:leftChars="0" w:firstLine="0" w:firstLineChars="0"/>
              <w:jc w:val="left"/>
              <w:textAlignment w:val="auto"/>
              <w:rPr>
                <w:rFonts w:hint="eastAsia" w:ascii="仿宋" w:hAnsi="仿宋" w:eastAsia="仿宋" w:cs="仿宋"/>
                <w:b w:val="0"/>
                <w:bCs/>
                <w:sz w:val="24"/>
                <w:szCs w:val="24"/>
              </w:rPr>
            </w:pPr>
            <w:r>
              <w:rPr>
                <w:rFonts w:hint="eastAsia" w:ascii="仿宋" w:hAnsi="仿宋" w:eastAsia="仿宋" w:cs="仿宋"/>
                <w:b/>
                <w:bCs w:val="0"/>
                <w:color w:val="FF0000"/>
                <w:sz w:val="24"/>
                <w:szCs w:val="24"/>
              </w:rPr>
              <w:t>（</w:t>
            </w:r>
            <w:r>
              <w:rPr>
                <w:rFonts w:hint="eastAsia" w:ascii="仿宋" w:hAnsi="仿宋" w:eastAsia="仿宋" w:cs="仿宋"/>
                <w:b/>
                <w:bCs w:val="0"/>
                <w:color w:val="FF0000"/>
                <w:sz w:val="24"/>
                <w:szCs w:val="24"/>
                <w:lang w:val="en-US" w:eastAsia="zh-CN"/>
              </w:rPr>
              <w:t>提供</w:t>
            </w:r>
            <w:r>
              <w:rPr>
                <w:rFonts w:hint="eastAsia" w:ascii="仿宋" w:hAnsi="仿宋" w:eastAsia="仿宋" w:cs="仿宋"/>
                <w:b/>
                <w:bCs w:val="0"/>
                <w:color w:val="FF0000"/>
                <w:sz w:val="24"/>
                <w:szCs w:val="24"/>
              </w:rPr>
              <w:t>品牌制造商在承诺书上盖章的有效承诺为准）。</w:t>
            </w:r>
          </w:p>
        </w:tc>
        <w:tc>
          <w:tcPr>
            <w:tcW w:w="681" w:type="dxa"/>
            <w:vAlign w:val="center"/>
          </w:tcPr>
          <w:p w14:paraId="36ECFD72">
            <w:pPr>
              <w:pStyle w:val="24"/>
              <w:keepNext w:val="0"/>
              <w:keepLines w:val="0"/>
              <w:pageBreakBefore w:val="0"/>
              <w:kinsoku/>
              <w:wordWrap/>
              <w:overflowPunct/>
              <w:topLinePunct w:val="0"/>
              <w:bidi w:val="0"/>
              <w:snapToGrid w:val="0"/>
              <w:spacing w:line="480" w:lineRule="exact"/>
              <w:ind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tc>
      </w:tr>
      <w:tr w14:paraId="3CD1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Merge w:val="continue"/>
            <w:vAlign w:val="center"/>
          </w:tcPr>
          <w:p w14:paraId="6A1F5EAC">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p>
        </w:tc>
        <w:tc>
          <w:tcPr>
            <w:tcW w:w="1514" w:type="dxa"/>
            <w:vMerge w:val="continue"/>
            <w:vAlign w:val="center"/>
          </w:tcPr>
          <w:p w14:paraId="284AF78C">
            <w:pPr>
              <w:keepNext w:val="0"/>
              <w:keepLines w:val="0"/>
              <w:pageBreakBefore w:val="0"/>
              <w:kinsoku/>
              <w:wordWrap/>
              <w:overflowPunct/>
              <w:topLinePunct w:val="0"/>
              <w:bidi w:val="0"/>
              <w:spacing w:line="480" w:lineRule="exact"/>
              <w:ind w:firstLine="0" w:firstLineChars="0"/>
              <w:jc w:val="center"/>
              <w:textAlignment w:val="auto"/>
              <w:rPr>
                <w:rFonts w:hint="eastAsia" w:ascii="仿宋" w:hAnsi="仿宋" w:eastAsia="仿宋" w:cs="仿宋"/>
                <w:b w:val="0"/>
                <w:bCs/>
                <w:kern w:val="0"/>
                <w:sz w:val="24"/>
                <w:szCs w:val="24"/>
                <w:lang w:val="zh-CN"/>
              </w:rPr>
            </w:pPr>
          </w:p>
        </w:tc>
        <w:tc>
          <w:tcPr>
            <w:tcW w:w="6351" w:type="dxa"/>
            <w:vAlign w:val="center"/>
          </w:tcPr>
          <w:p w14:paraId="115438F7">
            <w:pPr>
              <w:keepNext w:val="0"/>
              <w:keepLines w:val="0"/>
              <w:pageBreakBefore w:val="0"/>
              <w:kinsoku/>
              <w:wordWrap/>
              <w:overflowPunct/>
              <w:topLinePunct w:val="0"/>
              <w:bidi w:val="0"/>
              <w:spacing w:line="480" w:lineRule="exact"/>
              <w:ind w:firstLine="0" w:firstLineChars="0"/>
              <w:jc w:val="left"/>
              <w:textAlignment w:val="auto"/>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4.根据投标人提供的售后服务方案</w:t>
            </w:r>
            <w:bookmarkStart w:id="86" w:name="_GoBack"/>
            <w:bookmarkEnd w:id="86"/>
            <w:r>
              <w:rPr>
                <w:rFonts w:hint="eastAsia" w:ascii="仿宋" w:hAnsi="仿宋" w:eastAsia="仿宋" w:cs="仿宋"/>
                <w:b w:val="0"/>
                <w:bCs/>
                <w:kern w:val="0"/>
                <w:sz w:val="24"/>
                <w:szCs w:val="24"/>
                <w:lang w:val="en-US" w:eastAsia="zh-CN"/>
              </w:rPr>
              <w:t>、维护人员配备和售后服务机构设置等情况，提供详细、完善的长期售后服务的承诺情况，售后服务承诺的可行性、完整性以及保障措施、产品质量保证期内外的故障响应、修复时间及后续技术支持和维护能力情况等进行综合评价。</w:t>
            </w:r>
            <w:r>
              <w:rPr>
                <w:rFonts w:hint="eastAsia" w:ascii="仿宋" w:hAnsi="仿宋" w:eastAsia="仿宋" w:cs="仿宋"/>
                <w:b w:val="0"/>
                <w:bCs/>
                <w:sz w:val="24"/>
                <w:szCs w:val="24"/>
              </w:rPr>
              <w:t>本项最高得</w:t>
            </w:r>
            <w:r>
              <w:rPr>
                <w:rFonts w:hint="eastAsia" w:ascii="仿宋" w:hAnsi="仿宋" w:eastAsia="仿宋" w:cs="仿宋"/>
                <w:b w:val="0"/>
                <w:bCs/>
                <w:sz w:val="24"/>
                <w:szCs w:val="24"/>
                <w:lang w:val="en-US" w:eastAsia="zh-CN"/>
              </w:rPr>
              <w:t>5分。</w:t>
            </w:r>
          </w:p>
        </w:tc>
        <w:tc>
          <w:tcPr>
            <w:tcW w:w="681" w:type="dxa"/>
            <w:vAlign w:val="center"/>
          </w:tcPr>
          <w:p w14:paraId="1E4C00B4">
            <w:pPr>
              <w:pStyle w:val="24"/>
              <w:keepNext w:val="0"/>
              <w:keepLines w:val="0"/>
              <w:pageBreakBefore w:val="0"/>
              <w:kinsoku/>
              <w:wordWrap/>
              <w:overflowPunct/>
              <w:topLinePunct w:val="0"/>
              <w:bidi w:val="0"/>
              <w:snapToGrid w:val="0"/>
              <w:spacing w:line="480" w:lineRule="exact"/>
              <w:ind w:firstLine="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5分</w:t>
            </w:r>
          </w:p>
        </w:tc>
      </w:tr>
      <w:tr w14:paraId="42B80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808" w:type="dxa"/>
            <w:vAlign w:val="center"/>
          </w:tcPr>
          <w:p w14:paraId="7282D271">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1514" w:type="dxa"/>
            <w:vAlign w:val="center"/>
          </w:tcPr>
          <w:p w14:paraId="74911667">
            <w:pPr>
              <w:keepNext w:val="0"/>
              <w:keepLines w:val="0"/>
              <w:pageBreakBefore w:val="0"/>
              <w:kinsoku/>
              <w:wordWrap/>
              <w:overflowPunct/>
              <w:topLinePunct w:val="0"/>
              <w:bidi w:val="0"/>
              <w:spacing w:line="480" w:lineRule="exact"/>
              <w:ind w:firstLine="0" w:firstLineChars="0"/>
              <w:jc w:val="center"/>
              <w:textAlignment w:val="auto"/>
              <w:rPr>
                <w:rFonts w:hint="eastAsia" w:ascii="仿宋" w:hAnsi="仿宋" w:eastAsia="仿宋" w:cs="仿宋"/>
                <w:b w:val="0"/>
                <w:bCs/>
                <w:kern w:val="0"/>
                <w:sz w:val="24"/>
                <w:szCs w:val="24"/>
                <w:lang w:val="zh-CN"/>
              </w:rPr>
            </w:pPr>
            <w:r>
              <w:rPr>
                <w:rFonts w:hint="eastAsia" w:ascii="仿宋" w:hAnsi="仿宋" w:eastAsia="仿宋" w:cs="仿宋"/>
                <w:b w:val="0"/>
                <w:bCs/>
                <w:kern w:val="0"/>
                <w:sz w:val="24"/>
                <w:szCs w:val="24"/>
                <w:lang w:val="zh-CN"/>
              </w:rPr>
              <w:t>培训计划</w:t>
            </w:r>
          </w:p>
        </w:tc>
        <w:tc>
          <w:tcPr>
            <w:tcW w:w="6351" w:type="dxa"/>
            <w:vAlign w:val="center"/>
          </w:tcPr>
          <w:p w14:paraId="15546270">
            <w:pPr>
              <w:keepNext w:val="0"/>
              <w:keepLines w:val="0"/>
              <w:pageBreakBefore w:val="0"/>
              <w:kinsoku/>
              <w:wordWrap/>
              <w:overflowPunct/>
              <w:topLinePunct w:val="0"/>
              <w:bidi w:val="0"/>
              <w:spacing w:line="480" w:lineRule="exact"/>
              <w:ind w:firstLine="0" w:firstLineChars="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zh-CN"/>
              </w:rPr>
              <w:t>根据培训时间、</w:t>
            </w:r>
            <w:r>
              <w:rPr>
                <w:rFonts w:hint="eastAsia" w:ascii="仿宋" w:hAnsi="仿宋" w:eastAsia="仿宋" w:cs="仿宋"/>
                <w:b w:val="0"/>
                <w:bCs/>
                <w:kern w:val="0"/>
                <w:sz w:val="24"/>
                <w:szCs w:val="24"/>
                <w:lang w:val="en-US" w:eastAsia="zh-CN"/>
              </w:rPr>
              <w:t>人员资质</w:t>
            </w:r>
            <w:r>
              <w:rPr>
                <w:rFonts w:hint="eastAsia" w:ascii="仿宋" w:hAnsi="仿宋" w:eastAsia="仿宋" w:cs="仿宋"/>
                <w:b w:val="0"/>
                <w:bCs/>
                <w:kern w:val="0"/>
                <w:sz w:val="24"/>
                <w:szCs w:val="24"/>
                <w:lang w:val="zh-CN"/>
              </w:rPr>
              <w:t>、地点、费用、目标等情况综合打分（</w:t>
            </w:r>
            <w:r>
              <w:rPr>
                <w:rFonts w:hint="eastAsia" w:ascii="仿宋" w:hAnsi="仿宋" w:eastAsia="仿宋" w:cs="仿宋"/>
                <w:b w:val="0"/>
                <w:bCs/>
                <w:kern w:val="0"/>
                <w:sz w:val="24"/>
                <w:szCs w:val="24"/>
              </w:rPr>
              <w:t>0-</w:t>
            </w:r>
            <w:r>
              <w:rPr>
                <w:rFonts w:hint="eastAsia" w:ascii="仿宋" w:hAnsi="仿宋" w:eastAsia="仿宋" w:cs="仿宋"/>
                <w:b w:val="0"/>
                <w:bCs/>
                <w:kern w:val="0"/>
                <w:sz w:val="24"/>
                <w:szCs w:val="24"/>
                <w:lang w:val="en-US" w:eastAsia="zh-CN"/>
              </w:rPr>
              <w:t>5</w:t>
            </w:r>
            <w:r>
              <w:rPr>
                <w:rFonts w:hint="eastAsia" w:ascii="仿宋" w:hAnsi="仿宋" w:eastAsia="仿宋" w:cs="仿宋"/>
                <w:b w:val="0"/>
                <w:bCs/>
                <w:kern w:val="0"/>
                <w:sz w:val="24"/>
                <w:szCs w:val="24"/>
              </w:rPr>
              <w:t>分</w:t>
            </w:r>
            <w:r>
              <w:rPr>
                <w:rFonts w:hint="eastAsia" w:ascii="仿宋" w:hAnsi="仿宋" w:eastAsia="仿宋" w:cs="仿宋"/>
                <w:b w:val="0"/>
                <w:bCs/>
                <w:kern w:val="0"/>
                <w:sz w:val="24"/>
                <w:szCs w:val="24"/>
                <w:lang w:val="zh-CN"/>
              </w:rPr>
              <w:t>）。</w:t>
            </w:r>
          </w:p>
        </w:tc>
        <w:tc>
          <w:tcPr>
            <w:tcW w:w="681" w:type="dxa"/>
            <w:vAlign w:val="center"/>
          </w:tcPr>
          <w:p w14:paraId="44947CBE">
            <w:pPr>
              <w:pStyle w:val="24"/>
              <w:keepNext w:val="0"/>
              <w:keepLines w:val="0"/>
              <w:pageBreakBefore w:val="0"/>
              <w:kinsoku/>
              <w:wordWrap/>
              <w:overflowPunct/>
              <w:topLinePunct w:val="0"/>
              <w:bidi w:val="0"/>
              <w:snapToGrid w:val="0"/>
              <w:spacing w:line="480" w:lineRule="exact"/>
              <w:ind w:firstLine="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bl>
    <w:p w14:paraId="16B52ED2">
      <w:pPr>
        <w:spacing w:line="440" w:lineRule="exact"/>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2.2价格分（</w:t>
      </w:r>
      <w:r>
        <w:rPr>
          <w:rFonts w:hint="eastAsia" w:ascii="仿宋" w:hAnsi="仿宋" w:eastAsia="仿宋" w:cs="仿宋"/>
          <w:b/>
          <w:bCs/>
          <w:iCs/>
          <w:color w:val="auto"/>
          <w:sz w:val="24"/>
          <w:szCs w:val="24"/>
          <w:lang w:val="en-US" w:eastAsia="zh-CN"/>
        </w:rPr>
        <w:t>30</w:t>
      </w:r>
      <w:r>
        <w:rPr>
          <w:rFonts w:hint="eastAsia" w:ascii="仿宋" w:hAnsi="仿宋" w:eastAsia="仿宋" w:cs="仿宋"/>
          <w:b/>
          <w:bCs/>
          <w:iCs/>
          <w:color w:val="auto"/>
          <w:sz w:val="24"/>
          <w:szCs w:val="24"/>
        </w:rPr>
        <w:t>分）</w:t>
      </w:r>
    </w:p>
    <w:p w14:paraId="656D5AB0">
      <w:pPr>
        <w:spacing w:line="440" w:lineRule="exact"/>
        <w:rPr>
          <w:rFonts w:hint="eastAsia" w:ascii="仿宋" w:hAnsi="仿宋" w:eastAsia="仿宋" w:cs="仿宋"/>
          <w:bCs/>
          <w:iCs/>
          <w:color w:val="auto"/>
          <w:sz w:val="24"/>
          <w:szCs w:val="24"/>
        </w:rPr>
      </w:pPr>
      <w:r>
        <w:rPr>
          <w:rFonts w:hint="eastAsia" w:ascii="仿宋" w:hAnsi="仿宋" w:eastAsia="仿宋" w:cs="仿宋"/>
          <w:bCs/>
          <w:iCs/>
          <w:color w:val="auto"/>
          <w:sz w:val="24"/>
          <w:szCs w:val="24"/>
        </w:rPr>
        <w:t>2.2.1评标基准价：即满足招标文件要求且投标价格最低的投标报价为评标基准价，其价格分为满分。</w:t>
      </w:r>
    </w:p>
    <w:p w14:paraId="7775CFE0">
      <w:pPr>
        <w:spacing w:line="440" w:lineRule="exact"/>
        <w:rPr>
          <w:rFonts w:hint="eastAsia" w:ascii="仿宋" w:hAnsi="仿宋" w:eastAsia="仿宋" w:cs="仿宋"/>
          <w:bCs/>
          <w:iCs/>
          <w:color w:val="auto"/>
          <w:sz w:val="24"/>
          <w:szCs w:val="24"/>
        </w:rPr>
      </w:pPr>
      <w:r>
        <w:rPr>
          <w:rFonts w:hint="eastAsia" w:ascii="仿宋" w:hAnsi="仿宋" w:eastAsia="仿宋" w:cs="仿宋"/>
          <w:bCs/>
          <w:iCs/>
          <w:color w:val="auto"/>
          <w:sz w:val="24"/>
          <w:szCs w:val="24"/>
        </w:rPr>
        <w:t>2.2.2其他投标人的价格分统一按照下列公式计算：</w:t>
      </w:r>
    </w:p>
    <w:p w14:paraId="0FD8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iCs/>
          <w:color w:val="auto"/>
          <w:sz w:val="24"/>
          <w:szCs w:val="24"/>
        </w:rPr>
      </w:pPr>
      <w:r>
        <w:rPr>
          <w:rFonts w:hint="eastAsia" w:ascii="仿宋" w:hAnsi="仿宋" w:eastAsia="仿宋" w:cs="仿宋"/>
          <w:bCs/>
          <w:iCs/>
          <w:color w:val="auto"/>
          <w:sz w:val="24"/>
          <w:szCs w:val="24"/>
        </w:rPr>
        <w:t>投标报价得分=(评标基准价／投标报价)×价格权值×100</w:t>
      </w:r>
    </w:p>
    <w:p w14:paraId="2DB5C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rPr>
        <w:t>即：投标报价得分=(评标基准价／投标报价)×</w:t>
      </w:r>
      <w:r>
        <w:rPr>
          <w:rFonts w:hint="eastAsia" w:ascii="仿宋" w:hAnsi="仿宋" w:eastAsia="仿宋" w:cs="仿宋"/>
          <w:bCs/>
          <w:iCs/>
          <w:color w:val="auto"/>
          <w:sz w:val="24"/>
          <w:szCs w:val="24"/>
          <w:lang w:val="en-US" w:eastAsia="zh-CN"/>
        </w:rPr>
        <w:t>30%</w:t>
      </w:r>
      <w:r>
        <w:rPr>
          <w:rFonts w:hint="eastAsia" w:ascii="仿宋" w:hAnsi="仿宋" w:eastAsia="仿宋" w:cs="仿宋"/>
          <w:bCs/>
          <w:iCs/>
          <w:color w:val="auto"/>
          <w:sz w:val="24"/>
          <w:szCs w:val="24"/>
        </w:rPr>
        <w:t>×</w:t>
      </w:r>
      <w:r>
        <w:rPr>
          <w:rFonts w:hint="eastAsia" w:ascii="仿宋" w:hAnsi="仿宋" w:eastAsia="仿宋" w:cs="仿宋"/>
          <w:bCs/>
          <w:iCs/>
          <w:color w:val="auto"/>
          <w:sz w:val="24"/>
          <w:szCs w:val="24"/>
          <w:lang w:val="en-US" w:eastAsia="zh-CN"/>
        </w:rPr>
        <w:t>100</w:t>
      </w:r>
    </w:p>
    <w:tbl>
      <w:tblPr>
        <w:tblStyle w:val="62"/>
        <w:tblW w:w="4875"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5"/>
      </w:tblGrid>
      <w:tr w14:paraId="39B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01" w:type="pct"/>
            <w:noWrap w:val="0"/>
            <w:tcMar>
              <w:top w:w="75" w:type="dxa"/>
              <w:left w:w="150" w:type="dxa"/>
              <w:bottom w:w="75" w:type="dxa"/>
              <w:right w:w="150" w:type="dxa"/>
            </w:tcMar>
            <w:vAlign w:val="center"/>
          </w:tcPr>
          <w:p w14:paraId="19B14BD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highlight w:val="none"/>
              </w:rPr>
              <w:t>风险控制价为</w:t>
            </w:r>
            <w:r>
              <w:rPr>
                <w:rFonts w:hint="eastAsia" w:ascii="仿宋" w:hAnsi="仿宋" w:eastAsia="仿宋" w:cs="仿宋"/>
                <w:b/>
                <w:bCs/>
                <w:color w:val="FF0000"/>
                <w:sz w:val="24"/>
                <w:szCs w:val="24"/>
                <w:highlight w:val="none"/>
                <w:lang w:val="en-US" w:eastAsia="zh-CN"/>
              </w:rPr>
              <w:t>760000</w:t>
            </w:r>
            <w:r>
              <w:rPr>
                <w:rFonts w:hint="eastAsia" w:ascii="仿宋" w:hAnsi="仿宋" w:eastAsia="仿宋" w:cs="仿宋"/>
                <w:b/>
                <w:bCs w:val="0"/>
                <w:color w:val="FF0000"/>
                <w:sz w:val="24"/>
                <w:szCs w:val="24"/>
                <w:highlight w:val="none"/>
              </w:rPr>
              <w:t>元</w:t>
            </w:r>
            <w:r>
              <w:rPr>
                <w:rFonts w:hint="eastAsia" w:ascii="仿宋" w:hAnsi="仿宋" w:eastAsia="仿宋" w:cs="仿宋"/>
                <w:b/>
                <w:bCs w:val="0"/>
                <w:color w:val="FF0000"/>
                <w:sz w:val="24"/>
                <w:szCs w:val="24"/>
                <w:highlight w:val="none"/>
                <w:lang w:eastAsia="zh-CN"/>
              </w:rPr>
              <w:t>（</w:t>
            </w:r>
            <w:r>
              <w:rPr>
                <w:rFonts w:hint="eastAsia" w:ascii="仿宋" w:hAnsi="仿宋" w:eastAsia="仿宋" w:cs="仿宋"/>
                <w:b/>
                <w:bCs w:val="0"/>
                <w:color w:val="FF0000"/>
                <w:sz w:val="24"/>
                <w:szCs w:val="24"/>
                <w:highlight w:val="none"/>
                <w:lang w:val="en-US" w:eastAsia="zh-CN"/>
              </w:rPr>
              <w:t>其中一期336000，二期424000</w:t>
            </w:r>
            <w:r>
              <w:rPr>
                <w:rFonts w:hint="eastAsia" w:ascii="仿宋" w:hAnsi="仿宋" w:eastAsia="仿宋" w:cs="仿宋"/>
                <w:b/>
                <w:bCs w:val="0"/>
                <w:color w:val="FF0000"/>
                <w:sz w:val="24"/>
                <w:szCs w:val="24"/>
                <w:highlight w:val="none"/>
                <w:lang w:eastAsia="zh-CN"/>
              </w:rPr>
              <w:t>）</w:t>
            </w:r>
            <w:r>
              <w:rPr>
                <w:rFonts w:hint="eastAsia" w:ascii="仿宋" w:hAnsi="仿宋" w:eastAsia="仿宋" w:cs="仿宋"/>
                <w:b/>
                <w:bCs/>
                <w:color w:val="FF0000"/>
                <w:sz w:val="24"/>
                <w:szCs w:val="24"/>
                <w:highlight w:val="none"/>
              </w:rPr>
              <w:t>，</w:t>
            </w:r>
            <w:r>
              <w:rPr>
                <w:rFonts w:hint="eastAsia" w:ascii="仿宋" w:hAnsi="仿宋" w:eastAsia="仿宋" w:cs="仿宋"/>
                <w:b/>
                <w:bCs/>
                <w:color w:val="auto"/>
                <w:sz w:val="24"/>
                <w:szCs w:val="24"/>
                <w:highlight w:val="none"/>
              </w:rPr>
              <w:t>风险控制价为预算金额的80%，若中标人低于该风险控制价中标的，在中标后5个工作日内，中标人必须额外补交中标价净值与风险控制价之差额，中标人不提交的视为放弃中标，采购人将重新组织招标，相关损失由放弃中标的中标单位承担（从投标保证金中扣除）。差额保证金待</w:t>
            </w:r>
            <w:r>
              <w:rPr>
                <w:rFonts w:hint="eastAsia" w:ascii="仿宋" w:hAnsi="仿宋" w:eastAsia="仿宋" w:cs="仿宋"/>
                <w:b/>
                <w:bCs/>
                <w:color w:val="auto"/>
                <w:sz w:val="24"/>
                <w:szCs w:val="24"/>
                <w:highlight w:val="none"/>
                <w:lang w:val="en-US" w:eastAsia="zh-CN"/>
              </w:rPr>
              <w:t>质保期满无相关违约及安全责任等情形</w:t>
            </w:r>
            <w:r>
              <w:rPr>
                <w:rFonts w:hint="eastAsia" w:ascii="仿宋" w:hAnsi="仿宋" w:eastAsia="仿宋" w:cs="仿宋"/>
                <w:b/>
                <w:bCs/>
                <w:color w:val="auto"/>
                <w:sz w:val="24"/>
                <w:szCs w:val="24"/>
                <w:highlight w:val="none"/>
              </w:rPr>
              <w:t>后30日内无息退还。</w:t>
            </w:r>
            <w:r>
              <w:rPr>
                <w:rFonts w:hint="eastAsia" w:ascii="仿宋" w:hAnsi="仿宋" w:eastAsia="仿宋" w:cs="仿宋"/>
                <w:b/>
                <w:bCs/>
                <w:color w:val="auto"/>
                <w:sz w:val="24"/>
                <w:szCs w:val="24"/>
                <w:lang w:val="en-US" w:eastAsia="zh-CN"/>
              </w:rPr>
              <w:t>差额</w:t>
            </w:r>
            <w:r>
              <w:rPr>
                <w:rFonts w:hint="eastAsia" w:ascii="仿宋" w:hAnsi="仿宋" w:eastAsia="仿宋" w:cs="仿宋"/>
                <w:b/>
                <w:bCs/>
                <w:color w:val="auto"/>
                <w:sz w:val="24"/>
                <w:szCs w:val="24"/>
                <w:lang w:val="zh-CN"/>
              </w:rPr>
              <w:t>保证金的交付方式：以现金、电汇、转账方式交纳</w:t>
            </w:r>
            <w:r>
              <w:rPr>
                <w:rFonts w:hint="eastAsia" w:ascii="仿宋" w:hAnsi="仿宋" w:eastAsia="仿宋" w:cs="仿宋"/>
                <w:b/>
                <w:bCs/>
                <w:color w:val="auto"/>
                <w:sz w:val="24"/>
                <w:szCs w:val="24"/>
                <w:lang w:val="zh-CN" w:eastAsia="zh-CN"/>
              </w:rPr>
              <w:t>。</w:t>
            </w:r>
          </w:p>
        </w:tc>
      </w:tr>
    </w:tbl>
    <w:p w14:paraId="32B65FC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p w14:paraId="72808FEF">
      <w:pPr>
        <w:rPr>
          <w:rFonts w:hint="eastAsia"/>
        </w:rPr>
      </w:pPr>
    </w:p>
    <w:bookmarkEnd w:id="40"/>
    <w:bookmarkEnd w:id="41"/>
    <w:p w14:paraId="40182ED3">
      <w:pPr>
        <w:adjustRightInd/>
        <w:spacing w:line="360" w:lineRule="auto"/>
        <w:jc w:val="center"/>
        <w:outlineLvl w:val="0"/>
        <w:rPr>
          <w:rFonts w:hint="eastAsia" w:ascii="仿宋" w:hAnsi="仿宋" w:eastAsia="仿宋" w:cs="仿宋"/>
          <w:b/>
          <w:color w:val="auto"/>
          <w:sz w:val="36"/>
          <w:szCs w:val="20"/>
          <w:lang w:val="en-US" w:eastAsia="zh-CN"/>
        </w:rPr>
      </w:pPr>
    </w:p>
    <w:p w14:paraId="34F9B536">
      <w:pPr>
        <w:adjustRightInd/>
        <w:spacing w:line="360" w:lineRule="auto"/>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第六部分 投标文件及其附件格式</w:t>
      </w:r>
    </w:p>
    <w:p w14:paraId="49B88443">
      <w:pPr>
        <w:snapToGrid w:val="0"/>
        <w:spacing w:before="156" w:beforeLines="50" w:after="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封面格式 </w:t>
      </w:r>
    </w:p>
    <w:p w14:paraId="50BA0DD6">
      <w:pPr>
        <w:snapToGrid w:val="0"/>
        <w:spacing w:before="156" w:beforeLines="50" w:after="50"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 </w:t>
      </w:r>
    </w:p>
    <w:p w14:paraId="13A2D510">
      <w:pPr>
        <w:snapToGrid w:val="0"/>
        <w:spacing w:before="156" w:beforeLines="50" w:after="50" w:line="360" w:lineRule="auto"/>
        <w:jc w:val="center"/>
        <w:rPr>
          <w:rFonts w:hint="eastAsia" w:ascii="仿宋" w:hAnsi="仿宋" w:eastAsia="仿宋" w:cs="仿宋"/>
          <w:b/>
          <w:bCs/>
          <w:color w:val="auto"/>
          <w:sz w:val="52"/>
          <w:szCs w:val="52"/>
          <w:highlight w:val="none"/>
          <w:lang w:val="en-US" w:eastAsia="zh-CN"/>
        </w:rPr>
      </w:pPr>
    </w:p>
    <w:p w14:paraId="0D0DBB17">
      <w:pPr>
        <w:snapToGrid w:val="0"/>
        <w:spacing w:before="156" w:beforeLines="50" w:after="50" w:line="360" w:lineRule="auto"/>
        <w:jc w:val="center"/>
        <w:rPr>
          <w:rFonts w:hint="eastAsia" w:ascii="仿宋" w:hAnsi="仿宋" w:eastAsia="仿宋" w:cs="仿宋"/>
          <w:b/>
          <w:bCs/>
          <w:color w:val="auto"/>
          <w:sz w:val="52"/>
          <w:szCs w:val="52"/>
          <w:highlight w:val="none"/>
          <w:lang w:val="en-US" w:eastAsia="zh-CN"/>
        </w:rPr>
      </w:pPr>
    </w:p>
    <w:p w14:paraId="7A1B1711">
      <w:pPr>
        <w:widowControl/>
        <w:adjustRightInd/>
        <w:jc w:val="center"/>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rPr>
        <w:t>资格文件</w:t>
      </w:r>
      <w:r>
        <w:rPr>
          <w:rFonts w:hint="eastAsia" w:ascii="仿宋" w:hAnsi="仿宋" w:eastAsia="仿宋" w:cs="仿宋"/>
          <w:b/>
          <w:color w:val="auto"/>
          <w:sz w:val="36"/>
          <w:szCs w:val="20"/>
          <w:lang w:val="en-US" w:eastAsia="zh-CN"/>
        </w:rPr>
        <w:t>/</w:t>
      </w:r>
      <w:r>
        <w:rPr>
          <w:rFonts w:hint="eastAsia" w:ascii="仿宋" w:hAnsi="仿宋" w:eastAsia="仿宋" w:cs="仿宋"/>
          <w:b/>
          <w:color w:val="auto"/>
          <w:sz w:val="36"/>
          <w:szCs w:val="20"/>
        </w:rPr>
        <w:t>商务技术</w:t>
      </w:r>
      <w:r>
        <w:rPr>
          <w:rFonts w:hint="eastAsia" w:ascii="仿宋" w:hAnsi="仿宋" w:eastAsia="仿宋" w:cs="仿宋"/>
          <w:b/>
          <w:color w:val="auto"/>
          <w:sz w:val="36"/>
          <w:szCs w:val="20"/>
          <w:lang w:eastAsia="zh-CN"/>
        </w:rPr>
        <w:t>（</w:t>
      </w:r>
      <w:r>
        <w:rPr>
          <w:rFonts w:hint="eastAsia" w:ascii="仿宋" w:hAnsi="仿宋" w:eastAsia="仿宋" w:cs="仿宋"/>
          <w:b/>
          <w:color w:val="auto"/>
          <w:sz w:val="36"/>
          <w:szCs w:val="20"/>
          <w:lang w:val="en-US" w:eastAsia="zh-CN"/>
        </w:rPr>
        <w:t>资信</w:t>
      </w:r>
      <w:r>
        <w:rPr>
          <w:rFonts w:hint="eastAsia" w:ascii="仿宋" w:hAnsi="仿宋" w:eastAsia="仿宋" w:cs="仿宋"/>
          <w:b/>
          <w:color w:val="auto"/>
          <w:sz w:val="36"/>
          <w:szCs w:val="20"/>
          <w:lang w:eastAsia="zh-CN"/>
        </w:rPr>
        <w:t>）</w:t>
      </w:r>
      <w:r>
        <w:rPr>
          <w:rFonts w:hint="eastAsia" w:ascii="仿宋" w:hAnsi="仿宋" w:eastAsia="仿宋" w:cs="仿宋"/>
          <w:b/>
          <w:color w:val="auto"/>
          <w:sz w:val="36"/>
          <w:szCs w:val="20"/>
          <w:lang w:val="zh-CN"/>
        </w:rPr>
        <w:t>文件</w:t>
      </w:r>
      <w:r>
        <w:rPr>
          <w:rFonts w:hint="eastAsia" w:ascii="仿宋" w:hAnsi="仿宋" w:eastAsia="仿宋" w:cs="仿宋"/>
          <w:b/>
          <w:color w:val="auto"/>
          <w:sz w:val="36"/>
          <w:szCs w:val="20"/>
          <w:lang w:val="en-US" w:eastAsia="zh-CN"/>
        </w:rPr>
        <w:t>/</w:t>
      </w:r>
      <w:r>
        <w:rPr>
          <w:rFonts w:hint="eastAsia" w:ascii="仿宋" w:hAnsi="仿宋" w:eastAsia="仿宋" w:cs="仿宋"/>
          <w:b/>
          <w:color w:val="auto"/>
          <w:sz w:val="36"/>
          <w:szCs w:val="20"/>
          <w:lang w:val="zh-CN"/>
        </w:rPr>
        <w:t>报价文件</w:t>
      </w:r>
    </w:p>
    <w:p w14:paraId="792C5E08">
      <w:pPr>
        <w:snapToGrid w:val="0"/>
        <w:spacing w:before="156" w:beforeLines="50" w:after="50" w:line="360" w:lineRule="auto"/>
        <w:rPr>
          <w:rFonts w:hint="eastAsia" w:ascii="仿宋" w:hAnsi="仿宋" w:eastAsia="仿宋" w:cs="仿宋"/>
          <w:color w:val="auto"/>
          <w:sz w:val="24"/>
          <w:szCs w:val="24"/>
          <w:highlight w:val="none"/>
        </w:rPr>
      </w:pPr>
    </w:p>
    <w:p w14:paraId="29CC483C">
      <w:pPr>
        <w:pStyle w:val="673"/>
        <w:rPr>
          <w:rFonts w:hint="eastAsia" w:ascii="仿宋" w:hAnsi="仿宋" w:eastAsia="仿宋" w:cs="仿宋"/>
          <w:color w:val="auto"/>
          <w:sz w:val="24"/>
          <w:szCs w:val="24"/>
          <w:highlight w:val="none"/>
        </w:rPr>
      </w:pPr>
    </w:p>
    <w:p w14:paraId="4097CEC9">
      <w:pPr>
        <w:snapToGrid w:val="0"/>
        <w:spacing w:before="156" w:beforeLines="50" w:after="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9829A5A">
      <w:pPr>
        <w:snapToGrid w:val="0"/>
        <w:spacing w:before="156" w:beforeLines="50" w:after="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D17AE77">
      <w:pPr>
        <w:pStyle w:val="28"/>
        <w:ind w:left="0" w:leftChars="0" w:firstLine="0" w:firstLineChars="0"/>
        <w:rPr>
          <w:rFonts w:hint="eastAsia" w:ascii="仿宋" w:hAnsi="仿宋" w:eastAsia="仿宋" w:cs="仿宋"/>
          <w:color w:val="auto"/>
          <w:sz w:val="28"/>
          <w:szCs w:val="28"/>
          <w:highlight w:val="none"/>
        </w:rPr>
      </w:pPr>
    </w:p>
    <w:p w14:paraId="680209E4">
      <w:pPr>
        <w:snapToGrid w:val="0"/>
        <w:spacing w:before="156" w:beforeLines="50" w:after="50" w:line="360" w:lineRule="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4F474C64">
      <w:pPr>
        <w:snapToGrid w:val="0"/>
        <w:spacing w:before="156" w:beforeLines="50" w:after="50" w:line="360" w:lineRule="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606B52B3">
      <w:pPr>
        <w:snapToGrid w:val="0"/>
        <w:spacing w:before="156" w:beforeLines="50" w:after="50" w:line="360" w:lineRule="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加盖CA公章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1BC0AA18">
      <w:pPr>
        <w:snapToGrid w:val="0"/>
        <w:spacing w:before="156" w:beforeLines="50" w:after="50" w:line="360" w:lineRule="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 xml:space="preserve">投标人地址：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0F7C60B6">
      <w:pPr>
        <w:pStyle w:val="4"/>
        <w:snapToGrid w:val="0"/>
        <w:spacing w:before="50" w:after="50"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00CAE3C">
      <w:pPr>
        <w:snapToGrid w:val="0"/>
        <w:spacing w:before="156" w:beforeLines="50" w:after="50" w:line="360" w:lineRule="auto"/>
        <w:ind w:firstLine="645"/>
        <w:jc w:val="center"/>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 xml:space="preserve">             年  月  日</w:t>
      </w:r>
    </w:p>
    <w:p w14:paraId="5CD85E69">
      <w:pPr>
        <w:spacing w:line="360" w:lineRule="auto"/>
        <w:jc w:val="center"/>
        <w:outlineLvl w:val="0"/>
        <w:rPr>
          <w:rFonts w:hint="eastAsia" w:ascii="仿宋" w:hAnsi="仿宋" w:eastAsia="仿宋" w:cs="仿宋"/>
          <w:b/>
          <w:color w:val="auto"/>
          <w:kern w:val="0"/>
          <w:sz w:val="36"/>
          <w:szCs w:val="36"/>
        </w:rPr>
      </w:pPr>
    </w:p>
    <w:p w14:paraId="5B1D5C94">
      <w:pPr>
        <w:spacing w:line="360" w:lineRule="auto"/>
        <w:jc w:val="center"/>
        <w:outlineLvl w:val="0"/>
        <w:rPr>
          <w:rFonts w:hint="eastAsia" w:ascii="仿宋" w:hAnsi="仿宋" w:eastAsia="仿宋" w:cs="仿宋"/>
          <w:b/>
          <w:color w:val="auto"/>
          <w:kern w:val="0"/>
          <w:sz w:val="36"/>
          <w:szCs w:val="36"/>
        </w:rPr>
      </w:pPr>
    </w:p>
    <w:p w14:paraId="6ACC74FC">
      <w:pPr>
        <w:spacing w:line="360" w:lineRule="auto"/>
        <w:jc w:val="center"/>
        <w:outlineLvl w:val="0"/>
        <w:rPr>
          <w:rFonts w:hint="eastAsia" w:ascii="仿宋" w:hAnsi="仿宋" w:eastAsia="仿宋" w:cs="仿宋"/>
          <w:b/>
          <w:color w:val="auto"/>
          <w:kern w:val="0"/>
          <w:sz w:val="36"/>
          <w:szCs w:val="36"/>
        </w:rPr>
      </w:pPr>
    </w:p>
    <w:p w14:paraId="3EA79EAC">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5D20EAC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w:t>
      </w:r>
      <w:r>
        <w:rPr>
          <w:rFonts w:hint="eastAsia" w:ascii="仿宋" w:hAnsi="仿宋" w:eastAsia="仿宋" w:cs="仿宋"/>
          <w:b/>
          <w:color w:val="auto"/>
          <w:kern w:val="0"/>
          <w:sz w:val="36"/>
          <w:szCs w:val="36"/>
          <w:lang w:val="en-US" w:eastAsia="zh-CN"/>
        </w:rPr>
        <w:t xml:space="preserve"> </w:t>
      </w:r>
      <w:r>
        <w:rPr>
          <w:rFonts w:hint="eastAsia" w:ascii="仿宋" w:hAnsi="仿宋" w:eastAsia="仿宋" w:cs="仿宋"/>
          <w:b/>
          <w:color w:val="auto"/>
          <w:kern w:val="0"/>
          <w:sz w:val="36"/>
          <w:szCs w:val="36"/>
        </w:rPr>
        <w:t>录</w:t>
      </w:r>
    </w:p>
    <w:p w14:paraId="13CFBB16">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营业执照扫描件；</w:t>
      </w:r>
    </w:p>
    <w:p w14:paraId="30067712">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2.符合参加采购活动应当具备的一般条件的承诺函；</w:t>
      </w:r>
      <w:r>
        <w:rPr>
          <w:rFonts w:hint="eastAsia" w:ascii="仿宋" w:hAnsi="仿宋" w:eastAsia="仿宋" w:cs="仿宋"/>
          <w:color w:val="auto"/>
          <w:sz w:val="24"/>
          <w:szCs w:val="24"/>
          <w:lang w:val="en-US" w:eastAsia="zh-CN"/>
        </w:rPr>
        <w:t>（见附件1）</w:t>
      </w:r>
    </w:p>
    <w:p w14:paraId="23D36092">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lang w:val="en-US" w:eastAsia="zh-CN"/>
        </w:rPr>
        <w:t>3.投标保证金（</w:t>
      </w:r>
      <w:r>
        <w:rPr>
          <w:rFonts w:hint="eastAsia" w:ascii="仿宋" w:hAnsi="仿宋" w:eastAsia="仿宋" w:cs="仿宋"/>
          <w:color w:val="auto"/>
          <w:sz w:val="24"/>
          <w:highlight w:val="none"/>
          <w:lang w:val="en-US" w:eastAsia="zh-CN"/>
        </w:rPr>
        <w:t>提供投标保证金缴纳凭证截图）。</w:t>
      </w:r>
    </w:p>
    <w:p w14:paraId="7D1637BB">
      <w:pPr>
        <w:keepNext w:val="0"/>
        <w:keepLines w:val="0"/>
        <w:pageBreakBefore w:val="0"/>
        <w:kinsoku/>
        <w:wordWrap/>
        <w:overflowPunct/>
        <w:topLinePunct w:val="0"/>
        <w:bidi w:val="0"/>
        <w:snapToGrid w:val="0"/>
        <w:spacing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highlight w:val="none"/>
          <w:lang w:eastAsia="zh-CN"/>
        </w:rPr>
        <w:t>本项目的特定资格要求。</w:t>
      </w:r>
    </w:p>
    <w:p w14:paraId="4F95FEDC">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p>
    <w:p w14:paraId="68B63C3D">
      <w:pPr>
        <w:pStyle w:val="23"/>
        <w:rPr>
          <w:rFonts w:hint="eastAsia" w:ascii="仿宋" w:hAnsi="仿宋" w:eastAsia="仿宋" w:cs="仿宋"/>
          <w:color w:val="auto"/>
          <w:lang w:val="en-US" w:eastAsia="zh-CN"/>
        </w:rPr>
      </w:pPr>
    </w:p>
    <w:p w14:paraId="293BD9FC">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以上资料均需加盖CA公章。</w:t>
      </w:r>
    </w:p>
    <w:p w14:paraId="57FA588D">
      <w:pPr>
        <w:spacing w:line="360" w:lineRule="auto"/>
        <w:jc w:val="center"/>
        <w:outlineLvl w:val="0"/>
        <w:rPr>
          <w:rFonts w:hint="eastAsia" w:ascii="仿宋" w:hAnsi="仿宋" w:eastAsia="仿宋" w:cs="仿宋"/>
          <w:b/>
          <w:color w:val="auto"/>
          <w:kern w:val="0"/>
          <w:sz w:val="36"/>
          <w:szCs w:val="36"/>
        </w:rPr>
      </w:pPr>
    </w:p>
    <w:p w14:paraId="375C08CA">
      <w:pPr>
        <w:snapToGrid w:val="0"/>
        <w:spacing w:line="360" w:lineRule="auto"/>
        <w:rPr>
          <w:rFonts w:hint="eastAsia" w:ascii="仿宋" w:hAnsi="仿宋" w:eastAsia="仿宋" w:cs="仿宋"/>
          <w:color w:val="auto"/>
          <w:sz w:val="24"/>
        </w:rPr>
      </w:pPr>
    </w:p>
    <w:p w14:paraId="647D148C">
      <w:pPr>
        <w:snapToGrid w:val="0"/>
        <w:spacing w:line="360" w:lineRule="auto"/>
        <w:ind w:firstLine="480" w:firstLineChars="200"/>
        <w:rPr>
          <w:rFonts w:hint="eastAsia" w:ascii="仿宋" w:hAnsi="仿宋" w:eastAsia="仿宋" w:cs="仿宋"/>
          <w:color w:val="auto"/>
          <w:sz w:val="24"/>
        </w:rPr>
      </w:pPr>
    </w:p>
    <w:p w14:paraId="4808F496">
      <w:pPr>
        <w:spacing w:line="360" w:lineRule="auto"/>
        <w:ind w:firstLine="480" w:firstLineChars="200"/>
        <w:rPr>
          <w:rFonts w:hint="eastAsia" w:ascii="仿宋" w:hAnsi="仿宋" w:eastAsia="仿宋" w:cs="仿宋"/>
          <w:color w:val="auto"/>
          <w:sz w:val="24"/>
        </w:rPr>
      </w:pPr>
    </w:p>
    <w:p w14:paraId="6876F452">
      <w:pPr>
        <w:snapToGrid w:val="0"/>
        <w:spacing w:line="360" w:lineRule="auto"/>
        <w:ind w:right="480"/>
        <w:jc w:val="left"/>
        <w:rPr>
          <w:rFonts w:hint="eastAsia" w:ascii="仿宋" w:hAnsi="仿宋" w:eastAsia="仿宋" w:cs="仿宋"/>
          <w:b/>
          <w:color w:val="auto"/>
          <w:kern w:val="0"/>
          <w:sz w:val="24"/>
          <w:szCs w:val="24"/>
          <w:lang w:val="en-US" w:eastAsia="zh-CN"/>
        </w:rPr>
      </w:pPr>
      <w:r>
        <w:rPr>
          <w:rFonts w:hint="eastAsia" w:ascii="仿宋" w:hAnsi="仿宋" w:eastAsia="仿宋" w:cs="仿宋"/>
          <w:color w:val="auto"/>
          <w:kern w:val="0"/>
          <w:sz w:val="24"/>
        </w:rPr>
        <w:br w:type="page"/>
      </w:r>
      <w:r>
        <w:rPr>
          <w:rFonts w:hint="eastAsia" w:ascii="仿宋" w:hAnsi="仿宋" w:eastAsia="仿宋" w:cs="仿宋"/>
          <w:b/>
          <w:color w:val="auto"/>
          <w:kern w:val="0"/>
          <w:sz w:val="24"/>
          <w:szCs w:val="24"/>
        </w:rPr>
        <w:t xml:space="preserve">  </w:t>
      </w:r>
      <w:r>
        <w:rPr>
          <w:rFonts w:hint="eastAsia" w:ascii="仿宋" w:hAnsi="仿宋" w:eastAsia="仿宋" w:cs="仿宋"/>
          <w:b/>
          <w:color w:val="auto"/>
          <w:kern w:val="0"/>
          <w:sz w:val="24"/>
          <w:szCs w:val="24"/>
          <w:lang w:val="en-US" w:eastAsia="zh-CN"/>
        </w:rPr>
        <w:t>附件1</w:t>
      </w:r>
    </w:p>
    <w:p w14:paraId="30E03610">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符合参加采购活动应当具备的一般条件的承诺函</w:t>
      </w:r>
    </w:p>
    <w:p w14:paraId="30197D3A">
      <w:pPr>
        <w:snapToGrid w:val="0"/>
        <w:spacing w:line="360" w:lineRule="auto"/>
        <w:rPr>
          <w:rFonts w:hint="eastAsia" w:ascii="仿宋" w:hAnsi="仿宋" w:eastAsia="仿宋" w:cs="仿宋"/>
          <w:color w:val="auto"/>
          <w:sz w:val="24"/>
        </w:rPr>
      </w:pPr>
    </w:p>
    <w:p w14:paraId="46D5E98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088F57C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我方参与（项目名称）【招标编号：（采购编号）】采购活动，郑重承诺：</w:t>
      </w:r>
    </w:p>
    <w:p w14:paraId="60BA73D8">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ED41419">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DFEB4F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ADA0CD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63E3ABC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AA54EE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1F85988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1A24168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0B541E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73F3BB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1、单位负责人为同一人或者存在直接控股、管理关系的不同供应商参加同一合同项下的采购活动的；</w:t>
      </w:r>
    </w:p>
    <w:p w14:paraId="4D23D71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5481FFD6">
      <w:pPr>
        <w:snapToGrid w:val="0"/>
        <w:spacing w:line="360" w:lineRule="auto"/>
        <w:ind w:firstLine="3360" w:firstLineChars="1400"/>
        <w:jc w:val="both"/>
        <w:rPr>
          <w:rFonts w:hint="eastAsia" w:ascii="仿宋" w:hAnsi="仿宋" w:eastAsia="仿宋" w:cs="仿宋"/>
          <w:color w:val="auto"/>
          <w:kern w:val="0"/>
          <w:sz w:val="24"/>
          <w:lang w:val="zh-CN"/>
        </w:rPr>
      </w:pPr>
    </w:p>
    <w:p w14:paraId="08337873">
      <w:pPr>
        <w:snapToGrid w:val="0"/>
        <w:spacing w:line="360" w:lineRule="auto"/>
        <w:ind w:firstLine="3360" w:firstLineChars="1400"/>
        <w:jc w:val="both"/>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4603A919">
      <w:pPr>
        <w:snapToGrid w:val="0"/>
        <w:spacing w:line="360" w:lineRule="auto"/>
        <w:ind w:firstLine="3360" w:firstLineChars="1400"/>
        <w:jc w:val="both"/>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w:t>
      </w:r>
    </w:p>
    <w:p w14:paraId="7BC74518">
      <w:pPr>
        <w:snapToGrid w:val="0"/>
        <w:spacing w:line="360" w:lineRule="auto"/>
        <w:ind w:right="480"/>
        <w:jc w:val="right"/>
        <w:rPr>
          <w:rFonts w:hint="eastAsia" w:ascii="仿宋" w:hAnsi="仿宋" w:eastAsia="仿宋" w:cs="仿宋"/>
          <w:b/>
          <w:color w:val="auto"/>
          <w:kern w:val="0"/>
          <w:sz w:val="32"/>
          <w:szCs w:val="32"/>
        </w:rPr>
      </w:pPr>
    </w:p>
    <w:p w14:paraId="18B76E58">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w:t>
      </w:r>
      <w:r>
        <w:rPr>
          <w:rFonts w:hint="eastAsia" w:ascii="仿宋" w:hAnsi="仿宋" w:eastAsia="仿宋" w:cs="仿宋"/>
          <w:b/>
          <w:color w:val="auto"/>
          <w:kern w:val="0"/>
          <w:sz w:val="36"/>
          <w:szCs w:val="36"/>
          <w:lang w:eastAsia="zh-CN"/>
        </w:rPr>
        <w:t>（</w:t>
      </w:r>
      <w:r>
        <w:rPr>
          <w:rFonts w:hint="eastAsia" w:ascii="仿宋" w:hAnsi="仿宋" w:eastAsia="仿宋" w:cs="仿宋"/>
          <w:b/>
          <w:color w:val="auto"/>
          <w:kern w:val="0"/>
          <w:sz w:val="36"/>
          <w:szCs w:val="36"/>
          <w:lang w:val="en-US" w:eastAsia="zh-CN"/>
        </w:rPr>
        <w:t>资信</w:t>
      </w:r>
      <w:r>
        <w:rPr>
          <w:rFonts w:hint="eastAsia" w:ascii="仿宋" w:hAnsi="仿宋" w:eastAsia="仿宋" w:cs="仿宋"/>
          <w:b/>
          <w:color w:val="auto"/>
          <w:kern w:val="0"/>
          <w:sz w:val="36"/>
          <w:szCs w:val="36"/>
          <w:lang w:eastAsia="zh-CN"/>
        </w:rPr>
        <w:t>）</w:t>
      </w:r>
      <w:r>
        <w:rPr>
          <w:rFonts w:hint="eastAsia" w:ascii="仿宋" w:hAnsi="仿宋" w:eastAsia="仿宋" w:cs="仿宋"/>
          <w:b/>
          <w:color w:val="auto"/>
          <w:kern w:val="0"/>
          <w:sz w:val="36"/>
          <w:szCs w:val="36"/>
        </w:rPr>
        <w:t>文件部分</w:t>
      </w:r>
    </w:p>
    <w:p w14:paraId="5052D42D">
      <w:pPr>
        <w:spacing w:line="336" w:lineRule="auto"/>
        <w:jc w:val="center"/>
        <w:outlineLvl w:val="0"/>
        <w:rPr>
          <w:rFonts w:hint="eastAsia" w:ascii="仿宋" w:hAnsi="仿宋" w:eastAsia="仿宋" w:cs="仿宋"/>
          <w:b/>
          <w:color w:val="auto"/>
          <w:kern w:val="0"/>
          <w:sz w:val="24"/>
        </w:rPr>
      </w:pPr>
    </w:p>
    <w:p w14:paraId="2FA038C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w:t>
      </w:r>
      <w:r>
        <w:rPr>
          <w:rFonts w:hint="eastAsia" w:ascii="仿宋" w:hAnsi="仿宋" w:eastAsia="仿宋" w:cs="仿宋"/>
          <w:b/>
          <w:color w:val="auto"/>
          <w:kern w:val="0"/>
          <w:sz w:val="36"/>
          <w:szCs w:val="36"/>
          <w:lang w:val="en-US" w:eastAsia="zh-CN"/>
        </w:rPr>
        <w:t xml:space="preserve"> </w:t>
      </w:r>
      <w:r>
        <w:rPr>
          <w:rFonts w:hint="eastAsia" w:ascii="仿宋" w:hAnsi="仿宋" w:eastAsia="仿宋" w:cs="仿宋"/>
          <w:b/>
          <w:color w:val="auto"/>
          <w:kern w:val="0"/>
          <w:sz w:val="36"/>
          <w:szCs w:val="36"/>
        </w:rPr>
        <w:t>录</w:t>
      </w:r>
    </w:p>
    <w:p w14:paraId="2839E876">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1.投标函（见附件2）</w:t>
      </w:r>
      <w:r>
        <w:rPr>
          <w:rFonts w:hint="eastAsia" w:ascii="仿宋" w:hAnsi="仿宋" w:eastAsia="仿宋" w:cs="仿宋"/>
          <w:color w:val="auto"/>
          <w:sz w:val="24"/>
          <w:szCs w:val="24"/>
          <w:lang w:val="zh-CN" w:eastAsia="zh-CN"/>
        </w:rPr>
        <w:t xml:space="preserve"> </w:t>
      </w:r>
    </w:p>
    <w:p w14:paraId="038A637F">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2.法定代表人身份证明书或授权委托书（非法定代表人签字时提供）（见附件3）</w:t>
      </w:r>
    </w:p>
    <w:p w14:paraId="5C11CB8A">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3.商务响应表（见附件4）</w:t>
      </w:r>
    </w:p>
    <w:p w14:paraId="51332F1F">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4.技术偏离表（见附件5）</w:t>
      </w:r>
    </w:p>
    <w:p w14:paraId="4C5D35CC">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5.政府采购供应商廉洁自律承诺书（见附件6）</w:t>
      </w:r>
    </w:p>
    <w:p w14:paraId="61CE1D3B">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GB" w:eastAsia="zh-CN"/>
        </w:rPr>
        <w:t>投标人基本情况表</w:t>
      </w:r>
      <w:r>
        <w:rPr>
          <w:rFonts w:hint="eastAsia" w:ascii="仿宋" w:hAnsi="仿宋" w:eastAsia="仿宋" w:cs="仿宋"/>
          <w:color w:val="auto"/>
          <w:sz w:val="24"/>
          <w:szCs w:val="24"/>
          <w:lang w:val="en-US" w:eastAsia="zh-CN"/>
        </w:rPr>
        <w:t>（见附件7）</w:t>
      </w:r>
    </w:p>
    <w:p w14:paraId="5EDA7922">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GB" w:eastAsia="zh-CN"/>
        </w:rPr>
        <w:t>类似项目业绩一览表</w:t>
      </w:r>
      <w:r>
        <w:rPr>
          <w:rFonts w:hint="eastAsia" w:ascii="仿宋" w:hAnsi="仿宋" w:eastAsia="仿宋" w:cs="仿宋"/>
          <w:color w:val="auto"/>
          <w:sz w:val="24"/>
          <w:szCs w:val="24"/>
          <w:lang w:val="en-US" w:eastAsia="zh-CN"/>
        </w:rPr>
        <w:t>（见附件8）</w:t>
      </w:r>
    </w:p>
    <w:p w14:paraId="22A2F442">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bookmarkStart w:id="81" w:name="_Toc278123615"/>
      <w:r>
        <w:rPr>
          <w:rFonts w:hint="eastAsia" w:ascii="仿宋" w:hAnsi="仿宋" w:eastAsia="仿宋" w:cs="仿宋"/>
          <w:color w:val="auto"/>
          <w:sz w:val="24"/>
          <w:szCs w:val="24"/>
          <w:lang w:val="en-US" w:eastAsia="zh-CN"/>
        </w:rPr>
        <w:t>8.拟派项目负责人情况表</w:t>
      </w:r>
      <w:bookmarkEnd w:id="81"/>
      <w:r>
        <w:rPr>
          <w:rFonts w:hint="eastAsia" w:ascii="仿宋" w:hAnsi="仿宋" w:eastAsia="仿宋" w:cs="仿宋"/>
          <w:color w:val="auto"/>
          <w:sz w:val="24"/>
          <w:szCs w:val="24"/>
          <w:lang w:val="en-US" w:eastAsia="zh-CN"/>
        </w:rPr>
        <w:t>（见附件9）</w:t>
      </w:r>
    </w:p>
    <w:p w14:paraId="51DBB511">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9.拟派项目实施人员一览表（见附件10）</w:t>
      </w:r>
    </w:p>
    <w:p w14:paraId="1B19FC7C">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10.评标标准相应的其他商务技术资料</w:t>
      </w:r>
    </w:p>
    <w:p w14:paraId="79367A8E">
      <w:pPr>
        <w:pStyle w:val="6"/>
        <w:rPr>
          <w:rFonts w:hint="eastAsia" w:ascii="仿宋" w:hAnsi="仿宋" w:eastAsia="仿宋" w:cs="仿宋"/>
          <w:b/>
          <w:color w:val="auto"/>
          <w:kern w:val="0"/>
          <w:sz w:val="32"/>
          <w:szCs w:val="32"/>
          <w:lang w:val="zh-CN"/>
        </w:rPr>
      </w:pPr>
    </w:p>
    <w:p w14:paraId="6949273F">
      <w:pPr>
        <w:rPr>
          <w:rFonts w:hint="eastAsia" w:ascii="仿宋" w:hAnsi="仿宋" w:eastAsia="仿宋" w:cs="仿宋"/>
          <w:b/>
          <w:color w:val="auto"/>
          <w:kern w:val="0"/>
          <w:sz w:val="32"/>
          <w:szCs w:val="32"/>
          <w:lang w:val="zh-CN"/>
        </w:rPr>
      </w:pPr>
    </w:p>
    <w:p w14:paraId="75F9E32F">
      <w:pPr>
        <w:pStyle w:val="6"/>
        <w:rPr>
          <w:rFonts w:hint="eastAsia" w:ascii="仿宋" w:hAnsi="仿宋" w:eastAsia="仿宋" w:cs="仿宋"/>
          <w:b/>
          <w:color w:val="auto"/>
          <w:kern w:val="0"/>
          <w:sz w:val="32"/>
          <w:szCs w:val="32"/>
          <w:lang w:val="zh-CN"/>
        </w:rPr>
      </w:pPr>
    </w:p>
    <w:p w14:paraId="2B96ADEE">
      <w:pPr>
        <w:rPr>
          <w:rFonts w:hint="eastAsia" w:ascii="仿宋" w:hAnsi="仿宋" w:eastAsia="仿宋" w:cs="仿宋"/>
          <w:b/>
          <w:color w:val="auto"/>
          <w:kern w:val="0"/>
          <w:sz w:val="32"/>
          <w:szCs w:val="32"/>
          <w:lang w:val="zh-CN"/>
        </w:rPr>
      </w:pPr>
    </w:p>
    <w:p w14:paraId="4BB9245E">
      <w:pPr>
        <w:pStyle w:val="6"/>
        <w:rPr>
          <w:rFonts w:hint="eastAsia" w:ascii="仿宋" w:hAnsi="仿宋" w:eastAsia="仿宋" w:cs="仿宋"/>
          <w:b/>
          <w:color w:val="auto"/>
          <w:kern w:val="0"/>
          <w:sz w:val="32"/>
          <w:szCs w:val="32"/>
          <w:lang w:val="zh-CN"/>
        </w:rPr>
      </w:pPr>
    </w:p>
    <w:p w14:paraId="260F4C87">
      <w:pPr>
        <w:rPr>
          <w:rFonts w:hint="eastAsia" w:ascii="仿宋" w:hAnsi="仿宋" w:eastAsia="仿宋" w:cs="仿宋"/>
          <w:b/>
          <w:color w:val="auto"/>
          <w:kern w:val="0"/>
          <w:sz w:val="32"/>
          <w:szCs w:val="32"/>
          <w:lang w:val="zh-CN"/>
        </w:rPr>
      </w:pPr>
    </w:p>
    <w:p w14:paraId="0D2AB096">
      <w:pPr>
        <w:pStyle w:val="23"/>
        <w:rPr>
          <w:rFonts w:hint="eastAsia" w:ascii="仿宋" w:hAnsi="仿宋" w:eastAsia="仿宋" w:cs="仿宋"/>
          <w:color w:val="auto"/>
          <w:lang w:val="zh-CN"/>
        </w:rPr>
      </w:pPr>
    </w:p>
    <w:p w14:paraId="653DDE1D">
      <w:pPr>
        <w:rPr>
          <w:rFonts w:hint="eastAsia" w:ascii="仿宋" w:hAnsi="仿宋" w:eastAsia="仿宋" w:cs="仿宋"/>
          <w:b/>
          <w:color w:val="auto"/>
          <w:kern w:val="0"/>
          <w:sz w:val="32"/>
          <w:szCs w:val="32"/>
          <w:lang w:val="zh-CN"/>
        </w:rPr>
      </w:pPr>
    </w:p>
    <w:p w14:paraId="5504B520">
      <w:pPr>
        <w:pStyle w:val="83"/>
        <w:rPr>
          <w:rFonts w:hint="eastAsia" w:ascii="仿宋" w:hAnsi="仿宋" w:eastAsia="仿宋" w:cs="仿宋"/>
          <w:color w:val="auto"/>
          <w:lang w:val="zh-CN"/>
        </w:rPr>
      </w:pPr>
    </w:p>
    <w:p w14:paraId="4A3EC3FC">
      <w:pPr>
        <w:pStyle w:val="83"/>
        <w:rPr>
          <w:rFonts w:hint="eastAsia" w:ascii="仿宋" w:hAnsi="仿宋" w:eastAsia="仿宋" w:cs="仿宋"/>
          <w:color w:val="auto"/>
          <w:lang w:val="zh-CN"/>
        </w:rPr>
      </w:pPr>
    </w:p>
    <w:p w14:paraId="23DE4494">
      <w:pPr>
        <w:pStyle w:val="83"/>
        <w:rPr>
          <w:rFonts w:hint="eastAsia" w:ascii="仿宋" w:hAnsi="仿宋" w:eastAsia="仿宋" w:cs="仿宋"/>
          <w:color w:val="auto"/>
          <w:lang w:val="zh-CN"/>
        </w:rPr>
      </w:pPr>
    </w:p>
    <w:p w14:paraId="7D7224A5">
      <w:pPr>
        <w:snapToGrid w:val="0"/>
        <w:spacing w:line="360" w:lineRule="auto"/>
        <w:ind w:right="480"/>
        <w:jc w:val="left"/>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附件2</w:t>
      </w:r>
    </w:p>
    <w:p w14:paraId="30D327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35C3DE8A">
      <w:pPr>
        <w:pStyle w:val="399"/>
        <w:keepNext w:val="0"/>
        <w:keepLines w:val="0"/>
        <w:pageBreakBefore w:val="0"/>
        <w:kinsoku/>
        <w:wordWrap/>
        <w:overflowPunct/>
        <w:topLinePunct w:val="0"/>
        <w:autoSpaceDE/>
        <w:autoSpaceDN/>
        <w:bidi w:val="0"/>
        <w:spacing w:afterLines="0"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p>
    <w:p w14:paraId="609302B0">
      <w:pPr>
        <w:pStyle w:val="399"/>
        <w:keepNext w:val="0"/>
        <w:keepLines w:val="0"/>
        <w:pageBreakBefore w:val="0"/>
        <w:kinsoku/>
        <w:wordWrap/>
        <w:overflowPunct/>
        <w:topLinePunct w:val="0"/>
        <w:autoSpaceDE/>
        <w:autoSpaceDN/>
        <w:bidi w:val="0"/>
        <w:spacing w:afterLines="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根据贵方招标文件（</w:t>
      </w:r>
      <w:r>
        <w:rPr>
          <w:rFonts w:hint="eastAsia" w:ascii="仿宋" w:hAnsi="仿宋" w:eastAsia="仿宋" w:cs="仿宋"/>
          <w:b/>
          <w:color w:val="auto"/>
          <w:sz w:val="24"/>
          <w:szCs w:val="24"/>
          <w:u w:val="single"/>
        </w:rPr>
        <w:t>填写招标编号：</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（全权代表姓名、单位、职务）</w:t>
      </w:r>
      <w:r>
        <w:rPr>
          <w:rFonts w:hint="eastAsia" w:ascii="仿宋" w:hAnsi="仿宋" w:eastAsia="仿宋" w:cs="仿宋"/>
          <w:color w:val="auto"/>
          <w:sz w:val="24"/>
          <w:szCs w:val="24"/>
        </w:rPr>
        <w:t>代表投标人</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提交投标文件。</w:t>
      </w:r>
    </w:p>
    <w:p w14:paraId="6BF7D2A2">
      <w:pPr>
        <w:pStyle w:val="399"/>
        <w:keepNext w:val="0"/>
        <w:keepLines w:val="0"/>
        <w:pageBreakBefore w:val="0"/>
        <w:kinsoku/>
        <w:wordWrap/>
        <w:overflowPunct/>
        <w:topLinePunct w:val="0"/>
        <w:autoSpaceDE/>
        <w:autoSpaceDN/>
        <w:bidi w:val="0"/>
        <w:spacing w:afterLines="0"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我方已完全明白招标文件的所有条款要求，兹声明同意如下：</w:t>
      </w:r>
    </w:p>
    <w:p w14:paraId="392BD345">
      <w:pPr>
        <w:pStyle w:val="13"/>
        <w:keepNext w:val="0"/>
        <w:keepLines w:val="0"/>
        <w:pageBreakBefore w:val="0"/>
        <w:tabs>
          <w:tab w:val="clear" w:pos="1697"/>
        </w:tabs>
        <w:kinsoku/>
        <w:wordWrap/>
        <w:overflowPunct/>
        <w:topLinePunct w:val="0"/>
        <w:autoSpaceDE/>
        <w:autoSpaceDN/>
        <w:bidi w:val="0"/>
        <w:spacing w:afterLines="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1.我方同意在投标人</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规定的开标日期起遵守本投标文件中的承诺且在投标有效期满之前均具有约束力。</w:t>
      </w:r>
    </w:p>
    <w:p w14:paraId="5DD87536">
      <w:pPr>
        <w:pStyle w:val="399"/>
        <w:keepNext w:val="0"/>
        <w:keepLines w:val="0"/>
        <w:pageBreakBefore w:val="0"/>
        <w:kinsoku/>
        <w:wordWrap/>
        <w:overflowPunct/>
        <w:topLinePunct w:val="0"/>
        <w:autoSpaceDE/>
        <w:autoSpaceDN/>
        <w:bidi w:val="0"/>
        <w:spacing w:afterLines="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2.我方承诺已经具备《中华人民共和国政府采购法》中规定的参加采购活动的供应商应当具备的条件。</w:t>
      </w:r>
    </w:p>
    <w:p w14:paraId="0AE866CE">
      <w:pPr>
        <w:pStyle w:val="399"/>
        <w:keepNext w:val="0"/>
        <w:keepLines w:val="0"/>
        <w:pageBreakBefore w:val="0"/>
        <w:kinsoku/>
        <w:wordWrap/>
        <w:overflowPunct/>
        <w:topLinePunct w:val="0"/>
        <w:autoSpaceDE/>
        <w:autoSpaceDN/>
        <w:bidi w:val="0"/>
        <w:spacing w:afterLines="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03671126">
      <w:pPr>
        <w:pStyle w:val="399"/>
        <w:keepNext w:val="0"/>
        <w:keepLines w:val="0"/>
        <w:pageBreakBefore w:val="0"/>
        <w:kinsoku/>
        <w:wordWrap/>
        <w:overflowPunct/>
        <w:topLinePunct w:val="0"/>
        <w:autoSpaceDE/>
        <w:autoSpaceDN/>
        <w:bidi w:val="0"/>
        <w:spacing w:afterLines="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14:paraId="6D072352">
      <w:pPr>
        <w:pStyle w:val="13"/>
        <w:keepNext w:val="0"/>
        <w:keepLines w:val="0"/>
        <w:pageBreakBefore w:val="0"/>
        <w:tabs>
          <w:tab w:val="clear" w:pos="1697"/>
        </w:tabs>
        <w:kinsoku/>
        <w:wordWrap/>
        <w:overflowPunct/>
        <w:topLinePunct w:val="0"/>
        <w:autoSpaceDE/>
        <w:autoSpaceDN/>
        <w:bidi w:val="0"/>
        <w:spacing w:afterLines="0" w:line="4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5.本投标自开标之日（投标截止之日）起90天内有效。</w:t>
      </w:r>
    </w:p>
    <w:p w14:paraId="13F76BD3">
      <w:pPr>
        <w:pStyle w:val="399"/>
        <w:keepNext w:val="0"/>
        <w:keepLines w:val="0"/>
        <w:pageBreakBefore w:val="0"/>
        <w:kinsoku/>
        <w:wordWrap/>
        <w:overflowPunct/>
        <w:topLinePunct w:val="0"/>
        <w:autoSpaceDE/>
        <w:autoSpaceDN/>
        <w:bidi w:val="0"/>
        <w:spacing w:afterLines="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2402CB5">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40B6FB8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15A3FA37">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666A8D0C">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3BEA94A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14:paraId="32C1E1B3">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326B61F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1CE66AFB">
      <w:pPr>
        <w:pStyle w:val="399"/>
        <w:keepNext w:val="0"/>
        <w:keepLines w:val="0"/>
        <w:pageBreakBefore w:val="0"/>
        <w:kinsoku/>
        <w:wordWrap/>
        <w:overflowPunct/>
        <w:topLinePunct w:val="0"/>
        <w:autoSpaceDE/>
        <w:autoSpaceDN/>
        <w:bidi w:val="0"/>
        <w:adjustRightInd w:val="0"/>
        <w:snapToGrid w:val="0"/>
        <w:spacing w:afterLines="0" w:line="440" w:lineRule="exact"/>
        <w:ind w:firstLine="480" w:firstLineChars="200"/>
        <w:textAlignment w:val="auto"/>
        <w:rPr>
          <w:rFonts w:hint="eastAsia" w:ascii="仿宋" w:hAnsi="仿宋" w:eastAsia="仿宋" w:cs="仿宋"/>
          <w:color w:val="auto"/>
          <w:sz w:val="24"/>
          <w:szCs w:val="24"/>
        </w:rPr>
      </w:pPr>
    </w:p>
    <w:p w14:paraId="121566DF">
      <w:pPr>
        <w:pStyle w:val="399"/>
        <w:keepNext w:val="0"/>
        <w:keepLines w:val="0"/>
        <w:pageBreakBefore w:val="0"/>
        <w:kinsoku/>
        <w:wordWrap/>
        <w:overflowPunct/>
        <w:topLinePunct w:val="0"/>
        <w:autoSpaceDE/>
        <w:autoSpaceDN/>
        <w:bidi w:val="0"/>
        <w:adjustRightInd w:val="0"/>
        <w:snapToGrid w:val="0"/>
        <w:spacing w:after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邮政编码：</w:t>
      </w:r>
    </w:p>
    <w:p w14:paraId="2078C29C">
      <w:pPr>
        <w:pStyle w:val="399"/>
        <w:keepNext w:val="0"/>
        <w:keepLines w:val="0"/>
        <w:pageBreakBefore w:val="0"/>
        <w:kinsoku/>
        <w:wordWrap/>
        <w:overflowPunct/>
        <w:topLinePunct w:val="0"/>
        <w:autoSpaceDE/>
        <w:autoSpaceDN/>
        <w:bidi w:val="0"/>
        <w:adjustRightInd w:val="0"/>
        <w:snapToGrid w:val="0"/>
        <w:spacing w:after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w:t>
      </w:r>
    </w:p>
    <w:p w14:paraId="025F4EAA">
      <w:pPr>
        <w:pStyle w:val="399"/>
        <w:keepNext w:val="0"/>
        <w:keepLines w:val="0"/>
        <w:pageBreakBefore w:val="0"/>
        <w:kinsoku/>
        <w:wordWrap/>
        <w:overflowPunct/>
        <w:topLinePunct w:val="0"/>
        <w:autoSpaceDE/>
        <w:autoSpaceDN/>
        <w:bidi w:val="0"/>
        <w:adjustRightInd w:val="0"/>
        <w:snapToGrid w:val="0"/>
        <w:spacing w:after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lang w:val="en-US" w:eastAsia="zh-CN"/>
        </w:rPr>
        <w:t xml:space="preserve">                           账</w:t>
      </w:r>
      <w:r>
        <w:rPr>
          <w:rFonts w:hint="eastAsia" w:ascii="仿宋" w:hAnsi="仿宋" w:eastAsia="仿宋" w:cs="仿宋"/>
          <w:color w:val="auto"/>
          <w:sz w:val="24"/>
          <w:szCs w:val="24"/>
        </w:rPr>
        <w:t>号：</w:t>
      </w:r>
    </w:p>
    <w:p w14:paraId="13008A36">
      <w:pPr>
        <w:pStyle w:val="399"/>
        <w:keepNext w:val="0"/>
        <w:keepLines w:val="0"/>
        <w:pageBreakBefore w:val="0"/>
        <w:kinsoku/>
        <w:wordWrap/>
        <w:overflowPunct/>
        <w:topLinePunct w:val="0"/>
        <w:autoSpaceDE/>
        <w:autoSpaceDN/>
        <w:bidi w:val="0"/>
        <w:adjustRightInd w:val="0"/>
        <w:snapToGrid w:val="0"/>
        <w:spacing w:after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w:t>
      </w:r>
    </w:p>
    <w:p w14:paraId="50AD2205">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投标人(电子签章)：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日期：  </w:t>
      </w:r>
    </w:p>
    <w:p w14:paraId="143719C4">
      <w:pPr>
        <w:snapToGrid w:val="0"/>
        <w:spacing w:line="360" w:lineRule="auto"/>
        <w:ind w:right="480"/>
        <w:jc w:val="left"/>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附件3</w:t>
      </w:r>
    </w:p>
    <w:p w14:paraId="7E0D4ED3">
      <w:pPr>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法定代表人身份证明书</w:t>
      </w:r>
    </w:p>
    <w:p w14:paraId="5C416080">
      <w:pPr>
        <w:spacing w:line="440" w:lineRule="exact"/>
        <w:rPr>
          <w:rFonts w:hint="eastAsia" w:ascii="仿宋" w:hAnsi="仿宋" w:eastAsia="仿宋" w:cs="仿宋"/>
          <w:color w:val="auto"/>
          <w:sz w:val="24"/>
        </w:rPr>
      </w:pPr>
    </w:p>
    <w:p w14:paraId="40F17E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投标人：</w:t>
      </w:r>
      <w:r>
        <w:rPr>
          <w:rFonts w:hint="eastAsia" w:ascii="仿宋" w:hAnsi="仿宋" w:eastAsia="仿宋" w:cs="仿宋"/>
          <w:color w:val="auto"/>
          <w:sz w:val="24"/>
          <w:u w:val="single"/>
          <w:lang w:val="en-US" w:eastAsia="zh-CN"/>
        </w:rPr>
        <w:t xml:space="preserve">                                    </w:t>
      </w:r>
    </w:p>
    <w:p w14:paraId="344264C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地址：</w:t>
      </w:r>
      <w:r>
        <w:rPr>
          <w:rFonts w:hint="eastAsia" w:ascii="仿宋" w:hAnsi="仿宋" w:eastAsia="仿宋" w:cs="仿宋"/>
          <w:color w:val="auto"/>
          <w:sz w:val="24"/>
          <w:u w:val="single"/>
          <w:lang w:val="en-US" w:eastAsia="zh-CN"/>
        </w:rPr>
        <w:t xml:space="preserve">                                      </w:t>
      </w:r>
    </w:p>
    <w:p w14:paraId="742431D1">
      <w:pPr>
        <w:keepNext w:val="0"/>
        <w:keepLines w:val="0"/>
        <w:pageBreakBefore w:val="0"/>
        <w:widowControl w:val="0"/>
        <w:kinsoku/>
        <w:wordWrap/>
        <w:overflowPunct/>
        <w:topLinePunct w:val="0"/>
        <w:autoSpaceDE/>
        <w:autoSpaceDN/>
        <w:bidi w:val="0"/>
        <w:adjustRightInd w:val="0"/>
        <w:snapToGrid/>
        <w:spacing w:line="500" w:lineRule="exact"/>
        <w:ind w:right="281" w:rightChars="134"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姓名：</w:t>
      </w:r>
      <w:r>
        <w:rPr>
          <w:rFonts w:hint="eastAsia" w:ascii="仿宋" w:hAnsi="仿宋" w:eastAsia="仿宋" w:cs="仿宋"/>
          <w:color w:val="auto"/>
          <w:sz w:val="24"/>
          <w:u w:val="single"/>
          <w:lang w:val="en-US" w:eastAsia="zh-CN"/>
        </w:rPr>
        <w:t xml:space="preserve">                                      </w:t>
      </w:r>
    </w:p>
    <w:p w14:paraId="70B0EDB0">
      <w:pPr>
        <w:keepNext w:val="0"/>
        <w:keepLines w:val="0"/>
        <w:pageBreakBefore w:val="0"/>
        <w:widowControl w:val="0"/>
        <w:kinsoku/>
        <w:wordWrap/>
        <w:overflowPunct/>
        <w:topLinePunct w:val="0"/>
        <w:autoSpaceDE/>
        <w:autoSpaceDN/>
        <w:bidi w:val="0"/>
        <w:adjustRightInd w:val="0"/>
        <w:snapToGrid/>
        <w:spacing w:line="500" w:lineRule="exact"/>
        <w:ind w:right="281" w:rightChars="134"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lang w:val="en-US" w:eastAsia="zh-CN"/>
        </w:rPr>
        <w:t xml:space="preserve">          </w:t>
      </w:r>
    </w:p>
    <w:p w14:paraId="006EA73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5535D7B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47E1AB63">
      <w:pPr>
        <w:spacing w:line="440" w:lineRule="exact"/>
        <w:rPr>
          <w:rFonts w:hint="eastAsia" w:ascii="仿宋" w:hAnsi="仿宋" w:eastAsia="仿宋" w:cs="仿宋"/>
          <w:color w:val="auto"/>
          <w:sz w:val="24"/>
        </w:rPr>
      </w:pPr>
    </w:p>
    <w:p w14:paraId="35BDE30D">
      <w:pPr>
        <w:spacing w:line="440" w:lineRule="exact"/>
        <w:rPr>
          <w:rFonts w:hint="eastAsia" w:ascii="仿宋" w:hAnsi="仿宋" w:eastAsia="仿宋" w:cs="仿宋"/>
          <w:color w:val="auto"/>
          <w:sz w:val="24"/>
        </w:rPr>
      </w:pPr>
    </w:p>
    <w:p w14:paraId="3BEF92C4">
      <w:pPr>
        <w:spacing w:line="440" w:lineRule="exact"/>
        <w:jc w:val="right"/>
        <w:rPr>
          <w:rFonts w:hint="eastAsia" w:ascii="仿宋" w:hAnsi="仿宋" w:eastAsia="仿宋" w:cs="仿宋"/>
          <w:color w:val="auto"/>
          <w:sz w:val="24"/>
        </w:rPr>
      </w:pPr>
      <w:r>
        <w:rPr>
          <w:rFonts w:hint="eastAsia" w:ascii="仿宋" w:hAnsi="仿宋" w:eastAsia="仿宋" w:cs="仿宋"/>
          <w:color w:val="auto"/>
          <w:sz w:val="24"/>
        </w:rPr>
        <w:t>投标人名称（电子签章）：</w:t>
      </w:r>
    </w:p>
    <w:p w14:paraId="4F6CB146">
      <w:pPr>
        <w:spacing w:line="440" w:lineRule="exact"/>
        <w:ind w:right="480"/>
        <w:rPr>
          <w:rFonts w:hint="eastAsia" w:ascii="仿宋" w:hAnsi="仿宋" w:eastAsia="仿宋" w:cs="仿宋"/>
          <w:color w:val="auto"/>
          <w:sz w:val="24"/>
        </w:rPr>
      </w:pPr>
    </w:p>
    <w:p w14:paraId="3DE49B09">
      <w:pPr>
        <w:spacing w:line="440" w:lineRule="exact"/>
        <w:ind w:right="720"/>
        <w:jc w:val="right"/>
        <w:rPr>
          <w:rFonts w:hint="eastAsia" w:ascii="仿宋" w:hAnsi="仿宋" w:eastAsia="仿宋" w:cs="仿宋"/>
          <w:color w:val="auto"/>
          <w:sz w:val="24"/>
        </w:rPr>
      </w:pP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0B287446">
      <w:pPr>
        <w:jc w:val="center"/>
        <w:rPr>
          <w:rFonts w:hint="eastAsia" w:ascii="仿宋" w:hAnsi="仿宋" w:eastAsia="仿宋" w:cs="仿宋"/>
          <w:b/>
          <w:color w:val="auto"/>
          <w:kern w:val="0"/>
          <w:sz w:val="32"/>
          <w:szCs w:val="32"/>
        </w:rPr>
      </w:pPr>
    </w:p>
    <w:p w14:paraId="7E17ED12">
      <w:pPr>
        <w:keepNext w:val="0"/>
        <w:keepLines w:val="0"/>
        <w:pageBreakBefore w:val="0"/>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b/>
          <w:color w:val="auto"/>
          <w:sz w:val="30"/>
          <w:szCs w:val="30"/>
        </w:rPr>
      </w:pPr>
    </w:p>
    <w:p w14:paraId="7A7A75C7">
      <w:pPr>
        <w:pStyle w:val="6"/>
        <w:rPr>
          <w:rFonts w:hint="eastAsia" w:ascii="仿宋" w:hAnsi="仿宋" w:eastAsia="仿宋" w:cs="仿宋"/>
          <w:b/>
          <w:color w:val="auto"/>
          <w:sz w:val="30"/>
          <w:szCs w:val="30"/>
        </w:rPr>
      </w:pPr>
    </w:p>
    <w:p w14:paraId="2ED1DF75">
      <w:pPr>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注：提供</w:t>
      </w:r>
      <w:r>
        <w:rPr>
          <w:rFonts w:hint="eastAsia" w:ascii="仿宋" w:hAnsi="仿宋" w:eastAsia="仿宋" w:cs="仿宋"/>
          <w:b/>
          <w:color w:val="auto"/>
          <w:sz w:val="30"/>
          <w:szCs w:val="30"/>
        </w:rPr>
        <w:t>法定代表人身份证（正反面）</w:t>
      </w:r>
      <w:r>
        <w:rPr>
          <w:rFonts w:hint="eastAsia" w:ascii="仿宋" w:hAnsi="仿宋" w:eastAsia="仿宋" w:cs="仿宋"/>
          <w:b/>
          <w:color w:val="auto"/>
          <w:sz w:val="30"/>
          <w:szCs w:val="30"/>
          <w:lang w:val="en-US" w:eastAsia="zh-CN"/>
        </w:rPr>
        <w:t>加盖电子公章。</w:t>
      </w:r>
    </w:p>
    <w:p w14:paraId="423599D1">
      <w:pPr>
        <w:pStyle w:val="6"/>
        <w:rPr>
          <w:rFonts w:hint="eastAsia" w:ascii="仿宋" w:hAnsi="仿宋" w:eastAsia="仿宋" w:cs="仿宋"/>
          <w:b/>
          <w:color w:val="auto"/>
          <w:sz w:val="30"/>
          <w:szCs w:val="30"/>
        </w:rPr>
      </w:pPr>
    </w:p>
    <w:p w14:paraId="257886D0">
      <w:pPr>
        <w:rPr>
          <w:rFonts w:hint="eastAsia" w:ascii="仿宋" w:hAnsi="仿宋" w:eastAsia="仿宋" w:cs="仿宋"/>
          <w:b/>
          <w:color w:val="auto"/>
          <w:sz w:val="30"/>
          <w:szCs w:val="30"/>
        </w:rPr>
      </w:pPr>
    </w:p>
    <w:p w14:paraId="0A81B327">
      <w:pPr>
        <w:pStyle w:val="6"/>
        <w:rPr>
          <w:rFonts w:hint="eastAsia" w:ascii="仿宋" w:hAnsi="仿宋" w:eastAsia="仿宋" w:cs="仿宋"/>
          <w:b/>
          <w:color w:val="auto"/>
          <w:sz w:val="30"/>
          <w:szCs w:val="30"/>
        </w:rPr>
      </w:pPr>
    </w:p>
    <w:p w14:paraId="519B1AB9">
      <w:pPr>
        <w:rPr>
          <w:rFonts w:hint="eastAsia" w:ascii="仿宋" w:hAnsi="仿宋" w:eastAsia="仿宋" w:cs="仿宋"/>
          <w:b/>
          <w:color w:val="auto"/>
          <w:sz w:val="30"/>
          <w:szCs w:val="30"/>
        </w:rPr>
      </w:pPr>
    </w:p>
    <w:p w14:paraId="748914A1">
      <w:pPr>
        <w:rPr>
          <w:rFonts w:hint="eastAsia" w:ascii="仿宋" w:hAnsi="仿宋" w:eastAsia="仿宋" w:cs="仿宋"/>
          <w:b/>
          <w:color w:val="auto"/>
          <w:sz w:val="30"/>
          <w:szCs w:val="30"/>
        </w:rPr>
      </w:pPr>
    </w:p>
    <w:p w14:paraId="4687046D">
      <w:pPr>
        <w:keepNext w:val="0"/>
        <w:keepLines w:val="0"/>
        <w:pageBreakBefore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法定代表人授权委托书</w:t>
      </w:r>
    </w:p>
    <w:p w14:paraId="35415F47">
      <w:pPr>
        <w:jc w:val="center"/>
        <w:rPr>
          <w:rFonts w:hint="eastAsia" w:ascii="仿宋" w:hAnsi="仿宋" w:eastAsia="仿宋" w:cs="仿宋"/>
          <w:b/>
          <w:color w:val="auto"/>
          <w:sz w:val="24"/>
        </w:rPr>
      </w:pPr>
    </w:p>
    <w:p w14:paraId="1747E90E">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w:t>
      </w:r>
      <w:r>
        <w:rPr>
          <w:rFonts w:hint="eastAsia" w:ascii="仿宋" w:hAnsi="仿宋" w:eastAsia="仿宋" w:cs="仿宋"/>
          <w:color w:val="auto"/>
          <w:sz w:val="24"/>
        </w:rPr>
        <w:t>。以本公司的名义参加组织的投标活动。授权代表在开标、评标、合同谈判过程中所签署的一切文件和处理与之有关的一切事务，我均予以承认。</w:t>
      </w:r>
    </w:p>
    <w:p w14:paraId="3887329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423EFDE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6190D99">
      <w:pPr>
        <w:snapToGrid w:val="0"/>
        <w:spacing w:line="600" w:lineRule="exact"/>
        <w:jc w:val="left"/>
        <w:rPr>
          <w:rFonts w:hint="eastAsia" w:ascii="仿宋" w:hAnsi="仿宋" w:eastAsia="仿宋" w:cs="仿宋"/>
          <w:color w:val="auto"/>
          <w:sz w:val="24"/>
        </w:rPr>
      </w:pPr>
    </w:p>
    <w:p w14:paraId="1704C54C">
      <w:pPr>
        <w:spacing w:line="360" w:lineRule="exact"/>
        <w:rPr>
          <w:rFonts w:hint="eastAsia" w:ascii="仿宋" w:hAnsi="仿宋" w:eastAsia="仿宋" w:cs="仿宋"/>
          <w:color w:val="auto"/>
          <w:sz w:val="24"/>
          <w:lang w:val="en-US" w:eastAsia="zh-CN"/>
        </w:rPr>
      </w:pPr>
      <w:r>
        <w:rPr>
          <w:rFonts w:hint="eastAsia" w:ascii="仿宋" w:hAnsi="仿宋" w:eastAsia="仿宋" w:cs="仿宋"/>
          <w:color w:val="auto"/>
          <w:sz w:val="24"/>
        </w:rPr>
        <w:t>授权代表姓名：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年龄：</w:t>
      </w:r>
      <w:r>
        <w:rPr>
          <w:rFonts w:hint="eastAsia" w:ascii="仿宋" w:hAnsi="仿宋" w:eastAsia="仿宋" w:cs="仿宋"/>
          <w:color w:val="auto"/>
          <w:sz w:val="24"/>
          <w:lang w:val="en-US" w:eastAsia="zh-CN"/>
        </w:rPr>
        <w:t xml:space="preserve">  </w:t>
      </w:r>
    </w:p>
    <w:p w14:paraId="5CC467CD">
      <w:pPr>
        <w:spacing w:line="360" w:lineRule="exact"/>
        <w:rPr>
          <w:rFonts w:hint="eastAsia" w:ascii="仿宋" w:hAnsi="仿宋" w:eastAsia="仿宋" w:cs="仿宋"/>
          <w:color w:val="auto"/>
          <w:sz w:val="24"/>
        </w:rPr>
      </w:pPr>
    </w:p>
    <w:p w14:paraId="2B2AFEF1">
      <w:pPr>
        <w:spacing w:line="360" w:lineRule="exact"/>
        <w:rPr>
          <w:rFonts w:hint="eastAsia" w:ascii="仿宋" w:hAnsi="仿宋" w:eastAsia="仿宋" w:cs="仿宋"/>
          <w:color w:val="auto"/>
          <w:sz w:val="24"/>
        </w:rPr>
      </w:pPr>
      <w:r>
        <w:rPr>
          <w:rFonts w:hint="eastAsia" w:ascii="仿宋" w:hAnsi="仿宋" w:eastAsia="仿宋" w:cs="仿宋"/>
          <w:color w:val="auto"/>
          <w:sz w:val="24"/>
        </w:rPr>
        <w:t>单位：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职务：</w:t>
      </w:r>
    </w:p>
    <w:p w14:paraId="0DD40D99">
      <w:pPr>
        <w:spacing w:line="360" w:lineRule="exact"/>
        <w:rPr>
          <w:rFonts w:hint="eastAsia" w:ascii="仿宋" w:hAnsi="仿宋" w:eastAsia="仿宋" w:cs="仿宋"/>
          <w:color w:val="auto"/>
          <w:sz w:val="24"/>
        </w:rPr>
      </w:pPr>
    </w:p>
    <w:p w14:paraId="3FF2821B">
      <w:pPr>
        <w:widowControl/>
        <w:snapToGrid w:val="0"/>
        <w:spacing w:line="440" w:lineRule="exact"/>
        <w:rPr>
          <w:rFonts w:hint="eastAsia" w:ascii="仿宋" w:hAnsi="仿宋" w:eastAsia="仿宋" w:cs="仿宋"/>
          <w:color w:val="auto"/>
          <w:sz w:val="24"/>
        </w:rPr>
      </w:pPr>
      <w:r>
        <w:rPr>
          <w:rFonts w:hint="eastAsia" w:ascii="仿宋" w:hAnsi="仿宋" w:eastAsia="仿宋" w:cs="仿宋"/>
          <w:color w:val="auto"/>
          <w:kern w:val="0"/>
          <w:sz w:val="24"/>
        </w:rPr>
        <w:t>办公地址：</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w:t>
      </w:r>
    </w:p>
    <w:p w14:paraId="54F478B7">
      <w:pPr>
        <w:spacing w:line="360" w:lineRule="exact"/>
        <w:rPr>
          <w:rFonts w:hint="eastAsia" w:ascii="仿宋" w:hAnsi="仿宋" w:eastAsia="仿宋" w:cs="仿宋"/>
          <w:color w:val="auto"/>
          <w:sz w:val="24"/>
        </w:rPr>
      </w:pPr>
    </w:p>
    <w:p w14:paraId="31D5B211">
      <w:pPr>
        <w:spacing w:line="360" w:lineRule="exact"/>
        <w:rPr>
          <w:rFonts w:hint="eastAsia" w:ascii="仿宋" w:hAnsi="仿宋" w:eastAsia="仿宋" w:cs="仿宋"/>
          <w:color w:val="auto"/>
          <w:sz w:val="24"/>
        </w:rPr>
      </w:pPr>
    </w:p>
    <w:p w14:paraId="51A6E1D9">
      <w:pPr>
        <w:spacing w:line="360" w:lineRule="exact"/>
        <w:rPr>
          <w:rFonts w:hint="eastAsia" w:ascii="仿宋" w:hAnsi="仿宋" w:eastAsia="仿宋" w:cs="仿宋"/>
          <w:color w:val="auto"/>
          <w:sz w:val="24"/>
        </w:rPr>
      </w:pPr>
      <w:r>
        <w:rPr>
          <w:rFonts w:hint="eastAsia" w:ascii="仿宋" w:hAnsi="仿宋" w:eastAsia="仿宋" w:cs="仿宋"/>
          <w:color w:val="auto"/>
          <w:sz w:val="24"/>
        </w:rPr>
        <w:t>投标人（电子签章）：</w:t>
      </w:r>
    </w:p>
    <w:p w14:paraId="666B82CF">
      <w:pPr>
        <w:spacing w:line="360" w:lineRule="exact"/>
        <w:rPr>
          <w:rFonts w:hint="eastAsia" w:ascii="仿宋" w:hAnsi="仿宋" w:eastAsia="仿宋" w:cs="仿宋"/>
          <w:color w:val="auto"/>
          <w:sz w:val="24"/>
        </w:rPr>
      </w:pPr>
    </w:p>
    <w:p w14:paraId="5AAA035C">
      <w:pPr>
        <w:spacing w:line="360" w:lineRule="exact"/>
        <w:rPr>
          <w:rFonts w:hint="eastAsia" w:ascii="仿宋" w:hAnsi="仿宋" w:eastAsia="仿宋" w:cs="仿宋"/>
          <w:color w:val="auto"/>
          <w:sz w:val="24"/>
        </w:rPr>
      </w:pPr>
    </w:p>
    <w:p w14:paraId="44606385">
      <w:pPr>
        <w:spacing w:line="360" w:lineRule="exact"/>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7C59FC2A">
      <w:pPr>
        <w:spacing w:line="360" w:lineRule="exact"/>
        <w:rPr>
          <w:rFonts w:hint="eastAsia" w:ascii="仿宋" w:hAnsi="仿宋" w:eastAsia="仿宋" w:cs="仿宋"/>
          <w:color w:val="auto"/>
          <w:sz w:val="24"/>
        </w:rPr>
      </w:pPr>
    </w:p>
    <w:p w14:paraId="422B0973">
      <w:pPr>
        <w:spacing w:line="360" w:lineRule="exact"/>
        <w:rPr>
          <w:rFonts w:hint="eastAsia" w:ascii="仿宋" w:hAnsi="仿宋" w:eastAsia="仿宋" w:cs="仿宋"/>
          <w:color w:val="auto"/>
          <w:sz w:val="24"/>
        </w:rPr>
      </w:pPr>
    </w:p>
    <w:p w14:paraId="1B7C56CB">
      <w:pPr>
        <w:ind w:firstLine="5280" w:firstLineChars="2200"/>
        <w:jc w:val="lef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68EDF884">
      <w:pPr>
        <w:ind w:firstLine="4920" w:firstLineChars="2050"/>
        <w:jc w:val="left"/>
        <w:rPr>
          <w:rFonts w:hint="eastAsia" w:ascii="仿宋" w:hAnsi="仿宋" w:eastAsia="仿宋" w:cs="仿宋"/>
          <w:color w:val="auto"/>
          <w:sz w:val="24"/>
        </w:rPr>
      </w:pPr>
    </w:p>
    <w:p w14:paraId="3CFC4D4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注：提供</w:t>
      </w:r>
      <w:r>
        <w:rPr>
          <w:rFonts w:hint="eastAsia" w:ascii="仿宋" w:hAnsi="仿宋" w:eastAsia="仿宋" w:cs="仿宋"/>
          <w:b/>
          <w:color w:val="auto"/>
          <w:sz w:val="24"/>
          <w:szCs w:val="24"/>
        </w:rPr>
        <w:t>法定代表人及其授权代表身份证复印件（正反面）</w:t>
      </w:r>
      <w:r>
        <w:rPr>
          <w:rFonts w:hint="eastAsia" w:ascii="仿宋" w:hAnsi="仿宋" w:eastAsia="仿宋" w:cs="仿宋"/>
          <w:b/>
          <w:color w:val="auto"/>
          <w:sz w:val="24"/>
          <w:szCs w:val="24"/>
          <w:lang w:val="en-US" w:eastAsia="zh-CN"/>
        </w:rPr>
        <w:t>加盖电子公章。</w:t>
      </w:r>
    </w:p>
    <w:p w14:paraId="6158CB16">
      <w:pPr>
        <w:rPr>
          <w:rFonts w:hint="eastAsia" w:ascii="仿宋" w:hAnsi="仿宋" w:eastAsia="仿宋" w:cs="仿宋"/>
          <w:b/>
          <w:color w:val="auto"/>
          <w:sz w:val="24"/>
        </w:rPr>
      </w:pPr>
    </w:p>
    <w:p w14:paraId="1803C1A3">
      <w:pPr>
        <w:snapToGrid w:val="0"/>
        <w:spacing w:line="360" w:lineRule="auto"/>
        <w:ind w:right="480"/>
        <w:jc w:val="left"/>
        <w:rPr>
          <w:rFonts w:hint="eastAsia" w:ascii="仿宋" w:hAnsi="仿宋" w:eastAsia="仿宋" w:cs="仿宋"/>
          <w:b/>
          <w:color w:val="auto"/>
          <w:kern w:val="0"/>
          <w:sz w:val="24"/>
          <w:szCs w:val="24"/>
          <w:lang w:val="en-US" w:eastAsia="zh-CN"/>
        </w:rPr>
      </w:pPr>
    </w:p>
    <w:p w14:paraId="0D467CD2">
      <w:pPr>
        <w:snapToGrid w:val="0"/>
        <w:spacing w:line="360" w:lineRule="auto"/>
        <w:ind w:right="480"/>
        <w:jc w:val="left"/>
        <w:rPr>
          <w:rFonts w:hint="eastAsia" w:ascii="仿宋" w:hAnsi="仿宋" w:eastAsia="仿宋" w:cs="仿宋"/>
          <w:b/>
          <w:color w:val="auto"/>
          <w:kern w:val="0"/>
          <w:sz w:val="24"/>
          <w:szCs w:val="24"/>
          <w:lang w:val="en-US" w:eastAsia="zh-CN"/>
        </w:rPr>
      </w:pPr>
    </w:p>
    <w:p w14:paraId="4378DFB3">
      <w:pPr>
        <w:snapToGrid w:val="0"/>
        <w:spacing w:line="360" w:lineRule="auto"/>
        <w:ind w:right="480"/>
        <w:jc w:val="left"/>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附件4</w:t>
      </w:r>
    </w:p>
    <w:p w14:paraId="572AB816">
      <w:pPr>
        <w:spacing w:line="360" w:lineRule="auto"/>
        <w:ind w:firstLine="0" w:firstLineChar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商 务 响 应 表</w:t>
      </w:r>
    </w:p>
    <w:p w14:paraId="318760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99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4F6E4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1406D1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669BFFE8">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7370BA4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09ADD57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7AF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0A1E0A8">
            <w:pPr>
              <w:adjustRightInd/>
              <w:spacing w:line="380" w:lineRule="exact"/>
              <w:jc w:val="center"/>
              <w:outlineLvl w:val="9"/>
              <w:rPr>
                <w:rFonts w:hint="eastAsia" w:ascii="仿宋" w:hAnsi="仿宋" w:eastAsia="仿宋" w:cs="仿宋"/>
                <w:color w:val="auto"/>
                <w:sz w:val="24"/>
                <w:szCs w:val="24"/>
                <w:highlight w:val="none"/>
              </w:rPr>
            </w:pPr>
          </w:p>
        </w:tc>
        <w:tc>
          <w:tcPr>
            <w:tcW w:w="1417" w:type="dxa"/>
            <w:vAlign w:val="center"/>
          </w:tcPr>
          <w:p w14:paraId="6F3713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04C3503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AFEFDB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304B194">
            <w:pPr>
              <w:adjustRightInd/>
              <w:spacing w:line="380" w:lineRule="exact"/>
              <w:jc w:val="center"/>
              <w:outlineLvl w:val="9"/>
              <w:rPr>
                <w:rFonts w:hint="eastAsia" w:ascii="仿宋" w:hAnsi="仿宋" w:eastAsia="仿宋" w:cs="仿宋"/>
                <w:color w:val="auto"/>
                <w:sz w:val="24"/>
                <w:szCs w:val="24"/>
                <w:highlight w:val="none"/>
              </w:rPr>
            </w:pPr>
          </w:p>
        </w:tc>
      </w:tr>
      <w:tr w14:paraId="172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2249522">
            <w:pPr>
              <w:adjustRightInd/>
              <w:spacing w:line="380" w:lineRule="exact"/>
              <w:jc w:val="center"/>
              <w:outlineLvl w:val="9"/>
              <w:rPr>
                <w:rFonts w:hint="eastAsia" w:ascii="仿宋" w:hAnsi="仿宋" w:eastAsia="仿宋" w:cs="仿宋"/>
                <w:color w:val="auto"/>
                <w:sz w:val="24"/>
                <w:szCs w:val="24"/>
                <w:highlight w:val="none"/>
              </w:rPr>
            </w:pPr>
          </w:p>
        </w:tc>
        <w:tc>
          <w:tcPr>
            <w:tcW w:w="1417" w:type="dxa"/>
            <w:vAlign w:val="center"/>
          </w:tcPr>
          <w:p w14:paraId="055FFD9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6C3F3235">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5A7C18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F5C230B">
            <w:pPr>
              <w:adjustRightInd/>
              <w:spacing w:line="380" w:lineRule="exact"/>
              <w:jc w:val="center"/>
              <w:outlineLvl w:val="9"/>
              <w:rPr>
                <w:rFonts w:hint="eastAsia" w:ascii="仿宋" w:hAnsi="仿宋" w:eastAsia="仿宋" w:cs="仿宋"/>
                <w:color w:val="auto"/>
                <w:sz w:val="24"/>
                <w:szCs w:val="24"/>
                <w:highlight w:val="none"/>
              </w:rPr>
            </w:pPr>
          </w:p>
        </w:tc>
      </w:tr>
      <w:tr w14:paraId="67F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FA005">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7501C4D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495A17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AA2E77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EA33DC3">
            <w:pPr>
              <w:adjustRightInd/>
              <w:spacing w:line="380" w:lineRule="exact"/>
              <w:jc w:val="center"/>
              <w:outlineLvl w:val="9"/>
              <w:rPr>
                <w:rFonts w:hint="eastAsia" w:ascii="仿宋" w:hAnsi="仿宋" w:eastAsia="仿宋" w:cs="仿宋"/>
                <w:color w:val="auto"/>
                <w:sz w:val="24"/>
                <w:szCs w:val="24"/>
                <w:highlight w:val="none"/>
              </w:rPr>
            </w:pPr>
          </w:p>
        </w:tc>
      </w:tr>
      <w:tr w14:paraId="704E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D6E6D80">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vAlign w:val="center"/>
          </w:tcPr>
          <w:p w14:paraId="3B8AB5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85518E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D9DB14E">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B458077">
            <w:pPr>
              <w:adjustRightInd/>
              <w:spacing w:line="380" w:lineRule="exact"/>
              <w:jc w:val="center"/>
              <w:outlineLvl w:val="9"/>
              <w:rPr>
                <w:rFonts w:hint="eastAsia" w:ascii="仿宋" w:hAnsi="仿宋" w:eastAsia="仿宋" w:cs="仿宋"/>
                <w:color w:val="auto"/>
                <w:sz w:val="24"/>
                <w:szCs w:val="24"/>
                <w:highlight w:val="none"/>
              </w:rPr>
            </w:pPr>
          </w:p>
        </w:tc>
      </w:tr>
      <w:tr w14:paraId="605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B59477">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vAlign w:val="center"/>
          </w:tcPr>
          <w:p w14:paraId="0205E64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854839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AC6947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899BF62">
            <w:pPr>
              <w:adjustRightInd/>
              <w:spacing w:line="380" w:lineRule="exact"/>
              <w:jc w:val="center"/>
              <w:outlineLvl w:val="9"/>
              <w:rPr>
                <w:rFonts w:hint="eastAsia" w:ascii="仿宋" w:hAnsi="仿宋" w:eastAsia="仿宋" w:cs="仿宋"/>
                <w:color w:val="auto"/>
                <w:sz w:val="24"/>
                <w:szCs w:val="24"/>
                <w:highlight w:val="none"/>
              </w:rPr>
            </w:pPr>
          </w:p>
        </w:tc>
      </w:tr>
      <w:tr w14:paraId="7F8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C1FD52B">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3D18A43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6EE2404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04DDC9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2343DD5">
            <w:pPr>
              <w:adjustRightInd/>
              <w:spacing w:line="380" w:lineRule="exact"/>
              <w:jc w:val="center"/>
              <w:outlineLvl w:val="9"/>
              <w:rPr>
                <w:rFonts w:hint="eastAsia" w:ascii="仿宋" w:hAnsi="仿宋" w:eastAsia="仿宋" w:cs="仿宋"/>
                <w:color w:val="auto"/>
                <w:sz w:val="24"/>
                <w:szCs w:val="24"/>
                <w:highlight w:val="none"/>
              </w:rPr>
            </w:pPr>
          </w:p>
        </w:tc>
      </w:tr>
      <w:tr w14:paraId="74F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0FD142">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28B8EE0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06700AA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CC93D5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B787474">
            <w:pPr>
              <w:adjustRightInd/>
              <w:spacing w:line="380" w:lineRule="exact"/>
              <w:jc w:val="center"/>
              <w:outlineLvl w:val="9"/>
              <w:rPr>
                <w:rFonts w:hint="eastAsia" w:ascii="仿宋" w:hAnsi="仿宋" w:eastAsia="仿宋" w:cs="仿宋"/>
                <w:color w:val="auto"/>
                <w:sz w:val="24"/>
                <w:szCs w:val="24"/>
                <w:highlight w:val="none"/>
              </w:rPr>
            </w:pPr>
          </w:p>
        </w:tc>
      </w:tr>
      <w:tr w14:paraId="6DA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5218319">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2F9C482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21B0571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5B168F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C438C80">
            <w:pPr>
              <w:adjustRightInd/>
              <w:spacing w:line="380" w:lineRule="exact"/>
              <w:jc w:val="center"/>
              <w:outlineLvl w:val="9"/>
              <w:rPr>
                <w:rFonts w:hint="eastAsia" w:ascii="仿宋" w:hAnsi="仿宋" w:eastAsia="仿宋" w:cs="仿宋"/>
                <w:color w:val="auto"/>
                <w:sz w:val="24"/>
                <w:szCs w:val="24"/>
                <w:highlight w:val="none"/>
              </w:rPr>
            </w:pPr>
          </w:p>
        </w:tc>
      </w:tr>
      <w:tr w14:paraId="1FC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99327B">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03D6C71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411C80C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A78F05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03A4197">
            <w:pPr>
              <w:adjustRightInd/>
              <w:spacing w:line="380" w:lineRule="exact"/>
              <w:jc w:val="center"/>
              <w:outlineLvl w:val="9"/>
              <w:rPr>
                <w:rFonts w:hint="eastAsia" w:ascii="仿宋" w:hAnsi="仿宋" w:eastAsia="仿宋" w:cs="仿宋"/>
                <w:color w:val="auto"/>
                <w:sz w:val="24"/>
                <w:szCs w:val="24"/>
                <w:highlight w:val="none"/>
              </w:rPr>
            </w:pPr>
          </w:p>
        </w:tc>
      </w:tr>
      <w:tr w14:paraId="16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6BB1FC">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7DC461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6C0DC23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47C23A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0B99513">
            <w:pPr>
              <w:adjustRightInd/>
              <w:spacing w:line="380" w:lineRule="exact"/>
              <w:jc w:val="center"/>
              <w:outlineLvl w:val="9"/>
              <w:rPr>
                <w:rFonts w:hint="eastAsia" w:ascii="仿宋" w:hAnsi="仿宋" w:eastAsia="仿宋" w:cs="仿宋"/>
                <w:color w:val="auto"/>
                <w:sz w:val="24"/>
                <w:szCs w:val="24"/>
                <w:highlight w:val="none"/>
              </w:rPr>
            </w:pPr>
          </w:p>
        </w:tc>
      </w:tr>
      <w:tr w14:paraId="35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A8704D">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0377F53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4E8B4A9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13213E1">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B6ABA03">
            <w:pPr>
              <w:adjustRightInd/>
              <w:spacing w:line="380" w:lineRule="exact"/>
              <w:jc w:val="center"/>
              <w:outlineLvl w:val="9"/>
              <w:rPr>
                <w:rFonts w:hint="eastAsia" w:ascii="仿宋" w:hAnsi="仿宋" w:eastAsia="仿宋" w:cs="仿宋"/>
                <w:color w:val="auto"/>
                <w:sz w:val="24"/>
                <w:szCs w:val="24"/>
                <w:highlight w:val="none"/>
              </w:rPr>
            </w:pPr>
          </w:p>
        </w:tc>
      </w:tr>
      <w:tr w14:paraId="018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75DC9A">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vAlign w:val="center"/>
          </w:tcPr>
          <w:p w14:paraId="639F81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p>
        </w:tc>
        <w:tc>
          <w:tcPr>
            <w:tcW w:w="2835" w:type="dxa"/>
          </w:tcPr>
          <w:p w14:paraId="3F9CD6E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32BC4E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954A753">
            <w:pPr>
              <w:adjustRightInd/>
              <w:spacing w:line="380" w:lineRule="exact"/>
              <w:jc w:val="center"/>
              <w:outlineLvl w:val="9"/>
              <w:rPr>
                <w:rFonts w:hint="eastAsia" w:ascii="仿宋" w:hAnsi="仿宋" w:eastAsia="仿宋" w:cs="仿宋"/>
                <w:color w:val="auto"/>
                <w:sz w:val="24"/>
                <w:szCs w:val="24"/>
                <w:highlight w:val="none"/>
              </w:rPr>
            </w:pPr>
          </w:p>
        </w:tc>
      </w:tr>
    </w:tbl>
    <w:p w14:paraId="470A4D35">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注：</w:t>
      </w:r>
    </w:p>
    <w:p w14:paraId="26A8DC34">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1、投标人应对照</w:t>
      </w:r>
      <w:r>
        <w:rPr>
          <w:rFonts w:hint="eastAsia" w:ascii="仿宋" w:hAnsi="仿宋" w:eastAsia="仿宋" w:cs="仿宋"/>
          <w:b/>
          <w:color w:val="auto"/>
          <w:sz w:val="24"/>
          <w:szCs w:val="24"/>
          <w:lang w:val="en-US" w:eastAsia="zh-CN"/>
        </w:rPr>
        <w:t>招标</w:t>
      </w:r>
      <w:r>
        <w:rPr>
          <w:rFonts w:hint="eastAsia" w:ascii="仿宋" w:hAnsi="仿宋" w:eastAsia="仿宋" w:cs="仿宋"/>
          <w:b/>
          <w:color w:val="auto"/>
          <w:sz w:val="24"/>
          <w:szCs w:val="24"/>
        </w:rPr>
        <w:t>文件要求在“偏离情况”栏注明“正偏离”或“无偏离”。</w:t>
      </w:r>
    </w:p>
    <w:p w14:paraId="78F15EED">
      <w:pPr>
        <w:pStyle w:val="2"/>
        <w:pageBreakBefore w:val="0"/>
        <w:widowControl w:val="0"/>
        <w:tabs>
          <w:tab w:val="left" w:pos="480"/>
          <w:tab w:val="clear" w:pos="432"/>
        </w:tabs>
        <w:kinsoku/>
        <w:wordWrap/>
        <w:overflowPunct/>
        <w:topLinePunct w:val="0"/>
        <w:autoSpaceDE/>
        <w:autoSpaceDN/>
        <w:bidi w:val="0"/>
        <w:adjustRightInd w:val="0"/>
        <w:snapToGrid/>
        <w:spacing w:before="0" w:after="0" w:line="500" w:lineRule="exact"/>
        <w:ind w:left="0"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2、投标人若不填写，则视为完全响应招标文件要求。</w:t>
      </w:r>
    </w:p>
    <w:p w14:paraId="2C1497B2">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p>
    <w:p w14:paraId="0CDB0C4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0D8C3417">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22353BC3">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06A69C09">
      <w:pPr>
        <w:snapToGrid w:val="0"/>
        <w:spacing w:line="360" w:lineRule="auto"/>
        <w:ind w:right="480"/>
        <w:jc w:val="left"/>
        <w:rPr>
          <w:rFonts w:hint="eastAsia" w:ascii="仿宋" w:hAnsi="仿宋" w:eastAsia="仿宋" w:cs="仿宋"/>
          <w:b/>
          <w:color w:val="auto"/>
          <w:kern w:val="0"/>
          <w:sz w:val="24"/>
          <w:szCs w:val="24"/>
          <w:lang w:val="en-US" w:eastAsia="zh-CN"/>
        </w:rPr>
      </w:pPr>
    </w:p>
    <w:p w14:paraId="7A17D36B">
      <w:pPr>
        <w:snapToGrid w:val="0"/>
        <w:spacing w:line="360" w:lineRule="auto"/>
        <w:ind w:right="480"/>
        <w:jc w:val="left"/>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附件5</w:t>
      </w:r>
    </w:p>
    <w:p w14:paraId="5D579B25">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技术偏离表</w:t>
      </w:r>
    </w:p>
    <w:p w14:paraId="69C4A8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51"/>
        <w:gridCol w:w="2022"/>
        <w:gridCol w:w="1881"/>
        <w:gridCol w:w="2847"/>
      </w:tblGrid>
      <w:tr w14:paraId="6421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D5ED3C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008" w:type="dxa"/>
            <w:vAlign w:val="center"/>
          </w:tcPr>
          <w:p w14:paraId="5DC273E6">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2325" w:type="dxa"/>
            <w:vAlign w:val="center"/>
          </w:tcPr>
          <w:p w14:paraId="184B196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2160" w:type="dxa"/>
            <w:vAlign w:val="center"/>
          </w:tcPr>
          <w:p w14:paraId="73FA214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c>
          <w:tcPr>
            <w:tcW w:w="3288" w:type="dxa"/>
            <w:vAlign w:val="center"/>
          </w:tcPr>
          <w:p w14:paraId="559719B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证明材料（若有）</w:t>
            </w:r>
          </w:p>
        </w:tc>
      </w:tr>
      <w:tr w14:paraId="78D2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09DA07">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2008" w:type="dxa"/>
            <w:vAlign w:val="center"/>
          </w:tcPr>
          <w:p w14:paraId="087A6E59">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325" w:type="dxa"/>
            <w:vAlign w:val="center"/>
          </w:tcPr>
          <w:p w14:paraId="012CA67C">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160" w:type="dxa"/>
            <w:vAlign w:val="center"/>
          </w:tcPr>
          <w:p w14:paraId="04DBDA12">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3288" w:type="dxa"/>
            <w:vAlign w:val="center"/>
          </w:tcPr>
          <w:p w14:paraId="4A638720">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r>
      <w:tr w14:paraId="29D1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7C6BF62">
            <w:pPr>
              <w:keepNext w:val="0"/>
              <w:keepLines w:val="0"/>
              <w:pageBreakBefore w:val="0"/>
              <w:widowControl w:val="0"/>
              <w:kinsoku/>
              <w:wordWrap/>
              <w:overflowPunct/>
              <w:topLinePunct w:val="0"/>
              <w:bidi w:val="0"/>
              <w:adjustRightInd w:val="0"/>
              <w:snapToGrid/>
              <w:spacing w:line="50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2008" w:type="dxa"/>
            <w:vAlign w:val="center"/>
          </w:tcPr>
          <w:p w14:paraId="7284F1D9">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325" w:type="dxa"/>
            <w:vAlign w:val="center"/>
          </w:tcPr>
          <w:p w14:paraId="76777375">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160" w:type="dxa"/>
            <w:vAlign w:val="center"/>
          </w:tcPr>
          <w:p w14:paraId="6AEB3701">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3288" w:type="dxa"/>
            <w:vAlign w:val="center"/>
          </w:tcPr>
          <w:p w14:paraId="140B6FAE">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r>
      <w:tr w14:paraId="00A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3E4C2B1">
            <w:pPr>
              <w:keepNext w:val="0"/>
              <w:keepLines w:val="0"/>
              <w:pageBreakBefore w:val="0"/>
              <w:widowControl w:val="0"/>
              <w:kinsoku/>
              <w:wordWrap/>
              <w:overflowPunct/>
              <w:topLinePunct w:val="0"/>
              <w:bidi w:val="0"/>
              <w:adjustRightInd w:val="0"/>
              <w:snapToGrid/>
              <w:spacing w:line="500" w:lineRule="exact"/>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2008" w:type="dxa"/>
            <w:vAlign w:val="center"/>
          </w:tcPr>
          <w:p w14:paraId="6D3B579D">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325" w:type="dxa"/>
            <w:vAlign w:val="center"/>
          </w:tcPr>
          <w:p w14:paraId="3551252D">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160" w:type="dxa"/>
            <w:vAlign w:val="center"/>
          </w:tcPr>
          <w:p w14:paraId="555BB5C0">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3288" w:type="dxa"/>
            <w:vAlign w:val="center"/>
          </w:tcPr>
          <w:p w14:paraId="499E3849">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r>
      <w:tr w14:paraId="077C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D980559">
            <w:pPr>
              <w:keepNext w:val="0"/>
              <w:keepLines w:val="0"/>
              <w:pageBreakBefore w:val="0"/>
              <w:widowControl w:val="0"/>
              <w:kinsoku/>
              <w:wordWrap/>
              <w:overflowPunct/>
              <w:topLinePunct w:val="0"/>
              <w:bidi w:val="0"/>
              <w:adjustRightInd w:val="0"/>
              <w:snapToGrid/>
              <w:spacing w:line="500" w:lineRule="exact"/>
              <w:jc w:val="center"/>
              <w:textAlignment w:val="center"/>
              <w:rPr>
                <w:rFonts w:hint="eastAsia" w:ascii="仿宋" w:hAnsi="仿宋" w:eastAsia="仿宋" w:cs="仿宋"/>
                <w:color w:val="auto"/>
                <w:kern w:val="0"/>
                <w:sz w:val="24"/>
                <w:szCs w:val="24"/>
              </w:rPr>
            </w:pPr>
          </w:p>
        </w:tc>
        <w:tc>
          <w:tcPr>
            <w:tcW w:w="2008" w:type="dxa"/>
            <w:vAlign w:val="center"/>
          </w:tcPr>
          <w:p w14:paraId="527BAD7B">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325" w:type="dxa"/>
            <w:vAlign w:val="center"/>
          </w:tcPr>
          <w:p w14:paraId="54828DC4">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160" w:type="dxa"/>
            <w:vAlign w:val="center"/>
          </w:tcPr>
          <w:p w14:paraId="4747F528">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3288" w:type="dxa"/>
            <w:vAlign w:val="center"/>
          </w:tcPr>
          <w:p w14:paraId="542BA487">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r>
      <w:tr w14:paraId="5E3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560327F">
            <w:pPr>
              <w:keepNext w:val="0"/>
              <w:keepLines w:val="0"/>
              <w:pageBreakBefore w:val="0"/>
              <w:widowControl w:val="0"/>
              <w:kinsoku/>
              <w:wordWrap/>
              <w:overflowPunct/>
              <w:topLinePunct w:val="0"/>
              <w:bidi w:val="0"/>
              <w:adjustRightInd w:val="0"/>
              <w:snapToGrid/>
              <w:spacing w:line="500" w:lineRule="exact"/>
              <w:jc w:val="center"/>
              <w:textAlignment w:val="center"/>
              <w:rPr>
                <w:rFonts w:hint="eastAsia" w:ascii="仿宋" w:hAnsi="仿宋" w:eastAsia="仿宋" w:cs="仿宋"/>
                <w:color w:val="auto"/>
                <w:kern w:val="0"/>
                <w:sz w:val="24"/>
                <w:szCs w:val="24"/>
              </w:rPr>
            </w:pPr>
          </w:p>
        </w:tc>
        <w:tc>
          <w:tcPr>
            <w:tcW w:w="2008" w:type="dxa"/>
            <w:vAlign w:val="center"/>
          </w:tcPr>
          <w:p w14:paraId="016BF593">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325" w:type="dxa"/>
            <w:vAlign w:val="center"/>
          </w:tcPr>
          <w:p w14:paraId="2FAEEFA7">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2160" w:type="dxa"/>
            <w:vAlign w:val="center"/>
          </w:tcPr>
          <w:p w14:paraId="2D826196">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c>
          <w:tcPr>
            <w:tcW w:w="3288" w:type="dxa"/>
            <w:vAlign w:val="center"/>
          </w:tcPr>
          <w:p w14:paraId="1559A1A9">
            <w:pPr>
              <w:keepNext w:val="0"/>
              <w:keepLines w:val="0"/>
              <w:pageBreakBefore w:val="0"/>
              <w:widowControl w:val="0"/>
              <w:tabs>
                <w:tab w:val="left" w:pos="432"/>
              </w:tabs>
              <w:kinsoku/>
              <w:wordWrap/>
              <w:overflowPunct/>
              <w:topLinePunct w:val="0"/>
              <w:bidi w:val="0"/>
              <w:adjustRightInd w:val="0"/>
              <w:snapToGrid/>
              <w:spacing w:line="500" w:lineRule="exact"/>
              <w:jc w:val="center"/>
              <w:textAlignment w:val="center"/>
              <w:outlineLvl w:val="0"/>
              <w:rPr>
                <w:rFonts w:hint="eastAsia" w:ascii="仿宋" w:hAnsi="仿宋" w:eastAsia="仿宋" w:cs="仿宋"/>
                <w:b/>
                <w:color w:val="auto"/>
                <w:kern w:val="0"/>
                <w:sz w:val="24"/>
                <w:szCs w:val="24"/>
              </w:rPr>
            </w:pPr>
          </w:p>
        </w:tc>
      </w:tr>
    </w:tbl>
    <w:p w14:paraId="29EA1310">
      <w:pPr>
        <w:keepNext w:val="0"/>
        <w:keepLines w:val="0"/>
        <w:pageBreakBefore w:val="0"/>
        <w:widowControl w:val="0"/>
        <w:kinsoku/>
        <w:wordWrap/>
        <w:overflowPunct/>
        <w:topLinePunct w:val="0"/>
        <w:autoSpaceDE/>
        <w:autoSpaceDN/>
        <w:bidi w:val="0"/>
        <w:adjustRightInd w:val="0"/>
        <w:snapToGrid/>
        <w:spacing w:line="5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注：对每项技术要求的响应必须遵循如下规则：</w:t>
      </w:r>
    </w:p>
    <w:p w14:paraId="5DB5AEAC">
      <w:pPr>
        <w:keepNext w:val="0"/>
        <w:keepLines w:val="0"/>
        <w:pageBreakBefore w:val="0"/>
        <w:widowControl w:val="0"/>
        <w:numPr>
          <w:ilvl w:val="0"/>
          <w:numId w:val="4"/>
        </w:numPr>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1FDD45E0">
      <w:pPr>
        <w:keepNext w:val="0"/>
        <w:keepLines w:val="0"/>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5F51AFEC">
      <w:pPr>
        <w:keepNext w:val="0"/>
        <w:keepLines w:val="0"/>
        <w:pageBreakBefore w:val="0"/>
        <w:widowControl w:val="0"/>
        <w:kinsoku/>
        <w:wordWrap/>
        <w:overflowPunct/>
        <w:topLinePunct w:val="0"/>
        <w:autoSpaceDE/>
        <w:autoSpaceDN/>
        <w:bidi w:val="0"/>
        <w:adjustRightInd w:val="0"/>
        <w:snapToGrid/>
        <w:spacing w:line="500" w:lineRule="exact"/>
        <w:ind w:firstLine="482"/>
        <w:textAlignment w:val="auto"/>
        <w:outlineLvl w:val="1"/>
        <w:rPr>
          <w:rFonts w:hint="eastAsia" w:ascii="仿宋" w:hAnsi="仿宋" w:eastAsia="仿宋" w:cs="仿宋"/>
          <w:color w:val="auto"/>
          <w:sz w:val="24"/>
          <w:szCs w:val="24"/>
        </w:rPr>
      </w:pPr>
      <w:bookmarkStart w:id="82" w:name="_Toc32577"/>
      <w:bookmarkStart w:id="83" w:name="_Toc20505"/>
      <w:bookmarkStart w:id="84" w:name="_Toc9643"/>
      <w:r>
        <w:rPr>
          <w:rFonts w:hint="eastAsia" w:ascii="仿宋" w:hAnsi="仿宋" w:eastAsia="仿宋" w:cs="仿宋"/>
          <w:color w:val="auto"/>
          <w:sz w:val="24"/>
          <w:szCs w:val="24"/>
        </w:rPr>
        <w:t>3.用数量来表示的需求，必须用确切的数字、单位来响应。</w:t>
      </w:r>
      <w:bookmarkEnd w:id="82"/>
      <w:bookmarkEnd w:id="83"/>
      <w:bookmarkEnd w:id="84"/>
    </w:p>
    <w:p w14:paraId="351FD3A6">
      <w:pPr>
        <w:keepNext w:val="0"/>
        <w:keepLines w:val="0"/>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4.没有填写在偏离表中的其它所有技术条款都默认为完全响应采购文件要求。</w:t>
      </w:r>
    </w:p>
    <w:p w14:paraId="7768E42E">
      <w:pPr>
        <w:pStyle w:val="83"/>
        <w:ind w:firstLine="1428"/>
        <w:rPr>
          <w:rFonts w:hint="eastAsia" w:ascii="仿宋" w:hAnsi="仿宋" w:eastAsia="仿宋" w:cs="仿宋"/>
          <w:color w:val="auto"/>
        </w:rPr>
      </w:pPr>
    </w:p>
    <w:p w14:paraId="1B457903">
      <w:pPr>
        <w:pStyle w:val="83"/>
        <w:ind w:firstLine="1428"/>
        <w:rPr>
          <w:rFonts w:hint="eastAsia" w:ascii="仿宋" w:hAnsi="仿宋" w:eastAsia="仿宋" w:cs="仿宋"/>
          <w:color w:val="auto"/>
        </w:rPr>
      </w:pPr>
    </w:p>
    <w:p w14:paraId="694791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395C271B">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7C7322B0">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3B56325A">
      <w:pPr>
        <w:snapToGrid w:val="0"/>
        <w:spacing w:line="360" w:lineRule="auto"/>
        <w:ind w:right="480"/>
        <w:jc w:val="left"/>
        <w:rPr>
          <w:rFonts w:hint="eastAsia" w:ascii="仿宋" w:hAnsi="仿宋" w:eastAsia="仿宋" w:cs="仿宋"/>
          <w:b/>
          <w:bCs w:val="0"/>
          <w:color w:val="auto"/>
          <w:kern w:val="0"/>
          <w:sz w:val="24"/>
          <w:szCs w:val="24"/>
          <w:lang w:val="en-US" w:eastAsia="zh-CN"/>
        </w:rPr>
      </w:pPr>
    </w:p>
    <w:p w14:paraId="544B4B07">
      <w:pPr>
        <w:snapToGrid w:val="0"/>
        <w:spacing w:line="360" w:lineRule="auto"/>
        <w:ind w:right="480"/>
        <w:jc w:val="left"/>
        <w:rPr>
          <w:rFonts w:hint="eastAsia"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附件6</w:t>
      </w:r>
    </w:p>
    <w:p w14:paraId="618377D6">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采购供应商廉洁自律承诺书</w:t>
      </w:r>
    </w:p>
    <w:p w14:paraId="50D9FCAC">
      <w:pPr>
        <w:snapToGrid w:val="0"/>
        <w:spacing w:line="360" w:lineRule="auto"/>
        <w:rPr>
          <w:rFonts w:hint="eastAsia" w:ascii="仿宋" w:hAnsi="仿宋" w:eastAsia="仿宋" w:cs="仿宋"/>
          <w:color w:val="auto"/>
          <w:sz w:val="24"/>
        </w:rPr>
      </w:pPr>
    </w:p>
    <w:p w14:paraId="0259283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45ABF7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5D8FE18">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一、不向项目有关人员及部门赠送礼金礼物、有价证券、回扣以及中介费、介绍费、咨询费等好处费；</w:t>
      </w:r>
    </w:p>
    <w:p w14:paraId="358B5CC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二、不为项目有关人员及部门报销应由你方单位或个人支付的费用；</w:t>
      </w:r>
    </w:p>
    <w:p w14:paraId="1B9C4F6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三、不向项目有关人员及部门提供有可能影响公正的宴请和健身娱乐等活动；</w:t>
      </w:r>
    </w:p>
    <w:p w14:paraId="72284FE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10CFE3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8D5753C">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784EBF9E">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0445879A">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等法律法规，诚实守信，合法经营，坚决抵制各种违法违纪行为。</w:t>
      </w:r>
    </w:p>
    <w:p w14:paraId="2B923598">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4F51572">
      <w:pPr>
        <w:autoSpaceDE w:val="0"/>
        <w:autoSpaceDN w:val="0"/>
        <w:spacing w:line="360" w:lineRule="auto"/>
        <w:ind w:left="2"/>
        <w:jc w:val="left"/>
        <w:rPr>
          <w:rFonts w:hint="eastAsia" w:ascii="仿宋" w:hAnsi="仿宋" w:eastAsia="仿宋" w:cs="仿宋"/>
          <w:color w:val="auto"/>
          <w:kern w:val="0"/>
          <w:sz w:val="24"/>
          <w:lang w:val="zh-CN"/>
        </w:rPr>
      </w:pPr>
    </w:p>
    <w:p w14:paraId="70C2CA28">
      <w:pPr>
        <w:autoSpaceDE w:val="0"/>
        <w:autoSpaceDN w:val="0"/>
        <w:spacing w:line="360" w:lineRule="auto"/>
        <w:ind w:left="2"/>
        <w:jc w:val="left"/>
        <w:rPr>
          <w:rFonts w:hint="eastAsia" w:ascii="仿宋" w:hAnsi="仿宋" w:eastAsia="仿宋" w:cs="仿宋"/>
          <w:color w:val="auto"/>
          <w:kern w:val="0"/>
          <w:sz w:val="24"/>
          <w:lang w:val="zh-CN"/>
        </w:rPr>
      </w:pPr>
    </w:p>
    <w:p w14:paraId="6C959C80">
      <w:pPr>
        <w:autoSpaceDE w:val="0"/>
        <w:autoSpaceDN w:val="0"/>
        <w:spacing w:line="360" w:lineRule="auto"/>
        <w:ind w:left="2"/>
        <w:jc w:val="left"/>
        <w:rPr>
          <w:rFonts w:hint="eastAsia" w:ascii="仿宋" w:hAnsi="仿宋" w:eastAsia="仿宋" w:cs="仿宋"/>
          <w:color w:val="auto"/>
          <w:kern w:val="0"/>
          <w:sz w:val="24"/>
          <w:lang w:val="zh-CN"/>
        </w:rPr>
      </w:pPr>
    </w:p>
    <w:p w14:paraId="1C806283">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14:paraId="2B81A673">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72C09E74">
      <w:pPr>
        <w:spacing w:line="360" w:lineRule="auto"/>
        <w:jc w:val="center"/>
        <w:rPr>
          <w:rFonts w:hint="eastAsia" w:ascii="仿宋" w:hAnsi="仿宋" w:eastAsia="仿宋" w:cs="仿宋"/>
          <w:b/>
          <w:bCs/>
          <w:color w:val="auto"/>
          <w:sz w:val="24"/>
        </w:rPr>
      </w:pPr>
    </w:p>
    <w:p w14:paraId="645292DB">
      <w:pPr>
        <w:jc w:val="center"/>
        <w:rPr>
          <w:rFonts w:hint="eastAsia" w:ascii="仿宋" w:hAnsi="仿宋" w:eastAsia="仿宋" w:cs="仿宋"/>
          <w:b/>
          <w:color w:val="auto"/>
          <w:sz w:val="32"/>
          <w:szCs w:val="32"/>
        </w:rPr>
      </w:pPr>
    </w:p>
    <w:p w14:paraId="2B9204F9">
      <w:pPr>
        <w:pStyle w:val="80"/>
        <w:rPr>
          <w:rFonts w:hint="eastAsia" w:ascii="仿宋" w:hAnsi="仿宋" w:eastAsia="仿宋" w:cs="仿宋"/>
          <w:color w:val="auto"/>
        </w:rPr>
      </w:pPr>
    </w:p>
    <w:p w14:paraId="6FB7F1C3">
      <w:pPr>
        <w:spacing w:line="360" w:lineRule="auto"/>
        <w:jc w:val="center"/>
        <w:outlineLvl w:val="0"/>
        <w:rPr>
          <w:rFonts w:hint="eastAsia" w:ascii="仿宋" w:hAnsi="仿宋" w:eastAsia="仿宋" w:cs="仿宋"/>
          <w:b/>
          <w:color w:val="auto"/>
          <w:kern w:val="0"/>
          <w:sz w:val="36"/>
          <w:szCs w:val="36"/>
        </w:rPr>
      </w:pPr>
    </w:p>
    <w:p w14:paraId="518C4E06">
      <w:pPr>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 xml:space="preserve"> </w:t>
      </w:r>
    </w:p>
    <w:p w14:paraId="46C667D8">
      <w:pPr>
        <w:pStyle w:val="973"/>
        <w:snapToGrid w:val="0"/>
        <w:ind w:right="0" w:firstLine="0" w:firstLineChars="0"/>
        <w:jc w:val="center"/>
        <w:rPr>
          <w:rFonts w:hint="eastAsia" w:ascii="仿宋" w:hAnsi="仿宋" w:eastAsia="仿宋" w:cs="仿宋"/>
          <w:b/>
          <w:color w:val="auto"/>
          <w:sz w:val="30"/>
          <w:szCs w:val="30"/>
          <w:lang w:val="en-GB"/>
        </w:rPr>
      </w:pPr>
      <w:r>
        <w:rPr>
          <w:rFonts w:hint="eastAsia" w:ascii="仿宋" w:hAnsi="仿宋" w:eastAsia="仿宋" w:cs="仿宋"/>
          <w:b/>
          <w:color w:val="auto"/>
          <w:sz w:val="30"/>
          <w:szCs w:val="30"/>
          <w:lang w:val="en-GB"/>
        </w:rPr>
        <w:t>投标人基本情况表</w:t>
      </w:r>
    </w:p>
    <w:tbl>
      <w:tblPr>
        <w:tblStyle w:val="62"/>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801"/>
        <w:gridCol w:w="765"/>
        <w:gridCol w:w="1192"/>
        <w:gridCol w:w="543"/>
        <w:gridCol w:w="2917"/>
      </w:tblGrid>
      <w:tr w14:paraId="49752FD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1326F8A7">
            <w:pPr>
              <w:snapToGrid w:val="0"/>
              <w:spacing w:line="46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投标人信息</w:t>
            </w:r>
          </w:p>
        </w:tc>
      </w:tr>
      <w:tr w14:paraId="2A8733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5758F989">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7218" w:type="dxa"/>
            <w:gridSpan w:val="5"/>
            <w:noWrap w:val="0"/>
            <w:vAlign w:val="center"/>
          </w:tcPr>
          <w:p w14:paraId="4FFAA6B8">
            <w:pPr>
              <w:snapToGrid w:val="0"/>
              <w:spacing w:line="460" w:lineRule="exact"/>
              <w:ind w:firstLine="0" w:firstLineChars="0"/>
              <w:rPr>
                <w:rFonts w:hint="eastAsia" w:ascii="仿宋" w:hAnsi="仿宋" w:eastAsia="仿宋" w:cs="仿宋"/>
                <w:color w:val="auto"/>
                <w:sz w:val="24"/>
                <w:szCs w:val="24"/>
              </w:rPr>
            </w:pPr>
          </w:p>
        </w:tc>
      </w:tr>
      <w:tr w14:paraId="23B7C7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2D7FF4CD">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联合体投标</w:t>
            </w:r>
          </w:p>
        </w:tc>
        <w:tc>
          <w:tcPr>
            <w:tcW w:w="1801" w:type="dxa"/>
            <w:noWrap w:val="0"/>
            <w:vAlign w:val="center"/>
          </w:tcPr>
          <w:p w14:paraId="033F1703">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是□    否□</w:t>
            </w:r>
          </w:p>
        </w:tc>
        <w:tc>
          <w:tcPr>
            <w:tcW w:w="1957" w:type="dxa"/>
            <w:gridSpan w:val="2"/>
            <w:noWrap w:val="0"/>
            <w:vAlign w:val="center"/>
          </w:tcPr>
          <w:p w14:paraId="3A9D0E2E">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联合体成员单位</w:t>
            </w:r>
          </w:p>
        </w:tc>
        <w:tc>
          <w:tcPr>
            <w:tcW w:w="3460" w:type="dxa"/>
            <w:gridSpan w:val="2"/>
            <w:noWrap w:val="0"/>
            <w:vAlign w:val="center"/>
          </w:tcPr>
          <w:p w14:paraId="08118034">
            <w:pPr>
              <w:snapToGrid w:val="0"/>
              <w:spacing w:line="460" w:lineRule="exact"/>
              <w:ind w:firstLine="0" w:firstLineChars="0"/>
              <w:rPr>
                <w:rFonts w:hint="eastAsia" w:ascii="仿宋" w:hAnsi="仿宋" w:eastAsia="仿宋" w:cs="仿宋"/>
                <w:color w:val="auto"/>
                <w:sz w:val="24"/>
                <w:szCs w:val="24"/>
              </w:rPr>
            </w:pPr>
          </w:p>
        </w:tc>
      </w:tr>
      <w:tr w14:paraId="71BF34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412EBA9E">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性质</w:t>
            </w:r>
          </w:p>
        </w:tc>
        <w:tc>
          <w:tcPr>
            <w:tcW w:w="7218" w:type="dxa"/>
            <w:gridSpan w:val="5"/>
            <w:noWrap w:val="0"/>
            <w:vAlign w:val="center"/>
          </w:tcPr>
          <w:p w14:paraId="4BB3AB12">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国有□     国有控股□     私营□     事业单位□</w:t>
            </w:r>
          </w:p>
        </w:tc>
      </w:tr>
      <w:tr w14:paraId="171577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15E250D6">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w:t>
            </w:r>
          </w:p>
        </w:tc>
        <w:tc>
          <w:tcPr>
            <w:tcW w:w="2566" w:type="dxa"/>
            <w:gridSpan w:val="2"/>
            <w:noWrap w:val="0"/>
            <w:vAlign w:val="center"/>
          </w:tcPr>
          <w:p w14:paraId="60381E5A">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3A079A03">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注册资本</w:t>
            </w:r>
          </w:p>
        </w:tc>
        <w:tc>
          <w:tcPr>
            <w:tcW w:w="2917" w:type="dxa"/>
            <w:noWrap w:val="0"/>
            <w:vAlign w:val="center"/>
          </w:tcPr>
          <w:p w14:paraId="3E046AD2">
            <w:pPr>
              <w:snapToGrid w:val="0"/>
              <w:spacing w:line="460" w:lineRule="exact"/>
              <w:ind w:firstLine="0" w:firstLineChars="0"/>
              <w:rPr>
                <w:rFonts w:hint="eastAsia" w:ascii="仿宋" w:hAnsi="仿宋" w:eastAsia="仿宋" w:cs="仿宋"/>
                <w:color w:val="auto"/>
                <w:sz w:val="24"/>
                <w:szCs w:val="24"/>
              </w:rPr>
            </w:pPr>
          </w:p>
        </w:tc>
      </w:tr>
      <w:tr w14:paraId="369E28B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04221DE0">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566" w:type="dxa"/>
            <w:gridSpan w:val="2"/>
            <w:noWrap w:val="0"/>
            <w:vAlign w:val="center"/>
          </w:tcPr>
          <w:p w14:paraId="2FBF0853">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6C784BEB">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917" w:type="dxa"/>
            <w:noWrap w:val="0"/>
            <w:vAlign w:val="center"/>
          </w:tcPr>
          <w:p w14:paraId="167AEAD7">
            <w:pPr>
              <w:snapToGrid w:val="0"/>
              <w:spacing w:line="460" w:lineRule="exact"/>
              <w:ind w:firstLine="0" w:firstLineChars="0"/>
              <w:rPr>
                <w:rFonts w:hint="eastAsia" w:ascii="仿宋" w:hAnsi="仿宋" w:eastAsia="仿宋" w:cs="仿宋"/>
                <w:color w:val="auto"/>
                <w:sz w:val="24"/>
                <w:szCs w:val="24"/>
              </w:rPr>
            </w:pPr>
          </w:p>
        </w:tc>
      </w:tr>
      <w:tr w14:paraId="794AF0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7400BFA4">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通信地址</w:t>
            </w:r>
          </w:p>
        </w:tc>
        <w:tc>
          <w:tcPr>
            <w:tcW w:w="2566" w:type="dxa"/>
            <w:gridSpan w:val="2"/>
            <w:noWrap w:val="0"/>
            <w:vAlign w:val="center"/>
          </w:tcPr>
          <w:p w14:paraId="5E7F7715">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1E9BB21A">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2917" w:type="dxa"/>
            <w:noWrap w:val="0"/>
            <w:vAlign w:val="center"/>
          </w:tcPr>
          <w:p w14:paraId="51FE75B3">
            <w:pPr>
              <w:snapToGrid w:val="0"/>
              <w:spacing w:line="460" w:lineRule="exact"/>
              <w:ind w:firstLine="0" w:firstLineChars="0"/>
              <w:rPr>
                <w:rFonts w:hint="eastAsia" w:ascii="仿宋" w:hAnsi="仿宋" w:eastAsia="仿宋" w:cs="仿宋"/>
                <w:color w:val="auto"/>
                <w:sz w:val="24"/>
                <w:szCs w:val="24"/>
              </w:rPr>
            </w:pPr>
          </w:p>
        </w:tc>
      </w:tr>
      <w:tr w14:paraId="401F3F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7CB9F64F">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公司电话</w:t>
            </w:r>
          </w:p>
        </w:tc>
        <w:tc>
          <w:tcPr>
            <w:tcW w:w="2566" w:type="dxa"/>
            <w:gridSpan w:val="2"/>
            <w:noWrap w:val="0"/>
            <w:vAlign w:val="center"/>
          </w:tcPr>
          <w:p w14:paraId="6F5C8AFF">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5DBF1964">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传真</w:t>
            </w:r>
          </w:p>
        </w:tc>
        <w:tc>
          <w:tcPr>
            <w:tcW w:w="2917" w:type="dxa"/>
            <w:noWrap w:val="0"/>
            <w:vAlign w:val="center"/>
          </w:tcPr>
          <w:p w14:paraId="030F29D0">
            <w:pPr>
              <w:snapToGrid w:val="0"/>
              <w:spacing w:line="460" w:lineRule="exact"/>
              <w:ind w:firstLine="0" w:firstLineChars="0"/>
              <w:rPr>
                <w:rFonts w:hint="eastAsia" w:ascii="仿宋" w:hAnsi="仿宋" w:eastAsia="仿宋" w:cs="仿宋"/>
                <w:color w:val="auto"/>
                <w:sz w:val="24"/>
                <w:szCs w:val="24"/>
              </w:rPr>
            </w:pPr>
          </w:p>
        </w:tc>
      </w:tr>
      <w:tr w14:paraId="4AC8B0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2E3FFE98">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公司网址</w:t>
            </w:r>
          </w:p>
        </w:tc>
        <w:tc>
          <w:tcPr>
            <w:tcW w:w="2566" w:type="dxa"/>
            <w:gridSpan w:val="2"/>
            <w:noWrap w:val="0"/>
            <w:vAlign w:val="center"/>
          </w:tcPr>
          <w:p w14:paraId="19A7E729">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349B6EEB">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917" w:type="dxa"/>
            <w:noWrap w:val="0"/>
            <w:vAlign w:val="center"/>
          </w:tcPr>
          <w:p w14:paraId="3CAA3D68">
            <w:pPr>
              <w:snapToGrid w:val="0"/>
              <w:spacing w:line="460" w:lineRule="exact"/>
              <w:ind w:firstLine="0" w:firstLineChars="0"/>
              <w:rPr>
                <w:rFonts w:hint="eastAsia" w:ascii="仿宋" w:hAnsi="仿宋" w:eastAsia="仿宋" w:cs="仿宋"/>
                <w:color w:val="auto"/>
                <w:sz w:val="24"/>
                <w:szCs w:val="24"/>
              </w:rPr>
            </w:pPr>
          </w:p>
        </w:tc>
      </w:tr>
      <w:tr w14:paraId="19F066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7F37F327">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开户银行及账号</w:t>
            </w:r>
          </w:p>
        </w:tc>
        <w:tc>
          <w:tcPr>
            <w:tcW w:w="7218" w:type="dxa"/>
            <w:gridSpan w:val="5"/>
            <w:noWrap w:val="0"/>
            <w:vAlign w:val="center"/>
          </w:tcPr>
          <w:p w14:paraId="0D487198">
            <w:pPr>
              <w:snapToGrid w:val="0"/>
              <w:spacing w:line="460" w:lineRule="exact"/>
              <w:ind w:firstLine="0" w:firstLineChars="0"/>
              <w:rPr>
                <w:rFonts w:hint="eastAsia" w:ascii="仿宋" w:hAnsi="仿宋" w:eastAsia="仿宋" w:cs="仿宋"/>
                <w:color w:val="auto"/>
                <w:sz w:val="24"/>
                <w:szCs w:val="24"/>
              </w:rPr>
            </w:pPr>
          </w:p>
        </w:tc>
      </w:tr>
      <w:tr w14:paraId="7E51C5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3AF536B9">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人员情况</w:t>
            </w:r>
          </w:p>
        </w:tc>
        <w:tc>
          <w:tcPr>
            <w:tcW w:w="7218" w:type="dxa"/>
            <w:gridSpan w:val="5"/>
            <w:noWrap w:val="0"/>
            <w:vAlign w:val="center"/>
          </w:tcPr>
          <w:p w14:paraId="202DB017">
            <w:pPr>
              <w:snapToGrid w:val="0"/>
              <w:spacing w:line="460" w:lineRule="exact"/>
              <w:ind w:firstLine="0" w:firstLineChars="0"/>
              <w:rPr>
                <w:rFonts w:hint="eastAsia" w:ascii="仿宋" w:hAnsi="仿宋" w:eastAsia="仿宋" w:cs="仿宋"/>
                <w:color w:val="auto"/>
                <w:sz w:val="24"/>
                <w:szCs w:val="24"/>
              </w:rPr>
            </w:pPr>
          </w:p>
        </w:tc>
      </w:tr>
      <w:tr w14:paraId="0609C06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3B565957">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企业资质</w:t>
            </w:r>
          </w:p>
        </w:tc>
        <w:tc>
          <w:tcPr>
            <w:tcW w:w="7218" w:type="dxa"/>
            <w:gridSpan w:val="5"/>
            <w:noWrap w:val="0"/>
            <w:vAlign w:val="center"/>
          </w:tcPr>
          <w:p w14:paraId="308B42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仿宋" w:hAnsi="仿宋" w:eastAsia="仿宋" w:cs="仿宋"/>
                <w:b/>
                <w:color w:val="auto"/>
                <w:sz w:val="24"/>
                <w:szCs w:val="24"/>
              </w:rPr>
            </w:pPr>
          </w:p>
        </w:tc>
      </w:tr>
      <w:tr w14:paraId="3D5CD1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39B265FD">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企业认证</w:t>
            </w:r>
          </w:p>
        </w:tc>
        <w:tc>
          <w:tcPr>
            <w:tcW w:w="7218" w:type="dxa"/>
            <w:gridSpan w:val="5"/>
            <w:noWrap w:val="0"/>
            <w:vAlign w:val="center"/>
          </w:tcPr>
          <w:p w14:paraId="25E9329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仿宋" w:hAnsi="仿宋" w:eastAsia="仿宋" w:cs="仿宋"/>
                <w:b/>
                <w:color w:val="auto"/>
                <w:sz w:val="24"/>
                <w:szCs w:val="24"/>
              </w:rPr>
            </w:pPr>
          </w:p>
        </w:tc>
      </w:tr>
      <w:tr w14:paraId="742BC68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7601218C">
            <w:pPr>
              <w:snapToGrid w:val="0"/>
              <w:spacing w:line="46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企业获奖（如有）</w:t>
            </w:r>
          </w:p>
        </w:tc>
        <w:tc>
          <w:tcPr>
            <w:tcW w:w="7218" w:type="dxa"/>
            <w:gridSpan w:val="5"/>
            <w:noWrap w:val="0"/>
            <w:vAlign w:val="center"/>
          </w:tcPr>
          <w:p w14:paraId="3A82F103">
            <w:pPr>
              <w:snapToGrid w:val="0"/>
              <w:spacing w:line="460" w:lineRule="exact"/>
              <w:ind w:firstLine="0" w:firstLineChars="0"/>
              <w:rPr>
                <w:rFonts w:hint="eastAsia" w:ascii="仿宋" w:hAnsi="仿宋" w:eastAsia="仿宋" w:cs="仿宋"/>
                <w:color w:val="auto"/>
                <w:sz w:val="24"/>
                <w:szCs w:val="24"/>
              </w:rPr>
            </w:pPr>
          </w:p>
        </w:tc>
      </w:tr>
      <w:tr w14:paraId="243D74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2D314222">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218" w:type="dxa"/>
            <w:gridSpan w:val="5"/>
            <w:noWrap w:val="0"/>
            <w:vAlign w:val="center"/>
          </w:tcPr>
          <w:p w14:paraId="4331EC7D">
            <w:pPr>
              <w:snapToGrid w:val="0"/>
              <w:spacing w:line="460" w:lineRule="exact"/>
              <w:ind w:firstLine="0" w:firstLineChars="0"/>
              <w:rPr>
                <w:rFonts w:hint="eastAsia" w:ascii="仿宋" w:hAnsi="仿宋" w:eastAsia="仿宋" w:cs="仿宋"/>
                <w:color w:val="auto"/>
                <w:sz w:val="24"/>
                <w:szCs w:val="24"/>
              </w:rPr>
            </w:pPr>
          </w:p>
        </w:tc>
      </w:tr>
      <w:tr w14:paraId="467795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15284711">
            <w:pPr>
              <w:snapToGrid w:val="0"/>
              <w:spacing w:line="46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投标人联系人信息</w:t>
            </w:r>
          </w:p>
        </w:tc>
      </w:tr>
      <w:tr w14:paraId="6718A6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2F8A813A">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566" w:type="dxa"/>
            <w:gridSpan w:val="2"/>
            <w:noWrap w:val="0"/>
            <w:vAlign w:val="center"/>
          </w:tcPr>
          <w:p w14:paraId="5E368B62">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462B593E">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2917" w:type="dxa"/>
            <w:noWrap w:val="0"/>
            <w:vAlign w:val="center"/>
          </w:tcPr>
          <w:p w14:paraId="781179E9">
            <w:pPr>
              <w:snapToGrid w:val="0"/>
              <w:spacing w:line="460" w:lineRule="exact"/>
              <w:ind w:firstLine="0" w:firstLineChars="0"/>
              <w:rPr>
                <w:rFonts w:hint="eastAsia" w:ascii="仿宋" w:hAnsi="仿宋" w:eastAsia="仿宋" w:cs="仿宋"/>
                <w:color w:val="auto"/>
                <w:sz w:val="24"/>
                <w:szCs w:val="24"/>
              </w:rPr>
            </w:pPr>
          </w:p>
        </w:tc>
      </w:tr>
      <w:tr w14:paraId="597B89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9" w:type="dxa"/>
            <w:noWrap w:val="0"/>
            <w:vAlign w:val="center"/>
          </w:tcPr>
          <w:p w14:paraId="70B5731B">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2566" w:type="dxa"/>
            <w:gridSpan w:val="2"/>
            <w:noWrap w:val="0"/>
            <w:vAlign w:val="center"/>
          </w:tcPr>
          <w:p w14:paraId="1430885F">
            <w:pPr>
              <w:snapToGrid w:val="0"/>
              <w:spacing w:line="460" w:lineRule="exact"/>
              <w:ind w:firstLine="0" w:firstLineChars="0"/>
              <w:rPr>
                <w:rFonts w:hint="eastAsia" w:ascii="仿宋" w:hAnsi="仿宋" w:eastAsia="仿宋" w:cs="仿宋"/>
                <w:color w:val="auto"/>
                <w:sz w:val="24"/>
                <w:szCs w:val="24"/>
              </w:rPr>
            </w:pPr>
          </w:p>
        </w:tc>
        <w:tc>
          <w:tcPr>
            <w:tcW w:w="1735" w:type="dxa"/>
            <w:gridSpan w:val="2"/>
            <w:noWrap w:val="0"/>
            <w:vAlign w:val="center"/>
          </w:tcPr>
          <w:p w14:paraId="0E76CF2D">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917" w:type="dxa"/>
            <w:noWrap w:val="0"/>
            <w:vAlign w:val="center"/>
          </w:tcPr>
          <w:p w14:paraId="7CA8A2B9">
            <w:pPr>
              <w:snapToGrid w:val="0"/>
              <w:spacing w:line="460" w:lineRule="exact"/>
              <w:ind w:firstLine="0" w:firstLineChars="0"/>
              <w:rPr>
                <w:rFonts w:hint="eastAsia" w:ascii="仿宋" w:hAnsi="仿宋" w:eastAsia="仿宋" w:cs="仿宋"/>
                <w:color w:val="auto"/>
                <w:sz w:val="24"/>
                <w:szCs w:val="24"/>
              </w:rPr>
            </w:pPr>
          </w:p>
        </w:tc>
      </w:tr>
      <w:tr w14:paraId="59BBE6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66C001D5">
            <w:pPr>
              <w:snapToGrid w:val="0"/>
              <w:spacing w:line="4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企业简介：（可另附页或企业对外宣传手册，如有附后）</w:t>
            </w:r>
          </w:p>
        </w:tc>
      </w:tr>
    </w:tbl>
    <w:p w14:paraId="0C4B14D1">
      <w:pPr>
        <w:adjustRightInd w:val="0"/>
        <w:snapToGrid w:val="0"/>
        <w:spacing w:line="360" w:lineRule="auto"/>
        <w:ind w:firstLine="484"/>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（后附上与评标相关的投标人证书荣誉等相关证书复印件加盖公章）</w:t>
      </w:r>
    </w:p>
    <w:p w14:paraId="3A28BD87">
      <w:pPr>
        <w:adjustRightInd w:val="0"/>
        <w:snapToGrid w:val="0"/>
        <w:spacing w:line="360" w:lineRule="auto"/>
        <w:ind w:firstLine="3570" w:firstLineChars="1700"/>
        <w:textAlignment w:val="baseline"/>
        <w:rPr>
          <w:rFonts w:hint="eastAsia" w:ascii="仿宋" w:hAnsi="仿宋" w:eastAsia="仿宋" w:cs="仿宋"/>
          <w:color w:val="auto"/>
        </w:rPr>
      </w:pPr>
    </w:p>
    <w:p w14:paraId="43C3161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71A07F59">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10B9350F">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0CA7A9F8">
      <w:pPr>
        <w:pStyle w:val="49"/>
        <w:snapToGrid w:val="0"/>
        <w:ind w:left="0" w:firstLine="0" w:firstLineChars="0"/>
        <w:jc w:val="left"/>
        <w:rPr>
          <w:rFonts w:hint="eastAsia" w:ascii="仿宋" w:hAnsi="仿宋" w:eastAsia="仿宋" w:cs="仿宋"/>
          <w:b/>
          <w:bCs/>
          <w:color w:val="auto"/>
        </w:rPr>
      </w:pPr>
    </w:p>
    <w:p w14:paraId="263C096A">
      <w:pPr>
        <w:pStyle w:val="49"/>
        <w:snapToGrid w:val="0"/>
        <w:ind w:left="0" w:firstLine="0" w:firstLineChars="0"/>
        <w:jc w:val="left"/>
        <w:rPr>
          <w:rFonts w:hint="eastAsia" w:ascii="仿宋" w:hAnsi="仿宋" w:eastAsia="仿宋" w:cs="仿宋"/>
          <w:b/>
          <w:bCs/>
          <w:color w:val="auto"/>
        </w:rPr>
      </w:pPr>
    </w:p>
    <w:p w14:paraId="10F4E441">
      <w:pPr>
        <w:pStyle w:val="49"/>
        <w:snapToGrid w:val="0"/>
        <w:ind w:left="0" w:firstLine="0" w:firstLineChars="0"/>
        <w:jc w:val="left"/>
        <w:rPr>
          <w:rFonts w:hint="eastAsia" w:ascii="仿宋" w:hAnsi="仿宋" w:eastAsia="仿宋" w:cs="仿宋"/>
          <w:b/>
          <w:bCs/>
          <w:color w:val="auto"/>
        </w:rPr>
      </w:pPr>
    </w:p>
    <w:p w14:paraId="5F591C07">
      <w:pPr>
        <w:pStyle w:val="49"/>
        <w:snapToGrid w:val="0"/>
        <w:ind w:left="0"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 xml:space="preserve"> </w:t>
      </w:r>
    </w:p>
    <w:p w14:paraId="1719CE37">
      <w:pPr>
        <w:pStyle w:val="49"/>
        <w:snapToGrid w:val="0"/>
        <w:spacing w:line="360" w:lineRule="auto"/>
        <w:ind w:left="0" w:firstLine="0" w:firstLineChars="0"/>
        <w:jc w:val="center"/>
        <w:rPr>
          <w:rFonts w:hint="eastAsia" w:ascii="仿宋" w:hAnsi="仿宋" w:eastAsia="仿宋" w:cs="仿宋"/>
          <w:b/>
          <w:color w:val="auto"/>
          <w:sz w:val="30"/>
          <w:szCs w:val="30"/>
          <w:lang w:val="en-GB"/>
        </w:rPr>
      </w:pPr>
      <w:r>
        <w:rPr>
          <w:rFonts w:hint="eastAsia" w:ascii="仿宋" w:hAnsi="仿宋" w:eastAsia="仿宋" w:cs="仿宋"/>
          <w:b/>
          <w:color w:val="auto"/>
          <w:sz w:val="30"/>
          <w:szCs w:val="30"/>
          <w:lang w:val="en-GB"/>
        </w:rPr>
        <w:t>类似项目业绩一览表</w:t>
      </w:r>
    </w:p>
    <w:tbl>
      <w:tblPr>
        <w:tblStyle w:val="62"/>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93"/>
        <w:gridCol w:w="1332"/>
        <w:gridCol w:w="1332"/>
        <w:gridCol w:w="1334"/>
        <w:gridCol w:w="1809"/>
        <w:gridCol w:w="970"/>
      </w:tblGrid>
      <w:tr w14:paraId="5E504E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5" w:type="dxa"/>
            <w:tcBorders>
              <w:top w:val="thinThickSmallGap" w:color="auto" w:sz="12" w:space="0"/>
            </w:tcBorders>
            <w:noWrap/>
            <w:vAlign w:val="center"/>
          </w:tcPr>
          <w:p w14:paraId="39818056">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2093" w:type="dxa"/>
            <w:tcBorders>
              <w:top w:val="thinThickSmallGap" w:color="auto" w:sz="12" w:space="0"/>
            </w:tcBorders>
            <w:noWrap/>
            <w:vAlign w:val="center"/>
          </w:tcPr>
          <w:p w14:paraId="18F02549">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项目名称</w:t>
            </w:r>
          </w:p>
        </w:tc>
        <w:tc>
          <w:tcPr>
            <w:tcW w:w="1332" w:type="dxa"/>
            <w:tcBorders>
              <w:top w:val="thinThickSmallGap" w:color="auto" w:sz="12" w:space="0"/>
            </w:tcBorders>
            <w:noWrap/>
            <w:vAlign w:val="center"/>
          </w:tcPr>
          <w:p w14:paraId="341757EB">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332" w:type="dxa"/>
            <w:tcBorders>
              <w:top w:val="thinThickSmallGap" w:color="auto" w:sz="12" w:space="0"/>
            </w:tcBorders>
            <w:noWrap/>
            <w:vAlign w:val="center"/>
          </w:tcPr>
          <w:p w14:paraId="6C87C42A">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334" w:type="dxa"/>
            <w:tcBorders>
              <w:top w:val="thinThickSmallGap" w:color="auto" w:sz="12" w:space="0"/>
            </w:tcBorders>
            <w:noWrap/>
            <w:vAlign w:val="center"/>
          </w:tcPr>
          <w:p w14:paraId="222FEA05">
            <w:pPr>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p w14:paraId="59922896">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（万元）</w:t>
            </w:r>
          </w:p>
        </w:tc>
        <w:tc>
          <w:tcPr>
            <w:tcW w:w="1809" w:type="dxa"/>
            <w:tcBorders>
              <w:top w:val="thinThickSmallGap" w:color="auto" w:sz="12" w:space="0"/>
            </w:tcBorders>
            <w:noWrap/>
            <w:vAlign w:val="center"/>
          </w:tcPr>
          <w:p w14:paraId="46085FC6">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项目单位、联系人及电话</w:t>
            </w:r>
          </w:p>
        </w:tc>
        <w:tc>
          <w:tcPr>
            <w:tcW w:w="970" w:type="dxa"/>
            <w:tcBorders>
              <w:top w:val="thinThickSmallGap" w:color="auto" w:sz="12" w:space="0"/>
            </w:tcBorders>
            <w:noWrap/>
            <w:vAlign w:val="center"/>
          </w:tcPr>
          <w:p w14:paraId="0A8DC224">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备注</w:t>
            </w:r>
          </w:p>
        </w:tc>
      </w:tr>
      <w:tr w14:paraId="58E589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14:paraId="49E5DD66">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093" w:type="dxa"/>
            <w:noWrap/>
            <w:vAlign w:val="center"/>
          </w:tcPr>
          <w:p w14:paraId="5F81D0E6">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561792CB">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105F314E">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noWrap/>
            <w:vAlign w:val="center"/>
          </w:tcPr>
          <w:p w14:paraId="40EC926B">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noWrap/>
            <w:vAlign w:val="center"/>
          </w:tcPr>
          <w:p w14:paraId="65AA6F3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noWrap/>
            <w:vAlign w:val="center"/>
          </w:tcPr>
          <w:p w14:paraId="54813DCA">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r w14:paraId="5F07F9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14:paraId="63434DD5">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093" w:type="dxa"/>
            <w:noWrap/>
            <w:vAlign w:val="center"/>
          </w:tcPr>
          <w:p w14:paraId="0287AC5C">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6F89BDF5">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0802273F">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noWrap/>
            <w:vAlign w:val="center"/>
          </w:tcPr>
          <w:p w14:paraId="03DFC141">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noWrap/>
            <w:vAlign w:val="center"/>
          </w:tcPr>
          <w:p w14:paraId="72B3601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noWrap/>
            <w:vAlign w:val="center"/>
          </w:tcPr>
          <w:p w14:paraId="5D094486">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r w14:paraId="32BBFB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14:paraId="169915D7">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093" w:type="dxa"/>
            <w:noWrap/>
            <w:vAlign w:val="center"/>
          </w:tcPr>
          <w:p w14:paraId="138E6B99">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371A8143">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701C0B3F">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noWrap/>
            <w:vAlign w:val="center"/>
          </w:tcPr>
          <w:p w14:paraId="367D11A0">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noWrap/>
            <w:vAlign w:val="center"/>
          </w:tcPr>
          <w:p w14:paraId="4A915763">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noWrap/>
            <w:vAlign w:val="center"/>
          </w:tcPr>
          <w:p w14:paraId="0644D2C1">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r w14:paraId="7FD9D5D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14:paraId="387F8D8E">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093" w:type="dxa"/>
            <w:noWrap/>
            <w:vAlign w:val="center"/>
          </w:tcPr>
          <w:p w14:paraId="1C19573C">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56F4C1EE">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31C4325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noWrap/>
            <w:vAlign w:val="center"/>
          </w:tcPr>
          <w:p w14:paraId="5C504D52">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noWrap/>
            <w:vAlign w:val="center"/>
          </w:tcPr>
          <w:p w14:paraId="593403E9">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noWrap/>
            <w:vAlign w:val="center"/>
          </w:tcPr>
          <w:p w14:paraId="0E2ED071">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r w14:paraId="4EEC9DE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noWrap/>
            <w:vAlign w:val="center"/>
          </w:tcPr>
          <w:p w14:paraId="792FDE45">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093" w:type="dxa"/>
            <w:noWrap/>
            <w:vAlign w:val="center"/>
          </w:tcPr>
          <w:p w14:paraId="3859945E">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3128351C">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noWrap/>
            <w:vAlign w:val="center"/>
          </w:tcPr>
          <w:p w14:paraId="60BF652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noWrap/>
            <w:vAlign w:val="center"/>
          </w:tcPr>
          <w:p w14:paraId="05BFCD81">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noWrap/>
            <w:vAlign w:val="center"/>
          </w:tcPr>
          <w:p w14:paraId="33CD1E22">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noWrap/>
            <w:vAlign w:val="center"/>
          </w:tcPr>
          <w:p w14:paraId="256AD98C">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r w14:paraId="3266942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tcBorders>
              <w:bottom w:val="thinThickSmallGap" w:color="auto" w:sz="12" w:space="0"/>
            </w:tcBorders>
            <w:noWrap/>
            <w:vAlign w:val="center"/>
          </w:tcPr>
          <w:p w14:paraId="2135BAC4">
            <w:pPr>
              <w:autoSpaceDE w:val="0"/>
              <w:autoSpaceDN w:val="0"/>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093" w:type="dxa"/>
            <w:tcBorders>
              <w:bottom w:val="thinThickSmallGap" w:color="auto" w:sz="12" w:space="0"/>
            </w:tcBorders>
            <w:noWrap/>
            <w:vAlign w:val="center"/>
          </w:tcPr>
          <w:p w14:paraId="2DFBFEB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tcBorders>
              <w:bottom w:val="thinThickSmallGap" w:color="auto" w:sz="12" w:space="0"/>
            </w:tcBorders>
            <w:noWrap/>
            <w:vAlign w:val="center"/>
          </w:tcPr>
          <w:p w14:paraId="78D6CC64">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2" w:type="dxa"/>
            <w:tcBorders>
              <w:bottom w:val="thinThickSmallGap" w:color="auto" w:sz="12" w:space="0"/>
            </w:tcBorders>
            <w:noWrap/>
            <w:vAlign w:val="center"/>
          </w:tcPr>
          <w:p w14:paraId="2B0E25C2">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334" w:type="dxa"/>
            <w:tcBorders>
              <w:bottom w:val="thinThickSmallGap" w:color="auto" w:sz="12" w:space="0"/>
            </w:tcBorders>
            <w:noWrap/>
            <w:vAlign w:val="center"/>
          </w:tcPr>
          <w:p w14:paraId="271C5D26">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1809" w:type="dxa"/>
            <w:tcBorders>
              <w:bottom w:val="thinThickSmallGap" w:color="auto" w:sz="12" w:space="0"/>
            </w:tcBorders>
            <w:noWrap/>
            <w:vAlign w:val="center"/>
          </w:tcPr>
          <w:p w14:paraId="680FA069">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c>
          <w:tcPr>
            <w:tcW w:w="970" w:type="dxa"/>
            <w:tcBorders>
              <w:bottom w:val="thinThickSmallGap" w:color="auto" w:sz="12" w:space="0"/>
            </w:tcBorders>
            <w:noWrap/>
            <w:vAlign w:val="center"/>
          </w:tcPr>
          <w:p w14:paraId="633DB3B0">
            <w:pPr>
              <w:autoSpaceDE w:val="0"/>
              <w:autoSpaceDN w:val="0"/>
              <w:adjustRightInd w:val="0"/>
              <w:snapToGrid w:val="0"/>
              <w:ind w:firstLine="0" w:firstLineChars="0"/>
              <w:jc w:val="center"/>
              <w:rPr>
                <w:rFonts w:hint="eastAsia" w:ascii="仿宋" w:hAnsi="仿宋" w:eastAsia="仿宋" w:cs="仿宋"/>
                <w:color w:val="auto"/>
                <w:sz w:val="24"/>
                <w:szCs w:val="24"/>
                <w:lang w:val="zh-CN"/>
              </w:rPr>
            </w:pPr>
          </w:p>
        </w:tc>
      </w:tr>
    </w:tbl>
    <w:p w14:paraId="0218250F">
      <w:pPr>
        <w:adjustRightInd w:val="0"/>
        <w:snapToGrid w:val="0"/>
        <w:spacing w:before="166" w:beforeLines="50"/>
        <w:ind w:firstLine="482"/>
        <w:rPr>
          <w:rFonts w:hint="eastAsia" w:ascii="仿宋" w:hAnsi="仿宋" w:eastAsia="仿宋" w:cs="仿宋"/>
          <w:color w:val="auto"/>
          <w:sz w:val="24"/>
          <w:szCs w:val="24"/>
        </w:rPr>
      </w:pPr>
      <w:r>
        <w:rPr>
          <w:rFonts w:hint="eastAsia" w:ascii="仿宋" w:hAnsi="仿宋" w:eastAsia="仿宋" w:cs="仿宋"/>
          <w:color w:val="auto"/>
          <w:sz w:val="24"/>
          <w:szCs w:val="24"/>
        </w:rPr>
        <w:t>1.同类项目业绩出具相关证明文件复印件</w:t>
      </w:r>
      <w:r>
        <w:rPr>
          <w:rFonts w:hint="eastAsia" w:ascii="仿宋" w:hAnsi="仿宋" w:eastAsia="仿宋" w:cs="仿宋"/>
          <w:color w:val="auto"/>
          <w:sz w:val="24"/>
          <w:szCs w:val="24"/>
          <w:lang w:val="zh-CN"/>
        </w:rPr>
        <w:t>附后</w:t>
      </w:r>
      <w:r>
        <w:rPr>
          <w:rFonts w:hint="eastAsia" w:ascii="仿宋" w:hAnsi="仿宋" w:eastAsia="仿宋" w:cs="仿宋"/>
          <w:color w:val="auto"/>
          <w:sz w:val="24"/>
          <w:szCs w:val="24"/>
        </w:rPr>
        <w:t>；</w:t>
      </w:r>
    </w:p>
    <w:p w14:paraId="273E59BC">
      <w:pPr>
        <w:tabs>
          <w:tab w:val="left" w:pos="0"/>
        </w:tabs>
        <w:snapToGrid w:val="0"/>
        <w:ind w:firstLine="482"/>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此表不够可自行添加。</w:t>
      </w:r>
    </w:p>
    <w:p w14:paraId="3CD7F276">
      <w:pPr>
        <w:pStyle w:val="49"/>
        <w:snapToGrid w:val="0"/>
        <w:spacing w:line="360" w:lineRule="auto"/>
        <w:ind w:left="0" w:firstLine="420" w:firstLineChars="200"/>
        <w:rPr>
          <w:rFonts w:hint="eastAsia" w:ascii="仿宋" w:hAnsi="仿宋" w:eastAsia="仿宋" w:cs="仿宋"/>
          <w:b/>
          <w:color w:val="auto"/>
        </w:rPr>
      </w:pPr>
      <w:r>
        <w:rPr>
          <w:rFonts w:hint="eastAsia" w:ascii="仿宋" w:hAnsi="仿宋" w:eastAsia="仿宋" w:cs="仿宋"/>
          <w:color w:val="auto"/>
        </w:rPr>
        <w:t xml:space="preserve">                 </w:t>
      </w:r>
    </w:p>
    <w:p w14:paraId="1F4A6EB7">
      <w:pPr>
        <w:ind w:firstLine="482"/>
        <w:jc w:val="right"/>
        <w:rPr>
          <w:rFonts w:hint="eastAsia" w:ascii="仿宋" w:hAnsi="仿宋" w:eastAsia="仿宋" w:cs="仿宋"/>
          <w:color w:val="auto"/>
        </w:rPr>
      </w:pPr>
    </w:p>
    <w:p w14:paraId="5245429C">
      <w:pPr>
        <w:ind w:firstLine="482"/>
        <w:jc w:val="right"/>
        <w:rPr>
          <w:rFonts w:hint="eastAsia" w:ascii="仿宋" w:hAnsi="仿宋" w:eastAsia="仿宋" w:cs="仿宋"/>
          <w:color w:val="auto"/>
        </w:rPr>
      </w:pPr>
    </w:p>
    <w:p w14:paraId="7F8EDCF4">
      <w:pPr>
        <w:ind w:firstLine="482"/>
        <w:jc w:val="right"/>
        <w:rPr>
          <w:rFonts w:hint="eastAsia" w:ascii="仿宋" w:hAnsi="仿宋" w:eastAsia="仿宋" w:cs="仿宋"/>
          <w:color w:val="auto"/>
        </w:rPr>
      </w:pPr>
    </w:p>
    <w:p w14:paraId="57DD911E">
      <w:pPr>
        <w:ind w:firstLine="482"/>
        <w:jc w:val="right"/>
        <w:rPr>
          <w:rFonts w:hint="eastAsia" w:ascii="仿宋" w:hAnsi="仿宋" w:eastAsia="仿宋" w:cs="仿宋"/>
          <w:color w:val="auto"/>
        </w:rPr>
      </w:pPr>
    </w:p>
    <w:p w14:paraId="28C9F3E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42D8444A">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06F093EA">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5F0DB60F">
      <w:pPr>
        <w:ind w:firstLine="0" w:firstLineChars="0"/>
        <w:rPr>
          <w:rFonts w:hint="eastAsia" w:ascii="仿宋" w:hAnsi="仿宋" w:eastAsia="仿宋" w:cs="仿宋"/>
          <w:b/>
          <w:bCs/>
          <w:color w:val="auto"/>
        </w:rPr>
      </w:pPr>
    </w:p>
    <w:p w14:paraId="52516977">
      <w:pPr>
        <w:pStyle w:val="80"/>
        <w:rPr>
          <w:rFonts w:hint="eastAsia" w:ascii="仿宋" w:hAnsi="仿宋" w:eastAsia="仿宋" w:cs="仿宋"/>
          <w:b/>
          <w:bCs/>
          <w:color w:val="auto"/>
        </w:rPr>
      </w:pPr>
    </w:p>
    <w:p w14:paraId="5997C3B4">
      <w:pPr>
        <w:pStyle w:val="80"/>
        <w:rPr>
          <w:rFonts w:hint="eastAsia" w:ascii="仿宋" w:hAnsi="仿宋" w:eastAsia="仿宋" w:cs="仿宋"/>
          <w:b/>
          <w:bCs/>
          <w:color w:val="auto"/>
        </w:rPr>
      </w:pPr>
    </w:p>
    <w:p w14:paraId="5611431B">
      <w:pPr>
        <w:pStyle w:val="80"/>
        <w:rPr>
          <w:rFonts w:hint="eastAsia" w:ascii="仿宋" w:hAnsi="仿宋" w:eastAsia="仿宋" w:cs="仿宋"/>
          <w:b/>
          <w:bCs/>
          <w:color w:val="auto"/>
        </w:rPr>
      </w:pPr>
    </w:p>
    <w:p w14:paraId="58DF97C3">
      <w:pPr>
        <w:pStyle w:val="80"/>
        <w:rPr>
          <w:rFonts w:hint="eastAsia" w:ascii="仿宋" w:hAnsi="仿宋" w:eastAsia="仿宋" w:cs="仿宋"/>
          <w:b/>
          <w:bCs/>
          <w:color w:val="auto"/>
        </w:rPr>
      </w:pPr>
    </w:p>
    <w:p w14:paraId="541F59DD">
      <w:pPr>
        <w:ind w:firstLine="0" w:firstLineChars="0"/>
        <w:rPr>
          <w:rFonts w:hint="eastAsia" w:ascii="仿宋" w:hAnsi="仿宋" w:eastAsia="仿宋" w:cs="仿宋"/>
          <w:b/>
          <w:bCs/>
          <w:color w:val="auto"/>
        </w:rPr>
      </w:pPr>
    </w:p>
    <w:p w14:paraId="4F85BFD5">
      <w:pPr>
        <w:ind w:firstLine="0" w:firstLineChars="0"/>
        <w:rPr>
          <w:rFonts w:hint="eastAsia" w:ascii="仿宋" w:hAnsi="仿宋" w:eastAsia="仿宋" w:cs="仿宋"/>
          <w:b/>
          <w:bCs/>
          <w:color w:val="auto"/>
        </w:rPr>
      </w:pPr>
    </w:p>
    <w:p w14:paraId="76110A98">
      <w:pPr>
        <w:ind w:firstLine="0" w:firstLineChars="0"/>
        <w:rPr>
          <w:rFonts w:hint="eastAsia" w:ascii="仿宋" w:hAnsi="仿宋" w:eastAsia="仿宋" w:cs="仿宋"/>
          <w:b/>
          <w:bCs/>
          <w:color w:val="auto"/>
        </w:rPr>
      </w:pPr>
    </w:p>
    <w:p w14:paraId="62B5C3F9">
      <w:pPr>
        <w:ind w:firstLine="0" w:firstLineChars="0"/>
        <w:rPr>
          <w:rFonts w:hint="eastAsia" w:ascii="仿宋" w:hAnsi="仿宋" w:eastAsia="仿宋" w:cs="仿宋"/>
          <w:b/>
          <w:bCs/>
          <w:color w:val="auto"/>
        </w:rPr>
      </w:pPr>
    </w:p>
    <w:p w14:paraId="7DFD2547">
      <w:pPr>
        <w:ind w:firstLine="0" w:firstLineChars="0"/>
        <w:rPr>
          <w:rFonts w:hint="eastAsia" w:ascii="仿宋" w:hAnsi="仿宋" w:eastAsia="仿宋" w:cs="仿宋"/>
          <w:b/>
          <w:bCs/>
          <w:color w:val="auto"/>
        </w:rPr>
      </w:pPr>
    </w:p>
    <w:p w14:paraId="113EF427">
      <w:pPr>
        <w:ind w:firstLine="0" w:firstLineChars="0"/>
        <w:rPr>
          <w:rFonts w:hint="eastAsia" w:ascii="仿宋" w:hAnsi="仿宋" w:eastAsia="仿宋" w:cs="仿宋"/>
          <w:b/>
          <w:bCs/>
          <w:color w:val="auto"/>
        </w:rPr>
      </w:pPr>
    </w:p>
    <w:p w14:paraId="4BEC7432">
      <w:pPr>
        <w:ind w:firstLine="0" w:firstLineChars="0"/>
        <w:rPr>
          <w:rFonts w:hint="eastAsia" w:ascii="仿宋" w:hAnsi="仿宋" w:eastAsia="仿宋" w:cs="仿宋"/>
          <w:b/>
          <w:bCs/>
          <w:color w:val="auto"/>
        </w:rPr>
      </w:pPr>
    </w:p>
    <w:p w14:paraId="29871F0A">
      <w:pPr>
        <w:ind w:firstLine="0" w:firstLineChars="0"/>
        <w:rPr>
          <w:rFonts w:hint="eastAsia" w:ascii="仿宋" w:hAnsi="仿宋" w:eastAsia="仿宋" w:cs="仿宋"/>
          <w:b/>
          <w:bCs/>
          <w:color w:val="auto"/>
        </w:rPr>
      </w:pPr>
    </w:p>
    <w:p w14:paraId="073EA4A9">
      <w:pPr>
        <w:ind w:firstLine="0" w:firstLineChars="0"/>
        <w:rPr>
          <w:rFonts w:hint="eastAsia" w:ascii="仿宋" w:hAnsi="仿宋" w:eastAsia="仿宋" w:cs="仿宋"/>
          <w:b/>
          <w:bCs/>
          <w:color w:val="auto"/>
        </w:rPr>
      </w:pPr>
    </w:p>
    <w:p w14:paraId="06ACF17D">
      <w:pPr>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9</w:t>
      </w:r>
    </w:p>
    <w:p w14:paraId="066484E6">
      <w:pPr>
        <w:spacing w:line="360" w:lineRule="auto"/>
        <w:ind w:firstLine="725"/>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拟派项目负责人情况表</w:t>
      </w:r>
    </w:p>
    <w:p w14:paraId="1FF77879">
      <w:pPr>
        <w:spacing w:before="17" w:line="240" w:lineRule="auto"/>
        <w:ind w:firstLine="182"/>
        <w:rPr>
          <w:rFonts w:hint="eastAsia" w:ascii="仿宋" w:hAnsi="仿宋" w:eastAsia="仿宋" w:cs="仿宋"/>
          <w:color w:val="auto"/>
          <w:sz w:val="9"/>
          <w:szCs w:val="9"/>
        </w:rPr>
      </w:pPr>
    </w:p>
    <w:tbl>
      <w:tblPr>
        <w:tblStyle w:val="62"/>
        <w:tblW w:w="9447" w:type="dxa"/>
        <w:jc w:val="center"/>
        <w:tblLayout w:type="fixed"/>
        <w:tblCellMar>
          <w:top w:w="0" w:type="dxa"/>
          <w:left w:w="0" w:type="dxa"/>
          <w:bottom w:w="0" w:type="dxa"/>
          <w:right w:w="0" w:type="dxa"/>
        </w:tblCellMar>
      </w:tblPr>
      <w:tblGrid>
        <w:gridCol w:w="2457"/>
        <w:gridCol w:w="2910"/>
        <w:gridCol w:w="4080"/>
      </w:tblGrid>
      <w:tr w14:paraId="5DF0749F">
        <w:tblPrEx>
          <w:tblCellMar>
            <w:top w:w="0" w:type="dxa"/>
            <w:left w:w="0" w:type="dxa"/>
            <w:bottom w:w="0" w:type="dxa"/>
            <w:right w:w="0" w:type="dxa"/>
          </w:tblCellMar>
        </w:tblPrEx>
        <w:trPr>
          <w:trHeight w:val="88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20004280">
            <w:pPr>
              <w:pStyle w:val="958"/>
              <w:spacing w:before="118" w:line="240" w:lineRule="auto"/>
              <w:ind w:right="10"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姓名</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6F92F6AD">
            <w:pPr>
              <w:ind w:firstLine="482"/>
              <w:rPr>
                <w:rFonts w:hint="eastAsia" w:ascii="仿宋" w:hAnsi="仿宋" w:eastAsia="仿宋" w:cs="仿宋"/>
                <w:color w:val="auto"/>
              </w:rPr>
            </w:pPr>
          </w:p>
        </w:tc>
        <w:tc>
          <w:tcPr>
            <w:tcW w:w="4080" w:type="dxa"/>
            <w:tcBorders>
              <w:top w:val="single" w:color="auto" w:sz="4" w:space="0"/>
              <w:left w:val="single" w:color="auto" w:sz="4" w:space="0"/>
              <w:bottom w:val="single" w:color="auto" w:sz="4" w:space="0"/>
              <w:right w:val="single" w:color="auto" w:sz="4" w:space="0"/>
            </w:tcBorders>
            <w:noWrap w:val="0"/>
            <w:vAlign w:val="center"/>
          </w:tcPr>
          <w:p w14:paraId="74345630">
            <w:pPr>
              <w:pStyle w:val="958"/>
              <w:spacing w:before="118"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近年来主要工作业绩</w:t>
            </w:r>
          </w:p>
        </w:tc>
      </w:tr>
      <w:tr w14:paraId="2D7189D7">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75916EB2">
            <w:pPr>
              <w:pStyle w:val="958"/>
              <w:spacing w:before="118" w:line="240" w:lineRule="auto"/>
              <w:ind w:right="10"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性别</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1453AB5E">
            <w:pPr>
              <w:ind w:firstLine="482"/>
              <w:rPr>
                <w:rFonts w:hint="eastAsia" w:ascii="仿宋" w:hAnsi="仿宋" w:eastAsia="仿宋" w:cs="仿宋"/>
                <w:color w:val="auto"/>
              </w:rPr>
            </w:pPr>
          </w:p>
        </w:tc>
        <w:tc>
          <w:tcPr>
            <w:tcW w:w="4080" w:type="dxa"/>
            <w:vMerge w:val="restart"/>
            <w:tcBorders>
              <w:top w:val="single" w:color="auto" w:sz="4" w:space="0"/>
              <w:left w:val="single" w:color="auto" w:sz="4" w:space="0"/>
              <w:bottom w:val="single" w:color="auto" w:sz="4" w:space="0"/>
              <w:right w:val="single" w:color="auto" w:sz="4" w:space="0"/>
            </w:tcBorders>
            <w:noWrap w:val="0"/>
            <w:vAlign w:val="top"/>
          </w:tcPr>
          <w:p w14:paraId="7953CE53">
            <w:pPr>
              <w:pStyle w:val="958"/>
              <w:spacing w:line="240" w:lineRule="auto"/>
              <w:ind w:firstLine="482"/>
              <w:jc w:val="left"/>
              <w:rPr>
                <w:rFonts w:hint="eastAsia" w:ascii="仿宋" w:hAnsi="仿宋" w:eastAsia="仿宋" w:cs="仿宋"/>
                <w:color w:val="auto"/>
                <w:sz w:val="24"/>
              </w:rPr>
            </w:pPr>
          </w:p>
          <w:p w14:paraId="080ED497">
            <w:pPr>
              <w:pStyle w:val="958"/>
              <w:spacing w:line="240" w:lineRule="auto"/>
              <w:ind w:firstLine="482"/>
              <w:jc w:val="left"/>
              <w:rPr>
                <w:rFonts w:hint="eastAsia" w:ascii="仿宋" w:hAnsi="仿宋" w:eastAsia="仿宋" w:cs="仿宋"/>
                <w:color w:val="auto"/>
                <w:sz w:val="24"/>
              </w:rPr>
            </w:pPr>
          </w:p>
          <w:p w14:paraId="7E688E41">
            <w:pPr>
              <w:pStyle w:val="958"/>
              <w:spacing w:line="240" w:lineRule="auto"/>
              <w:ind w:firstLine="482"/>
              <w:jc w:val="left"/>
              <w:rPr>
                <w:rFonts w:hint="eastAsia" w:ascii="仿宋" w:hAnsi="仿宋" w:eastAsia="仿宋" w:cs="仿宋"/>
                <w:color w:val="auto"/>
                <w:sz w:val="24"/>
              </w:rPr>
            </w:pPr>
          </w:p>
          <w:p w14:paraId="3FC3DE36">
            <w:pPr>
              <w:pStyle w:val="958"/>
              <w:spacing w:line="240" w:lineRule="auto"/>
              <w:ind w:firstLine="482"/>
              <w:jc w:val="left"/>
              <w:rPr>
                <w:rFonts w:hint="eastAsia" w:ascii="仿宋" w:hAnsi="仿宋" w:eastAsia="仿宋" w:cs="仿宋"/>
                <w:color w:val="auto"/>
                <w:sz w:val="24"/>
              </w:rPr>
            </w:pPr>
          </w:p>
          <w:p w14:paraId="4718CEC6">
            <w:pPr>
              <w:pStyle w:val="958"/>
              <w:spacing w:line="240" w:lineRule="auto"/>
              <w:ind w:firstLine="482"/>
              <w:jc w:val="left"/>
              <w:rPr>
                <w:rFonts w:hint="eastAsia" w:ascii="仿宋" w:hAnsi="仿宋" w:eastAsia="仿宋" w:cs="仿宋"/>
                <w:color w:val="auto"/>
                <w:sz w:val="24"/>
              </w:rPr>
            </w:pPr>
          </w:p>
          <w:p w14:paraId="750636D9">
            <w:pPr>
              <w:pStyle w:val="958"/>
              <w:spacing w:line="240" w:lineRule="auto"/>
              <w:ind w:firstLine="482"/>
              <w:jc w:val="left"/>
              <w:rPr>
                <w:rFonts w:hint="eastAsia" w:ascii="仿宋" w:hAnsi="仿宋" w:eastAsia="仿宋" w:cs="仿宋"/>
                <w:color w:val="auto"/>
                <w:sz w:val="24"/>
              </w:rPr>
            </w:pPr>
          </w:p>
          <w:p w14:paraId="4770FC68">
            <w:pPr>
              <w:pStyle w:val="958"/>
              <w:spacing w:before="15" w:line="240" w:lineRule="auto"/>
              <w:ind w:firstLine="482"/>
              <w:jc w:val="left"/>
              <w:rPr>
                <w:rFonts w:hint="eastAsia" w:ascii="仿宋" w:hAnsi="仿宋" w:eastAsia="仿宋" w:cs="仿宋"/>
                <w:color w:val="auto"/>
                <w:sz w:val="24"/>
              </w:rPr>
            </w:pPr>
          </w:p>
          <w:p w14:paraId="55087278">
            <w:pPr>
              <w:pStyle w:val="958"/>
              <w:spacing w:before="177" w:line="240" w:lineRule="auto"/>
              <w:ind w:firstLine="0" w:firstLineChars="0"/>
              <w:jc w:val="center"/>
              <w:rPr>
                <w:rFonts w:hint="eastAsia" w:ascii="仿宋" w:hAnsi="仿宋" w:eastAsia="仿宋" w:cs="仿宋"/>
                <w:color w:val="auto"/>
                <w:sz w:val="24"/>
              </w:rPr>
            </w:pPr>
            <w:r>
              <w:rPr>
                <w:rFonts w:hint="eastAsia" w:ascii="仿宋" w:hAnsi="仿宋" w:eastAsia="仿宋" w:cs="仿宋"/>
                <w:color w:val="auto"/>
                <w:sz w:val="24"/>
              </w:rPr>
              <w:t>注：业绩证明应提供</w:t>
            </w:r>
            <w:r>
              <w:rPr>
                <w:rFonts w:hint="eastAsia" w:ascii="仿宋" w:hAnsi="仿宋" w:eastAsia="仿宋" w:cs="仿宋"/>
                <w:color w:val="auto"/>
                <w:sz w:val="24"/>
                <w:lang w:val="en-US" w:eastAsia="zh-CN"/>
              </w:rPr>
              <w:t>相关</w:t>
            </w:r>
            <w:r>
              <w:rPr>
                <w:rFonts w:hint="eastAsia" w:ascii="仿宋" w:hAnsi="仿宋" w:eastAsia="仿宋" w:cs="仿宋"/>
                <w:color w:val="auto"/>
                <w:sz w:val="24"/>
              </w:rPr>
              <w:t>证</w:t>
            </w:r>
            <w:r>
              <w:rPr>
                <w:rFonts w:hint="eastAsia" w:ascii="仿宋" w:hAnsi="仿宋" w:eastAsia="仿宋" w:cs="仿宋"/>
                <w:color w:val="auto"/>
                <w:sz w:val="24"/>
                <w:lang w:val="en-US" w:eastAsia="zh-CN"/>
              </w:rPr>
              <w:t>明</w:t>
            </w:r>
            <w:r>
              <w:rPr>
                <w:rFonts w:hint="eastAsia" w:ascii="仿宋" w:hAnsi="仿宋" w:eastAsia="仿宋" w:cs="仿宋"/>
                <w:color w:val="auto"/>
                <w:sz w:val="24"/>
              </w:rPr>
              <w:t>材料</w:t>
            </w:r>
          </w:p>
        </w:tc>
      </w:tr>
      <w:tr w14:paraId="3970F9D4">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1BB0F828">
            <w:pPr>
              <w:pStyle w:val="958"/>
              <w:spacing w:before="118" w:line="240" w:lineRule="auto"/>
              <w:ind w:right="10"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年龄</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1EDA6884">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6CE79A81">
            <w:pPr>
              <w:ind w:firstLine="482"/>
              <w:rPr>
                <w:rFonts w:hint="eastAsia" w:ascii="仿宋" w:hAnsi="仿宋" w:eastAsia="仿宋" w:cs="仿宋"/>
                <w:color w:val="auto"/>
              </w:rPr>
            </w:pPr>
          </w:p>
        </w:tc>
      </w:tr>
      <w:tr w14:paraId="3D84F38E">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7B7C5E2B">
            <w:pPr>
              <w:pStyle w:val="958"/>
              <w:spacing w:before="116" w:line="240" w:lineRule="auto"/>
              <w:ind w:right="10"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职称</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13CF0D56">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4DF16BBB">
            <w:pPr>
              <w:ind w:firstLine="482"/>
              <w:rPr>
                <w:rFonts w:hint="eastAsia" w:ascii="仿宋" w:hAnsi="仿宋" w:eastAsia="仿宋" w:cs="仿宋"/>
                <w:color w:val="auto"/>
              </w:rPr>
            </w:pPr>
          </w:p>
        </w:tc>
      </w:tr>
      <w:tr w14:paraId="02D6037A">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49AD223A">
            <w:pPr>
              <w:pStyle w:val="958"/>
              <w:spacing w:before="117"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毕业时间</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3DBB31AF">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3A8F9070">
            <w:pPr>
              <w:ind w:firstLine="482"/>
              <w:rPr>
                <w:rFonts w:hint="eastAsia" w:ascii="仿宋" w:hAnsi="仿宋" w:eastAsia="仿宋" w:cs="仿宋"/>
                <w:color w:val="auto"/>
              </w:rPr>
            </w:pPr>
          </w:p>
        </w:tc>
      </w:tr>
      <w:tr w14:paraId="6ACC2212">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4D379EBD">
            <w:pPr>
              <w:pStyle w:val="958"/>
              <w:spacing w:before="118"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学校专业</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2DFFB9AE">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09551FF1">
            <w:pPr>
              <w:ind w:firstLine="482"/>
              <w:rPr>
                <w:rFonts w:hint="eastAsia" w:ascii="仿宋" w:hAnsi="仿宋" w:eastAsia="仿宋" w:cs="仿宋"/>
                <w:color w:val="auto"/>
              </w:rPr>
            </w:pPr>
          </w:p>
        </w:tc>
      </w:tr>
      <w:tr w14:paraId="7CBF431C">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7E492B5D">
            <w:pPr>
              <w:pStyle w:val="958"/>
              <w:spacing w:before="118"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联系电话</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3EBDAAE0">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19E56F6B">
            <w:pPr>
              <w:ind w:firstLine="482"/>
              <w:rPr>
                <w:rFonts w:hint="eastAsia" w:ascii="仿宋" w:hAnsi="仿宋" w:eastAsia="仿宋" w:cs="仿宋"/>
                <w:color w:val="auto"/>
              </w:rPr>
            </w:pPr>
          </w:p>
        </w:tc>
      </w:tr>
      <w:tr w14:paraId="3C0A0773">
        <w:tblPrEx>
          <w:tblCellMar>
            <w:top w:w="0" w:type="dxa"/>
            <w:left w:w="0" w:type="dxa"/>
            <w:bottom w:w="0" w:type="dxa"/>
            <w:right w:w="0" w:type="dxa"/>
          </w:tblCellMar>
        </w:tblPrEx>
        <w:trPr>
          <w:trHeight w:val="873"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403C5FB2">
            <w:pPr>
              <w:pStyle w:val="958"/>
              <w:spacing w:before="116"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最近一年工作状况</w:t>
            </w:r>
          </w:p>
        </w:tc>
        <w:tc>
          <w:tcPr>
            <w:tcW w:w="2910" w:type="dxa"/>
            <w:tcBorders>
              <w:top w:val="single" w:color="auto" w:sz="4" w:space="0"/>
              <w:left w:val="single" w:color="auto" w:sz="4" w:space="0"/>
              <w:bottom w:val="single" w:color="auto" w:sz="4" w:space="0"/>
              <w:right w:val="single" w:color="auto" w:sz="4" w:space="0"/>
            </w:tcBorders>
            <w:noWrap w:val="0"/>
            <w:vAlign w:val="top"/>
          </w:tcPr>
          <w:p w14:paraId="3EA610CE">
            <w:pPr>
              <w:ind w:firstLine="482"/>
              <w:rPr>
                <w:rFonts w:hint="eastAsia" w:ascii="仿宋" w:hAnsi="仿宋" w:eastAsia="仿宋" w:cs="仿宋"/>
                <w:color w:val="auto"/>
              </w:rPr>
            </w:pPr>
          </w:p>
        </w:tc>
        <w:tc>
          <w:tcPr>
            <w:tcW w:w="4080" w:type="dxa"/>
            <w:vMerge w:val="continue"/>
            <w:tcBorders>
              <w:top w:val="single" w:color="auto" w:sz="4" w:space="0"/>
              <w:left w:val="single" w:color="auto" w:sz="4" w:space="0"/>
              <w:bottom w:val="single" w:color="auto" w:sz="4" w:space="0"/>
              <w:right w:val="single" w:color="auto" w:sz="4" w:space="0"/>
            </w:tcBorders>
            <w:noWrap w:val="0"/>
            <w:vAlign w:val="top"/>
          </w:tcPr>
          <w:p w14:paraId="5E5A407D">
            <w:pPr>
              <w:ind w:firstLine="482"/>
              <w:rPr>
                <w:rFonts w:hint="eastAsia" w:ascii="仿宋" w:hAnsi="仿宋" w:eastAsia="仿宋" w:cs="仿宋"/>
                <w:color w:val="auto"/>
              </w:rPr>
            </w:pPr>
          </w:p>
        </w:tc>
      </w:tr>
      <w:tr w14:paraId="6D2F47D0">
        <w:tblPrEx>
          <w:tblCellMar>
            <w:top w:w="0" w:type="dxa"/>
            <w:left w:w="0" w:type="dxa"/>
            <w:bottom w:w="0" w:type="dxa"/>
            <w:right w:w="0" w:type="dxa"/>
          </w:tblCellMar>
        </w:tblPrEx>
        <w:trPr>
          <w:trHeight w:val="1101" w:hRule="exac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2AD8B467">
            <w:pPr>
              <w:pStyle w:val="958"/>
              <w:spacing w:line="319" w:lineRule="exact"/>
              <w:ind w:right="7"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拟在本项目中担任</w:t>
            </w:r>
          </w:p>
          <w:p w14:paraId="24DA88BC">
            <w:pPr>
              <w:pStyle w:val="958"/>
              <w:spacing w:before="177" w:line="240" w:lineRule="auto"/>
              <w:ind w:right="7"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主要工作</w:t>
            </w:r>
          </w:p>
        </w:tc>
        <w:tc>
          <w:tcPr>
            <w:tcW w:w="6990" w:type="dxa"/>
            <w:gridSpan w:val="2"/>
            <w:tcBorders>
              <w:top w:val="single" w:color="auto" w:sz="4" w:space="0"/>
              <w:left w:val="single" w:color="auto" w:sz="4" w:space="0"/>
              <w:bottom w:val="single" w:color="auto" w:sz="4" w:space="0"/>
              <w:right w:val="single" w:color="auto" w:sz="4" w:space="0"/>
            </w:tcBorders>
            <w:noWrap w:val="0"/>
            <w:vAlign w:val="top"/>
          </w:tcPr>
          <w:p w14:paraId="72231614">
            <w:pPr>
              <w:ind w:firstLine="482"/>
              <w:rPr>
                <w:rFonts w:hint="eastAsia" w:ascii="仿宋" w:hAnsi="仿宋" w:eastAsia="仿宋" w:cs="仿宋"/>
                <w:color w:val="auto"/>
              </w:rPr>
            </w:pPr>
          </w:p>
        </w:tc>
      </w:tr>
    </w:tbl>
    <w:p w14:paraId="0F3266AC">
      <w:pPr>
        <w:spacing w:before="11" w:line="240" w:lineRule="auto"/>
        <w:ind w:firstLine="122"/>
        <w:rPr>
          <w:rFonts w:hint="eastAsia" w:ascii="仿宋" w:hAnsi="仿宋" w:eastAsia="仿宋" w:cs="仿宋"/>
          <w:color w:val="auto"/>
          <w:sz w:val="6"/>
          <w:szCs w:val="6"/>
        </w:rPr>
      </w:pPr>
    </w:p>
    <w:p w14:paraId="2FE1ADA8">
      <w:pPr>
        <w:spacing w:line="360" w:lineRule="auto"/>
        <w:ind w:firstLine="0" w:firstLineChars="0"/>
        <w:rPr>
          <w:rFonts w:hint="eastAsia" w:ascii="仿宋" w:hAnsi="仿宋" w:eastAsia="仿宋" w:cs="仿宋"/>
          <w:b/>
          <w:bCs/>
          <w:color w:val="auto"/>
        </w:rPr>
      </w:pPr>
    </w:p>
    <w:p w14:paraId="6C273CB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004D54D3">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22343D55">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46D4E8BE">
      <w:pPr>
        <w:pStyle w:val="80"/>
        <w:rPr>
          <w:rFonts w:hint="eastAsia" w:ascii="仿宋" w:hAnsi="仿宋" w:eastAsia="仿宋" w:cs="仿宋"/>
          <w:color w:val="auto"/>
        </w:rPr>
      </w:pPr>
    </w:p>
    <w:p w14:paraId="52194545">
      <w:pPr>
        <w:spacing w:line="360" w:lineRule="auto"/>
        <w:ind w:firstLine="0" w:firstLineChars="0"/>
        <w:rPr>
          <w:rFonts w:hint="eastAsia" w:ascii="仿宋" w:hAnsi="仿宋" w:eastAsia="仿宋" w:cs="仿宋"/>
          <w:b/>
          <w:bCs/>
          <w:color w:val="auto"/>
        </w:rPr>
      </w:pPr>
    </w:p>
    <w:p w14:paraId="32E2D99D">
      <w:pPr>
        <w:pStyle w:val="80"/>
        <w:rPr>
          <w:rFonts w:hint="eastAsia" w:ascii="仿宋" w:hAnsi="仿宋" w:eastAsia="仿宋" w:cs="仿宋"/>
          <w:b/>
          <w:bCs/>
          <w:color w:val="auto"/>
        </w:rPr>
      </w:pPr>
    </w:p>
    <w:p w14:paraId="1C89F8A9">
      <w:pPr>
        <w:pStyle w:val="80"/>
        <w:rPr>
          <w:rFonts w:hint="eastAsia" w:ascii="仿宋" w:hAnsi="仿宋" w:eastAsia="仿宋" w:cs="仿宋"/>
          <w:b/>
          <w:bCs/>
          <w:color w:val="auto"/>
        </w:rPr>
      </w:pPr>
    </w:p>
    <w:p w14:paraId="3F9D4652">
      <w:pPr>
        <w:spacing w:line="360" w:lineRule="auto"/>
        <w:ind w:firstLine="0" w:firstLineChars="0"/>
        <w:rPr>
          <w:rFonts w:hint="eastAsia" w:ascii="仿宋" w:hAnsi="仿宋" w:eastAsia="仿宋" w:cs="仿宋"/>
          <w:b/>
          <w:bCs/>
          <w:color w:val="auto"/>
        </w:rPr>
      </w:pPr>
    </w:p>
    <w:p w14:paraId="386C603C">
      <w:pPr>
        <w:spacing w:line="360" w:lineRule="auto"/>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10</w:t>
      </w:r>
    </w:p>
    <w:p w14:paraId="5ED6B073">
      <w:pPr>
        <w:spacing w:line="360" w:lineRule="auto"/>
        <w:ind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拟派项目实施人员一览表</w:t>
      </w:r>
    </w:p>
    <w:tbl>
      <w:tblPr>
        <w:tblStyle w:val="62"/>
        <w:tblW w:w="9627" w:type="dxa"/>
        <w:jc w:val="center"/>
        <w:tblLayout w:type="fixed"/>
        <w:tblCellMar>
          <w:top w:w="0" w:type="dxa"/>
          <w:left w:w="0" w:type="dxa"/>
          <w:bottom w:w="0" w:type="dxa"/>
          <w:right w:w="0" w:type="dxa"/>
        </w:tblCellMar>
      </w:tblPr>
      <w:tblGrid>
        <w:gridCol w:w="690"/>
        <w:gridCol w:w="1530"/>
        <w:gridCol w:w="819"/>
        <w:gridCol w:w="720"/>
        <w:gridCol w:w="1575"/>
        <w:gridCol w:w="1290"/>
        <w:gridCol w:w="1365"/>
        <w:gridCol w:w="1638"/>
      </w:tblGrid>
      <w:tr w14:paraId="4F8567D2">
        <w:tblPrEx>
          <w:tblCellMar>
            <w:top w:w="0" w:type="dxa"/>
            <w:left w:w="0" w:type="dxa"/>
            <w:bottom w:w="0" w:type="dxa"/>
            <w:right w:w="0" w:type="dxa"/>
          </w:tblCellMar>
        </w:tblPrEx>
        <w:trPr>
          <w:trHeight w:val="1451"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31AA63">
            <w:pPr>
              <w:pStyle w:val="958"/>
              <w:spacing w:line="357"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CF4851D">
            <w:pPr>
              <w:pStyle w:val="958"/>
              <w:spacing w:line="357"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姓名</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016E43B">
            <w:pPr>
              <w:pStyle w:val="958"/>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职务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4B458E">
            <w:pPr>
              <w:pStyle w:val="958"/>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职责</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75B672A">
            <w:pPr>
              <w:pStyle w:val="958"/>
              <w:spacing w:line="357"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专业技术资格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F49B6E">
            <w:pPr>
              <w:pStyle w:val="958"/>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证书编号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94CDD5">
            <w:pPr>
              <w:pStyle w:val="958"/>
              <w:spacing w:line="357"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参加本单位工作时间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F7608BB">
            <w:pPr>
              <w:pStyle w:val="958"/>
              <w:spacing w:line="240" w:lineRule="auto"/>
              <w:ind w:firstLine="0" w:firstLineChars="0"/>
              <w:jc w:val="center"/>
              <w:rPr>
                <w:rFonts w:hint="eastAsia" w:ascii="仿宋" w:hAnsi="仿宋" w:eastAsia="仿宋" w:cs="仿宋"/>
                <w:color w:val="auto"/>
                <w:sz w:val="24"/>
              </w:rPr>
            </w:pPr>
            <w:r>
              <w:rPr>
                <w:rFonts w:hint="eastAsia" w:ascii="仿宋" w:hAnsi="仿宋" w:eastAsia="仿宋" w:cs="仿宋"/>
                <w:b/>
                <w:bCs/>
                <w:color w:val="auto"/>
                <w:sz w:val="24"/>
              </w:rPr>
              <w:t>劳动合同编号</w:t>
            </w:r>
          </w:p>
        </w:tc>
      </w:tr>
      <w:tr w14:paraId="318CD973">
        <w:tblPrEx>
          <w:tblCellMar>
            <w:top w:w="0" w:type="dxa"/>
            <w:left w:w="0" w:type="dxa"/>
            <w:bottom w:w="0" w:type="dxa"/>
            <w:right w:w="0" w:type="dxa"/>
          </w:tblCellMar>
        </w:tblPrEx>
        <w:trPr>
          <w:trHeight w:val="833"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5696A2A5">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4FEF521C">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0AD0E886">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92E1FD0">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7E409826">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54182926">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6BF74DAB">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445314A0">
            <w:pPr>
              <w:ind w:firstLine="482"/>
              <w:jc w:val="center"/>
              <w:rPr>
                <w:rFonts w:hint="eastAsia" w:ascii="仿宋" w:hAnsi="仿宋" w:eastAsia="仿宋" w:cs="仿宋"/>
                <w:color w:val="auto"/>
              </w:rPr>
            </w:pPr>
          </w:p>
        </w:tc>
      </w:tr>
      <w:tr w14:paraId="71153AB7">
        <w:tblPrEx>
          <w:tblCellMar>
            <w:top w:w="0" w:type="dxa"/>
            <w:left w:w="0" w:type="dxa"/>
            <w:bottom w:w="0" w:type="dxa"/>
            <w:right w:w="0" w:type="dxa"/>
          </w:tblCellMar>
        </w:tblPrEx>
        <w:trPr>
          <w:trHeight w:val="834"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167C9D64">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32DA3ECB">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419B52BB">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53DC8CB">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8EF3EF5">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5EC4290C">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07A5EE6F">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5665ED54">
            <w:pPr>
              <w:ind w:firstLine="482"/>
              <w:jc w:val="center"/>
              <w:rPr>
                <w:rFonts w:hint="eastAsia" w:ascii="仿宋" w:hAnsi="仿宋" w:eastAsia="仿宋" w:cs="仿宋"/>
                <w:color w:val="auto"/>
              </w:rPr>
            </w:pPr>
          </w:p>
        </w:tc>
      </w:tr>
      <w:tr w14:paraId="57A80067">
        <w:tblPrEx>
          <w:tblCellMar>
            <w:top w:w="0" w:type="dxa"/>
            <w:left w:w="0" w:type="dxa"/>
            <w:bottom w:w="0" w:type="dxa"/>
            <w:right w:w="0" w:type="dxa"/>
          </w:tblCellMar>
        </w:tblPrEx>
        <w:trPr>
          <w:trHeight w:val="833"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2F94DF34">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0E134E55">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6EF04D41">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8BFC66C">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D412557">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124D21A">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5B5F673C">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50BD5B63">
            <w:pPr>
              <w:ind w:firstLine="482"/>
              <w:jc w:val="center"/>
              <w:rPr>
                <w:rFonts w:hint="eastAsia" w:ascii="仿宋" w:hAnsi="仿宋" w:eastAsia="仿宋" w:cs="仿宋"/>
                <w:color w:val="auto"/>
              </w:rPr>
            </w:pPr>
          </w:p>
        </w:tc>
      </w:tr>
      <w:tr w14:paraId="583EBC13">
        <w:tblPrEx>
          <w:tblCellMar>
            <w:top w:w="0" w:type="dxa"/>
            <w:left w:w="0" w:type="dxa"/>
            <w:bottom w:w="0" w:type="dxa"/>
            <w:right w:w="0" w:type="dxa"/>
          </w:tblCellMar>
        </w:tblPrEx>
        <w:trPr>
          <w:trHeight w:val="834"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0F381A5B">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22628154">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3BC9C142">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02A3121">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688970D">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94DA602">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1F2B2504">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77040BF5">
            <w:pPr>
              <w:ind w:firstLine="482"/>
              <w:jc w:val="center"/>
              <w:rPr>
                <w:rFonts w:hint="eastAsia" w:ascii="仿宋" w:hAnsi="仿宋" w:eastAsia="仿宋" w:cs="仿宋"/>
                <w:color w:val="auto"/>
              </w:rPr>
            </w:pPr>
          </w:p>
        </w:tc>
      </w:tr>
      <w:tr w14:paraId="24DDAFF9">
        <w:tblPrEx>
          <w:tblCellMar>
            <w:top w:w="0" w:type="dxa"/>
            <w:left w:w="0" w:type="dxa"/>
            <w:bottom w:w="0" w:type="dxa"/>
            <w:right w:w="0" w:type="dxa"/>
          </w:tblCellMar>
        </w:tblPrEx>
        <w:trPr>
          <w:trHeight w:val="834"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1E455BA6">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5868DB97">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0B30008A">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815A157">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ADFBEC6">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6C934BE">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7103C421">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7D2E19F3">
            <w:pPr>
              <w:ind w:firstLine="482"/>
              <w:jc w:val="center"/>
              <w:rPr>
                <w:rFonts w:hint="eastAsia" w:ascii="仿宋" w:hAnsi="仿宋" w:eastAsia="仿宋" w:cs="仿宋"/>
                <w:color w:val="auto"/>
              </w:rPr>
            </w:pPr>
          </w:p>
        </w:tc>
      </w:tr>
      <w:tr w14:paraId="47145F43">
        <w:tblPrEx>
          <w:tblCellMar>
            <w:top w:w="0" w:type="dxa"/>
            <w:left w:w="0" w:type="dxa"/>
            <w:bottom w:w="0" w:type="dxa"/>
            <w:right w:w="0" w:type="dxa"/>
          </w:tblCellMar>
        </w:tblPrEx>
        <w:trPr>
          <w:trHeight w:val="833" w:hRule="exact"/>
          <w:jc w:val="center"/>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4020E4ED">
            <w:pPr>
              <w:ind w:firstLine="482"/>
              <w:jc w:val="center"/>
              <w:rPr>
                <w:rFonts w:hint="eastAsia" w:ascii="仿宋" w:hAnsi="仿宋" w:eastAsia="仿宋" w:cs="仿宋"/>
                <w:color w:val="auto"/>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603C18EB">
            <w:pPr>
              <w:ind w:firstLine="482"/>
              <w:jc w:val="center"/>
              <w:rPr>
                <w:rFonts w:hint="eastAsia" w:ascii="仿宋" w:hAnsi="仿宋" w:eastAsia="仿宋" w:cs="仿宋"/>
                <w:color w:val="auto"/>
              </w:rPr>
            </w:pPr>
          </w:p>
        </w:tc>
        <w:tc>
          <w:tcPr>
            <w:tcW w:w="819" w:type="dxa"/>
            <w:tcBorders>
              <w:top w:val="single" w:color="000000" w:sz="4" w:space="0"/>
              <w:left w:val="single" w:color="000000" w:sz="4" w:space="0"/>
              <w:bottom w:val="single" w:color="000000" w:sz="4" w:space="0"/>
              <w:right w:val="single" w:color="000000" w:sz="4" w:space="0"/>
            </w:tcBorders>
            <w:noWrap w:val="0"/>
            <w:vAlign w:val="top"/>
          </w:tcPr>
          <w:p w14:paraId="560328A3">
            <w:pPr>
              <w:ind w:firstLine="482"/>
              <w:jc w:val="center"/>
              <w:rPr>
                <w:rFonts w:hint="eastAsia" w:ascii="仿宋" w:hAnsi="仿宋" w:eastAsia="仿宋" w:cs="仿宋"/>
                <w:color w:val="auto"/>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3B730C3">
            <w:pPr>
              <w:ind w:firstLine="482"/>
              <w:jc w:val="center"/>
              <w:rPr>
                <w:rFonts w:hint="eastAsia" w:ascii="仿宋" w:hAnsi="仿宋" w:eastAsia="仿宋" w:cs="仿宋"/>
                <w:color w:val="auto"/>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389099CF">
            <w:pPr>
              <w:ind w:firstLine="482"/>
              <w:jc w:val="center"/>
              <w:rPr>
                <w:rFonts w:hint="eastAsia" w:ascii="仿宋" w:hAnsi="仿宋" w:eastAsia="仿宋" w:cs="仿宋"/>
                <w:color w:val="auto"/>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16953E9">
            <w:pPr>
              <w:ind w:firstLine="482"/>
              <w:jc w:val="center"/>
              <w:rPr>
                <w:rFonts w:hint="eastAsia" w:ascii="仿宋" w:hAnsi="仿宋" w:eastAsia="仿宋" w:cs="仿宋"/>
                <w:color w:val="auto"/>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14:paraId="5EB6EFD0">
            <w:pPr>
              <w:ind w:firstLine="482"/>
              <w:jc w:val="center"/>
              <w:rPr>
                <w:rFonts w:hint="eastAsia" w:ascii="仿宋" w:hAnsi="仿宋" w:eastAsia="仿宋" w:cs="仿宋"/>
                <w:color w:val="auto"/>
              </w:rPr>
            </w:pPr>
          </w:p>
        </w:tc>
        <w:tc>
          <w:tcPr>
            <w:tcW w:w="1638" w:type="dxa"/>
            <w:tcBorders>
              <w:top w:val="single" w:color="000000" w:sz="4" w:space="0"/>
              <w:left w:val="single" w:color="000000" w:sz="4" w:space="0"/>
              <w:bottom w:val="single" w:color="000000" w:sz="4" w:space="0"/>
              <w:right w:val="single" w:color="000000" w:sz="4" w:space="0"/>
            </w:tcBorders>
            <w:noWrap w:val="0"/>
            <w:vAlign w:val="top"/>
          </w:tcPr>
          <w:p w14:paraId="396E4355">
            <w:pPr>
              <w:ind w:firstLine="482"/>
              <w:jc w:val="center"/>
              <w:rPr>
                <w:rFonts w:hint="eastAsia" w:ascii="仿宋" w:hAnsi="仿宋" w:eastAsia="仿宋" w:cs="仿宋"/>
                <w:color w:val="auto"/>
              </w:rPr>
            </w:pPr>
          </w:p>
        </w:tc>
      </w:tr>
    </w:tbl>
    <w:p w14:paraId="6380DB20">
      <w:pPr>
        <w:spacing w:line="323" w:lineRule="exact"/>
        <w:ind w:right="345" w:firstLine="0" w:firstLineChars="0"/>
        <w:jc w:val="left"/>
        <w:rPr>
          <w:rFonts w:hint="eastAsia" w:ascii="仿宋" w:hAnsi="仿宋" w:eastAsia="仿宋" w:cs="仿宋"/>
          <w:b/>
          <w:bCs/>
          <w:color w:val="auto"/>
        </w:rPr>
      </w:pPr>
    </w:p>
    <w:p w14:paraId="40747864">
      <w:pPr>
        <w:keepNext w:val="0"/>
        <w:keepLines w:val="0"/>
        <w:pageBreakBefore w:val="0"/>
        <w:widowControl w:val="0"/>
        <w:kinsoku/>
        <w:wordWrap/>
        <w:overflowPunct/>
        <w:topLinePunct w:val="0"/>
        <w:autoSpaceDE/>
        <w:autoSpaceDN/>
        <w:bidi w:val="0"/>
        <w:adjustRightInd w:val="0"/>
        <w:snapToGrid/>
        <w:spacing w:line="500" w:lineRule="exact"/>
        <w:ind w:left="0" w:right="0" w:firstLine="484"/>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002AF316">
      <w:pPr>
        <w:keepNext w:val="0"/>
        <w:keepLines w:val="0"/>
        <w:pageBreakBefore w:val="0"/>
        <w:widowControl w:val="0"/>
        <w:kinsoku/>
        <w:wordWrap/>
        <w:overflowPunct/>
        <w:topLinePunct w:val="0"/>
        <w:autoSpaceDE/>
        <w:autoSpaceDN/>
        <w:bidi w:val="0"/>
        <w:adjustRightInd w:val="0"/>
        <w:snapToGrid/>
        <w:spacing w:line="500" w:lineRule="exact"/>
        <w:ind w:left="0" w:right="0" w:firstLine="48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1.在填写时，如本表格不适合投标人的实际情况，可根据本表格式自行划表填写。</w:t>
      </w:r>
    </w:p>
    <w:p w14:paraId="4A67042B">
      <w:pPr>
        <w:keepNext w:val="0"/>
        <w:keepLines w:val="0"/>
        <w:pageBreakBefore w:val="0"/>
        <w:widowControl w:val="0"/>
        <w:kinsoku/>
        <w:wordWrap/>
        <w:overflowPunct/>
        <w:topLinePunct w:val="0"/>
        <w:autoSpaceDE/>
        <w:autoSpaceDN/>
        <w:bidi w:val="0"/>
        <w:adjustRightInd w:val="0"/>
        <w:snapToGrid/>
        <w:spacing w:line="500" w:lineRule="exact"/>
        <w:ind w:left="0" w:right="0" w:firstLine="48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2.附人员证书复印件；</w:t>
      </w:r>
    </w:p>
    <w:p w14:paraId="615E38E0">
      <w:pPr>
        <w:pStyle w:val="23"/>
        <w:tabs>
          <w:tab w:val="left" w:pos="1839"/>
        </w:tabs>
        <w:spacing w:line="363" w:lineRule="auto"/>
        <w:ind w:firstLine="5280" w:firstLineChars="2200"/>
        <w:rPr>
          <w:rFonts w:hint="eastAsia" w:ascii="仿宋" w:hAnsi="仿宋" w:eastAsia="仿宋" w:cs="仿宋"/>
          <w:color w:val="auto"/>
        </w:rPr>
      </w:pPr>
    </w:p>
    <w:p w14:paraId="5449B5C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162AB883">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453E7C5F">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0CD79F1B">
      <w:pPr>
        <w:spacing w:line="360" w:lineRule="auto"/>
        <w:jc w:val="center"/>
        <w:outlineLvl w:val="0"/>
        <w:rPr>
          <w:rFonts w:hint="eastAsia" w:ascii="仿宋" w:hAnsi="仿宋" w:eastAsia="仿宋" w:cs="仿宋"/>
          <w:b/>
          <w:color w:val="auto"/>
          <w:kern w:val="0"/>
          <w:sz w:val="36"/>
          <w:szCs w:val="36"/>
        </w:rPr>
      </w:pPr>
    </w:p>
    <w:p w14:paraId="2FA720A1">
      <w:pPr>
        <w:pStyle w:val="80"/>
        <w:rPr>
          <w:rFonts w:hint="eastAsia" w:ascii="仿宋" w:hAnsi="仿宋" w:eastAsia="仿宋" w:cs="仿宋"/>
          <w:b/>
          <w:color w:val="auto"/>
          <w:kern w:val="0"/>
          <w:sz w:val="36"/>
          <w:szCs w:val="36"/>
        </w:rPr>
      </w:pPr>
    </w:p>
    <w:p w14:paraId="58DC229A">
      <w:pPr>
        <w:pStyle w:val="80"/>
        <w:rPr>
          <w:rFonts w:hint="eastAsia" w:ascii="仿宋" w:hAnsi="仿宋" w:eastAsia="仿宋" w:cs="仿宋"/>
          <w:b/>
          <w:color w:val="auto"/>
          <w:kern w:val="0"/>
          <w:sz w:val="36"/>
          <w:szCs w:val="36"/>
        </w:rPr>
      </w:pPr>
    </w:p>
    <w:p w14:paraId="02E571DD">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39244909">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w:t>
      </w:r>
      <w:r>
        <w:rPr>
          <w:rFonts w:hint="eastAsia" w:ascii="仿宋" w:hAnsi="仿宋" w:eastAsia="仿宋" w:cs="仿宋"/>
          <w:b/>
          <w:color w:val="auto"/>
          <w:kern w:val="0"/>
          <w:sz w:val="36"/>
          <w:szCs w:val="36"/>
          <w:lang w:val="en-US" w:eastAsia="zh-CN"/>
        </w:rPr>
        <w:t xml:space="preserve"> </w:t>
      </w:r>
      <w:r>
        <w:rPr>
          <w:rFonts w:hint="eastAsia" w:ascii="仿宋" w:hAnsi="仿宋" w:eastAsia="仿宋" w:cs="仿宋"/>
          <w:b/>
          <w:color w:val="auto"/>
          <w:kern w:val="0"/>
          <w:sz w:val="36"/>
          <w:szCs w:val="36"/>
        </w:rPr>
        <w:t>录</w:t>
      </w:r>
    </w:p>
    <w:p w14:paraId="3713DA22">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1.开标一览表（报价表）（见附件11）</w:t>
      </w:r>
    </w:p>
    <w:p w14:paraId="0D69755F">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2.报价明细表（见附件12）</w:t>
      </w:r>
    </w:p>
    <w:p w14:paraId="462C4405">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3.投标人针对报价需要说明的其他文件和说明</w:t>
      </w:r>
    </w:p>
    <w:p w14:paraId="4743828A">
      <w:pPr>
        <w:snapToGrid w:val="0"/>
        <w:spacing w:line="360" w:lineRule="auto"/>
        <w:ind w:right="480"/>
        <w:jc w:val="center"/>
        <w:rPr>
          <w:rFonts w:hint="eastAsia" w:ascii="仿宋" w:hAnsi="仿宋" w:eastAsia="仿宋" w:cs="仿宋"/>
          <w:b/>
          <w:color w:val="auto"/>
          <w:kern w:val="0"/>
          <w:sz w:val="32"/>
          <w:szCs w:val="32"/>
        </w:rPr>
      </w:pPr>
    </w:p>
    <w:p w14:paraId="094B9DC0">
      <w:pPr>
        <w:snapToGrid w:val="0"/>
        <w:spacing w:line="360" w:lineRule="auto"/>
        <w:ind w:right="480"/>
        <w:jc w:val="center"/>
        <w:rPr>
          <w:rFonts w:hint="eastAsia" w:ascii="仿宋" w:hAnsi="仿宋" w:eastAsia="仿宋" w:cs="仿宋"/>
          <w:b/>
          <w:color w:val="auto"/>
          <w:kern w:val="0"/>
          <w:sz w:val="32"/>
          <w:szCs w:val="32"/>
        </w:rPr>
      </w:pPr>
    </w:p>
    <w:p w14:paraId="771F7812">
      <w:pPr>
        <w:snapToGrid w:val="0"/>
        <w:spacing w:line="360" w:lineRule="auto"/>
        <w:ind w:right="480"/>
        <w:jc w:val="center"/>
        <w:rPr>
          <w:rFonts w:hint="eastAsia" w:ascii="仿宋" w:hAnsi="仿宋" w:eastAsia="仿宋" w:cs="仿宋"/>
          <w:b/>
          <w:color w:val="auto"/>
          <w:kern w:val="0"/>
          <w:sz w:val="32"/>
          <w:szCs w:val="32"/>
        </w:rPr>
      </w:pPr>
    </w:p>
    <w:p w14:paraId="31FE0878">
      <w:pPr>
        <w:snapToGrid w:val="0"/>
        <w:spacing w:line="360" w:lineRule="auto"/>
        <w:ind w:right="480"/>
        <w:jc w:val="center"/>
        <w:rPr>
          <w:rFonts w:hint="eastAsia" w:ascii="仿宋" w:hAnsi="仿宋" w:eastAsia="仿宋" w:cs="仿宋"/>
          <w:b/>
          <w:color w:val="auto"/>
          <w:kern w:val="0"/>
          <w:sz w:val="32"/>
          <w:szCs w:val="32"/>
        </w:rPr>
      </w:pPr>
    </w:p>
    <w:p w14:paraId="18302DE0">
      <w:pPr>
        <w:snapToGrid w:val="0"/>
        <w:spacing w:line="360" w:lineRule="auto"/>
        <w:ind w:right="480"/>
        <w:jc w:val="center"/>
        <w:rPr>
          <w:rFonts w:hint="eastAsia" w:ascii="仿宋" w:hAnsi="仿宋" w:eastAsia="仿宋" w:cs="仿宋"/>
          <w:b/>
          <w:color w:val="auto"/>
          <w:kern w:val="0"/>
          <w:sz w:val="32"/>
          <w:szCs w:val="32"/>
        </w:rPr>
      </w:pPr>
    </w:p>
    <w:p w14:paraId="4856D76D">
      <w:pPr>
        <w:snapToGrid w:val="0"/>
        <w:spacing w:line="360" w:lineRule="auto"/>
        <w:ind w:right="480"/>
        <w:jc w:val="center"/>
        <w:rPr>
          <w:rFonts w:hint="eastAsia" w:ascii="仿宋" w:hAnsi="仿宋" w:eastAsia="仿宋" w:cs="仿宋"/>
          <w:b/>
          <w:color w:val="auto"/>
          <w:kern w:val="0"/>
          <w:sz w:val="32"/>
          <w:szCs w:val="32"/>
        </w:rPr>
      </w:pPr>
    </w:p>
    <w:p w14:paraId="7823D3DC">
      <w:pPr>
        <w:snapToGrid w:val="0"/>
        <w:spacing w:line="360" w:lineRule="auto"/>
        <w:ind w:right="480"/>
        <w:jc w:val="center"/>
        <w:rPr>
          <w:rFonts w:hint="eastAsia" w:ascii="仿宋" w:hAnsi="仿宋" w:eastAsia="仿宋" w:cs="仿宋"/>
          <w:b/>
          <w:color w:val="auto"/>
          <w:kern w:val="0"/>
          <w:sz w:val="32"/>
          <w:szCs w:val="32"/>
        </w:rPr>
      </w:pPr>
    </w:p>
    <w:p w14:paraId="5B87031D">
      <w:pPr>
        <w:snapToGrid w:val="0"/>
        <w:spacing w:line="360" w:lineRule="auto"/>
        <w:ind w:right="480"/>
        <w:jc w:val="center"/>
        <w:rPr>
          <w:rFonts w:hint="eastAsia" w:ascii="仿宋" w:hAnsi="仿宋" w:eastAsia="仿宋" w:cs="仿宋"/>
          <w:b/>
          <w:color w:val="auto"/>
          <w:kern w:val="0"/>
          <w:sz w:val="32"/>
          <w:szCs w:val="32"/>
        </w:rPr>
      </w:pPr>
    </w:p>
    <w:p w14:paraId="0F13E436">
      <w:pPr>
        <w:snapToGrid w:val="0"/>
        <w:spacing w:line="360" w:lineRule="auto"/>
        <w:ind w:right="480"/>
        <w:jc w:val="center"/>
        <w:rPr>
          <w:rFonts w:hint="eastAsia" w:ascii="仿宋" w:hAnsi="仿宋" w:eastAsia="仿宋" w:cs="仿宋"/>
          <w:b/>
          <w:color w:val="auto"/>
          <w:kern w:val="0"/>
          <w:sz w:val="32"/>
          <w:szCs w:val="32"/>
        </w:rPr>
      </w:pPr>
    </w:p>
    <w:p w14:paraId="1BB45B0B">
      <w:pPr>
        <w:snapToGrid w:val="0"/>
        <w:spacing w:line="360" w:lineRule="auto"/>
        <w:ind w:right="480"/>
        <w:jc w:val="center"/>
        <w:rPr>
          <w:rFonts w:hint="eastAsia" w:ascii="仿宋" w:hAnsi="仿宋" w:eastAsia="仿宋" w:cs="仿宋"/>
          <w:b/>
          <w:color w:val="auto"/>
          <w:kern w:val="0"/>
          <w:sz w:val="32"/>
          <w:szCs w:val="32"/>
        </w:rPr>
      </w:pPr>
    </w:p>
    <w:p w14:paraId="172FC81C">
      <w:pPr>
        <w:snapToGrid w:val="0"/>
        <w:spacing w:line="360" w:lineRule="auto"/>
        <w:ind w:right="480"/>
        <w:rPr>
          <w:rFonts w:hint="eastAsia" w:ascii="仿宋" w:hAnsi="仿宋" w:eastAsia="仿宋" w:cs="仿宋"/>
          <w:b/>
          <w:color w:val="auto"/>
          <w:kern w:val="0"/>
          <w:sz w:val="32"/>
          <w:szCs w:val="32"/>
        </w:rPr>
      </w:pPr>
    </w:p>
    <w:p w14:paraId="4F4C1478">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24B4238F">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3B941483">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jc w:val="left"/>
        <w:textAlignment w:val="auto"/>
        <w:outlineLvl w:val="9"/>
        <w:rPr>
          <w:rFonts w:hint="eastAsia" w:ascii="仿宋" w:hAnsi="仿宋" w:eastAsia="仿宋" w:cs="仿宋"/>
          <w:color w:val="auto"/>
          <w:kern w:val="2"/>
          <w:sz w:val="24"/>
          <w:szCs w:val="24"/>
          <w:lang w:val="en-US" w:eastAsia="zh-CN"/>
        </w:rPr>
      </w:pPr>
    </w:p>
    <w:p w14:paraId="123A94E3">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jc w:val="left"/>
        <w:textAlignment w:val="auto"/>
        <w:outlineLvl w:val="9"/>
        <w:rPr>
          <w:rFonts w:hint="eastAsia" w:ascii="仿宋" w:hAnsi="仿宋" w:eastAsia="仿宋" w:cs="仿宋"/>
          <w:color w:val="auto"/>
          <w:kern w:val="2"/>
          <w:sz w:val="24"/>
          <w:szCs w:val="24"/>
          <w:lang w:val="en-US" w:eastAsia="zh-CN"/>
        </w:rPr>
      </w:pPr>
    </w:p>
    <w:p w14:paraId="3EABB1F4">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jc w:val="left"/>
        <w:textAlignment w:val="auto"/>
        <w:outlineLvl w:val="9"/>
        <w:rPr>
          <w:rFonts w:hint="eastAsia" w:ascii="仿宋" w:hAnsi="仿宋" w:eastAsia="仿宋" w:cs="仿宋"/>
          <w:color w:val="auto"/>
          <w:kern w:val="2"/>
          <w:sz w:val="24"/>
          <w:szCs w:val="24"/>
          <w:lang w:val="en-US" w:eastAsia="zh-CN"/>
        </w:rPr>
      </w:pPr>
    </w:p>
    <w:p w14:paraId="70E9DA63">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jc w:val="lef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附件11</w:t>
      </w:r>
    </w:p>
    <w:p w14:paraId="7D587AF0">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开标一览表（报价表）</w:t>
      </w:r>
    </w:p>
    <w:p w14:paraId="63B2F85F">
      <w:pPr>
        <w:spacing w:line="360" w:lineRule="auto"/>
        <w:jc w:val="righ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(单位均为人民币：元)</w:t>
      </w:r>
    </w:p>
    <w:tbl>
      <w:tblPr>
        <w:tblStyle w:val="6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776"/>
        <w:gridCol w:w="2116"/>
        <w:gridCol w:w="2117"/>
      </w:tblGrid>
      <w:tr w14:paraId="104A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7" w:type="dxa"/>
            <w:noWrap w:val="0"/>
            <w:vAlign w:val="center"/>
          </w:tcPr>
          <w:p w14:paraId="4BD463FC">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3776" w:type="dxa"/>
            <w:noWrap w:val="0"/>
            <w:vAlign w:val="center"/>
          </w:tcPr>
          <w:p w14:paraId="02455AB9">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项目名称</w:t>
            </w:r>
          </w:p>
        </w:tc>
        <w:tc>
          <w:tcPr>
            <w:tcW w:w="2116" w:type="dxa"/>
            <w:noWrap w:val="0"/>
            <w:vAlign w:val="center"/>
          </w:tcPr>
          <w:p w14:paraId="032180B4">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投标报价（元）</w:t>
            </w:r>
          </w:p>
        </w:tc>
        <w:tc>
          <w:tcPr>
            <w:tcW w:w="2117" w:type="dxa"/>
            <w:noWrap w:val="0"/>
            <w:vAlign w:val="center"/>
          </w:tcPr>
          <w:p w14:paraId="47DF5281">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w:t>
            </w:r>
          </w:p>
        </w:tc>
      </w:tr>
      <w:tr w14:paraId="1547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07" w:type="dxa"/>
            <w:noWrap w:val="0"/>
            <w:vAlign w:val="center"/>
          </w:tcPr>
          <w:p w14:paraId="078BBA89">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3776" w:type="dxa"/>
            <w:noWrap w:val="0"/>
            <w:vAlign w:val="center"/>
          </w:tcPr>
          <w:p w14:paraId="6C8C7FDB">
            <w:pPr>
              <w:adjustRightInd/>
              <w:spacing w:line="380" w:lineRule="exact"/>
              <w:jc w:val="center"/>
              <w:outlineLvl w:val="9"/>
              <w:rPr>
                <w:rFonts w:hint="eastAsia" w:ascii="仿宋" w:hAnsi="仿宋" w:eastAsia="仿宋" w:cs="仿宋"/>
                <w:b w:val="0"/>
                <w:bCs w:val="0"/>
                <w:color w:val="auto"/>
                <w:sz w:val="24"/>
                <w:szCs w:val="24"/>
                <w:highlight w:val="none"/>
                <w:lang w:val="en-US" w:eastAsia="zh-CN"/>
              </w:rPr>
            </w:pPr>
          </w:p>
        </w:tc>
        <w:tc>
          <w:tcPr>
            <w:tcW w:w="2116" w:type="dxa"/>
            <w:noWrap w:val="0"/>
            <w:vAlign w:val="center"/>
          </w:tcPr>
          <w:p w14:paraId="09C9E712">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p>
        </w:tc>
        <w:tc>
          <w:tcPr>
            <w:tcW w:w="2117" w:type="dxa"/>
            <w:noWrap w:val="0"/>
            <w:vAlign w:val="center"/>
          </w:tcPr>
          <w:p w14:paraId="1F017CE6">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p>
        </w:tc>
      </w:tr>
      <w:tr w14:paraId="2A13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16" w:type="dxa"/>
            <w:gridSpan w:val="4"/>
            <w:noWrap w:val="0"/>
            <w:vAlign w:val="center"/>
          </w:tcPr>
          <w:p w14:paraId="7DB1F97E">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投标报价总价小写：</w:t>
            </w:r>
          </w:p>
        </w:tc>
      </w:tr>
      <w:tr w14:paraId="1685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16" w:type="dxa"/>
            <w:gridSpan w:val="4"/>
            <w:noWrap w:val="0"/>
            <w:vAlign w:val="center"/>
          </w:tcPr>
          <w:p w14:paraId="791B4FD0">
            <w:pPr>
              <w:adjustRightInd/>
              <w:spacing w:line="380" w:lineRule="exact"/>
              <w:jc w:val="both"/>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投标报价总价大写：</w:t>
            </w:r>
          </w:p>
        </w:tc>
      </w:tr>
    </w:tbl>
    <w:p w14:paraId="6DBADDB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注:  </w:t>
      </w:r>
    </w:p>
    <w:p w14:paraId="0B15CB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1.投标报价是履行合同的最终价格，即完成本项目服务内容和要求所产生的所有费用，包括但不限于搬运、货款、</w:t>
      </w:r>
      <w:r>
        <w:rPr>
          <w:rFonts w:hint="eastAsia" w:ascii="仿宋" w:hAnsi="仿宋" w:eastAsia="仿宋" w:cs="仿宋"/>
          <w:b/>
          <w:bCs/>
          <w:color w:val="auto"/>
          <w:sz w:val="24"/>
          <w:szCs w:val="24"/>
          <w:highlight w:val="none"/>
          <w:lang w:val="en-US" w:eastAsia="zh-CN"/>
        </w:rPr>
        <w:t>旧电梯拆除、总包服务费</w:t>
      </w:r>
      <w:r>
        <w:rPr>
          <w:rFonts w:hint="eastAsia" w:ascii="仿宋" w:hAnsi="仿宋" w:eastAsia="仿宋" w:cs="仿宋"/>
          <w:color w:val="auto"/>
          <w:sz w:val="24"/>
          <w:szCs w:val="24"/>
          <w:highlight w:val="none"/>
          <w:lang w:val="en-US" w:eastAsia="zh-CN"/>
        </w:rPr>
        <w:t>、备品备件费、专用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0C9E5F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p>
    <w:p w14:paraId="275EC4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p>
    <w:p w14:paraId="53B908D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p>
    <w:p w14:paraId="5FA4FB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03E18751">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2F0D0766">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1BF65957">
      <w:pPr>
        <w:pStyle w:val="695"/>
        <w:keepNext w:val="0"/>
        <w:pageBreakBefore w:val="0"/>
        <w:tabs>
          <w:tab w:val="clear" w:pos="720"/>
        </w:tabs>
        <w:snapToGrid w:val="0"/>
        <w:spacing w:before="120" w:after="120"/>
        <w:ind w:firstLine="643"/>
        <w:outlineLvl w:val="9"/>
        <w:rPr>
          <w:rFonts w:hint="eastAsia" w:ascii="仿宋" w:hAnsi="仿宋" w:eastAsia="仿宋" w:cs="仿宋"/>
          <w:b w:val="0"/>
          <w:bCs/>
          <w:color w:val="auto"/>
          <w:kern w:val="2"/>
          <w:sz w:val="24"/>
          <w:szCs w:val="24"/>
          <w:lang w:val="en-US" w:eastAsia="zh-CN" w:bidi="ar-SA"/>
        </w:rPr>
      </w:pPr>
    </w:p>
    <w:p w14:paraId="5D7CC421">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jc w:val="lef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附件12</w:t>
      </w:r>
    </w:p>
    <w:p w14:paraId="1AAA9DFC">
      <w:pPr>
        <w:keepNext w:val="0"/>
        <w:keepLines w:val="0"/>
        <w:pageBreakBefore w:val="0"/>
        <w:widowControl w:val="0"/>
        <w:kinsoku/>
        <w:wordWrap/>
        <w:overflowPunct/>
        <w:topLinePunct w:val="0"/>
        <w:autoSpaceDE/>
        <w:autoSpaceDN/>
        <w:bidi w:val="0"/>
        <w:adjustRightInd w:val="0"/>
        <w:snapToGrid/>
        <w:spacing w:line="440" w:lineRule="exact"/>
        <w:ind w:firstLine="0"/>
        <w:jc w:val="center"/>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报价明细表</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一期</w:t>
      </w:r>
      <w:r>
        <w:rPr>
          <w:rFonts w:hint="eastAsia" w:ascii="仿宋" w:hAnsi="仿宋" w:eastAsia="仿宋" w:cs="仿宋"/>
          <w:b/>
          <w:color w:val="auto"/>
          <w:sz w:val="32"/>
          <w:szCs w:val="32"/>
          <w:lang w:eastAsia="zh-CN"/>
        </w:rPr>
        <w:t>）</w:t>
      </w:r>
    </w:p>
    <w:tbl>
      <w:tblPr>
        <w:tblStyle w:val="62"/>
        <w:tblW w:w="91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2018"/>
        <w:gridCol w:w="800"/>
        <w:gridCol w:w="784"/>
        <w:gridCol w:w="1200"/>
        <w:gridCol w:w="1383"/>
        <w:gridCol w:w="977"/>
      </w:tblGrid>
      <w:tr w14:paraId="1D641E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noWrap w:val="0"/>
            <w:vAlign w:val="center"/>
          </w:tcPr>
          <w:p w14:paraId="7673EA7B">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1250" w:type="dxa"/>
            <w:tcBorders>
              <w:top w:val="single" w:color="auto" w:sz="4" w:space="0"/>
              <w:left w:val="single" w:color="auto" w:sz="4" w:space="0"/>
              <w:right w:val="single" w:color="auto" w:sz="4" w:space="0"/>
            </w:tcBorders>
            <w:noWrap w:val="0"/>
            <w:vAlign w:val="center"/>
          </w:tcPr>
          <w:p w14:paraId="5C031E66">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设备名称</w:t>
            </w:r>
          </w:p>
        </w:tc>
        <w:tc>
          <w:tcPr>
            <w:tcW w:w="2018" w:type="dxa"/>
            <w:tcBorders>
              <w:top w:val="single" w:color="auto" w:sz="4" w:space="0"/>
              <w:left w:val="single" w:color="auto" w:sz="4" w:space="0"/>
              <w:right w:val="single" w:color="auto" w:sz="4" w:space="0"/>
            </w:tcBorders>
            <w:noWrap w:val="0"/>
            <w:vAlign w:val="center"/>
          </w:tcPr>
          <w:p w14:paraId="7EC15BCF">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规格型号、品牌、产地</w:t>
            </w:r>
          </w:p>
        </w:tc>
        <w:tc>
          <w:tcPr>
            <w:tcW w:w="800" w:type="dxa"/>
            <w:tcBorders>
              <w:top w:val="single" w:color="auto" w:sz="4" w:space="0"/>
              <w:left w:val="single" w:color="auto" w:sz="4" w:space="0"/>
              <w:right w:val="single" w:color="auto" w:sz="4" w:space="0"/>
            </w:tcBorders>
            <w:noWrap w:val="0"/>
            <w:vAlign w:val="center"/>
          </w:tcPr>
          <w:p w14:paraId="7AFB8B2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784" w:type="dxa"/>
            <w:tcBorders>
              <w:top w:val="single" w:color="auto" w:sz="4" w:space="0"/>
              <w:left w:val="single" w:color="auto" w:sz="4" w:space="0"/>
              <w:right w:val="single" w:color="auto" w:sz="4" w:space="0"/>
            </w:tcBorders>
            <w:noWrap w:val="0"/>
            <w:vAlign w:val="center"/>
          </w:tcPr>
          <w:p w14:paraId="7E32A28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00" w:type="dxa"/>
            <w:tcBorders>
              <w:top w:val="single" w:color="auto" w:sz="4" w:space="0"/>
              <w:left w:val="single" w:color="auto" w:sz="4" w:space="0"/>
              <w:right w:val="single" w:color="auto" w:sz="4" w:space="0"/>
            </w:tcBorders>
            <w:noWrap w:val="0"/>
            <w:vAlign w:val="center"/>
          </w:tcPr>
          <w:p w14:paraId="2B33D61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78F92E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383" w:type="dxa"/>
            <w:tcBorders>
              <w:top w:val="single" w:color="auto" w:sz="4" w:space="0"/>
              <w:left w:val="single" w:color="auto" w:sz="4" w:space="0"/>
            </w:tcBorders>
            <w:noWrap w:val="0"/>
            <w:vAlign w:val="center"/>
          </w:tcPr>
          <w:p w14:paraId="7739AF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75E654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977" w:type="dxa"/>
            <w:tcBorders>
              <w:top w:val="single" w:color="auto" w:sz="4" w:space="0"/>
              <w:left w:val="single" w:color="auto" w:sz="4" w:space="0"/>
              <w:bottom w:val="single" w:color="auto" w:sz="4" w:space="0"/>
            </w:tcBorders>
            <w:noWrap w:val="0"/>
            <w:vAlign w:val="center"/>
          </w:tcPr>
          <w:p w14:paraId="7C493201">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700C4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5E8E1ABF">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D80AF6E">
            <w:pPr>
              <w:spacing w:before="50" w:after="50" w:line="400" w:lineRule="exact"/>
              <w:jc w:val="center"/>
              <w:rPr>
                <w:rFonts w:hint="eastAsia" w:ascii="仿宋" w:hAnsi="仿宋" w:eastAsia="仿宋" w:cs="仿宋"/>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6ADE6381">
            <w:pPr>
              <w:spacing w:before="50" w:after="50" w:line="400" w:lineRule="exact"/>
              <w:jc w:val="center"/>
              <w:rPr>
                <w:rFonts w:hint="eastAsia" w:ascii="仿宋" w:hAnsi="仿宋" w:eastAsia="仿宋" w:cs="仿宋"/>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1287D95">
            <w:pPr>
              <w:spacing w:before="50" w:after="50" w:line="400" w:lineRule="exact"/>
              <w:jc w:val="center"/>
              <w:rPr>
                <w:rFonts w:hint="eastAsia" w:ascii="仿宋" w:hAnsi="仿宋" w:eastAsia="仿宋" w:cs="仿宋"/>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024213EF">
            <w:pPr>
              <w:spacing w:before="50" w:after="50" w:line="400" w:lineRule="exact"/>
              <w:jc w:val="center"/>
              <w:rPr>
                <w:rFonts w:hint="eastAsia" w:ascii="仿宋" w:hAnsi="仿宋" w:eastAsia="仿宋" w:cs="仿宋"/>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58EF1388">
            <w:pPr>
              <w:spacing w:before="50" w:after="50" w:line="400" w:lineRule="exact"/>
              <w:jc w:val="center"/>
              <w:rPr>
                <w:rFonts w:hint="eastAsia" w:ascii="仿宋" w:hAnsi="仿宋" w:eastAsia="仿宋" w:cs="仿宋"/>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7EE65E43">
            <w:pPr>
              <w:spacing w:before="50" w:after="50" w:line="400" w:lineRule="exact"/>
              <w:jc w:val="center"/>
              <w:rPr>
                <w:rFonts w:hint="eastAsia" w:ascii="仿宋" w:hAnsi="仿宋" w:eastAsia="仿宋" w:cs="仿宋"/>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26CB1964">
            <w:pPr>
              <w:spacing w:before="50" w:after="50" w:line="400" w:lineRule="exact"/>
              <w:jc w:val="center"/>
              <w:rPr>
                <w:rFonts w:hint="eastAsia" w:ascii="仿宋" w:hAnsi="仿宋" w:eastAsia="仿宋" w:cs="仿宋"/>
                <w:b/>
                <w:color w:val="auto"/>
                <w:sz w:val="24"/>
                <w:szCs w:val="24"/>
                <w:highlight w:val="none"/>
              </w:rPr>
            </w:pPr>
          </w:p>
        </w:tc>
      </w:tr>
      <w:tr w14:paraId="65DAEF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1E3324AF">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4EFE02C">
            <w:pPr>
              <w:spacing w:before="50" w:after="50" w:line="400" w:lineRule="exact"/>
              <w:jc w:val="center"/>
              <w:rPr>
                <w:rFonts w:hint="eastAsia" w:ascii="仿宋" w:hAnsi="仿宋" w:eastAsia="仿宋" w:cs="仿宋"/>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6AAB97E7">
            <w:pPr>
              <w:spacing w:before="50" w:after="50" w:line="400" w:lineRule="exact"/>
              <w:jc w:val="center"/>
              <w:rPr>
                <w:rFonts w:hint="eastAsia" w:ascii="仿宋" w:hAnsi="仿宋" w:eastAsia="仿宋" w:cs="仿宋"/>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00DD8EB8">
            <w:pPr>
              <w:spacing w:before="50" w:after="50" w:line="400" w:lineRule="exact"/>
              <w:jc w:val="center"/>
              <w:rPr>
                <w:rFonts w:hint="eastAsia" w:ascii="仿宋" w:hAnsi="仿宋" w:eastAsia="仿宋" w:cs="仿宋"/>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A5E177C">
            <w:pPr>
              <w:spacing w:before="50" w:after="50" w:line="400" w:lineRule="exact"/>
              <w:jc w:val="center"/>
              <w:rPr>
                <w:rFonts w:hint="eastAsia" w:ascii="仿宋" w:hAnsi="仿宋" w:eastAsia="仿宋" w:cs="仿宋"/>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4D634DDC">
            <w:pPr>
              <w:spacing w:before="50" w:after="50" w:line="400" w:lineRule="exact"/>
              <w:jc w:val="center"/>
              <w:rPr>
                <w:rFonts w:hint="eastAsia" w:ascii="仿宋" w:hAnsi="仿宋" w:eastAsia="仿宋" w:cs="仿宋"/>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00236C3F">
            <w:pPr>
              <w:spacing w:before="50" w:after="50" w:line="400" w:lineRule="exact"/>
              <w:jc w:val="center"/>
              <w:rPr>
                <w:rFonts w:hint="eastAsia" w:ascii="仿宋" w:hAnsi="仿宋" w:eastAsia="仿宋" w:cs="仿宋"/>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66F303C5">
            <w:pPr>
              <w:spacing w:before="50" w:after="50" w:line="400" w:lineRule="exact"/>
              <w:jc w:val="center"/>
              <w:rPr>
                <w:rFonts w:hint="eastAsia" w:ascii="仿宋" w:hAnsi="仿宋" w:eastAsia="仿宋" w:cs="仿宋"/>
                <w:b/>
                <w:color w:val="auto"/>
                <w:sz w:val="24"/>
                <w:szCs w:val="24"/>
                <w:highlight w:val="none"/>
              </w:rPr>
            </w:pPr>
          </w:p>
        </w:tc>
      </w:tr>
      <w:tr w14:paraId="1F4F82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159" w:type="dxa"/>
            <w:gridSpan w:val="8"/>
            <w:tcBorders>
              <w:top w:val="single" w:color="auto" w:sz="4" w:space="0"/>
              <w:bottom w:val="single" w:color="auto" w:sz="4" w:space="0"/>
            </w:tcBorders>
            <w:noWrap w:val="0"/>
            <w:vAlign w:val="top"/>
          </w:tcPr>
          <w:p w14:paraId="50DC9227">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                                小写： ￥</w:t>
            </w:r>
          </w:p>
        </w:tc>
      </w:tr>
      <w:tr w14:paraId="27E4A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noWrap w:val="0"/>
            <w:vAlign w:val="center"/>
          </w:tcPr>
          <w:p w14:paraId="07FF6CD7">
            <w:pPr>
              <w:spacing w:before="50" w:after="5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412" w:type="dxa"/>
            <w:gridSpan w:val="7"/>
            <w:tcBorders>
              <w:top w:val="single" w:color="auto" w:sz="4" w:space="0"/>
              <w:left w:val="single" w:color="auto" w:sz="4" w:space="0"/>
              <w:bottom w:val="single" w:color="auto" w:sz="4" w:space="0"/>
            </w:tcBorders>
            <w:noWrap w:val="0"/>
            <w:vAlign w:val="top"/>
          </w:tcPr>
          <w:p w14:paraId="2E109693">
            <w:pPr>
              <w:spacing w:before="50" w:after="50"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报价中不允许出现报价优惠等字样，合计总价应与</w:t>
            </w:r>
            <w:r>
              <w:rPr>
                <w:rFonts w:hint="eastAsia" w:ascii="仿宋" w:hAnsi="仿宋" w:eastAsia="仿宋" w:cs="仿宋"/>
                <w:color w:val="auto"/>
                <w:sz w:val="24"/>
                <w:szCs w:val="24"/>
                <w:highlight w:val="none"/>
                <w:lang w:val="en-US" w:eastAsia="zh-CN"/>
              </w:rPr>
              <w:t>开标一览表投标报价</w:t>
            </w:r>
            <w:r>
              <w:rPr>
                <w:rFonts w:hint="eastAsia" w:ascii="仿宋" w:hAnsi="仿宋" w:eastAsia="仿宋" w:cs="仿宋"/>
                <w:color w:val="auto"/>
                <w:sz w:val="24"/>
                <w:szCs w:val="24"/>
                <w:highlight w:val="none"/>
              </w:rPr>
              <w:t>相等。</w:t>
            </w:r>
          </w:p>
        </w:tc>
      </w:tr>
    </w:tbl>
    <w:p w14:paraId="33BF9806">
      <w:pPr>
        <w:spacing w:line="360" w:lineRule="auto"/>
        <w:jc w:val="center"/>
        <w:rPr>
          <w:rFonts w:hint="eastAsia" w:ascii="仿宋" w:hAnsi="仿宋" w:eastAsia="仿宋" w:cs="仿宋"/>
          <w:b/>
          <w:bCs/>
          <w:color w:val="auto"/>
          <w:sz w:val="32"/>
          <w:szCs w:val="32"/>
          <w:highlight w:val="none"/>
          <w:lang w:val="en-US" w:eastAsia="zh-CN"/>
        </w:rPr>
      </w:pPr>
    </w:p>
    <w:p w14:paraId="0CB33E55">
      <w:pPr>
        <w:keepNext w:val="0"/>
        <w:keepLines w:val="0"/>
        <w:pageBreakBefore w:val="0"/>
        <w:widowControl w:val="0"/>
        <w:kinsoku/>
        <w:wordWrap/>
        <w:overflowPunct/>
        <w:topLinePunct w:val="0"/>
        <w:autoSpaceDE/>
        <w:autoSpaceDN/>
        <w:bidi w:val="0"/>
        <w:adjustRightInd w:val="0"/>
        <w:snapToGrid/>
        <w:spacing w:line="440" w:lineRule="exact"/>
        <w:ind w:firstLine="0"/>
        <w:jc w:val="center"/>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报价明细表</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二期</w:t>
      </w:r>
      <w:r>
        <w:rPr>
          <w:rFonts w:hint="eastAsia" w:ascii="仿宋" w:hAnsi="仿宋" w:eastAsia="仿宋" w:cs="仿宋"/>
          <w:b/>
          <w:color w:val="auto"/>
          <w:sz w:val="32"/>
          <w:szCs w:val="32"/>
          <w:lang w:eastAsia="zh-CN"/>
        </w:rPr>
        <w:t>）</w:t>
      </w:r>
    </w:p>
    <w:tbl>
      <w:tblPr>
        <w:tblStyle w:val="62"/>
        <w:tblW w:w="91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2018"/>
        <w:gridCol w:w="800"/>
        <w:gridCol w:w="784"/>
        <w:gridCol w:w="1200"/>
        <w:gridCol w:w="1383"/>
        <w:gridCol w:w="977"/>
      </w:tblGrid>
      <w:tr w14:paraId="6C5C0C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noWrap w:val="0"/>
            <w:vAlign w:val="center"/>
          </w:tcPr>
          <w:p w14:paraId="53521065">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1250" w:type="dxa"/>
            <w:tcBorders>
              <w:top w:val="single" w:color="auto" w:sz="4" w:space="0"/>
              <w:left w:val="single" w:color="auto" w:sz="4" w:space="0"/>
              <w:right w:val="single" w:color="auto" w:sz="4" w:space="0"/>
            </w:tcBorders>
            <w:noWrap w:val="0"/>
            <w:vAlign w:val="center"/>
          </w:tcPr>
          <w:p w14:paraId="7A6F8783">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设备名称</w:t>
            </w:r>
          </w:p>
        </w:tc>
        <w:tc>
          <w:tcPr>
            <w:tcW w:w="2018" w:type="dxa"/>
            <w:tcBorders>
              <w:top w:val="single" w:color="auto" w:sz="4" w:space="0"/>
              <w:left w:val="single" w:color="auto" w:sz="4" w:space="0"/>
              <w:right w:val="single" w:color="auto" w:sz="4" w:space="0"/>
            </w:tcBorders>
            <w:noWrap w:val="0"/>
            <w:vAlign w:val="center"/>
          </w:tcPr>
          <w:p w14:paraId="659F8596">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规格型号、品牌、产地</w:t>
            </w:r>
          </w:p>
        </w:tc>
        <w:tc>
          <w:tcPr>
            <w:tcW w:w="800" w:type="dxa"/>
            <w:tcBorders>
              <w:top w:val="single" w:color="auto" w:sz="4" w:space="0"/>
              <w:left w:val="single" w:color="auto" w:sz="4" w:space="0"/>
              <w:right w:val="single" w:color="auto" w:sz="4" w:space="0"/>
            </w:tcBorders>
            <w:noWrap w:val="0"/>
            <w:vAlign w:val="center"/>
          </w:tcPr>
          <w:p w14:paraId="6A2EF5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784" w:type="dxa"/>
            <w:tcBorders>
              <w:top w:val="single" w:color="auto" w:sz="4" w:space="0"/>
              <w:left w:val="single" w:color="auto" w:sz="4" w:space="0"/>
              <w:right w:val="single" w:color="auto" w:sz="4" w:space="0"/>
            </w:tcBorders>
            <w:noWrap w:val="0"/>
            <w:vAlign w:val="center"/>
          </w:tcPr>
          <w:p w14:paraId="38BAE0F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00" w:type="dxa"/>
            <w:tcBorders>
              <w:top w:val="single" w:color="auto" w:sz="4" w:space="0"/>
              <w:left w:val="single" w:color="auto" w:sz="4" w:space="0"/>
              <w:right w:val="single" w:color="auto" w:sz="4" w:space="0"/>
            </w:tcBorders>
            <w:noWrap w:val="0"/>
            <w:vAlign w:val="center"/>
          </w:tcPr>
          <w:p w14:paraId="1B61A6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296393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383" w:type="dxa"/>
            <w:tcBorders>
              <w:top w:val="single" w:color="auto" w:sz="4" w:space="0"/>
              <w:left w:val="single" w:color="auto" w:sz="4" w:space="0"/>
            </w:tcBorders>
            <w:noWrap w:val="0"/>
            <w:vAlign w:val="center"/>
          </w:tcPr>
          <w:p w14:paraId="54D474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51DAB2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977" w:type="dxa"/>
            <w:tcBorders>
              <w:top w:val="single" w:color="auto" w:sz="4" w:space="0"/>
              <w:left w:val="single" w:color="auto" w:sz="4" w:space="0"/>
              <w:bottom w:val="single" w:color="auto" w:sz="4" w:space="0"/>
            </w:tcBorders>
            <w:noWrap w:val="0"/>
            <w:vAlign w:val="center"/>
          </w:tcPr>
          <w:p w14:paraId="61C31F7F">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696450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329EDC2D">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86FDC26">
            <w:pPr>
              <w:spacing w:before="50" w:after="50" w:line="400" w:lineRule="exact"/>
              <w:jc w:val="center"/>
              <w:rPr>
                <w:rFonts w:hint="eastAsia" w:ascii="仿宋" w:hAnsi="仿宋" w:eastAsia="仿宋" w:cs="仿宋"/>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64381308">
            <w:pPr>
              <w:spacing w:before="50" w:after="50" w:line="400" w:lineRule="exact"/>
              <w:jc w:val="center"/>
              <w:rPr>
                <w:rFonts w:hint="eastAsia" w:ascii="仿宋" w:hAnsi="仿宋" w:eastAsia="仿宋" w:cs="仿宋"/>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F0485D3">
            <w:pPr>
              <w:spacing w:before="50" w:after="50" w:line="400" w:lineRule="exact"/>
              <w:jc w:val="center"/>
              <w:rPr>
                <w:rFonts w:hint="eastAsia" w:ascii="仿宋" w:hAnsi="仿宋" w:eastAsia="仿宋" w:cs="仿宋"/>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27700915">
            <w:pPr>
              <w:spacing w:before="50" w:after="50" w:line="400" w:lineRule="exact"/>
              <w:jc w:val="center"/>
              <w:rPr>
                <w:rFonts w:hint="eastAsia" w:ascii="仿宋" w:hAnsi="仿宋" w:eastAsia="仿宋" w:cs="仿宋"/>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178D587B">
            <w:pPr>
              <w:spacing w:before="50" w:after="50" w:line="400" w:lineRule="exact"/>
              <w:jc w:val="center"/>
              <w:rPr>
                <w:rFonts w:hint="eastAsia" w:ascii="仿宋" w:hAnsi="仿宋" w:eastAsia="仿宋" w:cs="仿宋"/>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68261BE0">
            <w:pPr>
              <w:spacing w:before="50" w:after="50" w:line="400" w:lineRule="exact"/>
              <w:jc w:val="center"/>
              <w:rPr>
                <w:rFonts w:hint="eastAsia" w:ascii="仿宋" w:hAnsi="仿宋" w:eastAsia="仿宋" w:cs="仿宋"/>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5EEC7B05">
            <w:pPr>
              <w:spacing w:before="50" w:after="50" w:line="400" w:lineRule="exact"/>
              <w:jc w:val="center"/>
              <w:rPr>
                <w:rFonts w:hint="eastAsia" w:ascii="仿宋" w:hAnsi="仿宋" w:eastAsia="仿宋" w:cs="仿宋"/>
                <w:b/>
                <w:color w:val="auto"/>
                <w:sz w:val="24"/>
                <w:szCs w:val="24"/>
                <w:highlight w:val="none"/>
              </w:rPr>
            </w:pPr>
          </w:p>
        </w:tc>
      </w:tr>
      <w:tr w14:paraId="79A9B7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134F474F">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B21E6ED">
            <w:pPr>
              <w:spacing w:before="50" w:after="50" w:line="400" w:lineRule="exact"/>
              <w:jc w:val="center"/>
              <w:rPr>
                <w:rFonts w:hint="eastAsia" w:ascii="仿宋" w:hAnsi="仿宋" w:eastAsia="仿宋" w:cs="仿宋"/>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5DED7B77">
            <w:pPr>
              <w:spacing w:before="50" w:after="50" w:line="400" w:lineRule="exact"/>
              <w:jc w:val="center"/>
              <w:rPr>
                <w:rFonts w:hint="eastAsia" w:ascii="仿宋" w:hAnsi="仿宋" w:eastAsia="仿宋" w:cs="仿宋"/>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103FD1EF">
            <w:pPr>
              <w:spacing w:before="50" w:after="50" w:line="400" w:lineRule="exact"/>
              <w:jc w:val="center"/>
              <w:rPr>
                <w:rFonts w:hint="eastAsia" w:ascii="仿宋" w:hAnsi="仿宋" w:eastAsia="仿宋" w:cs="仿宋"/>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763CBB">
            <w:pPr>
              <w:spacing w:before="50" w:after="50" w:line="400" w:lineRule="exact"/>
              <w:jc w:val="center"/>
              <w:rPr>
                <w:rFonts w:hint="eastAsia" w:ascii="仿宋" w:hAnsi="仿宋" w:eastAsia="仿宋" w:cs="仿宋"/>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785400AE">
            <w:pPr>
              <w:spacing w:before="50" w:after="50" w:line="400" w:lineRule="exact"/>
              <w:jc w:val="center"/>
              <w:rPr>
                <w:rFonts w:hint="eastAsia" w:ascii="仿宋" w:hAnsi="仿宋" w:eastAsia="仿宋" w:cs="仿宋"/>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0335DCA4">
            <w:pPr>
              <w:spacing w:before="50" w:after="50" w:line="400" w:lineRule="exact"/>
              <w:jc w:val="center"/>
              <w:rPr>
                <w:rFonts w:hint="eastAsia" w:ascii="仿宋" w:hAnsi="仿宋" w:eastAsia="仿宋" w:cs="仿宋"/>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2E4BD9FE">
            <w:pPr>
              <w:spacing w:before="50" w:after="50" w:line="400" w:lineRule="exact"/>
              <w:jc w:val="center"/>
              <w:rPr>
                <w:rFonts w:hint="eastAsia" w:ascii="仿宋" w:hAnsi="仿宋" w:eastAsia="仿宋" w:cs="仿宋"/>
                <w:b/>
                <w:color w:val="auto"/>
                <w:sz w:val="24"/>
                <w:szCs w:val="24"/>
                <w:highlight w:val="none"/>
              </w:rPr>
            </w:pPr>
          </w:p>
        </w:tc>
      </w:tr>
      <w:tr w14:paraId="2DB5F7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5D229C34">
            <w:pPr>
              <w:spacing w:before="50" w:after="50"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34AE600">
            <w:pPr>
              <w:spacing w:before="50" w:after="50" w:line="400" w:lineRule="exact"/>
              <w:jc w:val="center"/>
              <w:rPr>
                <w:rFonts w:hint="eastAsia" w:ascii="仿宋" w:hAnsi="仿宋" w:eastAsia="仿宋" w:cs="仿宋"/>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6C95EEB6">
            <w:pPr>
              <w:spacing w:before="50" w:after="50" w:line="400" w:lineRule="exact"/>
              <w:jc w:val="center"/>
              <w:rPr>
                <w:rFonts w:hint="eastAsia" w:ascii="仿宋" w:hAnsi="仿宋" w:eastAsia="仿宋" w:cs="仿宋"/>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009FA6F0">
            <w:pPr>
              <w:spacing w:before="50" w:after="50" w:line="400" w:lineRule="exact"/>
              <w:jc w:val="center"/>
              <w:rPr>
                <w:rFonts w:hint="eastAsia" w:ascii="仿宋" w:hAnsi="仿宋" w:eastAsia="仿宋" w:cs="仿宋"/>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27154A7A">
            <w:pPr>
              <w:spacing w:before="50" w:after="50" w:line="400" w:lineRule="exact"/>
              <w:jc w:val="center"/>
              <w:rPr>
                <w:rFonts w:hint="eastAsia" w:ascii="仿宋" w:hAnsi="仿宋" w:eastAsia="仿宋" w:cs="仿宋"/>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3592F5EA">
            <w:pPr>
              <w:spacing w:before="50" w:after="50" w:line="400" w:lineRule="exact"/>
              <w:jc w:val="center"/>
              <w:rPr>
                <w:rFonts w:hint="eastAsia" w:ascii="仿宋" w:hAnsi="仿宋" w:eastAsia="仿宋" w:cs="仿宋"/>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2B9F20A7">
            <w:pPr>
              <w:spacing w:before="50" w:after="50" w:line="400" w:lineRule="exact"/>
              <w:jc w:val="center"/>
              <w:rPr>
                <w:rFonts w:hint="eastAsia" w:ascii="仿宋" w:hAnsi="仿宋" w:eastAsia="仿宋" w:cs="仿宋"/>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2CF6A80A">
            <w:pPr>
              <w:spacing w:before="50" w:after="50" w:line="400" w:lineRule="exact"/>
              <w:jc w:val="center"/>
              <w:rPr>
                <w:rFonts w:hint="eastAsia" w:ascii="仿宋" w:hAnsi="仿宋" w:eastAsia="仿宋" w:cs="仿宋"/>
                <w:b/>
                <w:color w:val="auto"/>
                <w:sz w:val="24"/>
                <w:szCs w:val="24"/>
                <w:highlight w:val="none"/>
              </w:rPr>
            </w:pPr>
          </w:p>
        </w:tc>
      </w:tr>
      <w:tr w14:paraId="0924A0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159" w:type="dxa"/>
            <w:gridSpan w:val="8"/>
            <w:tcBorders>
              <w:top w:val="single" w:color="auto" w:sz="4" w:space="0"/>
              <w:bottom w:val="single" w:color="auto" w:sz="4" w:space="0"/>
            </w:tcBorders>
            <w:noWrap w:val="0"/>
            <w:vAlign w:val="top"/>
          </w:tcPr>
          <w:p w14:paraId="6406CADC">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                                小写： ￥</w:t>
            </w:r>
          </w:p>
        </w:tc>
      </w:tr>
      <w:tr w14:paraId="5C2BC7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noWrap w:val="0"/>
            <w:vAlign w:val="center"/>
          </w:tcPr>
          <w:p w14:paraId="4FDDE01C">
            <w:pPr>
              <w:spacing w:before="50" w:after="5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412" w:type="dxa"/>
            <w:gridSpan w:val="7"/>
            <w:tcBorders>
              <w:top w:val="single" w:color="auto" w:sz="4" w:space="0"/>
              <w:left w:val="single" w:color="auto" w:sz="4" w:space="0"/>
              <w:bottom w:val="single" w:color="auto" w:sz="4" w:space="0"/>
            </w:tcBorders>
            <w:noWrap w:val="0"/>
            <w:vAlign w:val="top"/>
          </w:tcPr>
          <w:p w14:paraId="5B6EF9B5">
            <w:pPr>
              <w:spacing w:before="50" w:after="50"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报价中不允许出现报价优惠等字样，合计总价应与</w:t>
            </w:r>
            <w:r>
              <w:rPr>
                <w:rFonts w:hint="eastAsia" w:ascii="仿宋" w:hAnsi="仿宋" w:eastAsia="仿宋" w:cs="仿宋"/>
                <w:color w:val="auto"/>
                <w:sz w:val="24"/>
                <w:szCs w:val="24"/>
                <w:highlight w:val="none"/>
                <w:lang w:val="en-US" w:eastAsia="zh-CN"/>
              </w:rPr>
              <w:t>开标一览表投标报价</w:t>
            </w:r>
            <w:r>
              <w:rPr>
                <w:rFonts w:hint="eastAsia" w:ascii="仿宋" w:hAnsi="仿宋" w:eastAsia="仿宋" w:cs="仿宋"/>
                <w:color w:val="auto"/>
                <w:sz w:val="24"/>
                <w:szCs w:val="24"/>
                <w:highlight w:val="none"/>
              </w:rPr>
              <w:t>相等。</w:t>
            </w:r>
          </w:p>
        </w:tc>
      </w:tr>
    </w:tbl>
    <w:p w14:paraId="1DC1B64B">
      <w:pPr>
        <w:pStyle w:val="79"/>
        <w:rPr>
          <w:rFonts w:hint="eastAsia" w:ascii="仿宋" w:hAnsi="仿宋" w:eastAsia="仿宋" w:cs="仿宋"/>
          <w:b/>
          <w:bCs/>
          <w:color w:val="auto"/>
          <w:sz w:val="32"/>
          <w:szCs w:val="32"/>
          <w:highlight w:val="none"/>
          <w:lang w:val="en-US" w:eastAsia="zh-CN"/>
        </w:rPr>
      </w:pPr>
    </w:p>
    <w:p w14:paraId="7564DB3F">
      <w:pPr>
        <w:rPr>
          <w:rFonts w:hint="eastAsia" w:ascii="仿宋" w:hAnsi="仿宋" w:eastAsia="仿宋" w:cs="仿宋"/>
          <w:lang w:val="en-US" w:eastAsia="zh-CN"/>
        </w:rPr>
      </w:pPr>
    </w:p>
    <w:p w14:paraId="11B905E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4560" w:firstLineChars="1900"/>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14:paraId="539ACB39">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法定代表人或授权代理人（签字或盖章）：</w:t>
      </w:r>
    </w:p>
    <w:p w14:paraId="419F0435">
      <w:pPr>
        <w:keepNext w:val="0"/>
        <w:keepLines w:val="0"/>
        <w:pageBreakBefore w:val="0"/>
        <w:widowControl w:val="0"/>
        <w:kinsoku/>
        <w:wordWrap/>
        <w:overflowPunct/>
        <w:topLinePunct w:val="0"/>
        <w:bidi w:val="0"/>
        <w:adjustRightInd w:val="0"/>
        <w:snapToGrid/>
        <w:spacing w:line="500" w:lineRule="exact"/>
        <w:ind w:left="0" w:leftChars="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14:paraId="6FB62450">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698C1A5">
      <w:pPr>
        <w:pStyle w:val="966"/>
        <w:pageBreakBefore w:val="0"/>
        <w:widowControl w:val="0"/>
        <w:numPr>
          <w:ilvl w:val="0"/>
          <w:numId w:val="0"/>
        </w:numPr>
        <w:shd w:val="clear"/>
        <w:kinsoku/>
        <w:overflowPunct/>
        <w:topLinePunct w:val="0"/>
        <w:bidi w:val="0"/>
        <w:adjustRightInd/>
        <w:snapToGrid w:val="0"/>
        <w:spacing w:beforeAutospacing="0" w:afterAutospacing="0" w:line="360" w:lineRule="auto"/>
        <w:ind w:leftChars="0" w:right="0" w:rightChars="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国企</w:t>
      </w:r>
      <w:r>
        <w:rPr>
          <w:rFonts w:hint="eastAsia" w:ascii="仿宋" w:hAnsi="仿宋" w:eastAsia="仿宋" w:cs="仿宋"/>
          <w:b/>
          <w:bCs/>
          <w:color w:val="auto"/>
          <w:sz w:val="24"/>
          <w:szCs w:val="24"/>
          <w:highlight w:val="none"/>
        </w:rPr>
        <w:t>采购活动现场确认声明书</w:t>
      </w:r>
    </w:p>
    <w:p w14:paraId="0CAD64B3">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eastAsia="zh-CN"/>
        </w:rPr>
        <w:t>东方经纬项目管理有限公司</w:t>
      </w:r>
      <w:r>
        <w:rPr>
          <w:rFonts w:hint="eastAsia" w:ascii="仿宋" w:hAnsi="仿宋" w:eastAsia="仿宋" w:cs="仿宋"/>
          <w:color w:val="auto"/>
          <w:kern w:val="0"/>
          <w:sz w:val="24"/>
          <w:szCs w:val="24"/>
          <w:highlight w:val="none"/>
        </w:rPr>
        <w:t>：</w:t>
      </w:r>
    </w:p>
    <w:p w14:paraId="2CAC55A9">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right="0" w:rightChars="0" w:firstLine="504" w:firstLineChars="200"/>
        <w:jc w:val="both"/>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2A7C7A2B">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40D385CD">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  □不存在利害关系</w:t>
      </w:r>
      <w:r>
        <w:rPr>
          <w:rFonts w:hint="eastAsia" w:ascii="仿宋" w:hAnsi="仿宋" w:eastAsia="仿宋" w:cs="仿宋"/>
          <w:color w:val="auto"/>
          <w:kern w:val="0"/>
          <w:sz w:val="24"/>
          <w:szCs w:val="24"/>
          <w:highlight w:val="none"/>
          <w:lang w:eastAsia="zh-CN"/>
        </w:rPr>
        <w:t>；</w:t>
      </w:r>
    </w:p>
    <w:p w14:paraId="4B6287C1">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C2B5D63">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61BB623F">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7DD650E9">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440CEC44">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7B9E97DF">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753E1EC">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A.法定代表人或负责人或实际控制人是同一人</w:t>
      </w:r>
    </w:p>
    <w:p w14:paraId="4293AB36">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B.法定代表人或负责人或实际控制人是夫妻关系</w:t>
      </w:r>
    </w:p>
    <w:p w14:paraId="0FE3646B">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C.法定代表人或负责人或实际控制人是直系血亲关系</w:t>
      </w:r>
    </w:p>
    <w:p w14:paraId="29401465">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right="0" w:rightChars="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D.法定代表人或负责人或实际控制人存在三代以内旁系血亲关系</w:t>
      </w:r>
    </w:p>
    <w:p w14:paraId="1AF9126C">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4EE283CF">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F.法定代表人或负责人或实际控制人存在股份控制或实际控制关系</w:t>
      </w:r>
      <w:bookmarkStart w:id="85" w:name="_Toc11926"/>
    </w:p>
    <w:p w14:paraId="6F4B23FC">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G.存在共同直接或间接投资设立子公司、联营企业和合营企业情况</w:t>
      </w:r>
      <w:bookmarkEnd w:id="85"/>
    </w:p>
    <w:p w14:paraId="653B0B0E">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25A01EB">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54FA4FC">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w:t>
      </w:r>
      <w:r>
        <w:rPr>
          <w:rFonts w:hint="eastAsia" w:ascii="仿宋" w:hAnsi="仿宋" w:eastAsia="仿宋" w:cs="仿宋"/>
          <w:color w:val="auto"/>
          <w:kern w:val="0"/>
          <w:sz w:val="24"/>
          <w:szCs w:val="24"/>
          <w:highlight w:val="none"/>
          <w:lang w:eastAsia="zh-CN"/>
        </w:rPr>
        <w:t>国企采购</w:t>
      </w:r>
      <w:r>
        <w:rPr>
          <w:rFonts w:hint="eastAsia" w:ascii="仿宋" w:hAnsi="仿宋" w:eastAsia="仿宋" w:cs="仿宋"/>
          <w:color w:val="auto"/>
          <w:kern w:val="0"/>
          <w:sz w:val="24"/>
          <w:szCs w:val="24"/>
          <w:highlight w:val="none"/>
        </w:rPr>
        <w:t>法律法规和现场纪律。</w:t>
      </w:r>
    </w:p>
    <w:p w14:paraId="5EDE8BC4">
      <w:pPr>
        <w:pStyle w:val="967"/>
        <w:keepNext w:val="0"/>
        <w:keepLines w:val="0"/>
        <w:pageBreakBefore w:val="0"/>
        <w:widowControl/>
        <w:shd w:val="clear"/>
        <w:kinsoku/>
        <w:wordWrap/>
        <w:overflowPunct/>
        <w:topLinePunct w:val="0"/>
        <w:bidi w:val="0"/>
        <w:adjustRightInd/>
        <w:snapToGrid w:val="0"/>
        <w:spacing w:beforeAutospacing="0" w:afterAutospacing="0" w:line="400" w:lineRule="exact"/>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4B043FC4">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z w:val="24"/>
          <w:szCs w:val="24"/>
          <w:highlight w:val="none"/>
        </w:rPr>
      </w:pPr>
    </w:p>
    <w:p w14:paraId="2580F133">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jc w:val="both"/>
        <w:outlineLvl w:val="9"/>
        <w:rPr>
          <w:rFonts w:hint="eastAsia" w:ascii="仿宋" w:hAnsi="仿宋" w:eastAsia="仿宋" w:cs="仿宋"/>
          <w:color w:val="auto"/>
          <w:sz w:val="24"/>
          <w:szCs w:val="24"/>
          <w:highlight w:val="none"/>
        </w:rPr>
      </w:pPr>
    </w:p>
    <w:p w14:paraId="1FF8C26A">
      <w:pPr>
        <w:pStyle w:val="966"/>
        <w:keepNext w:val="0"/>
        <w:keepLines w:val="0"/>
        <w:pageBreakBefore w:val="0"/>
        <w:widowControl w:val="0"/>
        <w:numPr>
          <w:ilvl w:val="0"/>
          <w:numId w:val="0"/>
        </w:numPr>
        <w:shd w:val="clear"/>
        <w:kinsoku/>
        <w:wordWrap/>
        <w:overflowPunct/>
        <w:topLinePunct w:val="0"/>
        <w:bidi w:val="0"/>
        <w:adjustRightInd/>
        <w:snapToGrid w:val="0"/>
        <w:spacing w:beforeAutospacing="0" w:afterAutospacing="0" w:line="400" w:lineRule="exact"/>
        <w:ind w:leftChars="0" w:right="0" w:rightChars="0" w:firstLine="5280" w:firstLineChars="2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0B4A31D6">
      <w:pPr>
        <w:keepNext w:val="0"/>
        <w:keepLines w:val="0"/>
        <w:pageBreakBefore w:val="0"/>
        <w:widowControl w:val="0"/>
        <w:shd w:val="clear"/>
        <w:kinsoku/>
        <w:wordWrap/>
        <w:overflowPunct/>
        <w:topLinePunct w:val="0"/>
        <w:autoSpaceDE/>
        <w:autoSpaceDN/>
        <w:bidi w:val="0"/>
        <w:adjustRightInd/>
        <w:spacing w:line="400" w:lineRule="exact"/>
        <w:ind w:right="0" w:firstLine="5280" w:firstLineChars="2200"/>
        <w:jc w:val="left"/>
        <w:textAlignment w:val="auto"/>
        <w:outlineLvl w:val="9"/>
        <w:rPr>
          <w:rFonts w:hint="eastAsia" w:ascii="仿宋" w:hAnsi="仿宋" w:eastAsia="仿宋" w:cs="仿宋"/>
          <w:b w:val="0"/>
          <w:color w:val="auto"/>
          <w:sz w:val="32"/>
          <w:szCs w:val="32"/>
          <w:lang w:val="en-US" w:eastAsia="zh-CN"/>
        </w:rPr>
      </w:pPr>
      <w:r>
        <w:rPr>
          <w:rFonts w:hint="eastAsia" w:ascii="仿宋" w:hAnsi="仿宋" w:eastAsia="仿宋" w:cs="仿宋"/>
          <w:color w:val="auto"/>
          <w:sz w:val="24"/>
          <w:szCs w:val="24"/>
          <w:highlight w:val="none"/>
        </w:rPr>
        <w:t xml:space="preserve"> 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年  月  日</w:t>
      </w:r>
    </w:p>
    <w:sectPr>
      <w:headerReference r:id="rId15" w:type="first"/>
      <w:footerReference r:id="rId17" w:type="first"/>
      <w:headerReference r:id="rId14" w:type="default"/>
      <w:footerReference r:id="rId16" w:type="default"/>
      <w:pgSz w:w="11906" w:h="16838"/>
      <w:pgMar w:top="1814" w:right="1474" w:bottom="1814" w:left="1474"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4A35">
    <w:pPr>
      <w:pStyle w:val="40"/>
      <w:framePr w:wrap="around" w:vAnchor="text" w:hAnchor="margin" w:xAlign="right" w:y="1"/>
      <w:rPr>
        <w:rStyle w:val="72"/>
      </w:rPr>
    </w:pPr>
    <w:r>
      <w:fldChar w:fldCharType="begin"/>
    </w:r>
    <w:r>
      <w:rPr>
        <w:rStyle w:val="72"/>
      </w:rPr>
      <w:instrText xml:space="preserve">PAGE  </w:instrText>
    </w:r>
    <w:r>
      <w:fldChar w:fldCharType="end"/>
    </w:r>
  </w:p>
  <w:p w14:paraId="01E28B4A">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4E6A">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121D">
    <w:pPr>
      <w:pStyle w:val="40"/>
      <w:framePr w:wrap="around" w:vAnchor="text" w:hAnchor="margin" w:xAlign="right" w:y="1"/>
      <w:rPr>
        <w:rStyle w:val="72"/>
      </w:rPr>
    </w:pPr>
    <w:r>
      <w:fldChar w:fldCharType="begin"/>
    </w:r>
    <w:r>
      <w:rPr>
        <w:rStyle w:val="72"/>
      </w:rPr>
      <w:instrText xml:space="preserve">PAGE  </w:instrText>
    </w:r>
    <w:r>
      <w:fldChar w:fldCharType="end"/>
    </w:r>
  </w:p>
  <w:p w14:paraId="3EAA51C4">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8C11">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AB25">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95AB25">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CDD03C7">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94F1">
    <w:pPr>
      <w:pStyle w:val="40"/>
      <w:tabs>
        <w:tab w:val="left" w:pos="6375"/>
        <w:tab w:val="clear" w:pos="4153"/>
      </w:tabs>
      <w:rPr>
        <w:rFonts w:hint="default"/>
        <w:sz w:val="18"/>
        <w:u w:val="none"/>
        <w:lang w:val="en-US"/>
      </w:rPr>
    </w:pPr>
    <w:r>
      <w:rPr>
        <w:sz w:val="18"/>
        <w:u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C7753">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25C7753">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sz w:val="18"/>
        <w:u w:val="none"/>
        <w:lang w:val="en-US" w:eastAsia="zh-CN"/>
      </w:rPr>
      <w:tab/>
    </w:r>
    <w:r>
      <w:rPr>
        <w:rFonts w:hint="eastAsia"/>
        <w:sz w:val="18"/>
        <w:u w:val="none"/>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D3D0">
    <w:pPr>
      <w:pStyle w:val="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0472D">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0472D">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3415B2B0">
    <w:pPr>
      <w:pStyle w:val="40"/>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7618">
    <w:pPr>
      <w:pStyle w:val="4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06449">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806449">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143D72E7">
    <w:pPr>
      <w:pStyle w:val="40"/>
      <w:jc w:val="center"/>
      <w:rPr>
        <w:rFonts w:ascii="仿宋_GB2312" w:eastAsia="仿宋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5D94">
    <w:pPr>
      <w:pStyle w:val="4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1AE46">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D1AE46">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1682B888">
    <w:pPr>
      <w:pStyle w:val="40"/>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67C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D836">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F675">
    <w:pPr>
      <w:tabs>
        <w:tab w:val="left" w:pos="2107"/>
      </w:tabs>
      <w:jc w:val="center"/>
      <w:rPr>
        <w:rFonts w:hint="eastAsia" w:ascii="仿宋" w:hAnsi="仿宋" w:eastAsia="仿宋" w:cs="仿宋"/>
      </w:rPr>
    </w:pPr>
    <w:r>
      <w:rPr>
        <w:rFonts w:hint="eastAsia" w:ascii="仿宋" w:hAnsi="仿宋" w:eastAsia="仿宋" w:cs="仿宋"/>
        <w:bCs/>
        <w:color w:val="auto"/>
        <w:sz w:val="21"/>
        <w:szCs w:val="21"/>
        <w:u w:val="single"/>
      </w:rPr>
      <w:t>东方经纬项目管理有限公司</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文件编号:</w:t>
    </w:r>
    <w:r>
      <w:rPr>
        <w:rFonts w:hint="eastAsia" w:ascii="仿宋" w:hAnsi="仿宋" w:eastAsia="仿宋" w:cs="仿宋"/>
        <w:bCs/>
        <w:color w:val="auto"/>
        <w:sz w:val="21"/>
        <w:szCs w:val="21"/>
        <w:u w:val="single"/>
        <w:lang w:eastAsia="zh-CN"/>
      </w:rPr>
      <w:t>DFJW-202421SZ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8780">
    <w:pPr>
      <w:tabs>
        <w:tab w:val="left" w:pos="2107"/>
      </w:tabs>
      <w:jc w:val="center"/>
      <w:rPr>
        <w:rFonts w:hint="eastAsia" w:ascii="仿宋" w:hAnsi="仿宋" w:eastAsia="仿宋" w:cs="仿宋"/>
        <w:u w:val="single"/>
      </w:rPr>
    </w:pPr>
    <w:r>
      <w:rPr>
        <w:rFonts w:hint="eastAsia" w:ascii="仿宋" w:hAnsi="仿宋" w:eastAsia="仿宋" w:cs="仿宋"/>
        <w:bCs/>
        <w:color w:val="auto"/>
        <w:sz w:val="21"/>
        <w:szCs w:val="21"/>
        <w:u w:val="single"/>
      </w:rPr>
      <w:t>东方经纬项目管理有限公司</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文件编号:</w:t>
    </w:r>
    <w:r>
      <w:rPr>
        <w:rFonts w:hint="eastAsia" w:ascii="仿宋" w:hAnsi="仿宋" w:eastAsia="仿宋" w:cs="仿宋"/>
        <w:bCs/>
        <w:color w:val="auto"/>
        <w:sz w:val="21"/>
        <w:szCs w:val="21"/>
        <w:u w:val="single"/>
        <w:lang w:eastAsia="zh-CN"/>
      </w:rPr>
      <w:t>DFJW-202421SZ</w:t>
    </w:r>
  </w:p>
  <w:p w14:paraId="3FA0BFC6">
    <w:pPr>
      <w:pStyle w:val="41"/>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F96B">
    <w:pPr>
      <w:pStyle w:val="41"/>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2229">
    <w:pPr>
      <w:pStyle w:val="41"/>
      <w:rPr>
        <w:u w:val="none"/>
      </w:rPr>
    </w:pPr>
    <w:r>
      <w:rPr>
        <w:rFonts w:hint="eastAsia" w:ascii="仿宋" w:hAnsi="仿宋" w:eastAsia="仿宋" w:cs="仿宋"/>
        <w:bCs/>
        <w:color w:val="auto"/>
        <w:sz w:val="21"/>
        <w:szCs w:val="21"/>
        <w:u w:val="none"/>
      </w:rPr>
      <w:t>东方经纬项目管理有限公司</w:t>
    </w:r>
    <w:r>
      <w:rPr>
        <w:rFonts w:hint="eastAsia" w:ascii="仿宋" w:hAnsi="仿宋" w:eastAsia="仿宋" w:cs="仿宋"/>
        <w:sz w:val="21"/>
        <w:szCs w:val="21"/>
        <w:u w:val="none"/>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 xml:space="preserve">         文件编号:</w:t>
    </w:r>
    <w:r>
      <w:rPr>
        <w:rFonts w:hint="eastAsia" w:ascii="仿宋" w:hAnsi="仿宋" w:eastAsia="仿宋" w:cs="仿宋"/>
        <w:bCs/>
        <w:color w:val="auto"/>
        <w:sz w:val="21"/>
        <w:szCs w:val="21"/>
        <w:u w:val="none"/>
        <w:lang w:eastAsia="zh-CN"/>
      </w:rPr>
      <w:t>DFJW-202421SZ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45C2">
    <w:pPr>
      <w:pStyle w:val="41"/>
      <w:jc w:val="both"/>
    </w:pPr>
  </w:p>
  <w:p w14:paraId="322BE182">
    <w:pPr>
      <w:pStyle w:val="41"/>
      <w:ind w:firstLine="360" w:firstLineChars="2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D119D"/>
    <w:multiLevelType w:val="singleLevel"/>
    <w:tmpl w:val="A78D119D"/>
    <w:lvl w:ilvl="0" w:tentative="0">
      <w:start w:val="1"/>
      <w:numFmt w:val="chineseCounting"/>
      <w:suff w:val="nothing"/>
      <w:lvlText w:val="%1、"/>
      <w:lvlJc w:val="left"/>
      <w:rPr>
        <w:rFonts w:hint="eastAsia"/>
      </w:rPr>
    </w:lvl>
  </w:abstractNum>
  <w:abstractNum w:abstractNumId="1">
    <w:nsid w:val="AD7020E5"/>
    <w:multiLevelType w:val="singleLevel"/>
    <w:tmpl w:val="AD7020E5"/>
    <w:lvl w:ilvl="0" w:tentative="0">
      <w:start w:val="1"/>
      <w:numFmt w:val="decimal"/>
      <w:suff w:val="space"/>
      <w:lvlText w:val="%1."/>
      <w:lvlJc w:val="left"/>
    </w:lvl>
  </w:abstractNum>
  <w:abstractNum w:abstractNumId="2">
    <w:nsid w:val="545A512C"/>
    <w:multiLevelType w:val="multilevel"/>
    <w:tmpl w:val="545A512C"/>
    <w:lvl w:ilvl="0" w:tentative="0">
      <w:start w:val="1"/>
      <w:numFmt w:val="chineseCountingThousand"/>
      <w:pStyle w:val="966"/>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5E45941"/>
    <w:multiLevelType w:val="singleLevel"/>
    <w:tmpl w:val="75E45941"/>
    <w:lvl w:ilvl="0" w:tentative="0">
      <w:start w:val="3"/>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DUzYjY4OGE3Mjk2MWU5OGE1N2FjYzI1NzEwMTgifQ=="/>
  </w:docVars>
  <w:rsids>
    <w:rsidRoot w:val="00A91C81"/>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2816"/>
    <w:rsid w:val="004A377A"/>
    <w:rsid w:val="004A7033"/>
    <w:rsid w:val="004B7015"/>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B6A1F"/>
    <w:rsid w:val="008C21A0"/>
    <w:rsid w:val="008D3E5D"/>
    <w:rsid w:val="008F0F2F"/>
    <w:rsid w:val="00912C08"/>
    <w:rsid w:val="00916455"/>
    <w:rsid w:val="00923FF9"/>
    <w:rsid w:val="00932BB2"/>
    <w:rsid w:val="00940150"/>
    <w:rsid w:val="00945277"/>
    <w:rsid w:val="00967DCB"/>
    <w:rsid w:val="0099132D"/>
    <w:rsid w:val="0099313C"/>
    <w:rsid w:val="009C5EE9"/>
    <w:rsid w:val="009E4DD7"/>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2C866AB"/>
    <w:rsid w:val="033E089E"/>
    <w:rsid w:val="03E017D2"/>
    <w:rsid w:val="0426744A"/>
    <w:rsid w:val="04CC7BCB"/>
    <w:rsid w:val="058A5E9A"/>
    <w:rsid w:val="05997E8B"/>
    <w:rsid w:val="05A0746B"/>
    <w:rsid w:val="05E76E48"/>
    <w:rsid w:val="06AE7966"/>
    <w:rsid w:val="06D74677"/>
    <w:rsid w:val="06FF299A"/>
    <w:rsid w:val="08776373"/>
    <w:rsid w:val="096F5AD2"/>
    <w:rsid w:val="0983157E"/>
    <w:rsid w:val="0A2166A1"/>
    <w:rsid w:val="0A8E4894"/>
    <w:rsid w:val="0BB13A51"/>
    <w:rsid w:val="0D1927DE"/>
    <w:rsid w:val="0D1B387B"/>
    <w:rsid w:val="0D904269"/>
    <w:rsid w:val="0E635D43"/>
    <w:rsid w:val="0E912F24"/>
    <w:rsid w:val="0F645F82"/>
    <w:rsid w:val="0FA0239A"/>
    <w:rsid w:val="0FDB5C2D"/>
    <w:rsid w:val="100D1044"/>
    <w:rsid w:val="10A076BC"/>
    <w:rsid w:val="10C94A6B"/>
    <w:rsid w:val="11A264AD"/>
    <w:rsid w:val="124074B1"/>
    <w:rsid w:val="1292638E"/>
    <w:rsid w:val="12A073FB"/>
    <w:rsid w:val="134A310C"/>
    <w:rsid w:val="13CC3B21"/>
    <w:rsid w:val="13D11138"/>
    <w:rsid w:val="13DC2284"/>
    <w:rsid w:val="13F60B9E"/>
    <w:rsid w:val="14127BE9"/>
    <w:rsid w:val="14286425"/>
    <w:rsid w:val="15746BCA"/>
    <w:rsid w:val="1575796D"/>
    <w:rsid w:val="169E17AF"/>
    <w:rsid w:val="16B07273"/>
    <w:rsid w:val="18BB568B"/>
    <w:rsid w:val="19460356"/>
    <w:rsid w:val="1A24272E"/>
    <w:rsid w:val="1A4F2DB6"/>
    <w:rsid w:val="1B18764C"/>
    <w:rsid w:val="1B5357A0"/>
    <w:rsid w:val="1BC31CAE"/>
    <w:rsid w:val="1BC917F8"/>
    <w:rsid w:val="1BE13EE2"/>
    <w:rsid w:val="1E536D03"/>
    <w:rsid w:val="1F721277"/>
    <w:rsid w:val="203B0065"/>
    <w:rsid w:val="208C08C0"/>
    <w:rsid w:val="21B55BF5"/>
    <w:rsid w:val="23E7405F"/>
    <w:rsid w:val="23EB1DA2"/>
    <w:rsid w:val="249441E7"/>
    <w:rsid w:val="25795310"/>
    <w:rsid w:val="25EF3DCB"/>
    <w:rsid w:val="263E105F"/>
    <w:rsid w:val="279908E2"/>
    <w:rsid w:val="2951570C"/>
    <w:rsid w:val="2A3873C3"/>
    <w:rsid w:val="2A3C029B"/>
    <w:rsid w:val="2A414995"/>
    <w:rsid w:val="2AE01065"/>
    <w:rsid w:val="2B1E480B"/>
    <w:rsid w:val="2B235300"/>
    <w:rsid w:val="2C1573CF"/>
    <w:rsid w:val="2C932FD6"/>
    <w:rsid w:val="2CDA0E82"/>
    <w:rsid w:val="2CDA6E57"/>
    <w:rsid w:val="2E4A77E1"/>
    <w:rsid w:val="30660B1B"/>
    <w:rsid w:val="318F5240"/>
    <w:rsid w:val="319F5F79"/>
    <w:rsid w:val="31CA56EC"/>
    <w:rsid w:val="31DC3409"/>
    <w:rsid w:val="3224724F"/>
    <w:rsid w:val="324F382C"/>
    <w:rsid w:val="32D54BE7"/>
    <w:rsid w:val="33C052E8"/>
    <w:rsid w:val="33C2127A"/>
    <w:rsid w:val="33EB6F0B"/>
    <w:rsid w:val="33F96CC9"/>
    <w:rsid w:val="34030C65"/>
    <w:rsid w:val="3575596F"/>
    <w:rsid w:val="35883ECC"/>
    <w:rsid w:val="35C45355"/>
    <w:rsid w:val="36D0009F"/>
    <w:rsid w:val="39A9025E"/>
    <w:rsid w:val="3A84577C"/>
    <w:rsid w:val="3AA27206"/>
    <w:rsid w:val="3B822B94"/>
    <w:rsid w:val="3CAF79B9"/>
    <w:rsid w:val="3D2F28A7"/>
    <w:rsid w:val="3E2D5039"/>
    <w:rsid w:val="3EE55913"/>
    <w:rsid w:val="3EF81810"/>
    <w:rsid w:val="3F326AC0"/>
    <w:rsid w:val="401D18F6"/>
    <w:rsid w:val="4105404B"/>
    <w:rsid w:val="41764F49"/>
    <w:rsid w:val="41934165"/>
    <w:rsid w:val="41F145CF"/>
    <w:rsid w:val="4205007B"/>
    <w:rsid w:val="42642C54"/>
    <w:rsid w:val="4387343D"/>
    <w:rsid w:val="43BD5C91"/>
    <w:rsid w:val="44D279E0"/>
    <w:rsid w:val="450972DE"/>
    <w:rsid w:val="453167C7"/>
    <w:rsid w:val="4670321D"/>
    <w:rsid w:val="472732CD"/>
    <w:rsid w:val="4769764A"/>
    <w:rsid w:val="478F466E"/>
    <w:rsid w:val="47B71E17"/>
    <w:rsid w:val="47E76462"/>
    <w:rsid w:val="496953F1"/>
    <w:rsid w:val="49A90923"/>
    <w:rsid w:val="49CD2321"/>
    <w:rsid w:val="4A0F7CE8"/>
    <w:rsid w:val="4A972E04"/>
    <w:rsid w:val="4AE41A0F"/>
    <w:rsid w:val="4B1650A7"/>
    <w:rsid w:val="4B382E28"/>
    <w:rsid w:val="4C0118B3"/>
    <w:rsid w:val="4CE0771A"/>
    <w:rsid w:val="4CED7717"/>
    <w:rsid w:val="4DE4148C"/>
    <w:rsid w:val="4F165675"/>
    <w:rsid w:val="4F1A622B"/>
    <w:rsid w:val="4F9C39BA"/>
    <w:rsid w:val="4FAE554B"/>
    <w:rsid w:val="4FBF5EA9"/>
    <w:rsid w:val="505679EE"/>
    <w:rsid w:val="50812FC2"/>
    <w:rsid w:val="50B63F0C"/>
    <w:rsid w:val="50C301CB"/>
    <w:rsid w:val="510F2479"/>
    <w:rsid w:val="51622DF4"/>
    <w:rsid w:val="528E0CBE"/>
    <w:rsid w:val="53523CC7"/>
    <w:rsid w:val="53C50E2A"/>
    <w:rsid w:val="53DE4961"/>
    <w:rsid w:val="548A30B2"/>
    <w:rsid w:val="5559450E"/>
    <w:rsid w:val="56C54482"/>
    <w:rsid w:val="57DAE6E1"/>
    <w:rsid w:val="58494D76"/>
    <w:rsid w:val="5A3211C6"/>
    <w:rsid w:val="5AA4447D"/>
    <w:rsid w:val="5B507CC2"/>
    <w:rsid w:val="5B5A6720"/>
    <w:rsid w:val="5C214B97"/>
    <w:rsid w:val="5C6C1FD5"/>
    <w:rsid w:val="5C754746"/>
    <w:rsid w:val="5D2E7CAE"/>
    <w:rsid w:val="5D3719A1"/>
    <w:rsid w:val="5D603E5F"/>
    <w:rsid w:val="5DC92D73"/>
    <w:rsid w:val="5DD04A7B"/>
    <w:rsid w:val="5DEA03F9"/>
    <w:rsid w:val="5E6C71A2"/>
    <w:rsid w:val="5EC0115A"/>
    <w:rsid w:val="5EFC37A0"/>
    <w:rsid w:val="5F665FB3"/>
    <w:rsid w:val="5F894F90"/>
    <w:rsid w:val="60825D61"/>
    <w:rsid w:val="60956D42"/>
    <w:rsid w:val="610B0BC7"/>
    <w:rsid w:val="61172574"/>
    <w:rsid w:val="616E00F8"/>
    <w:rsid w:val="61812E22"/>
    <w:rsid w:val="61AA2584"/>
    <w:rsid w:val="61CF5DA0"/>
    <w:rsid w:val="642152E2"/>
    <w:rsid w:val="64320136"/>
    <w:rsid w:val="646D1D84"/>
    <w:rsid w:val="65077AE2"/>
    <w:rsid w:val="65581FFF"/>
    <w:rsid w:val="660A3943"/>
    <w:rsid w:val="66E2774D"/>
    <w:rsid w:val="672F3320"/>
    <w:rsid w:val="67780823"/>
    <w:rsid w:val="68153E56"/>
    <w:rsid w:val="68844206"/>
    <w:rsid w:val="68C77CB4"/>
    <w:rsid w:val="68E82732"/>
    <w:rsid w:val="69950263"/>
    <w:rsid w:val="6AEF1016"/>
    <w:rsid w:val="6B607F4C"/>
    <w:rsid w:val="6B9C08FE"/>
    <w:rsid w:val="6BD568B6"/>
    <w:rsid w:val="6CCD71F0"/>
    <w:rsid w:val="6D302AC5"/>
    <w:rsid w:val="6E101CDB"/>
    <w:rsid w:val="6E625D89"/>
    <w:rsid w:val="6E661D1D"/>
    <w:rsid w:val="6EED7D49"/>
    <w:rsid w:val="6FAE2AB0"/>
    <w:rsid w:val="6FAF14A2"/>
    <w:rsid w:val="7027728A"/>
    <w:rsid w:val="711315BD"/>
    <w:rsid w:val="714E7A95"/>
    <w:rsid w:val="729E74BD"/>
    <w:rsid w:val="72C274F4"/>
    <w:rsid w:val="72C94629"/>
    <w:rsid w:val="72F84F0E"/>
    <w:rsid w:val="739C1486"/>
    <w:rsid w:val="758A4BB8"/>
    <w:rsid w:val="76077CED"/>
    <w:rsid w:val="7618716A"/>
    <w:rsid w:val="76CC7B07"/>
    <w:rsid w:val="76E36B7A"/>
    <w:rsid w:val="77593AC0"/>
    <w:rsid w:val="77B91341"/>
    <w:rsid w:val="785712FB"/>
    <w:rsid w:val="797352EE"/>
    <w:rsid w:val="7A040254"/>
    <w:rsid w:val="7A320D06"/>
    <w:rsid w:val="7A754E5F"/>
    <w:rsid w:val="7DCA74A7"/>
    <w:rsid w:val="7DDF2F52"/>
    <w:rsid w:val="7E287EC3"/>
    <w:rsid w:val="7EB7B118"/>
    <w:rsid w:val="7EEC634C"/>
    <w:rsid w:val="7F4DBC21"/>
    <w:rsid w:val="7F601E71"/>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qFormat/>
    <w:uiPriority w:val="0"/>
    <w:pPr>
      <w:ind w:firstLine="420"/>
    </w:pPr>
    <w:rPr>
      <w:rFonts w:hAnsi="Calibri" w:cs="Times New Roman"/>
      <w:snapToGrid/>
      <w:szCs w:val="20"/>
    </w:rPr>
  </w:style>
  <w:style w:type="paragraph" w:styleId="25">
    <w:name w:val="Body Text Indent"/>
    <w:basedOn w:val="1"/>
    <w:next w:val="1"/>
    <w:link w:val="267"/>
    <w:qFormat/>
    <w:uiPriority w:val="0"/>
    <w:pPr>
      <w:tabs>
        <w:tab w:val="left" w:pos="1008"/>
      </w:tabs>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2"/>
    <w:basedOn w:val="1"/>
    <w:next w:val="1"/>
    <w:autoRedefine/>
    <w:qFormat/>
    <w:uiPriority w:val="0"/>
    <w:pPr>
      <w:keepNext/>
      <w:keepLines/>
      <w:spacing w:before="260" w:after="260" w:line="413" w:lineRule="auto"/>
    </w:pPr>
    <w:rPr>
      <w:sz w:val="18"/>
      <w:szCs w:val="18"/>
    </w:rPr>
  </w:style>
  <w:style w:type="paragraph" w:customStyle="1" w:styleId="80">
    <w:name w:val="列表段落1"/>
    <w:basedOn w:val="1"/>
    <w:qFormat/>
    <w:uiPriority w:val="34"/>
    <w:pPr>
      <w:adjustRightInd/>
      <w:ind w:right="238" w:firstLine="420"/>
    </w:pPr>
    <w:rPr>
      <w:rFonts w:ascii="Calibri" w:hAnsi="Calibri"/>
      <w:sz w:val="24"/>
    </w:rPr>
  </w:style>
  <w:style w:type="paragraph" w:customStyle="1" w:styleId="81">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7bee19d-6ee1-4f59-9a95-63e8ae457081"/>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349d8ccd-87a8-4174-b318-483ee852d82b"/>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4"/>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72f22585-e026-41c0-b855-8ac788c27b1e"/>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3"/>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4"/>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3"/>
    <w:next w:val="8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3"/>
    <w:next w:val="83"/>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Plain Text"/>
    <w:basedOn w:val="967"/>
    <w:qFormat/>
    <w:uiPriority w:val="0"/>
    <w:pPr>
      <w:numPr>
        <w:ilvl w:val="0"/>
        <w:numId w:val="1"/>
      </w:numPr>
      <w:autoSpaceDE w:val="0"/>
      <w:autoSpaceDN w:val="0"/>
      <w:adjustRightInd w:val="0"/>
      <w:ind w:left="0" w:firstLine="0"/>
      <w:textAlignment w:val="baseline"/>
    </w:pPr>
    <w:rPr>
      <w:rFonts w:ascii="宋体" w:hAnsi="Tms Rmn"/>
      <w:kern w:val="0"/>
      <w:sz w:val="21"/>
    </w:rPr>
  </w:style>
  <w:style w:type="paragraph" w:customStyle="1" w:styleId="967">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paragraph" w:customStyle="1" w:styleId="970">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1">
    <w:name w:val="NormalCharacter"/>
    <w:semiHidden/>
    <w:qFormat/>
    <w:uiPriority w:val="0"/>
  </w:style>
  <w:style w:type="paragraph" w:customStyle="1" w:styleId="972">
    <w:name w:val="PlainText"/>
    <w:basedOn w:val="1"/>
    <w:next w:val="1"/>
    <w:qFormat/>
    <w:uiPriority w:val="0"/>
    <w:pPr>
      <w:spacing w:before="156" w:after="156" w:line="400" w:lineRule="exact"/>
    </w:pPr>
    <w:rPr>
      <w:rFonts w:ascii="宋体" w:hAnsi="Courier New"/>
    </w:rPr>
  </w:style>
  <w:style w:type="paragraph" w:customStyle="1" w:styleId="973">
    <w:name w:val="DG正文"/>
    <w:basedOn w:val="1"/>
    <w:qFormat/>
    <w:uiPriority w:val="99"/>
    <w:pPr>
      <w:widowControl/>
      <w:spacing w:line="360" w:lineRule="auto"/>
      <w:ind w:right="142" w:firstLine="640"/>
      <w:jc w:val="left"/>
    </w:pPr>
    <w:rPr>
      <w:rFonts w:ascii="Calibri" w:hAnsi="Calibri" w:cs="Calibri"/>
    </w:rPr>
  </w:style>
  <w:style w:type="paragraph" w:customStyle="1" w:styleId="974">
    <w:name w:val="NormalIndent"/>
    <w:basedOn w:val="1"/>
    <w:next w:val="975"/>
    <w:autoRedefine/>
    <w:qFormat/>
    <w:uiPriority w:val="0"/>
    <w:pPr>
      <w:ind w:firstLine="420"/>
    </w:pPr>
  </w:style>
  <w:style w:type="paragraph" w:customStyle="1" w:styleId="975">
    <w:name w:val="BodyTextIndent"/>
    <w:basedOn w:val="1"/>
    <w:next w:val="1"/>
    <w:autoRedefine/>
    <w:qFormat/>
    <w:uiPriority w:val="0"/>
    <w:pPr>
      <w:spacing w:line="200" w:lineRule="exact"/>
      <w:ind w:firstLine="301"/>
    </w:pPr>
    <w:rPr>
      <w:rFonts w:ascii="宋体" w:hAnsi="Courier New"/>
      <w:spacing w:val="-4"/>
      <w:sz w:val="18"/>
    </w:rPr>
  </w:style>
  <w:style w:type="paragraph" w:customStyle="1" w:styleId="976">
    <w:name w:val="List Paragraph"/>
    <w:basedOn w:val="1"/>
    <w:qFormat/>
    <w:uiPriority w:val="99"/>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16669</Words>
  <Characters>17927</Characters>
  <Lines>338</Lines>
  <Paragraphs>95</Paragraphs>
  <TotalTime>25</TotalTime>
  <ScaleCrop>false</ScaleCrop>
  <LinksUpToDate>false</LinksUpToDate>
  <CharactersWithSpaces>19338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NTKO</cp:lastModifiedBy>
  <cp:lastPrinted>2024-11-25T01:53:00Z</cp:lastPrinted>
  <dcterms:modified xsi:type="dcterms:W3CDTF">2024-11-28T10:01:56Z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F3146673C86C44FB9ECDC0DDAE995F07_13</vt:lpwstr>
  </property>
</Properties>
</file>