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5DC99">
      <w:pPr>
        <w:spacing w:line="360" w:lineRule="auto"/>
        <w:jc w:val="center"/>
        <w:rPr>
          <w:rFonts w:hint="eastAsia" w:ascii="宋体" w:hAnsi="宋体" w:eastAsia="宋体" w:cs="宋体"/>
          <w:b/>
          <w:color w:val="auto"/>
          <w:sz w:val="24"/>
          <w:highlight w:val="none"/>
        </w:rPr>
      </w:pPr>
    </w:p>
    <w:p w14:paraId="51F81225">
      <w:pPr>
        <w:adjustRightInd/>
        <w:spacing w:line="360" w:lineRule="auto"/>
        <w:jc w:val="center"/>
        <w:rPr>
          <w:rFonts w:hint="eastAsia" w:ascii="仿宋" w:hAnsi="仿宋" w:eastAsia="仿宋" w:cs="仿宋"/>
          <w:b/>
          <w:color w:val="auto"/>
          <w:sz w:val="48"/>
          <w:szCs w:val="48"/>
          <w:highlight w:val="none"/>
        </w:rPr>
      </w:pPr>
    </w:p>
    <w:p w14:paraId="12840AB0">
      <w:pPr>
        <w:spacing w:before="240" w:beforeLines="100" w:after="120" w:afterLines="50" w:line="1500" w:lineRule="exact"/>
        <w:ind w:right="-191" w:rightChars="-91"/>
        <w:jc w:val="center"/>
        <w:rPr>
          <w:rFonts w:ascii="宋体"/>
          <w:sz w:val="24"/>
        </w:rPr>
      </w:pPr>
      <w:r>
        <w:rPr>
          <w:rFonts w:hint="eastAsia" w:ascii="宋体" w:hAnsi="宋体" w:cs="宋体"/>
          <w:b/>
          <w:kern w:val="0"/>
          <w:sz w:val="72"/>
          <w:szCs w:val="72"/>
          <w:lang w:bidi="ar"/>
        </w:rPr>
        <w:t>采购项目</w:t>
      </w:r>
      <w:r>
        <w:rPr>
          <w:rFonts w:hint="eastAsia" w:ascii="宋体" w:hAnsi="宋体" w:cs="宋体"/>
          <w:b/>
          <w:kern w:val="0"/>
          <w:sz w:val="72"/>
          <w:szCs w:val="72"/>
          <w:lang w:val="en-US" w:eastAsia="zh-CN" w:bidi="ar"/>
        </w:rPr>
        <w:t>交易</w:t>
      </w:r>
      <w:r>
        <w:rPr>
          <w:rFonts w:hint="eastAsia" w:ascii="宋体" w:hAnsi="宋体" w:cs="宋体"/>
          <w:b/>
          <w:kern w:val="0"/>
          <w:sz w:val="72"/>
          <w:szCs w:val="72"/>
          <w:lang w:bidi="ar"/>
        </w:rPr>
        <w:t>文件</w:t>
      </w:r>
    </w:p>
    <w:p w14:paraId="26170A83">
      <w:pPr>
        <w:pStyle w:val="965"/>
        <w:rPr>
          <w:rFonts w:hint="default" w:ascii="宋体" w:eastAsia="宋体"/>
          <w:b w:val="0"/>
          <w:sz w:val="32"/>
          <w:lang w:val="en-US" w:eastAsia="zh-CN"/>
        </w:rPr>
      </w:pPr>
      <w:r>
        <w:rPr>
          <w:rFonts w:hint="eastAsia" w:ascii="宋体" w:eastAsia="宋体"/>
          <w:b w:val="0"/>
          <w:sz w:val="32"/>
          <w:lang w:val="en-US" w:eastAsia="zh-CN"/>
        </w:rPr>
        <w:t>交易</w:t>
      </w:r>
      <w:r>
        <w:rPr>
          <w:rFonts w:hint="eastAsia" w:ascii="宋体" w:eastAsia="宋体"/>
          <w:b w:val="0"/>
          <w:sz w:val="32"/>
        </w:rPr>
        <w:t>编号：</w:t>
      </w:r>
      <w:r>
        <w:rPr>
          <w:rFonts w:hint="eastAsia" w:ascii="宋体" w:eastAsia="宋体"/>
          <w:b w:val="0"/>
          <w:sz w:val="32"/>
          <w:lang w:val="en-US" w:eastAsia="zh-CN"/>
        </w:rPr>
        <w:t>PYZ-HSDL-2025002</w:t>
      </w:r>
    </w:p>
    <w:p w14:paraId="6F0767C9">
      <w:pPr>
        <w:spacing w:line="360" w:lineRule="auto"/>
        <w:rPr>
          <w:rFonts w:ascii="宋体"/>
          <w:sz w:val="24"/>
        </w:rPr>
      </w:pPr>
    </w:p>
    <w:p w14:paraId="0DF00FB9">
      <w:pPr>
        <w:snapToGrid w:val="0"/>
        <w:spacing w:before="960" w:beforeLines="400" w:line="1000" w:lineRule="exact"/>
        <w:ind w:left="1899" w:leftChars="135" w:hanging="1616" w:hangingChars="505"/>
        <w:rPr>
          <w:rFonts w:hint="default" w:ascii="宋体" w:hAnsi="宋体" w:cs="宋体"/>
          <w:kern w:val="0"/>
          <w:sz w:val="32"/>
          <w:szCs w:val="32"/>
          <w:u w:val="single"/>
          <w:lang w:val="en-US" w:eastAsia="zh-CN" w:bidi="ar"/>
        </w:rPr>
      </w:pPr>
      <w:r>
        <w:rPr>
          <w:rFonts w:hint="eastAsia" w:ascii="宋体" w:hAnsi="宋体" w:cs="宋体"/>
          <w:kern w:val="0"/>
          <w:sz w:val="32"/>
          <w:szCs w:val="32"/>
          <w:lang w:bidi="ar"/>
        </w:rPr>
        <w:t>项目名称：</w:t>
      </w:r>
      <w:r>
        <w:rPr>
          <w:rFonts w:hint="eastAsia" w:ascii="宋体" w:hAnsi="宋体" w:cs="宋体"/>
          <w:kern w:val="0"/>
          <w:sz w:val="32"/>
          <w:szCs w:val="32"/>
          <w:u w:val="single"/>
          <w:lang w:bidi="ar"/>
        </w:rPr>
        <w:t xml:space="preserve"> </w:t>
      </w:r>
      <w:r>
        <w:rPr>
          <w:rFonts w:hint="eastAsia" w:ascii="宋体" w:hAnsi="宋体" w:cs="宋体"/>
          <w:kern w:val="0"/>
          <w:sz w:val="32"/>
          <w:szCs w:val="32"/>
          <w:u w:val="single"/>
          <w:lang w:val="en-US" w:eastAsia="zh-CN" w:bidi="ar"/>
        </w:rPr>
        <w:t xml:space="preserve">    </w:t>
      </w:r>
      <w:r>
        <w:rPr>
          <w:rFonts w:hint="eastAsia" w:ascii="宋体" w:hAnsi="宋体" w:cs="宋体"/>
          <w:kern w:val="0"/>
          <w:sz w:val="32"/>
          <w:szCs w:val="32"/>
          <w:u w:val="single"/>
          <w:lang w:bidi="ar"/>
        </w:rPr>
        <w:t xml:space="preserve"> </w:t>
      </w:r>
      <w:r>
        <w:rPr>
          <w:rFonts w:hint="eastAsia" w:ascii="宋体" w:hAnsi="宋体" w:cs="宋体"/>
          <w:kern w:val="0"/>
          <w:sz w:val="32"/>
          <w:szCs w:val="32"/>
          <w:u w:val="single"/>
          <w:lang w:eastAsia="zh-CN" w:bidi="ar"/>
        </w:rPr>
        <w:t>桃源村市级未来乡村数字化提升</w:t>
      </w:r>
      <w:r>
        <w:rPr>
          <w:rFonts w:hint="eastAsia" w:ascii="宋体" w:hAnsi="宋体" w:cs="宋体"/>
          <w:kern w:val="0"/>
          <w:sz w:val="32"/>
          <w:szCs w:val="32"/>
          <w:u w:val="single"/>
          <w:lang w:val="en-US" w:eastAsia="zh-CN" w:bidi="ar"/>
        </w:rPr>
        <w:t xml:space="preserve">         </w:t>
      </w:r>
    </w:p>
    <w:p w14:paraId="2F34BEDC">
      <w:pPr>
        <w:snapToGrid w:val="0"/>
        <w:spacing w:before="360" w:beforeLines="150" w:line="1000" w:lineRule="exact"/>
        <w:ind w:firstLine="320" w:firstLineChars="100"/>
        <w:rPr>
          <w:rFonts w:hint="eastAsia" w:ascii="宋体" w:hAnsi="宋体" w:cs="宋体"/>
          <w:kern w:val="0"/>
          <w:sz w:val="32"/>
          <w:szCs w:val="32"/>
          <w:u w:val="single"/>
        </w:rPr>
      </w:pPr>
      <w:r>
        <w:rPr>
          <w:rFonts w:hint="eastAsia" w:ascii="宋体" w:hAnsi="宋体" w:cs="宋体"/>
          <w:kern w:val="0"/>
          <w:sz w:val="32"/>
          <w:szCs w:val="32"/>
          <w:lang w:bidi="ar"/>
        </w:rPr>
        <w:t>采购人：</w:t>
      </w:r>
      <w:r>
        <w:rPr>
          <w:rFonts w:hint="eastAsia" w:ascii="宋体" w:hAnsi="宋体" w:cs="宋体"/>
          <w:kern w:val="0"/>
          <w:sz w:val="32"/>
          <w:szCs w:val="32"/>
          <w:u w:val="single"/>
          <w:lang w:bidi="ar"/>
        </w:rPr>
        <w:t xml:space="preserve">   </w:t>
      </w:r>
      <w:r>
        <w:rPr>
          <w:rFonts w:hint="eastAsia" w:ascii="宋体" w:hAnsi="宋体" w:cs="宋体"/>
          <w:kern w:val="0"/>
          <w:sz w:val="32"/>
          <w:szCs w:val="32"/>
          <w:u w:val="single"/>
          <w:lang w:val="en-US" w:eastAsia="zh-CN" w:bidi="ar"/>
        </w:rPr>
        <w:t xml:space="preserve">  </w:t>
      </w:r>
      <w:r>
        <w:rPr>
          <w:rFonts w:hint="eastAsia" w:ascii="宋体" w:hAnsi="宋体" w:cs="宋体"/>
          <w:kern w:val="0"/>
          <w:sz w:val="32"/>
          <w:szCs w:val="32"/>
          <w:u w:val="single"/>
          <w:lang w:eastAsia="zh-CN" w:bidi="ar"/>
        </w:rPr>
        <w:t>杭州萧山浦阳桃源股份经济联合社</w:t>
      </w:r>
      <w:r>
        <w:rPr>
          <w:rFonts w:hint="eastAsia" w:ascii="宋体" w:hAnsi="宋体" w:cs="宋体"/>
          <w:kern w:val="0"/>
          <w:sz w:val="32"/>
          <w:szCs w:val="32"/>
          <w:u w:val="single"/>
          <w:lang w:bidi="ar"/>
        </w:rPr>
        <w:t xml:space="preserve">  </w:t>
      </w:r>
      <w:r>
        <w:rPr>
          <w:rFonts w:hint="eastAsia" w:ascii="宋体" w:hAnsi="宋体" w:cs="宋体"/>
          <w:w w:val="95"/>
          <w:kern w:val="0"/>
          <w:sz w:val="32"/>
          <w:szCs w:val="32"/>
          <w:u w:val="single"/>
          <w:lang w:bidi="ar"/>
        </w:rPr>
        <w:t>（盖章）</w:t>
      </w:r>
    </w:p>
    <w:p w14:paraId="260A4CB0">
      <w:pPr>
        <w:snapToGrid w:val="0"/>
        <w:spacing w:before="360" w:beforeLines="150" w:line="1000" w:lineRule="exact"/>
        <w:ind w:left="1579" w:leftChars="135" w:hanging="1296" w:hangingChars="405"/>
        <w:rPr>
          <w:rFonts w:hint="eastAsia" w:ascii="宋体" w:hAnsi="宋体" w:cs="宋体"/>
          <w:kern w:val="0"/>
          <w:sz w:val="32"/>
          <w:szCs w:val="32"/>
          <w:lang w:bidi="ar"/>
        </w:rPr>
      </w:pPr>
      <w:r>
        <w:rPr>
          <w:rFonts w:hint="eastAsia" w:ascii="宋体" w:hAnsi="宋体" w:cs="宋体"/>
          <w:kern w:val="0"/>
          <w:sz w:val="32"/>
          <w:szCs w:val="32"/>
          <w:lang w:bidi="ar"/>
        </w:rPr>
        <w:t>法定代表人或其委托代理人：</w:t>
      </w:r>
      <w:r>
        <w:rPr>
          <w:rFonts w:hint="eastAsia" w:ascii="宋体" w:hAnsi="宋体" w:cs="宋体"/>
          <w:kern w:val="0"/>
          <w:sz w:val="32"/>
          <w:szCs w:val="32"/>
          <w:u w:val="single"/>
          <w:lang w:bidi="ar"/>
        </w:rPr>
        <w:t xml:space="preserve">         </w:t>
      </w:r>
      <w:r>
        <w:rPr>
          <w:rFonts w:hint="eastAsia" w:ascii="宋体" w:hAnsi="宋体" w:cs="宋体"/>
          <w:kern w:val="0"/>
          <w:sz w:val="32"/>
          <w:szCs w:val="32"/>
          <w:u w:val="single"/>
          <w:lang w:val="en-US" w:eastAsia="zh-CN" w:bidi="ar"/>
        </w:rPr>
        <w:t xml:space="preserve">   </w:t>
      </w:r>
      <w:r>
        <w:rPr>
          <w:rFonts w:hint="eastAsia" w:ascii="宋体" w:hAnsi="宋体" w:cs="宋体"/>
          <w:kern w:val="0"/>
          <w:sz w:val="32"/>
          <w:szCs w:val="32"/>
          <w:u w:val="single"/>
          <w:lang w:bidi="ar"/>
        </w:rPr>
        <w:t>（签字或盖章）</w:t>
      </w:r>
    </w:p>
    <w:p w14:paraId="424D95F7">
      <w:pPr>
        <w:snapToGrid w:val="0"/>
        <w:spacing w:before="360" w:beforeLines="150" w:line="1000" w:lineRule="exact"/>
        <w:ind w:left="1579" w:leftChars="135" w:hanging="1296" w:hangingChars="405"/>
        <w:rPr>
          <w:rFonts w:hint="eastAsia" w:ascii="宋体" w:hAnsi="宋体" w:cs="宋体"/>
          <w:b/>
          <w:kern w:val="0"/>
          <w:sz w:val="32"/>
          <w:szCs w:val="32"/>
          <w:u w:val="single"/>
        </w:rPr>
      </w:pPr>
      <w:r>
        <w:rPr>
          <w:rFonts w:hint="eastAsia" w:ascii="宋体" w:hAnsi="宋体" w:cs="宋体"/>
          <w:kern w:val="0"/>
          <w:sz w:val="32"/>
          <w:szCs w:val="32"/>
          <w:lang w:bidi="ar"/>
        </w:rPr>
        <w:t>代理机构：</w:t>
      </w:r>
      <w:r>
        <w:rPr>
          <w:rFonts w:hint="eastAsia" w:ascii="宋体" w:hAnsi="宋体" w:cs="宋体"/>
          <w:kern w:val="0"/>
          <w:sz w:val="32"/>
          <w:szCs w:val="32"/>
          <w:u w:val="single"/>
          <w:lang w:bidi="ar"/>
        </w:rPr>
        <w:t xml:space="preserve">   </w:t>
      </w:r>
      <w:r>
        <w:rPr>
          <w:rFonts w:hint="eastAsia" w:ascii="宋体" w:hAnsi="宋体" w:cs="宋体"/>
          <w:bCs/>
          <w:sz w:val="32"/>
          <w:szCs w:val="32"/>
          <w:u w:val="single"/>
          <w:lang w:eastAsia="zh-CN" w:bidi="ar"/>
        </w:rPr>
        <w:t>浙江豪圣建设项目管理有限公司</w:t>
      </w:r>
      <w:r>
        <w:rPr>
          <w:rFonts w:hint="eastAsia" w:ascii="宋体" w:hAnsi="宋体" w:cs="宋体"/>
          <w:bCs/>
          <w:sz w:val="32"/>
          <w:szCs w:val="32"/>
          <w:u w:val="single"/>
          <w:lang w:val="en-US" w:eastAsia="zh-CN" w:bidi="ar"/>
        </w:rPr>
        <w:t xml:space="preserve">  </w:t>
      </w:r>
      <w:r>
        <w:rPr>
          <w:rFonts w:hint="eastAsia" w:ascii="宋体" w:hAnsi="宋体" w:cs="宋体"/>
          <w:kern w:val="0"/>
          <w:sz w:val="32"/>
          <w:szCs w:val="32"/>
          <w:u w:val="single"/>
          <w:lang w:bidi="ar"/>
        </w:rPr>
        <w:t>（盖章）</w:t>
      </w:r>
    </w:p>
    <w:p w14:paraId="66C6149D">
      <w:pPr>
        <w:snapToGrid w:val="0"/>
        <w:spacing w:before="360" w:beforeLines="150" w:line="1000" w:lineRule="exact"/>
        <w:ind w:left="1579" w:leftChars="135" w:hanging="1296" w:hangingChars="405"/>
        <w:rPr>
          <w:rFonts w:hint="eastAsia" w:ascii="宋体" w:hAnsi="宋体" w:cs="宋体"/>
          <w:kern w:val="0"/>
          <w:sz w:val="32"/>
          <w:szCs w:val="32"/>
          <w:lang w:bidi="ar"/>
        </w:rPr>
      </w:pPr>
      <w:r>
        <w:rPr>
          <w:rFonts w:hint="eastAsia" w:ascii="宋体" w:hAnsi="宋体" w:cs="宋体"/>
          <w:kern w:val="0"/>
          <w:sz w:val="32"/>
          <w:szCs w:val="32"/>
          <w:lang w:bidi="ar"/>
        </w:rPr>
        <w:t>法定代表人或其委托代理人：</w:t>
      </w:r>
      <w:r>
        <w:rPr>
          <w:rFonts w:hint="eastAsia" w:ascii="宋体" w:hAnsi="宋体" w:cs="宋体"/>
          <w:kern w:val="0"/>
          <w:sz w:val="32"/>
          <w:szCs w:val="32"/>
          <w:u w:val="single"/>
          <w:lang w:bidi="ar"/>
        </w:rPr>
        <w:t xml:space="preserve">         </w:t>
      </w:r>
      <w:r>
        <w:rPr>
          <w:rFonts w:hint="eastAsia" w:ascii="宋体" w:hAnsi="宋体" w:cs="宋体"/>
          <w:kern w:val="0"/>
          <w:sz w:val="32"/>
          <w:szCs w:val="32"/>
          <w:u w:val="single"/>
          <w:lang w:val="en-US" w:eastAsia="zh-CN" w:bidi="ar"/>
        </w:rPr>
        <w:t xml:space="preserve">  </w:t>
      </w:r>
      <w:r>
        <w:rPr>
          <w:rFonts w:hint="eastAsia" w:ascii="宋体" w:hAnsi="宋体" w:cs="宋体"/>
          <w:kern w:val="0"/>
          <w:sz w:val="32"/>
          <w:szCs w:val="32"/>
          <w:u w:val="single"/>
          <w:lang w:bidi="ar"/>
        </w:rPr>
        <w:t>（签字或盖章）</w:t>
      </w:r>
    </w:p>
    <w:p w14:paraId="308F9C4C">
      <w:pPr>
        <w:spacing w:line="240" w:lineRule="exact"/>
        <w:ind w:left="359" w:leftChars="171"/>
        <w:rPr>
          <w:rFonts w:ascii="宋体"/>
          <w:b/>
          <w:sz w:val="30"/>
          <w:szCs w:val="30"/>
        </w:rPr>
      </w:pPr>
    </w:p>
    <w:p w14:paraId="1354790D">
      <w:pPr>
        <w:spacing w:line="360" w:lineRule="auto"/>
        <w:ind w:right="21" w:rightChars="10"/>
        <w:jc w:val="center"/>
        <w:rPr>
          <w:rFonts w:hint="eastAsia" w:ascii="宋体" w:hAnsi="宋体" w:cs="宋体"/>
          <w:b/>
          <w:sz w:val="32"/>
          <w:szCs w:val="30"/>
        </w:rPr>
      </w:pPr>
    </w:p>
    <w:p w14:paraId="22217448">
      <w:pPr>
        <w:spacing w:line="360" w:lineRule="auto"/>
        <w:ind w:right="21" w:rightChars="10"/>
        <w:rPr>
          <w:rFonts w:hint="eastAsia" w:ascii="宋体" w:hAnsi="宋体" w:cs="宋体"/>
          <w:b/>
          <w:sz w:val="32"/>
          <w:szCs w:val="30"/>
        </w:rPr>
      </w:pPr>
    </w:p>
    <w:p w14:paraId="6236E7A8">
      <w:pPr>
        <w:spacing w:line="360" w:lineRule="auto"/>
        <w:ind w:right="21" w:rightChars="10"/>
        <w:jc w:val="center"/>
      </w:pPr>
      <w:r>
        <w:rPr>
          <w:rFonts w:hint="eastAsia" w:ascii="宋体" w:hAnsi="宋体" w:cs="宋体"/>
          <w:bCs/>
          <w:sz w:val="32"/>
          <w:szCs w:val="30"/>
        </w:rPr>
        <w:t>二〇二</w:t>
      </w:r>
      <w:r>
        <w:rPr>
          <w:rFonts w:hint="eastAsia" w:ascii="宋体" w:hAnsi="宋体" w:cs="宋体"/>
          <w:bCs/>
          <w:sz w:val="32"/>
          <w:szCs w:val="30"/>
          <w:lang w:val="en-US" w:eastAsia="zh-CN"/>
        </w:rPr>
        <w:t>五</w:t>
      </w:r>
      <w:r>
        <w:rPr>
          <w:rFonts w:hint="eastAsia" w:ascii="宋体" w:hAnsi="宋体" w:cs="宋体"/>
          <w:bCs/>
          <w:sz w:val="32"/>
          <w:szCs w:val="30"/>
        </w:rPr>
        <w:t>年</w:t>
      </w:r>
      <w:r>
        <w:rPr>
          <w:rFonts w:hint="eastAsia" w:ascii="宋体" w:hAnsi="宋体" w:cs="宋体"/>
          <w:bCs/>
          <w:sz w:val="32"/>
          <w:szCs w:val="30"/>
          <w:lang w:val="en-US" w:eastAsia="zh-CN"/>
        </w:rPr>
        <w:t>三</w:t>
      </w:r>
      <w:r>
        <w:rPr>
          <w:rFonts w:hint="eastAsia" w:ascii="宋体" w:hAnsi="宋体" w:cs="宋体"/>
          <w:bCs/>
          <w:sz w:val="32"/>
          <w:szCs w:val="30"/>
        </w:rPr>
        <w:t>月</w:t>
      </w:r>
    </w:p>
    <w:p w14:paraId="0FD0D730">
      <w:pPr>
        <w:snapToGrid w:val="0"/>
        <w:spacing w:line="360" w:lineRule="auto"/>
        <w:jc w:val="center"/>
        <w:rPr>
          <w:rFonts w:hint="eastAsia" w:ascii="仿宋" w:hAnsi="仿宋" w:eastAsia="仿宋" w:cs="仿宋"/>
          <w:color w:val="auto"/>
          <w:sz w:val="24"/>
          <w:highlight w:val="none"/>
        </w:rPr>
      </w:pPr>
      <w:bookmarkStart w:id="0" w:name="_Hlt67893495"/>
      <w:bookmarkEnd w:id="0"/>
    </w:p>
    <w:p w14:paraId="67720445">
      <w:pPr>
        <w:spacing w:line="360" w:lineRule="auto"/>
        <w:jc w:val="center"/>
        <w:rPr>
          <w:rFonts w:hint="eastAsia" w:ascii="仿宋" w:hAnsi="仿宋" w:eastAsia="仿宋" w:cs="仿宋"/>
          <w:color w:val="auto"/>
          <w:sz w:val="24"/>
          <w:highlight w:val="none"/>
        </w:rPr>
      </w:pPr>
    </w:p>
    <w:p w14:paraId="486D17FF">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23597AE">
      <w:pPr>
        <w:spacing w:line="360" w:lineRule="auto"/>
        <w:rPr>
          <w:rFonts w:hint="eastAsia" w:ascii="仿宋" w:hAnsi="仿宋" w:eastAsia="仿宋" w:cs="仿宋"/>
          <w:color w:val="auto"/>
          <w:sz w:val="32"/>
          <w:szCs w:val="32"/>
          <w:highlight w:val="none"/>
        </w:rPr>
      </w:pPr>
    </w:p>
    <w:p w14:paraId="492750F9">
      <w:pPr>
        <w:spacing w:line="360" w:lineRule="auto"/>
        <w:rPr>
          <w:rFonts w:hint="eastAsia" w:ascii="仿宋" w:hAnsi="仿宋" w:eastAsia="仿宋" w:cs="仿宋"/>
          <w:color w:val="auto"/>
          <w:sz w:val="32"/>
          <w:szCs w:val="32"/>
          <w:highlight w:val="none"/>
        </w:rPr>
      </w:pPr>
    </w:p>
    <w:p w14:paraId="7732682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第一部分      </w:t>
      </w:r>
      <w:r>
        <w:rPr>
          <w:rFonts w:hint="eastAsia" w:ascii="仿宋" w:hAnsi="仿宋" w:eastAsia="仿宋" w:cs="仿宋"/>
          <w:color w:val="auto"/>
          <w:sz w:val="32"/>
          <w:szCs w:val="32"/>
          <w:highlight w:val="none"/>
          <w:lang w:eastAsia="zh-CN"/>
        </w:rPr>
        <w:t>交易</w:t>
      </w:r>
      <w:r>
        <w:rPr>
          <w:rFonts w:hint="eastAsia" w:ascii="仿宋" w:hAnsi="仿宋" w:eastAsia="仿宋" w:cs="仿宋"/>
          <w:color w:val="auto"/>
          <w:sz w:val="32"/>
          <w:szCs w:val="32"/>
          <w:highlight w:val="none"/>
        </w:rPr>
        <w:t>公告</w:t>
      </w:r>
    </w:p>
    <w:p w14:paraId="33618FE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须知</w:t>
      </w:r>
    </w:p>
    <w:p w14:paraId="7C733A8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32E9FF4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w:t>
      </w:r>
      <w:r>
        <w:rPr>
          <w:rFonts w:hint="eastAsia" w:ascii="仿宋" w:hAnsi="仿宋" w:eastAsia="仿宋" w:cs="仿宋"/>
          <w:color w:val="auto"/>
          <w:sz w:val="32"/>
          <w:szCs w:val="32"/>
          <w:highlight w:val="none"/>
          <w:lang w:eastAsia="zh-CN"/>
        </w:rPr>
        <w:t>审</w:t>
      </w:r>
      <w:r>
        <w:rPr>
          <w:rFonts w:hint="eastAsia" w:ascii="仿宋" w:hAnsi="仿宋" w:eastAsia="仿宋" w:cs="仿宋"/>
          <w:color w:val="auto"/>
          <w:sz w:val="32"/>
          <w:szCs w:val="32"/>
          <w:highlight w:val="none"/>
        </w:rPr>
        <w:t>办法</w:t>
      </w:r>
    </w:p>
    <w:p w14:paraId="3B64860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应提交的有关格式范例</w:t>
      </w:r>
    </w:p>
    <w:p w14:paraId="5FEFCEE2">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6736C7C2">
      <w:pPr>
        <w:spacing w:line="360" w:lineRule="auto"/>
        <w:ind w:firstLine="549" w:firstLineChars="229"/>
        <w:rPr>
          <w:rFonts w:hint="eastAsia" w:ascii="仿宋" w:hAnsi="仿宋" w:eastAsia="仿宋" w:cs="仿宋"/>
          <w:color w:val="auto"/>
          <w:sz w:val="24"/>
          <w:highlight w:val="none"/>
        </w:rPr>
      </w:pPr>
    </w:p>
    <w:p w14:paraId="62FDE30D">
      <w:pPr>
        <w:spacing w:line="360" w:lineRule="auto"/>
        <w:ind w:firstLine="549" w:firstLineChars="229"/>
        <w:rPr>
          <w:rFonts w:hint="eastAsia" w:ascii="仿宋" w:hAnsi="仿宋" w:eastAsia="仿宋" w:cs="仿宋"/>
          <w:color w:val="auto"/>
          <w:sz w:val="24"/>
          <w:highlight w:val="none"/>
        </w:rPr>
      </w:pPr>
    </w:p>
    <w:p w14:paraId="2CFEE7DE">
      <w:pPr>
        <w:spacing w:line="360" w:lineRule="auto"/>
        <w:ind w:firstLine="549" w:firstLineChars="229"/>
        <w:rPr>
          <w:rFonts w:hint="eastAsia" w:ascii="仿宋" w:hAnsi="仿宋" w:eastAsia="仿宋" w:cs="仿宋"/>
          <w:color w:val="auto"/>
          <w:sz w:val="24"/>
          <w:highlight w:val="none"/>
        </w:rPr>
      </w:pPr>
    </w:p>
    <w:p w14:paraId="0BBB225C">
      <w:pPr>
        <w:spacing w:line="360" w:lineRule="auto"/>
        <w:ind w:firstLine="549" w:firstLineChars="229"/>
        <w:rPr>
          <w:rFonts w:hint="eastAsia" w:ascii="仿宋" w:hAnsi="仿宋" w:eastAsia="仿宋" w:cs="仿宋"/>
          <w:color w:val="auto"/>
          <w:sz w:val="24"/>
          <w:highlight w:val="none"/>
        </w:rPr>
      </w:pPr>
    </w:p>
    <w:p w14:paraId="63E9FDFA">
      <w:pPr>
        <w:spacing w:line="360" w:lineRule="auto"/>
        <w:ind w:firstLine="549" w:firstLineChars="229"/>
        <w:rPr>
          <w:rFonts w:hint="eastAsia" w:ascii="仿宋" w:hAnsi="仿宋" w:eastAsia="仿宋" w:cs="仿宋"/>
          <w:color w:val="auto"/>
          <w:sz w:val="24"/>
          <w:highlight w:val="none"/>
        </w:rPr>
      </w:pPr>
    </w:p>
    <w:p w14:paraId="7DF05C02">
      <w:pPr>
        <w:spacing w:line="360" w:lineRule="auto"/>
        <w:ind w:firstLine="549" w:firstLineChars="229"/>
        <w:rPr>
          <w:rFonts w:hint="eastAsia" w:ascii="仿宋" w:hAnsi="仿宋" w:eastAsia="仿宋" w:cs="仿宋"/>
          <w:color w:val="auto"/>
          <w:sz w:val="24"/>
          <w:highlight w:val="none"/>
        </w:rPr>
      </w:pPr>
    </w:p>
    <w:p w14:paraId="20B9DF90">
      <w:pPr>
        <w:spacing w:line="360" w:lineRule="auto"/>
        <w:ind w:firstLine="549" w:firstLineChars="229"/>
        <w:rPr>
          <w:rFonts w:hint="eastAsia" w:ascii="仿宋" w:hAnsi="仿宋" w:eastAsia="仿宋" w:cs="仿宋"/>
          <w:color w:val="auto"/>
          <w:sz w:val="24"/>
          <w:highlight w:val="none"/>
        </w:rPr>
      </w:pPr>
    </w:p>
    <w:p w14:paraId="49D291F3">
      <w:pPr>
        <w:spacing w:line="360" w:lineRule="auto"/>
        <w:ind w:firstLine="549" w:firstLineChars="229"/>
        <w:rPr>
          <w:rFonts w:hint="eastAsia" w:ascii="仿宋" w:hAnsi="仿宋" w:eastAsia="仿宋" w:cs="仿宋"/>
          <w:color w:val="auto"/>
          <w:sz w:val="24"/>
          <w:highlight w:val="none"/>
        </w:rPr>
      </w:pPr>
    </w:p>
    <w:p w14:paraId="79D7AD3F">
      <w:pPr>
        <w:spacing w:line="360" w:lineRule="auto"/>
        <w:ind w:firstLine="549" w:firstLineChars="229"/>
        <w:rPr>
          <w:rFonts w:hint="eastAsia" w:ascii="仿宋" w:hAnsi="仿宋" w:eastAsia="仿宋" w:cs="仿宋"/>
          <w:color w:val="auto"/>
          <w:sz w:val="24"/>
          <w:highlight w:val="none"/>
        </w:rPr>
      </w:pPr>
    </w:p>
    <w:p w14:paraId="2551B96B">
      <w:pPr>
        <w:spacing w:line="360" w:lineRule="auto"/>
        <w:ind w:firstLine="549" w:firstLineChars="229"/>
        <w:rPr>
          <w:rFonts w:hint="eastAsia" w:ascii="仿宋" w:hAnsi="仿宋" w:eastAsia="仿宋" w:cs="仿宋"/>
          <w:color w:val="auto"/>
          <w:sz w:val="24"/>
          <w:highlight w:val="none"/>
        </w:rPr>
      </w:pPr>
    </w:p>
    <w:p w14:paraId="3B7FD1C0">
      <w:pPr>
        <w:spacing w:line="360" w:lineRule="auto"/>
        <w:ind w:firstLine="549" w:firstLineChars="229"/>
        <w:rPr>
          <w:rFonts w:hint="eastAsia" w:ascii="仿宋" w:hAnsi="仿宋" w:eastAsia="仿宋" w:cs="仿宋"/>
          <w:color w:val="auto"/>
          <w:sz w:val="24"/>
          <w:highlight w:val="none"/>
        </w:rPr>
      </w:pPr>
    </w:p>
    <w:p w14:paraId="11825011">
      <w:pPr>
        <w:spacing w:line="360" w:lineRule="auto"/>
        <w:ind w:firstLine="549" w:firstLineChars="229"/>
        <w:rPr>
          <w:rFonts w:hint="eastAsia" w:ascii="仿宋" w:hAnsi="仿宋" w:eastAsia="仿宋" w:cs="仿宋"/>
          <w:color w:val="auto"/>
          <w:sz w:val="24"/>
          <w:highlight w:val="none"/>
        </w:rPr>
      </w:pPr>
    </w:p>
    <w:p w14:paraId="4F72D26E">
      <w:pPr>
        <w:spacing w:line="360" w:lineRule="auto"/>
        <w:rPr>
          <w:rFonts w:hint="eastAsia" w:ascii="仿宋" w:hAnsi="仿宋" w:eastAsia="仿宋" w:cs="仿宋"/>
          <w:color w:val="auto"/>
          <w:sz w:val="24"/>
          <w:highlight w:val="none"/>
        </w:rPr>
      </w:pPr>
    </w:p>
    <w:p w14:paraId="1FE655A4">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 xml:space="preserve">第一部分 </w:t>
      </w:r>
      <w:r>
        <w:rPr>
          <w:rFonts w:hint="eastAsia" w:ascii="仿宋" w:hAnsi="仿宋" w:eastAsia="仿宋" w:cs="仿宋"/>
          <w:b/>
          <w:color w:val="auto"/>
          <w:sz w:val="36"/>
          <w:szCs w:val="20"/>
          <w:highlight w:val="none"/>
          <w:lang w:eastAsia="zh-CN"/>
        </w:rPr>
        <w:t>交易</w:t>
      </w:r>
      <w:r>
        <w:rPr>
          <w:rFonts w:hint="eastAsia" w:ascii="仿宋" w:hAnsi="仿宋" w:eastAsia="仿宋" w:cs="仿宋"/>
          <w:b/>
          <w:color w:val="auto"/>
          <w:sz w:val="36"/>
          <w:szCs w:val="20"/>
          <w:highlight w:val="none"/>
        </w:rPr>
        <w:t>公告</w:t>
      </w:r>
    </w:p>
    <w:p w14:paraId="0881DAB3">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7111126">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桃源村市级未来乡村数字化提升</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项目的潜在</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应在</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w:t>
      </w:r>
      <w:r>
        <w:rPr>
          <w:rStyle w:val="77"/>
          <w:rFonts w:hint="eastAsia" w:ascii="仿宋" w:hAnsi="仿宋" w:eastAsia="仿宋" w:cs="仿宋"/>
          <w:snapToGrid/>
          <w:color w:val="auto"/>
          <w:kern w:val="2"/>
          <w:sz w:val="24"/>
          <w:szCs w:val="24"/>
          <w:highlight w:val="none"/>
          <w:lang w:eastAsia="zh-CN"/>
        </w:rPr>
        <w:t>交易</w:t>
      </w:r>
      <w:r>
        <w:rPr>
          <w:rStyle w:val="77"/>
          <w:rFonts w:hint="eastAsia" w:ascii="仿宋" w:hAnsi="仿宋" w:eastAsia="仿宋" w:cs="仿宋"/>
          <w:snapToGrid/>
          <w:color w:val="auto"/>
          <w:kern w:val="2"/>
          <w:sz w:val="24"/>
          <w:szCs w:val="24"/>
          <w:highlight w:val="none"/>
        </w:rPr>
        <w:t>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w:t>
      </w:r>
    </w:p>
    <w:p w14:paraId="29B657C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5F9270C3">
      <w:pPr>
        <w:spacing w:line="360" w:lineRule="auto"/>
        <w:rPr>
          <w:rFonts w:hint="eastAsia" w:ascii="仿宋" w:hAnsi="仿宋" w:eastAsia="仿宋" w:cs="仿宋"/>
          <w:b w:val="0"/>
          <w:bCs/>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项目编号：PYZ-HSDL-2025002</w:t>
      </w:r>
    </w:p>
    <w:p w14:paraId="0DC3E4D8">
      <w:pPr>
        <w:spacing w:line="360" w:lineRule="auto"/>
        <w:ind w:right="-388" w:rightChars="-185"/>
        <w:rPr>
          <w:rFonts w:hint="eastAsia" w:ascii="仿宋" w:hAnsi="仿宋" w:eastAsia="仿宋" w:cs="仿宋"/>
          <w:b w:val="0"/>
          <w:bCs/>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val="0"/>
          <w:bCs/>
          <w:color w:val="auto"/>
          <w:sz w:val="24"/>
          <w:highlight w:val="none"/>
          <w:lang w:eastAsia="zh-CN"/>
        </w:rPr>
        <w:t>桃源村市级未来乡村数字化提升</w:t>
      </w:r>
    </w:p>
    <w:p w14:paraId="4B550706">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val="0"/>
          <w:bCs/>
          <w:color w:val="auto"/>
          <w:sz w:val="24"/>
          <w:highlight w:val="none"/>
          <w:lang w:val="en-US" w:eastAsia="zh-CN"/>
        </w:rPr>
        <w:t>560000元</w:t>
      </w:r>
    </w:p>
    <w:p w14:paraId="1268D016">
      <w:pPr>
        <w:tabs>
          <w:tab w:val="center" w:pos="4535"/>
        </w:tabs>
        <w:spacing w:line="360" w:lineRule="auto"/>
        <w:ind w:firstLine="480"/>
        <w:rPr>
          <w:rFonts w:hint="eastAsia" w:ascii="仿宋" w:hAnsi="仿宋" w:eastAsia="仿宋" w:cs="仿宋"/>
          <w:b w:val="0"/>
          <w:bCs/>
          <w:color w:val="auto"/>
          <w:sz w:val="24"/>
          <w:highlight w:val="none"/>
          <w:lang w:val="en-US"/>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560000元</w:t>
      </w:r>
      <w:r>
        <w:rPr>
          <w:rFonts w:hint="eastAsia" w:ascii="仿宋" w:hAnsi="仿宋" w:eastAsia="仿宋" w:cs="仿宋"/>
          <w:b w:val="0"/>
          <w:bCs/>
          <w:color w:val="auto"/>
          <w:sz w:val="24"/>
          <w:highlight w:val="none"/>
          <w:lang w:val="en-US" w:eastAsia="zh-CN"/>
        </w:rPr>
        <w:tab/>
      </w:r>
    </w:p>
    <w:p w14:paraId="0C0614B8">
      <w:pPr>
        <w:pStyle w:val="16"/>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7BC36E8F">
      <w:pPr>
        <w:spacing w:line="360" w:lineRule="auto"/>
        <w:ind w:left="420" w:leftChars="200" w:right="-388" w:rightChars="-185"/>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highlight w:val="none"/>
        </w:rPr>
        <w:t xml:space="preserve">标项名称: </w:t>
      </w:r>
      <w:r>
        <w:rPr>
          <w:rFonts w:hint="eastAsia" w:ascii="仿宋" w:hAnsi="仿宋" w:eastAsia="仿宋" w:cs="仿宋"/>
          <w:b w:val="0"/>
          <w:bCs/>
          <w:color w:val="auto"/>
          <w:sz w:val="24"/>
          <w:highlight w:val="none"/>
          <w:lang w:eastAsia="zh-CN"/>
        </w:rPr>
        <w:t>桃源村市级未来乡村数字化提升</w:t>
      </w:r>
    </w:p>
    <w:p w14:paraId="0203F5E1">
      <w:pPr>
        <w:spacing w:line="360" w:lineRule="auto"/>
        <w:ind w:left="420" w:leftChars="200"/>
        <w:jc w:val="left"/>
        <w:rPr>
          <w:rFonts w:hint="eastAsia" w:ascii="仿宋" w:hAnsi="仿宋" w:eastAsia="仿宋" w:cs="仿宋"/>
          <w:color w:val="auto"/>
          <w:sz w:val="24"/>
          <w:szCs w:val="28"/>
          <w:highlight w:val="none"/>
          <w:u w:val="single"/>
          <w:lang w:eastAsia="zh-CN"/>
        </w:rPr>
      </w:pPr>
      <w:r>
        <w:rPr>
          <w:rFonts w:hint="eastAsia" w:ascii="仿宋" w:hAnsi="仿宋" w:eastAsia="仿宋" w:cs="仿宋"/>
          <w:color w:val="auto"/>
          <w:sz w:val="24"/>
          <w:highlight w:val="none"/>
        </w:rPr>
        <w:t>简要规格描述或项目基本概况介绍、用途：</w:t>
      </w:r>
      <w:r>
        <w:rPr>
          <w:rFonts w:hint="eastAsia" w:ascii="仿宋" w:hAnsi="仿宋" w:eastAsia="仿宋" w:cs="仿宋"/>
          <w:color w:val="auto"/>
          <w:sz w:val="24"/>
          <w:szCs w:val="28"/>
          <w:highlight w:val="none"/>
        </w:rPr>
        <w:t>详见</w:t>
      </w:r>
      <w:r>
        <w:rPr>
          <w:rFonts w:hint="eastAsia" w:ascii="仿宋" w:hAnsi="仿宋" w:eastAsia="仿宋" w:cs="仿宋"/>
          <w:color w:val="auto"/>
          <w:sz w:val="24"/>
          <w:szCs w:val="28"/>
          <w:highlight w:val="none"/>
          <w:lang w:eastAsia="zh-CN"/>
        </w:rPr>
        <w:t>交易文件</w:t>
      </w:r>
    </w:p>
    <w:p w14:paraId="23AF40E8">
      <w:pPr>
        <w:pStyle w:val="16"/>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备注： </w:t>
      </w:r>
    </w:p>
    <w:p w14:paraId="6D62F8FD">
      <w:pPr>
        <w:spacing w:line="360" w:lineRule="auto"/>
        <w:ind w:left="420" w:left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color w:val="auto"/>
          <w:sz w:val="24"/>
          <w:szCs w:val="28"/>
          <w:highlight w:val="none"/>
        </w:rPr>
        <w:t>详见</w:t>
      </w:r>
      <w:r>
        <w:rPr>
          <w:rFonts w:hint="eastAsia" w:ascii="仿宋" w:hAnsi="仿宋" w:eastAsia="仿宋" w:cs="仿宋"/>
          <w:color w:val="auto"/>
          <w:sz w:val="24"/>
          <w:szCs w:val="28"/>
          <w:highlight w:val="none"/>
          <w:lang w:eastAsia="zh-CN"/>
        </w:rPr>
        <w:t>交易文件</w:t>
      </w:r>
    </w:p>
    <w:p w14:paraId="3F5EBB08">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 xml:space="preserve">：（ ）是；（√）否 </w:t>
      </w:r>
      <w:r>
        <w:rPr>
          <w:rFonts w:hint="eastAsia" w:ascii="仿宋" w:hAnsi="仿宋" w:eastAsia="仿宋" w:cs="仿宋"/>
          <w:color w:val="auto"/>
          <w:kern w:val="0"/>
          <w:sz w:val="24"/>
          <w:highlight w:val="none"/>
        </w:rPr>
        <w:t>。</w:t>
      </w:r>
    </w:p>
    <w:p w14:paraId="53074E3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6C8BF11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1、具有独立承担民事责任的能力； </w:t>
      </w:r>
    </w:p>
    <w:p w14:paraId="0000F7C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B1E38A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3、具有履行合同所必需的设备和专业技术能力； </w:t>
      </w:r>
    </w:p>
    <w:p w14:paraId="02A7F57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DC3B66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5、参加交易活动前三年内，在经营活动中没有重大违法记录；</w:t>
      </w:r>
    </w:p>
    <w:p w14:paraId="197841E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169CD2E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落实采购政策需满足的资格要求：本项目属于专门面向中小企业采购的项目。</w:t>
      </w:r>
    </w:p>
    <w:p w14:paraId="55FB30AE">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lang w:eastAsia="zh-CN"/>
        </w:rPr>
        <w:t>。</w:t>
      </w:r>
    </w:p>
    <w:p w14:paraId="5D308048">
      <w:pPr>
        <w:snapToGrid w:val="0"/>
        <w:spacing w:line="360" w:lineRule="auto"/>
        <w:ind w:firstLine="480" w:firstLineChars="200"/>
        <w:rPr>
          <w:rFonts w:hint="default"/>
          <w:highlight w:val="none"/>
          <w:lang w:val="en-US" w:eastAsia="zh-CN"/>
        </w:rPr>
      </w:pPr>
      <w:r>
        <w:rPr>
          <w:rFonts w:hint="eastAsia" w:ascii="仿宋" w:hAnsi="仿宋" w:eastAsia="仿宋" w:cs="仿宋"/>
          <w:color w:val="auto"/>
          <w:sz w:val="24"/>
          <w:highlight w:val="none"/>
          <w:lang w:val="en-US" w:eastAsia="zh-CN"/>
        </w:rPr>
        <w:t>9、交易保证金：10000元。</w:t>
      </w:r>
    </w:p>
    <w:p w14:paraId="3D0F793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5B9A0CD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 xml:space="preserve">文件 </w:t>
      </w:r>
    </w:p>
    <w:p w14:paraId="47FEDAC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，每天上午00:00至12:00，下午12:00至23:59（北京时间，线上获取法定节假日均可，线下获取文件法定节假日除外）</w:t>
      </w:r>
    </w:p>
    <w:p w14:paraId="544A5C3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 xml:space="preserve">平台（https://www.zcygov.cn/） </w:t>
      </w:r>
    </w:p>
    <w:p w14:paraId="0EBC6C9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 xml:space="preserve">平台https://www.zcygov.cn/在线申请获取采购文件（进入“项目采购”应用，在获取采购文件菜单中选择项目，申请获取采购文件）。 </w:t>
      </w:r>
    </w:p>
    <w:p w14:paraId="6B05135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6AF48F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文件截止时间、</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时间和地点</w:t>
      </w:r>
    </w:p>
    <w:p w14:paraId="3B036E5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6589E8C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 xml:space="preserve">平台（https://www.zcygov.cn/） </w:t>
      </w:r>
    </w:p>
    <w:p w14:paraId="029F08F4">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p>
    <w:p w14:paraId="186DF0A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平台（https://www.zcygov.cn/）</w:t>
      </w:r>
      <w:r>
        <w:rPr>
          <w:rFonts w:hint="eastAsia" w:ascii="仿宋" w:hAnsi="仿宋" w:eastAsia="仿宋" w:cs="仿宋"/>
          <w:color w:val="auto"/>
          <w:sz w:val="24"/>
          <w:szCs w:val="28"/>
          <w:highlight w:val="none"/>
        </w:rPr>
        <w:t>。</w:t>
      </w:r>
    </w:p>
    <w:p w14:paraId="1F13FF05">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36C9C2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日。</w:t>
      </w:r>
    </w:p>
    <w:p w14:paraId="256E9E0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0E4F56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文件使自己的权益受到损害的，可以自获取</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文件之日或者</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文件公告期限届满之日（公告期限届满后获取</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文件的，以公告期限届满之日为准）起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424FB0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电子交易客户端”----前往“浙江政府采购网-下载专区-电子交易客户端”进行下载并安装；③交易（采购）文件的获取：使用账号登录或者使用CA登录</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平台；进入“项目采购”应用，在获取采购文件菜单中选择项目，获取交易文件；④响应文件的制作：在“</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电子交易客户端”中完成“填写基本信息”、“导入响应文件”、“标书关联”、“标书检查”、“电子签名”、“生成电子标书”等操作；⑤采购人、采购机构将依托</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平台完成本项目的电子交易活动，平台不接受未按上述方式获取交易文件的供应商进行</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交易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平台“服务中心-帮助文档-项目采购-操作流程-电子招投标-政府采购项目电子交易管理操作指南-供应商”。</w:t>
      </w:r>
    </w:p>
    <w:p w14:paraId="5B8DE69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7E90FCB7">
      <w:pPr>
        <w:widowControl/>
        <w:spacing w:line="360" w:lineRule="auto"/>
        <w:jc w:val="both"/>
        <w:rPr>
          <w:rFonts w:hint="eastAsia" w:ascii="仿宋" w:hAnsi="仿宋" w:eastAsia="仿宋" w:cs="仿宋"/>
        </w:rPr>
      </w:pPr>
      <w:r>
        <w:rPr>
          <w:rFonts w:hint="eastAsia" w:ascii="仿宋" w:hAnsi="仿宋" w:eastAsia="仿宋" w:cs="仿宋"/>
          <w:sz w:val="24"/>
          <w:szCs w:val="28"/>
        </w:rPr>
        <w:t>1</w:t>
      </w:r>
      <w:r>
        <w:rPr>
          <w:rFonts w:hint="eastAsia" w:ascii="仿宋" w:hAnsi="仿宋" w:eastAsia="仿宋" w:cs="仿宋"/>
          <w:color w:val="auto"/>
          <w:sz w:val="24"/>
          <w:szCs w:val="28"/>
          <w:highlight w:val="none"/>
        </w:rPr>
        <w:t>.采购人信息</w:t>
      </w:r>
    </w:p>
    <w:p w14:paraId="4EB00519">
      <w:pPr>
        <w:spacing w:line="360" w:lineRule="auto"/>
        <w:jc w:val="left"/>
        <w:rPr>
          <w:rFonts w:hint="eastAsia" w:ascii="仿宋" w:hAnsi="仿宋" w:eastAsia="仿宋" w:cs="仿宋"/>
          <w:color w:val="auto"/>
          <w:sz w:val="24"/>
          <w:szCs w:val="28"/>
          <w:highlight w:val="none"/>
          <w:lang w:eastAsia="zh-CN"/>
        </w:rPr>
      </w:pPr>
      <w:bookmarkStart w:id="11" w:name="_Toc28359009"/>
      <w:bookmarkStart w:id="12" w:name="_Toc28359086"/>
      <w:r>
        <w:rPr>
          <w:rFonts w:hint="eastAsia" w:ascii="仿宋" w:hAnsi="仿宋" w:eastAsia="仿宋" w:cs="仿宋"/>
          <w:color w:val="auto"/>
          <w:sz w:val="24"/>
          <w:szCs w:val="28"/>
          <w:highlight w:val="none"/>
        </w:rPr>
        <w:t>名称：</w:t>
      </w:r>
      <w:r>
        <w:rPr>
          <w:rFonts w:hint="eastAsia" w:ascii="仿宋" w:hAnsi="仿宋" w:eastAsia="仿宋" w:cs="仿宋"/>
          <w:color w:val="auto"/>
          <w:sz w:val="24"/>
          <w:szCs w:val="28"/>
          <w:highlight w:val="none"/>
          <w:lang w:eastAsia="zh-CN"/>
        </w:rPr>
        <w:t>杭州萧山浦阳桃源股份经济联合社</w:t>
      </w:r>
    </w:p>
    <w:p w14:paraId="1E1E2995">
      <w:pPr>
        <w:spacing w:line="360" w:lineRule="auto"/>
        <w:jc w:val="left"/>
        <w:rPr>
          <w:rFonts w:hint="default" w:ascii="仿宋" w:hAnsi="仿宋" w:eastAsia="仿宋" w:cs="仿宋"/>
          <w:color w:val="auto"/>
          <w:sz w:val="24"/>
          <w:szCs w:val="28"/>
          <w:highlight w:val="none"/>
          <w:lang w:val="en-US"/>
        </w:rPr>
      </w:pPr>
      <w:r>
        <w:rPr>
          <w:rFonts w:hint="eastAsia" w:ascii="仿宋" w:hAnsi="仿宋" w:eastAsia="仿宋" w:cs="仿宋"/>
          <w:color w:val="auto"/>
          <w:sz w:val="24"/>
          <w:szCs w:val="28"/>
          <w:highlight w:val="none"/>
        </w:rPr>
        <w:t>地址：萧山区浦阳镇桃源村</w:t>
      </w:r>
    </w:p>
    <w:p w14:paraId="48EB7974">
      <w:pP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项目联系人（询问）：俞小勇</w:t>
      </w:r>
    </w:p>
    <w:p w14:paraId="4D4CD44B">
      <w:pP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w:t>
      </w:r>
      <w:r>
        <w:rPr>
          <w:rFonts w:hint="eastAsia" w:ascii="仿宋" w:hAnsi="仿宋" w:eastAsia="仿宋" w:cs="仿宋"/>
          <w:color w:val="auto"/>
          <w:sz w:val="24"/>
          <w:szCs w:val="28"/>
          <w:highlight w:val="none"/>
          <w:lang w:val="en-US" w:eastAsia="zh-CN"/>
        </w:rPr>
        <w:t>13357136609</w:t>
      </w:r>
    </w:p>
    <w:p w14:paraId="1961298A">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疑联系人：孙传云</w:t>
      </w:r>
    </w:p>
    <w:p w14:paraId="2316279C">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质疑联系方式：0571-82279063</w:t>
      </w:r>
    </w:p>
    <w:p w14:paraId="42FEEAA5">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bookmarkEnd w:id="11"/>
      <w:bookmarkEnd w:id="12"/>
    </w:p>
    <w:p w14:paraId="3999E439">
      <w:pP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 称：</w:t>
      </w:r>
      <w:r>
        <w:rPr>
          <w:rFonts w:hint="eastAsia" w:ascii="仿宋" w:hAnsi="仿宋" w:eastAsia="仿宋" w:cs="仿宋"/>
          <w:color w:val="auto"/>
          <w:kern w:val="0"/>
          <w:sz w:val="24"/>
          <w:highlight w:val="none"/>
          <w:lang w:eastAsia="zh-CN"/>
        </w:rPr>
        <w:t>浙江豪圣建设项目管理有限公司</w:t>
      </w:r>
    </w:p>
    <w:p w14:paraId="2C19D487">
      <w:pP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地址：</w:t>
      </w:r>
      <w:r>
        <w:rPr>
          <w:rFonts w:hint="eastAsia" w:ascii="仿宋" w:hAnsi="仿宋" w:eastAsia="仿宋" w:cs="仿宋"/>
          <w:color w:val="auto"/>
          <w:sz w:val="24"/>
          <w:szCs w:val="28"/>
          <w:highlight w:val="none"/>
          <w:lang w:eastAsia="zh-CN"/>
        </w:rPr>
        <w:t>杭州市拱墅区远洋国际中心A座17楼1706室</w:t>
      </w:r>
    </w:p>
    <w:p w14:paraId="72C0F05A">
      <w:pP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传真：</w:t>
      </w:r>
      <w:r>
        <w:rPr>
          <w:rFonts w:hint="eastAsia" w:ascii="仿宋" w:hAnsi="仿宋" w:eastAsia="仿宋" w:cs="仿宋"/>
          <w:color w:val="auto"/>
          <w:sz w:val="24"/>
          <w:szCs w:val="28"/>
          <w:highlight w:val="none"/>
          <w:lang w:val="en-US" w:eastAsia="zh-CN"/>
        </w:rPr>
        <w:t>/</w:t>
      </w:r>
    </w:p>
    <w:p w14:paraId="601C0B94">
      <w:pPr>
        <w:spacing w:line="360"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kern w:val="0"/>
          <w:sz w:val="24"/>
          <w:highlight w:val="none"/>
          <w:lang w:val="en-US" w:eastAsia="zh-CN"/>
        </w:rPr>
        <w:t>江媛</w:t>
      </w:r>
    </w:p>
    <w:p w14:paraId="0070BB27">
      <w:pP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w:t>
      </w:r>
      <w:r>
        <w:rPr>
          <w:rFonts w:hint="eastAsia" w:ascii="仿宋" w:hAnsi="仿宋" w:eastAsia="仿宋" w:cs="仿宋"/>
          <w:color w:val="auto"/>
          <w:sz w:val="24"/>
          <w:szCs w:val="28"/>
          <w:highlight w:val="none"/>
          <w:lang w:val="en-US" w:eastAsia="zh-CN"/>
        </w:rPr>
        <w:t>13116752356</w:t>
      </w:r>
    </w:p>
    <w:p w14:paraId="44859B1B">
      <w:pP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lang w:val="en-US" w:eastAsia="zh-CN"/>
        </w:rPr>
        <w:t>曹剑斌</w:t>
      </w:r>
    </w:p>
    <w:p w14:paraId="1607F50C">
      <w:pP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w:t>
      </w:r>
      <w:r>
        <w:rPr>
          <w:rFonts w:hint="eastAsia" w:ascii="仿宋" w:hAnsi="仿宋" w:eastAsia="仿宋" w:cs="仿宋"/>
          <w:color w:val="auto"/>
          <w:kern w:val="0"/>
          <w:sz w:val="24"/>
          <w:highlight w:val="none"/>
        </w:rPr>
        <w:t>13575713221</w:t>
      </w:r>
    </w:p>
    <w:p w14:paraId="770E2C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w:t>
      </w:r>
    </w:p>
    <w:p w14:paraId="6C153BA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（https://www.zcygov.cn/），点击右侧咨询小采，获取采小蜜智能服务管家帮助，或拨打</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服务热线400-881-7190获取热线服务帮助。</w:t>
      </w:r>
    </w:p>
    <w:p w14:paraId="13FE3E0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1409F03E">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14:paraId="1831EE22">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w:t>
      </w:r>
      <w:r>
        <w:rPr>
          <w:rFonts w:hint="eastAsia" w:ascii="仿宋" w:hAnsi="仿宋" w:eastAsia="仿宋" w:cs="仿宋"/>
          <w:b/>
          <w:color w:val="auto"/>
          <w:sz w:val="36"/>
          <w:szCs w:val="20"/>
          <w:highlight w:val="none"/>
          <w:lang w:eastAsia="zh-CN"/>
        </w:rPr>
        <w:t>供应商</w:t>
      </w:r>
      <w:r>
        <w:rPr>
          <w:rFonts w:hint="eastAsia" w:ascii="仿宋" w:hAnsi="仿宋" w:eastAsia="仿宋" w:cs="仿宋"/>
          <w:b/>
          <w:color w:val="auto"/>
          <w:sz w:val="36"/>
          <w:szCs w:val="20"/>
          <w:highlight w:val="none"/>
        </w:rPr>
        <w:t>须知</w:t>
      </w:r>
      <w:bookmarkEnd w:id="9"/>
    </w:p>
    <w:p w14:paraId="33601D80">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6"/>
        <w:gridCol w:w="1864"/>
        <w:gridCol w:w="6298"/>
      </w:tblGrid>
      <w:tr w14:paraId="3804D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34A05AD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64" w:type="dxa"/>
            <w:tcBorders>
              <w:top w:val="single" w:color="000000" w:sz="8" w:space="0"/>
              <w:left w:val="single" w:color="auto" w:sz="4" w:space="0"/>
              <w:bottom w:val="single" w:color="000000" w:sz="8" w:space="0"/>
              <w:right w:val="single" w:color="000000" w:sz="8" w:space="0"/>
            </w:tcBorders>
            <w:vAlign w:val="center"/>
          </w:tcPr>
          <w:p w14:paraId="31DA25B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98" w:type="dxa"/>
            <w:tcBorders>
              <w:top w:val="single" w:color="000000" w:sz="8" w:space="0"/>
              <w:left w:val="single" w:color="000000" w:sz="2" w:space="0"/>
              <w:bottom w:val="single" w:color="000000" w:sz="8" w:space="0"/>
              <w:right w:val="single" w:color="000000" w:sz="8" w:space="0"/>
            </w:tcBorders>
            <w:vAlign w:val="center"/>
          </w:tcPr>
          <w:p w14:paraId="0D745D1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3331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65DE4BF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64" w:type="dxa"/>
            <w:tcBorders>
              <w:top w:val="single" w:color="000000" w:sz="8" w:space="0"/>
              <w:left w:val="single" w:color="auto" w:sz="4" w:space="0"/>
              <w:bottom w:val="single" w:color="000000" w:sz="8" w:space="0"/>
              <w:right w:val="single" w:color="000000" w:sz="8" w:space="0"/>
            </w:tcBorders>
            <w:vAlign w:val="center"/>
          </w:tcPr>
          <w:p w14:paraId="38CDD33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298" w:type="dxa"/>
            <w:tcBorders>
              <w:top w:val="single" w:color="000000" w:sz="8" w:space="0"/>
              <w:left w:val="single" w:color="000000" w:sz="2" w:space="0"/>
              <w:bottom w:val="single" w:color="000000" w:sz="8" w:space="0"/>
              <w:right w:val="single" w:color="000000" w:sz="8" w:space="0"/>
            </w:tcBorders>
            <w:vAlign w:val="center"/>
          </w:tcPr>
          <w:p w14:paraId="236B1D56">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09A2CA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w:t>
            </w:r>
            <w:r>
              <w:rPr>
                <w:rFonts w:hint="eastAsia" w:ascii="仿宋" w:hAnsi="仿宋" w:eastAsia="仿宋" w:cs="仿宋"/>
                <w:b/>
                <w:bCs w:val="0"/>
                <w:color w:val="auto"/>
                <w:sz w:val="24"/>
                <w:highlight w:val="none"/>
              </w:rPr>
              <w:t>√</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5098E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2185F65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64" w:type="dxa"/>
            <w:tcBorders>
              <w:top w:val="single" w:color="000000" w:sz="8" w:space="0"/>
              <w:left w:val="single" w:color="auto" w:sz="4" w:space="0"/>
              <w:bottom w:val="single" w:color="000000" w:sz="8" w:space="0"/>
              <w:right w:val="single" w:color="000000" w:sz="8" w:space="0"/>
            </w:tcBorders>
            <w:vAlign w:val="center"/>
          </w:tcPr>
          <w:p w14:paraId="54852DFA">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298" w:type="dxa"/>
            <w:tcBorders>
              <w:top w:val="single" w:color="000000" w:sz="8" w:space="0"/>
              <w:left w:val="single" w:color="000000" w:sz="2" w:space="0"/>
              <w:bottom w:val="single" w:color="000000" w:sz="8" w:space="0"/>
              <w:right w:val="single" w:color="000000" w:sz="8" w:space="0"/>
            </w:tcBorders>
            <w:vAlign w:val="center"/>
          </w:tcPr>
          <w:p w14:paraId="422FB677">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rPr>
              <w:t>（1）标的：</w:t>
            </w:r>
            <w:r>
              <w:rPr>
                <w:rFonts w:hint="eastAsia" w:ascii="仿宋" w:hAnsi="仿宋" w:eastAsia="仿宋" w:cs="仿宋"/>
                <w:b w:val="0"/>
                <w:bCs/>
                <w:color w:val="auto"/>
                <w:sz w:val="24"/>
                <w:highlight w:val="none"/>
                <w:lang w:eastAsia="zh-CN"/>
              </w:rPr>
              <w:t>桃源村市级未来乡村数字化提升</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软件和信息技术服务业</w:t>
            </w:r>
            <w:r>
              <w:rPr>
                <w:rFonts w:hint="eastAsia" w:ascii="仿宋" w:hAnsi="仿宋" w:eastAsia="仿宋" w:cs="仿宋"/>
                <w:color w:val="auto"/>
                <w:kern w:val="0"/>
                <w:sz w:val="24"/>
                <w:highlight w:val="none"/>
              </w:rPr>
              <w:t>行业；</w:t>
            </w:r>
          </w:p>
          <w:p w14:paraId="50BCB774">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14:paraId="739F57D6">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《关于印发中小企业划型标准规定的通知》工信部联企业〔2011〕300号</w:t>
            </w:r>
          </w:p>
        </w:tc>
      </w:tr>
      <w:tr w14:paraId="3CEFC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70A9546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64" w:type="dxa"/>
            <w:tcBorders>
              <w:top w:val="single" w:color="000000" w:sz="8" w:space="0"/>
              <w:left w:val="single" w:color="auto" w:sz="4" w:space="0"/>
              <w:bottom w:val="single" w:color="000000" w:sz="8" w:space="0"/>
              <w:right w:val="single" w:color="000000" w:sz="8" w:space="0"/>
            </w:tcBorders>
            <w:vAlign w:val="center"/>
          </w:tcPr>
          <w:p w14:paraId="5A23BA8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298" w:type="dxa"/>
            <w:tcBorders>
              <w:top w:val="single" w:color="000000" w:sz="8" w:space="0"/>
              <w:left w:val="single" w:color="000000" w:sz="2" w:space="0"/>
              <w:bottom w:val="single" w:color="000000" w:sz="8" w:space="0"/>
              <w:right w:val="single" w:color="000000" w:sz="8" w:space="0"/>
            </w:tcBorders>
            <w:vAlign w:val="center"/>
          </w:tcPr>
          <w:p w14:paraId="033062D4">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kern w:val="0"/>
                <w:sz w:val="24"/>
                <w:highlight w:val="none"/>
                <w:lang w:val="en-US" w:eastAsia="zh-CN"/>
              </w:rPr>
              <w:t>(</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sz w:val="24"/>
                <w:szCs w:val="32"/>
                <w:highlight w:val="none"/>
              </w:rPr>
              <w:t>本项目不允许采购进口产品。</w:t>
            </w:r>
          </w:p>
          <w:p w14:paraId="71BA0983">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kern w:val="0"/>
                <w:sz w:val="24"/>
                <w:highlight w:val="none"/>
                <w:lang w:val="en-US" w:eastAsia="zh-CN"/>
              </w:rPr>
              <w:t>(   )</w:t>
            </w:r>
            <w:r>
              <w:rPr>
                <w:rFonts w:hint="eastAsia" w:ascii="仿宋" w:hAnsi="仿宋" w:eastAsia="仿宋" w:cs="仿宋"/>
                <w:color w:val="auto"/>
                <w:sz w:val="24"/>
                <w:szCs w:val="32"/>
                <w:highlight w:val="none"/>
              </w:rPr>
              <w:t>可以就</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u w:val="single"/>
                <w:lang w:val="en-US" w:eastAsia="zh-CN"/>
              </w:rPr>
              <w:t>/</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rPr>
              <w:t>采购进口产品。</w:t>
            </w:r>
          </w:p>
          <w:p w14:paraId="1458C4EF">
            <w:pPr>
              <w:pStyle w:val="4"/>
              <w:rPr>
                <w:rFonts w:hint="eastAsia" w:ascii="仿宋" w:hAnsi="仿宋" w:eastAsia="仿宋" w:cs="仿宋"/>
                <w:color w:val="auto"/>
                <w:highlight w:val="none"/>
                <w:lang w:val="en-US" w:eastAsia="zh-CN"/>
              </w:rPr>
            </w:pPr>
            <w:r>
              <w:rPr>
                <w:rFonts w:hint="eastAsia" w:ascii="仿宋" w:hAnsi="仿宋" w:eastAsia="仿宋" w:cs="仿宋"/>
                <w:color w:val="auto"/>
                <w:kern w:val="0"/>
                <w:sz w:val="24"/>
                <w:highlight w:val="none"/>
                <w:lang w:val="en-US" w:eastAsia="zh-CN"/>
              </w:rPr>
              <w:t>进口产品是指通过中国海关保关验放进入中国境内且产自境关外的产品。</w:t>
            </w:r>
          </w:p>
        </w:tc>
      </w:tr>
      <w:tr w14:paraId="5D694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537C052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64" w:type="dxa"/>
            <w:tcBorders>
              <w:top w:val="single" w:color="000000" w:sz="8" w:space="0"/>
              <w:left w:val="single" w:color="auto" w:sz="4" w:space="0"/>
              <w:bottom w:val="single" w:color="000000" w:sz="8" w:space="0"/>
              <w:right w:val="single" w:color="000000" w:sz="8" w:space="0"/>
            </w:tcBorders>
            <w:vAlign w:val="center"/>
          </w:tcPr>
          <w:p w14:paraId="0A86F18C">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298" w:type="dxa"/>
            <w:tcBorders>
              <w:top w:val="single" w:color="000000" w:sz="8" w:space="0"/>
              <w:left w:val="single" w:color="000000" w:sz="2" w:space="0"/>
              <w:bottom w:val="single" w:color="000000" w:sz="8" w:space="0"/>
              <w:right w:val="single" w:color="000000" w:sz="8" w:space="0"/>
            </w:tcBorders>
            <w:vAlign w:val="center"/>
          </w:tcPr>
          <w:p w14:paraId="274D85D1">
            <w:pPr>
              <w:snapToGrid w:val="0"/>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w:t>
            </w:r>
            <w:r>
              <w:rPr>
                <w:rFonts w:hint="eastAsia" w:ascii="仿宋" w:hAnsi="仿宋" w:eastAsia="仿宋" w:cs="仿宋"/>
                <w:b w:val="0"/>
                <w:bCs/>
                <w:color w:val="auto"/>
                <w:kern w:val="0"/>
                <w:sz w:val="24"/>
                <w:highlight w:val="none"/>
              </w:rPr>
              <w:t>A</w:t>
            </w:r>
            <w:r>
              <w:rPr>
                <w:rFonts w:hint="eastAsia" w:ascii="仿宋" w:hAnsi="仿宋" w:eastAsia="仿宋" w:cs="仿宋"/>
                <w:b w:val="0"/>
                <w:bCs/>
                <w:color w:val="auto"/>
                <w:sz w:val="24"/>
                <w:highlight w:val="none"/>
              </w:rPr>
              <w:t>同意将非主体、非关键性的</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工作分包。</w:t>
            </w:r>
          </w:p>
          <w:p w14:paraId="32CD07B2">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rPr>
              <w:t>B</w:t>
            </w:r>
            <w:r>
              <w:rPr>
                <w:rFonts w:hint="eastAsia" w:ascii="仿宋" w:hAnsi="仿宋" w:eastAsia="仿宋" w:cs="仿宋"/>
                <w:b w:val="0"/>
                <w:bCs/>
                <w:color w:val="auto"/>
                <w:sz w:val="24"/>
                <w:highlight w:val="none"/>
              </w:rPr>
              <w:t>不同意分包。</w:t>
            </w:r>
          </w:p>
        </w:tc>
      </w:tr>
      <w:tr w14:paraId="2B620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54DC827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64" w:type="dxa"/>
            <w:tcBorders>
              <w:top w:val="single" w:color="000000" w:sz="8" w:space="0"/>
              <w:left w:val="single" w:color="auto" w:sz="4" w:space="0"/>
              <w:bottom w:val="single" w:color="000000" w:sz="8" w:space="0"/>
              <w:right w:val="single" w:color="000000" w:sz="8" w:space="0"/>
            </w:tcBorders>
            <w:vAlign w:val="center"/>
          </w:tcPr>
          <w:p w14:paraId="5369733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前答疑会或现场考察</w:t>
            </w:r>
          </w:p>
        </w:tc>
        <w:tc>
          <w:tcPr>
            <w:tcW w:w="6298" w:type="dxa"/>
            <w:tcBorders>
              <w:top w:val="single" w:color="000000" w:sz="8" w:space="0"/>
              <w:left w:val="single" w:color="000000" w:sz="2" w:space="0"/>
              <w:bottom w:val="single" w:color="000000" w:sz="8" w:space="0"/>
              <w:right w:val="single" w:color="000000" w:sz="8" w:space="0"/>
            </w:tcBorders>
            <w:vAlign w:val="center"/>
          </w:tcPr>
          <w:p w14:paraId="1DEF1B28">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rPr>
              <w:t>A</w:t>
            </w:r>
            <w:r>
              <w:rPr>
                <w:rFonts w:hint="eastAsia" w:ascii="仿宋" w:hAnsi="仿宋" w:eastAsia="仿宋" w:cs="仿宋"/>
                <w:b w:val="0"/>
                <w:bCs/>
                <w:color w:val="auto"/>
                <w:sz w:val="24"/>
                <w:highlight w:val="none"/>
              </w:rPr>
              <w:t>不组织。</w:t>
            </w:r>
          </w:p>
          <w:p w14:paraId="10A7BA39">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w:t>
            </w:r>
            <w:r>
              <w:rPr>
                <w:rFonts w:hint="eastAsia" w:ascii="仿宋" w:hAnsi="仿宋" w:eastAsia="仿宋" w:cs="仿宋"/>
                <w:b w:val="0"/>
                <w:bCs/>
                <w:color w:val="auto"/>
                <w:kern w:val="0"/>
                <w:sz w:val="24"/>
                <w:highlight w:val="none"/>
              </w:rPr>
              <w:t>B组织</w:t>
            </w:r>
            <w:r>
              <w:rPr>
                <w:rFonts w:hint="eastAsia" w:ascii="仿宋" w:hAnsi="仿宋" w:eastAsia="仿宋" w:cs="仿宋"/>
                <w:b w:val="0"/>
                <w:bCs/>
                <w:color w:val="auto"/>
                <w:kern w:val="0"/>
                <w:sz w:val="24"/>
                <w:highlight w:val="none"/>
                <w:lang w:eastAsia="zh-CN"/>
              </w:rPr>
              <w:t>，</w:t>
            </w:r>
            <w:r>
              <w:rPr>
                <w:rFonts w:hint="eastAsia" w:ascii="仿宋" w:hAnsi="仿宋" w:eastAsia="仿宋" w:cs="仿宋"/>
                <w:b w:val="0"/>
                <w:bCs/>
                <w:color w:val="auto"/>
                <w:sz w:val="24"/>
                <w:highlight w:val="none"/>
              </w:rPr>
              <w:t>时间：</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,地点：</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w:t>
            </w:r>
          </w:p>
          <w:p w14:paraId="1A225327">
            <w:pPr>
              <w:spacing w:line="360" w:lineRule="auto"/>
              <w:rPr>
                <w:rFonts w:hint="eastAsia" w:ascii="仿宋" w:hAnsi="仿宋" w:eastAsia="仿宋" w:cs="仿宋"/>
                <w:b w:val="0"/>
                <w:bCs/>
                <w:color w:val="auto"/>
                <w:sz w:val="24"/>
                <w:szCs w:val="20"/>
                <w:highlight w:val="none"/>
                <w:lang w:val="en-US" w:eastAsia="zh-CN"/>
              </w:rPr>
            </w:pPr>
            <w:r>
              <w:rPr>
                <w:rFonts w:hint="eastAsia" w:ascii="仿宋" w:hAnsi="仿宋" w:eastAsia="仿宋" w:cs="仿宋"/>
                <w:b w:val="0"/>
                <w:bCs/>
                <w:color w:val="auto"/>
                <w:sz w:val="24"/>
                <w:highlight w:val="none"/>
              </w:rPr>
              <w:t>联系人：</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u w:val="none"/>
                <w:lang w:eastAsia="zh-CN"/>
              </w:rPr>
              <w:t>；</w:t>
            </w:r>
            <w:r>
              <w:rPr>
                <w:rFonts w:hint="eastAsia" w:ascii="仿宋" w:hAnsi="仿宋" w:eastAsia="仿宋" w:cs="仿宋"/>
                <w:b w:val="0"/>
                <w:bCs/>
                <w:color w:val="auto"/>
                <w:sz w:val="24"/>
                <w:highlight w:val="none"/>
                <w:u w:val="none"/>
                <w:lang w:val="en-US" w:eastAsia="zh-CN"/>
              </w:rPr>
              <w:t>其他说明：</w:t>
            </w:r>
            <w:r>
              <w:rPr>
                <w:rFonts w:hint="eastAsia" w:ascii="仿宋" w:hAnsi="仿宋" w:eastAsia="仿宋" w:cs="仿宋"/>
                <w:b w:val="0"/>
                <w:bCs/>
                <w:color w:val="auto"/>
                <w:sz w:val="24"/>
                <w:highlight w:val="none"/>
                <w:u w:val="single"/>
                <w:lang w:val="en-US" w:eastAsia="zh-CN"/>
              </w:rPr>
              <w:t>/</w:t>
            </w:r>
          </w:p>
        </w:tc>
      </w:tr>
      <w:tr w14:paraId="7B057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0E4E4E6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64" w:type="dxa"/>
            <w:tcBorders>
              <w:top w:val="single" w:color="000000" w:sz="8" w:space="0"/>
              <w:left w:val="single" w:color="auto" w:sz="4" w:space="0"/>
              <w:bottom w:val="single" w:color="000000" w:sz="8" w:space="0"/>
              <w:right w:val="single" w:color="000000" w:sz="8" w:space="0"/>
            </w:tcBorders>
            <w:vAlign w:val="center"/>
          </w:tcPr>
          <w:p w14:paraId="070E14D4">
            <w:pPr>
              <w:snapToGrid w:val="0"/>
              <w:spacing w:line="360" w:lineRule="auto"/>
              <w:jc w:val="center"/>
              <w:rPr>
                <w:rFonts w:hint="eastAsia" w:ascii="仿宋" w:hAnsi="仿宋" w:eastAsia="仿宋" w:cs="仿宋"/>
                <w:b/>
                <w:color w:val="0000FF"/>
                <w:sz w:val="24"/>
                <w:highlight w:val="none"/>
              </w:rPr>
            </w:pPr>
            <w:r>
              <w:rPr>
                <w:rFonts w:hint="eastAsia" w:ascii="仿宋" w:hAnsi="仿宋" w:eastAsia="仿宋" w:cs="仿宋"/>
                <w:b/>
                <w:color w:val="auto"/>
                <w:sz w:val="24"/>
                <w:highlight w:val="none"/>
              </w:rPr>
              <w:t>样品提供</w:t>
            </w:r>
          </w:p>
        </w:tc>
        <w:tc>
          <w:tcPr>
            <w:tcW w:w="6298" w:type="dxa"/>
            <w:tcBorders>
              <w:top w:val="single" w:color="000000" w:sz="8" w:space="0"/>
              <w:left w:val="single" w:color="000000" w:sz="2" w:space="0"/>
              <w:bottom w:val="single" w:color="000000" w:sz="8" w:space="0"/>
              <w:right w:val="single" w:color="000000" w:sz="8" w:space="0"/>
            </w:tcBorders>
            <w:vAlign w:val="center"/>
          </w:tcPr>
          <w:p w14:paraId="0576F53B">
            <w:pPr>
              <w:spacing w:line="360" w:lineRule="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（√）A不要求提供。</w:t>
            </w:r>
          </w:p>
          <w:p w14:paraId="51873ACA">
            <w:pPr>
              <w:spacing w:line="360" w:lineRule="auto"/>
              <w:rPr>
                <w:rFonts w:hint="eastAsia" w:ascii="仿宋" w:hAnsi="仿宋" w:eastAsia="仿宋" w:cs="仿宋"/>
                <w:b/>
                <w:color w:val="0000FF"/>
                <w:sz w:val="24"/>
                <w:highlight w:val="none"/>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rPr>
              <w:t>）B要求提供，</w:t>
            </w:r>
          </w:p>
        </w:tc>
      </w:tr>
      <w:tr w14:paraId="01F2E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auto" w:sz="4" w:space="0"/>
              <w:bottom w:val="single" w:color="auto" w:sz="4" w:space="0"/>
              <w:right w:val="single" w:color="auto" w:sz="4" w:space="0"/>
            </w:tcBorders>
            <w:vAlign w:val="center"/>
          </w:tcPr>
          <w:p w14:paraId="3C235D7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64" w:type="dxa"/>
            <w:tcBorders>
              <w:top w:val="single" w:color="000000" w:sz="8" w:space="0"/>
              <w:left w:val="single" w:color="auto" w:sz="4" w:space="0"/>
              <w:bottom w:val="single" w:color="000000" w:sz="8" w:space="0"/>
              <w:right w:val="single" w:color="000000" w:sz="8" w:space="0"/>
            </w:tcBorders>
            <w:vAlign w:val="center"/>
          </w:tcPr>
          <w:p w14:paraId="3F77CD0E">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298" w:type="dxa"/>
            <w:tcBorders>
              <w:top w:val="single" w:color="000000" w:sz="8" w:space="0"/>
              <w:left w:val="single" w:color="000000" w:sz="2" w:space="0"/>
              <w:bottom w:val="single" w:color="000000" w:sz="8" w:space="0"/>
              <w:right w:val="single" w:color="000000" w:sz="8" w:space="0"/>
            </w:tcBorders>
            <w:vAlign w:val="center"/>
          </w:tcPr>
          <w:p w14:paraId="0D623C5B">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highlight w:val="none"/>
              </w:rPr>
              <w:t>A</w:t>
            </w:r>
            <w:r>
              <w:rPr>
                <w:rFonts w:hint="eastAsia" w:ascii="仿宋" w:hAnsi="仿宋" w:eastAsia="仿宋" w:cs="仿宋"/>
                <w:b w:val="0"/>
                <w:bCs/>
                <w:color w:val="auto"/>
                <w:sz w:val="24"/>
                <w:highlight w:val="none"/>
              </w:rPr>
              <w:t>不组织</w:t>
            </w:r>
            <w:r>
              <w:rPr>
                <w:rFonts w:hint="eastAsia" w:ascii="仿宋" w:hAnsi="仿宋" w:eastAsia="仿宋" w:cs="仿宋"/>
                <w:b w:val="0"/>
                <w:bCs/>
                <w:color w:val="auto"/>
                <w:sz w:val="24"/>
                <w:szCs w:val="24"/>
                <w:highlight w:val="none"/>
              </w:rPr>
              <w:t>。</w:t>
            </w:r>
          </w:p>
          <w:p w14:paraId="2520F0FE">
            <w:pPr>
              <w:spacing w:line="360" w:lineRule="auto"/>
              <w:rPr>
                <w:rFonts w:hint="eastAsia" w:ascii="仿宋" w:hAnsi="仿宋" w:eastAsia="仿宋" w:cs="仿宋"/>
                <w:color w:val="auto"/>
                <w:sz w:val="24"/>
                <w:highlight w:val="none"/>
                <w:lang w:eastAsia="zh-CN"/>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kern w:val="0"/>
                <w:sz w:val="24"/>
                <w:szCs w:val="24"/>
                <w:highlight w:val="none"/>
              </w:rPr>
              <w:t>B组织。</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在评标时安排每个投标人现场演示，每个投标人演示时间不超过</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lang w:eastAsia="zh-CN"/>
              </w:rPr>
              <w:t>分钟。人员不超过</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人，且必须包含法定代表人或其授权代表；现场演示人员进场时携带授权委托书（法人代表可不携带，携带营业执照复印件），否则不得进场。现场演示后按要求解答评标委员会的提问。</w:t>
            </w:r>
          </w:p>
          <w:p w14:paraId="78F44E0D">
            <w:pPr>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sz w:val="24"/>
                <w:highlight w:val="none"/>
                <w:lang w:val="en-US" w:eastAsia="zh-CN"/>
              </w:rPr>
              <w:t>2、现场演示到场时间：开标当天14：30分至15：00分前到达浦阳镇223会议室外进行等候。</w:t>
            </w:r>
          </w:p>
        </w:tc>
      </w:tr>
      <w:tr w14:paraId="09E0A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vMerge w:val="restart"/>
            <w:tcBorders>
              <w:top w:val="single" w:color="auto" w:sz="4" w:space="0"/>
              <w:left w:val="single" w:color="auto" w:sz="4" w:space="0"/>
              <w:right w:val="single" w:color="auto" w:sz="4" w:space="0"/>
            </w:tcBorders>
            <w:vAlign w:val="center"/>
          </w:tcPr>
          <w:p w14:paraId="27C9750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64" w:type="dxa"/>
            <w:vMerge w:val="restart"/>
            <w:tcBorders>
              <w:top w:val="single" w:color="000000" w:sz="8" w:space="0"/>
              <w:left w:val="single" w:color="auto" w:sz="4" w:space="0"/>
              <w:right w:val="single" w:color="000000" w:sz="8" w:space="0"/>
            </w:tcBorders>
            <w:vAlign w:val="center"/>
          </w:tcPr>
          <w:p w14:paraId="07BDA68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应当提供的资格、资信证明文件</w:t>
            </w:r>
          </w:p>
        </w:tc>
        <w:tc>
          <w:tcPr>
            <w:tcW w:w="6298" w:type="dxa"/>
            <w:tcBorders>
              <w:top w:val="single" w:color="000000" w:sz="8" w:space="0"/>
              <w:left w:val="single" w:color="000000" w:sz="2" w:space="0"/>
              <w:bottom w:val="single" w:color="auto" w:sz="4" w:space="0"/>
              <w:right w:val="single" w:color="000000" w:sz="8" w:space="0"/>
            </w:tcBorders>
            <w:vAlign w:val="center"/>
          </w:tcPr>
          <w:p w14:paraId="7F11E39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文件第二部分11.1。</w:t>
            </w:r>
          </w:p>
          <w:p w14:paraId="4C1D30C4">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供应商未提供有效的资格证明文件的，视为供应商不具备交易文件中规定的资格要求，响应无效。</w:t>
            </w:r>
          </w:p>
        </w:tc>
      </w:tr>
      <w:tr w14:paraId="2E9A3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vMerge w:val="continue"/>
            <w:tcBorders>
              <w:left w:val="single" w:color="auto" w:sz="4" w:space="0"/>
              <w:bottom w:val="single" w:color="auto" w:sz="4" w:space="0"/>
              <w:right w:val="single" w:color="auto" w:sz="4" w:space="0"/>
            </w:tcBorders>
            <w:vAlign w:val="center"/>
          </w:tcPr>
          <w:p w14:paraId="5B00AD2F">
            <w:pPr>
              <w:snapToGrid w:val="0"/>
              <w:spacing w:line="360" w:lineRule="auto"/>
              <w:jc w:val="center"/>
              <w:rPr>
                <w:rFonts w:hint="eastAsia" w:ascii="仿宋" w:hAnsi="仿宋" w:eastAsia="仿宋" w:cs="仿宋"/>
                <w:color w:val="auto"/>
                <w:sz w:val="24"/>
                <w:highlight w:val="none"/>
              </w:rPr>
            </w:pPr>
          </w:p>
        </w:tc>
        <w:tc>
          <w:tcPr>
            <w:tcW w:w="1864" w:type="dxa"/>
            <w:vMerge w:val="continue"/>
            <w:tcBorders>
              <w:left w:val="single" w:color="auto" w:sz="4" w:space="0"/>
              <w:bottom w:val="single" w:color="000000" w:sz="8" w:space="0"/>
              <w:right w:val="single" w:color="000000" w:sz="8" w:space="0"/>
            </w:tcBorders>
            <w:vAlign w:val="center"/>
          </w:tcPr>
          <w:p w14:paraId="31B0C273">
            <w:pPr>
              <w:snapToGrid w:val="0"/>
              <w:spacing w:line="360" w:lineRule="auto"/>
              <w:jc w:val="center"/>
              <w:rPr>
                <w:rFonts w:hint="eastAsia" w:ascii="仿宋" w:hAnsi="仿宋" w:eastAsia="仿宋" w:cs="仿宋"/>
                <w:b/>
                <w:color w:val="auto"/>
                <w:sz w:val="24"/>
                <w:highlight w:val="none"/>
              </w:rPr>
            </w:pPr>
          </w:p>
        </w:tc>
        <w:tc>
          <w:tcPr>
            <w:tcW w:w="6298" w:type="dxa"/>
            <w:tcBorders>
              <w:top w:val="single" w:color="auto" w:sz="4" w:space="0"/>
              <w:left w:val="single" w:color="000000" w:sz="2" w:space="0"/>
              <w:bottom w:val="single" w:color="000000" w:sz="8" w:space="0"/>
              <w:right w:val="single" w:color="000000" w:sz="8" w:space="0"/>
            </w:tcBorders>
            <w:vAlign w:val="center"/>
          </w:tcPr>
          <w:p w14:paraId="74CD87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文件第四部分评</w:t>
            </w:r>
            <w:r>
              <w:rPr>
                <w:rFonts w:hint="eastAsia" w:ascii="仿宋" w:hAnsi="仿宋" w:eastAsia="仿宋" w:cs="仿宋"/>
                <w:color w:val="auto"/>
                <w:sz w:val="24"/>
                <w:highlight w:val="none"/>
                <w:lang w:eastAsia="zh-CN"/>
              </w:rPr>
              <w:t>审</w:t>
            </w:r>
            <w:r>
              <w:rPr>
                <w:rFonts w:hint="eastAsia" w:ascii="仿宋" w:hAnsi="仿宋" w:eastAsia="仿宋" w:cs="仿宋"/>
                <w:color w:val="auto"/>
                <w:sz w:val="24"/>
                <w:highlight w:val="none"/>
              </w:rPr>
              <w:t>标准提供。</w:t>
            </w:r>
          </w:p>
        </w:tc>
      </w:tr>
      <w:tr w14:paraId="0FD5A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311DA27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64" w:type="dxa"/>
            <w:tcBorders>
              <w:top w:val="single" w:color="000000" w:sz="8" w:space="0"/>
              <w:left w:val="single" w:color="000000" w:sz="2" w:space="0"/>
              <w:bottom w:val="single" w:color="000000" w:sz="8" w:space="0"/>
              <w:right w:val="single" w:color="000000" w:sz="8" w:space="0"/>
            </w:tcBorders>
            <w:vAlign w:val="center"/>
          </w:tcPr>
          <w:p w14:paraId="5F3074DC">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bCs w:val="0"/>
                <w:color w:val="auto"/>
                <w:sz w:val="24"/>
                <w:highlight w:val="none"/>
              </w:rPr>
              <w:t>报价要求</w:t>
            </w:r>
          </w:p>
        </w:tc>
        <w:tc>
          <w:tcPr>
            <w:tcW w:w="6298" w:type="dxa"/>
            <w:tcBorders>
              <w:top w:val="single" w:color="000000" w:sz="8" w:space="0"/>
              <w:left w:val="single" w:color="000000" w:sz="2" w:space="0"/>
              <w:bottom w:val="single" w:color="000000" w:sz="8" w:space="0"/>
              <w:right w:val="single" w:color="000000" w:sz="8" w:space="0"/>
            </w:tcBorders>
            <w:vAlign w:val="center"/>
          </w:tcPr>
          <w:p w14:paraId="6CE9C3CF">
            <w:pPr>
              <w:spacing w:line="360" w:lineRule="auto"/>
              <w:ind w:firstLine="480" w:firstLineChars="20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有关本项目实施所需的所有费用（含税费）均计入报价。</w:t>
            </w:r>
            <w:r>
              <w:rPr>
                <w:rFonts w:hint="eastAsia" w:ascii="仿宋" w:hAnsi="仿宋" w:eastAsia="仿宋" w:cs="仿宋"/>
                <w:b w:val="0"/>
                <w:bCs/>
                <w:color w:val="auto"/>
                <w:kern w:val="0"/>
                <w:sz w:val="24"/>
                <w:highlight w:val="none"/>
                <w:lang w:eastAsia="zh-CN"/>
              </w:rPr>
              <w:t>交易</w:t>
            </w:r>
            <w:r>
              <w:rPr>
                <w:rFonts w:hint="eastAsia" w:ascii="仿宋" w:hAnsi="仿宋" w:eastAsia="仿宋" w:cs="仿宋"/>
                <w:b w:val="0"/>
                <w:bCs/>
                <w:color w:val="auto"/>
                <w:kern w:val="0"/>
                <w:sz w:val="24"/>
                <w:highlight w:val="none"/>
              </w:rPr>
              <w:t>一览表（报价表）是报价的唯一载体</w:t>
            </w:r>
            <w:r>
              <w:rPr>
                <w:rFonts w:hint="eastAsia" w:ascii="仿宋" w:hAnsi="仿宋" w:eastAsia="仿宋" w:cs="仿宋"/>
                <w:b w:val="0"/>
                <w:bCs/>
                <w:color w:val="auto"/>
                <w:kern w:val="0"/>
                <w:sz w:val="24"/>
                <w:highlight w:val="none"/>
                <w:lang w:val="zh-CN"/>
              </w:rPr>
              <w:t>。响应文件中价格全部采用人民币报价。交易文件未列明，而供应商认为必需的费用也需列入报价。</w:t>
            </w:r>
          </w:p>
          <w:p w14:paraId="4666319B">
            <w:pPr>
              <w:spacing w:line="360" w:lineRule="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响应报价出现下列情形的，响应无效：</w:t>
            </w:r>
          </w:p>
          <w:p w14:paraId="5E4AA1B3">
            <w:pPr>
              <w:spacing w:line="360" w:lineRule="auto"/>
              <w:ind w:firstLine="480" w:firstLineChars="20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响应文件出现不是唯一的、有选择性响应报价的；</w:t>
            </w:r>
          </w:p>
          <w:p w14:paraId="48297F71">
            <w:pPr>
              <w:spacing w:line="360" w:lineRule="auto"/>
              <w:ind w:firstLine="480" w:firstLineChars="20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响应报价超过交易文件中规定的预算金额或者最高限价的；</w:t>
            </w:r>
          </w:p>
          <w:p w14:paraId="0985D297">
            <w:pPr>
              <w:spacing w:line="360" w:lineRule="auto"/>
              <w:ind w:firstLine="480" w:firstLineChars="200"/>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报价明显低于其他通过符合性审查</w:t>
            </w:r>
            <w:r>
              <w:rPr>
                <w:rFonts w:hint="eastAsia" w:ascii="仿宋" w:hAnsi="仿宋" w:eastAsia="仿宋" w:cs="仿宋"/>
                <w:b w:val="0"/>
                <w:bCs/>
                <w:color w:val="auto"/>
                <w:kern w:val="0"/>
                <w:sz w:val="24"/>
                <w:highlight w:val="none"/>
                <w:lang w:eastAsia="zh-CN"/>
              </w:rPr>
              <w:t>供应商</w:t>
            </w:r>
            <w:r>
              <w:rPr>
                <w:rFonts w:hint="eastAsia" w:ascii="仿宋" w:hAnsi="仿宋" w:eastAsia="仿宋" w:cs="仿宋"/>
                <w:b w:val="0"/>
                <w:bCs/>
                <w:color w:val="auto"/>
                <w:kern w:val="0"/>
                <w:sz w:val="24"/>
                <w:highlight w:val="none"/>
              </w:rPr>
              <w:t>的报价，有可能影响产品质量或者不能诚信履约的，未能按要求提供书面说明或者提交相关证明材料证明其报价合理性的</w:t>
            </w:r>
            <w:r>
              <w:rPr>
                <w:rFonts w:hint="eastAsia" w:ascii="仿宋" w:hAnsi="仿宋" w:eastAsia="仿宋" w:cs="仿宋"/>
                <w:b w:val="0"/>
                <w:bCs/>
                <w:color w:val="auto"/>
                <w:kern w:val="0"/>
                <w:sz w:val="24"/>
                <w:highlight w:val="none"/>
                <w:lang w:val="zh-CN"/>
              </w:rPr>
              <w:t>；</w:t>
            </w:r>
          </w:p>
          <w:p w14:paraId="52483C74">
            <w:pPr>
              <w:spacing w:line="360" w:lineRule="auto"/>
              <w:ind w:firstLine="480" w:firstLineChars="200"/>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供应商</w:t>
            </w:r>
            <w:r>
              <w:rPr>
                <w:rFonts w:hint="eastAsia" w:ascii="仿宋" w:hAnsi="仿宋" w:eastAsia="仿宋" w:cs="仿宋"/>
                <w:b w:val="0"/>
                <w:bCs/>
                <w:color w:val="auto"/>
                <w:kern w:val="0"/>
                <w:sz w:val="24"/>
                <w:highlight w:val="none"/>
              </w:rPr>
              <w:t>对根据修正原则修正后的报价不确认的。</w:t>
            </w:r>
          </w:p>
          <w:p w14:paraId="52078C16">
            <w:pPr>
              <w:spacing w:line="360" w:lineRule="auto"/>
              <w:ind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kern w:val="0"/>
                <w:sz w:val="24"/>
                <w:highlight w:val="none"/>
              </w:rPr>
              <w:t>资格文件、商务技术文件与报价文件未分开制作</w:t>
            </w:r>
            <w:r>
              <w:rPr>
                <w:rFonts w:hint="eastAsia" w:ascii="仿宋" w:hAnsi="仿宋" w:eastAsia="仿宋" w:cs="仿宋"/>
                <w:b w:val="0"/>
                <w:bCs/>
                <w:color w:val="auto"/>
                <w:sz w:val="24"/>
                <w:highlight w:val="none"/>
              </w:rPr>
              <w:t>。</w:t>
            </w:r>
          </w:p>
        </w:tc>
      </w:tr>
      <w:tr w14:paraId="68D8A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3233111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64" w:type="dxa"/>
            <w:tcBorders>
              <w:top w:val="single" w:color="000000" w:sz="8" w:space="0"/>
              <w:left w:val="single" w:color="000000" w:sz="2" w:space="0"/>
              <w:bottom w:val="single" w:color="000000" w:sz="8" w:space="0"/>
              <w:right w:val="single" w:color="000000" w:sz="8" w:space="0"/>
            </w:tcBorders>
            <w:vAlign w:val="center"/>
          </w:tcPr>
          <w:p w14:paraId="090FD9C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w:t>
            </w:r>
          </w:p>
        </w:tc>
        <w:tc>
          <w:tcPr>
            <w:tcW w:w="6298" w:type="dxa"/>
            <w:tcBorders>
              <w:top w:val="single" w:color="000000" w:sz="8" w:space="0"/>
              <w:left w:val="single" w:color="000000" w:sz="2" w:space="0"/>
              <w:bottom w:val="single" w:color="000000" w:sz="8" w:space="0"/>
              <w:right w:val="single" w:color="000000" w:sz="8" w:space="0"/>
            </w:tcBorders>
            <w:vAlign w:val="center"/>
          </w:tcPr>
          <w:p w14:paraId="43EAA789">
            <w:pPr>
              <w:pStyle w:val="36"/>
              <w:spacing w:line="360" w:lineRule="auto"/>
              <w:ind w:left="0" w:leftChars="0" w:hanging="4" w:firstLineChars="0"/>
              <w:rPr>
                <w:rFonts w:hint="eastAsia" w:ascii="仿宋" w:hAnsi="仿宋" w:eastAsia="仿宋" w:cs="仿宋"/>
                <w:color w:val="auto"/>
                <w:kern w:val="28"/>
                <w:sz w:val="24"/>
                <w:highlight w:val="none"/>
                <w:lang w:val="en-US" w:eastAsia="zh-CN"/>
              </w:rPr>
            </w:pPr>
            <w:r>
              <w:rPr>
                <w:rFonts w:hint="eastAsia" w:ascii="仿宋" w:hAnsi="仿宋" w:eastAsia="仿宋" w:cs="仿宋"/>
                <w:color w:val="auto"/>
                <w:kern w:val="28"/>
                <w:sz w:val="24"/>
                <w:szCs w:val="24"/>
                <w:highlight w:val="none"/>
                <w:lang w:val="en-US" w:eastAsia="zh-CN"/>
              </w:rPr>
              <w:t>备份文件是否收取：不收取。</w:t>
            </w:r>
          </w:p>
        </w:tc>
      </w:tr>
      <w:tr w14:paraId="0053D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0"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7376A319">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864" w:type="dxa"/>
            <w:tcBorders>
              <w:top w:val="single" w:color="000000" w:sz="8" w:space="0"/>
              <w:left w:val="single" w:color="000000" w:sz="2" w:space="0"/>
              <w:bottom w:val="single" w:color="000000" w:sz="8" w:space="0"/>
              <w:right w:val="single" w:color="000000" w:sz="8" w:space="0"/>
            </w:tcBorders>
            <w:vAlign w:val="center"/>
          </w:tcPr>
          <w:p w14:paraId="523D2E7F">
            <w:pPr>
              <w:snapToGrid w:val="0"/>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采购机构代理费用</w:t>
            </w:r>
            <w:r>
              <w:rPr>
                <w:rFonts w:hint="eastAsia" w:ascii="仿宋" w:hAnsi="仿宋" w:eastAsia="仿宋" w:cs="仿宋"/>
                <w:b/>
                <w:color w:val="auto"/>
                <w:sz w:val="24"/>
                <w:highlight w:val="none"/>
                <w:lang w:eastAsia="zh-CN"/>
              </w:rPr>
              <w:t>、专家费</w:t>
            </w:r>
          </w:p>
        </w:tc>
        <w:tc>
          <w:tcPr>
            <w:tcW w:w="6298" w:type="dxa"/>
            <w:tcBorders>
              <w:top w:val="single" w:color="000000" w:sz="8" w:space="0"/>
              <w:left w:val="single" w:color="000000" w:sz="2" w:space="0"/>
              <w:bottom w:val="single" w:color="000000" w:sz="8" w:space="0"/>
              <w:right w:val="single" w:color="000000" w:sz="8" w:space="0"/>
            </w:tcBorders>
            <w:vAlign w:val="center"/>
          </w:tcPr>
          <w:p w14:paraId="63006439">
            <w:pPr>
              <w:keepNext w:val="0"/>
              <w:keepLines w:val="0"/>
              <w:widowControl/>
              <w:suppressLineNumbers w:val="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本项目采购代理费及专家评审费由</w:t>
            </w:r>
            <w:r>
              <w:rPr>
                <w:rFonts w:hint="eastAsia" w:ascii="仿宋" w:hAnsi="仿宋" w:eastAsia="仿宋" w:cs="仿宋"/>
                <w:b/>
                <w:color w:val="auto"/>
                <w:sz w:val="24"/>
                <w:szCs w:val="24"/>
                <w:highlight w:val="none"/>
                <w:lang w:eastAsia="zh-CN"/>
              </w:rPr>
              <w:t>成交</w:t>
            </w:r>
            <w:r>
              <w:rPr>
                <w:rFonts w:hint="eastAsia" w:ascii="仿宋" w:hAnsi="仿宋" w:eastAsia="仿宋" w:cs="仿宋"/>
                <w:b/>
                <w:color w:val="auto"/>
                <w:sz w:val="24"/>
                <w:szCs w:val="24"/>
                <w:highlight w:val="none"/>
              </w:rPr>
              <w:t>人支付。采购代理费收费标准按计价格[2002]1980号文规定</w:t>
            </w:r>
            <w:r>
              <w:rPr>
                <w:rFonts w:hint="eastAsia" w:ascii="仿宋" w:hAnsi="仿宋" w:eastAsia="仿宋" w:cs="仿宋"/>
                <w:b/>
                <w:color w:val="auto"/>
                <w:sz w:val="24"/>
                <w:szCs w:val="24"/>
                <w:highlight w:val="none"/>
                <w:lang w:val="en-US" w:eastAsia="zh-CN"/>
              </w:rPr>
              <w:t>服务</w:t>
            </w:r>
            <w:r>
              <w:rPr>
                <w:rFonts w:hint="eastAsia" w:ascii="仿宋" w:hAnsi="仿宋" w:eastAsia="仿宋" w:cs="仿宋"/>
                <w:b/>
                <w:color w:val="auto"/>
                <w:sz w:val="24"/>
                <w:szCs w:val="24"/>
                <w:highlight w:val="none"/>
              </w:rPr>
              <w:t>类收费标准计取。采购代理费用由</w:t>
            </w:r>
            <w:r>
              <w:rPr>
                <w:rFonts w:hint="eastAsia" w:ascii="仿宋" w:hAnsi="仿宋" w:eastAsia="仿宋" w:cs="仿宋"/>
                <w:b/>
                <w:color w:val="auto"/>
                <w:sz w:val="24"/>
                <w:szCs w:val="24"/>
                <w:highlight w:val="none"/>
                <w:lang w:val="en-US" w:eastAsia="zh-CN"/>
              </w:rPr>
              <w:t>成交</w:t>
            </w:r>
            <w:r>
              <w:rPr>
                <w:rFonts w:hint="eastAsia" w:ascii="仿宋" w:hAnsi="仿宋" w:eastAsia="仿宋" w:cs="仿宋"/>
                <w:b/>
                <w:color w:val="auto"/>
                <w:sz w:val="24"/>
                <w:szCs w:val="24"/>
                <w:highlight w:val="none"/>
              </w:rPr>
              <w:t>人领取成交通知书时向采购代理机构支付。</w:t>
            </w:r>
          </w:p>
        </w:tc>
      </w:tr>
      <w:tr w14:paraId="5764B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1D4A7BEA">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val="0"/>
                <w:bCs/>
                <w:color w:val="auto"/>
                <w:sz w:val="24"/>
                <w:highlight w:val="none"/>
                <w:lang w:val="en-US" w:eastAsia="zh-CN"/>
              </w:rPr>
              <w:t>14</w:t>
            </w:r>
          </w:p>
        </w:tc>
        <w:tc>
          <w:tcPr>
            <w:tcW w:w="1864" w:type="dxa"/>
            <w:tcBorders>
              <w:top w:val="single" w:color="000000" w:sz="8" w:space="0"/>
              <w:left w:val="single" w:color="000000" w:sz="2" w:space="0"/>
              <w:bottom w:val="single" w:color="000000" w:sz="8" w:space="0"/>
              <w:right w:val="single" w:color="000000" w:sz="8" w:space="0"/>
            </w:tcBorders>
            <w:vAlign w:val="center"/>
          </w:tcPr>
          <w:p w14:paraId="69F146E4">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履约保证金</w:t>
            </w:r>
          </w:p>
        </w:tc>
        <w:tc>
          <w:tcPr>
            <w:tcW w:w="6298" w:type="dxa"/>
            <w:tcBorders>
              <w:top w:val="single" w:color="000000" w:sz="8" w:space="0"/>
              <w:left w:val="single" w:color="000000" w:sz="2" w:space="0"/>
              <w:bottom w:val="single" w:color="000000" w:sz="8" w:space="0"/>
              <w:right w:val="single" w:color="000000" w:sz="8" w:space="0"/>
            </w:tcBorders>
            <w:vAlign w:val="center"/>
          </w:tcPr>
          <w:p w14:paraId="56EFCBF5">
            <w:pPr>
              <w:pStyle w:val="36"/>
              <w:spacing w:line="360" w:lineRule="auto"/>
              <w:ind w:hanging="4"/>
              <w:rPr>
                <w:rFonts w:hint="default" w:ascii="仿宋" w:hAnsi="仿宋" w:eastAsia="仿宋" w:cs="仿宋"/>
                <w:b w:val="0"/>
                <w:bCs/>
                <w:snapToGrid/>
                <w:color w:val="auto"/>
                <w:kern w:val="0"/>
                <w:sz w:val="24"/>
                <w:szCs w:val="24"/>
                <w:highlight w:val="none"/>
                <w:lang w:val="en-US" w:eastAsia="zh-CN" w:bidi="ar-SA"/>
              </w:rPr>
            </w:pPr>
            <w:r>
              <w:rPr>
                <w:rFonts w:hint="eastAsia" w:ascii="仿宋" w:hAnsi="仿宋" w:eastAsia="仿宋" w:cs="仿宋"/>
                <w:b w:val="0"/>
                <w:bCs/>
                <w:snapToGrid/>
                <w:color w:val="auto"/>
                <w:kern w:val="0"/>
                <w:sz w:val="24"/>
                <w:szCs w:val="24"/>
                <w:highlight w:val="none"/>
                <w:lang w:val="en-US" w:eastAsia="zh-CN" w:bidi="ar-SA"/>
              </w:rPr>
              <w:t>履约保证金：10000元(收到成交通知书后三天交纳，不计息)</w:t>
            </w:r>
          </w:p>
          <w:p w14:paraId="2D599E69">
            <w:pPr>
              <w:pStyle w:val="16"/>
              <w:spacing w:line="360" w:lineRule="auto"/>
              <w:ind w:firstLine="0"/>
              <w:rPr>
                <w:rFonts w:hint="eastAsia" w:ascii="仿宋" w:hAnsi="仿宋" w:eastAsia="仿宋" w:cs="仿宋"/>
                <w:color w:val="auto"/>
                <w:sz w:val="24"/>
                <w:highlight w:val="none"/>
                <w:lang w:val="en-US" w:eastAsia="zh-CN"/>
              </w:rPr>
            </w:pPr>
            <w:r>
              <w:rPr>
                <w:rFonts w:hint="eastAsia" w:ascii="仿宋" w:hAnsi="仿宋" w:eastAsia="仿宋" w:cs="仿宋"/>
                <w:b w:val="0"/>
                <w:bCs/>
                <w:snapToGrid/>
                <w:color w:val="auto"/>
                <w:kern w:val="0"/>
                <w:sz w:val="24"/>
                <w:szCs w:val="24"/>
                <w:highlight w:val="none"/>
                <w:lang w:val="en-US" w:eastAsia="zh-CN" w:bidi="ar-SA"/>
              </w:rPr>
              <w:t>供应商应当以支票、汇票、本票或者金融机构、担保机构出具的保函等非现金形式提交。</w:t>
            </w:r>
          </w:p>
        </w:tc>
      </w:tr>
      <w:tr w14:paraId="79F40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4CDE8B64">
            <w:pPr>
              <w:snapToGrid w:val="0"/>
              <w:spacing w:line="360" w:lineRule="auto"/>
              <w:jc w:val="center"/>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15</w:t>
            </w:r>
          </w:p>
        </w:tc>
        <w:tc>
          <w:tcPr>
            <w:tcW w:w="1864" w:type="dxa"/>
            <w:tcBorders>
              <w:top w:val="single" w:color="000000" w:sz="8" w:space="0"/>
              <w:left w:val="single" w:color="000000" w:sz="2" w:space="0"/>
              <w:bottom w:val="single" w:color="000000" w:sz="8" w:space="0"/>
              <w:right w:val="single" w:color="000000" w:sz="8" w:space="0"/>
            </w:tcBorders>
            <w:vAlign w:val="center"/>
          </w:tcPr>
          <w:p w14:paraId="646A0C5C">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交易保证金</w:t>
            </w:r>
          </w:p>
        </w:tc>
        <w:tc>
          <w:tcPr>
            <w:tcW w:w="6298" w:type="dxa"/>
            <w:tcBorders>
              <w:top w:val="single" w:color="000000" w:sz="8" w:space="0"/>
              <w:left w:val="single" w:color="000000" w:sz="2" w:space="0"/>
              <w:bottom w:val="single" w:color="000000" w:sz="8" w:space="0"/>
              <w:right w:val="single" w:color="000000" w:sz="8" w:space="0"/>
            </w:tcBorders>
            <w:vAlign w:val="center"/>
          </w:tcPr>
          <w:p w14:paraId="423D58AB">
            <w:pPr>
              <w:spacing w:line="360" w:lineRule="auto"/>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10000元</w:t>
            </w:r>
          </w:p>
          <w:p w14:paraId="75E755FB">
            <w:pPr>
              <w:spacing w:line="360" w:lineRule="auto"/>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形式：交易保证金采用汇票或本票（交易保证金须从供应商账户中汇出，不需要进账）；资格文件中附上交易保证金递交证明。</w:t>
            </w:r>
          </w:p>
          <w:p w14:paraId="71499418">
            <w:pPr>
              <w:spacing w:line="360" w:lineRule="auto"/>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 xml:space="preserve">账户名称：杭州萧山浦阳桃源股份经济联合社 </w:t>
            </w:r>
          </w:p>
          <w:p w14:paraId="229E0A67">
            <w:pPr>
              <w:spacing w:line="360" w:lineRule="auto"/>
              <w:rPr>
                <w:rFonts w:hint="eastAsia"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开户银行：萧山农商银行浦阳支行；</w:t>
            </w:r>
          </w:p>
          <w:p w14:paraId="6970586F">
            <w:pPr>
              <w:spacing w:line="360" w:lineRule="auto"/>
              <w:rPr>
                <w:rFonts w:hint="default" w:ascii="仿宋" w:hAnsi="仿宋" w:eastAsia="仿宋" w:cs="仿宋"/>
                <w:b/>
                <w:color w:val="auto"/>
                <w:sz w:val="24"/>
                <w:highlight w:val="none"/>
                <w:lang w:val="en-US" w:eastAsia="zh-CN"/>
              </w:rPr>
            </w:pPr>
            <w:r>
              <w:rPr>
                <w:rFonts w:hint="eastAsia" w:ascii="仿宋" w:hAnsi="仿宋" w:eastAsia="仿宋" w:cs="仿宋"/>
                <w:b w:val="0"/>
                <w:bCs/>
                <w:color w:val="auto"/>
                <w:kern w:val="0"/>
                <w:sz w:val="24"/>
                <w:highlight w:val="none"/>
                <w:lang w:val="en-US" w:eastAsia="zh-CN"/>
              </w:rPr>
              <w:t>账号：201000125552506</w:t>
            </w:r>
          </w:p>
        </w:tc>
      </w:tr>
      <w:tr w14:paraId="62123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343C1C79">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16</w:t>
            </w:r>
          </w:p>
        </w:tc>
        <w:tc>
          <w:tcPr>
            <w:tcW w:w="1864" w:type="dxa"/>
            <w:tcBorders>
              <w:top w:val="single" w:color="000000" w:sz="8" w:space="0"/>
              <w:left w:val="single" w:color="000000" w:sz="2" w:space="0"/>
              <w:bottom w:val="single" w:color="000000" w:sz="8" w:space="0"/>
              <w:right w:val="single" w:color="000000" w:sz="8" w:space="0"/>
            </w:tcBorders>
            <w:vAlign w:val="center"/>
          </w:tcPr>
          <w:p w14:paraId="4E353CAB">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资格审查</w:t>
            </w:r>
          </w:p>
        </w:tc>
        <w:tc>
          <w:tcPr>
            <w:tcW w:w="6298" w:type="dxa"/>
            <w:tcBorders>
              <w:top w:val="single" w:color="000000" w:sz="8" w:space="0"/>
              <w:left w:val="single" w:color="000000" w:sz="2" w:space="0"/>
              <w:bottom w:val="single" w:color="000000" w:sz="8" w:space="0"/>
              <w:right w:val="single" w:color="000000" w:sz="8" w:space="0"/>
            </w:tcBorders>
            <w:vAlign w:val="center"/>
          </w:tcPr>
          <w:p w14:paraId="538B86EB">
            <w:pPr>
              <w:pStyle w:val="36"/>
              <w:spacing w:line="360" w:lineRule="auto"/>
              <w:ind w:left="0" w:leftChars="0" w:hanging="4"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本项目由采购人进行资格文件查询。</w:t>
            </w:r>
          </w:p>
        </w:tc>
      </w:tr>
      <w:tr w14:paraId="2B19F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27DC8C90">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17</w:t>
            </w:r>
          </w:p>
        </w:tc>
        <w:tc>
          <w:tcPr>
            <w:tcW w:w="1864" w:type="dxa"/>
            <w:tcBorders>
              <w:top w:val="single" w:color="000000" w:sz="8" w:space="0"/>
              <w:left w:val="single" w:color="000000" w:sz="2" w:space="0"/>
              <w:bottom w:val="single" w:color="000000" w:sz="8" w:space="0"/>
              <w:right w:val="single" w:color="000000" w:sz="8" w:space="0"/>
            </w:tcBorders>
            <w:vAlign w:val="center"/>
          </w:tcPr>
          <w:p w14:paraId="392577D7">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质疑接收人及答复</w:t>
            </w:r>
          </w:p>
        </w:tc>
        <w:tc>
          <w:tcPr>
            <w:tcW w:w="6298" w:type="dxa"/>
            <w:tcBorders>
              <w:top w:val="single" w:color="000000" w:sz="8" w:space="0"/>
              <w:left w:val="single" w:color="000000" w:sz="2" w:space="0"/>
              <w:bottom w:val="single" w:color="000000" w:sz="8" w:space="0"/>
              <w:right w:val="single" w:color="000000" w:sz="8" w:space="0"/>
            </w:tcBorders>
            <w:vAlign w:val="center"/>
          </w:tcPr>
          <w:p w14:paraId="08ECC989">
            <w:pPr>
              <w:pStyle w:val="36"/>
              <w:spacing w:line="360" w:lineRule="auto"/>
              <w:ind w:left="0" w:leftChars="0" w:hanging="4"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采购人、采购机构质疑接收人、联系方式：详见公告</w:t>
            </w:r>
          </w:p>
          <w:p w14:paraId="7D305AA1">
            <w:pPr>
              <w:pStyle w:val="36"/>
              <w:spacing w:line="360" w:lineRule="auto"/>
              <w:ind w:left="0" w:leftChars="0" w:hanging="4"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线上提交质疑方式：</w:t>
            </w:r>
            <w:r>
              <w:rPr>
                <w:rFonts w:hint="eastAsia" w:ascii="仿宋" w:hAnsi="仿宋" w:eastAsia="仿宋" w:cs="仿宋"/>
                <w:color w:val="auto"/>
                <w:sz w:val="24"/>
                <w:highlight w:val="none"/>
                <w:lang w:eastAsia="zh-CN"/>
              </w:rPr>
              <w:t>乐采云(萧采云)</w:t>
            </w:r>
            <w:r>
              <w:rPr>
                <w:rFonts w:hint="eastAsia" w:ascii="仿宋" w:hAnsi="仿宋" w:eastAsia="仿宋" w:cs="仿宋"/>
                <w:color w:val="auto"/>
                <w:sz w:val="24"/>
                <w:highlight w:val="none"/>
              </w:rPr>
              <w:t>线上质疑路径：项目采购-询问质疑投诉-质疑列表。请使用ca签章在每一页质疑文件中加盖电子公章，上传完整附件。</w:t>
            </w:r>
          </w:p>
          <w:p w14:paraId="13E7B01C">
            <w:pPr>
              <w:pStyle w:val="36"/>
              <w:spacing w:line="360" w:lineRule="auto"/>
              <w:ind w:left="0" w:leftChars="0" w:hanging="4"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14:paraId="127AA768">
            <w:pPr>
              <w:pStyle w:val="36"/>
              <w:spacing w:line="360" w:lineRule="auto"/>
              <w:ind w:left="0" w:leftChars="0" w:hanging="4"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涉及流程规范性、组织程序等相关事项，由采购机构进行答复。</w:t>
            </w:r>
          </w:p>
        </w:tc>
      </w:tr>
      <w:tr w14:paraId="34A66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36" w:type="dxa"/>
            <w:tcBorders>
              <w:top w:val="single" w:color="auto" w:sz="4" w:space="0"/>
              <w:left w:val="single" w:color="000000" w:sz="8" w:space="0"/>
              <w:bottom w:val="single" w:color="auto" w:sz="4" w:space="0"/>
              <w:right w:val="single" w:color="000000" w:sz="2" w:space="0"/>
            </w:tcBorders>
            <w:vAlign w:val="center"/>
          </w:tcPr>
          <w:p w14:paraId="2C94B56D">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1864" w:type="dxa"/>
            <w:tcBorders>
              <w:top w:val="single" w:color="000000" w:sz="8" w:space="0"/>
              <w:left w:val="single" w:color="000000" w:sz="2" w:space="0"/>
              <w:bottom w:val="single" w:color="000000" w:sz="8" w:space="0"/>
              <w:right w:val="single" w:color="000000" w:sz="8" w:space="0"/>
            </w:tcBorders>
            <w:vAlign w:val="center"/>
          </w:tcPr>
          <w:p w14:paraId="11249D77">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298" w:type="dxa"/>
            <w:tcBorders>
              <w:top w:val="single" w:color="000000" w:sz="8" w:space="0"/>
              <w:left w:val="single" w:color="000000" w:sz="2" w:space="0"/>
              <w:bottom w:val="single" w:color="000000" w:sz="8" w:space="0"/>
              <w:right w:val="single" w:color="000000" w:sz="8" w:space="0"/>
            </w:tcBorders>
            <w:vAlign w:val="center"/>
          </w:tcPr>
          <w:p w14:paraId="750E8130">
            <w:pPr>
              <w:spacing w:line="360" w:lineRule="auto"/>
              <w:ind w:firstLine="482" w:firstLineChars="200"/>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t>本项目通用总则条款与前附表等专用特别规定有冲突之处，以专用条款（特别规定）为准</w:t>
            </w:r>
          </w:p>
        </w:tc>
      </w:tr>
      <w:bookmarkEnd w:id="10"/>
    </w:tbl>
    <w:p w14:paraId="74699381">
      <w:pPr>
        <w:rPr>
          <w:rFonts w:hint="eastAsia" w:ascii="仿宋" w:hAnsi="仿宋" w:eastAsia="仿宋" w:cs="仿宋"/>
          <w:b/>
          <w:color w:val="auto"/>
          <w:sz w:val="32"/>
          <w:szCs w:val="20"/>
          <w:highlight w:val="none"/>
        </w:rPr>
      </w:pPr>
      <w:bookmarkStart w:id="13" w:name="_Toc164416483"/>
      <w:bookmarkStart w:id="14" w:name="第三部分"/>
      <w:r>
        <w:rPr>
          <w:rFonts w:hint="eastAsia" w:ascii="仿宋" w:hAnsi="仿宋" w:eastAsia="仿宋" w:cs="仿宋"/>
          <w:b/>
          <w:color w:val="auto"/>
          <w:sz w:val="32"/>
          <w:szCs w:val="20"/>
          <w:highlight w:val="none"/>
        </w:rPr>
        <w:t>一、总则</w:t>
      </w:r>
    </w:p>
    <w:p w14:paraId="4416B98D">
      <w:pPr>
        <w:snapToGrid w:val="0"/>
        <w:spacing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53516663">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本交易文件适用于该项目的交易、资格审查及信用信息查询、评审、定标、合同、验收等行为（法律、法规另有规定的，从其规定）。</w:t>
      </w:r>
    </w:p>
    <w:p w14:paraId="153AC799">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111BBF4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“采购人”系指交易公告中载明的本项目的采购人。</w:t>
      </w:r>
    </w:p>
    <w:p w14:paraId="2452530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“采购机构”系指交易公告中载明的本项目的采购机构。</w:t>
      </w:r>
    </w:p>
    <w:p w14:paraId="23E442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“供应商”系指是指响应交易、参加交易竞争的法人、其他组织或者自然人。</w:t>
      </w:r>
    </w:p>
    <w:p w14:paraId="509D193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1DE79CC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p>
    <w:p w14:paraId="2B89A14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2.6“电子交易平台”是指本项目采购活动所依托的政府采购云平台（https://www.zcygov.cn/）。</w:t>
      </w:r>
    </w:p>
    <w:p w14:paraId="7B8B0D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p>
    <w:p w14:paraId="14FCC4C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 xml:space="preserve"> 询问、质疑、投诉</w:t>
      </w:r>
    </w:p>
    <w:p w14:paraId="7A30956F">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.1供应商询问</w:t>
      </w:r>
    </w:p>
    <w:p w14:paraId="1638783D">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2FE2D2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.2供应商质疑</w:t>
      </w:r>
    </w:p>
    <w:p w14:paraId="27F7D858">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.1提出质疑的供应商应当是参与所质疑项目采购活动的供应商。潜在供应商已依法获取其可质疑的</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的，可以对该文件提出质疑。</w:t>
      </w:r>
    </w:p>
    <w:p w14:paraId="2ABD12CC">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.2供应商认为</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结果使自己的权益受到损害的，可以在知道或者应知其权益受到损害之日起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日内，以书面形式向采购人或者采购机构提出质疑，否则，采购人或者采购机构不予受理：</w:t>
      </w:r>
    </w:p>
    <w:p w14:paraId="08DFE8D4">
      <w:pPr>
        <w:pStyle w:val="16"/>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rPr>
        <w:t>.2.2.1对</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提出质疑的，质疑期限为供应商获得</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之日或者</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公告期限届满之日起计算。</w:t>
      </w:r>
    </w:p>
    <w:p w14:paraId="0E1D4B8A">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2.2.2对采购过程提出质疑的，质疑期限为各采购程序环节结束之日起计算。对同一采购程序环节的质疑，供应商须一次性提出。</w:t>
      </w:r>
    </w:p>
    <w:p w14:paraId="527C251D">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2.2.3对采购结果提出质疑的，质疑期限自采购结果公告期限届满之日起计算。</w:t>
      </w:r>
    </w:p>
    <w:p w14:paraId="7EAA95AF">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3.2.3</w:t>
      </w:r>
      <w:r>
        <w:rPr>
          <w:rFonts w:hint="eastAsia" w:ascii="仿宋" w:hAnsi="仿宋" w:eastAsia="仿宋" w:cs="仿宋"/>
          <w:color w:val="auto"/>
          <w:sz w:val="24"/>
          <w:highlight w:val="none"/>
        </w:rPr>
        <w:t>供应商提出质疑应当提交质疑函和必要的证明材料。质疑函应当包括下列内容：</w:t>
      </w:r>
    </w:p>
    <w:p w14:paraId="1D6C29DC">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3.2.3.1供应商的姓名或者名称、地址、邮编、联系人及联系电话；</w:t>
      </w:r>
    </w:p>
    <w:p w14:paraId="43F0E84B">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3.2.3.2质疑项目的名称、编号；</w:t>
      </w:r>
    </w:p>
    <w:p w14:paraId="69958DD6">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3.2.3.3具体、明确的质疑事项和与质疑事项相关的请求；</w:t>
      </w:r>
    </w:p>
    <w:p w14:paraId="4CF9F478">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3.2.3.4事实依据；</w:t>
      </w:r>
    </w:p>
    <w:p w14:paraId="5864CBD1">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3.2.3.5必要的法律依据；</w:t>
      </w:r>
    </w:p>
    <w:p w14:paraId="0B24A294">
      <w:pPr>
        <w:pStyle w:val="36"/>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3.2.3.6提出质疑的日期。</w:t>
      </w:r>
    </w:p>
    <w:p w14:paraId="05752AB8">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602D541">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445AC731">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3.2</w:t>
      </w:r>
      <w:r>
        <w:rPr>
          <w:rFonts w:hint="eastAsia" w:ascii="仿宋" w:hAnsi="仿宋" w:eastAsia="仿宋" w:cs="仿宋"/>
          <w:color w:val="auto"/>
          <w:highlight w:val="none"/>
        </w:rPr>
        <w:t>.4采购人或者采购机构应当在收到供应商的书面质疑后</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日内作出答复，并以书面形式通知质疑供应商和其他与质疑处理结果有利害关系的采购当事人，但答复的内容不得涉及商业秘密。</w:t>
      </w:r>
    </w:p>
    <w:p w14:paraId="51953754">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3.2</w:t>
      </w:r>
      <w:r>
        <w:rPr>
          <w:rFonts w:hint="eastAsia" w:ascii="仿宋" w:hAnsi="仿宋" w:eastAsia="仿宋" w:cs="仿宋"/>
          <w:color w:val="auto"/>
          <w:highlight w:val="none"/>
        </w:rPr>
        <w:t>.5询问或者质疑事项可能影响采购结果的，采购人应当暂停签订合同，已经签订合同的，应当中止履行合同。</w:t>
      </w:r>
    </w:p>
    <w:p w14:paraId="2854D3BC">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3.3供应商投诉</w:t>
      </w:r>
    </w:p>
    <w:p w14:paraId="7F4A9FC9">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rPr>
        <w:t>3.1质疑供应商对采购人、采购机构的答复不满意或者采购人、采购机构未在规定的时间内作出答复的，可以在答复期满后十五个工作日内向同级采购监督管理部门提出投诉。</w:t>
      </w:r>
    </w:p>
    <w:p w14:paraId="378D0F68">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rPr>
        <w:t>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515E8CED">
      <w:pPr>
        <w:pStyle w:val="88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rPr>
        <w:t>3.3供应商投诉应当有明确的请求和必要的证明材料。</w:t>
      </w:r>
    </w:p>
    <w:p w14:paraId="7C543E4E">
      <w:pPr>
        <w:pStyle w:val="130"/>
        <w:snapToGrid w:val="0"/>
        <w:spacing w:before="0"/>
        <w:ind w:firstLine="360"/>
        <w:rPr>
          <w:rFonts w:hint="eastAsia" w:ascii="仿宋" w:hAnsi="仿宋" w:eastAsia="仿宋" w:cs="仿宋"/>
          <w:color w:val="auto"/>
          <w:sz w:val="18"/>
          <w:szCs w:val="18"/>
          <w:highlight w:val="none"/>
        </w:rPr>
      </w:pPr>
    </w:p>
    <w:p w14:paraId="4660C6F0">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w:t>
      </w:r>
      <w:r>
        <w:rPr>
          <w:rFonts w:hint="eastAsia" w:ascii="仿宋" w:hAnsi="仿宋" w:eastAsia="仿宋" w:cs="仿宋"/>
          <w:b/>
          <w:color w:val="auto"/>
          <w:sz w:val="32"/>
          <w:szCs w:val="20"/>
          <w:highlight w:val="none"/>
          <w:lang w:eastAsia="zh-CN"/>
        </w:rPr>
        <w:t>交易文件</w:t>
      </w:r>
      <w:r>
        <w:rPr>
          <w:rFonts w:hint="eastAsia" w:ascii="仿宋" w:hAnsi="仿宋" w:eastAsia="仿宋" w:cs="仿宋"/>
          <w:b/>
          <w:color w:val="auto"/>
          <w:sz w:val="32"/>
          <w:szCs w:val="20"/>
          <w:highlight w:val="none"/>
        </w:rPr>
        <w:t>的构成、澄清、修改</w:t>
      </w:r>
    </w:p>
    <w:p w14:paraId="768EBC69">
      <w:pPr>
        <w:pStyle w:val="36"/>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的构成</w:t>
      </w:r>
    </w:p>
    <w:p w14:paraId="0BDFE0F2">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包括下列文件及附件：</w:t>
      </w:r>
    </w:p>
    <w:p w14:paraId="1D337A8C">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交易</w:t>
      </w:r>
      <w:r>
        <w:rPr>
          <w:rFonts w:hint="eastAsia" w:ascii="仿宋" w:hAnsi="仿宋" w:eastAsia="仿宋" w:cs="仿宋"/>
          <w:color w:val="auto"/>
          <w:sz w:val="24"/>
          <w:szCs w:val="24"/>
          <w:highlight w:val="none"/>
        </w:rPr>
        <w:t>公告；</w:t>
      </w:r>
    </w:p>
    <w:p w14:paraId="0D567580">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w:t>
      </w:r>
    </w:p>
    <w:p w14:paraId="75ADD052">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.1.3采购需求；</w:t>
      </w:r>
    </w:p>
    <w:p w14:paraId="1D78CD33">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.1.4评</w:t>
      </w:r>
      <w:r>
        <w:rPr>
          <w:rFonts w:hint="eastAsia" w:ascii="仿宋" w:hAnsi="仿宋" w:eastAsia="仿宋" w:cs="仿宋"/>
          <w:color w:val="auto"/>
          <w:sz w:val="24"/>
          <w:szCs w:val="24"/>
          <w:highlight w:val="none"/>
          <w:lang w:eastAsia="zh-CN"/>
        </w:rPr>
        <w:t>审</w:t>
      </w:r>
      <w:r>
        <w:rPr>
          <w:rFonts w:hint="eastAsia" w:ascii="仿宋" w:hAnsi="仿宋" w:eastAsia="仿宋" w:cs="仿宋"/>
          <w:color w:val="auto"/>
          <w:sz w:val="24"/>
          <w:szCs w:val="24"/>
          <w:highlight w:val="none"/>
        </w:rPr>
        <w:t>办法；</w:t>
      </w:r>
    </w:p>
    <w:p w14:paraId="61700B22">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.1.5拟签订的合同文本；</w:t>
      </w:r>
    </w:p>
    <w:p w14:paraId="63C2C691">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.1.6</w:t>
      </w:r>
      <w:r>
        <w:rPr>
          <w:rFonts w:hint="eastAsia" w:ascii="仿宋" w:hAnsi="仿宋" w:eastAsia="仿宋" w:cs="仿宋"/>
          <w:color w:val="auto"/>
          <w:sz w:val="24"/>
          <w:szCs w:val="24"/>
          <w:highlight w:val="none"/>
        </w:rPr>
        <w:t>应提交的有关格式范例。</w:t>
      </w:r>
    </w:p>
    <w:p w14:paraId="64A9B5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.2与本项目有关的</w:t>
      </w:r>
      <w:r>
        <w:rPr>
          <w:rFonts w:hint="eastAsia" w:ascii="仿宋" w:hAnsi="仿宋" w:eastAsia="仿宋" w:cs="仿宋"/>
          <w:bCs/>
          <w:color w:val="auto"/>
          <w:sz w:val="24"/>
          <w:highlight w:val="none"/>
        </w:rPr>
        <w:t>澄清或者修改的内容为</w:t>
      </w:r>
      <w:r>
        <w:rPr>
          <w:rFonts w:hint="eastAsia" w:ascii="仿宋" w:hAnsi="仿宋" w:eastAsia="仿宋" w:cs="仿宋"/>
          <w:bCs/>
          <w:color w:val="auto"/>
          <w:sz w:val="24"/>
          <w:highlight w:val="none"/>
          <w:lang w:eastAsia="zh-CN"/>
        </w:rPr>
        <w:t>交易文件</w:t>
      </w:r>
      <w:r>
        <w:rPr>
          <w:rFonts w:hint="eastAsia" w:ascii="仿宋" w:hAnsi="仿宋" w:eastAsia="仿宋" w:cs="仿宋"/>
          <w:bCs/>
          <w:color w:val="auto"/>
          <w:sz w:val="24"/>
          <w:highlight w:val="none"/>
        </w:rPr>
        <w:t>的组成部分</w:t>
      </w:r>
      <w:r>
        <w:rPr>
          <w:rFonts w:hint="eastAsia" w:ascii="仿宋" w:hAnsi="仿宋" w:eastAsia="仿宋" w:cs="仿宋"/>
          <w:color w:val="auto"/>
          <w:sz w:val="24"/>
          <w:highlight w:val="none"/>
        </w:rPr>
        <w:t>。</w:t>
      </w:r>
    </w:p>
    <w:p w14:paraId="3B13C8A4">
      <w:pPr>
        <w:pStyle w:val="36"/>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的澄清、修改</w:t>
      </w:r>
    </w:p>
    <w:p w14:paraId="795E05F1">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.1已获取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，若有问题需要澄清，应于</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截止时间前，以书面形式向采购机构提出。</w:t>
      </w:r>
    </w:p>
    <w:p w14:paraId="53F00F81">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.2 采购机构对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进行澄清或修改的，将同时通过电子交易平台通知已获取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。依法应当公告的，将按规定公告，同时视情况延长</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截止时间和</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时间。该澄清或者修改的内容为</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的组成部分。</w:t>
      </w:r>
    </w:p>
    <w:p w14:paraId="60BAFA4A">
      <w:pPr>
        <w:pStyle w:val="24"/>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3FD698E6">
      <w:pPr>
        <w:adjustRightInd/>
        <w:spacing w:line="360" w:lineRule="auto"/>
        <w:jc w:val="center"/>
        <w:outlineLvl w:val="0"/>
        <w:rPr>
          <w:rFonts w:hint="eastAsia" w:ascii="仿宋" w:hAnsi="仿宋" w:eastAsia="仿宋" w:cs="仿宋"/>
          <w:b/>
          <w:color w:val="auto"/>
          <w:sz w:val="30"/>
          <w:szCs w:val="20"/>
          <w:highlight w:val="none"/>
          <w:lang w:eastAsia="zh-CN"/>
        </w:rPr>
      </w:pPr>
      <w:r>
        <w:rPr>
          <w:rFonts w:hint="eastAsia" w:ascii="仿宋" w:hAnsi="仿宋" w:eastAsia="仿宋" w:cs="仿宋"/>
          <w:b/>
          <w:color w:val="auto"/>
          <w:sz w:val="30"/>
          <w:szCs w:val="20"/>
          <w:highlight w:val="none"/>
        </w:rPr>
        <w:t>三、</w:t>
      </w:r>
      <w:r>
        <w:rPr>
          <w:rFonts w:hint="eastAsia" w:ascii="仿宋" w:hAnsi="仿宋" w:eastAsia="仿宋" w:cs="仿宋"/>
          <w:b/>
          <w:color w:val="auto"/>
          <w:sz w:val="30"/>
          <w:szCs w:val="20"/>
          <w:highlight w:val="none"/>
          <w:lang w:eastAsia="zh-CN"/>
        </w:rPr>
        <w:t>交易</w:t>
      </w:r>
    </w:p>
    <w:p w14:paraId="3EDE02C9">
      <w:pPr>
        <w:pStyle w:val="36"/>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的获取</w:t>
      </w:r>
    </w:p>
    <w:p w14:paraId="0F5AA15D">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w:t>
      </w:r>
      <w:r>
        <w:rPr>
          <w:rFonts w:hint="eastAsia" w:ascii="仿宋" w:hAnsi="仿宋" w:eastAsia="仿宋" w:cs="仿宋"/>
          <w:snapToGrid w:val="0"/>
          <w:color w:val="auto"/>
          <w:kern w:val="28"/>
          <w:sz w:val="24"/>
          <w:highlight w:val="none"/>
          <w:lang w:eastAsia="zh-CN"/>
        </w:rPr>
        <w:t>交易</w:t>
      </w:r>
      <w:r>
        <w:rPr>
          <w:rFonts w:hint="eastAsia" w:ascii="仿宋" w:hAnsi="仿宋" w:eastAsia="仿宋" w:cs="仿宋"/>
          <w:snapToGrid w:val="0"/>
          <w:color w:val="auto"/>
          <w:kern w:val="28"/>
          <w:sz w:val="24"/>
          <w:highlight w:val="none"/>
        </w:rPr>
        <w:t>公告中获取</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的时间期限、地点、方式及</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售价。</w:t>
      </w:r>
    </w:p>
    <w:p w14:paraId="71B4B640">
      <w:pPr>
        <w:pStyle w:val="36"/>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交易</w:t>
      </w:r>
      <w:r>
        <w:rPr>
          <w:rFonts w:hint="eastAsia" w:ascii="仿宋" w:hAnsi="仿宋" w:eastAsia="仿宋" w:cs="仿宋"/>
          <w:b/>
          <w:color w:val="auto"/>
          <w:sz w:val="24"/>
          <w:szCs w:val="24"/>
          <w:highlight w:val="none"/>
        </w:rPr>
        <w:t>前答疑会或现场考察</w:t>
      </w:r>
    </w:p>
    <w:p w14:paraId="74C65B32">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现场考察或者召开</w:t>
      </w:r>
      <w:r>
        <w:rPr>
          <w:rFonts w:hint="eastAsia" w:ascii="仿宋" w:hAnsi="仿宋" w:eastAsia="仿宋" w:cs="仿宋"/>
          <w:color w:val="auto"/>
          <w:sz w:val="24"/>
          <w:szCs w:val="24"/>
          <w:highlight w:val="none"/>
          <w:lang w:eastAsia="zh-CN"/>
        </w:rPr>
        <w:t>交易</w:t>
      </w:r>
      <w:r>
        <w:rPr>
          <w:rFonts w:hint="eastAsia" w:ascii="仿宋" w:hAnsi="仿宋" w:eastAsia="仿宋" w:cs="仿宋"/>
          <w:color w:val="auto"/>
          <w:sz w:val="24"/>
          <w:szCs w:val="24"/>
          <w:highlight w:val="none"/>
        </w:rPr>
        <w:t>前答疑会的，潜在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按第二部分</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须知前附表的规定参加现场考察或者</w:t>
      </w:r>
      <w:r>
        <w:rPr>
          <w:rFonts w:hint="eastAsia" w:ascii="仿宋" w:hAnsi="仿宋" w:eastAsia="仿宋" w:cs="仿宋"/>
          <w:color w:val="auto"/>
          <w:sz w:val="24"/>
          <w:szCs w:val="24"/>
          <w:highlight w:val="none"/>
          <w:lang w:eastAsia="zh-CN"/>
        </w:rPr>
        <w:t>交易</w:t>
      </w:r>
      <w:r>
        <w:rPr>
          <w:rFonts w:hint="eastAsia" w:ascii="仿宋" w:hAnsi="仿宋" w:eastAsia="仿宋" w:cs="仿宋"/>
          <w:color w:val="auto"/>
          <w:sz w:val="24"/>
          <w:szCs w:val="24"/>
          <w:highlight w:val="none"/>
        </w:rPr>
        <w:t>前答疑会。</w:t>
      </w:r>
    </w:p>
    <w:p w14:paraId="0187D093">
      <w:pPr>
        <w:pStyle w:val="36"/>
        <w:spacing w:line="360" w:lineRule="auto"/>
        <w:ind w:firstLine="420" w:firstLineChars="200"/>
        <w:rPr>
          <w:rFonts w:hint="eastAsia" w:ascii="仿宋" w:hAnsi="仿宋" w:eastAsia="仿宋" w:cs="仿宋"/>
          <w:b/>
          <w:color w:val="auto"/>
          <w:szCs w:val="24"/>
          <w:highlight w:val="none"/>
        </w:rPr>
      </w:pPr>
      <w:r>
        <w:rPr>
          <w:rFonts w:hint="eastAsia" w:ascii="宋体" w:hAnsi="宋体" w:eastAsia="宋体" w:cs="宋体"/>
          <w:color w:val="auto"/>
          <w:highlight w:val="none"/>
          <w:lang w:val="en-US" w:eastAsia="zh-CN"/>
        </w:rPr>
        <w:t>▲</w:t>
      </w:r>
      <w:r>
        <w:rPr>
          <w:rFonts w:hint="eastAsia" w:ascii="仿宋" w:hAnsi="仿宋" w:eastAsia="仿宋" w:cs="仿宋"/>
          <w:b/>
          <w:color w:val="auto"/>
          <w:kern w:val="28"/>
          <w:sz w:val="24"/>
          <w:szCs w:val="24"/>
          <w:highlight w:val="none"/>
          <w:lang w:val="en-US" w:eastAsia="zh-CN"/>
        </w:rPr>
        <w:t>8</w:t>
      </w:r>
      <w:r>
        <w:rPr>
          <w:rFonts w:hint="eastAsia" w:ascii="仿宋" w:hAnsi="仿宋" w:eastAsia="仿宋" w:cs="仿宋"/>
          <w:b/>
          <w:color w:val="auto"/>
          <w:kern w:val="28"/>
          <w:sz w:val="24"/>
          <w:szCs w:val="24"/>
          <w:highlight w:val="none"/>
        </w:rPr>
        <w:t>.</w:t>
      </w:r>
      <w:r>
        <w:rPr>
          <w:rFonts w:hint="eastAsia" w:ascii="仿宋" w:hAnsi="仿宋" w:eastAsia="仿宋" w:cs="仿宋"/>
          <w:b/>
          <w:color w:val="auto"/>
          <w:kern w:val="28"/>
          <w:sz w:val="24"/>
          <w:szCs w:val="24"/>
          <w:highlight w:val="none"/>
          <w:lang w:eastAsia="zh-CN"/>
        </w:rPr>
        <w:t>交易</w:t>
      </w:r>
      <w:r>
        <w:rPr>
          <w:rFonts w:hint="eastAsia" w:ascii="仿宋" w:hAnsi="仿宋" w:eastAsia="仿宋" w:cs="仿宋"/>
          <w:b/>
          <w:color w:val="auto"/>
          <w:kern w:val="28"/>
          <w:sz w:val="24"/>
          <w:szCs w:val="24"/>
          <w:highlight w:val="none"/>
        </w:rPr>
        <w:t>保证金</w:t>
      </w:r>
    </w:p>
    <w:p w14:paraId="2297E8B7">
      <w:pPr>
        <w:keepNext w:val="0"/>
        <w:keepLines w:val="0"/>
        <w:widowControl/>
        <w:suppressLineNumbers w:val="0"/>
        <w:spacing w:line="360" w:lineRule="auto"/>
        <w:ind w:firstLine="480" w:firstLineChars="200"/>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金额：10000元</w:t>
      </w:r>
    </w:p>
    <w:p w14:paraId="44C095C5">
      <w:pPr>
        <w:keepNext w:val="0"/>
        <w:keepLines w:val="0"/>
        <w:widowControl/>
        <w:suppressLineNumbers w:val="0"/>
        <w:spacing w:line="360" w:lineRule="auto"/>
        <w:ind w:firstLine="480" w:firstLineChars="200"/>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形式：交易保证金采用汇票或本票（交易保证金须从供应商账户中汇出，不需要进账）；资格文件中附上交易保证金递交证明。</w:t>
      </w:r>
    </w:p>
    <w:p w14:paraId="6F36702B">
      <w:pPr>
        <w:keepNext w:val="0"/>
        <w:keepLines w:val="0"/>
        <w:widowControl/>
        <w:suppressLineNumbers w:val="0"/>
        <w:spacing w:line="360" w:lineRule="auto"/>
        <w:ind w:firstLine="480" w:firstLineChars="200"/>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 xml:space="preserve">账户名称：杭州萧山浦阳桃源股份经济联合社 </w:t>
      </w:r>
    </w:p>
    <w:p w14:paraId="069B73A7">
      <w:pPr>
        <w:keepNext w:val="0"/>
        <w:keepLines w:val="0"/>
        <w:widowControl/>
        <w:suppressLineNumbers w:val="0"/>
        <w:spacing w:line="360" w:lineRule="auto"/>
        <w:ind w:firstLine="480" w:firstLineChars="200"/>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开户银行：萧山农商银行浦阳支行；</w:t>
      </w:r>
    </w:p>
    <w:p w14:paraId="094FFB55">
      <w:pPr>
        <w:pStyle w:val="36"/>
        <w:spacing w:line="360" w:lineRule="auto"/>
        <w:ind w:firstLine="480" w:firstLineChars="200"/>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账号：</w:t>
      </w:r>
      <w:r>
        <w:rPr>
          <w:rFonts w:hint="eastAsia" w:ascii="仿宋" w:hAnsi="仿宋" w:eastAsia="仿宋" w:cs="仿宋"/>
          <w:b w:val="0"/>
          <w:bCs/>
          <w:color w:val="auto"/>
          <w:kern w:val="0"/>
          <w:sz w:val="24"/>
          <w:highlight w:val="none"/>
          <w:lang w:val="en-US" w:eastAsia="zh-CN"/>
        </w:rPr>
        <w:t>201000125552506</w:t>
      </w:r>
    </w:p>
    <w:p w14:paraId="2879E807">
      <w:pPr>
        <w:pStyle w:val="36"/>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文件的语言</w:t>
      </w:r>
    </w:p>
    <w:p w14:paraId="517AE780">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文件及</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与采购有关的来往通知、函件和文件均应使用中文。</w:t>
      </w:r>
    </w:p>
    <w:p w14:paraId="51FFDE3B">
      <w:pPr>
        <w:pStyle w:val="36"/>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文件的组成</w:t>
      </w:r>
    </w:p>
    <w:p w14:paraId="7F9F1F7A">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0</w:t>
      </w:r>
      <w:r>
        <w:rPr>
          <w:rFonts w:hint="eastAsia" w:ascii="仿宋" w:hAnsi="仿宋" w:eastAsia="仿宋" w:cs="仿宋"/>
          <w:b/>
          <w:bCs/>
          <w:color w:val="auto"/>
          <w:sz w:val="24"/>
          <w:highlight w:val="none"/>
        </w:rPr>
        <w:t>.1资格文件：</w:t>
      </w:r>
    </w:p>
    <w:p w14:paraId="31C4CF4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.1.1符合参加采购活动应当具备的一般条件的承诺函；</w:t>
      </w:r>
    </w:p>
    <w:p w14:paraId="7072A25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.1.2落实采购政策需满足的资格要求。</w:t>
      </w:r>
    </w:p>
    <w:p w14:paraId="106693A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本项目的特定资格要求。</w:t>
      </w:r>
    </w:p>
    <w:p w14:paraId="785DBE7A">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10.1.4</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保证金递交证明</w:t>
      </w:r>
      <w:r>
        <w:rPr>
          <w:rFonts w:hint="eastAsia" w:ascii="仿宋" w:hAnsi="仿宋" w:eastAsia="仿宋" w:cs="仿宋"/>
          <w:color w:val="auto"/>
          <w:sz w:val="24"/>
          <w:highlight w:val="none"/>
          <w:lang w:eastAsia="zh-CN"/>
        </w:rPr>
        <w:t>。</w:t>
      </w:r>
    </w:p>
    <w:p w14:paraId="1C91E249">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lang w:val="en-US" w:eastAsia="zh-CN"/>
        </w:rPr>
        <w:t>0</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351761F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sz w:val="24"/>
          <w:highlight w:val="none"/>
          <w:lang w:val="zh-CN"/>
        </w:rPr>
        <w:t xml:space="preserve"> </w:t>
      </w:r>
    </w:p>
    <w:p w14:paraId="20930B3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.2.2授权委托书或法定代表人（单位负责人、自然人本人）身份证明；</w:t>
      </w:r>
    </w:p>
    <w:p w14:paraId="59E31BD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.2.3符合性审查资料；</w:t>
      </w:r>
    </w:p>
    <w:p w14:paraId="575BEA4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.2.4评</w:t>
      </w:r>
      <w:r>
        <w:rPr>
          <w:rFonts w:hint="eastAsia" w:ascii="仿宋" w:hAnsi="仿宋" w:eastAsia="仿宋" w:cs="仿宋"/>
          <w:color w:val="auto"/>
          <w:sz w:val="24"/>
          <w:highlight w:val="none"/>
          <w:lang w:eastAsia="zh-CN"/>
        </w:rPr>
        <w:t>审</w:t>
      </w:r>
      <w:r>
        <w:rPr>
          <w:rFonts w:hint="eastAsia" w:ascii="仿宋" w:hAnsi="仿宋" w:eastAsia="仿宋" w:cs="仿宋"/>
          <w:color w:val="auto"/>
          <w:sz w:val="24"/>
          <w:highlight w:val="none"/>
        </w:rPr>
        <w:t>标准相应的商务技术资料；</w:t>
      </w:r>
    </w:p>
    <w:p w14:paraId="69E91D2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.2.5</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标的清单；</w:t>
      </w:r>
    </w:p>
    <w:p w14:paraId="298A5DF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.2.6商务技术偏离表；</w:t>
      </w:r>
    </w:p>
    <w:p w14:paraId="3F1E6F8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.2.7</w:t>
      </w:r>
      <w:r>
        <w:rPr>
          <w:rFonts w:hint="eastAsia" w:ascii="仿宋" w:hAnsi="仿宋" w:eastAsia="仿宋" w:cs="仿宋"/>
          <w:color w:val="auto"/>
          <w:sz w:val="24"/>
          <w:highlight w:val="none"/>
          <w:lang w:val="zh-CN"/>
        </w:rPr>
        <w:t>采购供应商廉洁自律承诺书；</w:t>
      </w:r>
    </w:p>
    <w:p w14:paraId="27E3650B">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w:t>
      </w:r>
      <w:r>
        <w:rPr>
          <w:rFonts w:hint="eastAsia" w:ascii="仿宋" w:hAnsi="仿宋" w:eastAsia="仿宋" w:cs="仿宋"/>
          <w:b/>
          <w:bCs/>
          <w:color w:val="auto"/>
          <w:kern w:val="0"/>
          <w:sz w:val="24"/>
          <w:highlight w:val="none"/>
          <w:lang w:val="en-US" w:eastAsia="zh-CN"/>
        </w:rPr>
        <w:t>0</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14:paraId="6F11B8F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一览表（报价表）；</w:t>
      </w:r>
    </w:p>
    <w:p w14:paraId="54A44524">
      <w:pPr>
        <w:snapToGrid w:val="0"/>
        <w:spacing w:line="360" w:lineRule="auto"/>
        <w:ind w:firstLine="960" w:firstLineChars="400"/>
        <w:rPr>
          <w:rFonts w:hint="eastAsia" w:ascii="仿宋" w:hAnsi="仿宋" w:eastAsia="仿宋" w:cs="仿宋"/>
        </w:rPr>
      </w:pPr>
      <w:r>
        <w:rPr>
          <w:rFonts w:hint="eastAsia" w:ascii="仿宋" w:hAnsi="仿宋" w:eastAsia="仿宋" w:cs="仿宋"/>
          <w:color w:val="auto"/>
          <w:sz w:val="24"/>
          <w:highlight w:val="none"/>
          <w:lang w:val="en-US" w:eastAsia="zh-CN"/>
        </w:rPr>
        <w:t>10.3.2中小企业声明函</w:t>
      </w:r>
      <w:r>
        <w:rPr>
          <w:rFonts w:hint="eastAsia" w:ascii="仿宋" w:hAnsi="仿宋" w:eastAsia="仿宋" w:cs="仿宋"/>
          <w:color w:val="auto"/>
          <w:sz w:val="24"/>
          <w:highlight w:val="none"/>
        </w:rPr>
        <w:t>。</w:t>
      </w:r>
    </w:p>
    <w:p w14:paraId="3B7BF727">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文件含有采购人不能接受的附加条件的，</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无效；</w:t>
      </w:r>
    </w:p>
    <w:p w14:paraId="1128D7BD">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提供虚假材料</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的，</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无效。</w:t>
      </w:r>
    </w:p>
    <w:p w14:paraId="73E742D6">
      <w:pPr>
        <w:pStyle w:val="130"/>
        <w:snapToGrid w:val="0"/>
        <w:spacing w:before="0"/>
        <w:ind w:firstLine="482" w:firstLineChars="20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1</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的编制</w:t>
      </w:r>
    </w:p>
    <w:p w14:paraId="1823268B">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0B87F488">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2供应商进行电子交易（投标）应安装客户端软件—“乐采云(萧采云)电子交易客户端”，并按照交易文件和电子交易平台的要求编制并加密响应文件。供应商未按规定加密的响应文件，电子交易平台将拒收并提示。</w:t>
      </w:r>
    </w:p>
    <w:p w14:paraId="196299E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.3使用“乐采云(萧采云)电子交易客户端”需要提前申领CA数字证书，申领流程请自行前往“浙江政府采购网-下载专区-电子交易客户端-CA驱动和申领流程”进行查阅。</w:t>
      </w:r>
    </w:p>
    <w:p w14:paraId="03FB0E23">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的签署、盖章</w:t>
      </w:r>
    </w:p>
    <w:p w14:paraId="731F6182">
      <w:pPr>
        <w:pStyle w:val="13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按照</w:t>
      </w:r>
      <w:r>
        <w:rPr>
          <w:rFonts w:hint="eastAsia" w:ascii="仿宋" w:hAnsi="仿宋" w:eastAsia="仿宋" w:cs="仿宋"/>
          <w:color w:val="auto"/>
          <w:szCs w:val="24"/>
          <w:highlight w:val="none"/>
          <w:lang w:eastAsia="zh-CN"/>
        </w:rPr>
        <w:t>交易文件</w:t>
      </w:r>
      <w:r>
        <w:rPr>
          <w:rFonts w:hint="eastAsia" w:ascii="仿宋" w:hAnsi="仿宋" w:eastAsia="仿宋" w:cs="仿宋"/>
          <w:color w:val="auto"/>
          <w:szCs w:val="24"/>
          <w:highlight w:val="none"/>
        </w:rPr>
        <w:t>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供应商</w:t>
      </w:r>
      <w:r>
        <w:rPr>
          <w:rFonts w:hint="eastAsia" w:ascii="仿宋" w:hAnsi="仿宋" w:eastAsia="仿宋" w:cs="仿宋"/>
          <w:b/>
          <w:color w:val="auto"/>
          <w:highlight w:val="none"/>
        </w:rPr>
        <w:t>的</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未按照</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要求签署、盖章的，其</w:t>
      </w:r>
      <w:r>
        <w:rPr>
          <w:rFonts w:hint="eastAsia" w:ascii="仿宋" w:hAnsi="仿宋" w:eastAsia="仿宋" w:cs="仿宋"/>
          <w:b/>
          <w:color w:val="auto"/>
          <w:highlight w:val="none"/>
          <w:lang w:eastAsia="zh-CN"/>
        </w:rPr>
        <w:t>交易</w:t>
      </w:r>
      <w:r>
        <w:rPr>
          <w:rFonts w:hint="eastAsia" w:ascii="仿宋" w:hAnsi="仿宋" w:eastAsia="仿宋" w:cs="仿宋"/>
          <w:b/>
          <w:color w:val="auto"/>
          <w:highlight w:val="none"/>
        </w:rPr>
        <w:t>无效</w:t>
      </w:r>
      <w:r>
        <w:rPr>
          <w:rFonts w:hint="eastAsia" w:ascii="仿宋" w:hAnsi="仿宋" w:eastAsia="仿宋" w:cs="仿宋"/>
          <w:color w:val="auto"/>
          <w:szCs w:val="24"/>
          <w:highlight w:val="none"/>
        </w:rPr>
        <w:t>。</w:t>
      </w:r>
    </w:p>
    <w:p w14:paraId="7E64AB43">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.2为确保网上操作合法、有效和安全，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应当在</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截止时间前完成在“政府采购云平台”的身份认证，确保在电子交易（投标）过程中能够对相关数据电文进行加密和使用电子签名。</w:t>
      </w:r>
    </w:p>
    <w:p w14:paraId="53542A94">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.3</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签署、盖章的要求适用于电子签名。</w:t>
      </w:r>
    </w:p>
    <w:p w14:paraId="6532F6D9">
      <w:pPr>
        <w:pStyle w:val="130"/>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3</w:t>
      </w:r>
      <w:r>
        <w:rPr>
          <w:rFonts w:hint="eastAsia" w:ascii="仿宋" w:hAnsi="仿宋" w:eastAsia="仿宋" w:cs="仿宋"/>
          <w:b/>
          <w:color w:val="auto"/>
          <w:szCs w:val="24"/>
          <w:highlight w:val="none"/>
        </w:rPr>
        <w:t xml:space="preserve">. </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的提交、补充、修改、撤回</w:t>
      </w:r>
    </w:p>
    <w:p w14:paraId="5AFBDD55">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4891C748">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.2电子交易平台收到响应文件，将妥善保存并即时向供应商发出确认回执通知。在交易截止时间前，除供应商补充、修改或者撤回响应文件外，任何单位和个人不得解密或提取响应文件。</w:t>
      </w:r>
    </w:p>
    <w:p w14:paraId="55241BF5">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.3采购人、采购机构可以视情况延长响应文件提交的截止时间。在上述情况下，采购机构与供应商以前在交易截止期方面的全部权利、责任和义务，将适用于延长至新的交易截止期。</w:t>
      </w:r>
    </w:p>
    <w:p w14:paraId="7E30DE83">
      <w:pPr>
        <w:pStyle w:val="36"/>
        <w:numPr>
          <w:ilvl w:val="0"/>
          <w:numId w:val="0"/>
        </w:num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14.</w:t>
      </w:r>
      <w:r>
        <w:rPr>
          <w:rFonts w:hint="eastAsia" w:ascii="仿宋" w:hAnsi="仿宋" w:eastAsia="仿宋" w:cs="仿宋"/>
          <w:b/>
          <w:color w:val="auto"/>
          <w:sz w:val="24"/>
          <w:szCs w:val="24"/>
          <w:highlight w:val="none"/>
        </w:rPr>
        <w:t>备份</w:t>
      </w:r>
      <w:r>
        <w:rPr>
          <w:rFonts w:hint="eastAsia" w:ascii="仿宋" w:hAnsi="仿宋" w:eastAsia="仿宋" w:cs="仿宋"/>
          <w:b/>
          <w:color w:val="auto"/>
          <w:sz w:val="24"/>
          <w:szCs w:val="24"/>
          <w:highlight w:val="none"/>
          <w:lang w:eastAsia="zh-CN"/>
        </w:rPr>
        <w:t>响应文件</w:t>
      </w:r>
    </w:p>
    <w:p w14:paraId="1BF21388">
      <w:pPr>
        <w:pStyle w:val="36"/>
        <w:numPr>
          <w:ilvl w:val="0"/>
          <w:numId w:val="0"/>
        </w:numPr>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本项目不收取备份响应文件</w:t>
      </w:r>
    </w:p>
    <w:p w14:paraId="33723A37">
      <w:pPr>
        <w:pStyle w:val="130"/>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的无效处理</w:t>
      </w:r>
    </w:p>
    <w:p w14:paraId="2C9FFB05">
      <w:pPr>
        <w:pStyle w:val="27"/>
        <w:spacing w:line="360" w:lineRule="auto"/>
        <w:ind w:left="0" w:leftChars="0"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w:t>
      </w:r>
      <w:r>
        <w:rPr>
          <w:rFonts w:hint="eastAsia" w:ascii="仿宋" w:hAnsi="仿宋" w:eastAsia="仿宋" w:cs="仿宋"/>
          <w:color w:val="auto"/>
          <w:szCs w:val="21"/>
          <w:highlight w:val="none"/>
          <w:lang w:eastAsia="zh-CN"/>
        </w:rPr>
        <w:t>交易文件</w:t>
      </w:r>
      <w:r>
        <w:rPr>
          <w:rFonts w:hint="eastAsia" w:ascii="仿宋" w:hAnsi="仿宋" w:eastAsia="仿宋" w:cs="仿宋"/>
          <w:color w:val="auto"/>
          <w:szCs w:val="21"/>
          <w:highlight w:val="none"/>
        </w:rPr>
        <w:t>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w:t>
      </w:r>
      <w:r>
        <w:rPr>
          <w:rFonts w:hint="eastAsia" w:ascii="仿宋" w:hAnsi="仿宋" w:eastAsia="仿宋" w:cs="仿宋"/>
          <w:color w:val="auto"/>
          <w:szCs w:val="21"/>
          <w:highlight w:val="none"/>
          <w:lang w:eastAsia="zh-CN"/>
        </w:rPr>
        <w:t>交易</w:t>
      </w:r>
      <w:r>
        <w:rPr>
          <w:rFonts w:hint="eastAsia" w:ascii="仿宋" w:hAnsi="仿宋" w:eastAsia="仿宋" w:cs="仿宋"/>
          <w:color w:val="auto"/>
          <w:szCs w:val="21"/>
          <w:highlight w:val="none"/>
        </w:rPr>
        <w:t>无效：</w:t>
      </w:r>
    </w:p>
    <w:p w14:paraId="298D2179">
      <w:pPr>
        <w:pStyle w:val="130"/>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6</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交易</w:t>
      </w:r>
      <w:r>
        <w:rPr>
          <w:rFonts w:hint="eastAsia" w:ascii="仿宋" w:hAnsi="仿宋" w:eastAsia="仿宋" w:cs="仿宋"/>
          <w:b/>
          <w:color w:val="auto"/>
          <w:szCs w:val="24"/>
          <w:highlight w:val="none"/>
        </w:rPr>
        <w:t>有效期</w:t>
      </w:r>
    </w:p>
    <w:p w14:paraId="3CF88DCC">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eastAsia="zh-CN"/>
        </w:rPr>
        <w:t>交易</w:t>
      </w:r>
      <w:r>
        <w:rPr>
          <w:rFonts w:hint="eastAsia" w:ascii="仿宋" w:hAnsi="仿宋" w:eastAsia="仿宋" w:cs="仿宋"/>
          <w:color w:val="auto"/>
          <w:sz w:val="24"/>
          <w:szCs w:val="20"/>
          <w:highlight w:val="none"/>
        </w:rPr>
        <w:t>有效期为从提交</w:t>
      </w:r>
      <w:r>
        <w:rPr>
          <w:rFonts w:hint="eastAsia" w:ascii="仿宋" w:hAnsi="仿宋" w:eastAsia="仿宋" w:cs="仿宋"/>
          <w:color w:val="auto"/>
          <w:sz w:val="24"/>
          <w:szCs w:val="20"/>
          <w:highlight w:val="none"/>
          <w:lang w:eastAsia="zh-CN"/>
        </w:rPr>
        <w:t>响应文件</w:t>
      </w:r>
      <w:r>
        <w:rPr>
          <w:rFonts w:hint="eastAsia" w:ascii="仿宋" w:hAnsi="仿宋" w:eastAsia="仿宋" w:cs="仿宋"/>
          <w:color w:val="auto"/>
          <w:sz w:val="24"/>
          <w:szCs w:val="20"/>
          <w:highlight w:val="none"/>
        </w:rPr>
        <w:t>的截止之日起90天。▲</w:t>
      </w:r>
      <w:r>
        <w:rPr>
          <w:rFonts w:hint="eastAsia" w:ascii="仿宋" w:hAnsi="仿宋" w:eastAsia="仿宋" w:cs="仿宋"/>
          <w:b/>
          <w:color w:val="auto"/>
          <w:sz w:val="24"/>
          <w:szCs w:val="20"/>
          <w:highlight w:val="none"/>
          <w:lang w:eastAsia="zh-CN"/>
        </w:rPr>
        <w:t>供应商</w:t>
      </w:r>
      <w:r>
        <w:rPr>
          <w:rFonts w:hint="eastAsia" w:ascii="仿宋" w:hAnsi="仿宋" w:eastAsia="仿宋" w:cs="仿宋"/>
          <w:b/>
          <w:color w:val="auto"/>
          <w:sz w:val="24"/>
          <w:szCs w:val="20"/>
          <w:highlight w:val="none"/>
        </w:rPr>
        <w:t>的</w:t>
      </w:r>
      <w:r>
        <w:rPr>
          <w:rFonts w:hint="eastAsia" w:ascii="仿宋" w:hAnsi="仿宋" w:eastAsia="仿宋" w:cs="仿宋"/>
          <w:b/>
          <w:color w:val="auto"/>
          <w:sz w:val="24"/>
          <w:szCs w:val="20"/>
          <w:highlight w:val="none"/>
          <w:lang w:eastAsia="zh-CN"/>
        </w:rPr>
        <w:t>响应文件</w:t>
      </w:r>
      <w:r>
        <w:rPr>
          <w:rFonts w:hint="eastAsia" w:ascii="仿宋" w:hAnsi="仿宋" w:eastAsia="仿宋" w:cs="仿宋"/>
          <w:b/>
          <w:color w:val="auto"/>
          <w:sz w:val="24"/>
          <w:szCs w:val="20"/>
          <w:highlight w:val="none"/>
        </w:rPr>
        <w:t>中承</w:t>
      </w:r>
      <w:r>
        <w:rPr>
          <w:rFonts w:hint="eastAsia" w:ascii="仿宋" w:hAnsi="仿宋" w:eastAsia="仿宋" w:cs="仿宋"/>
          <w:b/>
          <w:color w:val="auto"/>
          <w:sz w:val="24"/>
          <w:szCs w:val="21"/>
          <w:highlight w:val="none"/>
        </w:rPr>
        <w:t>诺的</w:t>
      </w:r>
      <w:r>
        <w:rPr>
          <w:rFonts w:hint="eastAsia" w:ascii="仿宋" w:hAnsi="仿宋" w:eastAsia="仿宋" w:cs="仿宋"/>
          <w:b/>
          <w:color w:val="auto"/>
          <w:sz w:val="24"/>
          <w:szCs w:val="21"/>
          <w:highlight w:val="none"/>
          <w:lang w:eastAsia="zh-CN"/>
        </w:rPr>
        <w:t>交易</w:t>
      </w:r>
      <w:r>
        <w:rPr>
          <w:rFonts w:hint="eastAsia" w:ascii="仿宋" w:hAnsi="仿宋" w:eastAsia="仿宋" w:cs="仿宋"/>
          <w:b/>
          <w:color w:val="auto"/>
          <w:sz w:val="24"/>
          <w:szCs w:val="21"/>
          <w:highlight w:val="none"/>
        </w:rPr>
        <w:t>有效期少于</w:t>
      </w:r>
      <w:r>
        <w:rPr>
          <w:rFonts w:hint="eastAsia" w:ascii="仿宋" w:hAnsi="仿宋" w:eastAsia="仿宋" w:cs="仿宋"/>
          <w:b/>
          <w:color w:val="auto"/>
          <w:sz w:val="24"/>
          <w:szCs w:val="21"/>
          <w:highlight w:val="none"/>
          <w:lang w:eastAsia="zh-CN"/>
        </w:rPr>
        <w:t>交易文件</w:t>
      </w:r>
      <w:r>
        <w:rPr>
          <w:rFonts w:hint="eastAsia" w:ascii="仿宋" w:hAnsi="仿宋" w:eastAsia="仿宋" w:cs="仿宋"/>
          <w:b/>
          <w:color w:val="auto"/>
          <w:sz w:val="24"/>
          <w:szCs w:val="21"/>
          <w:highlight w:val="none"/>
        </w:rPr>
        <w:t>中载明的</w:t>
      </w:r>
      <w:r>
        <w:rPr>
          <w:rFonts w:hint="eastAsia" w:ascii="仿宋" w:hAnsi="仿宋" w:eastAsia="仿宋" w:cs="仿宋"/>
          <w:b/>
          <w:color w:val="auto"/>
          <w:sz w:val="24"/>
          <w:szCs w:val="21"/>
          <w:highlight w:val="none"/>
          <w:lang w:eastAsia="zh-CN"/>
        </w:rPr>
        <w:t>交易</w:t>
      </w:r>
      <w:r>
        <w:rPr>
          <w:rFonts w:hint="eastAsia" w:ascii="仿宋" w:hAnsi="仿宋" w:eastAsia="仿宋" w:cs="仿宋"/>
          <w:b/>
          <w:color w:val="auto"/>
          <w:sz w:val="24"/>
          <w:szCs w:val="21"/>
          <w:highlight w:val="none"/>
        </w:rPr>
        <w:t>有效期的，</w:t>
      </w:r>
      <w:r>
        <w:rPr>
          <w:rFonts w:hint="eastAsia" w:ascii="仿宋" w:hAnsi="仿宋" w:eastAsia="仿宋" w:cs="仿宋"/>
          <w:b/>
          <w:color w:val="auto"/>
          <w:sz w:val="24"/>
          <w:szCs w:val="21"/>
          <w:highlight w:val="none"/>
          <w:lang w:eastAsia="zh-CN"/>
        </w:rPr>
        <w:t>交易</w:t>
      </w:r>
      <w:r>
        <w:rPr>
          <w:rFonts w:hint="eastAsia" w:ascii="仿宋" w:hAnsi="仿宋" w:eastAsia="仿宋" w:cs="仿宋"/>
          <w:b/>
          <w:color w:val="auto"/>
          <w:sz w:val="24"/>
          <w:szCs w:val="21"/>
          <w:highlight w:val="none"/>
        </w:rPr>
        <w:t>无效。</w:t>
      </w:r>
    </w:p>
    <w:p w14:paraId="64A8E1C8">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.2</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合格投递后，自</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截止日期起，在</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有效期内有效。</w:t>
      </w:r>
    </w:p>
    <w:p w14:paraId="4B4F5131">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.3在原定</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有效期满之前，如果出现特殊情况，采购机构可以以书面形式通知</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延长</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有效期。</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同意延长的，不得要求或被允许修改其</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拒绝延长的，其</w:t>
      </w:r>
      <w:r>
        <w:rPr>
          <w:rFonts w:hint="eastAsia" w:ascii="仿宋" w:hAnsi="仿宋" w:eastAsia="仿宋" w:cs="仿宋"/>
          <w:color w:val="auto"/>
          <w:highlight w:val="none"/>
          <w:lang w:eastAsia="zh-CN"/>
        </w:rPr>
        <w:t>交易</w:t>
      </w:r>
      <w:r>
        <w:rPr>
          <w:rFonts w:hint="eastAsia" w:ascii="仿宋" w:hAnsi="仿宋" w:eastAsia="仿宋" w:cs="仿宋"/>
          <w:color w:val="auto"/>
          <w:highlight w:val="none"/>
        </w:rPr>
        <w:t>无效。</w:t>
      </w:r>
    </w:p>
    <w:p w14:paraId="60C894E1">
      <w:pPr>
        <w:pStyle w:val="130"/>
        <w:spacing w:before="0"/>
        <w:ind w:firstLine="643"/>
        <w:rPr>
          <w:rFonts w:hint="eastAsia" w:ascii="仿宋" w:hAnsi="仿宋" w:eastAsia="仿宋" w:cs="仿宋"/>
          <w:b/>
          <w:color w:val="auto"/>
          <w:sz w:val="32"/>
          <w:highlight w:val="none"/>
        </w:rPr>
      </w:pPr>
    </w:p>
    <w:p w14:paraId="182C0399">
      <w:pPr>
        <w:pStyle w:val="130"/>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w:t>
      </w:r>
      <w:r>
        <w:rPr>
          <w:rFonts w:hint="eastAsia" w:ascii="仿宋" w:hAnsi="仿宋" w:eastAsia="仿宋" w:cs="仿宋"/>
          <w:b/>
          <w:color w:val="auto"/>
          <w:sz w:val="32"/>
          <w:highlight w:val="none"/>
          <w:lang w:eastAsia="zh-CN"/>
        </w:rPr>
        <w:t>交易</w:t>
      </w:r>
      <w:r>
        <w:rPr>
          <w:rFonts w:hint="eastAsia" w:ascii="仿宋" w:hAnsi="仿宋" w:eastAsia="仿宋" w:cs="仿宋"/>
          <w:b/>
          <w:color w:val="auto"/>
          <w:sz w:val="32"/>
          <w:highlight w:val="none"/>
        </w:rPr>
        <w:t>、资格审查</w:t>
      </w:r>
    </w:p>
    <w:p w14:paraId="3FB35ABE">
      <w:pPr>
        <w:pStyle w:val="556"/>
        <w:spacing w:before="0" w:line="360" w:lineRule="auto"/>
        <w:ind w:left="0" w:leftChars="0" w:firstLine="482" w:firstLineChars="2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交易</w:t>
      </w:r>
      <w:r>
        <w:rPr>
          <w:rFonts w:hint="eastAsia" w:ascii="仿宋" w:hAnsi="仿宋" w:eastAsia="仿宋" w:cs="仿宋"/>
          <w:color w:val="auto"/>
          <w:sz w:val="24"/>
          <w:highlight w:val="none"/>
        </w:rPr>
        <w:t xml:space="preserve"> </w:t>
      </w:r>
    </w:p>
    <w:p w14:paraId="0E4425CA">
      <w:pPr>
        <w:pStyle w:val="556"/>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.1采购机构按照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规定的时间通过电子交易平台组织开标，所有</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均应当准时在线参加。</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不足3家的，不得</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w:t>
      </w:r>
    </w:p>
    <w:p w14:paraId="64FDCE05">
      <w:pPr>
        <w:pStyle w:val="556"/>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.2交易时，电子交易平台按交易时间自动提取所有响应文件。采购机构依托电子交易平台发起开始解密指令，供应商按照平台提示和交易文件的规定在半小时内完成在线解密。</w:t>
      </w:r>
    </w:p>
    <w:p w14:paraId="028F316D">
      <w:pPr>
        <w:pStyle w:val="556"/>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.3</w:t>
      </w:r>
      <w:r>
        <w:rPr>
          <w:rFonts w:hint="eastAsia" w:ascii="仿宋" w:hAnsi="仿宋" w:eastAsia="仿宋" w:cs="仿宋"/>
          <w:b/>
          <w:color w:val="auto"/>
          <w:sz w:val="24"/>
          <w:highlight w:val="none"/>
        </w:rPr>
        <w:t>响应文件未按时解密，供应商提供了备份响应文件的，以备份响应文件作为依据，否则视为响应文件撤回。响应文件已按时解密的，备份响应文件自动失效。</w:t>
      </w:r>
    </w:p>
    <w:p w14:paraId="352B3E16">
      <w:pPr>
        <w:pStyle w:val="556"/>
        <w:spacing w:before="0" w:line="360" w:lineRule="auto"/>
        <w:ind w:left="0" w:firstLine="241" w:firstLineChars="100"/>
        <w:contextualSpacing/>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w:t>
      </w:r>
      <w:r>
        <w:rPr>
          <w:rFonts w:hint="eastAsia" w:ascii="仿宋" w:hAnsi="仿宋" w:eastAsia="仿宋" w:cs="仿宋"/>
          <w:b/>
          <w:color w:val="auto"/>
          <w:sz w:val="24"/>
          <w:szCs w:val="20"/>
          <w:highlight w:val="none"/>
          <w:lang w:val="en-US" w:eastAsia="zh-CN"/>
        </w:rPr>
        <w:t>8</w:t>
      </w:r>
      <w:r>
        <w:rPr>
          <w:rFonts w:hint="eastAsia" w:ascii="仿宋" w:hAnsi="仿宋" w:eastAsia="仿宋" w:cs="仿宋"/>
          <w:b/>
          <w:color w:val="auto"/>
          <w:sz w:val="24"/>
          <w:szCs w:val="20"/>
          <w:highlight w:val="none"/>
        </w:rPr>
        <w:t>、资格审查</w:t>
      </w:r>
    </w:p>
    <w:p w14:paraId="5D66574E">
      <w:pPr>
        <w:pStyle w:val="556"/>
        <w:spacing w:before="0" w:line="360" w:lineRule="auto"/>
        <w:ind w:left="0" w:firstLine="240" w:firstLineChars="100"/>
        <w:contextualSpacing/>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val="en-US" w:eastAsia="zh-CN"/>
        </w:rPr>
        <w:t>8</w:t>
      </w:r>
      <w:r>
        <w:rPr>
          <w:rFonts w:hint="eastAsia" w:ascii="仿宋" w:hAnsi="仿宋" w:eastAsia="仿宋" w:cs="仿宋"/>
          <w:color w:val="auto"/>
          <w:sz w:val="24"/>
          <w:szCs w:val="22"/>
          <w:highlight w:val="none"/>
        </w:rPr>
        <w:t>.1交易后，采购人或采购机构将依法对供应商的资格进行审查。</w:t>
      </w:r>
    </w:p>
    <w:p w14:paraId="39056929">
      <w:pPr>
        <w:pStyle w:val="556"/>
        <w:spacing w:before="0" w:line="360" w:lineRule="auto"/>
        <w:ind w:left="0" w:firstLine="240" w:firstLineChars="100"/>
        <w:contextualSpacing/>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val="en-US" w:eastAsia="zh-CN"/>
        </w:rPr>
        <w:t>8</w:t>
      </w:r>
      <w:r>
        <w:rPr>
          <w:rFonts w:hint="eastAsia" w:ascii="仿宋" w:hAnsi="仿宋" w:eastAsia="仿宋" w:cs="仿宋"/>
          <w:color w:val="auto"/>
          <w:sz w:val="24"/>
          <w:szCs w:val="22"/>
          <w:highlight w:val="none"/>
        </w:rPr>
        <w:t>.2采购人或采购机构依据法律法规和交易文件的规定，对供应商的基本资格条件、特定资格条件进行审查。</w:t>
      </w:r>
    </w:p>
    <w:p w14:paraId="528280A7">
      <w:pPr>
        <w:pStyle w:val="556"/>
        <w:spacing w:before="0" w:line="360" w:lineRule="auto"/>
        <w:ind w:left="0" w:firstLine="240" w:firstLineChars="100"/>
        <w:contextualSpacing/>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val="en-US" w:eastAsia="zh-CN"/>
        </w:rPr>
        <w:t>8</w:t>
      </w:r>
      <w:r>
        <w:rPr>
          <w:rFonts w:hint="eastAsia" w:ascii="仿宋" w:hAnsi="仿宋" w:eastAsia="仿宋" w:cs="仿宋"/>
          <w:color w:val="auto"/>
          <w:sz w:val="24"/>
          <w:szCs w:val="22"/>
          <w:highlight w:val="none"/>
        </w:rPr>
        <w:t>.3供应商未按照交易文件要求提供与基本资格条件、特定资格条件相应的有效资格证明材料的，视为供应商不具备交易文件中规定的资格要求，其响应无效。</w:t>
      </w:r>
    </w:p>
    <w:p w14:paraId="78B5D737">
      <w:pPr>
        <w:pStyle w:val="556"/>
        <w:spacing w:before="0" w:line="360" w:lineRule="auto"/>
        <w:ind w:left="0" w:firstLine="240" w:firstLineChars="100"/>
        <w:contextualSpacing/>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val="en-US" w:eastAsia="zh-CN"/>
        </w:rPr>
        <w:t>8</w:t>
      </w:r>
      <w:r>
        <w:rPr>
          <w:rFonts w:hint="eastAsia" w:ascii="仿宋" w:hAnsi="仿宋" w:eastAsia="仿宋" w:cs="仿宋"/>
          <w:color w:val="auto"/>
          <w:sz w:val="24"/>
          <w:szCs w:val="22"/>
          <w:highlight w:val="none"/>
        </w:rPr>
        <w:t>.4对未通过资格审查的供应商，采购人或采购机构告知其未通过的原因。</w:t>
      </w:r>
    </w:p>
    <w:p w14:paraId="62D8052B">
      <w:pPr>
        <w:pStyle w:val="556"/>
        <w:spacing w:before="0" w:line="360" w:lineRule="auto"/>
        <w:ind w:left="0" w:firstLine="240" w:firstLineChars="100"/>
        <w:contextualSpacing/>
        <w:rPr>
          <w:rFonts w:hint="eastAsia" w:ascii="仿宋" w:hAnsi="仿宋" w:eastAsia="仿宋" w:cs="仿宋"/>
          <w:color w:val="auto"/>
          <w:kern w:val="0"/>
          <w:szCs w:val="24"/>
          <w:highlight w:val="none"/>
          <w:lang w:val="en-US" w:eastAsia="zh-CN"/>
        </w:rPr>
      </w:pP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val="en-US" w:eastAsia="zh-CN"/>
        </w:rPr>
        <w:t>8</w:t>
      </w:r>
      <w:r>
        <w:rPr>
          <w:rFonts w:hint="eastAsia" w:ascii="仿宋" w:hAnsi="仿宋" w:eastAsia="仿宋" w:cs="仿宋"/>
          <w:color w:val="auto"/>
          <w:sz w:val="24"/>
          <w:szCs w:val="22"/>
          <w:highlight w:val="none"/>
        </w:rPr>
        <w:t>.5合格供应商不足3家的，不再评标。</w:t>
      </w:r>
    </w:p>
    <w:p w14:paraId="305A78DD">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59CFCFFF">
      <w:pPr>
        <w:spacing w:line="360" w:lineRule="auto"/>
        <w:ind w:firstLine="482" w:firstLineChars="200"/>
        <w:rPr>
          <w:rFonts w:hint="eastAsia" w:ascii="仿宋" w:hAnsi="仿宋" w:eastAsia="仿宋" w:cs="仿宋"/>
          <w:b/>
          <w:color w:val="auto"/>
          <w:sz w:val="24"/>
          <w:highlight w:val="none"/>
        </w:rPr>
      </w:pPr>
      <w:bookmarkStart w:id="15" w:name="_Toc91899903"/>
      <w:r>
        <w:rPr>
          <w:rFonts w:hint="eastAsia" w:ascii="仿宋" w:hAnsi="仿宋" w:eastAsia="仿宋" w:cs="仿宋"/>
          <w:b/>
          <w:color w:val="auto"/>
          <w:sz w:val="24"/>
          <w:highlight w:val="none"/>
          <w:lang w:val="en-US" w:eastAsia="zh-CN"/>
        </w:rPr>
        <w:t>19</w:t>
      </w:r>
      <w:r>
        <w:rPr>
          <w:rFonts w:hint="eastAsia" w:ascii="仿宋" w:hAnsi="仿宋" w:eastAsia="仿宋" w:cs="仿宋"/>
          <w:b/>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和有关规定，履行评标工作职责，并按照评</w:t>
      </w:r>
      <w:r>
        <w:rPr>
          <w:rFonts w:hint="eastAsia" w:ascii="仿宋" w:hAnsi="仿宋" w:eastAsia="仿宋" w:cs="仿宋"/>
          <w:color w:val="auto"/>
          <w:sz w:val="24"/>
          <w:highlight w:val="none"/>
          <w:lang w:eastAsia="zh-CN"/>
        </w:rPr>
        <w:t>审</w:t>
      </w:r>
      <w:r>
        <w:rPr>
          <w:rFonts w:hint="eastAsia" w:ascii="仿宋" w:hAnsi="仿宋" w:eastAsia="仿宋" w:cs="仿宋"/>
          <w:color w:val="auto"/>
          <w:sz w:val="24"/>
          <w:highlight w:val="none"/>
        </w:rPr>
        <w:t>方法及评分标准，全面衡量各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的响应情况。对实质上响应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，按照评审因素的量化指标排出推荐</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的先后顺序，并按顺序提出授标建议。</w:t>
      </w:r>
      <w:r>
        <w:rPr>
          <w:rFonts w:hint="eastAsia" w:ascii="仿宋" w:hAnsi="仿宋" w:eastAsia="仿宋" w:cs="仿宋"/>
          <w:b/>
          <w:color w:val="auto"/>
          <w:sz w:val="24"/>
          <w:highlight w:val="none"/>
        </w:rPr>
        <w:t>详见</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第四部分评标办法。</w:t>
      </w:r>
    </w:p>
    <w:p w14:paraId="1340F2C9">
      <w:pPr>
        <w:spacing w:line="360" w:lineRule="auto"/>
        <w:rPr>
          <w:rFonts w:hint="eastAsia" w:ascii="仿宋" w:hAnsi="仿宋" w:eastAsia="仿宋" w:cs="仿宋"/>
          <w:b/>
          <w:color w:val="auto"/>
          <w:sz w:val="24"/>
          <w:highlight w:val="none"/>
        </w:rPr>
      </w:pPr>
    </w:p>
    <w:p w14:paraId="5958FF65">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112D23EE">
      <w:pPr>
        <w:pStyle w:val="27"/>
        <w:spacing w:line="360" w:lineRule="auto"/>
        <w:ind w:left="479" w:leftChars="228"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0</w:t>
      </w:r>
      <w:r>
        <w:rPr>
          <w:rFonts w:hint="eastAsia" w:ascii="仿宋" w:hAnsi="仿宋" w:eastAsia="仿宋" w:cs="仿宋"/>
          <w:b/>
          <w:color w:val="auto"/>
          <w:highlight w:val="none"/>
        </w:rPr>
        <w:t>. 确定</w:t>
      </w:r>
      <w:r>
        <w:rPr>
          <w:rFonts w:hint="eastAsia" w:ascii="仿宋" w:hAnsi="仿宋" w:eastAsia="仿宋" w:cs="仿宋"/>
          <w:b/>
          <w:color w:val="auto"/>
          <w:highlight w:val="none"/>
          <w:lang w:eastAsia="zh-CN"/>
        </w:rPr>
        <w:t>成交</w:t>
      </w:r>
      <w:r>
        <w:rPr>
          <w:rFonts w:hint="eastAsia" w:ascii="仿宋" w:hAnsi="仿宋" w:eastAsia="仿宋" w:cs="仿宋"/>
          <w:b/>
          <w:color w:val="auto"/>
          <w:highlight w:val="none"/>
        </w:rPr>
        <w:t>供应商</w:t>
      </w:r>
    </w:p>
    <w:p w14:paraId="7ED948B2">
      <w:pPr>
        <w:pStyle w:val="13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w:t>
      </w:r>
      <w:r>
        <w:rPr>
          <w:rFonts w:hint="eastAsia" w:ascii="仿宋" w:hAnsi="仿宋" w:eastAsia="仿宋" w:cs="仿宋"/>
          <w:color w:val="auto"/>
          <w:szCs w:val="24"/>
          <w:highlight w:val="none"/>
          <w:lang w:eastAsia="zh-CN"/>
        </w:rPr>
        <w:t>成交</w:t>
      </w:r>
      <w:r>
        <w:rPr>
          <w:rFonts w:hint="eastAsia" w:ascii="仿宋" w:hAnsi="仿宋" w:eastAsia="仿宋" w:cs="仿宋"/>
          <w:color w:val="auto"/>
          <w:szCs w:val="24"/>
          <w:highlight w:val="none"/>
        </w:rPr>
        <w:t>候选人中按顺序确定</w:t>
      </w:r>
      <w:r>
        <w:rPr>
          <w:rFonts w:hint="eastAsia" w:ascii="仿宋" w:hAnsi="仿宋" w:eastAsia="仿宋" w:cs="仿宋"/>
          <w:color w:val="auto"/>
          <w:szCs w:val="24"/>
          <w:highlight w:val="none"/>
          <w:lang w:eastAsia="zh-CN"/>
        </w:rPr>
        <w:t>成交</w:t>
      </w:r>
      <w:r>
        <w:rPr>
          <w:rFonts w:hint="eastAsia" w:ascii="仿宋" w:hAnsi="仿宋" w:eastAsia="仿宋" w:cs="仿宋"/>
          <w:color w:val="auto"/>
          <w:szCs w:val="24"/>
          <w:highlight w:val="none"/>
        </w:rPr>
        <w:t>供应商。</w:t>
      </w:r>
    </w:p>
    <w:p w14:paraId="2754E10D">
      <w:pPr>
        <w:pStyle w:val="130"/>
        <w:snapToGrid w:val="0"/>
        <w:spacing w:before="0"/>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1</w:t>
      </w:r>
      <w:r>
        <w:rPr>
          <w:rFonts w:hint="eastAsia" w:ascii="仿宋" w:hAnsi="仿宋" w:eastAsia="仿宋" w:cs="仿宋"/>
          <w:b/>
          <w:color w:val="auto"/>
          <w:szCs w:val="24"/>
          <w:highlight w:val="none"/>
        </w:rPr>
        <w:t xml:space="preserve">. </w:t>
      </w:r>
      <w:r>
        <w:rPr>
          <w:rFonts w:hint="eastAsia" w:ascii="仿宋" w:hAnsi="仿宋" w:eastAsia="仿宋" w:cs="仿宋"/>
          <w:b/>
          <w:color w:val="auto"/>
          <w:szCs w:val="24"/>
          <w:highlight w:val="none"/>
          <w:lang w:eastAsia="zh-CN"/>
        </w:rPr>
        <w:t>成交</w:t>
      </w:r>
      <w:r>
        <w:rPr>
          <w:rFonts w:hint="eastAsia" w:ascii="仿宋" w:hAnsi="仿宋" w:eastAsia="仿宋" w:cs="仿宋"/>
          <w:b/>
          <w:color w:val="auto"/>
          <w:szCs w:val="24"/>
          <w:highlight w:val="none"/>
        </w:rPr>
        <w:t>通知与</w:t>
      </w:r>
      <w:r>
        <w:rPr>
          <w:rFonts w:hint="eastAsia" w:ascii="仿宋" w:hAnsi="仿宋" w:eastAsia="仿宋" w:cs="仿宋"/>
          <w:b/>
          <w:color w:val="auto"/>
          <w:szCs w:val="24"/>
          <w:highlight w:val="none"/>
          <w:lang w:eastAsia="zh-CN"/>
        </w:rPr>
        <w:t>成交</w:t>
      </w:r>
      <w:r>
        <w:rPr>
          <w:rFonts w:hint="eastAsia" w:ascii="仿宋" w:hAnsi="仿宋" w:eastAsia="仿宋" w:cs="仿宋"/>
          <w:b/>
          <w:color w:val="auto"/>
          <w:szCs w:val="24"/>
          <w:highlight w:val="none"/>
        </w:rPr>
        <w:t>结果公告</w:t>
      </w:r>
    </w:p>
    <w:p w14:paraId="0370FCBF">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.1自成交人确定之日起2个工作日内，采购机构通过电子交易平台向成交人发出成交通知书，同时编制发布采购结果公告。采购机构也可以以纸质形式进行成交通知。</w:t>
      </w:r>
    </w:p>
    <w:p w14:paraId="1166B98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.2成交结果公告内容包括采购人及其委托的采购机构的名称、地址、联系方式，项目名称和项目编号，成交人名称、地址和成交金额，主要成交标的的名称、规格型号、数量、单价、服务要求。</w:t>
      </w:r>
    </w:p>
    <w:p w14:paraId="69D0E51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.3公告期限为1个工作日。</w:t>
      </w:r>
    </w:p>
    <w:p w14:paraId="149CD1D3">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3B3160BC">
      <w:pPr>
        <w:snapToGrid w:val="0"/>
        <w:spacing w:line="360" w:lineRule="auto"/>
        <w:ind w:left="120" w:leftChars="57" w:firstLine="482" w:firstLineChars="150"/>
        <w:jc w:val="center"/>
        <w:rPr>
          <w:rFonts w:hint="eastAsia" w:ascii="仿宋" w:hAnsi="仿宋" w:eastAsia="仿宋" w:cs="仿宋"/>
          <w:b/>
          <w:color w:val="auto"/>
          <w:highlight w:val="none"/>
        </w:rPr>
      </w:pPr>
      <w:r>
        <w:rPr>
          <w:rFonts w:hint="eastAsia" w:ascii="仿宋" w:hAnsi="仿宋" w:eastAsia="仿宋" w:cs="仿宋"/>
          <w:b/>
          <w:color w:val="auto"/>
          <w:sz w:val="32"/>
          <w:highlight w:val="none"/>
        </w:rPr>
        <w:t>七、合同授予</w:t>
      </w:r>
    </w:p>
    <w:p w14:paraId="5F5118B9">
      <w:pPr>
        <w:pStyle w:val="27"/>
        <w:spacing w:line="360" w:lineRule="auto"/>
        <w:ind w:left="479" w:leftChars="228"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2</w:t>
      </w:r>
      <w:r>
        <w:rPr>
          <w:rFonts w:hint="eastAsia" w:ascii="仿宋" w:hAnsi="仿宋" w:eastAsia="仿宋" w:cs="仿宋"/>
          <w:b/>
          <w:color w:val="auto"/>
          <w:highlight w:val="none"/>
        </w:rPr>
        <w:t>. 合同的签订</w:t>
      </w:r>
    </w:p>
    <w:p w14:paraId="56576C12">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采购人与成交人应当通过电子交易平台在成交通知书发出之日起三十日内，按照交易文件确定的事项签订采购合同。</w:t>
      </w:r>
    </w:p>
    <w:p w14:paraId="6C0CF71F">
      <w:pPr>
        <w:widowControl/>
        <w:shd w:val="clear" w:color="auto" w:fill="FFFFFF"/>
        <w:spacing w:line="360" w:lineRule="auto"/>
        <w:ind w:firstLine="48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2</w:t>
      </w:r>
      <w:r>
        <w:rPr>
          <w:rFonts w:hint="eastAsia" w:ascii="仿宋" w:hAnsi="仿宋" w:eastAsia="仿宋" w:cs="仿宋"/>
          <w:color w:val="auto"/>
          <w:kern w:val="0"/>
          <w:highlight w:val="none"/>
          <w:lang w:val="zh-CN"/>
        </w:rPr>
        <w:t>.2</w:t>
      </w:r>
      <w:r>
        <w:rPr>
          <w:rFonts w:hint="eastAsia" w:ascii="仿宋" w:hAnsi="仿宋" w:eastAsia="仿宋" w:cs="仿宋"/>
          <w:color w:val="auto"/>
          <w:kern w:val="0"/>
          <w:sz w:val="24"/>
          <w:highlight w:val="none"/>
          <w:lang w:val="zh-CN"/>
        </w:rPr>
        <w:t>成交人按规定的日期、时间、地点，由法定代表人或其授权代表与采购人代表签订合同。如成交人为联合体的，由联合体成员各方法定代表人或其授权代表与采购人代表签订合同。</w:t>
      </w:r>
    </w:p>
    <w:p w14:paraId="6A134D93">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67814F70">
      <w:pPr>
        <w:pStyle w:val="130"/>
        <w:snapToGrid w:val="0"/>
        <w:spacing w:before="0"/>
        <w:ind w:firstLine="48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.4成交</w:t>
      </w:r>
      <w:r>
        <w:rPr>
          <w:rFonts w:hint="eastAsia" w:ascii="仿宋" w:hAnsi="仿宋" w:eastAsia="仿宋" w:cs="仿宋"/>
          <w:color w:val="auto"/>
          <w:kern w:val="0"/>
          <w:sz w:val="24"/>
          <w:szCs w:val="24"/>
          <w:highlight w:val="none"/>
          <w:lang w:val="en-US" w:eastAsia="zh-CN" w:bidi="ar-SA"/>
        </w:rPr>
        <w:t>供应商拒绝与采购人签订合同的，采购人可以按照评审报告推荐的成交或者成交候选人名单排序，确定下一候选人为成交供应商，也可以重新开展采购活动。</w:t>
      </w:r>
    </w:p>
    <w:p w14:paraId="54599EAD">
      <w:pPr>
        <w:pStyle w:val="130"/>
        <w:snapToGrid w:val="0"/>
        <w:spacing w:before="0" w:after="120"/>
        <w:ind w:firstLine="48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22.5采购合同由采购人与成交供应商根据交易文件、响应文件等内容通过采购电子交易平台在线签订，自动备案。</w:t>
      </w:r>
    </w:p>
    <w:p w14:paraId="1D89A742">
      <w:pPr>
        <w:pStyle w:val="27"/>
        <w:spacing w:line="360" w:lineRule="auto"/>
        <w:ind w:left="479" w:leftChars="228"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 履约保证金</w:t>
      </w:r>
    </w:p>
    <w:p w14:paraId="039AAF92">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采购人不得拒收履约保函，项目验收结束后应及时退还。</w:t>
      </w:r>
    </w:p>
    <w:p w14:paraId="5341265A">
      <w:pPr>
        <w:pStyle w:val="2"/>
        <w:rPr>
          <w:rFonts w:hint="eastAsia" w:ascii="仿宋" w:hAnsi="仿宋" w:eastAsia="仿宋" w:cs="仿宋"/>
          <w:color w:val="auto"/>
          <w:highlight w:val="none"/>
        </w:rPr>
      </w:pPr>
    </w:p>
    <w:p w14:paraId="72CDADF2">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559EB7BC">
      <w:pPr>
        <w:pStyle w:val="130"/>
        <w:snapToGrid w:val="0"/>
        <w:spacing w:before="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val="0"/>
          <w:bCs/>
          <w:color w:val="auto"/>
          <w:szCs w:val="24"/>
          <w:highlight w:val="none"/>
          <w:lang w:val="en-US" w:eastAsia="zh-CN"/>
        </w:rPr>
        <w:t>4</w:t>
      </w:r>
      <w:r>
        <w:rPr>
          <w:rFonts w:hint="eastAsia" w:ascii="仿宋" w:hAnsi="仿宋" w:eastAsia="仿宋" w:cs="仿宋"/>
          <w:b w:val="0"/>
          <w:bCs/>
          <w:color w:val="auto"/>
          <w:szCs w:val="24"/>
          <w:highlight w:val="none"/>
        </w:rPr>
        <w:t>.</w:t>
      </w:r>
      <w:r>
        <w:rPr>
          <w:rFonts w:hint="eastAsia" w:ascii="仿宋" w:hAnsi="仿宋" w:eastAsia="仿宋" w:cs="仿宋"/>
          <w:b/>
          <w:color w:val="auto"/>
          <w:szCs w:val="24"/>
          <w:highlight w:val="none"/>
        </w:rPr>
        <w:t xml:space="preserve">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1E2DFAAE">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.1电子交易平台发生故障而无法登录访问的； </w:t>
      </w:r>
    </w:p>
    <w:p w14:paraId="535AB405">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.2电子交易平台应用或数据库出现错误，不能进行正常操作的；</w:t>
      </w:r>
    </w:p>
    <w:p w14:paraId="2095CC6F">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.3电子交易平台发现严重安全漏洞，有潜在泄密危险的；</w:t>
      </w:r>
    </w:p>
    <w:p w14:paraId="460D537B">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.4病毒发作导致不能进行正常操作的； </w:t>
      </w:r>
    </w:p>
    <w:p w14:paraId="4C8079BD">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.5其他无法保证电子交易的公平、公正和安全的情况。</w:t>
      </w:r>
    </w:p>
    <w:p w14:paraId="0F223ACB">
      <w:pPr>
        <w:pStyle w:val="130"/>
        <w:snapToGrid w:val="0"/>
        <w:spacing w:before="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92CFB99">
      <w:pPr>
        <w:tabs>
          <w:tab w:val="left" w:pos="0"/>
        </w:tabs>
        <w:spacing w:line="360" w:lineRule="auto"/>
        <w:ind w:firstLine="480"/>
        <w:rPr>
          <w:rFonts w:hint="eastAsia" w:ascii="仿宋" w:hAnsi="仿宋" w:eastAsia="仿宋" w:cs="仿宋"/>
          <w:color w:val="auto"/>
          <w:sz w:val="24"/>
          <w:highlight w:val="none"/>
        </w:rPr>
      </w:pPr>
    </w:p>
    <w:p w14:paraId="31B3F252">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0A10BFE">
      <w:pPr>
        <w:pStyle w:val="27"/>
        <w:spacing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.验收</w:t>
      </w:r>
    </w:p>
    <w:p w14:paraId="1F05BB39">
      <w:pPr>
        <w:tabs>
          <w:tab w:val="left" w:pos="0"/>
        </w:tabs>
        <w:spacing w:line="360" w:lineRule="auto"/>
        <w:ind w:firstLine="480"/>
        <w:rPr>
          <w:rFonts w:hint="eastAsia" w:ascii="仿宋" w:hAnsi="仿宋" w:eastAsia="仿宋" w:cs="仿宋"/>
          <w:b/>
          <w:color w:val="auto"/>
          <w:sz w:val="36"/>
          <w:szCs w:val="36"/>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.1采购人应当组织对供应商履约的验收。</w:t>
      </w:r>
      <w:bookmarkEnd w:id="13"/>
      <w:bookmarkEnd w:id="14"/>
      <w:bookmarkEnd w:id="15"/>
      <w:bookmarkStart w:id="16" w:name="第四部分"/>
    </w:p>
    <w:p w14:paraId="578566FE">
      <w:pPr>
        <w:spacing w:line="360" w:lineRule="auto"/>
        <w:jc w:val="center"/>
        <w:outlineLvl w:val="0"/>
        <w:rPr>
          <w:rFonts w:hint="eastAsia" w:ascii="仿宋" w:hAnsi="仿宋" w:eastAsia="仿宋" w:cs="仿宋"/>
          <w:b/>
          <w:color w:val="auto"/>
          <w:sz w:val="36"/>
          <w:szCs w:val="36"/>
          <w:highlight w:val="none"/>
        </w:rPr>
      </w:pPr>
    </w:p>
    <w:p w14:paraId="2ECAC587">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5AD4770">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36"/>
          <w:szCs w:val="36"/>
          <w:highlight w:val="none"/>
        </w:rPr>
        <w:t>第三部分   采购需求</w:t>
      </w:r>
    </w:p>
    <w:p w14:paraId="69C53734">
      <w:pPr>
        <w:pStyle w:val="4"/>
        <w:numPr>
          <w:ilvl w:val="0"/>
          <w:numId w:val="1"/>
        </w:numPr>
        <w:jc w:val="center"/>
        <w:rPr>
          <w:rFonts w:hint="eastAsia" w:ascii="仿宋" w:eastAsia="仿宋" w:cs="仿宋"/>
        </w:rPr>
      </w:pPr>
      <w:bookmarkStart w:id="17" w:name="_Toc310522576"/>
      <w:r>
        <w:rPr>
          <w:rFonts w:hint="eastAsia" w:ascii="仿宋" w:eastAsia="仿宋" w:cs="仿宋"/>
        </w:rPr>
        <w:t>采购一览表</w:t>
      </w:r>
    </w:p>
    <w:tbl>
      <w:tblPr>
        <w:tblStyle w:val="63"/>
        <w:tblW w:w="8103" w:type="dxa"/>
        <w:jc w:val="center"/>
        <w:tblLayout w:type="fixed"/>
        <w:tblCellMar>
          <w:top w:w="0" w:type="dxa"/>
          <w:left w:w="0" w:type="dxa"/>
          <w:bottom w:w="0" w:type="dxa"/>
          <w:right w:w="0" w:type="dxa"/>
        </w:tblCellMar>
      </w:tblPr>
      <w:tblGrid>
        <w:gridCol w:w="648"/>
        <w:gridCol w:w="2977"/>
        <w:gridCol w:w="698"/>
        <w:gridCol w:w="909"/>
        <w:gridCol w:w="1048"/>
        <w:gridCol w:w="1823"/>
      </w:tblGrid>
      <w:tr w14:paraId="0D0EB7D5">
        <w:tblPrEx>
          <w:tblCellMar>
            <w:top w:w="0" w:type="dxa"/>
            <w:left w:w="0" w:type="dxa"/>
            <w:bottom w:w="0" w:type="dxa"/>
            <w:right w:w="0" w:type="dxa"/>
          </w:tblCellMar>
        </w:tblPrEx>
        <w:trPr>
          <w:cantSplit/>
          <w:trHeight w:val="694" w:hRule="atLeast"/>
          <w:jc w:val="center"/>
        </w:trPr>
        <w:tc>
          <w:tcPr>
            <w:tcW w:w="64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E3B41C">
            <w:pPr>
              <w:tabs>
                <w:tab w:val="left" w:pos="0"/>
              </w:tabs>
              <w:adjustRightInd w:val="0"/>
              <w:snapToGrid w:val="0"/>
              <w:jc w:val="center"/>
              <w:rPr>
                <w:rFonts w:hint="eastAsia" w:ascii="仿宋" w:hAnsi="仿宋" w:eastAsia="仿宋" w:cs="仿宋"/>
                <w:bCs/>
                <w:sz w:val="24"/>
              </w:rPr>
            </w:pPr>
            <w:r>
              <w:rPr>
                <w:rFonts w:hint="eastAsia" w:ascii="仿宋" w:hAnsi="仿宋" w:eastAsia="仿宋" w:cs="仿宋"/>
                <w:sz w:val="24"/>
              </w:rPr>
              <w:t>序号</w:t>
            </w:r>
          </w:p>
        </w:tc>
        <w:tc>
          <w:tcPr>
            <w:tcW w:w="29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381776E">
            <w:pPr>
              <w:tabs>
                <w:tab w:val="left" w:pos="0"/>
              </w:tabs>
              <w:adjustRightInd w:val="0"/>
              <w:snapToGrid w:val="0"/>
              <w:jc w:val="center"/>
              <w:rPr>
                <w:rFonts w:hint="eastAsia" w:ascii="仿宋" w:hAnsi="仿宋" w:eastAsia="仿宋" w:cs="仿宋"/>
                <w:bCs/>
                <w:sz w:val="24"/>
              </w:rPr>
            </w:pPr>
            <w:r>
              <w:rPr>
                <w:rFonts w:hint="eastAsia" w:ascii="仿宋" w:hAnsi="仿宋" w:eastAsia="仿宋" w:cs="仿宋"/>
                <w:sz w:val="24"/>
              </w:rPr>
              <w:t>名称</w:t>
            </w:r>
          </w:p>
        </w:tc>
        <w:tc>
          <w:tcPr>
            <w:tcW w:w="69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8CF87F6">
            <w:pPr>
              <w:tabs>
                <w:tab w:val="left" w:pos="0"/>
              </w:tabs>
              <w:adjustRightInd w:val="0"/>
              <w:snapToGrid w:val="0"/>
              <w:jc w:val="center"/>
              <w:rPr>
                <w:rFonts w:hint="eastAsia" w:ascii="仿宋" w:hAnsi="仿宋" w:eastAsia="仿宋" w:cs="仿宋"/>
                <w:bCs/>
                <w:sz w:val="24"/>
              </w:rPr>
            </w:pPr>
            <w:r>
              <w:rPr>
                <w:rFonts w:hint="eastAsia" w:ascii="仿宋" w:hAnsi="仿宋" w:eastAsia="仿宋" w:cs="仿宋"/>
                <w:sz w:val="24"/>
              </w:rPr>
              <w:t>数量</w:t>
            </w:r>
          </w:p>
        </w:tc>
        <w:tc>
          <w:tcPr>
            <w:tcW w:w="90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9FA968">
            <w:pPr>
              <w:tabs>
                <w:tab w:val="left" w:pos="0"/>
              </w:tabs>
              <w:adjustRightInd w:val="0"/>
              <w:snapToGrid w:val="0"/>
              <w:jc w:val="center"/>
              <w:rPr>
                <w:rFonts w:hint="eastAsia" w:ascii="仿宋" w:hAnsi="仿宋" w:eastAsia="仿宋" w:cs="仿宋"/>
                <w:bCs/>
                <w:sz w:val="24"/>
              </w:rPr>
            </w:pPr>
            <w:r>
              <w:rPr>
                <w:rFonts w:hint="eastAsia" w:ascii="仿宋" w:hAnsi="仿宋" w:eastAsia="仿宋" w:cs="仿宋"/>
                <w:sz w:val="24"/>
              </w:rPr>
              <w:t>单位</w:t>
            </w:r>
          </w:p>
        </w:tc>
        <w:tc>
          <w:tcPr>
            <w:tcW w:w="104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432C7BC">
            <w:pPr>
              <w:tabs>
                <w:tab w:val="left" w:pos="0"/>
              </w:tabs>
              <w:adjustRightInd w:val="0"/>
              <w:snapToGrid w:val="0"/>
              <w:jc w:val="center"/>
              <w:rPr>
                <w:rFonts w:hint="eastAsia" w:ascii="仿宋" w:hAnsi="仿宋" w:eastAsia="仿宋" w:cs="仿宋"/>
                <w:sz w:val="24"/>
              </w:rPr>
            </w:pPr>
            <w:r>
              <w:rPr>
                <w:rFonts w:hint="eastAsia" w:ascii="仿宋" w:hAnsi="仿宋" w:eastAsia="仿宋" w:cs="仿宋"/>
                <w:sz w:val="24"/>
              </w:rPr>
              <w:t>预算</w:t>
            </w:r>
          </w:p>
          <w:p w14:paraId="1B253FAE">
            <w:pPr>
              <w:tabs>
                <w:tab w:val="left" w:pos="0"/>
              </w:tabs>
              <w:adjustRightInd w:val="0"/>
              <w:snapToGrid w:val="0"/>
              <w:jc w:val="center"/>
              <w:rPr>
                <w:rFonts w:hint="eastAsia" w:ascii="仿宋" w:hAnsi="仿宋" w:eastAsia="仿宋" w:cs="仿宋"/>
                <w:bCs/>
                <w:sz w:val="24"/>
              </w:rPr>
            </w:pPr>
            <w:r>
              <w:rPr>
                <w:rFonts w:hint="eastAsia" w:ascii="仿宋" w:hAnsi="仿宋" w:eastAsia="仿宋" w:cs="仿宋"/>
                <w:sz w:val="24"/>
              </w:rPr>
              <w:t>（元）</w:t>
            </w:r>
          </w:p>
        </w:tc>
        <w:tc>
          <w:tcPr>
            <w:tcW w:w="1823" w:type="dxa"/>
            <w:tcBorders>
              <w:top w:val="single" w:color="auto" w:sz="4" w:space="0"/>
              <w:left w:val="nil"/>
              <w:bottom w:val="single" w:color="auto" w:sz="4" w:space="0"/>
              <w:right w:val="single" w:color="auto" w:sz="4" w:space="0"/>
            </w:tcBorders>
            <w:vAlign w:val="center"/>
          </w:tcPr>
          <w:p w14:paraId="7F08BB84">
            <w:pPr>
              <w:tabs>
                <w:tab w:val="left" w:pos="0"/>
              </w:tabs>
              <w:adjustRightInd w:val="0"/>
              <w:snapToGrid w:val="0"/>
              <w:jc w:val="center"/>
              <w:rPr>
                <w:rFonts w:hint="eastAsia" w:ascii="仿宋" w:hAnsi="仿宋" w:eastAsia="仿宋" w:cs="仿宋"/>
                <w:bCs/>
                <w:sz w:val="24"/>
              </w:rPr>
            </w:pPr>
            <w:r>
              <w:rPr>
                <w:rFonts w:hint="eastAsia" w:ascii="仿宋" w:hAnsi="仿宋" w:eastAsia="仿宋" w:cs="仿宋"/>
                <w:sz w:val="24"/>
              </w:rPr>
              <w:t>简要规格描述或基本情况介绍</w:t>
            </w:r>
          </w:p>
        </w:tc>
      </w:tr>
      <w:tr w14:paraId="1637A026">
        <w:tblPrEx>
          <w:tblCellMar>
            <w:top w:w="0" w:type="dxa"/>
            <w:left w:w="0" w:type="dxa"/>
            <w:bottom w:w="0" w:type="dxa"/>
            <w:right w:w="0" w:type="dxa"/>
          </w:tblCellMar>
        </w:tblPrEx>
        <w:trPr>
          <w:cantSplit/>
          <w:trHeight w:val="977" w:hRule="atLeast"/>
          <w:jc w:val="center"/>
        </w:trPr>
        <w:tc>
          <w:tcPr>
            <w:tcW w:w="64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AF2A0B">
            <w:pPr>
              <w:tabs>
                <w:tab w:val="left" w:pos="0"/>
              </w:tabs>
              <w:adjustRightInd w:val="0"/>
              <w:jc w:val="center"/>
              <w:rPr>
                <w:rFonts w:hint="eastAsia" w:ascii="仿宋" w:hAnsi="仿宋" w:eastAsia="仿宋" w:cs="仿宋"/>
                <w:sz w:val="24"/>
              </w:rPr>
            </w:pPr>
            <w:r>
              <w:rPr>
                <w:rFonts w:hint="eastAsia" w:ascii="仿宋" w:hAnsi="仿宋" w:eastAsia="仿宋" w:cs="仿宋"/>
                <w:sz w:val="24"/>
              </w:rPr>
              <w:t>1</w:t>
            </w:r>
          </w:p>
        </w:tc>
        <w:tc>
          <w:tcPr>
            <w:tcW w:w="29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2EC9C4C">
            <w:pPr>
              <w:adjustRightInd w:val="0"/>
              <w:jc w:val="center"/>
              <w:textAlignment w:val="center"/>
              <w:rPr>
                <w:rFonts w:hint="eastAsia" w:ascii="仿宋" w:hAnsi="仿宋" w:eastAsia="仿宋" w:cs="仿宋"/>
                <w:sz w:val="24"/>
              </w:rPr>
            </w:pPr>
            <w:r>
              <w:rPr>
                <w:rFonts w:hint="eastAsia" w:ascii="仿宋" w:hAnsi="仿宋" w:eastAsia="仿宋" w:cs="仿宋"/>
                <w:sz w:val="24"/>
              </w:rPr>
              <w:t>桃源村市级未来乡村建设数字化提升项目</w:t>
            </w:r>
          </w:p>
        </w:tc>
        <w:tc>
          <w:tcPr>
            <w:tcW w:w="69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A34E136">
            <w:pPr>
              <w:adjustRightInd w:val="0"/>
              <w:jc w:val="center"/>
              <w:textAlignment w:val="center"/>
              <w:rPr>
                <w:rFonts w:hint="eastAsia" w:ascii="仿宋" w:hAnsi="仿宋" w:eastAsia="仿宋" w:cs="仿宋"/>
                <w:sz w:val="24"/>
              </w:rPr>
            </w:pPr>
            <w:r>
              <w:rPr>
                <w:rFonts w:hint="eastAsia" w:ascii="仿宋" w:hAnsi="仿宋" w:eastAsia="仿宋" w:cs="仿宋"/>
                <w:sz w:val="24"/>
              </w:rPr>
              <w:t>1</w:t>
            </w:r>
          </w:p>
        </w:tc>
        <w:tc>
          <w:tcPr>
            <w:tcW w:w="90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B080AD">
            <w:pPr>
              <w:adjustRightInd w:val="0"/>
              <w:jc w:val="center"/>
              <w:textAlignment w:val="center"/>
              <w:rPr>
                <w:rFonts w:hint="eastAsia" w:ascii="仿宋" w:hAnsi="仿宋" w:eastAsia="仿宋" w:cs="仿宋"/>
                <w:sz w:val="24"/>
              </w:rPr>
            </w:pPr>
            <w:r>
              <w:rPr>
                <w:rFonts w:hint="eastAsia" w:ascii="仿宋" w:hAnsi="仿宋" w:eastAsia="仿宋" w:cs="仿宋"/>
                <w:sz w:val="24"/>
              </w:rPr>
              <w:t>项</w:t>
            </w:r>
          </w:p>
        </w:tc>
        <w:tc>
          <w:tcPr>
            <w:tcW w:w="104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3453F31">
            <w:pPr>
              <w:adjustRightInd w:val="0"/>
              <w:jc w:val="center"/>
              <w:textAlignment w:val="center"/>
              <w:rPr>
                <w:rFonts w:hint="eastAsia" w:ascii="仿宋" w:hAnsi="仿宋" w:eastAsia="仿宋" w:cs="仿宋"/>
                <w:sz w:val="24"/>
              </w:rPr>
            </w:pPr>
            <w:r>
              <w:rPr>
                <w:rFonts w:hint="eastAsia" w:ascii="仿宋" w:hAnsi="仿宋" w:eastAsia="仿宋" w:cs="仿宋"/>
                <w:sz w:val="24"/>
                <w:lang w:val="en-US" w:eastAsia="zh-CN"/>
              </w:rPr>
              <w:t>560000</w:t>
            </w:r>
            <w:r>
              <w:rPr>
                <w:rFonts w:hint="eastAsia" w:ascii="仿宋" w:hAnsi="仿宋" w:eastAsia="仿宋" w:cs="仿宋"/>
                <w:sz w:val="24"/>
              </w:rPr>
              <w:t xml:space="preserve"> </w:t>
            </w:r>
          </w:p>
        </w:tc>
        <w:tc>
          <w:tcPr>
            <w:tcW w:w="1823" w:type="dxa"/>
            <w:tcBorders>
              <w:top w:val="single" w:color="auto" w:sz="4" w:space="0"/>
              <w:left w:val="nil"/>
              <w:bottom w:val="single" w:color="auto" w:sz="4" w:space="0"/>
              <w:right w:val="single" w:color="auto" w:sz="4" w:space="0"/>
            </w:tcBorders>
            <w:vAlign w:val="center"/>
          </w:tcPr>
          <w:p w14:paraId="42962C8B">
            <w:pPr>
              <w:tabs>
                <w:tab w:val="left" w:pos="0"/>
              </w:tabs>
              <w:adjustRightInd w:val="0"/>
              <w:jc w:val="center"/>
              <w:rPr>
                <w:rFonts w:hint="eastAsia" w:ascii="仿宋" w:hAnsi="仿宋" w:eastAsia="仿宋" w:cs="仿宋"/>
                <w:sz w:val="24"/>
              </w:rPr>
            </w:pPr>
            <w:r>
              <w:rPr>
                <w:rFonts w:hint="eastAsia" w:ascii="仿宋" w:hAnsi="仿宋" w:eastAsia="仿宋" w:cs="仿宋"/>
                <w:sz w:val="24"/>
                <w:lang w:eastAsia="zh-Hans"/>
              </w:rPr>
              <w:t>二、</w:t>
            </w:r>
            <w:r>
              <w:rPr>
                <w:rFonts w:hint="eastAsia" w:ascii="仿宋" w:hAnsi="仿宋" w:eastAsia="仿宋" w:cs="仿宋"/>
                <w:sz w:val="24"/>
              </w:rPr>
              <w:t>采购需求</w:t>
            </w:r>
          </w:p>
        </w:tc>
      </w:tr>
    </w:tbl>
    <w:p w14:paraId="6F078880">
      <w:pPr>
        <w:rPr>
          <w:rFonts w:hint="eastAsia" w:ascii="仿宋" w:hAnsi="仿宋" w:eastAsia="仿宋"/>
          <w:lang w:val="zh-CN"/>
        </w:rPr>
      </w:pPr>
    </w:p>
    <w:p w14:paraId="0F0C8745">
      <w:pPr>
        <w:pStyle w:val="4"/>
        <w:numPr>
          <w:ilvl w:val="0"/>
          <w:numId w:val="1"/>
        </w:numPr>
        <w:jc w:val="center"/>
        <w:rPr>
          <w:rFonts w:hint="eastAsia" w:ascii="仿宋" w:eastAsia="仿宋" w:cs="仿宋"/>
        </w:rPr>
      </w:pPr>
      <w:r>
        <w:rPr>
          <w:rFonts w:hint="eastAsia" w:ascii="仿宋" w:eastAsia="仿宋" w:cs="仿宋"/>
        </w:rPr>
        <w:t>采购需求</w:t>
      </w:r>
    </w:p>
    <w:p w14:paraId="6EAE23C7">
      <w:pPr>
        <w:pStyle w:val="5"/>
        <w:numPr>
          <w:ilvl w:val="0"/>
          <w:numId w:val="2"/>
        </w:numPr>
        <w:rPr>
          <w:rFonts w:hint="eastAsia" w:ascii="仿宋" w:hAnsi="仿宋" w:eastAsia="仿宋" w:cs="仿宋"/>
        </w:rPr>
      </w:pPr>
      <w:r>
        <w:rPr>
          <w:rFonts w:hint="eastAsia" w:ascii="仿宋" w:hAnsi="仿宋" w:eastAsia="仿宋" w:cs="仿宋"/>
        </w:rPr>
        <w:t>技术需求</w:t>
      </w:r>
    </w:p>
    <w:p w14:paraId="299F6E99">
      <w:pPr>
        <w:pStyle w:val="6"/>
        <w:rPr>
          <w:rFonts w:hint="eastAsia" w:ascii="仿宋" w:hAnsi="仿宋" w:eastAsia="仿宋" w:cs="仿宋"/>
        </w:rPr>
      </w:pPr>
      <w:bookmarkStart w:id="18" w:name="_Toc24237"/>
      <w:r>
        <w:rPr>
          <w:rFonts w:hint="eastAsia" w:ascii="仿宋" w:hAnsi="仿宋" w:eastAsia="仿宋" w:cs="仿宋"/>
        </w:rPr>
        <w:t>1、建设背景</w:t>
      </w:r>
      <w:bookmarkEnd w:id="18"/>
      <w:r>
        <w:rPr>
          <w:rFonts w:hint="eastAsia" w:ascii="仿宋" w:hAnsi="仿宋" w:eastAsia="仿宋" w:cs="仿宋"/>
        </w:rPr>
        <w:t>与宗旨</w:t>
      </w:r>
    </w:p>
    <w:p w14:paraId="6462AD3C">
      <w:pPr>
        <w:spacing w:line="360" w:lineRule="auto"/>
        <w:ind w:firstLine="560"/>
        <w:rPr>
          <w:rFonts w:hint="eastAsia" w:ascii="仿宋" w:hAnsi="仿宋" w:eastAsia="仿宋" w:cs="仿宋"/>
          <w:sz w:val="24"/>
        </w:rPr>
      </w:pPr>
      <w:r>
        <w:rPr>
          <w:rFonts w:hint="eastAsia" w:ascii="仿宋" w:hAnsi="仿宋" w:eastAsia="仿宋" w:cs="仿宋"/>
          <w:sz w:val="24"/>
        </w:rPr>
        <w:t>浦阳镇桃源村位于萧山区南部，由闸上、洋湖、后湖、树蓬王四个自然村合并而成。全村常住人口2059人，户籍人口1554人。村域面积1.88平方公里，其中耕地1085亩，山林1396亩，水面120亩。桃源村地貌属丘陵地，区域内丘陵起伏，层峦叠峰，山中竹林连绵，全村有工业企业21家，农业龙头企业1家。桃源村先后被为杭州市卫生村、萧山区文明村、卫生村、统计达标村，2021年完成了美丽乡村提升村建设。</w:t>
      </w:r>
    </w:p>
    <w:p w14:paraId="389CC5D7">
      <w:pPr>
        <w:spacing w:line="360" w:lineRule="auto"/>
        <w:ind w:firstLine="560"/>
        <w:rPr>
          <w:rFonts w:hint="eastAsia" w:ascii="仿宋" w:hAnsi="仿宋" w:eastAsia="仿宋" w:cs="仿宋"/>
          <w:sz w:val="24"/>
        </w:rPr>
      </w:pPr>
      <w:r>
        <w:rPr>
          <w:rFonts w:hint="eastAsia" w:ascii="仿宋" w:hAnsi="仿宋" w:eastAsia="仿宋" w:cs="仿宋"/>
          <w:sz w:val="24"/>
        </w:rPr>
        <w:t>以桃源村的丰富资源为依托，充分利用现代信息技术，通过个性化的方案设计、特质化的资源挖掘以及智慧化的管理手段，全力打造涵盖未来治理、未来服务、未来邻里、未来生态、未来健康等多个维度的应用场景。致力于改善村民的生产生活条件，为村民提供更加便捷、高效、舒适的生活环境。积极培育乡村新型业态，推动乡村产业升级转型，激发乡村经济发展的新活力。努力加快桃源村乡村发展的步伐，让桃源村在数字时代绽放出更加绚烂的光彩，成为乡村振兴的典范和标杆，为村民创造更加美好的未来生活。</w:t>
      </w:r>
    </w:p>
    <w:p w14:paraId="715EAA49">
      <w:pPr>
        <w:pStyle w:val="6"/>
        <w:numPr>
          <w:ilvl w:val="0"/>
          <w:numId w:val="3"/>
        </w:numPr>
        <w:rPr>
          <w:rFonts w:hint="eastAsia" w:ascii="仿宋" w:hAnsi="仿宋" w:eastAsia="仿宋" w:cs="仿宋"/>
        </w:rPr>
      </w:pPr>
      <w:bookmarkStart w:id="19" w:name="_Toc8582"/>
      <w:r>
        <w:rPr>
          <w:rFonts w:hint="eastAsia" w:ascii="仿宋" w:hAnsi="仿宋" w:eastAsia="仿宋" w:cs="仿宋"/>
        </w:rPr>
        <w:t>建设内容</w:t>
      </w:r>
      <w:bookmarkEnd w:id="19"/>
    </w:p>
    <w:p w14:paraId="57B7A2E9">
      <w:pPr>
        <w:pStyle w:val="7"/>
        <w:numPr>
          <w:ilvl w:val="0"/>
          <w:numId w:val="4"/>
        </w:numPr>
        <w:rPr>
          <w:rFonts w:hint="eastAsia" w:ascii="仿宋" w:hAnsi="仿宋"/>
        </w:rPr>
      </w:pPr>
      <w:r>
        <w:rPr>
          <w:rFonts w:hint="eastAsia" w:ascii="仿宋" w:hAnsi="仿宋"/>
        </w:rPr>
        <w:t>数字化服务管理平台</w:t>
      </w:r>
    </w:p>
    <w:p w14:paraId="3AF1B02B">
      <w:pPr>
        <w:spacing w:line="360" w:lineRule="auto"/>
        <w:ind w:firstLine="480" w:firstLineChars="200"/>
        <w:rPr>
          <w:rFonts w:hint="eastAsia" w:ascii="仿宋" w:hAnsi="仿宋" w:eastAsia="仿宋" w:cs="仿宋"/>
          <w:sz w:val="24"/>
        </w:rPr>
      </w:pPr>
      <w:r>
        <w:rPr>
          <w:rFonts w:hint="eastAsia" w:ascii="仿宋" w:hAnsi="仿宋" w:eastAsia="仿宋" w:cs="仿宋"/>
          <w:sz w:val="24"/>
        </w:rPr>
        <w:t>在数字乡村与未来乡村的宏伟蓝图中，构建功能强大的数字化服务管理平台乃是推动乡村发展的关键举措。此平台恰似一座坚实桥梁，紧密连接村民与村务管理，为乡村治理与发展注入全新活力。村民通过该平台可极为便捷地获取三务公开（党务、村务、财务公开）与三资公开（资金、资产、资源公开）等各类村务信息，这既充分保障了村民知情权，使其能时刻洞悉村庄事务进展，又极大促进村务管理的公开化与透明化。同时，村民还能在平台轻松提交个人意见和建议，真正实现广泛参与，有力推动乡村治理民主化进程，使村民从旁观者转变为积极的参与者和建设者。平台可形成以户为单位的农户户籍信息档案管理数据库，全面整合村民基本信息、家庭状况、生产生活需求等多方面数据。通过深入分析挖掘这些数据，能针对不同农户特点与需求，量身定制个性化服务方案，大幅提高服务针对性和有效性。数字乡村服务数据看板作为平台重要组成部分，利用直观图表形式清晰展示关键统计数据，如村庄人口动态、经济发展指标、资源利用情况等，使村委会能高效掌握村庄发展状况，及时发现问题和趋势，为科学决策提供有力依据。数据看板不仅为决策提供坚实数据支持，还能促进各部门间信息共享和协同工作，提高乡村治理整体效率。构建数字化服务管理平台是数字乡村与未来乡村建设的重要环节，为乡村治理带来全新模式和方法，极大提升村民参与度和满意度，有力推动乡村实现高质量发展，更好地服务于乡村建设和发展。</w:t>
      </w:r>
    </w:p>
    <w:p w14:paraId="65002E32">
      <w:pPr>
        <w:widowControl/>
        <w:jc w:val="left"/>
        <w:rPr>
          <w:rFonts w:hint="eastAsia" w:ascii="仿宋" w:hAnsi="仿宋" w:eastAsia="仿宋" w:cs="仿宋"/>
          <w:sz w:val="24"/>
        </w:rPr>
      </w:pPr>
      <w:r>
        <w:rPr>
          <w:rFonts w:hint="eastAsia" w:ascii="仿宋" w:hAnsi="仿宋" w:eastAsia="仿宋" w:cs="仿宋"/>
          <w:sz w:val="24"/>
        </w:rPr>
        <w:br w:type="page"/>
      </w:r>
    </w:p>
    <w:p w14:paraId="52F9266E">
      <w:pPr>
        <w:spacing w:line="360" w:lineRule="auto"/>
        <w:rPr>
          <w:rFonts w:hint="eastAsia" w:ascii="仿宋" w:hAnsi="仿宋" w:eastAsia="仿宋" w:cs="仿宋"/>
          <w:sz w:val="24"/>
        </w:rPr>
      </w:pPr>
      <w:r>
        <w:rPr>
          <w:rFonts w:hint="eastAsia" w:ascii="仿宋" w:hAnsi="仿宋" w:eastAsia="仿宋" w:cs="仿宋"/>
          <w:sz w:val="24"/>
        </w:rPr>
        <w:t>数字化服务平台建设清单：</w:t>
      </w:r>
    </w:p>
    <w:tbl>
      <w:tblPr>
        <w:tblStyle w:val="63"/>
        <w:tblW w:w="5000" w:type="pct"/>
        <w:tblInd w:w="0" w:type="dxa"/>
        <w:tblLayout w:type="fixed"/>
        <w:tblCellMar>
          <w:top w:w="0" w:type="dxa"/>
          <w:left w:w="108" w:type="dxa"/>
          <w:bottom w:w="0" w:type="dxa"/>
          <w:right w:w="108" w:type="dxa"/>
        </w:tblCellMar>
      </w:tblPr>
      <w:tblGrid>
        <w:gridCol w:w="727"/>
        <w:gridCol w:w="2695"/>
        <w:gridCol w:w="1711"/>
        <w:gridCol w:w="1221"/>
        <w:gridCol w:w="2204"/>
        <w:gridCol w:w="728"/>
      </w:tblGrid>
      <w:tr w14:paraId="4326D76B">
        <w:tblPrEx>
          <w:tblCellMar>
            <w:top w:w="0" w:type="dxa"/>
            <w:left w:w="108" w:type="dxa"/>
            <w:bottom w:w="0" w:type="dxa"/>
            <w:right w:w="108" w:type="dxa"/>
          </w:tblCellMar>
        </w:tblPrEx>
        <w:trPr>
          <w:trHeight w:val="315" w:hRule="atLeast"/>
        </w:trPr>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4423E0">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1450" w:type="pct"/>
            <w:tcBorders>
              <w:top w:val="single" w:color="auto" w:sz="4" w:space="0"/>
              <w:left w:val="nil"/>
              <w:bottom w:val="single" w:color="auto" w:sz="4" w:space="0"/>
              <w:right w:val="single" w:color="auto" w:sz="4" w:space="0"/>
            </w:tcBorders>
            <w:shd w:val="clear" w:color="auto" w:fill="auto"/>
            <w:noWrap/>
            <w:vAlign w:val="center"/>
          </w:tcPr>
          <w:p w14:paraId="40212104">
            <w:pPr>
              <w:widowControl/>
              <w:jc w:val="center"/>
              <w:textAlignment w:val="top"/>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模块名称</w:t>
            </w:r>
          </w:p>
        </w:tc>
        <w:tc>
          <w:tcPr>
            <w:tcW w:w="920" w:type="pct"/>
            <w:tcBorders>
              <w:top w:val="single" w:color="auto" w:sz="4" w:space="0"/>
              <w:left w:val="nil"/>
              <w:bottom w:val="single" w:color="auto" w:sz="4" w:space="0"/>
              <w:right w:val="single" w:color="auto" w:sz="4" w:space="0"/>
            </w:tcBorders>
            <w:shd w:val="clear" w:color="auto" w:fill="auto"/>
            <w:noWrap/>
            <w:vAlign w:val="center"/>
          </w:tcPr>
          <w:p w14:paraId="51FC6BB9">
            <w:pPr>
              <w:widowControl/>
              <w:jc w:val="center"/>
              <w:textAlignment w:val="top"/>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指标</w:t>
            </w:r>
          </w:p>
        </w:tc>
        <w:tc>
          <w:tcPr>
            <w:tcW w:w="658" w:type="pct"/>
            <w:tcBorders>
              <w:top w:val="single" w:color="auto" w:sz="4" w:space="0"/>
              <w:left w:val="nil"/>
              <w:bottom w:val="single" w:color="auto" w:sz="4" w:space="0"/>
              <w:right w:val="single" w:color="auto" w:sz="4" w:space="0"/>
            </w:tcBorders>
            <w:shd w:val="clear" w:color="auto" w:fill="auto"/>
            <w:noWrap/>
            <w:vAlign w:val="center"/>
          </w:tcPr>
          <w:p w14:paraId="5BBD66CE">
            <w:pPr>
              <w:widowControl/>
              <w:jc w:val="center"/>
              <w:textAlignment w:val="top"/>
              <w:rPr>
                <w:rFonts w:hint="eastAsia" w:ascii="仿宋" w:hAnsi="仿宋" w:eastAsia="仿宋" w:cs="仿宋"/>
                <w:b/>
                <w:bCs/>
                <w:color w:val="000000"/>
                <w:sz w:val="24"/>
              </w:rPr>
            </w:pPr>
            <w:r>
              <w:rPr>
                <w:rFonts w:hint="eastAsia" w:ascii="仿宋" w:hAnsi="仿宋" w:eastAsia="仿宋" w:cs="仿宋"/>
                <w:b/>
                <w:bCs/>
                <w:color w:val="000000"/>
                <w:kern w:val="0"/>
                <w:sz w:val="24"/>
                <w:lang w:bidi="ar"/>
              </w:rPr>
              <w:t>一级模块</w:t>
            </w:r>
          </w:p>
        </w:tc>
        <w:tc>
          <w:tcPr>
            <w:tcW w:w="1186" w:type="pct"/>
            <w:tcBorders>
              <w:top w:val="single" w:color="auto" w:sz="4" w:space="0"/>
              <w:left w:val="nil"/>
              <w:bottom w:val="single" w:color="auto" w:sz="4" w:space="0"/>
              <w:right w:val="single" w:color="auto" w:sz="4" w:space="0"/>
            </w:tcBorders>
            <w:shd w:val="clear" w:color="auto" w:fill="auto"/>
            <w:noWrap/>
            <w:vAlign w:val="center"/>
          </w:tcPr>
          <w:p w14:paraId="0C1DDB6F">
            <w:pPr>
              <w:widowControl/>
              <w:jc w:val="center"/>
              <w:textAlignment w:val="top"/>
              <w:rPr>
                <w:rFonts w:hint="eastAsia" w:ascii="仿宋" w:hAnsi="仿宋" w:eastAsia="仿宋" w:cs="仿宋"/>
                <w:b/>
                <w:bCs/>
                <w:color w:val="000000"/>
                <w:sz w:val="24"/>
              </w:rPr>
            </w:pPr>
            <w:r>
              <w:rPr>
                <w:rFonts w:hint="eastAsia" w:ascii="仿宋" w:hAnsi="仿宋" w:eastAsia="仿宋" w:cs="仿宋"/>
                <w:b/>
                <w:bCs/>
                <w:color w:val="000000"/>
                <w:kern w:val="0"/>
                <w:sz w:val="24"/>
                <w:lang w:bidi="ar"/>
              </w:rPr>
              <w:t>二级模块</w:t>
            </w:r>
          </w:p>
        </w:tc>
        <w:tc>
          <w:tcPr>
            <w:tcW w:w="392" w:type="pct"/>
            <w:tcBorders>
              <w:top w:val="single" w:color="auto" w:sz="4" w:space="0"/>
              <w:left w:val="nil"/>
              <w:bottom w:val="single" w:color="auto" w:sz="4" w:space="0"/>
              <w:right w:val="single" w:color="auto" w:sz="4" w:space="0"/>
            </w:tcBorders>
            <w:shd w:val="clear" w:color="auto" w:fill="auto"/>
            <w:noWrap/>
            <w:vAlign w:val="center"/>
          </w:tcPr>
          <w:p w14:paraId="7077E8B2">
            <w:pPr>
              <w:widowControl/>
              <w:jc w:val="center"/>
              <w:textAlignment w:val="top"/>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数量</w:t>
            </w:r>
          </w:p>
        </w:tc>
      </w:tr>
      <w:tr w14:paraId="19CBCF26">
        <w:tblPrEx>
          <w:tblCellMar>
            <w:top w:w="0" w:type="dxa"/>
            <w:left w:w="108" w:type="dxa"/>
            <w:bottom w:w="0" w:type="dxa"/>
            <w:right w:w="108" w:type="dxa"/>
          </w:tblCellMar>
        </w:tblPrEx>
        <w:trPr>
          <w:trHeight w:val="405"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44230D4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450" w:type="pct"/>
            <w:tcBorders>
              <w:top w:val="nil"/>
              <w:left w:val="nil"/>
              <w:bottom w:val="single" w:color="auto" w:sz="4" w:space="0"/>
              <w:right w:val="single" w:color="auto" w:sz="4" w:space="0"/>
            </w:tcBorders>
            <w:shd w:val="clear" w:color="auto" w:fill="auto"/>
            <w:noWrap/>
            <w:vAlign w:val="center"/>
          </w:tcPr>
          <w:p w14:paraId="0FC1E5E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村民自治</w:t>
            </w:r>
          </w:p>
        </w:tc>
        <w:tc>
          <w:tcPr>
            <w:tcW w:w="920" w:type="pct"/>
            <w:vMerge w:val="restart"/>
            <w:tcBorders>
              <w:top w:val="nil"/>
              <w:left w:val="single" w:color="auto" w:sz="4" w:space="0"/>
              <w:bottom w:val="single" w:color="auto" w:sz="4" w:space="0"/>
              <w:right w:val="single" w:color="auto" w:sz="4" w:space="0"/>
            </w:tcBorders>
            <w:shd w:val="clear" w:color="auto" w:fill="auto"/>
            <w:vAlign w:val="center"/>
          </w:tcPr>
          <w:p w14:paraId="1C9D280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数字治理</w:t>
            </w:r>
          </w:p>
        </w:tc>
        <w:tc>
          <w:tcPr>
            <w:tcW w:w="658" w:type="pct"/>
            <w:vMerge w:val="restart"/>
            <w:tcBorders>
              <w:top w:val="nil"/>
              <w:left w:val="single" w:color="auto" w:sz="4" w:space="0"/>
              <w:bottom w:val="single" w:color="auto" w:sz="4" w:space="0"/>
              <w:right w:val="single" w:color="auto" w:sz="4" w:space="0"/>
            </w:tcBorders>
            <w:shd w:val="clear" w:color="auto" w:fill="auto"/>
            <w:noWrap/>
            <w:vAlign w:val="center"/>
          </w:tcPr>
          <w:p w14:paraId="54158A5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印象乡村</w:t>
            </w:r>
          </w:p>
        </w:tc>
        <w:tc>
          <w:tcPr>
            <w:tcW w:w="1186" w:type="pct"/>
            <w:tcBorders>
              <w:top w:val="nil"/>
              <w:left w:val="nil"/>
              <w:bottom w:val="single" w:color="auto" w:sz="4" w:space="0"/>
              <w:right w:val="single" w:color="auto" w:sz="4" w:space="0"/>
            </w:tcBorders>
            <w:shd w:val="clear" w:color="auto" w:fill="auto"/>
            <w:noWrap/>
            <w:vAlign w:val="center"/>
          </w:tcPr>
          <w:p w14:paraId="5968A709">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财务、村务公开</w:t>
            </w:r>
          </w:p>
        </w:tc>
        <w:tc>
          <w:tcPr>
            <w:tcW w:w="392" w:type="pct"/>
            <w:tcBorders>
              <w:top w:val="nil"/>
              <w:left w:val="nil"/>
              <w:bottom w:val="single" w:color="auto" w:sz="4" w:space="0"/>
              <w:right w:val="single" w:color="auto" w:sz="4" w:space="0"/>
            </w:tcBorders>
            <w:shd w:val="clear" w:color="auto" w:fill="auto"/>
            <w:noWrap/>
            <w:vAlign w:val="center"/>
          </w:tcPr>
          <w:p w14:paraId="1EDCDB0A">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67354652">
        <w:tblPrEx>
          <w:tblCellMar>
            <w:top w:w="0" w:type="dxa"/>
            <w:left w:w="108" w:type="dxa"/>
            <w:bottom w:w="0" w:type="dxa"/>
            <w:right w:w="108" w:type="dxa"/>
          </w:tblCellMar>
        </w:tblPrEx>
        <w:trPr>
          <w:trHeight w:val="405"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3AD6A75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450" w:type="pct"/>
            <w:vMerge w:val="restart"/>
            <w:tcBorders>
              <w:top w:val="nil"/>
              <w:left w:val="single" w:color="auto" w:sz="4" w:space="0"/>
              <w:bottom w:val="single" w:color="auto" w:sz="4" w:space="0"/>
              <w:right w:val="single" w:color="auto" w:sz="4" w:space="0"/>
            </w:tcBorders>
            <w:shd w:val="clear" w:color="auto" w:fill="auto"/>
            <w:noWrap/>
            <w:vAlign w:val="center"/>
          </w:tcPr>
          <w:p w14:paraId="57DE99D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农户户籍信息档案管理</w:t>
            </w:r>
          </w:p>
        </w:tc>
        <w:tc>
          <w:tcPr>
            <w:tcW w:w="920" w:type="pct"/>
            <w:vMerge w:val="continue"/>
            <w:tcBorders>
              <w:top w:val="nil"/>
              <w:left w:val="single" w:color="auto" w:sz="4" w:space="0"/>
              <w:bottom w:val="single" w:color="auto" w:sz="4" w:space="0"/>
              <w:right w:val="single" w:color="auto" w:sz="4" w:space="0"/>
            </w:tcBorders>
            <w:shd w:val="clear" w:color="auto" w:fill="auto"/>
            <w:vAlign w:val="center"/>
          </w:tcPr>
          <w:p w14:paraId="11C0696E">
            <w:pPr>
              <w:jc w:val="center"/>
              <w:rPr>
                <w:rFonts w:hint="eastAsia" w:ascii="仿宋" w:hAnsi="仿宋" w:eastAsia="仿宋" w:cs="仿宋"/>
                <w:color w:val="000000"/>
                <w:sz w:val="24"/>
              </w:rPr>
            </w:pPr>
          </w:p>
        </w:tc>
        <w:tc>
          <w:tcPr>
            <w:tcW w:w="658" w:type="pct"/>
            <w:vMerge w:val="continue"/>
            <w:tcBorders>
              <w:top w:val="nil"/>
              <w:left w:val="single" w:color="auto" w:sz="4" w:space="0"/>
              <w:bottom w:val="single" w:color="auto" w:sz="4" w:space="0"/>
              <w:right w:val="single" w:color="auto" w:sz="4" w:space="0"/>
            </w:tcBorders>
            <w:shd w:val="clear" w:color="auto" w:fill="auto"/>
            <w:noWrap/>
            <w:vAlign w:val="center"/>
          </w:tcPr>
          <w:p w14:paraId="1D996DC4">
            <w:pPr>
              <w:jc w:val="center"/>
              <w:rPr>
                <w:rFonts w:hint="eastAsia" w:ascii="仿宋" w:hAnsi="仿宋" w:eastAsia="仿宋" w:cs="仿宋"/>
                <w:color w:val="000000"/>
                <w:sz w:val="24"/>
              </w:rPr>
            </w:pPr>
          </w:p>
        </w:tc>
        <w:tc>
          <w:tcPr>
            <w:tcW w:w="1186" w:type="pct"/>
            <w:tcBorders>
              <w:top w:val="nil"/>
              <w:left w:val="nil"/>
              <w:bottom w:val="single" w:color="auto" w:sz="4" w:space="0"/>
              <w:right w:val="single" w:color="auto" w:sz="4" w:space="0"/>
            </w:tcBorders>
            <w:shd w:val="clear" w:color="auto" w:fill="auto"/>
            <w:noWrap/>
            <w:vAlign w:val="center"/>
          </w:tcPr>
          <w:p w14:paraId="2214B2A6">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人员档案</w:t>
            </w:r>
          </w:p>
        </w:tc>
        <w:tc>
          <w:tcPr>
            <w:tcW w:w="392" w:type="pct"/>
            <w:tcBorders>
              <w:top w:val="nil"/>
              <w:left w:val="nil"/>
              <w:bottom w:val="single" w:color="auto" w:sz="4" w:space="0"/>
              <w:right w:val="single" w:color="auto" w:sz="4" w:space="0"/>
            </w:tcBorders>
            <w:shd w:val="clear" w:color="auto" w:fill="auto"/>
            <w:noWrap/>
            <w:vAlign w:val="center"/>
          </w:tcPr>
          <w:p w14:paraId="0F1657DC">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747CEF19">
        <w:tblPrEx>
          <w:tblCellMar>
            <w:top w:w="0" w:type="dxa"/>
            <w:left w:w="108" w:type="dxa"/>
            <w:bottom w:w="0" w:type="dxa"/>
            <w:right w:w="108" w:type="dxa"/>
          </w:tblCellMar>
        </w:tblPrEx>
        <w:trPr>
          <w:trHeight w:val="405"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01D7A8D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450" w:type="pct"/>
            <w:vMerge w:val="continue"/>
            <w:tcBorders>
              <w:top w:val="nil"/>
              <w:left w:val="single" w:color="auto" w:sz="4" w:space="0"/>
              <w:bottom w:val="single" w:color="auto" w:sz="4" w:space="0"/>
              <w:right w:val="single" w:color="auto" w:sz="4" w:space="0"/>
            </w:tcBorders>
            <w:shd w:val="clear" w:color="auto" w:fill="auto"/>
            <w:noWrap/>
            <w:vAlign w:val="center"/>
          </w:tcPr>
          <w:p w14:paraId="4975B712">
            <w:pPr>
              <w:jc w:val="center"/>
              <w:rPr>
                <w:rFonts w:hint="eastAsia" w:ascii="仿宋" w:hAnsi="仿宋" w:eastAsia="仿宋" w:cs="仿宋"/>
                <w:color w:val="000000"/>
                <w:sz w:val="24"/>
              </w:rPr>
            </w:pPr>
          </w:p>
        </w:tc>
        <w:tc>
          <w:tcPr>
            <w:tcW w:w="920" w:type="pct"/>
            <w:vMerge w:val="continue"/>
            <w:tcBorders>
              <w:top w:val="nil"/>
              <w:left w:val="single" w:color="auto" w:sz="4" w:space="0"/>
              <w:bottom w:val="single" w:color="auto" w:sz="4" w:space="0"/>
              <w:right w:val="single" w:color="auto" w:sz="4" w:space="0"/>
            </w:tcBorders>
            <w:shd w:val="clear" w:color="auto" w:fill="auto"/>
            <w:vAlign w:val="center"/>
          </w:tcPr>
          <w:p w14:paraId="43FCFB64">
            <w:pPr>
              <w:jc w:val="center"/>
              <w:rPr>
                <w:rFonts w:hint="eastAsia" w:ascii="仿宋" w:hAnsi="仿宋" w:eastAsia="仿宋" w:cs="仿宋"/>
                <w:color w:val="000000"/>
                <w:sz w:val="24"/>
              </w:rPr>
            </w:pPr>
          </w:p>
        </w:tc>
        <w:tc>
          <w:tcPr>
            <w:tcW w:w="658" w:type="pct"/>
            <w:vMerge w:val="continue"/>
            <w:tcBorders>
              <w:top w:val="nil"/>
              <w:left w:val="single" w:color="auto" w:sz="4" w:space="0"/>
              <w:bottom w:val="single" w:color="auto" w:sz="4" w:space="0"/>
              <w:right w:val="single" w:color="auto" w:sz="4" w:space="0"/>
            </w:tcBorders>
            <w:shd w:val="clear" w:color="auto" w:fill="auto"/>
            <w:noWrap/>
            <w:vAlign w:val="center"/>
          </w:tcPr>
          <w:p w14:paraId="5B45119B">
            <w:pPr>
              <w:jc w:val="center"/>
              <w:rPr>
                <w:rFonts w:hint="eastAsia" w:ascii="仿宋" w:hAnsi="仿宋" w:eastAsia="仿宋" w:cs="仿宋"/>
                <w:color w:val="000000"/>
                <w:sz w:val="24"/>
              </w:rPr>
            </w:pPr>
          </w:p>
        </w:tc>
        <w:tc>
          <w:tcPr>
            <w:tcW w:w="1186" w:type="pct"/>
            <w:tcBorders>
              <w:top w:val="nil"/>
              <w:left w:val="nil"/>
              <w:bottom w:val="single" w:color="auto" w:sz="4" w:space="0"/>
              <w:right w:val="single" w:color="auto" w:sz="4" w:space="0"/>
            </w:tcBorders>
            <w:shd w:val="clear" w:color="auto" w:fill="auto"/>
            <w:noWrap/>
            <w:vAlign w:val="center"/>
          </w:tcPr>
          <w:p w14:paraId="03C13ED4">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房屋档案</w:t>
            </w:r>
          </w:p>
        </w:tc>
        <w:tc>
          <w:tcPr>
            <w:tcW w:w="392" w:type="pct"/>
            <w:tcBorders>
              <w:top w:val="nil"/>
              <w:left w:val="nil"/>
              <w:bottom w:val="single" w:color="auto" w:sz="4" w:space="0"/>
              <w:right w:val="single" w:color="auto" w:sz="4" w:space="0"/>
            </w:tcBorders>
            <w:shd w:val="clear" w:color="auto" w:fill="auto"/>
            <w:noWrap/>
            <w:vAlign w:val="center"/>
          </w:tcPr>
          <w:p w14:paraId="2794047D">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4A47C5DD">
        <w:tblPrEx>
          <w:tblCellMar>
            <w:top w:w="0" w:type="dxa"/>
            <w:left w:w="108" w:type="dxa"/>
            <w:bottom w:w="0" w:type="dxa"/>
            <w:right w:w="108" w:type="dxa"/>
          </w:tblCellMar>
        </w:tblPrEx>
        <w:trPr>
          <w:trHeight w:val="405"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77ED7B0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1450" w:type="pct"/>
            <w:vMerge w:val="continue"/>
            <w:tcBorders>
              <w:top w:val="nil"/>
              <w:left w:val="single" w:color="auto" w:sz="4" w:space="0"/>
              <w:bottom w:val="single" w:color="auto" w:sz="4" w:space="0"/>
              <w:right w:val="single" w:color="auto" w:sz="4" w:space="0"/>
            </w:tcBorders>
            <w:shd w:val="clear" w:color="auto" w:fill="auto"/>
            <w:noWrap/>
            <w:vAlign w:val="center"/>
          </w:tcPr>
          <w:p w14:paraId="6C96B45B">
            <w:pPr>
              <w:jc w:val="center"/>
              <w:rPr>
                <w:rFonts w:hint="eastAsia" w:ascii="仿宋" w:hAnsi="仿宋" w:eastAsia="仿宋" w:cs="仿宋"/>
                <w:color w:val="000000"/>
                <w:sz w:val="24"/>
              </w:rPr>
            </w:pPr>
          </w:p>
        </w:tc>
        <w:tc>
          <w:tcPr>
            <w:tcW w:w="920" w:type="pct"/>
            <w:vMerge w:val="continue"/>
            <w:tcBorders>
              <w:top w:val="nil"/>
              <w:left w:val="single" w:color="auto" w:sz="4" w:space="0"/>
              <w:bottom w:val="single" w:color="auto" w:sz="4" w:space="0"/>
              <w:right w:val="single" w:color="auto" w:sz="4" w:space="0"/>
            </w:tcBorders>
            <w:shd w:val="clear" w:color="auto" w:fill="auto"/>
            <w:vAlign w:val="center"/>
          </w:tcPr>
          <w:p w14:paraId="6C91F307">
            <w:pPr>
              <w:jc w:val="center"/>
              <w:rPr>
                <w:rFonts w:hint="eastAsia" w:ascii="仿宋" w:hAnsi="仿宋" w:eastAsia="仿宋" w:cs="仿宋"/>
                <w:color w:val="000000"/>
                <w:sz w:val="24"/>
              </w:rPr>
            </w:pPr>
          </w:p>
        </w:tc>
        <w:tc>
          <w:tcPr>
            <w:tcW w:w="658" w:type="pct"/>
            <w:vMerge w:val="continue"/>
            <w:tcBorders>
              <w:top w:val="nil"/>
              <w:left w:val="single" w:color="auto" w:sz="4" w:space="0"/>
              <w:bottom w:val="single" w:color="auto" w:sz="4" w:space="0"/>
              <w:right w:val="single" w:color="auto" w:sz="4" w:space="0"/>
            </w:tcBorders>
            <w:shd w:val="clear" w:color="auto" w:fill="auto"/>
            <w:noWrap/>
            <w:vAlign w:val="center"/>
          </w:tcPr>
          <w:p w14:paraId="36254A01">
            <w:pPr>
              <w:jc w:val="center"/>
              <w:rPr>
                <w:rFonts w:hint="eastAsia" w:ascii="仿宋" w:hAnsi="仿宋" w:eastAsia="仿宋" w:cs="仿宋"/>
                <w:color w:val="000000"/>
                <w:sz w:val="24"/>
              </w:rPr>
            </w:pPr>
          </w:p>
        </w:tc>
        <w:tc>
          <w:tcPr>
            <w:tcW w:w="1186" w:type="pct"/>
            <w:tcBorders>
              <w:top w:val="nil"/>
              <w:left w:val="nil"/>
              <w:bottom w:val="single" w:color="auto" w:sz="4" w:space="0"/>
              <w:right w:val="single" w:color="auto" w:sz="4" w:space="0"/>
            </w:tcBorders>
            <w:shd w:val="clear" w:color="auto" w:fill="auto"/>
            <w:noWrap/>
            <w:vAlign w:val="center"/>
          </w:tcPr>
          <w:p w14:paraId="4F94E8F2">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人房关联</w:t>
            </w:r>
          </w:p>
        </w:tc>
        <w:tc>
          <w:tcPr>
            <w:tcW w:w="392" w:type="pct"/>
            <w:tcBorders>
              <w:top w:val="nil"/>
              <w:left w:val="nil"/>
              <w:bottom w:val="single" w:color="auto" w:sz="4" w:space="0"/>
              <w:right w:val="single" w:color="auto" w:sz="4" w:space="0"/>
            </w:tcBorders>
            <w:shd w:val="clear" w:color="auto" w:fill="auto"/>
            <w:noWrap/>
            <w:vAlign w:val="center"/>
          </w:tcPr>
          <w:p w14:paraId="1EB96AED">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7EA18ADA">
        <w:tblPrEx>
          <w:tblCellMar>
            <w:top w:w="0" w:type="dxa"/>
            <w:left w:w="108" w:type="dxa"/>
            <w:bottom w:w="0" w:type="dxa"/>
            <w:right w:w="108" w:type="dxa"/>
          </w:tblCellMar>
        </w:tblPrEx>
        <w:trPr>
          <w:trHeight w:val="405"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3E7E78D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1450" w:type="pct"/>
            <w:vMerge w:val="continue"/>
            <w:tcBorders>
              <w:top w:val="nil"/>
              <w:left w:val="single" w:color="auto" w:sz="4" w:space="0"/>
              <w:bottom w:val="single" w:color="auto" w:sz="4" w:space="0"/>
              <w:right w:val="single" w:color="auto" w:sz="4" w:space="0"/>
            </w:tcBorders>
            <w:shd w:val="clear" w:color="auto" w:fill="auto"/>
            <w:noWrap/>
            <w:vAlign w:val="center"/>
          </w:tcPr>
          <w:p w14:paraId="14EF9E5D">
            <w:pPr>
              <w:jc w:val="center"/>
              <w:rPr>
                <w:rFonts w:hint="eastAsia" w:ascii="仿宋" w:hAnsi="仿宋" w:eastAsia="仿宋" w:cs="仿宋"/>
                <w:color w:val="000000"/>
                <w:sz w:val="24"/>
              </w:rPr>
            </w:pPr>
          </w:p>
        </w:tc>
        <w:tc>
          <w:tcPr>
            <w:tcW w:w="920" w:type="pct"/>
            <w:vMerge w:val="continue"/>
            <w:tcBorders>
              <w:top w:val="nil"/>
              <w:left w:val="single" w:color="auto" w:sz="4" w:space="0"/>
              <w:bottom w:val="single" w:color="auto" w:sz="4" w:space="0"/>
              <w:right w:val="single" w:color="auto" w:sz="4" w:space="0"/>
            </w:tcBorders>
            <w:shd w:val="clear" w:color="auto" w:fill="auto"/>
            <w:vAlign w:val="center"/>
          </w:tcPr>
          <w:p w14:paraId="479B14BA">
            <w:pPr>
              <w:jc w:val="center"/>
              <w:rPr>
                <w:rFonts w:hint="eastAsia" w:ascii="仿宋" w:hAnsi="仿宋" w:eastAsia="仿宋" w:cs="仿宋"/>
                <w:color w:val="000000"/>
                <w:sz w:val="24"/>
              </w:rPr>
            </w:pPr>
          </w:p>
        </w:tc>
        <w:tc>
          <w:tcPr>
            <w:tcW w:w="658" w:type="pct"/>
            <w:vMerge w:val="continue"/>
            <w:tcBorders>
              <w:top w:val="nil"/>
              <w:left w:val="single" w:color="auto" w:sz="4" w:space="0"/>
              <w:bottom w:val="single" w:color="auto" w:sz="4" w:space="0"/>
              <w:right w:val="single" w:color="auto" w:sz="4" w:space="0"/>
            </w:tcBorders>
            <w:shd w:val="clear" w:color="auto" w:fill="auto"/>
            <w:noWrap/>
            <w:vAlign w:val="center"/>
          </w:tcPr>
          <w:p w14:paraId="2376ED3A">
            <w:pPr>
              <w:jc w:val="center"/>
              <w:rPr>
                <w:rFonts w:hint="eastAsia" w:ascii="仿宋" w:hAnsi="仿宋" w:eastAsia="仿宋" w:cs="仿宋"/>
                <w:color w:val="000000"/>
                <w:sz w:val="24"/>
              </w:rPr>
            </w:pPr>
          </w:p>
        </w:tc>
        <w:tc>
          <w:tcPr>
            <w:tcW w:w="1186" w:type="pct"/>
            <w:tcBorders>
              <w:top w:val="nil"/>
              <w:left w:val="nil"/>
              <w:bottom w:val="single" w:color="auto" w:sz="4" w:space="0"/>
              <w:right w:val="single" w:color="auto" w:sz="4" w:space="0"/>
            </w:tcBorders>
            <w:shd w:val="clear" w:color="auto" w:fill="auto"/>
            <w:noWrap/>
            <w:vAlign w:val="center"/>
          </w:tcPr>
          <w:p w14:paraId="247792C1">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出租房管理</w:t>
            </w:r>
          </w:p>
        </w:tc>
        <w:tc>
          <w:tcPr>
            <w:tcW w:w="392" w:type="pct"/>
            <w:tcBorders>
              <w:top w:val="nil"/>
              <w:left w:val="nil"/>
              <w:bottom w:val="single" w:color="auto" w:sz="4" w:space="0"/>
              <w:right w:val="single" w:color="auto" w:sz="4" w:space="0"/>
            </w:tcBorders>
            <w:shd w:val="clear" w:color="auto" w:fill="auto"/>
            <w:noWrap/>
            <w:vAlign w:val="center"/>
          </w:tcPr>
          <w:p w14:paraId="1A45B0EF">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15670F7C">
        <w:tblPrEx>
          <w:tblCellMar>
            <w:top w:w="0" w:type="dxa"/>
            <w:left w:w="108" w:type="dxa"/>
            <w:bottom w:w="0" w:type="dxa"/>
            <w:right w:w="108" w:type="dxa"/>
          </w:tblCellMar>
        </w:tblPrEx>
        <w:trPr>
          <w:trHeight w:val="405"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1658B8B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w:t>
            </w:r>
          </w:p>
        </w:tc>
        <w:tc>
          <w:tcPr>
            <w:tcW w:w="1450" w:type="pct"/>
            <w:vMerge w:val="continue"/>
            <w:tcBorders>
              <w:top w:val="nil"/>
              <w:left w:val="single" w:color="auto" w:sz="4" w:space="0"/>
              <w:bottom w:val="single" w:color="auto" w:sz="4" w:space="0"/>
              <w:right w:val="single" w:color="auto" w:sz="4" w:space="0"/>
            </w:tcBorders>
            <w:shd w:val="clear" w:color="auto" w:fill="auto"/>
            <w:noWrap/>
            <w:vAlign w:val="center"/>
          </w:tcPr>
          <w:p w14:paraId="64B3377E">
            <w:pPr>
              <w:jc w:val="center"/>
              <w:rPr>
                <w:rFonts w:hint="eastAsia" w:ascii="仿宋" w:hAnsi="仿宋" w:eastAsia="仿宋" w:cs="仿宋"/>
                <w:color w:val="000000"/>
                <w:sz w:val="24"/>
              </w:rPr>
            </w:pPr>
          </w:p>
        </w:tc>
        <w:tc>
          <w:tcPr>
            <w:tcW w:w="920" w:type="pct"/>
            <w:vMerge w:val="continue"/>
            <w:tcBorders>
              <w:top w:val="nil"/>
              <w:left w:val="single" w:color="auto" w:sz="4" w:space="0"/>
              <w:bottom w:val="single" w:color="auto" w:sz="4" w:space="0"/>
              <w:right w:val="single" w:color="auto" w:sz="4" w:space="0"/>
            </w:tcBorders>
            <w:shd w:val="clear" w:color="auto" w:fill="auto"/>
            <w:vAlign w:val="center"/>
          </w:tcPr>
          <w:p w14:paraId="4A64D602">
            <w:pPr>
              <w:jc w:val="center"/>
              <w:rPr>
                <w:rFonts w:hint="eastAsia" w:ascii="仿宋" w:hAnsi="仿宋" w:eastAsia="仿宋" w:cs="仿宋"/>
                <w:color w:val="000000"/>
                <w:sz w:val="24"/>
              </w:rPr>
            </w:pPr>
          </w:p>
        </w:tc>
        <w:tc>
          <w:tcPr>
            <w:tcW w:w="658" w:type="pct"/>
            <w:vMerge w:val="continue"/>
            <w:tcBorders>
              <w:top w:val="nil"/>
              <w:left w:val="single" w:color="auto" w:sz="4" w:space="0"/>
              <w:bottom w:val="single" w:color="auto" w:sz="4" w:space="0"/>
              <w:right w:val="single" w:color="auto" w:sz="4" w:space="0"/>
            </w:tcBorders>
            <w:shd w:val="clear" w:color="auto" w:fill="auto"/>
            <w:noWrap/>
            <w:vAlign w:val="center"/>
          </w:tcPr>
          <w:p w14:paraId="1972E086">
            <w:pPr>
              <w:jc w:val="center"/>
              <w:rPr>
                <w:rFonts w:hint="eastAsia" w:ascii="仿宋" w:hAnsi="仿宋" w:eastAsia="仿宋" w:cs="仿宋"/>
                <w:color w:val="000000"/>
                <w:sz w:val="24"/>
              </w:rPr>
            </w:pPr>
          </w:p>
        </w:tc>
        <w:tc>
          <w:tcPr>
            <w:tcW w:w="1186" w:type="pct"/>
            <w:tcBorders>
              <w:top w:val="nil"/>
              <w:left w:val="nil"/>
              <w:bottom w:val="single" w:color="auto" w:sz="4" w:space="0"/>
              <w:right w:val="single" w:color="auto" w:sz="4" w:space="0"/>
            </w:tcBorders>
            <w:shd w:val="clear" w:color="auto" w:fill="auto"/>
            <w:noWrap/>
            <w:vAlign w:val="center"/>
          </w:tcPr>
          <w:p w14:paraId="671C2754">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配套设施</w:t>
            </w:r>
          </w:p>
        </w:tc>
        <w:tc>
          <w:tcPr>
            <w:tcW w:w="392" w:type="pct"/>
            <w:tcBorders>
              <w:top w:val="nil"/>
              <w:left w:val="nil"/>
              <w:bottom w:val="single" w:color="auto" w:sz="4" w:space="0"/>
              <w:right w:val="single" w:color="auto" w:sz="4" w:space="0"/>
            </w:tcBorders>
            <w:shd w:val="clear" w:color="auto" w:fill="auto"/>
            <w:noWrap/>
            <w:vAlign w:val="center"/>
          </w:tcPr>
          <w:p w14:paraId="3E1DB9A0">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73FBE6FA">
        <w:tblPrEx>
          <w:tblCellMar>
            <w:top w:w="0" w:type="dxa"/>
            <w:left w:w="108" w:type="dxa"/>
            <w:bottom w:w="0" w:type="dxa"/>
            <w:right w:w="108" w:type="dxa"/>
          </w:tblCellMar>
        </w:tblPrEx>
        <w:trPr>
          <w:trHeight w:val="405"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2DC9D22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w:t>
            </w:r>
          </w:p>
        </w:tc>
        <w:tc>
          <w:tcPr>
            <w:tcW w:w="1450" w:type="pct"/>
            <w:vMerge w:val="continue"/>
            <w:tcBorders>
              <w:top w:val="nil"/>
              <w:left w:val="single" w:color="auto" w:sz="4" w:space="0"/>
              <w:bottom w:val="single" w:color="auto" w:sz="4" w:space="0"/>
              <w:right w:val="single" w:color="auto" w:sz="4" w:space="0"/>
            </w:tcBorders>
            <w:shd w:val="clear" w:color="auto" w:fill="auto"/>
            <w:noWrap/>
            <w:vAlign w:val="center"/>
          </w:tcPr>
          <w:p w14:paraId="328FEE4C">
            <w:pPr>
              <w:jc w:val="center"/>
              <w:rPr>
                <w:rFonts w:hint="eastAsia" w:ascii="仿宋" w:hAnsi="仿宋" w:eastAsia="仿宋" w:cs="仿宋"/>
                <w:color w:val="000000"/>
                <w:sz w:val="24"/>
              </w:rPr>
            </w:pPr>
          </w:p>
        </w:tc>
        <w:tc>
          <w:tcPr>
            <w:tcW w:w="920" w:type="pct"/>
            <w:vMerge w:val="continue"/>
            <w:tcBorders>
              <w:top w:val="nil"/>
              <w:left w:val="single" w:color="auto" w:sz="4" w:space="0"/>
              <w:bottom w:val="single" w:color="auto" w:sz="4" w:space="0"/>
              <w:right w:val="single" w:color="auto" w:sz="4" w:space="0"/>
            </w:tcBorders>
            <w:shd w:val="clear" w:color="auto" w:fill="auto"/>
            <w:vAlign w:val="center"/>
          </w:tcPr>
          <w:p w14:paraId="56B5A210">
            <w:pPr>
              <w:jc w:val="center"/>
              <w:rPr>
                <w:rFonts w:hint="eastAsia" w:ascii="仿宋" w:hAnsi="仿宋" w:eastAsia="仿宋" w:cs="仿宋"/>
                <w:color w:val="000000"/>
                <w:sz w:val="24"/>
              </w:rPr>
            </w:pPr>
          </w:p>
        </w:tc>
        <w:tc>
          <w:tcPr>
            <w:tcW w:w="658" w:type="pct"/>
            <w:vMerge w:val="continue"/>
            <w:tcBorders>
              <w:top w:val="nil"/>
              <w:left w:val="single" w:color="auto" w:sz="4" w:space="0"/>
              <w:bottom w:val="single" w:color="auto" w:sz="4" w:space="0"/>
              <w:right w:val="single" w:color="auto" w:sz="4" w:space="0"/>
            </w:tcBorders>
            <w:shd w:val="clear" w:color="auto" w:fill="auto"/>
            <w:noWrap/>
            <w:vAlign w:val="center"/>
          </w:tcPr>
          <w:p w14:paraId="11173275">
            <w:pPr>
              <w:jc w:val="center"/>
              <w:rPr>
                <w:rFonts w:hint="eastAsia" w:ascii="仿宋" w:hAnsi="仿宋" w:eastAsia="仿宋" w:cs="仿宋"/>
                <w:color w:val="000000"/>
                <w:sz w:val="24"/>
              </w:rPr>
            </w:pPr>
          </w:p>
        </w:tc>
        <w:tc>
          <w:tcPr>
            <w:tcW w:w="1186" w:type="pct"/>
            <w:tcBorders>
              <w:top w:val="nil"/>
              <w:left w:val="nil"/>
              <w:bottom w:val="single" w:color="auto" w:sz="4" w:space="0"/>
              <w:right w:val="single" w:color="auto" w:sz="4" w:space="0"/>
            </w:tcBorders>
            <w:shd w:val="clear" w:color="auto" w:fill="auto"/>
            <w:noWrap/>
            <w:vAlign w:val="center"/>
          </w:tcPr>
          <w:p w14:paraId="41F76288">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网格管理</w:t>
            </w:r>
          </w:p>
        </w:tc>
        <w:tc>
          <w:tcPr>
            <w:tcW w:w="392" w:type="pct"/>
            <w:tcBorders>
              <w:top w:val="nil"/>
              <w:left w:val="nil"/>
              <w:bottom w:val="single" w:color="auto" w:sz="4" w:space="0"/>
              <w:right w:val="single" w:color="auto" w:sz="4" w:space="0"/>
            </w:tcBorders>
            <w:shd w:val="clear" w:color="auto" w:fill="auto"/>
            <w:noWrap/>
            <w:vAlign w:val="center"/>
          </w:tcPr>
          <w:p w14:paraId="4A8BE5CE">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28CEF02E">
        <w:tblPrEx>
          <w:tblCellMar>
            <w:top w:w="0" w:type="dxa"/>
            <w:left w:w="108" w:type="dxa"/>
            <w:bottom w:w="0" w:type="dxa"/>
            <w:right w:w="108" w:type="dxa"/>
          </w:tblCellMar>
        </w:tblPrEx>
        <w:trPr>
          <w:trHeight w:val="405"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21D8E82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8</w:t>
            </w:r>
          </w:p>
        </w:tc>
        <w:tc>
          <w:tcPr>
            <w:tcW w:w="1450" w:type="pct"/>
            <w:vMerge w:val="continue"/>
            <w:tcBorders>
              <w:top w:val="nil"/>
              <w:left w:val="single" w:color="auto" w:sz="4" w:space="0"/>
              <w:bottom w:val="single" w:color="auto" w:sz="4" w:space="0"/>
              <w:right w:val="single" w:color="auto" w:sz="4" w:space="0"/>
            </w:tcBorders>
            <w:shd w:val="clear" w:color="auto" w:fill="auto"/>
            <w:noWrap/>
            <w:vAlign w:val="center"/>
          </w:tcPr>
          <w:p w14:paraId="194FDACB">
            <w:pPr>
              <w:jc w:val="center"/>
              <w:rPr>
                <w:rFonts w:hint="eastAsia" w:ascii="仿宋" w:hAnsi="仿宋" w:eastAsia="仿宋" w:cs="仿宋"/>
                <w:color w:val="000000"/>
                <w:sz w:val="24"/>
              </w:rPr>
            </w:pPr>
          </w:p>
        </w:tc>
        <w:tc>
          <w:tcPr>
            <w:tcW w:w="920" w:type="pct"/>
            <w:vMerge w:val="continue"/>
            <w:tcBorders>
              <w:top w:val="nil"/>
              <w:left w:val="single" w:color="auto" w:sz="4" w:space="0"/>
              <w:bottom w:val="single" w:color="auto" w:sz="4" w:space="0"/>
              <w:right w:val="single" w:color="auto" w:sz="4" w:space="0"/>
            </w:tcBorders>
            <w:shd w:val="clear" w:color="auto" w:fill="auto"/>
            <w:vAlign w:val="center"/>
          </w:tcPr>
          <w:p w14:paraId="27896C6C">
            <w:pPr>
              <w:jc w:val="center"/>
              <w:rPr>
                <w:rFonts w:hint="eastAsia" w:ascii="仿宋" w:hAnsi="仿宋" w:eastAsia="仿宋" w:cs="仿宋"/>
                <w:color w:val="000000"/>
                <w:sz w:val="24"/>
              </w:rPr>
            </w:pPr>
          </w:p>
        </w:tc>
        <w:tc>
          <w:tcPr>
            <w:tcW w:w="658" w:type="pct"/>
            <w:vMerge w:val="restart"/>
            <w:tcBorders>
              <w:top w:val="nil"/>
              <w:left w:val="single" w:color="auto" w:sz="4" w:space="0"/>
              <w:bottom w:val="single" w:color="auto" w:sz="4" w:space="0"/>
              <w:right w:val="single" w:color="auto" w:sz="4" w:space="0"/>
            </w:tcBorders>
            <w:shd w:val="clear" w:color="auto" w:fill="auto"/>
            <w:noWrap/>
            <w:vAlign w:val="center"/>
          </w:tcPr>
          <w:p w14:paraId="5E113A6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党建引领</w:t>
            </w:r>
          </w:p>
        </w:tc>
        <w:tc>
          <w:tcPr>
            <w:tcW w:w="1186" w:type="pct"/>
            <w:tcBorders>
              <w:top w:val="nil"/>
              <w:left w:val="nil"/>
              <w:bottom w:val="single" w:color="auto" w:sz="4" w:space="0"/>
              <w:right w:val="single" w:color="auto" w:sz="4" w:space="0"/>
            </w:tcBorders>
            <w:shd w:val="clear" w:color="auto" w:fill="auto"/>
            <w:noWrap/>
            <w:vAlign w:val="center"/>
          </w:tcPr>
          <w:p w14:paraId="55FB8DF0">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党组织管理</w:t>
            </w:r>
          </w:p>
        </w:tc>
        <w:tc>
          <w:tcPr>
            <w:tcW w:w="392" w:type="pct"/>
            <w:tcBorders>
              <w:top w:val="nil"/>
              <w:left w:val="nil"/>
              <w:bottom w:val="single" w:color="auto" w:sz="4" w:space="0"/>
              <w:right w:val="single" w:color="auto" w:sz="4" w:space="0"/>
            </w:tcBorders>
            <w:shd w:val="clear" w:color="auto" w:fill="auto"/>
            <w:noWrap/>
            <w:vAlign w:val="center"/>
          </w:tcPr>
          <w:p w14:paraId="2E811352">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301649C2">
        <w:tblPrEx>
          <w:tblCellMar>
            <w:top w:w="0" w:type="dxa"/>
            <w:left w:w="108" w:type="dxa"/>
            <w:bottom w:w="0" w:type="dxa"/>
            <w:right w:w="108" w:type="dxa"/>
          </w:tblCellMar>
        </w:tblPrEx>
        <w:trPr>
          <w:trHeight w:val="405"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25E0E1D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9</w:t>
            </w:r>
          </w:p>
        </w:tc>
        <w:tc>
          <w:tcPr>
            <w:tcW w:w="1450" w:type="pct"/>
            <w:vMerge w:val="continue"/>
            <w:tcBorders>
              <w:top w:val="nil"/>
              <w:left w:val="single" w:color="auto" w:sz="4" w:space="0"/>
              <w:bottom w:val="single" w:color="auto" w:sz="4" w:space="0"/>
              <w:right w:val="single" w:color="auto" w:sz="4" w:space="0"/>
            </w:tcBorders>
            <w:shd w:val="clear" w:color="auto" w:fill="auto"/>
            <w:noWrap/>
            <w:vAlign w:val="center"/>
          </w:tcPr>
          <w:p w14:paraId="3F43BEE1">
            <w:pPr>
              <w:jc w:val="center"/>
              <w:rPr>
                <w:rFonts w:hint="eastAsia" w:ascii="仿宋" w:hAnsi="仿宋" w:eastAsia="仿宋" w:cs="仿宋"/>
                <w:color w:val="000000"/>
                <w:sz w:val="24"/>
              </w:rPr>
            </w:pPr>
          </w:p>
        </w:tc>
        <w:tc>
          <w:tcPr>
            <w:tcW w:w="920" w:type="pct"/>
            <w:vMerge w:val="continue"/>
            <w:tcBorders>
              <w:top w:val="nil"/>
              <w:left w:val="single" w:color="auto" w:sz="4" w:space="0"/>
              <w:bottom w:val="single" w:color="auto" w:sz="4" w:space="0"/>
              <w:right w:val="single" w:color="auto" w:sz="4" w:space="0"/>
            </w:tcBorders>
            <w:shd w:val="clear" w:color="auto" w:fill="auto"/>
            <w:vAlign w:val="center"/>
          </w:tcPr>
          <w:p w14:paraId="24FEA12C">
            <w:pPr>
              <w:jc w:val="center"/>
              <w:rPr>
                <w:rFonts w:hint="eastAsia" w:ascii="仿宋" w:hAnsi="仿宋" w:eastAsia="仿宋" w:cs="仿宋"/>
                <w:color w:val="000000"/>
                <w:sz w:val="24"/>
              </w:rPr>
            </w:pPr>
          </w:p>
        </w:tc>
        <w:tc>
          <w:tcPr>
            <w:tcW w:w="658" w:type="pct"/>
            <w:vMerge w:val="continue"/>
            <w:tcBorders>
              <w:top w:val="nil"/>
              <w:left w:val="single" w:color="auto" w:sz="4" w:space="0"/>
              <w:bottom w:val="single" w:color="auto" w:sz="4" w:space="0"/>
              <w:right w:val="single" w:color="auto" w:sz="4" w:space="0"/>
            </w:tcBorders>
            <w:shd w:val="clear" w:color="auto" w:fill="auto"/>
            <w:noWrap/>
            <w:vAlign w:val="center"/>
          </w:tcPr>
          <w:p w14:paraId="5779C9E2">
            <w:pPr>
              <w:jc w:val="center"/>
              <w:rPr>
                <w:rFonts w:hint="eastAsia" w:ascii="仿宋" w:hAnsi="仿宋" w:eastAsia="仿宋" w:cs="仿宋"/>
                <w:color w:val="000000"/>
                <w:sz w:val="24"/>
              </w:rPr>
            </w:pPr>
          </w:p>
        </w:tc>
        <w:tc>
          <w:tcPr>
            <w:tcW w:w="1186" w:type="pct"/>
            <w:tcBorders>
              <w:top w:val="nil"/>
              <w:left w:val="nil"/>
              <w:bottom w:val="single" w:color="auto" w:sz="4" w:space="0"/>
              <w:right w:val="single" w:color="auto" w:sz="4" w:space="0"/>
            </w:tcBorders>
            <w:shd w:val="clear" w:color="auto" w:fill="auto"/>
            <w:noWrap/>
            <w:vAlign w:val="center"/>
          </w:tcPr>
          <w:p w14:paraId="7642C614">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党员信息管理</w:t>
            </w:r>
          </w:p>
        </w:tc>
        <w:tc>
          <w:tcPr>
            <w:tcW w:w="392" w:type="pct"/>
            <w:tcBorders>
              <w:top w:val="nil"/>
              <w:left w:val="nil"/>
              <w:bottom w:val="single" w:color="auto" w:sz="4" w:space="0"/>
              <w:right w:val="single" w:color="auto" w:sz="4" w:space="0"/>
            </w:tcBorders>
            <w:shd w:val="clear" w:color="auto" w:fill="auto"/>
            <w:noWrap/>
            <w:vAlign w:val="center"/>
          </w:tcPr>
          <w:p w14:paraId="7AB5EB71">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1AD2E083">
        <w:tblPrEx>
          <w:tblCellMar>
            <w:top w:w="0" w:type="dxa"/>
            <w:left w:w="108" w:type="dxa"/>
            <w:bottom w:w="0" w:type="dxa"/>
            <w:right w:w="108" w:type="dxa"/>
          </w:tblCellMar>
        </w:tblPrEx>
        <w:trPr>
          <w:trHeight w:val="405"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62186D1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w:t>
            </w:r>
          </w:p>
        </w:tc>
        <w:tc>
          <w:tcPr>
            <w:tcW w:w="1450" w:type="pct"/>
            <w:vMerge w:val="continue"/>
            <w:tcBorders>
              <w:top w:val="nil"/>
              <w:left w:val="single" w:color="auto" w:sz="4" w:space="0"/>
              <w:bottom w:val="single" w:color="auto" w:sz="4" w:space="0"/>
              <w:right w:val="single" w:color="auto" w:sz="4" w:space="0"/>
            </w:tcBorders>
            <w:shd w:val="clear" w:color="auto" w:fill="auto"/>
            <w:noWrap/>
            <w:vAlign w:val="center"/>
          </w:tcPr>
          <w:p w14:paraId="5E1F0957">
            <w:pPr>
              <w:jc w:val="center"/>
              <w:rPr>
                <w:rFonts w:hint="eastAsia" w:ascii="仿宋" w:hAnsi="仿宋" w:eastAsia="仿宋" w:cs="仿宋"/>
                <w:color w:val="000000"/>
                <w:sz w:val="24"/>
              </w:rPr>
            </w:pPr>
          </w:p>
        </w:tc>
        <w:tc>
          <w:tcPr>
            <w:tcW w:w="920" w:type="pct"/>
            <w:vMerge w:val="continue"/>
            <w:tcBorders>
              <w:top w:val="nil"/>
              <w:left w:val="single" w:color="auto" w:sz="4" w:space="0"/>
              <w:bottom w:val="single" w:color="auto" w:sz="4" w:space="0"/>
              <w:right w:val="single" w:color="auto" w:sz="4" w:space="0"/>
            </w:tcBorders>
            <w:shd w:val="clear" w:color="auto" w:fill="auto"/>
            <w:vAlign w:val="center"/>
          </w:tcPr>
          <w:p w14:paraId="67B62898">
            <w:pPr>
              <w:jc w:val="center"/>
              <w:rPr>
                <w:rFonts w:hint="eastAsia" w:ascii="仿宋" w:hAnsi="仿宋" w:eastAsia="仿宋" w:cs="仿宋"/>
                <w:color w:val="000000"/>
                <w:sz w:val="24"/>
              </w:rPr>
            </w:pPr>
          </w:p>
        </w:tc>
        <w:tc>
          <w:tcPr>
            <w:tcW w:w="658" w:type="pct"/>
            <w:vMerge w:val="continue"/>
            <w:tcBorders>
              <w:top w:val="nil"/>
              <w:left w:val="single" w:color="auto" w:sz="4" w:space="0"/>
              <w:bottom w:val="single" w:color="auto" w:sz="4" w:space="0"/>
              <w:right w:val="single" w:color="auto" w:sz="4" w:space="0"/>
            </w:tcBorders>
            <w:shd w:val="clear" w:color="auto" w:fill="auto"/>
            <w:noWrap/>
            <w:vAlign w:val="center"/>
          </w:tcPr>
          <w:p w14:paraId="52402ED4">
            <w:pPr>
              <w:jc w:val="center"/>
              <w:rPr>
                <w:rFonts w:hint="eastAsia" w:ascii="仿宋" w:hAnsi="仿宋" w:eastAsia="仿宋" w:cs="仿宋"/>
                <w:color w:val="000000"/>
                <w:sz w:val="24"/>
              </w:rPr>
            </w:pPr>
          </w:p>
        </w:tc>
        <w:tc>
          <w:tcPr>
            <w:tcW w:w="1186" w:type="pct"/>
            <w:tcBorders>
              <w:top w:val="nil"/>
              <w:left w:val="nil"/>
              <w:bottom w:val="single" w:color="auto" w:sz="4" w:space="0"/>
              <w:right w:val="single" w:color="auto" w:sz="4" w:space="0"/>
            </w:tcBorders>
            <w:shd w:val="clear" w:color="auto" w:fill="auto"/>
            <w:noWrap/>
            <w:vAlign w:val="center"/>
          </w:tcPr>
          <w:p w14:paraId="03514C2B">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党务公开</w:t>
            </w:r>
          </w:p>
        </w:tc>
        <w:tc>
          <w:tcPr>
            <w:tcW w:w="392" w:type="pct"/>
            <w:tcBorders>
              <w:top w:val="nil"/>
              <w:left w:val="nil"/>
              <w:bottom w:val="single" w:color="auto" w:sz="4" w:space="0"/>
              <w:right w:val="single" w:color="auto" w:sz="4" w:space="0"/>
            </w:tcBorders>
            <w:shd w:val="clear" w:color="auto" w:fill="auto"/>
            <w:noWrap/>
            <w:vAlign w:val="center"/>
          </w:tcPr>
          <w:p w14:paraId="60E3B63B">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7E2993E0">
        <w:tblPrEx>
          <w:tblCellMar>
            <w:top w:w="0" w:type="dxa"/>
            <w:left w:w="108" w:type="dxa"/>
            <w:bottom w:w="0" w:type="dxa"/>
            <w:right w:w="108" w:type="dxa"/>
          </w:tblCellMar>
        </w:tblPrEx>
        <w:trPr>
          <w:trHeight w:val="405"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26FBBB5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11</w:t>
            </w:r>
          </w:p>
        </w:tc>
        <w:tc>
          <w:tcPr>
            <w:tcW w:w="1450" w:type="pct"/>
            <w:vMerge w:val="continue"/>
            <w:tcBorders>
              <w:top w:val="nil"/>
              <w:left w:val="single" w:color="auto" w:sz="4" w:space="0"/>
              <w:bottom w:val="single" w:color="auto" w:sz="4" w:space="0"/>
              <w:right w:val="single" w:color="auto" w:sz="4" w:space="0"/>
            </w:tcBorders>
            <w:shd w:val="clear" w:color="auto" w:fill="auto"/>
            <w:noWrap/>
            <w:vAlign w:val="center"/>
          </w:tcPr>
          <w:p w14:paraId="224F93FD">
            <w:pPr>
              <w:jc w:val="center"/>
              <w:rPr>
                <w:rFonts w:hint="eastAsia" w:ascii="仿宋" w:hAnsi="仿宋" w:eastAsia="仿宋" w:cs="仿宋"/>
                <w:color w:val="000000"/>
                <w:sz w:val="24"/>
              </w:rPr>
            </w:pPr>
          </w:p>
        </w:tc>
        <w:tc>
          <w:tcPr>
            <w:tcW w:w="920" w:type="pct"/>
            <w:vMerge w:val="continue"/>
            <w:tcBorders>
              <w:top w:val="nil"/>
              <w:left w:val="single" w:color="auto" w:sz="4" w:space="0"/>
              <w:bottom w:val="single" w:color="auto" w:sz="4" w:space="0"/>
              <w:right w:val="single" w:color="auto" w:sz="4" w:space="0"/>
            </w:tcBorders>
            <w:shd w:val="clear" w:color="auto" w:fill="auto"/>
            <w:vAlign w:val="center"/>
          </w:tcPr>
          <w:p w14:paraId="61ED0309">
            <w:pPr>
              <w:jc w:val="center"/>
              <w:rPr>
                <w:rFonts w:hint="eastAsia" w:ascii="仿宋" w:hAnsi="仿宋" w:eastAsia="仿宋" w:cs="仿宋"/>
                <w:color w:val="000000"/>
                <w:sz w:val="24"/>
              </w:rPr>
            </w:pPr>
          </w:p>
        </w:tc>
        <w:tc>
          <w:tcPr>
            <w:tcW w:w="658" w:type="pct"/>
            <w:vMerge w:val="continue"/>
            <w:tcBorders>
              <w:top w:val="nil"/>
              <w:left w:val="single" w:color="auto" w:sz="4" w:space="0"/>
              <w:bottom w:val="single" w:color="auto" w:sz="4" w:space="0"/>
              <w:right w:val="single" w:color="auto" w:sz="4" w:space="0"/>
            </w:tcBorders>
            <w:shd w:val="clear" w:color="auto" w:fill="auto"/>
            <w:noWrap/>
            <w:vAlign w:val="center"/>
          </w:tcPr>
          <w:p w14:paraId="5C9A5DF7">
            <w:pPr>
              <w:jc w:val="center"/>
              <w:rPr>
                <w:rFonts w:hint="eastAsia" w:ascii="仿宋" w:hAnsi="仿宋" w:eastAsia="仿宋" w:cs="仿宋"/>
                <w:color w:val="000000"/>
                <w:sz w:val="24"/>
              </w:rPr>
            </w:pPr>
          </w:p>
        </w:tc>
        <w:tc>
          <w:tcPr>
            <w:tcW w:w="1186" w:type="pct"/>
            <w:tcBorders>
              <w:top w:val="nil"/>
              <w:left w:val="nil"/>
              <w:bottom w:val="single" w:color="auto" w:sz="4" w:space="0"/>
              <w:right w:val="single" w:color="auto" w:sz="4" w:space="0"/>
            </w:tcBorders>
            <w:shd w:val="clear" w:color="auto" w:fill="auto"/>
            <w:noWrap/>
            <w:vAlign w:val="center"/>
          </w:tcPr>
          <w:p w14:paraId="2913A393">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党建动态</w:t>
            </w:r>
          </w:p>
        </w:tc>
        <w:tc>
          <w:tcPr>
            <w:tcW w:w="392" w:type="pct"/>
            <w:tcBorders>
              <w:top w:val="nil"/>
              <w:left w:val="nil"/>
              <w:bottom w:val="single" w:color="auto" w:sz="4" w:space="0"/>
              <w:right w:val="single" w:color="auto" w:sz="4" w:space="0"/>
            </w:tcBorders>
            <w:shd w:val="clear" w:color="auto" w:fill="auto"/>
            <w:noWrap/>
            <w:vAlign w:val="center"/>
          </w:tcPr>
          <w:p w14:paraId="717705E2">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28866A03">
        <w:tblPrEx>
          <w:tblCellMar>
            <w:top w:w="0" w:type="dxa"/>
            <w:left w:w="108" w:type="dxa"/>
            <w:bottom w:w="0" w:type="dxa"/>
            <w:right w:w="108" w:type="dxa"/>
          </w:tblCellMar>
        </w:tblPrEx>
        <w:trPr>
          <w:trHeight w:val="405"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1C1B046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12</w:t>
            </w:r>
          </w:p>
        </w:tc>
        <w:tc>
          <w:tcPr>
            <w:tcW w:w="1450" w:type="pct"/>
            <w:vMerge w:val="continue"/>
            <w:tcBorders>
              <w:top w:val="nil"/>
              <w:left w:val="single" w:color="auto" w:sz="4" w:space="0"/>
              <w:bottom w:val="single" w:color="auto" w:sz="4" w:space="0"/>
              <w:right w:val="single" w:color="auto" w:sz="4" w:space="0"/>
            </w:tcBorders>
            <w:shd w:val="clear" w:color="auto" w:fill="auto"/>
            <w:noWrap/>
            <w:vAlign w:val="center"/>
          </w:tcPr>
          <w:p w14:paraId="53854314">
            <w:pPr>
              <w:jc w:val="center"/>
              <w:rPr>
                <w:rFonts w:hint="eastAsia" w:ascii="仿宋" w:hAnsi="仿宋" w:eastAsia="仿宋" w:cs="仿宋"/>
                <w:color w:val="000000"/>
                <w:sz w:val="24"/>
              </w:rPr>
            </w:pPr>
          </w:p>
        </w:tc>
        <w:tc>
          <w:tcPr>
            <w:tcW w:w="920" w:type="pct"/>
            <w:vMerge w:val="continue"/>
            <w:tcBorders>
              <w:top w:val="nil"/>
              <w:left w:val="single" w:color="auto" w:sz="4" w:space="0"/>
              <w:bottom w:val="single" w:color="auto" w:sz="4" w:space="0"/>
              <w:right w:val="single" w:color="auto" w:sz="4" w:space="0"/>
            </w:tcBorders>
            <w:shd w:val="clear" w:color="auto" w:fill="auto"/>
            <w:vAlign w:val="center"/>
          </w:tcPr>
          <w:p w14:paraId="3A6B37AC">
            <w:pPr>
              <w:jc w:val="center"/>
              <w:rPr>
                <w:rFonts w:hint="eastAsia" w:ascii="仿宋" w:hAnsi="仿宋" w:eastAsia="仿宋" w:cs="仿宋"/>
                <w:color w:val="000000"/>
                <w:sz w:val="24"/>
              </w:rPr>
            </w:pPr>
          </w:p>
        </w:tc>
        <w:tc>
          <w:tcPr>
            <w:tcW w:w="658" w:type="pct"/>
            <w:tcBorders>
              <w:top w:val="single" w:color="auto" w:sz="4" w:space="0"/>
              <w:left w:val="nil"/>
              <w:bottom w:val="single" w:color="auto" w:sz="4" w:space="0"/>
              <w:right w:val="single" w:color="auto" w:sz="4" w:space="0"/>
            </w:tcBorders>
            <w:shd w:val="clear" w:color="auto" w:fill="auto"/>
            <w:noWrap/>
            <w:vAlign w:val="center"/>
          </w:tcPr>
          <w:p w14:paraId="3E43A06B">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视频监控</w:t>
            </w:r>
          </w:p>
        </w:tc>
        <w:tc>
          <w:tcPr>
            <w:tcW w:w="1186" w:type="pct"/>
            <w:tcBorders>
              <w:top w:val="single" w:color="auto" w:sz="4" w:space="0"/>
              <w:left w:val="nil"/>
              <w:bottom w:val="single" w:color="auto" w:sz="4" w:space="0"/>
              <w:right w:val="single" w:color="auto" w:sz="4" w:space="0"/>
            </w:tcBorders>
            <w:shd w:val="clear" w:color="auto" w:fill="auto"/>
            <w:noWrap/>
            <w:vAlign w:val="center"/>
          </w:tcPr>
          <w:p w14:paraId="436E0808">
            <w:pPr>
              <w:widowControl/>
              <w:jc w:val="center"/>
              <w:textAlignment w:val="top"/>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视频监控</w:t>
            </w:r>
          </w:p>
        </w:tc>
        <w:tc>
          <w:tcPr>
            <w:tcW w:w="392" w:type="pct"/>
            <w:tcBorders>
              <w:top w:val="nil"/>
              <w:left w:val="nil"/>
              <w:bottom w:val="single" w:color="auto" w:sz="4" w:space="0"/>
              <w:right w:val="single" w:color="auto" w:sz="4" w:space="0"/>
            </w:tcBorders>
            <w:shd w:val="clear" w:color="auto" w:fill="auto"/>
            <w:noWrap/>
            <w:vAlign w:val="center"/>
          </w:tcPr>
          <w:p w14:paraId="6F36E89B">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0AB96D4D">
        <w:tblPrEx>
          <w:tblCellMar>
            <w:top w:w="0" w:type="dxa"/>
            <w:left w:w="108" w:type="dxa"/>
            <w:bottom w:w="0" w:type="dxa"/>
            <w:right w:w="108" w:type="dxa"/>
          </w:tblCellMar>
        </w:tblPrEx>
        <w:trPr>
          <w:trHeight w:val="405"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479DB78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13</w:t>
            </w:r>
          </w:p>
        </w:tc>
        <w:tc>
          <w:tcPr>
            <w:tcW w:w="145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8977A7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乡村数据看板</w:t>
            </w:r>
          </w:p>
        </w:tc>
        <w:tc>
          <w:tcPr>
            <w:tcW w:w="92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642ADDB">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乡村数据看板</w:t>
            </w:r>
          </w:p>
        </w:tc>
        <w:tc>
          <w:tcPr>
            <w:tcW w:w="658" w:type="pct"/>
            <w:vMerge w:val="restart"/>
            <w:tcBorders>
              <w:top w:val="nil"/>
              <w:left w:val="single" w:color="auto" w:sz="4" w:space="0"/>
              <w:bottom w:val="single" w:color="auto" w:sz="4" w:space="0"/>
              <w:right w:val="single" w:color="auto" w:sz="4" w:space="0"/>
            </w:tcBorders>
            <w:shd w:val="clear" w:color="auto" w:fill="auto"/>
            <w:noWrap/>
            <w:vAlign w:val="center"/>
          </w:tcPr>
          <w:p w14:paraId="371476F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印象</w:t>
            </w:r>
          </w:p>
        </w:tc>
        <w:tc>
          <w:tcPr>
            <w:tcW w:w="1186" w:type="pct"/>
            <w:tcBorders>
              <w:top w:val="nil"/>
              <w:left w:val="nil"/>
              <w:bottom w:val="single" w:color="auto" w:sz="4" w:space="0"/>
              <w:right w:val="single" w:color="auto" w:sz="4" w:space="0"/>
            </w:tcBorders>
            <w:shd w:val="clear" w:color="auto" w:fill="auto"/>
            <w:noWrap/>
            <w:vAlign w:val="center"/>
          </w:tcPr>
          <w:p w14:paraId="272585E1">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领导班子</w:t>
            </w:r>
          </w:p>
        </w:tc>
        <w:tc>
          <w:tcPr>
            <w:tcW w:w="392" w:type="pct"/>
            <w:tcBorders>
              <w:top w:val="nil"/>
              <w:left w:val="nil"/>
              <w:bottom w:val="single" w:color="auto" w:sz="4" w:space="0"/>
              <w:right w:val="single" w:color="auto" w:sz="4" w:space="0"/>
            </w:tcBorders>
            <w:shd w:val="clear" w:color="auto" w:fill="auto"/>
            <w:noWrap/>
            <w:vAlign w:val="center"/>
          </w:tcPr>
          <w:p w14:paraId="658DC487">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0B632E94">
        <w:tblPrEx>
          <w:tblCellMar>
            <w:top w:w="0" w:type="dxa"/>
            <w:left w:w="108" w:type="dxa"/>
            <w:bottom w:w="0" w:type="dxa"/>
            <w:right w:w="108" w:type="dxa"/>
          </w:tblCellMar>
        </w:tblPrEx>
        <w:trPr>
          <w:trHeight w:val="405"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06A2D8E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14</w:t>
            </w:r>
          </w:p>
        </w:tc>
        <w:tc>
          <w:tcPr>
            <w:tcW w:w="145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68A72F">
            <w:pPr>
              <w:jc w:val="center"/>
              <w:rPr>
                <w:rFonts w:hint="eastAsia" w:ascii="仿宋" w:hAnsi="仿宋" w:eastAsia="仿宋" w:cs="仿宋"/>
                <w:color w:val="000000"/>
                <w:sz w:val="24"/>
              </w:rPr>
            </w:pPr>
          </w:p>
        </w:tc>
        <w:tc>
          <w:tcPr>
            <w:tcW w:w="92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E27A8F">
            <w:pPr>
              <w:jc w:val="center"/>
              <w:rPr>
                <w:rFonts w:hint="eastAsia" w:ascii="仿宋" w:hAnsi="仿宋" w:eastAsia="仿宋" w:cs="仿宋"/>
                <w:color w:val="000000"/>
                <w:sz w:val="24"/>
              </w:rPr>
            </w:pPr>
          </w:p>
        </w:tc>
        <w:tc>
          <w:tcPr>
            <w:tcW w:w="658" w:type="pct"/>
            <w:vMerge w:val="continue"/>
            <w:tcBorders>
              <w:top w:val="nil"/>
              <w:left w:val="single" w:color="auto" w:sz="4" w:space="0"/>
              <w:bottom w:val="single" w:color="auto" w:sz="4" w:space="0"/>
              <w:right w:val="single" w:color="auto" w:sz="4" w:space="0"/>
            </w:tcBorders>
            <w:shd w:val="clear" w:color="auto" w:fill="auto"/>
            <w:noWrap/>
            <w:vAlign w:val="center"/>
          </w:tcPr>
          <w:p w14:paraId="40849A8A">
            <w:pPr>
              <w:jc w:val="center"/>
              <w:rPr>
                <w:rFonts w:hint="eastAsia" w:ascii="仿宋" w:hAnsi="仿宋" w:eastAsia="仿宋" w:cs="仿宋"/>
                <w:color w:val="000000"/>
                <w:sz w:val="24"/>
              </w:rPr>
            </w:pPr>
          </w:p>
        </w:tc>
        <w:tc>
          <w:tcPr>
            <w:tcW w:w="1186" w:type="pct"/>
            <w:tcBorders>
              <w:top w:val="nil"/>
              <w:left w:val="nil"/>
              <w:bottom w:val="single" w:color="auto" w:sz="4" w:space="0"/>
              <w:right w:val="single" w:color="auto" w:sz="4" w:space="0"/>
            </w:tcBorders>
            <w:shd w:val="clear" w:color="auto" w:fill="auto"/>
            <w:noWrap/>
            <w:vAlign w:val="center"/>
          </w:tcPr>
          <w:p w14:paraId="3A296AC3">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一户一码</w:t>
            </w:r>
          </w:p>
        </w:tc>
        <w:tc>
          <w:tcPr>
            <w:tcW w:w="392" w:type="pct"/>
            <w:tcBorders>
              <w:top w:val="nil"/>
              <w:left w:val="nil"/>
              <w:bottom w:val="single" w:color="auto" w:sz="4" w:space="0"/>
              <w:right w:val="single" w:color="auto" w:sz="4" w:space="0"/>
            </w:tcBorders>
            <w:shd w:val="clear" w:color="auto" w:fill="auto"/>
            <w:noWrap/>
            <w:vAlign w:val="center"/>
          </w:tcPr>
          <w:p w14:paraId="61F19161">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6EF296BF">
        <w:tblPrEx>
          <w:tblCellMar>
            <w:top w:w="0" w:type="dxa"/>
            <w:left w:w="108" w:type="dxa"/>
            <w:bottom w:w="0" w:type="dxa"/>
            <w:right w:w="108" w:type="dxa"/>
          </w:tblCellMar>
        </w:tblPrEx>
        <w:trPr>
          <w:trHeight w:val="405"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76FE8C4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15</w:t>
            </w:r>
          </w:p>
        </w:tc>
        <w:tc>
          <w:tcPr>
            <w:tcW w:w="145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594A14">
            <w:pPr>
              <w:jc w:val="center"/>
              <w:rPr>
                <w:rFonts w:hint="eastAsia" w:ascii="仿宋" w:hAnsi="仿宋" w:eastAsia="仿宋" w:cs="仿宋"/>
                <w:color w:val="000000"/>
                <w:sz w:val="24"/>
              </w:rPr>
            </w:pPr>
          </w:p>
        </w:tc>
        <w:tc>
          <w:tcPr>
            <w:tcW w:w="92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7BAE84">
            <w:pPr>
              <w:jc w:val="center"/>
              <w:rPr>
                <w:rFonts w:hint="eastAsia" w:ascii="仿宋" w:hAnsi="仿宋" w:eastAsia="仿宋" w:cs="仿宋"/>
                <w:color w:val="000000"/>
                <w:sz w:val="24"/>
              </w:rPr>
            </w:pPr>
          </w:p>
        </w:tc>
        <w:tc>
          <w:tcPr>
            <w:tcW w:w="658" w:type="pct"/>
            <w:vMerge w:val="continue"/>
            <w:tcBorders>
              <w:top w:val="nil"/>
              <w:left w:val="single" w:color="auto" w:sz="4" w:space="0"/>
              <w:bottom w:val="single" w:color="auto" w:sz="4" w:space="0"/>
              <w:right w:val="single" w:color="auto" w:sz="4" w:space="0"/>
            </w:tcBorders>
            <w:shd w:val="clear" w:color="auto" w:fill="auto"/>
            <w:noWrap/>
            <w:vAlign w:val="center"/>
          </w:tcPr>
          <w:p w14:paraId="3DE2E235">
            <w:pPr>
              <w:jc w:val="center"/>
              <w:rPr>
                <w:rFonts w:hint="eastAsia" w:ascii="仿宋" w:hAnsi="仿宋" w:eastAsia="仿宋" w:cs="仿宋"/>
                <w:color w:val="000000"/>
                <w:sz w:val="24"/>
              </w:rPr>
            </w:pPr>
          </w:p>
        </w:tc>
        <w:tc>
          <w:tcPr>
            <w:tcW w:w="1186" w:type="pct"/>
            <w:tcBorders>
              <w:top w:val="nil"/>
              <w:left w:val="nil"/>
              <w:bottom w:val="single" w:color="auto" w:sz="4" w:space="0"/>
              <w:right w:val="single" w:color="auto" w:sz="4" w:space="0"/>
            </w:tcBorders>
            <w:shd w:val="clear" w:color="auto" w:fill="auto"/>
            <w:noWrap/>
            <w:vAlign w:val="center"/>
          </w:tcPr>
          <w:p w14:paraId="440CE671">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人口年龄结构</w:t>
            </w:r>
          </w:p>
        </w:tc>
        <w:tc>
          <w:tcPr>
            <w:tcW w:w="392" w:type="pct"/>
            <w:tcBorders>
              <w:top w:val="nil"/>
              <w:left w:val="nil"/>
              <w:bottom w:val="single" w:color="auto" w:sz="4" w:space="0"/>
              <w:right w:val="single" w:color="auto" w:sz="4" w:space="0"/>
            </w:tcBorders>
            <w:shd w:val="clear" w:color="auto" w:fill="auto"/>
            <w:noWrap/>
            <w:vAlign w:val="center"/>
          </w:tcPr>
          <w:p w14:paraId="3DF15910">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2F5D0F01">
        <w:tblPrEx>
          <w:tblCellMar>
            <w:top w:w="0" w:type="dxa"/>
            <w:left w:w="108" w:type="dxa"/>
            <w:bottom w:w="0" w:type="dxa"/>
            <w:right w:w="108" w:type="dxa"/>
          </w:tblCellMar>
        </w:tblPrEx>
        <w:trPr>
          <w:trHeight w:val="405"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6B8E18B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16</w:t>
            </w:r>
          </w:p>
        </w:tc>
        <w:tc>
          <w:tcPr>
            <w:tcW w:w="145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572415">
            <w:pPr>
              <w:jc w:val="center"/>
              <w:rPr>
                <w:rFonts w:hint="eastAsia" w:ascii="仿宋" w:hAnsi="仿宋" w:eastAsia="仿宋" w:cs="仿宋"/>
                <w:color w:val="000000"/>
                <w:sz w:val="24"/>
              </w:rPr>
            </w:pPr>
          </w:p>
        </w:tc>
        <w:tc>
          <w:tcPr>
            <w:tcW w:w="92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10205B">
            <w:pPr>
              <w:jc w:val="center"/>
              <w:rPr>
                <w:rFonts w:hint="eastAsia" w:ascii="仿宋" w:hAnsi="仿宋" w:eastAsia="仿宋" w:cs="仿宋"/>
                <w:color w:val="000000"/>
                <w:sz w:val="24"/>
              </w:rPr>
            </w:pPr>
          </w:p>
        </w:tc>
        <w:tc>
          <w:tcPr>
            <w:tcW w:w="658" w:type="pct"/>
            <w:vMerge w:val="continue"/>
            <w:tcBorders>
              <w:top w:val="nil"/>
              <w:left w:val="single" w:color="auto" w:sz="4" w:space="0"/>
              <w:bottom w:val="single" w:color="auto" w:sz="4" w:space="0"/>
              <w:right w:val="single" w:color="auto" w:sz="4" w:space="0"/>
            </w:tcBorders>
            <w:shd w:val="clear" w:color="auto" w:fill="auto"/>
            <w:noWrap/>
            <w:vAlign w:val="center"/>
          </w:tcPr>
          <w:p w14:paraId="74B61E05">
            <w:pPr>
              <w:jc w:val="center"/>
              <w:rPr>
                <w:rFonts w:hint="eastAsia" w:ascii="仿宋" w:hAnsi="仿宋" w:eastAsia="仿宋" w:cs="仿宋"/>
                <w:color w:val="000000"/>
                <w:sz w:val="24"/>
              </w:rPr>
            </w:pPr>
          </w:p>
        </w:tc>
        <w:tc>
          <w:tcPr>
            <w:tcW w:w="1186" w:type="pct"/>
            <w:tcBorders>
              <w:top w:val="nil"/>
              <w:left w:val="nil"/>
              <w:bottom w:val="single" w:color="auto" w:sz="4" w:space="0"/>
              <w:right w:val="single" w:color="auto" w:sz="4" w:space="0"/>
            </w:tcBorders>
            <w:shd w:val="clear" w:color="auto" w:fill="auto"/>
            <w:noWrap/>
            <w:vAlign w:val="center"/>
          </w:tcPr>
          <w:p w14:paraId="09AA934A">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村简介</w:t>
            </w:r>
          </w:p>
        </w:tc>
        <w:tc>
          <w:tcPr>
            <w:tcW w:w="392" w:type="pct"/>
            <w:tcBorders>
              <w:top w:val="nil"/>
              <w:left w:val="nil"/>
              <w:bottom w:val="single" w:color="auto" w:sz="4" w:space="0"/>
              <w:right w:val="single" w:color="auto" w:sz="4" w:space="0"/>
            </w:tcBorders>
            <w:shd w:val="clear" w:color="auto" w:fill="auto"/>
            <w:noWrap/>
            <w:vAlign w:val="center"/>
          </w:tcPr>
          <w:p w14:paraId="6FE13FE4">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12FEE445">
        <w:tblPrEx>
          <w:tblCellMar>
            <w:top w:w="0" w:type="dxa"/>
            <w:left w:w="108" w:type="dxa"/>
            <w:bottom w:w="0" w:type="dxa"/>
            <w:right w:w="108" w:type="dxa"/>
          </w:tblCellMar>
        </w:tblPrEx>
        <w:trPr>
          <w:trHeight w:val="405"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201578E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17</w:t>
            </w:r>
          </w:p>
        </w:tc>
        <w:tc>
          <w:tcPr>
            <w:tcW w:w="145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CBD9BB">
            <w:pPr>
              <w:jc w:val="center"/>
              <w:rPr>
                <w:rFonts w:hint="eastAsia" w:ascii="仿宋" w:hAnsi="仿宋" w:eastAsia="仿宋" w:cs="仿宋"/>
                <w:color w:val="000000"/>
                <w:sz w:val="24"/>
              </w:rPr>
            </w:pPr>
          </w:p>
        </w:tc>
        <w:tc>
          <w:tcPr>
            <w:tcW w:w="92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6CD465">
            <w:pPr>
              <w:jc w:val="center"/>
              <w:rPr>
                <w:rFonts w:hint="eastAsia" w:ascii="仿宋" w:hAnsi="仿宋" w:eastAsia="仿宋" w:cs="仿宋"/>
                <w:color w:val="000000"/>
                <w:sz w:val="24"/>
              </w:rPr>
            </w:pPr>
          </w:p>
        </w:tc>
        <w:tc>
          <w:tcPr>
            <w:tcW w:w="658" w:type="pct"/>
            <w:vMerge w:val="continue"/>
            <w:tcBorders>
              <w:top w:val="nil"/>
              <w:left w:val="single" w:color="auto" w:sz="4" w:space="0"/>
              <w:bottom w:val="single" w:color="auto" w:sz="4" w:space="0"/>
              <w:right w:val="single" w:color="auto" w:sz="4" w:space="0"/>
            </w:tcBorders>
            <w:shd w:val="clear" w:color="auto" w:fill="auto"/>
            <w:noWrap/>
            <w:vAlign w:val="center"/>
          </w:tcPr>
          <w:p w14:paraId="171CEB1B">
            <w:pPr>
              <w:jc w:val="center"/>
              <w:rPr>
                <w:rFonts w:hint="eastAsia" w:ascii="仿宋" w:hAnsi="仿宋" w:eastAsia="仿宋" w:cs="仿宋"/>
                <w:color w:val="000000"/>
                <w:sz w:val="24"/>
              </w:rPr>
            </w:pPr>
          </w:p>
        </w:tc>
        <w:tc>
          <w:tcPr>
            <w:tcW w:w="1186" w:type="pct"/>
            <w:tcBorders>
              <w:top w:val="nil"/>
              <w:left w:val="nil"/>
              <w:bottom w:val="single" w:color="auto" w:sz="4" w:space="0"/>
              <w:right w:val="single" w:color="auto" w:sz="4" w:space="0"/>
            </w:tcBorders>
            <w:shd w:val="clear" w:color="auto" w:fill="auto"/>
            <w:noWrap/>
            <w:vAlign w:val="center"/>
          </w:tcPr>
          <w:p w14:paraId="4B741811">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村务、财务公开</w:t>
            </w:r>
          </w:p>
        </w:tc>
        <w:tc>
          <w:tcPr>
            <w:tcW w:w="392" w:type="pct"/>
            <w:tcBorders>
              <w:top w:val="nil"/>
              <w:left w:val="nil"/>
              <w:bottom w:val="single" w:color="auto" w:sz="4" w:space="0"/>
              <w:right w:val="single" w:color="auto" w:sz="4" w:space="0"/>
            </w:tcBorders>
            <w:shd w:val="clear" w:color="auto" w:fill="auto"/>
            <w:noWrap/>
            <w:vAlign w:val="center"/>
          </w:tcPr>
          <w:p w14:paraId="3FCC12ED">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1C6C2ADD">
        <w:tblPrEx>
          <w:tblCellMar>
            <w:top w:w="0" w:type="dxa"/>
            <w:left w:w="108" w:type="dxa"/>
            <w:bottom w:w="0" w:type="dxa"/>
            <w:right w:w="108" w:type="dxa"/>
          </w:tblCellMar>
        </w:tblPrEx>
        <w:trPr>
          <w:trHeight w:val="405"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5787DA3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18</w:t>
            </w:r>
          </w:p>
        </w:tc>
        <w:tc>
          <w:tcPr>
            <w:tcW w:w="145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CA93AC">
            <w:pPr>
              <w:jc w:val="center"/>
              <w:rPr>
                <w:rFonts w:hint="eastAsia" w:ascii="仿宋" w:hAnsi="仿宋" w:eastAsia="仿宋" w:cs="仿宋"/>
                <w:color w:val="000000"/>
                <w:sz w:val="24"/>
              </w:rPr>
            </w:pPr>
          </w:p>
        </w:tc>
        <w:tc>
          <w:tcPr>
            <w:tcW w:w="92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8FE95B">
            <w:pPr>
              <w:jc w:val="center"/>
              <w:rPr>
                <w:rFonts w:hint="eastAsia" w:ascii="仿宋" w:hAnsi="仿宋" w:eastAsia="仿宋" w:cs="仿宋"/>
                <w:color w:val="000000"/>
                <w:sz w:val="24"/>
              </w:rPr>
            </w:pPr>
          </w:p>
        </w:tc>
        <w:tc>
          <w:tcPr>
            <w:tcW w:w="658" w:type="pct"/>
            <w:vMerge w:val="continue"/>
            <w:tcBorders>
              <w:top w:val="nil"/>
              <w:left w:val="single" w:color="auto" w:sz="4" w:space="0"/>
              <w:bottom w:val="single" w:color="auto" w:sz="4" w:space="0"/>
              <w:right w:val="single" w:color="auto" w:sz="4" w:space="0"/>
            </w:tcBorders>
            <w:shd w:val="clear" w:color="auto" w:fill="auto"/>
            <w:noWrap/>
            <w:vAlign w:val="center"/>
          </w:tcPr>
          <w:p w14:paraId="62F8008D">
            <w:pPr>
              <w:jc w:val="center"/>
              <w:rPr>
                <w:rFonts w:hint="eastAsia" w:ascii="仿宋" w:hAnsi="仿宋" w:eastAsia="仿宋" w:cs="仿宋"/>
                <w:color w:val="000000"/>
                <w:sz w:val="24"/>
              </w:rPr>
            </w:pPr>
          </w:p>
        </w:tc>
        <w:tc>
          <w:tcPr>
            <w:tcW w:w="1186" w:type="pct"/>
            <w:tcBorders>
              <w:top w:val="nil"/>
              <w:left w:val="nil"/>
              <w:bottom w:val="single" w:color="auto" w:sz="4" w:space="0"/>
              <w:right w:val="single" w:color="auto" w:sz="4" w:space="0"/>
            </w:tcBorders>
            <w:shd w:val="clear" w:color="auto" w:fill="auto"/>
            <w:noWrap/>
            <w:vAlign w:val="center"/>
          </w:tcPr>
          <w:p w14:paraId="5F3A1FC6">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配套设施点位</w:t>
            </w:r>
          </w:p>
        </w:tc>
        <w:tc>
          <w:tcPr>
            <w:tcW w:w="392" w:type="pct"/>
            <w:tcBorders>
              <w:top w:val="nil"/>
              <w:left w:val="nil"/>
              <w:bottom w:val="single" w:color="auto" w:sz="4" w:space="0"/>
              <w:right w:val="single" w:color="auto" w:sz="4" w:space="0"/>
            </w:tcBorders>
            <w:shd w:val="clear" w:color="auto" w:fill="auto"/>
            <w:noWrap/>
            <w:vAlign w:val="center"/>
          </w:tcPr>
          <w:p w14:paraId="53E1E71D">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6985A3CE">
        <w:tblPrEx>
          <w:tblCellMar>
            <w:top w:w="0" w:type="dxa"/>
            <w:left w:w="108" w:type="dxa"/>
            <w:bottom w:w="0" w:type="dxa"/>
            <w:right w:w="108" w:type="dxa"/>
          </w:tblCellMar>
        </w:tblPrEx>
        <w:trPr>
          <w:trHeight w:val="405"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7CB5264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19</w:t>
            </w:r>
          </w:p>
        </w:tc>
        <w:tc>
          <w:tcPr>
            <w:tcW w:w="145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89F191">
            <w:pPr>
              <w:jc w:val="center"/>
              <w:rPr>
                <w:rFonts w:hint="eastAsia" w:ascii="仿宋" w:hAnsi="仿宋" w:eastAsia="仿宋" w:cs="仿宋"/>
                <w:color w:val="000000"/>
                <w:sz w:val="24"/>
              </w:rPr>
            </w:pPr>
          </w:p>
        </w:tc>
        <w:tc>
          <w:tcPr>
            <w:tcW w:w="92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05330C">
            <w:pPr>
              <w:jc w:val="center"/>
              <w:rPr>
                <w:rFonts w:hint="eastAsia" w:ascii="仿宋" w:hAnsi="仿宋" w:eastAsia="仿宋" w:cs="仿宋"/>
                <w:color w:val="000000"/>
                <w:sz w:val="24"/>
              </w:rPr>
            </w:pPr>
          </w:p>
        </w:tc>
        <w:tc>
          <w:tcPr>
            <w:tcW w:w="658" w:type="pct"/>
            <w:vMerge w:val="restart"/>
            <w:tcBorders>
              <w:top w:val="nil"/>
              <w:left w:val="single" w:color="auto" w:sz="4" w:space="0"/>
              <w:bottom w:val="single" w:color="auto" w:sz="4" w:space="0"/>
              <w:right w:val="single" w:color="auto" w:sz="4" w:space="0"/>
            </w:tcBorders>
            <w:shd w:val="clear" w:color="auto" w:fill="auto"/>
            <w:noWrap/>
            <w:vAlign w:val="center"/>
          </w:tcPr>
          <w:p w14:paraId="5984385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党建引领</w:t>
            </w:r>
          </w:p>
        </w:tc>
        <w:tc>
          <w:tcPr>
            <w:tcW w:w="1186" w:type="pct"/>
            <w:tcBorders>
              <w:top w:val="nil"/>
              <w:left w:val="nil"/>
              <w:bottom w:val="single" w:color="auto" w:sz="4" w:space="0"/>
              <w:right w:val="single" w:color="auto" w:sz="4" w:space="0"/>
            </w:tcBorders>
            <w:shd w:val="clear" w:color="auto" w:fill="auto"/>
            <w:noWrap/>
            <w:vAlign w:val="center"/>
          </w:tcPr>
          <w:p w14:paraId="40731BEE">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党小组及党员数量</w:t>
            </w:r>
          </w:p>
        </w:tc>
        <w:tc>
          <w:tcPr>
            <w:tcW w:w="392" w:type="pct"/>
            <w:tcBorders>
              <w:top w:val="nil"/>
              <w:left w:val="nil"/>
              <w:bottom w:val="single" w:color="auto" w:sz="4" w:space="0"/>
              <w:right w:val="single" w:color="auto" w:sz="4" w:space="0"/>
            </w:tcBorders>
            <w:shd w:val="clear" w:color="auto" w:fill="auto"/>
            <w:noWrap/>
            <w:vAlign w:val="center"/>
          </w:tcPr>
          <w:p w14:paraId="1B0352A1">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26EC0BAC">
        <w:tblPrEx>
          <w:tblCellMar>
            <w:top w:w="0" w:type="dxa"/>
            <w:left w:w="108" w:type="dxa"/>
            <w:bottom w:w="0" w:type="dxa"/>
            <w:right w:w="108" w:type="dxa"/>
          </w:tblCellMar>
        </w:tblPrEx>
        <w:trPr>
          <w:trHeight w:val="405"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46EA145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w:t>
            </w:r>
          </w:p>
        </w:tc>
        <w:tc>
          <w:tcPr>
            <w:tcW w:w="145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1A3248">
            <w:pPr>
              <w:jc w:val="center"/>
              <w:rPr>
                <w:rFonts w:hint="eastAsia" w:ascii="仿宋" w:hAnsi="仿宋" w:eastAsia="仿宋" w:cs="仿宋"/>
                <w:color w:val="000000"/>
                <w:sz w:val="24"/>
              </w:rPr>
            </w:pPr>
          </w:p>
        </w:tc>
        <w:tc>
          <w:tcPr>
            <w:tcW w:w="92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07B93E">
            <w:pPr>
              <w:jc w:val="center"/>
              <w:rPr>
                <w:rFonts w:hint="eastAsia" w:ascii="仿宋" w:hAnsi="仿宋" w:eastAsia="仿宋" w:cs="仿宋"/>
                <w:color w:val="000000"/>
                <w:sz w:val="24"/>
              </w:rPr>
            </w:pPr>
          </w:p>
        </w:tc>
        <w:tc>
          <w:tcPr>
            <w:tcW w:w="658" w:type="pct"/>
            <w:vMerge w:val="continue"/>
            <w:tcBorders>
              <w:top w:val="nil"/>
              <w:left w:val="single" w:color="auto" w:sz="4" w:space="0"/>
              <w:bottom w:val="single" w:color="auto" w:sz="4" w:space="0"/>
              <w:right w:val="single" w:color="auto" w:sz="4" w:space="0"/>
            </w:tcBorders>
            <w:shd w:val="clear" w:color="auto" w:fill="auto"/>
            <w:noWrap/>
            <w:vAlign w:val="center"/>
          </w:tcPr>
          <w:p w14:paraId="705A4521">
            <w:pPr>
              <w:jc w:val="center"/>
              <w:rPr>
                <w:rFonts w:hint="eastAsia" w:ascii="仿宋" w:hAnsi="仿宋" w:eastAsia="仿宋" w:cs="仿宋"/>
                <w:color w:val="000000"/>
                <w:sz w:val="24"/>
              </w:rPr>
            </w:pPr>
          </w:p>
        </w:tc>
        <w:tc>
          <w:tcPr>
            <w:tcW w:w="1186" w:type="pct"/>
            <w:tcBorders>
              <w:top w:val="nil"/>
              <w:left w:val="nil"/>
              <w:bottom w:val="single" w:color="auto" w:sz="4" w:space="0"/>
              <w:right w:val="single" w:color="auto" w:sz="4" w:space="0"/>
            </w:tcBorders>
            <w:shd w:val="clear" w:color="auto" w:fill="auto"/>
            <w:noWrap/>
            <w:vAlign w:val="center"/>
          </w:tcPr>
          <w:p w14:paraId="521AF960">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党建动态</w:t>
            </w:r>
          </w:p>
        </w:tc>
        <w:tc>
          <w:tcPr>
            <w:tcW w:w="392" w:type="pct"/>
            <w:tcBorders>
              <w:top w:val="nil"/>
              <w:left w:val="nil"/>
              <w:bottom w:val="single" w:color="auto" w:sz="4" w:space="0"/>
              <w:right w:val="single" w:color="auto" w:sz="4" w:space="0"/>
            </w:tcBorders>
            <w:shd w:val="clear" w:color="auto" w:fill="auto"/>
            <w:noWrap/>
            <w:vAlign w:val="center"/>
          </w:tcPr>
          <w:p w14:paraId="6FDDB169">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5CBED9A2">
        <w:tblPrEx>
          <w:tblCellMar>
            <w:top w:w="0" w:type="dxa"/>
            <w:left w:w="108" w:type="dxa"/>
            <w:bottom w:w="0" w:type="dxa"/>
            <w:right w:w="108" w:type="dxa"/>
          </w:tblCellMar>
        </w:tblPrEx>
        <w:trPr>
          <w:trHeight w:val="405" w:hRule="atLeast"/>
        </w:trPr>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88892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21</w:t>
            </w:r>
          </w:p>
        </w:tc>
        <w:tc>
          <w:tcPr>
            <w:tcW w:w="145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022B1B">
            <w:pPr>
              <w:jc w:val="center"/>
              <w:rPr>
                <w:rFonts w:hint="eastAsia" w:ascii="仿宋" w:hAnsi="仿宋" w:eastAsia="仿宋" w:cs="仿宋"/>
                <w:color w:val="000000"/>
                <w:sz w:val="24"/>
              </w:rPr>
            </w:pPr>
          </w:p>
        </w:tc>
        <w:tc>
          <w:tcPr>
            <w:tcW w:w="92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3C7C68">
            <w:pPr>
              <w:jc w:val="center"/>
              <w:rPr>
                <w:rFonts w:hint="eastAsia" w:ascii="仿宋" w:hAnsi="仿宋" w:eastAsia="仿宋" w:cs="仿宋"/>
                <w:color w:val="000000"/>
                <w:sz w:val="24"/>
              </w:rPr>
            </w:pPr>
          </w:p>
        </w:tc>
        <w:tc>
          <w:tcPr>
            <w:tcW w:w="65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7D7433">
            <w:pPr>
              <w:jc w:val="center"/>
              <w:rPr>
                <w:rFonts w:hint="eastAsia" w:ascii="仿宋" w:hAnsi="仿宋" w:eastAsia="仿宋" w:cs="仿宋"/>
                <w:color w:val="000000"/>
                <w:sz w:val="24"/>
              </w:rPr>
            </w:pPr>
          </w:p>
        </w:tc>
        <w:tc>
          <w:tcPr>
            <w:tcW w:w="1186" w:type="pct"/>
            <w:tcBorders>
              <w:top w:val="single" w:color="auto" w:sz="4" w:space="0"/>
              <w:left w:val="nil"/>
              <w:bottom w:val="single" w:color="auto" w:sz="4" w:space="0"/>
              <w:right w:val="single" w:color="auto" w:sz="4" w:space="0"/>
            </w:tcBorders>
            <w:shd w:val="clear" w:color="auto" w:fill="auto"/>
            <w:noWrap/>
            <w:vAlign w:val="center"/>
          </w:tcPr>
          <w:p w14:paraId="01DFC13E">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党务公开</w:t>
            </w:r>
          </w:p>
        </w:tc>
        <w:tc>
          <w:tcPr>
            <w:tcW w:w="392" w:type="pct"/>
            <w:tcBorders>
              <w:top w:val="single" w:color="auto" w:sz="4" w:space="0"/>
              <w:left w:val="nil"/>
              <w:bottom w:val="single" w:color="auto" w:sz="4" w:space="0"/>
              <w:right w:val="single" w:color="auto" w:sz="4" w:space="0"/>
            </w:tcBorders>
            <w:shd w:val="clear" w:color="auto" w:fill="auto"/>
            <w:noWrap/>
            <w:vAlign w:val="center"/>
          </w:tcPr>
          <w:p w14:paraId="00050C8B">
            <w:pPr>
              <w:widowControl/>
              <w:jc w:val="center"/>
              <w:textAlignment w:val="top"/>
              <w:rPr>
                <w:rFonts w:hint="eastAsia" w:ascii="仿宋" w:hAnsi="仿宋" w:eastAsia="仿宋" w:cs="仿宋"/>
                <w:color w:val="000000"/>
                <w:sz w:val="24"/>
              </w:rPr>
            </w:pPr>
            <w:r>
              <w:rPr>
                <w:rFonts w:hint="eastAsia" w:ascii="仿宋" w:hAnsi="仿宋" w:eastAsia="仿宋" w:cs="仿宋"/>
                <w:color w:val="000000"/>
                <w:kern w:val="0"/>
                <w:sz w:val="24"/>
                <w:lang w:bidi="ar"/>
              </w:rPr>
              <w:t>1</w:t>
            </w:r>
          </w:p>
        </w:tc>
      </w:tr>
      <w:tr w14:paraId="38E194B9">
        <w:tblPrEx>
          <w:tblCellMar>
            <w:top w:w="0" w:type="dxa"/>
            <w:left w:w="108" w:type="dxa"/>
            <w:bottom w:w="0" w:type="dxa"/>
            <w:right w:w="108" w:type="dxa"/>
          </w:tblCellMar>
        </w:tblPrEx>
        <w:trPr>
          <w:trHeight w:val="405" w:hRule="atLeast"/>
        </w:trPr>
        <w:tc>
          <w:tcPr>
            <w:tcW w:w="3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B001FA">
            <w:pPr>
              <w:widowControl/>
              <w:jc w:val="center"/>
              <w:rPr>
                <w:rFonts w:hint="eastAsia" w:ascii="仿宋" w:hAnsi="仿宋" w:eastAsia="仿宋"/>
                <w:color w:val="000000"/>
                <w:sz w:val="24"/>
              </w:rPr>
            </w:pPr>
            <w:r>
              <w:rPr>
                <w:rFonts w:hint="eastAsia" w:ascii="仿宋" w:hAnsi="仿宋" w:eastAsia="仿宋"/>
                <w:color w:val="000000"/>
                <w:sz w:val="24"/>
              </w:rPr>
              <w:t>22</w:t>
            </w:r>
          </w:p>
        </w:tc>
        <w:tc>
          <w:tcPr>
            <w:tcW w:w="1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488C9E">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系统服务器</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475719">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系统服务器</w:t>
            </w: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E541C8">
            <w:pPr>
              <w:widowControl/>
              <w:jc w:val="left"/>
              <w:rPr>
                <w:rFonts w:hint="eastAsia" w:ascii="仿宋" w:hAnsi="仿宋" w:eastAsia="仿宋" w:cs="宋体"/>
                <w:color w:val="000000"/>
                <w:kern w:val="0"/>
                <w:sz w:val="24"/>
              </w:rPr>
            </w:pPr>
            <w:r>
              <w:rPr>
                <w:rFonts w:hint="eastAsia" w:ascii="仿宋" w:hAnsi="仿宋" w:eastAsia="仿宋" w:cs="宋体"/>
                <w:color w:val="000000"/>
                <w:kern w:val="0"/>
                <w:sz w:val="24"/>
              </w:rPr>
              <w:t>用于软件服务器支撑的云主机申请（申请年限：3年）。域名、微信等服务</w:t>
            </w:r>
          </w:p>
        </w:tc>
        <w:tc>
          <w:tcPr>
            <w:tcW w:w="1186" w:type="pct"/>
            <w:tcBorders>
              <w:top w:val="single" w:color="auto" w:sz="4" w:space="0"/>
              <w:left w:val="nil"/>
              <w:bottom w:val="single" w:color="auto" w:sz="4" w:space="0"/>
              <w:right w:val="single" w:color="auto" w:sz="4" w:space="0"/>
            </w:tcBorders>
            <w:shd w:val="clear" w:color="auto" w:fill="auto"/>
            <w:noWrap/>
            <w:vAlign w:val="center"/>
          </w:tcPr>
          <w:p w14:paraId="06197E7C">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云主机配置：4核16G512 外网带宽5M</w:t>
            </w:r>
          </w:p>
        </w:tc>
        <w:tc>
          <w:tcPr>
            <w:tcW w:w="392" w:type="pct"/>
            <w:tcBorders>
              <w:top w:val="single" w:color="auto" w:sz="4" w:space="0"/>
              <w:left w:val="nil"/>
              <w:bottom w:val="single" w:color="auto" w:sz="4" w:space="0"/>
              <w:right w:val="single" w:color="auto" w:sz="4" w:space="0"/>
            </w:tcBorders>
            <w:shd w:val="clear" w:color="auto" w:fill="auto"/>
            <w:noWrap/>
            <w:vAlign w:val="center"/>
          </w:tcPr>
          <w:p w14:paraId="1B1612F2">
            <w:pPr>
              <w:widowControl/>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r>
    </w:tbl>
    <w:p w14:paraId="411349A2">
      <w:pPr>
        <w:spacing w:line="360" w:lineRule="auto"/>
        <w:rPr>
          <w:rFonts w:hint="eastAsia" w:ascii="仿宋" w:hAnsi="仿宋" w:eastAsia="仿宋" w:cs="仿宋"/>
          <w:sz w:val="24"/>
        </w:rPr>
      </w:pPr>
    </w:p>
    <w:p w14:paraId="1BFCB02F">
      <w:pPr>
        <w:pStyle w:val="7"/>
        <w:numPr>
          <w:ilvl w:val="0"/>
          <w:numId w:val="5"/>
        </w:numPr>
        <w:rPr>
          <w:rFonts w:hint="eastAsia" w:ascii="仿宋" w:hAnsi="仿宋"/>
        </w:rPr>
      </w:pPr>
      <w:r>
        <w:rPr>
          <w:rFonts w:hint="eastAsia" w:ascii="仿宋" w:hAnsi="仿宋"/>
        </w:rPr>
        <w:t>配套物联设备</w:t>
      </w:r>
    </w:p>
    <w:p w14:paraId="47FFB6DE">
      <w:pPr>
        <w:spacing w:line="360" w:lineRule="auto"/>
        <w:ind w:firstLine="560"/>
        <w:rPr>
          <w:rFonts w:hint="eastAsia" w:ascii="仿宋" w:hAnsi="仿宋" w:eastAsia="仿宋" w:cs="仿宋"/>
          <w:sz w:val="24"/>
        </w:rPr>
      </w:pPr>
      <w:r>
        <w:rPr>
          <w:rFonts w:hint="eastAsia" w:ascii="仿宋" w:hAnsi="仿宋" w:eastAsia="仿宋" w:cs="仿宋"/>
          <w:sz w:val="24"/>
        </w:rPr>
        <w:t>在数字乡村建设进程中，精心部署一系列智能硬件设施并借助物联网技术与设备，可切实促进乡村智能化管理，全方位提升村民生活质量与安全水平。建设覆盖乡村重要区域的监控系统，利用先进视频监控技术实时监测主要道路、公共场所、关键设施等，有助于及时发现处理安全隐患，为乡村治安管理提供技术支持，通过智能化监控平台可实现远程监控、录像回放、报警联动等功能，提高安全管理效率与响应速度。配备智能数字屏，作为信息传播重要载体，可发布政府公告、农业政策、天气预报、农产品市场信息等，让村民了解最新资讯，提升文化素质与技能水平，通过与互联网连接实现远程教学、在线答疑、课程资源共享等，为乡村教育带来新发展机遇。配置太阳能灯杆，利用太阳能作为能源，具有节能环保、安装方便、维护成本低等优点，可根据环境光线自动调节亮度，为乡村夜晚道路提供充足照明，提高村民出行安全性，为乡村智能化管理提供更多技术支持。提供自动血压仪，为老年人监测健康状态提供便利，随着人口老龄化加剧，老年人健康问题受关注，自动血压仪可让老年人在家随时监测血压状况，及时发现处理高血压等疾病提高健康意识和自我管理能力。有效促进乡村智能化管理，提升村民生活质量及安全水平，在数字乡村建设中应充分发挥智能硬件设施优势，不断探索创新应用模式，为乡村振兴注入新活力。</w:t>
      </w:r>
    </w:p>
    <w:p w14:paraId="6E2D9C71">
      <w:pPr>
        <w:widowControl/>
        <w:jc w:val="left"/>
        <w:rPr>
          <w:rFonts w:hint="eastAsia" w:ascii="仿宋" w:hAnsi="仿宋" w:eastAsia="仿宋" w:cs="仿宋"/>
          <w:sz w:val="24"/>
        </w:rPr>
      </w:pPr>
      <w:r>
        <w:rPr>
          <w:rFonts w:hint="eastAsia" w:ascii="仿宋" w:hAnsi="仿宋" w:eastAsia="仿宋" w:cs="仿宋"/>
          <w:sz w:val="24"/>
        </w:rPr>
        <w:br w:type="page"/>
      </w:r>
    </w:p>
    <w:p w14:paraId="66D792DC">
      <w:pPr>
        <w:spacing w:line="360" w:lineRule="auto"/>
        <w:rPr>
          <w:rFonts w:hint="eastAsia" w:ascii="仿宋" w:hAnsi="仿宋" w:eastAsia="仿宋" w:cs="仿宋"/>
          <w:sz w:val="24"/>
        </w:rPr>
      </w:pPr>
      <w:r>
        <w:rPr>
          <w:rFonts w:hint="eastAsia" w:ascii="仿宋" w:hAnsi="仿宋" w:eastAsia="仿宋" w:cs="仿宋"/>
          <w:sz w:val="24"/>
        </w:rPr>
        <w:t>物联设备建设清单：</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796"/>
        <w:gridCol w:w="887"/>
        <w:gridCol w:w="5075"/>
        <w:gridCol w:w="698"/>
        <w:gridCol w:w="698"/>
      </w:tblGrid>
      <w:tr w14:paraId="4FB5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0" w:type="auto"/>
            <w:noWrap/>
            <w:vAlign w:val="center"/>
          </w:tcPr>
          <w:p w14:paraId="7729ECD7">
            <w:pPr>
              <w:widowControl/>
              <w:spacing w:line="312" w:lineRule="auto"/>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1683" w:type="dxa"/>
            <w:gridSpan w:val="2"/>
            <w:tcBorders>
              <w:right w:val="single" w:color="auto" w:sz="4" w:space="0"/>
            </w:tcBorders>
            <w:noWrap/>
            <w:vAlign w:val="center"/>
          </w:tcPr>
          <w:p w14:paraId="1E6FFC07">
            <w:pPr>
              <w:widowControl/>
              <w:spacing w:line="312" w:lineRule="auto"/>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项目名称</w:t>
            </w:r>
          </w:p>
        </w:tc>
        <w:tc>
          <w:tcPr>
            <w:tcW w:w="5075" w:type="dxa"/>
            <w:noWrap/>
            <w:vAlign w:val="center"/>
          </w:tcPr>
          <w:p w14:paraId="49245F33">
            <w:pPr>
              <w:widowControl/>
              <w:spacing w:line="312" w:lineRule="auto"/>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技术参数</w:t>
            </w:r>
          </w:p>
        </w:tc>
        <w:tc>
          <w:tcPr>
            <w:tcW w:w="0" w:type="auto"/>
            <w:noWrap/>
            <w:vAlign w:val="center"/>
          </w:tcPr>
          <w:p w14:paraId="13650C62">
            <w:pPr>
              <w:widowControl/>
              <w:spacing w:line="312" w:lineRule="auto"/>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数量</w:t>
            </w:r>
          </w:p>
        </w:tc>
        <w:tc>
          <w:tcPr>
            <w:tcW w:w="0" w:type="auto"/>
            <w:noWrap/>
            <w:vAlign w:val="center"/>
          </w:tcPr>
          <w:p w14:paraId="2698D1D0">
            <w:pPr>
              <w:widowControl/>
              <w:spacing w:line="312" w:lineRule="auto"/>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单位</w:t>
            </w:r>
          </w:p>
        </w:tc>
      </w:tr>
      <w:tr w14:paraId="3A03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0" w:type="auto"/>
            <w:vMerge w:val="restart"/>
            <w:noWrap/>
            <w:vAlign w:val="center"/>
          </w:tcPr>
          <w:p w14:paraId="0D83C03F">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796" w:type="dxa"/>
            <w:vMerge w:val="restart"/>
            <w:noWrap/>
            <w:vAlign w:val="center"/>
          </w:tcPr>
          <w:p w14:paraId="1272E9AF">
            <w:pPr>
              <w:widowControl/>
              <w:spacing w:line="312"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监控系统</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5D7BAC46">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400万网络红外枪机</w:t>
            </w:r>
          </w:p>
        </w:tc>
        <w:tc>
          <w:tcPr>
            <w:tcW w:w="5075" w:type="dxa"/>
            <w:tcBorders>
              <w:top w:val="single" w:color="auto" w:sz="4" w:space="0"/>
              <w:left w:val="nil"/>
              <w:bottom w:val="single" w:color="auto" w:sz="4" w:space="0"/>
              <w:right w:val="single" w:color="auto" w:sz="4" w:space="0"/>
            </w:tcBorders>
            <w:shd w:val="clear" w:color="auto" w:fill="auto"/>
            <w:noWrap/>
            <w:vAlign w:val="center"/>
          </w:tcPr>
          <w:p w14:paraId="6C8CE121">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400万白光全彩筒型网络摄像机</w:t>
            </w:r>
            <w:r>
              <w:rPr>
                <w:rFonts w:hint="eastAsia" w:ascii="仿宋" w:hAnsi="仿宋" w:eastAsia="仿宋"/>
                <w:color w:val="000000"/>
                <w:sz w:val="22"/>
                <w:szCs w:val="22"/>
              </w:rPr>
              <w:br w:type="textWrapping"/>
            </w:r>
            <w:r>
              <w:rPr>
                <w:rFonts w:hint="eastAsia" w:ascii="仿宋" w:hAnsi="仿宋" w:eastAsia="仿宋"/>
                <w:color w:val="000000"/>
                <w:sz w:val="22"/>
                <w:szCs w:val="22"/>
              </w:rPr>
              <w:t>最高分辨率达2560 × 1440 @25 fps</w:t>
            </w:r>
            <w:r>
              <w:rPr>
                <w:rFonts w:hint="eastAsia" w:ascii="仿宋" w:hAnsi="仿宋" w:eastAsia="仿宋"/>
                <w:color w:val="000000"/>
                <w:sz w:val="22"/>
                <w:szCs w:val="22"/>
              </w:rPr>
              <w:br w:type="textWrapping"/>
            </w:r>
            <w:r>
              <w:rPr>
                <w:rFonts w:hint="eastAsia" w:ascii="仿宋" w:hAnsi="仿宋" w:eastAsia="仿宋"/>
                <w:color w:val="000000"/>
                <w:sz w:val="22"/>
                <w:szCs w:val="22"/>
              </w:rPr>
              <w:t>支持用户登录锁定机制，及密码复杂度提示</w:t>
            </w:r>
            <w:r>
              <w:rPr>
                <w:rFonts w:hint="eastAsia" w:ascii="仿宋" w:hAnsi="仿宋" w:eastAsia="仿宋"/>
                <w:color w:val="000000"/>
                <w:sz w:val="22"/>
                <w:szCs w:val="22"/>
              </w:rPr>
              <w:br w:type="textWrapping"/>
            </w:r>
            <w:r>
              <w:rPr>
                <w:rFonts w:hint="eastAsia" w:ascii="仿宋" w:hAnsi="仿宋" w:eastAsia="仿宋"/>
                <w:color w:val="000000"/>
                <w:sz w:val="22"/>
                <w:szCs w:val="22"/>
              </w:rPr>
              <w:t>支持SmartIR，防止夜间红外过曝</w:t>
            </w:r>
            <w:r>
              <w:rPr>
                <w:rFonts w:hint="eastAsia" w:ascii="仿宋" w:hAnsi="仿宋" w:eastAsia="仿宋"/>
                <w:color w:val="000000"/>
                <w:sz w:val="22"/>
                <w:szCs w:val="22"/>
              </w:rPr>
              <w:br w:type="textWrapping"/>
            </w:r>
            <w:r>
              <w:rPr>
                <w:rFonts w:hint="eastAsia" w:ascii="仿宋" w:hAnsi="仿宋" w:eastAsia="仿宋"/>
                <w:color w:val="000000"/>
                <w:sz w:val="22"/>
                <w:szCs w:val="22"/>
              </w:rPr>
              <w:t>支持背光补偿，强光抑制，3D数字降噪，数字宽动态，适应不同使用环境</w:t>
            </w:r>
            <w:r>
              <w:rPr>
                <w:rFonts w:hint="eastAsia" w:ascii="仿宋" w:hAnsi="仿宋" w:eastAsia="仿宋"/>
                <w:color w:val="000000"/>
                <w:sz w:val="22"/>
                <w:szCs w:val="22"/>
              </w:rPr>
              <w:br w:type="textWrapping"/>
            </w:r>
            <w:r>
              <w:rPr>
                <w:rFonts w:hint="eastAsia" w:ascii="仿宋" w:hAnsi="仿宋" w:eastAsia="仿宋"/>
                <w:color w:val="000000"/>
                <w:sz w:val="22"/>
                <w:szCs w:val="22"/>
              </w:rPr>
              <w:t>支持ROI感兴趣区域增强编码</w:t>
            </w:r>
            <w:r>
              <w:rPr>
                <w:rFonts w:hint="eastAsia" w:ascii="仿宋" w:hAnsi="仿宋" w:eastAsia="仿宋"/>
                <w:color w:val="000000"/>
                <w:sz w:val="22"/>
                <w:szCs w:val="22"/>
              </w:rPr>
              <w:br w:type="textWrapping"/>
            </w:r>
            <w:r>
              <w:rPr>
                <w:rFonts w:hint="eastAsia" w:ascii="仿宋" w:hAnsi="仿宋" w:eastAsia="仿宋"/>
                <w:color w:val="000000"/>
                <w:sz w:val="22"/>
                <w:szCs w:val="22"/>
              </w:rPr>
              <w:t>支持开放型网络视频接口，ISAPI，SDK，GB28181协议，支持萤石平台接入</w:t>
            </w:r>
            <w:r>
              <w:rPr>
                <w:rFonts w:hint="eastAsia" w:ascii="仿宋" w:hAnsi="仿宋" w:eastAsia="仿宋"/>
                <w:color w:val="000000"/>
                <w:sz w:val="22"/>
                <w:szCs w:val="22"/>
              </w:rPr>
              <w:br w:type="textWrapping"/>
            </w:r>
            <w:r>
              <w:rPr>
                <w:rFonts w:hint="eastAsia" w:ascii="仿宋" w:hAnsi="仿宋" w:eastAsia="仿宋"/>
                <w:color w:val="000000"/>
                <w:sz w:val="22"/>
                <w:szCs w:val="22"/>
              </w:rPr>
              <w:t>1个内置麦克风</w:t>
            </w:r>
            <w:r>
              <w:rPr>
                <w:rFonts w:hint="eastAsia" w:ascii="仿宋" w:hAnsi="仿宋" w:eastAsia="仿宋"/>
                <w:color w:val="000000"/>
                <w:sz w:val="22"/>
                <w:szCs w:val="22"/>
              </w:rPr>
              <w:br w:type="textWrapping"/>
            </w:r>
            <w:r>
              <w:rPr>
                <w:rFonts w:hint="eastAsia" w:ascii="仿宋" w:hAnsi="仿宋" w:eastAsia="仿宋"/>
                <w:color w:val="000000"/>
                <w:sz w:val="22"/>
                <w:szCs w:val="22"/>
              </w:rPr>
              <w:t>智能补光，支持白光/红外双补光，红外光最远30 m，白光最远30 m</w:t>
            </w:r>
            <w:r>
              <w:rPr>
                <w:rFonts w:hint="eastAsia" w:ascii="仿宋" w:hAnsi="仿宋" w:eastAsia="仿宋"/>
                <w:color w:val="000000"/>
                <w:sz w:val="22"/>
                <w:szCs w:val="22"/>
              </w:rPr>
              <w:br w:type="textWrapping"/>
            </w:r>
            <w:r>
              <w:rPr>
                <w:rFonts w:hint="eastAsia" w:ascii="仿宋" w:hAnsi="仿宋" w:eastAsia="仿宋"/>
                <w:color w:val="000000"/>
                <w:sz w:val="22"/>
                <w:szCs w:val="22"/>
              </w:rPr>
              <w:t>符合IP66防尘防水设计，可靠性高</w:t>
            </w:r>
            <w:r>
              <w:rPr>
                <w:rFonts w:hint="eastAsia" w:ascii="仿宋" w:hAnsi="仿宋" w:eastAsia="仿宋"/>
                <w:color w:val="000000"/>
                <w:sz w:val="22"/>
                <w:szCs w:val="22"/>
              </w:rPr>
              <w:br w:type="textWrapping"/>
            </w:r>
            <w:r>
              <w:rPr>
                <w:rFonts w:hint="eastAsia" w:ascii="仿宋" w:hAnsi="仿宋" w:eastAsia="仿宋"/>
                <w:color w:val="000000"/>
                <w:sz w:val="22"/>
                <w:szCs w:val="22"/>
              </w:rPr>
              <w:t>传感器类型：1/2.7" Progressive Scan CMOS</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最低照度：彩色：0.005 Lux @（F1.2，AGC ON），0 Lux with Light</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最大图像尺寸：</w:t>
            </w:r>
            <w:bookmarkStart w:id="20" w:name="OLE_LINK3"/>
            <w:r>
              <w:rPr>
                <w:rFonts w:hint="eastAsia" w:ascii="仿宋" w:hAnsi="仿宋" w:eastAsia="仿宋"/>
                <w:color w:val="000000"/>
                <w:sz w:val="22"/>
                <w:szCs w:val="22"/>
              </w:rPr>
              <w:t>≥</w:t>
            </w:r>
            <w:bookmarkEnd w:id="20"/>
            <w:r>
              <w:rPr>
                <w:rFonts w:hint="eastAsia" w:ascii="仿宋" w:hAnsi="仿宋" w:eastAsia="仿宋"/>
                <w:color w:val="000000"/>
                <w:sz w:val="22"/>
                <w:szCs w:val="22"/>
              </w:rPr>
              <w:t>2560 × 1440</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宽动态：数字宽动态 </w:t>
            </w:r>
            <w:r>
              <w:rPr>
                <w:rFonts w:hint="eastAsia" w:ascii="仿宋" w:hAnsi="仿宋" w:eastAsia="仿宋"/>
                <w:color w:val="000000"/>
                <w:sz w:val="22"/>
                <w:szCs w:val="22"/>
              </w:rPr>
              <w:br w:type="textWrapping"/>
            </w:r>
            <w:r>
              <w:rPr>
                <w:rFonts w:hint="eastAsia" w:ascii="仿宋" w:hAnsi="仿宋" w:eastAsia="仿宋"/>
                <w:color w:val="000000"/>
                <w:sz w:val="22"/>
                <w:szCs w:val="22"/>
              </w:rPr>
              <w:t>焦距&amp;视场角：4 mm，水平视场角：70°，垂直视场角：35°，对角视场角：85°</w:t>
            </w:r>
            <w:r>
              <w:rPr>
                <w:rFonts w:hint="eastAsia" w:ascii="仿宋" w:hAnsi="仿宋" w:eastAsia="仿宋"/>
                <w:color w:val="000000"/>
                <w:sz w:val="22"/>
                <w:szCs w:val="22"/>
              </w:rPr>
              <w:br w:type="textWrapping"/>
            </w:r>
            <w:r>
              <w:rPr>
                <w:rFonts w:hint="eastAsia" w:ascii="仿宋" w:hAnsi="仿宋" w:eastAsia="仿宋"/>
                <w:color w:val="000000"/>
                <w:sz w:val="22"/>
                <w:szCs w:val="22"/>
              </w:rPr>
              <w:t>6 mm，水平视场角：46°，垂直视场角：24°，对角视场角：54°</w:t>
            </w:r>
            <w:r>
              <w:rPr>
                <w:rFonts w:hint="eastAsia" w:ascii="仿宋" w:hAnsi="仿宋" w:eastAsia="仿宋"/>
                <w:color w:val="000000"/>
                <w:sz w:val="22"/>
                <w:szCs w:val="22"/>
              </w:rPr>
              <w:br w:type="textWrapping"/>
            </w:r>
            <w:r>
              <w:rPr>
                <w:rFonts w:hint="eastAsia" w:ascii="仿宋" w:hAnsi="仿宋" w:eastAsia="仿宋"/>
                <w:color w:val="000000"/>
                <w:sz w:val="22"/>
                <w:szCs w:val="22"/>
              </w:rPr>
              <w:t>8 mm，水平视场角：43°，垂直视场角：24°，对角视场角：50°</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12 mm，水平视场角：27°，垂直视场角：15°，对角视场角：31°  </w:t>
            </w:r>
            <w:r>
              <w:rPr>
                <w:rFonts w:hint="eastAsia" w:ascii="仿宋" w:hAnsi="仿宋" w:eastAsia="仿宋"/>
                <w:color w:val="000000"/>
                <w:sz w:val="22"/>
                <w:szCs w:val="22"/>
              </w:rPr>
              <w:br w:type="textWrapping"/>
            </w:r>
            <w:r>
              <w:rPr>
                <w:rFonts w:hint="eastAsia" w:ascii="仿宋" w:hAnsi="仿宋" w:eastAsia="仿宋"/>
                <w:color w:val="000000"/>
                <w:sz w:val="22"/>
                <w:szCs w:val="22"/>
              </w:rPr>
              <w:t>红外波长范围：850 nm</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防补光过曝：支持</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补光灯类型：智能补光，可切换白光灯、红外灯</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补光距离：红外光最远30 m，白光最远30 m </w:t>
            </w:r>
            <w:r>
              <w:rPr>
                <w:rFonts w:hint="eastAsia" w:ascii="仿宋" w:hAnsi="仿宋" w:eastAsia="仿宋"/>
                <w:color w:val="000000"/>
                <w:sz w:val="22"/>
                <w:szCs w:val="22"/>
              </w:rPr>
              <w:br w:type="textWrapping"/>
            </w:r>
            <w:r>
              <w:rPr>
                <w:rFonts w:hint="eastAsia" w:ascii="仿宋" w:hAnsi="仿宋" w:eastAsia="仿宋"/>
                <w:color w:val="000000"/>
                <w:sz w:val="22"/>
                <w:szCs w:val="22"/>
              </w:rPr>
              <w:t>视频压缩标准：主码流：H.265/H.264</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子码流：H.265/H.264/MJPEG </w:t>
            </w:r>
            <w:r>
              <w:rPr>
                <w:rFonts w:hint="eastAsia" w:ascii="仿宋" w:hAnsi="仿宋" w:eastAsia="仿宋"/>
                <w:color w:val="000000"/>
                <w:sz w:val="22"/>
                <w:szCs w:val="22"/>
              </w:rPr>
              <w:br w:type="textWrapping"/>
            </w:r>
            <w:r>
              <w:rPr>
                <w:rFonts w:hint="eastAsia" w:ascii="仿宋" w:hAnsi="仿宋" w:eastAsia="仿宋"/>
                <w:color w:val="000000"/>
                <w:sz w:val="22"/>
                <w:szCs w:val="22"/>
              </w:rPr>
              <w:t>音频：1个内置麦克风</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网络：1个RJ45 10 M/100 M自适应以太网口 </w:t>
            </w:r>
            <w:r>
              <w:rPr>
                <w:rFonts w:hint="eastAsia" w:ascii="仿宋" w:hAnsi="仿宋" w:eastAsia="仿宋"/>
                <w:color w:val="000000"/>
                <w:sz w:val="22"/>
                <w:szCs w:val="22"/>
              </w:rPr>
              <w:br w:type="textWrapping"/>
            </w:r>
            <w:r>
              <w:rPr>
                <w:rFonts w:hint="eastAsia" w:ascii="仿宋" w:hAnsi="仿宋" w:eastAsia="仿宋"/>
                <w:color w:val="000000"/>
                <w:sz w:val="22"/>
                <w:szCs w:val="22"/>
              </w:rPr>
              <w:t>启动及工作温湿度：-30 ℃~60 ℃，湿度小于95%（无凝结）</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存储温湿度：-30 ℃~60 ℃，湿度小于95%（无凝结）</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恢复出厂设置：支持客户端或浏览器恢复</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供电方式：DC：12 V ± 25%，支持防反接保护</w:t>
            </w:r>
            <w:r>
              <w:rPr>
                <w:rFonts w:hint="eastAsia" w:ascii="仿宋" w:hAnsi="仿宋" w:eastAsia="仿宋"/>
                <w:color w:val="000000"/>
                <w:sz w:val="22"/>
                <w:szCs w:val="22"/>
              </w:rPr>
              <w:br w:type="textWrapping"/>
            </w:r>
            <w:r>
              <w:rPr>
                <w:rFonts w:hint="eastAsia" w:ascii="仿宋" w:hAnsi="仿宋" w:eastAsia="仿宋"/>
                <w:color w:val="000000"/>
                <w:sz w:val="22"/>
                <w:szCs w:val="22"/>
              </w:rPr>
              <w:t>PoE：IEEE 802.3af，Class 3</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电流及功耗：DC：12 V，0.42 A，最大功耗：5 W</w:t>
            </w:r>
            <w:r>
              <w:rPr>
                <w:rFonts w:hint="eastAsia" w:ascii="仿宋" w:hAnsi="仿宋" w:eastAsia="仿宋"/>
                <w:color w:val="000000"/>
                <w:sz w:val="22"/>
                <w:szCs w:val="22"/>
              </w:rPr>
              <w:br w:type="textWrapping"/>
            </w:r>
            <w:r>
              <w:rPr>
                <w:rFonts w:hint="eastAsia" w:ascii="仿宋" w:hAnsi="仿宋" w:eastAsia="仿宋"/>
                <w:color w:val="000000"/>
                <w:sz w:val="22"/>
                <w:szCs w:val="22"/>
              </w:rPr>
              <w:t>PoE：IEEE 802.3af，CLASS 3，最大功耗：6.5 W</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电源接口类型：</w:t>
            </w:r>
            <w:r>
              <w:rPr>
                <w:rFonts w:ascii="Calibri" w:hAnsi="Calibri" w:eastAsia="仿宋" w:cs="Calibri"/>
                <w:color w:val="000000"/>
                <w:sz w:val="22"/>
                <w:szCs w:val="22"/>
              </w:rPr>
              <w:t>Ø</w:t>
            </w:r>
            <w:r>
              <w:rPr>
                <w:rFonts w:hint="eastAsia" w:ascii="仿宋" w:hAnsi="仿宋" w:eastAsia="仿宋"/>
                <w:color w:val="000000"/>
                <w:sz w:val="22"/>
                <w:szCs w:val="22"/>
              </w:rPr>
              <w:t>5.5 mm圆口</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产品尺寸：≥87.1 × 83.7 × 171.7 mm</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包装尺寸：≥216 × 121 × 118 mm</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设备重量：≥360 g</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带包装重量：≥519 g </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防护：IP66 </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73A597CF">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33 </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32BDE4E6">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台</w:t>
            </w:r>
          </w:p>
        </w:tc>
      </w:tr>
      <w:tr w14:paraId="78B9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23F27A0F">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28414BAC">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6C00BE21">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400万网络红外半球</w:t>
            </w:r>
          </w:p>
        </w:tc>
        <w:tc>
          <w:tcPr>
            <w:tcW w:w="5075" w:type="dxa"/>
            <w:tcBorders>
              <w:top w:val="nil"/>
              <w:left w:val="nil"/>
              <w:bottom w:val="single" w:color="auto" w:sz="4" w:space="0"/>
              <w:right w:val="single" w:color="auto" w:sz="4" w:space="0"/>
            </w:tcBorders>
            <w:shd w:val="clear" w:color="auto" w:fill="auto"/>
            <w:noWrap/>
            <w:vAlign w:val="center"/>
          </w:tcPr>
          <w:p w14:paraId="738ADE1D">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400万白光全彩半球网络摄像机，F1.0超大光圈镜头;</w:t>
            </w:r>
            <w:r>
              <w:rPr>
                <w:rFonts w:hint="eastAsia" w:ascii="仿宋" w:hAnsi="仿宋" w:eastAsia="仿宋"/>
                <w:color w:val="000000"/>
                <w:sz w:val="22"/>
                <w:szCs w:val="22"/>
              </w:rPr>
              <w:br w:type="textWrapping"/>
            </w:r>
            <w:r>
              <w:rPr>
                <w:rFonts w:hint="eastAsia" w:ascii="仿宋" w:hAnsi="仿宋" w:eastAsia="仿宋"/>
                <w:color w:val="000000"/>
                <w:sz w:val="22"/>
                <w:szCs w:val="22"/>
              </w:rPr>
              <w:t>最高分辨率2560 × 1440 @25 fps，在该分辨率下可输出实时图像;</w:t>
            </w:r>
            <w:r>
              <w:rPr>
                <w:rFonts w:hint="eastAsia" w:ascii="仿宋" w:hAnsi="仿宋" w:eastAsia="仿宋"/>
                <w:color w:val="000000"/>
                <w:sz w:val="22"/>
                <w:szCs w:val="22"/>
              </w:rPr>
              <w:br w:type="textWrapping"/>
            </w:r>
            <w:r>
              <w:rPr>
                <w:rFonts w:hint="eastAsia" w:ascii="仿宋" w:hAnsi="仿宋" w:eastAsia="仿宋"/>
                <w:color w:val="000000"/>
                <w:sz w:val="22"/>
                <w:szCs w:val="22"/>
              </w:rPr>
              <w:t>支持ROI感兴趣区域增强编码，支持Smart265/264编码，可根据场景情况自适应调整码率分配;</w:t>
            </w:r>
            <w:r>
              <w:rPr>
                <w:rFonts w:hint="eastAsia" w:ascii="仿宋" w:hAnsi="仿宋" w:eastAsia="仿宋"/>
                <w:color w:val="000000"/>
                <w:sz w:val="22"/>
                <w:szCs w:val="22"/>
              </w:rPr>
              <w:br w:type="textWrapping"/>
            </w:r>
            <w:r>
              <w:rPr>
                <w:rFonts w:hint="eastAsia" w:ascii="仿宋" w:hAnsi="仿宋" w:eastAsia="仿宋"/>
                <w:color w:val="000000"/>
                <w:sz w:val="22"/>
                <w:szCs w:val="22"/>
              </w:rPr>
              <w:t>支持背光补偿，强光抑制，3D数字降噪，120 dB宽动态;</w:t>
            </w:r>
            <w:r>
              <w:rPr>
                <w:rFonts w:hint="eastAsia" w:ascii="仿宋" w:hAnsi="仿宋" w:eastAsia="仿宋"/>
                <w:color w:val="000000"/>
                <w:sz w:val="22"/>
                <w:szCs w:val="22"/>
              </w:rPr>
              <w:br w:type="textWrapping"/>
            </w:r>
            <w:r>
              <w:rPr>
                <w:rFonts w:hint="eastAsia" w:ascii="仿宋" w:hAnsi="仿宋" w:eastAsia="仿宋"/>
                <w:color w:val="000000"/>
                <w:sz w:val="22"/>
                <w:szCs w:val="22"/>
              </w:rPr>
              <w:t>支持柔光灯补光，照射距离最远30 m;</w:t>
            </w:r>
            <w:r>
              <w:rPr>
                <w:rFonts w:hint="eastAsia" w:ascii="仿宋" w:hAnsi="仿宋" w:eastAsia="仿宋"/>
                <w:color w:val="000000"/>
                <w:sz w:val="22"/>
                <w:szCs w:val="22"/>
              </w:rPr>
              <w:br w:type="textWrapping"/>
            </w:r>
            <w:r>
              <w:rPr>
                <w:rFonts w:hint="eastAsia" w:ascii="仿宋" w:hAnsi="仿宋" w:eastAsia="仿宋"/>
                <w:color w:val="000000"/>
                <w:sz w:val="22"/>
                <w:szCs w:val="22"/>
              </w:rPr>
              <w:t>1个内置麦克风，高清拾音;</w:t>
            </w:r>
            <w:r>
              <w:rPr>
                <w:rFonts w:hint="eastAsia" w:ascii="仿宋" w:hAnsi="仿宋" w:eastAsia="仿宋"/>
                <w:color w:val="000000"/>
                <w:sz w:val="22"/>
                <w:szCs w:val="22"/>
              </w:rPr>
              <w:br w:type="textWrapping"/>
            </w:r>
            <w:r>
              <w:rPr>
                <w:rFonts w:hint="eastAsia" w:ascii="仿宋" w:hAnsi="仿宋" w:eastAsia="仿宋"/>
                <w:color w:val="000000"/>
                <w:sz w:val="22"/>
                <w:szCs w:val="22"/>
              </w:rPr>
              <w:t>符合IP66防尘防水设计，可靠性高;</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传感器类型：1/1.8" Progressive Scan CMOS </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最低照度：彩色：0.0005 Lux @（F1.0，AGC ON）, 0 Lux with Light</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宽动态：120 dB</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调节角度：水平：0°~360°，垂直：0°~75°，旋转：0°~360°  </w:t>
            </w:r>
            <w:r>
              <w:rPr>
                <w:rFonts w:hint="eastAsia" w:ascii="仿宋" w:hAnsi="仿宋" w:eastAsia="仿宋"/>
                <w:color w:val="000000"/>
                <w:sz w:val="22"/>
                <w:szCs w:val="22"/>
              </w:rPr>
              <w:br w:type="textWrapping"/>
            </w:r>
            <w:r>
              <w:rPr>
                <w:rFonts w:hint="eastAsia" w:ascii="仿宋" w:hAnsi="仿宋" w:eastAsia="仿宋"/>
                <w:color w:val="000000"/>
                <w:sz w:val="22"/>
                <w:szCs w:val="22"/>
              </w:rPr>
              <w:t>焦距&amp;视场角：2.8 mm，水平视场角：100°，垂直视场角：53°，对角视场角：120°</w:t>
            </w:r>
            <w:r>
              <w:rPr>
                <w:rFonts w:hint="eastAsia" w:ascii="仿宋" w:hAnsi="仿宋" w:eastAsia="仿宋"/>
                <w:color w:val="000000"/>
                <w:sz w:val="22"/>
                <w:szCs w:val="22"/>
              </w:rPr>
              <w:br w:type="textWrapping"/>
            </w:r>
            <w:r>
              <w:rPr>
                <w:rFonts w:hint="eastAsia" w:ascii="仿宋" w:hAnsi="仿宋" w:eastAsia="仿宋"/>
                <w:color w:val="000000"/>
                <w:sz w:val="22"/>
                <w:szCs w:val="22"/>
              </w:rPr>
              <w:t>4 mm，水平视场角：89°，垂直视场角：46°，对角视场角：106°</w:t>
            </w:r>
            <w:r>
              <w:rPr>
                <w:rFonts w:hint="eastAsia" w:ascii="仿宋" w:hAnsi="仿宋" w:eastAsia="仿宋"/>
                <w:color w:val="000000"/>
                <w:sz w:val="22"/>
                <w:szCs w:val="22"/>
              </w:rPr>
              <w:br w:type="textWrapping"/>
            </w:r>
            <w:r>
              <w:rPr>
                <w:rFonts w:hint="eastAsia" w:ascii="仿宋" w:hAnsi="仿宋" w:eastAsia="仿宋"/>
                <w:color w:val="000000"/>
                <w:sz w:val="22"/>
                <w:szCs w:val="22"/>
              </w:rPr>
              <w:t>6 mm，水平视场角：55°，垂直视场角：29°，对角视场角：65°</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景深范围：2.8 mm：2.6 m~∞</w:t>
            </w:r>
            <w:r>
              <w:rPr>
                <w:rFonts w:hint="eastAsia" w:ascii="仿宋" w:hAnsi="仿宋" w:eastAsia="仿宋"/>
                <w:color w:val="000000"/>
                <w:sz w:val="22"/>
                <w:szCs w:val="22"/>
              </w:rPr>
              <w:br w:type="textWrapping"/>
            </w:r>
            <w:r>
              <w:rPr>
                <w:rFonts w:hint="eastAsia" w:ascii="仿宋" w:hAnsi="仿宋" w:eastAsia="仿宋"/>
                <w:color w:val="000000"/>
                <w:sz w:val="22"/>
                <w:szCs w:val="22"/>
              </w:rPr>
              <w:t>4 mm：3 m~∞</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6 mm：6.8 m~∞ </w:t>
            </w:r>
            <w:r>
              <w:rPr>
                <w:rFonts w:hint="eastAsia" w:ascii="仿宋" w:hAnsi="仿宋" w:eastAsia="仿宋"/>
                <w:color w:val="000000"/>
                <w:sz w:val="22"/>
                <w:szCs w:val="22"/>
              </w:rPr>
              <w:br w:type="textWrapping"/>
            </w:r>
            <w:r>
              <w:rPr>
                <w:rFonts w:hint="eastAsia" w:ascii="仿宋" w:hAnsi="仿宋" w:eastAsia="仿宋"/>
                <w:color w:val="000000"/>
                <w:sz w:val="22"/>
                <w:szCs w:val="22"/>
              </w:rPr>
              <w:t>补光灯类型：柔光灯</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补光距离：最远30 m</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防补光过曝：支持 </w:t>
            </w:r>
            <w:r>
              <w:rPr>
                <w:rFonts w:hint="eastAsia" w:ascii="仿宋" w:hAnsi="仿宋" w:eastAsia="仿宋"/>
                <w:color w:val="000000"/>
                <w:sz w:val="22"/>
                <w:szCs w:val="22"/>
              </w:rPr>
              <w:br w:type="textWrapping"/>
            </w:r>
            <w:r>
              <w:rPr>
                <w:rFonts w:hint="eastAsia" w:ascii="仿宋" w:hAnsi="仿宋" w:eastAsia="仿宋"/>
                <w:color w:val="000000"/>
                <w:sz w:val="22"/>
                <w:szCs w:val="22"/>
              </w:rPr>
              <w:t>最大图像尺寸：2560 × 1440</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视频压缩标准：主码流：H.265/H.264</w:t>
            </w:r>
            <w:r>
              <w:rPr>
                <w:rFonts w:hint="eastAsia" w:ascii="仿宋" w:hAnsi="仿宋" w:eastAsia="仿宋"/>
                <w:color w:val="000000"/>
                <w:sz w:val="22"/>
                <w:szCs w:val="22"/>
              </w:rPr>
              <w:br w:type="textWrapping"/>
            </w:r>
            <w:r>
              <w:rPr>
                <w:rFonts w:hint="eastAsia" w:ascii="仿宋" w:hAnsi="仿宋" w:eastAsia="仿宋"/>
                <w:color w:val="000000"/>
                <w:sz w:val="22"/>
                <w:szCs w:val="22"/>
              </w:rPr>
              <w:t>子码流：H.265/H.264/MJPEG</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第三码流：H.265/H.264 </w:t>
            </w:r>
            <w:r>
              <w:rPr>
                <w:rFonts w:hint="eastAsia" w:ascii="仿宋" w:hAnsi="仿宋" w:eastAsia="仿宋"/>
                <w:color w:val="000000"/>
                <w:sz w:val="22"/>
                <w:szCs w:val="22"/>
              </w:rPr>
              <w:br w:type="textWrapping"/>
            </w:r>
            <w:r>
              <w:rPr>
                <w:rFonts w:hint="eastAsia" w:ascii="仿宋" w:hAnsi="仿宋" w:eastAsia="仿宋"/>
                <w:color w:val="000000"/>
                <w:sz w:val="22"/>
                <w:szCs w:val="22"/>
              </w:rPr>
              <w:t>网络：1个RJ45 10 M/100 M自适应以太网口</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音频：1个内置麦克风 </w:t>
            </w:r>
            <w:r>
              <w:rPr>
                <w:rFonts w:hint="eastAsia" w:ascii="仿宋" w:hAnsi="仿宋" w:eastAsia="仿宋"/>
                <w:color w:val="000000"/>
                <w:sz w:val="22"/>
                <w:szCs w:val="22"/>
              </w:rPr>
              <w:br w:type="textWrapping"/>
            </w:r>
            <w:r>
              <w:rPr>
                <w:rFonts w:hint="eastAsia" w:ascii="仿宋" w:hAnsi="仿宋" w:eastAsia="仿宋"/>
                <w:color w:val="000000"/>
                <w:sz w:val="22"/>
                <w:szCs w:val="22"/>
              </w:rPr>
              <w:t>产品尺寸：≥</w:t>
            </w:r>
            <w:r>
              <w:rPr>
                <w:rFonts w:ascii="Calibri" w:hAnsi="Calibri" w:eastAsia="仿宋" w:cs="Calibri"/>
                <w:color w:val="000000"/>
                <w:sz w:val="22"/>
                <w:szCs w:val="22"/>
              </w:rPr>
              <w:t>Ø</w:t>
            </w:r>
            <w:r>
              <w:rPr>
                <w:rFonts w:hint="eastAsia" w:ascii="仿宋" w:hAnsi="仿宋" w:eastAsia="仿宋"/>
                <w:color w:val="000000"/>
                <w:sz w:val="22"/>
                <w:szCs w:val="22"/>
              </w:rPr>
              <w:t>129.2 × 97.1 mm</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设备重量：≥460 g</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包装尺寸：≥165 × 165 × 115 mm</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带包装重量：≥760 g</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启动及工作温湿度：-30 ℃~60 ℃，湿度小于95%（无凝结） </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电流及功耗：DC： 12 V，0.42 A，最大型号：5 W</w:t>
            </w:r>
            <w:r>
              <w:rPr>
                <w:rFonts w:hint="eastAsia" w:ascii="仿宋" w:hAnsi="仿宋" w:eastAsia="仿宋"/>
                <w:color w:val="000000"/>
                <w:sz w:val="22"/>
                <w:szCs w:val="22"/>
              </w:rPr>
              <w:br w:type="textWrapping"/>
            </w:r>
            <w:r>
              <w:rPr>
                <w:rFonts w:hint="eastAsia" w:ascii="仿宋" w:hAnsi="仿宋" w:eastAsia="仿宋"/>
                <w:color w:val="000000"/>
                <w:sz w:val="22"/>
                <w:szCs w:val="22"/>
              </w:rPr>
              <w:t>PoE：802.3af，36 V~57 V，0.18 A~0.12 A，最大功耗：6.5 W</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供电方式：DC：12 V ± 25%，支持防反接保护</w:t>
            </w:r>
            <w:r>
              <w:rPr>
                <w:rFonts w:hint="eastAsia" w:ascii="仿宋" w:hAnsi="仿宋" w:eastAsia="仿宋"/>
                <w:color w:val="000000"/>
                <w:sz w:val="22"/>
                <w:szCs w:val="22"/>
              </w:rPr>
              <w:br w:type="textWrapping"/>
            </w:r>
            <w:r>
              <w:rPr>
                <w:rFonts w:hint="eastAsia" w:ascii="仿宋" w:hAnsi="仿宋" w:eastAsia="仿宋"/>
                <w:color w:val="000000"/>
                <w:sz w:val="22"/>
                <w:szCs w:val="22"/>
              </w:rPr>
              <w:t>PoE：802.3af，Class 3</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电源接口类型：</w:t>
            </w:r>
            <w:r>
              <w:rPr>
                <w:rFonts w:ascii="Calibri" w:hAnsi="Calibri" w:eastAsia="仿宋" w:cs="Calibri"/>
                <w:color w:val="000000"/>
                <w:sz w:val="22"/>
                <w:szCs w:val="22"/>
              </w:rPr>
              <w:t>Ø</w:t>
            </w:r>
            <w:r>
              <w:rPr>
                <w:rFonts w:hint="eastAsia" w:ascii="仿宋" w:hAnsi="仿宋" w:eastAsia="仿宋"/>
                <w:color w:val="000000"/>
                <w:sz w:val="22"/>
                <w:szCs w:val="22"/>
              </w:rPr>
              <w:t xml:space="preserve">5.5 mm圆口 </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防护：IP66 </w:t>
            </w:r>
          </w:p>
        </w:tc>
        <w:tc>
          <w:tcPr>
            <w:tcW w:w="0" w:type="auto"/>
            <w:tcBorders>
              <w:top w:val="nil"/>
              <w:left w:val="nil"/>
              <w:bottom w:val="single" w:color="auto" w:sz="4" w:space="0"/>
              <w:right w:val="single" w:color="auto" w:sz="4" w:space="0"/>
            </w:tcBorders>
            <w:shd w:val="clear" w:color="auto" w:fill="auto"/>
            <w:noWrap/>
            <w:vAlign w:val="center"/>
          </w:tcPr>
          <w:p w14:paraId="3177EE8E">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2 </w:t>
            </w:r>
          </w:p>
        </w:tc>
        <w:tc>
          <w:tcPr>
            <w:tcW w:w="0" w:type="auto"/>
            <w:tcBorders>
              <w:top w:val="nil"/>
              <w:left w:val="nil"/>
              <w:bottom w:val="single" w:color="auto" w:sz="4" w:space="0"/>
              <w:right w:val="single" w:color="auto" w:sz="4" w:space="0"/>
            </w:tcBorders>
            <w:shd w:val="clear" w:color="auto" w:fill="auto"/>
            <w:noWrap/>
            <w:vAlign w:val="center"/>
          </w:tcPr>
          <w:p w14:paraId="61078657">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台</w:t>
            </w:r>
          </w:p>
        </w:tc>
      </w:tr>
      <w:tr w14:paraId="4923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04329B63">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247FEA93">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5A56D96D">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8口千兆网络交换机</w:t>
            </w:r>
          </w:p>
        </w:tc>
        <w:tc>
          <w:tcPr>
            <w:tcW w:w="5075" w:type="dxa"/>
            <w:tcBorders>
              <w:top w:val="nil"/>
              <w:left w:val="nil"/>
              <w:bottom w:val="single" w:color="auto" w:sz="4" w:space="0"/>
              <w:right w:val="single" w:color="auto" w:sz="4" w:space="0"/>
            </w:tcBorders>
            <w:shd w:val="clear" w:color="auto" w:fill="auto"/>
            <w:noWrap/>
            <w:vAlign w:val="center"/>
          </w:tcPr>
          <w:p w14:paraId="50E00423">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提供8个千兆PoE电口、2个千兆光口</w:t>
            </w:r>
            <w:r>
              <w:rPr>
                <w:rFonts w:hint="eastAsia" w:ascii="仿宋" w:hAnsi="仿宋" w:eastAsia="仿宋"/>
                <w:color w:val="000000"/>
                <w:sz w:val="22"/>
                <w:szCs w:val="22"/>
              </w:rPr>
              <w:br w:type="textWrapping"/>
            </w:r>
            <w:r>
              <w:rPr>
                <w:rFonts w:hint="eastAsia" w:ascii="仿宋" w:hAnsi="仿宋" w:eastAsia="仿宋"/>
                <w:color w:val="000000"/>
                <w:sz w:val="22"/>
                <w:szCs w:val="22"/>
              </w:rPr>
              <w:t>交换容量：20 Gbps</w:t>
            </w:r>
            <w:r>
              <w:rPr>
                <w:rFonts w:hint="eastAsia" w:ascii="仿宋" w:hAnsi="仿宋" w:eastAsia="仿宋"/>
                <w:color w:val="000000"/>
                <w:sz w:val="22"/>
                <w:szCs w:val="22"/>
              </w:rPr>
              <w:br w:type="textWrapping"/>
            </w:r>
            <w:r>
              <w:rPr>
                <w:rFonts w:hint="eastAsia" w:ascii="仿宋" w:hAnsi="仿宋" w:eastAsia="仿宋"/>
                <w:color w:val="000000"/>
                <w:sz w:val="22"/>
                <w:szCs w:val="22"/>
              </w:rPr>
              <w:t>包转发率：14.88 Mpps</w:t>
            </w:r>
            <w:r>
              <w:rPr>
                <w:rFonts w:hint="eastAsia" w:ascii="仿宋" w:hAnsi="仿宋" w:eastAsia="仿宋"/>
                <w:color w:val="000000"/>
                <w:sz w:val="22"/>
                <w:szCs w:val="22"/>
              </w:rPr>
              <w:br w:type="textWrapping"/>
            </w:r>
            <w:r>
              <w:rPr>
                <w:rFonts w:hint="eastAsia" w:ascii="仿宋" w:hAnsi="仿宋" w:eastAsia="仿宋"/>
                <w:color w:val="000000"/>
                <w:sz w:val="22"/>
                <w:szCs w:val="22"/>
              </w:rPr>
              <w:t>支持IEEE 802.3at/af标准</w:t>
            </w:r>
            <w:r>
              <w:rPr>
                <w:rFonts w:hint="eastAsia" w:ascii="仿宋" w:hAnsi="仿宋" w:eastAsia="仿宋"/>
                <w:color w:val="000000"/>
                <w:sz w:val="22"/>
                <w:szCs w:val="22"/>
              </w:rPr>
              <w:br w:type="textWrapping"/>
            </w:r>
            <w:r>
              <w:rPr>
                <w:rFonts w:hint="eastAsia" w:ascii="仿宋" w:hAnsi="仿宋" w:eastAsia="仿宋"/>
                <w:color w:val="000000"/>
                <w:sz w:val="22"/>
                <w:szCs w:val="22"/>
              </w:rPr>
              <w:t>端口最大供电功率：30 W</w:t>
            </w:r>
            <w:r>
              <w:rPr>
                <w:rFonts w:hint="eastAsia" w:ascii="仿宋" w:hAnsi="仿宋" w:eastAsia="仿宋"/>
                <w:color w:val="000000"/>
                <w:sz w:val="22"/>
                <w:szCs w:val="22"/>
              </w:rPr>
              <w:br w:type="textWrapping"/>
            </w:r>
            <w:r>
              <w:rPr>
                <w:rFonts w:hint="eastAsia" w:ascii="仿宋" w:hAnsi="仿宋" w:eastAsia="仿宋"/>
                <w:color w:val="000000"/>
                <w:sz w:val="22"/>
                <w:szCs w:val="22"/>
              </w:rPr>
              <w:t>整机最大供电功率：110 W</w:t>
            </w:r>
            <w:r>
              <w:rPr>
                <w:rFonts w:hint="eastAsia" w:ascii="仿宋" w:hAnsi="仿宋" w:eastAsia="仿宋"/>
                <w:color w:val="000000"/>
                <w:sz w:val="22"/>
                <w:szCs w:val="22"/>
              </w:rPr>
              <w:br w:type="textWrapping"/>
            </w:r>
            <w:r>
              <w:rPr>
                <w:rFonts w:hint="eastAsia" w:ascii="仿宋" w:hAnsi="仿宋" w:eastAsia="仿宋"/>
                <w:color w:val="000000"/>
                <w:sz w:val="22"/>
                <w:szCs w:val="22"/>
              </w:rPr>
              <w:t>支持PoE看门狗</w:t>
            </w:r>
            <w:r>
              <w:rPr>
                <w:rFonts w:hint="eastAsia" w:ascii="仿宋" w:hAnsi="仿宋" w:eastAsia="仿宋"/>
                <w:color w:val="000000"/>
                <w:sz w:val="22"/>
                <w:szCs w:val="22"/>
              </w:rPr>
              <w:br w:type="textWrapping"/>
            </w:r>
            <w:r>
              <w:rPr>
                <w:rFonts w:hint="eastAsia" w:ascii="仿宋" w:hAnsi="仿宋" w:eastAsia="仿宋"/>
                <w:color w:val="000000"/>
                <w:sz w:val="22"/>
                <w:szCs w:val="22"/>
              </w:rPr>
              <w:t>支持6 KV防浪涌（PoE口）</w:t>
            </w:r>
            <w:r>
              <w:rPr>
                <w:rFonts w:hint="eastAsia" w:ascii="仿宋" w:hAnsi="仿宋" w:eastAsia="仿宋"/>
                <w:color w:val="000000"/>
                <w:sz w:val="22"/>
                <w:szCs w:val="22"/>
              </w:rPr>
              <w:br w:type="textWrapping"/>
            </w:r>
            <w:r>
              <w:rPr>
                <w:rFonts w:hint="eastAsia" w:ascii="仿宋" w:hAnsi="仿宋" w:eastAsia="仿宋"/>
                <w:color w:val="000000"/>
                <w:sz w:val="22"/>
                <w:szCs w:val="22"/>
              </w:rPr>
              <w:t>支持IEEE 802.3、IEEE 802.3u、IEEE 802.3x、IEEE 802.3ab、IEEE 802.3z标准</w:t>
            </w:r>
            <w:r>
              <w:rPr>
                <w:rFonts w:hint="eastAsia" w:ascii="仿宋" w:hAnsi="仿宋" w:eastAsia="仿宋"/>
                <w:color w:val="000000"/>
                <w:sz w:val="22"/>
                <w:szCs w:val="22"/>
              </w:rPr>
              <w:br w:type="textWrapping"/>
            </w:r>
            <w:r>
              <w:rPr>
                <w:rFonts w:hint="eastAsia" w:ascii="仿宋" w:hAnsi="仿宋" w:eastAsia="仿宋"/>
                <w:color w:val="000000"/>
                <w:sz w:val="22"/>
                <w:szCs w:val="22"/>
              </w:rPr>
              <w:t>支持管理平台管理</w:t>
            </w:r>
            <w:r>
              <w:rPr>
                <w:rFonts w:hint="eastAsia" w:ascii="仿宋" w:hAnsi="仿宋" w:eastAsia="仿宋"/>
                <w:color w:val="000000"/>
                <w:sz w:val="22"/>
                <w:szCs w:val="22"/>
              </w:rPr>
              <w:br w:type="textWrapping"/>
            </w:r>
            <w:r>
              <w:rPr>
                <w:rFonts w:hint="eastAsia" w:ascii="仿宋" w:hAnsi="仿宋" w:eastAsia="仿宋"/>
                <w:color w:val="000000"/>
                <w:sz w:val="22"/>
                <w:szCs w:val="22"/>
              </w:rPr>
              <w:t>支持手机APP管理</w:t>
            </w:r>
            <w:r>
              <w:rPr>
                <w:rFonts w:hint="eastAsia" w:ascii="仿宋" w:hAnsi="仿宋" w:eastAsia="仿宋"/>
                <w:color w:val="000000"/>
                <w:sz w:val="22"/>
                <w:szCs w:val="22"/>
              </w:rPr>
              <w:br w:type="textWrapping"/>
            </w:r>
            <w:r>
              <w:rPr>
                <w:rFonts w:hint="eastAsia" w:ascii="仿宋" w:hAnsi="仿宋" w:eastAsia="仿宋"/>
                <w:color w:val="000000"/>
                <w:sz w:val="22"/>
                <w:szCs w:val="22"/>
              </w:rPr>
              <w:t>支持安防网络拓扑管理、链路聚合、端口管理</w:t>
            </w:r>
            <w:r>
              <w:rPr>
                <w:rFonts w:hint="eastAsia" w:ascii="仿宋" w:hAnsi="仿宋" w:eastAsia="仿宋"/>
                <w:color w:val="000000"/>
                <w:sz w:val="22"/>
                <w:szCs w:val="22"/>
              </w:rPr>
              <w:br w:type="textWrapping"/>
            </w:r>
            <w:r>
              <w:rPr>
                <w:rFonts w:hint="eastAsia" w:ascii="仿宋" w:hAnsi="仿宋" w:eastAsia="仿宋"/>
                <w:color w:val="000000"/>
                <w:sz w:val="22"/>
                <w:szCs w:val="22"/>
              </w:rPr>
              <w:t>支持远程升级</w:t>
            </w:r>
            <w:r>
              <w:rPr>
                <w:rFonts w:hint="eastAsia" w:ascii="仿宋" w:hAnsi="仿宋" w:eastAsia="仿宋"/>
                <w:color w:val="000000"/>
                <w:sz w:val="22"/>
                <w:szCs w:val="22"/>
              </w:rPr>
              <w:br w:type="textWrapping"/>
            </w:r>
            <w:r>
              <w:rPr>
                <w:rFonts w:hint="eastAsia" w:ascii="仿宋" w:hAnsi="仿宋" w:eastAsia="仿宋"/>
                <w:color w:val="000000"/>
                <w:sz w:val="22"/>
                <w:szCs w:val="22"/>
              </w:rPr>
              <w:t>支持PoE输出功率管理</w:t>
            </w:r>
            <w:r>
              <w:rPr>
                <w:rFonts w:hint="eastAsia" w:ascii="仿宋" w:hAnsi="仿宋" w:eastAsia="仿宋"/>
                <w:color w:val="000000"/>
                <w:sz w:val="22"/>
                <w:szCs w:val="22"/>
              </w:rPr>
              <w:br w:type="textWrapping"/>
            </w:r>
            <w:r>
              <w:rPr>
                <w:rFonts w:hint="eastAsia" w:ascii="仿宋" w:hAnsi="仿宋" w:eastAsia="仿宋"/>
                <w:color w:val="000000"/>
                <w:sz w:val="22"/>
                <w:szCs w:val="22"/>
              </w:rPr>
              <w:t>支持VLAN</w:t>
            </w:r>
            <w:r>
              <w:rPr>
                <w:rFonts w:hint="eastAsia" w:ascii="仿宋" w:hAnsi="仿宋" w:eastAsia="仿宋"/>
                <w:color w:val="000000"/>
                <w:sz w:val="22"/>
                <w:szCs w:val="22"/>
              </w:rPr>
              <w:br w:type="textWrapping"/>
            </w:r>
            <w:r>
              <w:rPr>
                <w:rFonts w:hint="eastAsia" w:ascii="仿宋" w:hAnsi="仿宋" w:eastAsia="仿宋"/>
                <w:color w:val="000000"/>
                <w:sz w:val="22"/>
                <w:szCs w:val="22"/>
              </w:rPr>
              <w:t>支持SNMPv1/v2c协议</w:t>
            </w:r>
            <w:r>
              <w:rPr>
                <w:rFonts w:hint="eastAsia" w:ascii="仿宋" w:hAnsi="仿宋" w:eastAsia="仿宋"/>
                <w:color w:val="000000"/>
                <w:sz w:val="22"/>
                <w:szCs w:val="22"/>
              </w:rPr>
              <w:br w:type="textWrapping"/>
            </w:r>
            <w:r>
              <w:rPr>
                <w:rFonts w:hint="eastAsia" w:ascii="仿宋" w:hAnsi="仿宋" w:eastAsia="仿宋"/>
                <w:color w:val="000000"/>
                <w:sz w:val="22"/>
                <w:szCs w:val="22"/>
              </w:rPr>
              <w:t>支持DHCP Snooping</w:t>
            </w:r>
            <w:r>
              <w:rPr>
                <w:rFonts w:hint="eastAsia" w:ascii="仿宋" w:hAnsi="仿宋" w:eastAsia="仿宋"/>
                <w:color w:val="000000"/>
                <w:sz w:val="22"/>
                <w:szCs w:val="22"/>
              </w:rPr>
              <w:br w:type="textWrapping"/>
            </w:r>
            <w:r>
              <w:rPr>
                <w:rFonts w:hint="eastAsia" w:ascii="仿宋" w:hAnsi="仿宋" w:eastAsia="仿宋"/>
                <w:color w:val="000000"/>
                <w:sz w:val="22"/>
                <w:szCs w:val="22"/>
              </w:rPr>
              <w:t>支持终端安全防护</w:t>
            </w:r>
            <w:r>
              <w:rPr>
                <w:rFonts w:hint="eastAsia" w:ascii="仿宋" w:hAnsi="仿宋" w:eastAsia="仿宋"/>
                <w:color w:val="000000"/>
                <w:sz w:val="22"/>
                <w:szCs w:val="22"/>
              </w:rPr>
              <w:br w:type="textWrapping"/>
            </w:r>
            <w:r>
              <w:rPr>
                <w:rFonts w:hint="eastAsia" w:ascii="仿宋" w:hAnsi="仿宋" w:eastAsia="仿宋"/>
                <w:color w:val="000000"/>
                <w:sz w:val="22"/>
                <w:szCs w:val="22"/>
              </w:rPr>
              <w:t>坚固式高强度金属外壳</w:t>
            </w:r>
            <w:r>
              <w:rPr>
                <w:rFonts w:hint="eastAsia" w:ascii="仿宋" w:hAnsi="仿宋" w:eastAsia="仿宋"/>
                <w:color w:val="000000"/>
                <w:sz w:val="22"/>
                <w:szCs w:val="22"/>
              </w:rPr>
              <w:br w:type="textWrapping"/>
            </w:r>
            <w:r>
              <w:rPr>
                <w:rFonts w:hint="eastAsia" w:ascii="仿宋" w:hAnsi="仿宋" w:eastAsia="仿宋"/>
                <w:color w:val="000000"/>
                <w:sz w:val="22"/>
                <w:szCs w:val="22"/>
              </w:rPr>
              <w:t>无风扇设计，高可靠性</w:t>
            </w:r>
            <w:r>
              <w:rPr>
                <w:rFonts w:hint="eastAsia" w:ascii="仿宋" w:hAnsi="仿宋" w:eastAsia="仿宋"/>
                <w:color w:val="000000"/>
                <w:sz w:val="22"/>
                <w:szCs w:val="22"/>
              </w:rPr>
              <w:br w:type="textWrapping"/>
            </w:r>
            <w:r>
              <w:rPr>
                <w:rFonts w:hint="eastAsia" w:ascii="仿宋" w:hAnsi="仿宋" w:eastAsia="仿宋"/>
                <w:color w:val="000000"/>
                <w:sz w:val="22"/>
                <w:szCs w:val="22"/>
              </w:rPr>
              <w:t>安装方式：桌面式可壁挂</w:t>
            </w:r>
          </w:p>
        </w:tc>
        <w:tc>
          <w:tcPr>
            <w:tcW w:w="0" w:type="auto"/>
            <w:tcBorders>
              <w:top w:val="nil"/>
              <w:left w:val="nil"/>
              <w:bottom w:val="single" w:color="auto" w:sz="4" w:space="0"/>
              <w:right w:val="single" w:color="auto" w:sz="4" w:space="0"/>
            </w:tcBorders>
            <w:shd w:val="clear" w:color="auto" w:fill="auto"/>
            <w:noWrap/>
            <w:vAlign w:val="center"/>
          </w:tcPr>
          <w:p w14:paraId="3D0B8EE1">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11 </w:t>
            </w:r>
          </w:p>
        </w:tc>
        <w:tc>
          <w:tcPr>
            <w:tcW w:w="0" w:type="auto"/>
            <w:tcBorders>
              <w:top w:val="nil"/>
              <w:left w:val="nil"/>
              <w:bottom w:val="single" w:color="auto" w:sz="4" w:space="0"/>
              <w:right w:val="single" w:color="auto" w:sz="4" w:space="0"/>
            </w:tcBorders>
            <w:shd w:val="clear" w:color="auto" w:fill="auto"/>
            <w:noWrap/>
            <w:vAlign w:val="center"/>
          </w:tcPr>
          <w:p w14:paraId="7F75113F">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台</w:t>
            </w:r>
          </w:p>
        </w:tc>
      </w:tr>
      <w:tr w14:paraId="4FAF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747DA0A8">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12894512">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372B76B7">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汇聚交换机</w:t>
            </w:r>
          </w:p>
        </w:tc>
        <w:tc>
          <w:tcPr>
            <w:tcW w:w="5075" w:type="dxa"/>
            <w:tcBorders>
              <w:top w:val="nil"/>
              <w:left w:val="nil"/>
              <w:bottom w:val="single" w:color="auto" w:sz="4" w:space="0"/>
              <w:right w:val="single" w:color="auto" w:sz="4" w:space="0"/>
            </w:tcBorders>
            <w:shd w:val="clear" w:color="auto" w:fill="auto"/>
            <w:noWrap/>
            <w:vAlign w:val="center"/>
          </w:tcPr>
          <w:p w14:paraId="197626A5">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端口：24个10/100/1000Base-T以太网端口（支持POE+），4个1000Base-X SFP光口</w:t>
            </w:r>
            <w:r>
              <w:rPr>
                <w:rFonts w:hint="eastAsia" w:ascii="仿宋" w:hAnsi="仿宋" w:eastAsia="仿宋"/>
                <w:color w:val="000000"/>
                <w:sz w:val="22"/>
                <w:szCs w:val="22"/>
              </w:rPr>
              <w:br w:type="textWrapping"/>
            </w:r>
            <w:r>
              <w:rPr>
                <w:rFonts w:hint="eastAsia" w:ascii="仿宋" w:hAnsi="仿宋" w:eastAsia="仿宋"/>
                <w:color w:val="000000"/>
                <w:sz w:val="22"/>
                <w:szCs w:val="22"/>
              </w:rPr>
              <w:t>交换容量：336Gbps；包转发率：92Mpps</w:t>
            </w:r>
            <w:r>
              <w:rPr>
                <w:rFonts w:hint="eastAsia" w:ascii="仿宋" w:hAnsi="仿宋" w:eastAsia="仿宋"/>
                <w:color w:val="000000"/>
                <w:sz w:val="22"/>
                <w:szCs w:val="22"/>
              </w:rPr>
              <w:br w:type="textWrapping"/>
            </w:r>
            <w:r>
              <w:rPr>
                <w:rFonts w:hint="eastAsia" w:ascii="仿宋" w:hAnsi="仿宋" w:eastAsia="仿宋"/>
                <w:color w:val="000000"/>
                <w:sz w:val="22"/>
                <w:szCs w:val="22"/>
              </w:rPr>
              <w:t>PoE标准：支持802.3at/POE+供电标准</w:t>
            </w:r>
            <w:r>
              <w:rPr>
                <w:rFonts w:hint="eastAsia" w:ascii="仿宋" w:hAnsi="仿宋" w:eastAsia="仿宋"/>
                <w:color w:val="000000"/>
                <w:sz w:val="22"/>
                <w:szCs w:val="22"/>
              </w:rPr>
              <w:br w:type="textWrapping"/>
            </w:r>
            <w:r>
              <w:rPr>
                <w:rFonts w:hint="eastAsia" w:ascii="仿宋" w:hAnsi="仿宋" w:eastAsia="仿宋"/>
                <w:color w:val="000000"/>
                <w:sz w:val="22"/>
                <w:szCs w:val="22"/>
              </w:rPr>
              <w:t>整机最大供电功率：≥370W；端口最大供电功率：≥30W</w:t>
            </w:r>
            <w:r>
              <w:rPr>
                <w:rFonts w:hint="eastAsia" w:ascii="仿宋" w:hAnsi="仿宋" w:eastAsia="仿宋"/>
                <w:color w:val="000000"/>
                <w:sz w:val="22"/>
                <w:szCs w:val="22"/>
              </w:rPr>
              <w:br w:type="textWrapping"/>
            </w:r>
            <w:r>
              <w:rPr>
                <w:rFonts w:hint="eastAsia" w:ascii="仿宋" w:hAnsi="仿宋" w:eastAsia="仿宋"/>
                <w:color w:val="000000"/>
                <w:sz w:val="22"/>
                <w:szCs w:val="22"/>
              </w:rPr>
              <w:t>支持静态聚合</w:t>
            </w:r>
            <w:r>
              <w:rPr>
                <w:rFonts w:hint="eastAsia" w:ascii="仿宋" w:hAnsi="仿宋" w:eastAsia="仿宋"/>
                <w:color w:val="000000"/>
                <w:sz w:val="22"/>
                <w:szCs w:val="22"/>
              </w:rPr>
              <w:br w:type="textWrapping"/>
            </w:r>
            <w:r>
              <w:rPr>
                <w:rFonts w:hint="eastAsia" w:ascii="仿宋" w:hAnsi="仿宋" w:eastAsia="仿宋"/>
                <w:color w:val="000000"/>
                <w:sz w:val="22"/>
                <w:szCs w:val="22"/>
              </w:rPr>
              <w:t>支持端口镜像和流镜像功能</w:t>
            </w:r>
            <w:r>
              <w:rPr>
                <w:rFonts w:hint="eastAsia" w:ascii="仿宋" w:hAnsi="仿宋" w:eastAsia="仿宋"/>
                <w:color w:val="000000"/>
                <w:sz w:val="22"/>
                <w:szCs w:val="22"/>
              </w:rPr>
              <w:br w:type="textWrapping"/>
            </w:r>
            <w:r>
              <w:rPr>
                <w:rFonts w:hint="eastAsia" w:ascii="仿宋" w:hAnsi="仿宋" w:eastAsia="仿宋"/>
                <w:color w:val="000000"/>
                <w:sz w:val="22"/>
                <w:szCs w:val="22"/>
              </w:rPr>
              <w:t>支持虚拟化技术</w:t>
            </w:r>
            <w:r>
              <w:rPr>
                <w:rFonts w:hint="eastAsia" w:ascii="仿宋" w:hAnsi="仿宋" w:eastAsia="仿宋"/>
                <w:color w:val="000000"/>
                <w:sz w:val="22"/>
                <w:szCs w:val="22"/>
              </w:rPr>
              <w:br w:type="textWrapping"/>
            </w:r>
            <w:r>
              <w:rPr>
                <w:rFonts w:hint="eastAsia" w:ascii="仿宋" w:hAnsi="仿宋" w:eastAsia="仿宋"/>
                <w:color w:val="000000"/>
                <w:sz w:val="22"/>
                <w:szCs w:val="22"/>
              </w:rPr>
              <w:t>支持ARP入侵检测功能</w:t>
            </w:r>
            <w:r>
              <w:rPr>
                <w:rFonts w:hint="eastAsia" w:ascii="仿宋" w:hAnsi="仿宋" w:eastAsia="仿宋"/>
                <w:color w:val="000000"/>
                <w:sz w:val="22"/>
                <w:szCs w:val="22"/>
              </w:rPr>
              <w:br w:type="textWrapping"/>
            </w:r>
            <w:r>
              <w:rPr>
                <w:rFonts w:hint="eastAsia" w:ascii="仿宋" w:hAnsi="仿宋" w:eastAsia="仿宋"/>
                <w:color w:val="000000"/>
                <w:sz w:val="22"/>
                <w:szCs w:val="22"/>
              </w:rPr>
              <w:t>支持vlan；支持端口限速功能</w:t>
            </w:r>
            <w:r>
              <w:rPr>
                <w:rFonts w:hint="eastAsia" w:ascii="仿宋" w:hAnsi="仿宋" w:eastAsia="仿宋"/>
                <w:color w:val="000000"/>
                <w:sz w:val="22"/>
                <w:szCs w:val="22"/>
              </w:rPr>
              <w:br w:type="textWrapping"/>
            </w:r>
            <w:r>
              <w:rPr>
                <w:rFonts w:hint="eastAsia" w:ascii="仿宋" w:hAnsi="仿宋" w:eastAsia="仿宋"/>
                <w:color w:val="000000"/>
                <w:sz w:val="22"/>
                <w:szCs w:val="22"/>
              </w:rPr>
              <w:t>支持静态路由</w:t>
            </w:r>
          </w:p>
        </w:tc>
        <w:tc>
          <w:tcPr>
            <w:tcW w:w="0" w:type="auto"/>
            <w:tcBorders>
              <w:top w:val="nil"/>
              <w:left w:val="nil"/>
              <w:bottom w:val="single" w:color="auto" w:sz="4" w:space="0"/>
              <w:right w:val="single" w:color="auto" w:sz="4" w:space="0"/>
            </w:tcBorders>
            <w:shd w:val="clear" w:color="auto" w:fill="auto"/>
            <w:noWrap/>
            <w:vAlign w:val="center"/>
          </w:tcPr>
          <w:p w14:paraId="64B54B73">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2 </w:t>
            </w:r>
          </w:p>
        </w:tc>
        <w:tc>
          <w:tcPr>
            <w:tcW w:w="0" w:type="auto"/>
            <w:tcBorders>
              <w:top w:val="nil"/>
              <w:left w:val="nil"/>
              <w:bottom w:val="single" w:color="auto" w:sz="4" w:space="0"/>
              <w:right w:val="single" w:color="auto" w:sz="4" w:space="0"/>
            </w:tcBorders>
            <w:shd w:val="clear" w:color="auto" w:fill="auto"/>
            <w:noWrap/>
            <w:vAlign w:val="center"/>
          </w:tcPr>
          <w:p w14:paraId="1A1C6DDF">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台</w:t>
            </w:r>
          </w:p>
        </w:tc>
      </w:tr>
      <w:tr w14:paraId="6079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231F0816">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7885E704">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43FC790B">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光模块</w:t>
            </w:r>
          </w:p>
        </w:tc>
        <w:tc>
          <w:tcPr>
            <w:tcW w:w="5075" w:type="dxa"/>
            <w:tcBorders>
              <w:top w:val="nil"/>
              <w:left w:val="nil"/>
              <w:bottom w:val="single" w:color="auto" w:sz="4" w:space="0"/>
              <w:right w:val="single" w:color="auto" w:sz="4" w:space="0"/>
            </w:tcBorders>
            <w:shd w:val="clear" w:color="auto" w:fill="auto"/>
            <w:noWrap/>
            <w:vAlign w:val="center"/>
          </w:tcPr>
          <w:p w14:paraId="47BC66C0">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千兆20公里单模单纤发送端模块</w:t>
            </w:r>
            <w:r>
              <w:rPr>
                <w:rFonts w:hint="eastAsia" w:ascii="仿宋" w:hAnsi="仿宋" w:eastAsia="仿宋"/>
                <w:color w:val="000000"/>
                <w:sz w:val="22"/>
                <w:szCs w:val="22"/>
              </w:rPr>
              <w:br w:type="textWrapping"/>
            </w:r>
            <w:r>
              <w:rPr>
                <w:rFonts w:hint="eastAsia" w:ascii="仿宋" w:hAnsi="仿宋" w:eastAsia="仿宋"/>
                <w:color w:val="000000"/>
                <w:sz w:val="22"/>
                <w:szCs w:val="22"/>
              </w:rPr>
              <w:t>TX1310nm/1.25G</w:t>
            </w:r>
            <w:r>
              <w:rPr>
                <w:rFonts w:hint="eastAsia" w:ascii="仿宋" w:hAnsi="仿宋" w:eastAsia="仿宋"/>
                <w:color w:val="000000"/>
                <w:sz w:val="22"/>
                <w:szCs w:val="22"/>
              </w:rPr>
              <w:br w:type="textWrapping"/>
            </w:r>
            <w:r>
              <w:rPr>
                <w:rFonts w:hint="eastAsia" w:ascii="仿宋" w:hAnsi="仿宋" w:eastAsia="仿宋"/>
                <w:color w:val="000000"/>
                <w:sz w:val="22"/>
                <w:szCs w:val="22"/>
              </w:rPr>
              <w:t>RX1550nm/1.25G</w:t>
            </w:r>
            <w:r>
              <w:rPr>
                <w:rFonts w:hint="eastAsia" w:ascii="仿宋" w:hAnsi="仿宋" w:eastAsia="仿宋"/>
                <w:color w:val="000000"/>
                <w:sz w:val="22"/>
                <w:szCs w:val="22"/>
              </w:rPr>
              <w:br w:type="textWrapping"/>
            </w:r>
            <w:r>
              <w:rPr>
                <w:rFonts w:hint="eastAsia" w:ascii="仿宋" w:hAnsi="仿宋" w:eastAsia="仿宋"/>
                <w:color w:val="000000"/>
                <w:sz w:val="22"/>
                <w:szCs w:val="22"/>
              </w:rPr>
              <w:t>LC</w:t>
            </w:r>
            <w:r>
              <w:rPr>
                <w:rFonts w:hint="eastAsia" w:ascii="仿宋" w:hAnsi="仿宋" w:eastAsia="仿宋"/>
                <w:color w:val="000000"/>
                <w:sz w:val="22"/>
                <w:szCs w:val="22"/>
              </w:rPr>
              <w:br w:type="textWrapping"/>
            </w:r>
            <w:r>
              <w:rPr>
                <w:rFonts w:hint="eastAsia" w:ascii="仿宋" w:hAnsi="仿宋" w:eastAsia="仿宋"/>
                <w:color w:val="000000"/>
                <w:sz w:val="22"/>
                <w:szCs w:val="22"/>
              </w:rPr>
              <w:t>20km</w:t>
            </w:r>
            <w:r>
              <w:rPr>
                <w:rFonts w:hint="eastAsia" w:ascii="仿宋" w:hAnsi="仿宋" w:eastAsia="仿宋"/>
                <w:color w:val="000000"/>
                <w:sz w:val="22"/>
                <w:szCs w:val="22"/>
              </w:rPr>
              <w:br w:type="textWrapping"/>
            </w:r>
            <w:r>
              <w:rPr>
                <w:rFonts w:hint="eastAsia" w:ascii="仿宋" w:hAnsi="仿宋" w:eastAsia="仿宋"/>
                <w:color w:val="000000"/>
                <w:sz w:val="22"/>
                <w:szCs w:val="22"/>
              </w:rPr>
              <w:t>0～70℃</w:t>
            </w:r>
            <w:r>
              <w:rPr>
                <w:rFonts w:hint="eastAsia" w:ascii="仿宋" w:hAnsi="仿宋" w:eastAsia="仿宋"/>
                <w:color w:val="000000"/>
                <w:sz w:val="22"/>
                <w:szCs w:val="22"/>
              </w:rPr>
              <w:br w:type="textWrapping"/>
            </w:r>
            <w:r>
              <w:rPr>
                <w:rFonts w:hint="eastAsia" w:ascii="仿宋" w:hAnsi="仿宋" w:eastAsia="仿宋"/>
                <w:color w:val="000000"/>
                <w:sz w:val="22"/>
                <w:szCs w:val="22"/>
              </w:rPr>
              <w:t>SFP</w:t>
            </w:r>
            <w:r>
              <w:rPr>
                <w:rFonts w:hint="eastAsia" w:ascii="仿宋" w:hAnsi="仿宋" w:eastAsia="仿宋"/>
                <w:color w:val="000000"/>
                <w:sz w:val="22"/>
                <w:szCs w:val="22"/>
              </w:rPr>
              <w:br w:type="textWrapping"/>
            </w:r>
            <w:r>
              <w:rPr>
                <w:rFonts w:hint="eastAsia" w:ascii="仿宋" w:hAnsi="仿宋" w:eastAsia="仿宋"/>
                <w:color w:val="000000"/>
                <w:sz w:val="22"/>
                <w:szCs w:val="22"/>
              </w:rPr>
              <w:t>发射光功率:-9～-1dBm</w:t>
            </w:r>
            <w:r>
              <w:rPr>
                <w:rFonts w:hint="eastAsia" w:ascii="仿宋" w:hAnsi="仿宋" w:eastAsia="仿宋"/>
                <w:color w:val="000000"/>
                <w:sz w:val="22"/>
                <w:szCs w:val="22"/>
              </w:rPr>
              <w:br w:type="textWrapping"/>
            </w:r>
            <w:r>
              <w:rPr>
                <w:rFonts w:hint="eastAsia" w:ascii="仿宋" w:hAnsi="仿宋" w:eastAsia="仿宋"/>
                <w:color w:val="000000"/>
                <w:sz w:val="22"/>
                <w:szCs w:val="22"/>
              </w:rPr>
              <w:t>接收灵敏度（低值）:-21dBm</w:t>
            </w:r>
          </w:p>
        </w:tc>
        <w:tc>
          <w:tcPr>
            <w:tcW w:w="0" w:type="auto"/>
            <w:tcBorders>
              <w:top w:val="nil"/>
              <w:left w:val="nil"/>
              <w:bottom w:val="single" w:color="auto" w:sz="4" w:space="0"/>
              <w:right w:val="single" w:color="auto" w:sz="4" w:space="0"/>
            </w:tcBorders>
            <w:shd w:val="clear" w:color="auto" w:fill="auto"/>
            <w:noWrap/>
            <w:vAlign w:val="center"/>
          </w:tcPr>
          <w:p w14:paraId="21BE9FBB">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13 </w:t>
            </w:r>
          </w:p>
        </w:tc>
        <w:tc>
          <w:tcPr>
            <w:tcW w:w="0" w:type="auto"/>
            <w:tcBorders>
              <w:top w:val="nil"/>
              <w:left w:val="nil"/>
              <w:bottom w:val="single" w:color="auto" w:sz="4" w:space="0"/>
              <w:right w:val="single" w:color="auto" w:sz="4" w:space="0"/>
            </w:tcBorders>
            <w:shd w:val="clear" w:color="auto" w:fill="auto"/>
            <w:noWrap/>
            <w:vAlign w:val="center"/>
          </w:tcPr>
          <w:p w14:paraId="29028374">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只</w:t>
            </w:r>
          </w:p>
        </w:tc>
      </w:tr>
      <w:tr w14:paraId="3B33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3BD3A20A">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40FC24B6">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2419341C">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光模块</w:t>
            </w:r>
          </w:p>
        </w:tc>
        <w:tc>
          <w:tcPr>
            <w:tcW w:w="5075" w:type="dxa"/>
            <w:tcBorders>
              <w:top w:val="nil"/>
              <w:left w:val="nil"/>
              <w:bottom w:val="single" w:color="auto" w:sz="4" w:space="0"/>
              <w:right w:val="single" w:color="auto" w:sz="4" w:space="0"/>
            </w:tcBorders>
            <w:shd w:val="clear" w:color="auto" w:fill="auto"/>
            <w:noWrap/>
            <w:vAlign w:val="center"/>
          </w:tcPr>
          <w:p w14:paraId="75F0CF6A">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千兆20公里单模单纤接收端模块</w:t>
            </w:r>
            <w:r>
              <w:rPr>
                <w:rFonts w:hint="eastAsia" w:ascii="仿宋" w:hAnsi="仿宋" w:eastAsia="仿宋"/>
                <w:color w:val="000000"/>
                <w:sz w:val="22"/>
                <w:szCs w:val="22"/>
              </w:rPr>
              <w:br w:type="textWrapping"/>
            </w:r>
            <w:r>
              <w:rPr>
                <w:rFonts w:hint="eastAsia" w:ascii="仿宋" w:hAnsi="仿宋" w:eastAsia="仿宋"/>
                <w:color w:val="000000"/>
                <w:sz w:val="22"/>
                <w:szCs w:val="22"/>
              </w:rPr>
              <w:t>TX1550nm/1.25G</w:t>
            </w:r>
            <w:r>
              <w:rPr>
                <w:rFonts w:hint="eastAsia" w:ascii="仿宋" w:hAnsi="仿宋" w:eastAsia="仿宋"/>
                <w:color w:val="000000"/>
                <w:sz w:val="22"/>
                <w:szCs w:val="22"/>
              </w:rPr>
              <w:br w:type="textWrapping"/>
            </w:r>
            <w:r>
              <w:rPr>
                <w:rFonts w:hint="eastAsia" w:ascii="仿宋" w:hAnsi="仿宋" w:eastAsia="仿宋"/>
                <w:color w:val="000000"/>
                <w:sz w:val="22"/>
                <w:szCs w:val="22"/>
              </w:rPr>
              <w:t>RX1310nm/1.25G</w:t>
            </w:r>
            <w:r>
              <w:rPr>
                <w:rFonts w:hint="eastAsia" w:ascii="仿宋" w:hAnsi="仿宋" w:eastAsia="仿宋"/>
                <w:color w:val="000000"/>
                <w:sz w:val="22"/>
                <w:szCs w:val="22"/>
              </w:rPr>
              <w:br w:type="textWrapping"/>
            </w:r>
            <w:r>
              <w:rPr>
                <w:rFonts w:hint="eastAsia" w:ascii="仿宋" w:hAnsi="仿宋" w:eastAsia="仿宋"/>
                <w:color w:val="000000"/>
                <w:sz w:val="22"/>
                <w:szCs w:val="22"/>
              </w:rPr>
              <w:t>LC</w:t>
            </w:r>
            <w:r>
              <w:rPr>
                <w:rFonts w:hint="eastAsia" w:ascii="仿宋" w:hAnsi="仿宋" w:eastAsia="仿宋"/>
                <w:color w:val="000000"/>
                <w:sz w:val="22"/>
                <w:szCs w:val="22"/>
              </w:rPr>
              <w:br w:type="textWrapping"/>
            </w:r>
            <w:r>
              <w:rPr>
                <w:rFonts w:hint="eastAsia" w:ascii="仿宋" w:hAnsi="仿宋" w:eastAsia="仿宋"/>
                <w:color w:val="000000"/>
                <w:sz w:val="22"/>
                <w:szCs w:val="22"/>
              </w:rPr>
              <w:t>20km</w:t>
            </w:r>
            <w:r>
              <w:rPr>
                <w:rFonts w:hint="eastAsia" w:ascii="仿宋" w:hAnsi="仿宋" w:eastAsia="仿宋"/>
                <w:color w:val="000000"/>
                <w:sz w:val="22"/>
                <w:szCs w:val="22"/>
              </w:rPr>
              <w:br w:type="textWrapping"/>
            </w:r>
            <w:r>
              <w:rPr>
                <w:rFonts w:hint="eastAsia" w:ascii="仿宋" w:hAnsi="仿宋" w:eastAsia="仿宋"/>
                <w:color w:val="000000"/>
                <w:sz w:val="22"/>
                <w:szCs w:val="22"/>
              </w:rPr>
              <w:t>0～70℃</w:t>
            </w:r>
            <w:r>
              <w:rPr>
                <w:rFonts w:hint="eastAsia" w:ascii="仿宋" w:hAnsi="仿宋" w:eastAsia="仿宋"/>
                <w:color w:val="000000"/>
                <w:sz w:val="22"/>
                <w:szCs w:val="22"/>
              </w:rPr>
              <w:br w:type="textWrapping"/>
            </w:r>
            <w:r>
              <w:rPr>
                <w:rFonts w:hint="eastAsia" w:ascii="仿宋" w:hAnsi="仿宋" w:eastAsia="仿宋"/>
                <w:color w:val="000000"/>
                <w:sz w:val="22"/>
                <w:szCs w:val="22"/>
              </w:rPr>
              <w:t>SFP</w:t>
            </w:r>
            <w:r>
              <w:rPr>
                <w:rFonts w:hint="eastAsia" w:ascii="仿宋" w:hAnsi="仿宋" w:eastAsia="仿宋"/>
                <w:color w:val="000000"/>
                <w:sz w:val="22"/>
                <w:szCs w:val="22"/>
              </w:rPr>
              <w:br w:type="textWrapping"/>
            </w:r>
            <w:r>
              <w:rPr>
                <w:rFonts w:hint="eastAsia" w:ascii="仿宋" w:hAnsi="仿宋" w:eastAsia="仿宋"/>
                <w:color w:val="000000"/>
                <w:sz w:val="22"/>
                <w:szCs w:val="22"/>
              </w:rPr>
              <w:t>发射光功率:-9～-1dBm</w:t>
            </w:r>
            <w:r>
              <w:rPr>
                <w:rFonts w:hint="eastAsia" w:ascii="仿宋" w:hAnsi="仿宋" w:eastAsia="仿宋"/>
                <w:color w:val="000000"/>
                <w:sz w:val="22"/>
                <w:szCs w:val="22"/>
              </w:rPr>
              <w:br w:type="textWrapping"/>
            </w:r>
            <w:r>
              <w:rPr>
                <w:rFonts w:hint="eastAsia" w:ascii="仿宋" w:hAnsi="仿宋" w:eastAsia="仿宋"/>
                <w:color w:val="000000"/>
                <w:sz w:val="22"/>
                <w:szCs w:val="22"/>
              </w:rPr>
              <w:t>接收灵敏度（低值）:-21dBm</w:t>
            </w:r>
          </w:p>
        </w:tc>
        <w:tc>
          <w:tcPr>
            <w:tcW w:w="0" w:type="auto"/>
            <w:tcBorders>
              <w:top w:val="nil"/>
              <w:left w:val="nil"/>
              <w:bottom w:val="single" w:color="auto" w:sz="4" w:space="0"/>
              <w:right w:val="single" w:color="auto" w:sz="4" w:space="0"/>
            </w:tcBorders>
            <w:shd w:val="clear" w:color="auto" w:fill="auto"/>
            <w:noWrap/>
            <w:vAlign w:val="center"/>
          </w:tcPr>
          <w:p w14:paraId="32520D05">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13 </w:t>
            </w:r>
          </w:p>
        </w:tc>
        <w:tc>
          <w:tcPr>
            <w:tcW w:w="0" w:type="auto"/>
            <w:tcBorders>
              <w:top w:val="nil"/>
              <w:left w:val="nil"/>
              <w:bottom w:val="single" w:color="auto" w:sz="4" w:space="0"/>
              <w:right w:val="single" w:color="auto" w:sz="4" w:space="0"/>
            </w:tcBorders>
            <w:shd w:val="clear" w:color="auto" w:fill="auto"/>
            <w:noWrap/>
            <w:vAlign w:val="center"/>
          </w:tcPr>
          <w:p w14:paraId="10CA47DE">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只</w:t>
            </w:r>
          </w:p>
        </w:tc>
      </w:tr>
      <w:tr w14:paraId="6FBA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4F71EA86">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603EFBAE">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6B4A3CB7">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汇聚交换机</w:t>
            </w:r>
          </w:p>
        </w:tc>
        <w:tc>
          <w:tcPr>
            <w:tcW w:w="5075" w:type="dxa"/>
            <w:tcBorders>
              <w:top w:val="nil"/>
              <w:left w:val="nil"/>
              <w:bottom w:val="single" w:color="auto" w:sz="4" w:space="0"/>
              <w:right w:val="single" w:color="auto" w:sz="4" w:space="0"/>
            </w:tcBorders>
            <w:shd w:val="clear" w:color="auto" w:fill="auto"/>
            <w:noWrap/>
            <w:vAlign w:val="center"/>
          </w:tcPr>
          <w:p w14:paraId="1A083803">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24口千兆非网管二层光电混合交换机</w:t>
            </w:r>
            <w:r>
              <w:rPr>
                <w:rFonts w:hint="eastAsia" w:ascii="仿宋" w:hAnsi="仿宋" w:eastAsia="仿宋"/>
                <w:color w:val="000000"/>
                <w:sz w:val="22"/>
                <w:szCs w:val="22"/>
              </w:rPr>
              <w:br w:type="textWrapping"/>
            </w:r>
            <w:r>
              <w:rPr>
                <w:rFonts w:hint="eastAsia" w:ascii="仿宋" w:hAnsi="仿宋" w:eastAsia="仿宋"/>
                <w:color w:val="000000"/>
                <w:sz w:val="22"/>
                <w:szCs w:val="22"/>
              </w:rPr>
              <w:t>机架式</w:t>
            </w:r>
            <w:r>
              <w:rPr>
                <w:rFonts w:hint="eastAsia" w:ascii="仿宋" w:hAnsi="仿宋" w:eastAsia="仿宋"/>
                <w:color w:val="000000"/>
                <w:sz w:val="22"/>
                <w:szCs w:val="22"/>
              </w:rPr>
              <w:br w:type="textWrapping"/>
            </w:r>
            <w:r>
              <w:rPr>
                <w:rFonts w:hint="eastAsia" w:ascii="仿宋" w:hAnsi="仿宋" w:eastAsia="仿宋"/>
                <w:color w:val="000000"/>
                <w:sz w:val="22"/>
                <w:szCs w:val="22"/>
              </w:rPr>
              <w:t>12个千兆电口</w:t>
            </w:r>
            <w:r>
              <w:rPr>
                <w:rFonts w:hint="eastAsia" w:ascii="仿宋" w:hAnsi="仿宋" w:eastAsia="仿宋"/>
                <w:color w:val="000000"/>
                <w:sz w:val="22"/>
                <w:szCs w:val="22"/>
              </w:rPr>
              <w:br w:type="textWrapping"/>
            </w:r>
            <w:r>
              <w:rPr>
                <w:rFonts w:hint="eastAsia" w:ascii="仿宋" w:hAnsi="仿宋" w:eastAsia="仿宋"/>
                <w:color w:val="000000"/>
                <w:sz w:val="22"/>
                <w:szCs w:val="22"/>
              </w:rPr>
              <w:t>12个千兆光口</w:t>
            </w:r>
            <w:r>
              <w:rPr>
                <w:rFonts w:hint="eastAsia" w:ascii="仿宋" w:hAnsi="仿宋" w:eastAsia="仿宋"/>
                <w:color w:val="000000"/>
                <w:sz w:val="22"/>
                <w:szCs w:val="22"/>
              </w:rPr>
              <w:br w:type="textWrapping"/>
            </w:r>
            <w:r>
              <w:rPr>
                <w:rFonts w:hint="eastAsia" w:ascii="仿宋" w:hAnsi="仿宋" w:eastAsia="仿宋"/>
                <w:color w:val="000000"/>
                <w:sz w:val="22"/>
                <w:szCs w:val="22"/>
              </w:rPr>
              <w:t>非网管。交换容量48Gbps</w:t>
            </w:r>
            <w:r>
              <w:rPr>
                <w:rFonts w:hint="eastAsia" w:ascii="仿宋" w:hAnsi="仿宋" w:eastAsia="仿宋"/>
                <w:color w:val="000000"/>
                <w:sz w:val="22"/>
                <w:szCs w:val="22"/>
              </w:rPr>
              <w:br w:type="textWrapping"/>
            </w:r>
            <w:r>
              <w:rPr>
                <w:rFonts w:hint="eastAsia" w:ascii="仿宋" w:hAnsi="仿宋" w:eastAsia="仿宋"/>
                <w:color w:val="000000"/>
                <w:sz w:val="22"/>
                <w:szCs w:val="22"/>
              </w:rPr>
              <w:t>包转发率35.7Mpps</w:t>
            </w:r>
            <w:r>
              <w:rPr>
                <w:rFonts w:hint="eastAsia" w:ascii="仿宋" w:hAnsi="仿宋" w:eastAsia="仿宋"/>
                <w:color w:val="000000"/>
                <w:sz w:val="22"/>
                <w:szCs w:val="22"/>
              </w:rPr>
              <w:br w:type="textWrapping"/>
            </w:r>
            <w:r>
              <w:rPr>
                <w:rFonts w:hint="eastAsia" w:ascii="仿宋" w:hAnsi="仿宋" w:eastAsia="仿宋"/>
                <w:color w:val="000000"/>
                <w:sz w:val="22"/>
                <w:szCs w:val="22"/>
              </w:rPr>
              <w:t>1U高度</w:t>
            </w:r>
            <w:r>
              <w:rPr>
                <w:rFonts w:hint="eastAsia" w:ascii="仿宋" w:hAnsi="仿宋" w:eastAsia="仿宋"/>
                <w:color w:val="000000"/>
                <w:sz w:val="22"/>
                <w:szCs w:val="22"/>
              </w:rPr>
              <w:br w:type="textWrapping"/>
            </w:r>
            <w:r>
              <w:rPr>
                <w:rFonts w:hint="eastAsia" w:ascii="仿宋" w:hAnsi="仿宋" w:eastAsia="仿宋"/>
                <w:color w:val="000000"/>
                <w:sz w:val="22"/>
                <w:szCs w:val="22"/>
              </w:rPr>
              <w:t>≥19英寸宽</w:t>
            </w:r>
            <w:r>
              <w:rPr>
                <w:rFonts w:hint="eastAsia" w:ascii="仿宋" w:hAnsi="仿宋" w:eastAsia="仿宋"/>
                <w:color w:val="000000"/>
                <w:sz w:val="22"/>
                <w:szCs w:val="22"/>
              </w:rPr>
              <w:br w:type="textWrapping"/>
            </w:r>
            <w:r>
              <w:rPr>
                <w:rFonts w:hint="eastAsia" w:ascii="仿宋" w:hAnsi="仿宋" w:eastAsia="仿宋"/>
                <w:color w:val="000000"/>
                <w:sz w:val="22"/>
                <w:szCs w:val="22"/>
              </w:rPr>
              <w:t>工作温度：0～40</w:t>
            </w:r>
            <w:r>
              <w:rPr>
                <w:rFonts w:hint="eastAsia" w:ascii="微软雅黑" w:hAnsi="微软雅黑" w:eastAsia="微软雅黑" w:cs="微软雅黑"/>
                <w:color w:val="000000"/>
                <w:sz w:val="22"/>
                <w:szCs w:val="22"/>
              </w:rPr>
              <w:t>˚</w:t>
            </w:r>
            <w:r>
              <w:rPr>
                <w:rFonts w:hint="eastAsia" w:ascii="仿宋" w:hAnsi="仿宋" w:eastAsia="仿宋"/>
                <w:color w:val="000000"/>
                <w:sz w:val="22"/>
                <w:szCs w:val="22"/>
              </w:rPr>
              <w:t>C</w:t>
            </w:r>
            <w:r>
              <w:rPr>
                <w:rFonts w:hint="eastAsia" w:ascii="仿宋" w:hAnsi="仿宋" w:eastAsia="仿宋"/>
                <w:color w:val="000000"/>
                <w:sz w:val="22"/>
                <w:szCs w:val="22"/>
              </w:rPr>
              <w:br w:type="textWrapping"/>
            </w:r>
            <w:r>
              <w:rPr>
                <w:rFonts w:hint="eastAsia" w:ascii="仿宋" w:hAnsi="仿宋" w:eastAsia="仿宋"/>
                <w:color w:val="000000"/>
                <w:sz w:val="22"/>
                <w:szCs w:val="22"/>
              </w:rPr>
              <w:t>支持220v交流</w:t>
            </w:r>
            <w:r>
              <w:rPr>
                <w:rFonts w:hint="eastAsia" w:ascii="仿宋" w:hAnsi="仿宋" w:eastAsia="仿宋"/>
                <w:color w:val="000000"/>
                <w:sz w:val="22"/>
                <w:szCs w:val="22"/>
              </w:rPr>
              <w:br w:type="textWrapping"/>
            </w:r>
            <w:r>
              <w:rPr>
                <w:rFonts w:hint="eastAsia" w:ascii="仿宋" w:hAnsi="仿宋" w:eastAsia="仿宋"/>
                <w:color w:val="000000"/>
                <w:sz w:val="22"/>
                <w:szCs w:val="22"/>
              </w:rPr>
              <w:t>满负荷功耗25瓦</w:t>
            </w:r>
          </w:p>
        </w:tc>
        <w:tc>
          <w:tcPr>
            <w:tcW w:w="0" w:type="auto"/>
            <w:tcBorders>
              <w:top w:val="nil"/>
              <w:left w:val="nil"/>
              <w:bottom w:val="single" w:color="auto" w:sz="4" w:space="0"/>
              <w:right w:val="single" w:color="auto" w:sz="4" w:space="0"/>
            </w:tcBorders>
            <w:shd w:val="clear" w:color="auto" w:fill="auto"/>
            <w:noWrap/>
            <w:vAlign w:val="center"/>
          </w:tcPr>
          <w:p w14:paraId="4859848F">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1 </w:t>
            </w:r>
          </w:p>
        </w:tc>
        <w:tc>
          <w:tcPr>
            <w:tcW w:w="0" w:type="auto"/>
            <w:tcBorders>
              <w:top w:val="nil"/>
              <w:left w:val="nil"/>
              <w:bottom w:val="single" w:color="auto" w:sz="4" w:space="0"/>
              <w:right w:val="single" w:color="auto" w:sz="4" w:space="0"/>
            </w:tcBorders>
            <w:shd w:val="clear" w:color="auto" w:fill="auto"/>
            <w:noWrap/>
            <w:vAlign w:val="center"/>
          </w:tcPr>
          <w:p w14:paraId="2D3F4801">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台</w:t>
            </w:r>
          </w:p>
        </w:tc>
      </w:tr>
      <w:tr w14:paraId="063AB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502A0CA7">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78344798">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08AB85C3">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硬盘录像机</w:t>
            </w:r>
          </w:p>
        </w:tc>
        <w:tc>
          <w:tcPr>
            <w:tcW w:w="5075" w:type="dxa"/>
            <w:tcBorders>
              <w:top w:val="nil"/>
              <w:left w:val="nil"/>
              <w:bottom w:val="single" w:color="auto" w:sz="4" w:space="0"/>
              <w:right w:val="single" w:color="auto" w:sz="4" w:space="0"/>
            </w:tcBorders>
            <w:shd w:val="clear" w:color="auto" w:fill="auto"/>
            <w:noWrap/>
            <w:vAlign w:val="center"/>
          </w:tcPr>
          <w:p w14:paraId="373740EA">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2U机架式8盘位嵌入式网络硬盘录像机，采用短机箱设计，搭载高性能ATX电源</w:t>
            </w:r>
            <w:r>
              <w:rPr>
                <w:rFonts w:hint="eastAsia" w:ascii="仿宋" w:hAnsi="仿宋" w:eastAsia="仿宋"/>
                <w:color w:val="000000"/>
                <w:sz w:val="22"/>
                <w:szCs w:val="22"/>
              </w:rPr>
              <w:br w:type="textWrapping"/>
            </w:r>
            <w:r>
              <w:rPr>
                <w:rFonts w:hint="eastAsia" w:ascii="仿宋" w:hAnsi="仿宋" w:eastAsia="仿宋"/>
                <w:color w:val="000000"/>
                <w:sz w:val="22"/>
                <w:szCs w:val="22"/>
              </w:rPr>
              <w:t>【硬件规格】</w:t>
            </w:r>
            <w:r>
              <w:rPr>
                <w:rFonts w:hint="eastAsia" w:ascii="仿宋" w:hAnsi="仿宋" w:eastAsia="仿宋"/>
                <w:color w:val="000000"/>
                <w:sz w:val="22"/>
                <w:szCs w:val="22"/>
              </w:rPr>
              <w:br w:type="textWrapping"/>
            </w:r>
            <w:r>
              <w:rPr>
                <w:rFonts w:hint="eastAsia" w:ascii="仿宋" w:hAnsi="仿宋" w:eastAsia="仿宋"/>
                <w:color w:val="000000"/>
                <w:sz w:val="22"/>
                <w:szCs w:val="22"/>
              </w:rPr>
              <w:t>存储接口：8个SATA接口，可满配8TB硬盘</w:t>
            </w:r>
            <w:r>
              <w:rPr>
                <w:rFonts w:hint="eastAsia" w:ascii="仿宋" w:hAnsi="仿宋" w:eastAsia="仿宋"/>
                <w:color w:val="000000"/>
                <w:sz w:val="22"/>
                <w:szCs w:val="22"/>
              </w:rPr>
              <w:br w:type="textWrapping"/>
            </w:r>
            <w:r>
              <w:rPr>
                <w:rFonts w:hint="eastAsia" w:ascii="仿宋" w:hAnsi="仿宋" w:eastAsia="仿宋"/>
                <w:color w:val="000000"/>
                <w:sz w:val="22"/>
                <w:szCs w:val="22"/>
              </w:rPr>
              <w:t>视频接口：2×HDMI，2×VGA</w:t>
            </w:r>
            <w:r>
              <w:rPr>
                <w:rFonts w:hint="eastAsia" w:ascii="仿宋" w:hAnsi="仿宋" w:eastAsia="仿宋"/>
                <w:color w:val="000000"/>
                <w:sz w:val="22"/>
                <w:szCs w:val="22"/>
              </w:rPr>
              <w:br w:type="textWrapping"/>
            </w:r>
            <w:r>
              <w:rPr>
                <w:rFonts w:hint="eastAsia" w:ascii="仿宋" w:hAnsi="仿宋" w:eastAsia="仿宋"/>
                <w:color w:val="000000"/>
                <w:sz w:val="22"/>
                <w:szCs w:val="22"/>
              </w:rPr>
              <w:t>网络接口：2×RJ45 10/100/1000Mbps自适应以太网口</w:t>
            </w:r>
            <w:r>
              <w:rPr>
                <w:rFonts w:hint="eastAsia" w:ascii="仿宋" w:hAnsi="仿宋" w:eastAsia="仿宋"/>
                <w:color w:val="000000"/>
                <w:sz w:val="22"/>
                <w:szCs w:val="22"/>
              </w:rPr>
              <w:br w:type="textWrapping"/>
            </w:r>
            <w:r>
              <w:rPr>
                <w:rFonts w:hint="eastAsia" w:ascii="仿宋" w:hAnsi="仿宋" w:eastAsia="仿宋"/>
                <w:color w:val="000000"/>
                <w:sz w:val="22"/>
                <w:szCs w:val="22"/>
              </w:rPr>
              <w:t>报警接口：16路报警输入，4路报警输出</w:t>
            </w:r>
            <w:r>
              <w:rPr>
                <w:rFonts w:hint="eastAsia" w:ascii="仿宋" w:hAnsi="仿宋" w:eastAsia="仿宋"/>
                <w:color w:val="000000"/>
                <w:sz w:val="22"/>
                <w:szCs w:val="22"/>
              </w:rPr>
              <w:br w:type="textWrapping"/>
            </w:r>
            <w:r>
              <w:rPr>
                <w:rFonts w:hint="eastAsia" w:ascii="仿宋" w:hAnsi="仿宋" w:eastAsia="仿宋"/>
                <w:color w:val="000000"/>
                <w:sz w:val="22"/>
                <w:szCs w:val="22"/>
              </w:rPr>
              <w:t>串行接口：1路RS-232接口，1路半双工RS-485接口</w:t>
            </w:r>
            <w:r>
              <w:rPr>
                <w:rFonts w:hint="eastAsia" w:ascii="仿宋" w:hAnsi="仿宋" w:eastAsia="仿宋"/>
                <w:color w:val="000000"/>
                <w:sz w:val="22"/>
                <w:szCs w:val="22"/>
              </w:rPr>
              <w:br w:type="textWrapping"/>
            </w:r>
            <w:r>
              <w:rPr>
                <w:rFonts w:hint="eastAsia" w:ascii="仿宋" w:hAnsi="仿宋" w:eastAsia="仿宋"/>
                <w:color w:val="000000"/>
                <w:sz w:val="22"/>
                <w:szCs w:val="22"/>
              </w:rPr>
              <w:t>USB接口：2×USB 2.0，1×USB 3.0</w:t>
            </w:r>
            <w:r>
              <w:rPr>
                <w:rFonts w:hint="eastAsia" w:ascii="仿宋" w:hAnsi="仿宋" w:eastAsia="仿宋"/>
                <w:color w:val="000000"/>
                <w:sz w:val="22"/>
                <w:szCs w:val="22"/>
              </w:rPr>
              <w:br w:type="textWrapping"/>
            </w:r>
            <w:r>
              <w:rPr>
                <w:rFonts w:hint="eastAsia" w:ascii="仿宋" w:hAnsi="仿宋" w:eastAsia="仿宋"/>
                <w:color w:val="000000"/>
                <w:sz w:val="22"/>
                <w:szCs w:val="22"/>
              </w:rPr>
              <w:t>【产品性能】</w:t>
            </w:r>
            <w:r>
              <w:rPr>
                <w:rFonts w:hint="eastAsia" w:ascii="仿宋" w:hAnsi="仿宋" w:eastAsia="仿宋"/>
                <w:color w:val="000000"/>
                <w:sz w:val="22"/>
                <w:szCs w:val="22"/>
              </w:rPr>
              <w:br w:type="textWrapping"/>
            </w:r>
            <w:r>
              <w:rPr>
                <w:rFonts w:hint="eastAsia" w:ascii="仿宋" w:hAnsi="仿宋" w:eastAsia="仿宋"/>
                <w:color w:val="000000"/>
                <w:sz w:val="22"/>
                <w:szCs w:val="22"/>
              </w:rPr>
              <w:t>输入带宽：≥320Mbps</w:t>
            </w:r>
            <w:r>
              <w:rPr>
                <w:rFonts w:hint="eastAsia" w:ascii="仿宋" w:hAnsi="仿宋" w:eastAsia="仿宋"/>
                <w:color w:val="000000"/>
                <w:sz w:val="22"/>
                <w:szCs w:val="22"/>
              </w:rPr>
              <w:br w:type="textWrapping"/>
            </w:r>
            <w:r>
              <w:rPr>
                <w:rFonts w:hint="eastAsia" w:ascii="仿宋" w:hAnsi="仿宋" w:eastAsia="仿宋"/>
                <w:color w:val="000000"/>
                <w:sz w:val="22"/>
                <w:szCs w:val="22"/>
              </w:rPr>
              <w:t>输出带宽：≥160Mbps</w:t>
            </w:r>
            <w:r>
              <w:rPr>
                <w:rFonts w:hint="eastAsia" w:ascii="仿宋" w:hAnsi="仿宋" w:eastAsia="仿宋"/>
                <w:color w:val="000000"/>
                <w:sz w:val="22"/>
                <w:szCs w:val="22"/>
              </w:rPr>
              <w:br w:type="textWrapping"/>
            </w:r>
            <w:r>
              <w:rPr>
                <w:rFonts w:hint="eastAsia" w:ascii="仿宋" w:hAnsi="仿宋" w:eastAsia="仿宋"/>
                <w:color w:val="000000"/>
                <w:sz w:val="22"/>
                <w:szCs w:val="22"/>
              </w:rPr>
              <w:t>接入能力：64路H.264、H.265格式高清码流接入</w:t>
            </w:r>
            <w:r>
              <w:rPr>
                <w:rFonts w:hint="eastAsia" w:ascii="仿宋" w:hAnsi="仿宋" w:eastAsia="仿宋"/>
                <w:color w:val="000000"/>
                <w:sz w:val="22"/>
                <w:szCs w:val="22"/>
              </w:rPr>
              <w:br w:type="textWrapping"/>
            </w:r>
            <w:r>
              <w:rPr>
                <w:rFonts w:hint="eastAsia" w:ascii="仿宋" w:hAnsi="仿宋" w:eastAsia="仿宋"/>
                <w:color w:val="000000"/>
                <w:sz w:val="22"/>
                <w:szCs w:val="22"/>
              </w:rPr>
              <w:t>解码能力：最大支持12×1080P</w:t>
            </w:r>
            <w:r>
              <w:rPr>
                <w:rFonts w:hint="eastAsia" w:ascii="仿宋" w:hAnsi="仿宋" w:eastAsia="仿宋"/>
                <w:color w:val="000000"/>
                <w:sz w:val="22"/>
                <w:szCs w:val="22"/>
              </w:rPr>
              <w:br w:type="textWrapping"/>
            </w:r>
            <w:r>
              <w:rPr>
                <w:rFonts w:hint="eastAsia" w:ascii="仿宋" w:hAnsi="仿宋" w:eastAsia="仿宋"/>
                <w:color w:val="000000"/>
                <w:sz w:val="22"/>
                <w:szCs w:val="22"/>
              </w:rPr>
              <w:t>显示能力：最大支持4K+1080P异源输出</w:t>
            </w:r>
            <w:r>
              <w:rPr>
                <w:rFonts w:hint="eastAsia" w:ascii="仿宋" w:hAnsi="仿宋" w:eastAsia="仿宋"/>
                <w:color w:val="000000"/>
                <w:sz w:val="22"/>
                <w:szCs w:val="22"/>
              </w:rPr>
              <w:br w:type="textWrapping"/>
            </w:r>
            <w:r>
              <w:rPr>
                <w:rFonts w:hint="eastAsia" w:ascii="仿宋" w:hAnsi="仿宋" w:eastAsia="仿宋"/>
                <w:color w:val="000000"/>
                <w:sz w:val="22"/>
                <w:szCs w:val="22"/>
              </w:rPr>
              <w:t>■支持在线检查西数硬盘的运行状态、健康状态，包括低温警报、高温警报、异步信号恢复警报、重新分配扇区技术警报，读取恢复警报、无法修复的错误警报、机械故障警报、接口CRC警报、机械故障警报、硬复位警报、软复位警报、磁头加载率警报、电源接通复位率警报、总工作负载率警报、生命周期内工作负载总量警报、上电复位警报、磁头加载计数警报、电源开启小时警报（投标时提供公安部检测报告）</w:t>
            </w:r>
            <w:r>
              <w:rPr>
                <w:rFonts w:hint="eastAsia" w:ascii="仿宋" w:hAnsi="仿宋" w:eastAsia="仿宋"/>
                <w:color w:val="000000"/>
                <w:sz w:val="22"/>
                <w:szCs w:val="22"/>
              </w:rPr>
              <w:br w:type="textWrapping"/>
            </w:r>
            <w:r>
              <w:rPr>
                <w:rFonts w:hint="eastAsia" w:ascii="仿宋" w:hAnsi="仿宋" w:eastAsia="仿宋"/>
                <w:color w:val="000000"/>
                <w:sz w:val="22"/>
                <w:szCs w:val="22"/>
              </w:rPr>
              <w:t>■接入带有温度报警、烟雾报警、障碍物遮挡报警、移动报警、防拆报警、紧急报警的智慧消防相机，当触发报警时，样机可联动录像、抓拍并保存图片、弹出报警画面、声音警告、上传中心、发送邮件、触发报警输出，并按通道、时间、类型检索报警图片，录像搜索结果支持图片和列表两种展现形式（投标时提供公安部检测报告）</w:t>
            </w:r>
          </w:p>
        </w:tc>
        <w:tc>
          <w:tcPr>
            <w:tcW w:w="0" w:type="auto"/>
            <w:tcBorders>
              <w:top w:val="nil"/>
              <w:left w:val="nil"/>
              <w:bottom w:val="single" w:color="auto" w:sz="4" w:space="0"/>
              <w:right w:val="single" w:color="auto" w:sz="4" w:space="0"/>
            </w:tcBorders>
            <w:shd w:val="clear" w:color="auto" w:fill="auto"/>
            <w:noWrap/>
            <w:vAlign w:val="center"/>
          </w:tcPr>
          <w:p w14:paraId="5DC217E3">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1 </w:t>
            </w:r>
          </w:p>
        </w:tc>
        <w:tc>
          <w:tcPr>
            <w:tcW w:w="0" w:type="auto"/>
            <w:tcBorders>
              <w:top w:val="nil"/>
              <w:left w:val="nil"/>
              <w:bottom w:val="single" w:color="auto" w:sz="4" w:space="0"/>
              <w:right w:val="single" w:color="auto" w:sz="4" w:space="0"/>
            </w:tcBorders>
            <w:shd w:val="clear" w:color="auto" w:fill="auto"/>
            <w:noWrap/>
            <w:vAlign w:val="center"/>
          </w:tcPr>
          <w:p w14:paraId="7A1B5938">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台</w:t>
            </w:r>
          </w:p>
        </w:tc>
      </w:tr>
      <w:tr w14:paraId="1A38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16E1568B">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5DC1C080">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6D02DC91">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综合管理平台</w:t>
            </w:r>
          </w:p>
        </w:tc>
        <w:tc>
          <w:tcPr>
            <w:tcW w:w="5075" w:type="dxa"/>
            <w:tcBorders>
              <w:top w:val="nil"/>
              <w:left w:val="nil"/>
              <w:bottom w:val="single" w:color="auto" w:sz="4" w:space="0"/>
              <w:right w:val="single" w:color="auto" w:sz="4" w:space="0"/>
            </w:tcBorders>
            <w:shd w:val="clear" w:color="auto" w:fill="auto"/>
            <w:noWrap/>
            <w:vAlign w:val="center"/>
          </w:tcPr>
          <w:p w14:paraId="21D4A05D">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2U单路标准机架式服务器</w:t>
            </w:r>
            <w:r>
              <w:rPr>
                <w:rFonts w:hint="eastAsia" w:ascii="仿宋" w:hAnsi="仿宋" w:eastAsia="仿宋"/>
                <w:color w:val="000000"/>
                <w:sz w:val="22"/>
                <w:szCs w:val="22"/>
              </w:rPr>
              <w:br w:type="textWrapping"/>
            </w:r>
            <w:r>
              <w:rPr>
                <w:rFonts w:hint="eastAsia" w:ascii="仿宋" w:hAnsi="仿宋" w:eastAsia="仿宋"/>
                <w:color w:val="000000"/>
                <w:sz w:val="22"/>
                <w:szCs w:val="22"/>
              </w:rPr>
              <w:t>CPU：配置1颗intel至强4510处理器，核数≥12核，主频≥2.4GHz</w:t>
            </w:r>
            <w:r>
              <w:rPr>
                <w:rFonts w:hint="eastAsia" w:ascii="仿宋" w:hAnsi="仿宋" w:eastAsia="仿宋"/>
                <w:color w:val="000000"/>
                <w:sz w:val="22"/>
                <w:szCs w:val="22"/>
              </w:rPr>
              <w:br w:type="textWrapping"/>
            </w:r>
            <w:r>
              <w:rPr>
                <w:rFonts w:hint="eastAsia" w:ascii="仿宋" w:hAnsi="仿宋" w:eastAsia="仿宋"/>
                <w:color w:val="000000"/>
                <w:sz w:val="22"/>
                <w:szCs w:val="22"/>
              </w:rPr>
              <w:t>内存：配置64G DDR5，8根内存插槽，最大支持扩展至1TB内存</w:t>
            </w:r>
            <w:r>
              <w:rPr>
                <w:rFonts w:hint="eastAsia" w:ascii="仿宋" w:hAnsi="仿宋" w:eastAsia="仿宋"/>
                <w:color w:val="000000"/>
                <w:sz w:val="22"/>
                <w:szCs w:val="22"/>
              </w:rPr>
              <w:br w:type="textWrapping"/>
            </w:r>
            <w:r>
              <w:rPr>
                <w:rFonts w:hint="eastAsia" w:ascii="仿宋" w:hAnsi="仿宋" w:eastAsia="仿宋"/>
                <w:color w:val="000000"/>
                <w:sz w:val="22"/>
                <w:szCs w:val="22"/>
              </w:rPr>
              <w:t>硬盘：配置2块1.2T 10K 2.5寸 SAS硬盘，默认支持8个3.5寸/2.5寸硬盘，可选最大支持12个3.5寸/2.5寸硬盘，可选兼容4个NVMe硬盘</w:t>
            </w:r>
            <w:r>
              <w:rPr>
                <w:rFonts w:hint="eastAsia" w:ascii="仿宋" w:hAnsi="仿宋" w:eastAsia="仿宋"/>
                <w:color w:val="000000"/>
                <w:sz w:val="22"/>
                <w:szCs w:val="22"/>
              </w:rPr>
              <w:br w:type="textWrapping"/>
            </w:r>
            <w:r>
              <w:rPr>
                <w:rFonts w:hint="eastAsia" w:ascii="仿宋" w:hAnsi="仿宋" w:eastAsia="仿宋"/>
                <w:color w:val="000000"/>
                <w:sz w:val="22"/>
                <w:szCs w:val="22"/>
              </w:rPr>
              <w:t>阵列卡：配置SAS+HBA卡，支持RAID 0/1/10;</w:t>
            </w:r>
            <w:r>
              <w:rPr>
                <w:rFonts w:hint="eastAsia" w:ascii="仿宋" w:hAnsi="仿宋" w:eastAsia="仿宋"/>
                <w:color w:val="000000"/>
                <w:sz w:val="22"/>
                <w:szCs w:val="22"/>
              </w:rPr>
              <w:br w:type="textWrapping"/>
            </w:r>
            <w:r>
              <w:rPr>
                <w:rFonts w:hint="eastAsia" w:ascii="仿宋" w:hAnsi="仿宋" w:eastAsia="仿宋"/>
                <w:color w:val="000000"/>
                <w:sz w:val="22"/>
                <w:szCs w:val="22"/>
              </w:rPr>
              <w:t>PCIE扩展：支持4个PCIe扩展插槽（包括1个OCP 插槽），其中2个PCIe 5.0</w:t>
            </w:r>
            <w:r>
              <w:rPr>
                <w:rFonts w:hint="eastAsia" w:ascii="仿宋" w:hAnsi="仿宋" w:eastAsia="仿宋"/>
                <w:color w:val="000000"/>
                <w:sz w:val="22"/>
                <w:szCs w:val="22"/>
              </w:rPr>
              <w:br w:type="textWrapping"/>
            </w:r>
            <w:r>
              <w:rPr>
                <w:rFonts w:hint="eastAsia" w:ascii="仿宋" w:hAnsi="仿宋" w:eastAsia="仿宋"/>
                <w:color w:val="000000"/>
                <w:sz w:val="22"/>
                <w:szCs w:val="22"/>
              </w:rPr>
              <w:t>网口：板载2个千兆电口； 支持选配10GbE、25GbE SFP+等多种网络接口</w:t>
            </w:r>
            <w:r>
              <w:rPr>
                <w:rFonts w:hint="eastAsia" w:ascii="仿宋" w:hAnsi="仿宋" w:eastAsia="仿宋"/>
                <w:color w:val="000000"/>
                <w:sz w:val="22"/>
                <w:szCs w:val="22"/>
              </w:rPr>
              <w:br w:type="textWrapping"/>
            </w:r>
            <w:r>
              <w:rPr>
                <w:rFonts w:hint="eastAsia" w:ascii="仿宋" w:hAnsi="仿宋" w:eastAsia="仿宋"/>
                <w:color w:val="000000"/>
                <w:sz w:val="22"/>
                <w:szCs w:val="22"/>
              </w:rPr>
              <w:t>其他接口：1个RJ45管理接口，后置2个USB 3.0接口，前置2个USB2.0接口，1个VGA接口</w:t>
            </w:r>
            <w:r>
              <w:rPr>
                <w:rFonts w:hint="eastAsia" w:ascii="仿宋" w:hAnsi="仿宋" w:eastAsia="仿宋"/>
                <w:color w:val="000000"/>
                <w:sz w:val="22"/>
                <w:szCs w:val="22"/>
              </w:rPr>
              <w:br w:type="textWrapping"/>
            </w:r>
            <w:r>
              <w:rPr>
                <w:rFonts w:hint="eastAsia" w:ascii="仿宋" w:hAnsi="仿宋" w:eastAsia="仿宋"/>
                <w:color w:val="000000"/>
                <w:sz w:val="22"/>
                <w:szCs w:val="22"/>
              </w:rPr>
              <w:t>电源：标配550W（1+1）高效白金热插拔冗余电源</w:t>
            </w:r>
            <w:r>
              <w:rPr>
                <w:rFonts w:hint="eastAsia" w:ascii="仿宋" w:hAnsi="仿宋" w:eastAsia="仿宋"/>
                <w:color w:val="000000"/>
                <w:sz w:val="22"/>
                <w:szCs w:val="22"/>
              </w:rPr>
              <w:br w:type="textWrapping"/>
            </w:r>
            <w:r>
              <w:rPr>
                <w:rFonts w:hint="eastAsia" w:ascii="仿宋" w:hAnsi="仿宋" w:eastAsia="仿宋"/>
                <w:color w:val="000000"/>
                <w:sz w:val="22"/>
                <w:szCs w:val="22"/>
              </w:rPr>
              <w:t>机箱规格：≥87mm(高)x 466mm(宽)x680mm(深)</w:t>
            </w:r>
          </w:p>
        </w:tc>
        <w:tc>
          <w:tcPr>
            <w:tcW w:w="0" w:type="auto"/>
            <w:tcBorders>
              <w:top w:val="nil"/>
              <w:left w:val="nil"/>
              <w:bottom w:val="single" w:color="auto" w:sz="4" w:space="0"/>
              <w:right w:val="single" w:color="auto" w:sz="4" w:space="0"/>
            </w:tcBorders>
            <w:shd w:val="clear" w:color="auto" w:fill="auto"/>
            <w:noWrap/>
            <w:vAlign w:val="center"/>
          </w:tcPr>
          <w:p w14:paraId="7518C2A9">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1 </w:t>
            </w:r>
          </w:p>
        </w:tc>
        <w:tc>
          <w:tcPr>
            <w:tcW w:w="0" w:type="auto"/>
            <w:tcBorders>
              <w:top w:val="nil"/>
              <w:left w:val="nil"/>
              <w:bottom w:val="single" w:color="auto" w:sz="4" w:space="0"/>
              <w:right w:val="single" w:color="auto" w:sz="4" w:space="0"/>
            </w:tcBorders>
            <w:shd w:val="clear" w:color="auto" w:fill="auto"/>
            <w:noWrap/>
            <w:vAlign w:val="center"/>
          </w:tcPr>
          <w:p w14:paraId="51F0B40C">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台</w:t>
            </w:r>
          </w:p>
        </w:tc>
      </w:tr>
      <w:tr w14:paraId="4E28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7211A206">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2981C63A">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729E7742">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6T企业级监控硬盘</w:t>
            </w:r>
          </w:p>
        </w:tc>
        <w:tc>
          <w:tcPr>
            <w:tcW w:w="5075" w:type="dxa"/>
            <w:tcBorders>
              <w:top w:val="nil"/>
              <w:left w:val="nil"/>
              <w:bottom w:val="single" w:color="auto" w:sz="4" w:space="0"/>
              <w:right w:val="single" w:color="auto" w:sz="4" w:space="0"/>
            </w:tcBorders>
            <w:shd w:val="clear" w:color="auto" w:fill="auto"/>
            <w:noWrap/>
            <w:vAlign w:val="center"/>
          </w:tcPr>
          <w:p w14:paraId="44521729">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6TB容量，3.5英寸 SATA 3.0接口，5400RPM</w:t>
            </w:r>
            <w:r>
              <w:rPr>
                <w:rFonts w:hint="eastAsia" w:ascii="仿宋" w:hAnsi="仿宋" w:eastAsia="仿宋"/>
                <w:color w:val="000000"/>
                <w:sz w:val="22"/>
                <w:szCs w:val="22"/>
              </w:rPr>
              <w:br w:type="textWrapping"/>
            </w:r>
            <w:r>
              <w:rPr>
                <w:rFonts w:hint="eastAsia" w:ascii="仿宋" w:hAnsi="仿宋" w:eastAsia="仿宋"/>
                <w:color w:val="000000"/>
                <w:sz w:val="22"/>
                <w:szCs w:val="22"/>
              </w:rPr>
              <w:t>单硬盘支持多达32个摄像头的高清流</w:t>
            </w:r>
            <w:r>
              <w:rPr>
                <w:rFonts w:hint="eastAsia" w:ascii="仿宋" w:hAnsi="仿宋" w:eastAsia="仿宋"/>
                <w:color w:val="000000"/>
                <w:sz w:val="22"/>
                <w:szCs w:val="22"/>
              </w:rPr>
              <w:br w:type="textWrapping"/>
            </w:r>
            <w:r>
              <w:rPr>
                <w:rFonts w:hint="eastAsia" w:ascii="仿宋" w:hAnsi="仿宋" w:eastAsia="仿宋"/>
                <w:color w:val="000000"/>
                <w:sz w:val="22"/>
                <w:szCs w:val="22"/>
              </w:rPr>
              <w:t>高达256MiB缓冲区，流畅存储视频有效防止丢帧</w:t>
            </w:r>
            <w:r>
              <w:rPr>
                <w:rFonts w:hint="eastAsia" w:ascii="仿宋" w:hAnsi="仿宋" w:eastAsia="仿宋"/>
                <w:color w:val="000000"/>
                <w:sz w:val="22"/>
                <w:szCs w:val="22"/>
              </w:rPr>
              <w:br w:type="textWrapping"/>
            </w:r>
            <w:r>
              <w:rPr>
                <w:rFonts w:hint="eastAsia" w:ascii="仿宋" w:hAnsi="仿宋" w:eastAsia="仿宋"/>
                <w:color w:val="000000"/>
                <w:sz w:val="22"/>
                <w:szCs w:val="22"/>
              </w:rPr>
              <w:t>24×7全天候高效稳定运行</w:t>
            </w:r>
            <w:r>
              <w:rPr>
                <w:rFonts w:hint="eastAsia" w:ascii="仿宋" w:hAnsi="仿宋" w:eastAsia="仿宋"/>
                <w:color w:val="000000"/>
                <w:sz w:val="22"/>
                <w:szCs w:val="22"/>
              </w:rPr>
              <w:br w:type="textWrapping"/>
            </w:r>
            <w:r>
              <w:rPr>
                <w:rFonts w:hint="eastAsia" w:ascii="仿宋" w:hAnsi="仿宋" w:eastAsia="仿宋"/>
                <w:color w:val="000000"/>
                <w:sz w:val="22"/>
                <w:szCs w:val="22"/>
              </w:rPr>
              <w:t>年度工作负载等级为180TB/年</w:t>
            </w:r>
            <w:r>
              <w:rPr>
                <w:rFonts w:hint="eastAsia" w:ascii="仿宋" w:hAnsi="仿宋" w:eastAsia="仿宋"/>
                <w:color w:val="000000"/>
                <w:sz w:val="22"/>
                <w:szCs w:val="22"/>
              </w:rPr>
              <w:br w:type="textWrapping"/>
            </w:r>
            <w:r>
              <w:rPr>
                <w:rFonts w:hint="eastAsia" w:ascii="仿宋" w:hAnsi="仿宋" w:eastAsia="仿宋"/>
                <w:color w:val="000000"/>
                <w:sz w:val="22"/>
                <w:szCs w:val="22"/>
              </w:rPr>
              <w:t>MTBF1,000,000小时</w:t>
            </w:r>
            <w:r>
              <w:rPr>
                <w:rFonts w:hint="eastAsia" w:ascii="仿宋" w:hAnsi="仿宋" w:eastAsia="仿宋"/>
                <w:color w:val="000000"/>
                <w:sz w:val="22"/>
                <w:szCs w:val="22"/>
              </w:rPr>
              <w:br w:type="textWrapping"/>
            </w:r>
            <w:r>
              <w:rPr>
                <w:rFonts w:hint="eastAsia" w:ascii="仿宋" w:hAnsi="仿宋" w:eastAsia="仿宋"/>
                <w:color w:val="000000"/>
                <w:sz w:val="22"/>
                <w:szCs w:val="22"/>
              </w:rPr>
              <w:t>高级格式（AF）512e扇区技术，保障硬盘扇区4K对齐</w:t>
            </w:r>
            <w:r>
              <w:rPr>
                <w:rFonts w:hint="eastAsia" w:ascii="仿宋" w:hAnsi="仿宋" w:eastAsia="仿宋"/>
                <w:color w:val="000000"/>
                <w:sz w:val="22"/>
                <w:szCs w:val="22"/>
              </w:rPr>
              <w:br w:type="textWrapping"/>
            </w:r>
            <w:r>
              <w:rPr>
                <w:rFonts w:hint="eastAsia" w:ascii="仿宋" w:hAnsi="仿宋" w:eastAsia="仿宋"/>
                <w:color w:val="000000"/>
                <w:sz w:val="22"/>
                <w:szCs w:val="22"/>
              </w:rPr>
              <w:t>支持3年有限质保服务</w:t>
            </w:r>
          </w:p>
        </w:tc>
        <w:tc>
          <w:tcPr>
            <w:tcW w:w="0" w:type="auto"/>
            <w:tcBorders>
              <w:top w:val="nil"/>
              <w:left w:val="nil"/>
              <w:bottom w:val="single" w:color="auto" w:sz="4" w:space="0"/>
              <w:right w:val="single" w:color="auto" w:sz="4" w:space="0"/>
            </w:tcBorders>
            <w:shd w:val="clear" w:color="auto" w:fill="auto"/>
            <w:noWrap/>
            <w:vAlign w:val="center"/>
          </w:tcPr>
          <w:p w14:paraId="1C4F6739">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8 </w:t>
            </w:r>
          </w:p>
        </w:tc>
        <w:tc>
          <w:tcPr>
            <w:tcW w:w="0" w:type="auto"/>
            <w:tcBorders>
              <w:top w:val="nil"/>
              <w:left w:val="nil"/>
              <w:bottom w:val="single" w:color="auto" w:sz="4" w:space="0"/>
              <w:right w:val="single" w:color="auto" w:sz="4" w:space="0"/>
            </w:tcBorders>
            <w:shd w:val="clear" w:color="auto" w:fill="auto"/>
            <w:noWrap/>
            <w:vAlign w:val="center"/>
          </w:tcPr>
          <w:p w14:paraId="2D37BBB1">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个</w:t>
            </w:r>
          </w:p>
        </w:tc>
      </w:tr>
      <w:tr w14:paraId="3BF2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797140C4">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08CEA39B">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7A672348">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操作台</w:t>
            </w:r>
          </w:p>
        </w:tc>
        <w:tc>
          <w:tcPr>
            <w:tcW w:w="5075" w:type="dxa"/>
            <w:tcBorders>
              <w:top w:val="nil"/>
              <w:left w:val="nil"/>
              <w:bottom w:val="single" w:color="auto" w:sz="4" w:space="0"/>
              <w:right w:val="single" w:color="auto" w:sz="4" w:space="0"/>
            </w:tcBorders>
            <w:shd w:val="clear" w:color="auto" w:fill="auto"/>
            <w:noWrap/>
            <w:vAlign w:val="center"/>
          </w:tcPr>
          <w:p w14:paraId="61C18747">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2联烤漆，去油、磷化、电泳底漆、静电喷粉</w:t>
            </w:r>
          </w:p>
        </w:tc>
        <w:tc>
          <w:tcPr>
            <w:tcW w:w="0" w:type="auto"/>
            <w:tcBorders>
              <w:top w:val="nil"/>
              <w:left w:val="nil"/>
              <w:bottom w:val="single" w:color="auto" w:sz="4" w:space="0"/>
              <w:right w:val="single" w:color="auto" w:sz="4" w:space="0"/>
            </w:tcBorders>
            <w:shd w:val="clear" w:color="auto" w:fill="auto"/>
            <w:noWrap/>
            <w:vAlign w:val="center"/>
          </w:tcPr>
          <w:p w14:paraId="586F8E07">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1 </w:t>
            </w:r>
          </w:p>
        </w:tc>
        <w:tc>
          <w:tcPr>
            <w:tcW w:w="0" w:type="auto"/>
            <w:tcBorders>
              <w:top w:val="nil"/>
              <w:left w:val="nil"/>
              <w:bottom w:val="single" w:color="auto" w:sz="4" w:space="0"/>
              <w:right w:val="single" w:color="auto" w:sz="4" w:space="0"/>
            </w:tcBorders>
            <w:shd w:val="clear" w:color="auto" w:fill="auto"/>
            <w:noWrap/>
            <w:vAlign w:val="center"/>
          </w:tcPr>
          <w:p w14:paraId="4AA87736">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台</w:t>
            </w:r>
          </w:p>
        </w:tc>
      </w:tr>
      <w:tr w14:paraId="196E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5616055D">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25D89B86">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01D33C40">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机柜</w:t>
            </w:r>
          </w:p>
        </w:tc>
        <w:tc>
          <w:tcPr>
            <w:tcW w:w="5075" w:type="dxa"/>
            <w:tcBorders>
              <w:top w:val="nil"/>
              <w:left w:val="nil"/>
              <w:bottom w:val="single" w:color="auto" w:sz="4" w:space="0"/>
              <w:right w:val="single" w:color="auto" w:sz="4" w:space="0"/>
            </w:tcBorders>
            <w:shd w:val="clear" w:color="auto" w:fill="auto"/>
            <w:noWrap/>
            <w:vAlign w:val="center"/>
          </w:tcPr>
          <w:p w14:paraId="1FBB0B30">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类别  网络服务器机柜</w:t>
            </w:r>
            <w:r>
              <w:rPr>
                <w:rFonts w:hint="eastAsia" w:ascii="仿宋" w:hAnsi="仿宋" w:eastAsia="仿宋"/>
                <w:color w:val="000000"/>
                <w:sz w:val="22"/>
                <w:szCs w:val="22"/>
              </w:rPr>
              <w:br w:type="textWrapping"/>
            </w:r>
            <w:r>
              <w:rPr>
                <w:rFonts w:hint="eastAsia" w:ascii="仿宋" w:hAnsi="仿宋" w:eastAsia="仿宋"/>
                <w:color w:val="000000"/>
                <w:sz w:val="22"/>
                <w:szCs w:val="22"/>
              </w:rPr>
              <w:t>容量 ≥ 42U</w:t>
            </w:r>
            <w:r>
              <w:rPr>
                <w:rFonts w:hint="eastAsia" w:ascii="仿宋" w:hAnsi="仿宋" w:eastAsia="仿宋"/>
                <w:color w:val="000000"/>
                <w:sz w:val="22"/>
                <w:szCs w:val="22"/>
              </w:rPr>
              <w:br w:type="textWrapping"/>
            </w:r>
            <w:r>
              <w:rPr>
                <w:rFonts w:hint="eastAsia" w:ascii="仿宋" w:hAnsi="仿宋" w:eastAsia="仿宋"/>
                <w:color w:val="000000"/>
                <w:sz w:val="22"/>
                <w:szCs w:val="22"/>
              </w:rPr>
              <w:t>尺寸  ≥800mm*1000mm</w:t>
            </w:r>
            <w:r>
              <w:rPr>
                <w:rFonts w:hint="eastAsia" w:ascii="仿宋" w:hAnsi="仿宋" w:eastAsia="仿宋"/>
                <w:color w:val="000000"/>
                <w:sz w:val="22"/>
                <w:szCs w:val="22"/>
              </w:rPr>
              <w:br w:type="textWrapping"/>
            </w:r>
            <w:r>
              <w:rPr>
                <w:rFonts w:hint="eastAsia" w:ascii="仿宋" w:hAnsi="仿宋" w:eastAsia="仿宋"/>
                <w:color w:val="000000"/>
                <w:sz w:val="22"/>
                <w:szCs w:val="22"/>
              </w:rPr>
              <w:t>配置  前钢化玻璃后板门</w:t>
            </w:r>
            <w:r>
              <w:rPr>
                <w:rFonts w:hint="eastAsia" w:ascii="仿宋" w:hAnsi="仿宋" w:eastAsia="仿宋"/>
                <w:color w:val="000000"/>
                <w:sz w:val="22"/>
                <w:szCs w:val="22"/>
              </w:rPr>
              <w:br w:type="textWrapping"/>
            </w:r>
            <w:r>
              <w:rPr>
                <w:rFonts w:hint="eastAsia" w:ascii="仿宋" w:hAnsi="仿宋" w:eastAsia="仿宋"/>
                <w:color w:val="000000"/>
                <w:sz w:val="22"/>
                <w:szCs w:val="22"/>
              </w:rPr>
              <w:t>颜色  黑</w:t>
            </w:r>
            <w:r>
              <w:rPr>
                <w:rFonts w:hint="eastAsia" w:ascii="仿宋" w:hAnsi="仿宋" w:eastAsia="仿宋"/>
                <w:color w:val="000000"/>
                <w:sz w:val="22"/>
                <w:szCs w:val="22"/>
              </w:rPr>
              <w:br w:type="textWrapping"/>
            </w:r>
            <w:r>
              <w:rPr>
                <w:rFonts w:hint="eastAsia" w:ascii="仿宋" w:hAnsi="仿宋" w:eastAsia="仿宋"/>
                <w:color w:val="000000"/>
                <w:sz w:val="22"/>
                <w:szCs w:val="22"/>
              </w:rPr>
              <w:t>承载  静载≥800KG</w:t>
            </w:r>
            <w:r>
              <w:rPr>
                <w:rFonts w:hint="eastAsia" w:ascii="仿宋" w:hAnsi="仿宋" w:eastAsia="仿宋"/>
                <w:color w:val="000000"/>
                <w:sz w:val="22"/>
                <w:szCs w:val="22"/>
              </w:rPr>
              <w:br w:type="textWrapping"/>
            </w:r>
            <w:r>
              <w:rPr>
                <w:rFonts w:hint="eastAsia" w:ascii="仿宋" w:hAnsi="仿宋" w:eastAsia="仿宋"/>
                <w:color w:val="000000"/>
                <w:sz w:val="22"/>
                <w:szCs w:val="22"/>
              </w:rPr>
              <w:t>防护等级  IP20</w:t>
            </w:r>
            <w:r>
              <w:rPr>
                <w:rFonts w:hint="eastAsia" w:ascii="仿宋" w:hAnsi="仿宋" w:eastAsia="仿宋"/>
                <w:color w:val="000000"/>
                <w:sz w:val="22"/>
                <w:szCs w:val="22"/>
              </w:rPr>
              <w:br w:type="textWrapping"/>
            </w:r>
            <w:r>
              <w:rPr>
                <w:rFonts w:hint="eastAsia" w:ascii="仿宋" w:hAnsi="仿宋" w:eastAsia="仿宋"/>
                <w:color w:val="000000"/>
                <w:sz w:val="22"/>
                <w:szCs w:val="22"/>
              </w:rPr>
              <w:t>主要材料  SPCC优质冷扎钢板制作</w:t>
            </w:r>
            <w:r>
              <w:rPr>
                <w:rFonts w:hint="eastAsia" w:ascii="仿宋" w:hAnsi="仿宋" w:eastAsia="仿宋"/>
                <w:color w:val="000000"/>
                <w:sz w:val="22"/>
                <w:szCs w:val="22"/>
              </w:rPr>
              <w:br w:type="textWrapping"/>
            </w:r>
            <w:r>
              <w:rPr>
                <w:rFonts w:hint="eastAsia" w:ascii="仿宋" w:hAnsi="仿宋" w:eastAsia="仿宋"/>
                <w:color w:val="000000"/>
                <w:sz w:val="22"/>
                <w:szCs w:val="22"/>
              </w:rPr>
              <w:t>方孔条厚度  ≥2.0mm</w:t>
            </w:r>
            <w:r>
              <w:rPr>
                <w:rFonts w:hint="eastAsia" w:ascii="仿宋" w:hAnsi="仿宋" w:eastAsia="仿宋"/>
                <w:color w:val="000000"/>
                <w:sz w:val="22"/>
                <w:szCs w:val="22"/>
              </w:rPr>
              <w:br w:type="textWrapping"/>
            </w:r>
            <w:r>
              <w:rPr>
                <w:rFonts w:hint="eastAsia" w:ascii="仿宋" w:hAnsi="仿宋" w:eastAsia="仿宋"/>
                <w:color w:val="000000"/>
                <w:sz w:val="22"/>
                <w:szCs w:val="22"/>
              </w:rPr>
              <w:t>安装梁厚度  ≥1.5mm</w:t>
            </w:r>
          </w:p>
        </w:tc>
        <w:tc>
          <w:tcPr>
            <w:tcW w:w="0" w:type="auto"/>
            <w:tcBorders>
              <w:top w:val="nil"/>
              <w:left w:val="nil"/>
              <w:bottom w:val="single" w:color="auto" w:sz="4" w:space="0"/>
              <w:right w:val="single" w:color="auto" w:sz="4" w:space="0"/>
            </w:tcBorders>
            <w:shd w:val="clear" w:color="auto" w:fill="auto"/>
            <w:noWrap/>
            <w:vAlign w:val="center"/>
          </w:tcPr>
          <w:p w14:paraId="65A90329">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2 </w:t>
            </w:r>
          </w:p>
        </w:tc>
        <w:tc>
          <w:tcPr>
            <w:tcW w:w="0" w:type="auto"/>
            <w:tcBorders>
              <w:top w:val="nil"/>
              <w:left w:val="nil"/>
              <w:bottom w:val="single" w:color="auto" w:sz="4" w:space="0"/>
              <w:right w:val="single" w:color="auto" w:sz="4" w:space="0"/>
            </w:tcBorders>
            <w:shd w:val="clear" w:color="auto" w:fill="auto"/>
            <w:noWrap/>
            <w:vAlign w:val="center"/>
          </w:tcPr>
          <w:p w14:paraId="1FEB1AC2">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台</w:t>
            </w:r>
          </w:p>
        </w:tc>
      </w:tr>
      <w:tr w14:paraId="0DE6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34262029">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35AC85DC">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36980EE8">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PDU插排</w:t>
            </w:r>
          </w:p>
        </w:tc>
        <w:tc>
          <w:tcPr>
            <w:tcW w:w="5075" w:type="dxa"/>
            <w:tcBorders>
              <w:top w:val="nil"/>
              <w:left w:val="nil"/>
              <w:bottom w:val="single" w:color="auto" w:sz="4" w:space="0"/>
              <w:right w:val="single" w:color="auto" w:sz="4" w:space="0"/>
            </w:tcBorders>
            <w:shd w:val="clear" w:color="auto" w:fill="auto"/>
            <w:noWrap/>
            <w:vAlign w:val="center"/>
          </w:tcPr>
          <w:p w14:paraId="0280A6CA">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8插位，线长3米，过载保护，尺寸490*45*45mm</w:t>
            </w:r>
          </w:p>
        </w:tc>
        <w:tc>
          <w:tcPr>
            <w:tcW w:w="0" w:type="auto"/>
            <w:tcBorders>
              <w:top w:val="nil"/>
              <w:left w:val="nil"/>
              <w:bottom w:val="single" w:color="auto" w:sz="4" w:space="0"/>
              <w:right w:val="single" w:color="auto" w:sz="4" w:space="0"/>
            </w:tcBorders>
            <w:shd w:val="clear" w:color="auto" w:fill="auto"/>
            <w:noWrap/>
            <w:vAlign w:val="center"/>
          </w:tcPr>
          <w:p w14:paraId="1C8B31F5">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2 </w:t>
            </w:r>
          </w:p>
        </w:tc>
        <w:tc>
          <w:tcPr>
            <w:tcW w:w="0" w:type="auto"/>
            <w:tcBorders>
              <w:top w:val="nil"/>
              <w:left w:val="nil"/>
              <w:bottom w:val="single" w:color="auto" w:sz="4" w:space="0"/>
              <w:right w:val="single" w:color="auto" w:sz="4" w:space="0"/>
            </w:tcBorders>
            <w:shd w:val="clear" w:color="auto" w:fill="auto"/>
            <w:noWrap/>
            <w:vAlign w:val="center"/>
          </w:tcPr>
          <w:p w14:paraId="23083BAE">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只</w:t>
            </w:r>
          </w:p>
        </w:tc>
      </w:tr>
      <w:tr w14:paraId="6BE7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56DC8D9F">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6631F0CA">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24EF6208">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监控工作站</w:t>
            </w:r>
          </w:p>
        </w:tc>
        <w:tc>
          <w:tcPr>
            <w:tcW w:w="5075" w:type="dxa"/>
            <w:tcBorders>
              <w:top w:val="nil"/>
              <w:left w:val="nil"/>
              <w:bottom w:val="single" w:color="auto" w:sz="4" w:space="0"/>
              <w:right w:val="single" w:color="auto" w:sz="4" w:space="0"/>
            </w:tcBorders>
            <w:shd w:val="clear" w:color="auto" w:fill="auto"/>
            <w:noWrap/>
            <w:vAlign w:val="center"/>
          </w:tcPr>
          <w:p w14:paraId="0E908EEC">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显示器：≥27寸LCD</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CPU：INTEL I7 12700F                             </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内存：≥16G 3200   </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硬盘：WD 500G  M.2 </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独立显卡    </w:t>
            </w:r>
          </w:p>
        </w:tc>
        <w:tc>
          <w:tcPr>
            <w:tcW w:w="0" w:type="auto"/>
            <w:tcBorders>
              <w:top w:val="nil"/>
              <w:left w:val="nil"/>
              <w:bottom w:val="single" w:color="auto" w:sz="4" w:space="0"/>
              <w:right w:val="single" w:color="auto" w:sz="4" w:space="0"/>
            </w:tcBorders>
            <w:shd w:val="clear" w:color="auto" w:fill="auto"/>
            <w:noWrap/>
            <w:vAlign w:val="center"/>
          </w:tcPr>
          <w:p w14:paraId="5AC7A82F">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1 </w:t>
            </w:r>
          </w:p>
        </w:tc>
        <w:tc>
          <w:tcPr>
            <w:tcW w:w="0" w:type="auto"/>
            <w:tcBorders>
              <w:top w:val="nil"/>
              <w:left w:val="nil"/>
              <w:bottom w:val="single" w:color="auto" w:sz="4" w:space="0"/>
              <w:right w:val="single" w:color="auto" w:sz="4" w:space="0"/>
            </w:tcBorders>
            <w:shd w:val="clear" w:color="auto" w:fill="auto"/>
            <w:noWrap/>
            <w:vAlign w:val="center"/>
          </w:tcPr>
          <w:p w14:paraId="388BF29C">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台</w:t>
            </w:r>
          </w:p>
        </w:tc>
      </w:tr>
      <w:tr w14:paraId="4544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1B17C24B">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79857BA7">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10E5AFA8">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监控显示屏65寸</w:t>
            </w:r>
          </w:p>
        </w:tc>
        <w:tc>
          <w:tcPr>
            <w:tcW w:w="5075" w:type="dxa"/>
            <w:tcBorders>
              <w:top w:val="nil"/>
              <w:left w:val="nil"/>
              <w:bottom w:val="single" w:color="auto" w:sz="4" w:space="0"/>
              <w:right w:val="single" w:color="auto" w:sz="4" w:space="0"/>
            </w:tcBorders>
            <w:shd w:val="clear" w:color="auto" w:fill="auto"/>
            <w:noWrap/>
            <w:vAlign w:val="center"/>
          </w:tcPr>
          <w:p w14:paraId="5690686B">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支持3840 × 2160超高清显示;</w:t>
            </w:r>
            <w:r>
              <w:rPr>
                <w:rFonts w:hint="eastAsia" w:ascii="仿宋" w:hAnsi="仿宋" w:eastAsia="仿宋"/>
                <w:color w:val="000000"/>
                <w:sz w:val="22"/>
                <w:szCs w:val="22"/>
              </w:rPr>
              <w:br w:type="textWrapping"/>
            </w:r>
            <w:r>
              <w:rPr>
                <w:rFonts w:hint="eastAsia" w:ascii="仿宋" w:hAnsi="仿宋" w:eastAsia="仿宋"/>
                <w:color w:val="000000"/>
                <w:sz w:val="22"/>
                <w:szCs w:val="22"/>
              </w:rPr>
              <w:t>1.07B 真色彩，高清晰画质，高对比度;</w:t>
            </w:r>
            <w:r>
              <w:rPr>
                <w:rFonts w:hint="eastAsia" w:ascii="仿宋" w:hAnsi="仿宋" w:eastAsia="仿宋"/>
                <w:color w:val="000000"/>
                <w:sz w:val="22"/>
                <w:szCs w:val="22"/>
              </w:rPr>
              <w:br w:type="textWrapping"/>
            </w:r>
            <w:r>
              <w:rPr>
                <w:rFonts w:hint="eastAsia" w:ascii="仿宋" w:hAnsi="仿宋" w:eastAsia="仿宋"/>
                <w:color w:val="000000"/>
                <w:sz w:val="22"/>
                <w:szCs w:val="22"/>
              </w:rPr>
              <w:t>采用超宽视角屏幕（上下左右）178°;</w:t>
            </w:r>
            <w:r>
              <w:rPr>
                <w:rFonts w:hint="eastAsia" w:ascii="仿宋" w:hAnsi="仿宋" w:eastAsia="仿宋"/>
                <w:color w:val="000000"/>
                <w:sz w:val="22"/>
                <w:szCs w:val="22"/>
              </w:rPr>
              <w:br w:type="textWrapping"/>
            </w:r>
            <w:r>
              <w:rPr>
                <w:rFonts w:hint="eastAsia" w:ascii="仿宋" w:hAnsi="仿宋" w:eastAsia="仿宋"/>
                <w:color w:val="000000"/>
                <w:sz w:val="22"/>
                <w:szCs w:val="22"/>
              </w:rPr>
              <w:t>3D数字图象降噪处理技术画质清晰;</w:t>
            </w:r>
            <w:r>
              <w:rPr>
                <w:rFonts w:hint="eastAsia" w:ascii="仿宋" w:hAnsi="仿宋" w:eastAsia="仿宋"/>
                <w:color w:val="000000"/>
                <w:sz w:val="22"/>
                <w:szCs w:val="22"/>
              </w:rPr>
              <w:br w:type="textWrapping"/>
            </w:r>
            <w:r>
              <w:rPr>
                <w:rFonts w:hint="eastAsia" w:ascii="仿宋" w:hAnsi="仿宋" w:eastAsia="仿宋"/>
                <w:color w:val="000000"/>
                <w:sz w:val="22"/>
                <w:szCs w:val="22"/>
              </w:rPr>
              <w:t>支持文本、图片、音频、视频等多种格式多媒体播放;</w:t>
            </w:r>
            <w:r>
              <w:rPr>
                <w:rFonts w:hint="eastAsia" w:ascii="仿宋" w:hAnsi="仿宋" w:eastAsia="仿宋"/>
                <w:color w:val="000000"/>
                <w:sz w:val="22"/>
                <w:szCs w:val="22"/>
              </w:rPr>
              <w:br w:type="textWrapping"/>
            </w:r>
            <w:r>
              <w:rPr>
                <w:rFonts w:hint="eastAsia" w:ascii="仿宋" w:hAnsi="仿宋" w:eastAsia="仿宋"/>
                <w:color w:val="000000"/>
                <w:sz w:val="22"/>
                <w:szCs w:val="22"/>
              </w:rPr>
              <w:t>显示尺寸：≥65 inch</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屏幕可视区域：≥1428.48 (H) mm × 803.52 (V)mm</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物理分辨率：≥3840 × 2160</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背光源类型：D-LED</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像素间距：0.372 mm (H) × 0.372 mm (V)</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亮度：350 cd/m</w:t>
            </w:r>
            <w:r>
              <w:rPr>
                <w:rFonts w:ascii="Calibri" w:hAnsi="Calibri" w:eastAsia="仿宋" w:cs="Calibri"/>
                <w:color w:val="000000"/>
                <w:sz w:val="22"/>
                <w:szCs w:val="22"/>
              </w:rPr>
              <w:t>²</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色深度：8bit，16.7 M</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响应时间：8 ms</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刷新率：60 Hz</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表面处理：Haze 1%, 3H</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连续使用时间：7 × 16 H</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色域：72% NTSC </w:t>
            </w:r>
            <w:r>
              <w:rPr>
                <w:rFonts w:hint="eastAsia" w:ascii="仿宋" w:hAnsi="仿宋" w:eastAsia="仿宋"/>
                <w:color w:val="000000"/>
                <w:sz w:val="22"/>
                <w:szCs w:val="22"/>
              </w:rPr>
              <w:br w:type="textWrapping"/>
            </w:r>
            <w:r>
              <w:rPr>
                <w:rFonts w:hint="eastAsia" w:ascii="仿宋" w:hAnsi="仿宋" w:eastAsia="仿宋"/>
                <w:color w:val="000000"/>
                <w:sz w:val="22"/>
                <w:szCs w:val="22"/>
              </w:rPr>
              <w:t>音视频输入接口：HDMI 1.4 × 1 , HDMI 2.0 × 1，VGA × 1 , Audio in × 1</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音视频输出接口：SPEAK OUT × 2 (6Ω 11W)</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数据传输接口：USB2.0 × 1 </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控制接口：RS232 IN × 1</w:t>
            </w:r>
            <w:r>
              <w:rPr>
                <w:rFonts w:hint="eastAsia" w:ascii="仿宋" w:hAnsi="仿宋" w:eastAsia="仿宋"/>
                <w:color w:val="000000"/>
                <w:sz w:val="22"/>
                <w:szCs w:val="22"/>
              </w:rPr>
              <w:br w:type="textWrapping"/>
            </w:r>
            <w:r>
              <w:rPr>
                <w:rFonts w:hint="eastAsia" w:ascii="仿宋" w:hAnsi="仿宋" w:eastAsia="仿宋"/>
                <w:color w:val="000000"/>
                <w:sz w:val="22"/>
                <w:szCs w:val="22"/>
              </w:rPr>
              <w:t>电源：100~240 VAC, 50/60 Hz</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功耗：≤ 190 W</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待机功耗：≤ 0.5 W </w:t>
            </w:r>
            <w:r>
              <w:rPr>
                <w:rFonts w:hint="eastAsia" w:ascii="仿宋" w:hAnsi="仿宋" w:eastAsia="仿宋"/>
                <w:color w:val="000000"/>
                <w:sz w:val="22"/>
                <w:szCs w:val="22"/>
              </w:rPr>
              <w:br w:type="textWrapping"/>
            </w:r>
            <w:r>
              <w:rPr>
                <w:rFonts w:hint="eastAsia" w:ascii="仿宋" w:hAnsi="仿宋" w:eastAsia="仿宋"/>
                <w:color w:val="000000"/>
                <w:sz w:val="22"/>
                <w:szCs w:val="22"/>
              </w:rPr>
              <w:t>工作湿度：20%~80% RH(无冷凝水)</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存储湿度：10%~90% RH(无冷凝水) </w:t>
            </w:r>
            <w:r>
              <w:rPr>
                <w:rFonts w:hint="eastAsia" w:ascii="仿宋" w:hAnsi="仿宋" w:eastAsia="仿宋"/>
                <w:color w:val="000000"/>
                <w:sz w:val="22"/>
                <w:szCs w:val="22"/>
              </w:rPr>
              <w:br w:type="textWrapping"/>
            </w:r>
            <w:r>
              <w:rPr>
                <w:rFonts w:hint="eastAsia" w:ascii="仿宋" w:hAnsi="仿宋" w:eastAsia="仿宋"/>
                <w:color w:val="000000"/>
                <w:sz w:val="22"/>
                <w:szCs w:val="22"/>
              </w:rPr>
              <w:t>外壳材料：塑胶</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安装孔距：≥300 mm × 300 mm（4-M6 × 25mm）</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边框宽度：≥8.24 mm（上/左/右），22.62 mm（下）</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产品尺寸：≥1449.6 (W) mm × 838.4 (H) mm × 78.6 (D) mm（无底座）</w:t>
            </w:r>
            <w:r>
              <w:rPr>
                <w:rFonts w:hint="eastAsia" w:ascii="仿宋" w:hAnsi="仿宋" w:eastAsia="仿宋"/>
                <w:color w:val="000000"/>
                <w:sz w:val="22"/>
                <w:szCs w:val="22"/>
              </w:rPr>
              <w:br w:type="textWrapping"/>
            </w:r>
            <w:r>
              <w:rPr>
                <w:rFonts w:hint="eastAsia" w:ascii="仿宋" w:hAnsi="仿宋" w:eastAsia="仿宋"/>
                <w:color w:val="000000"/>
                <w:sz w:val="22"/>
                <w:szCs w:val="22"/>
              </w:rPr>
              <w:t>1449.6 (W) mm × 883.4 (H) mm × 283.4 (D) mm（含底座）</w:t>
            </w:r>
            <w:r>
              <w:rPr>
                <w:rFonts w:hint="eastAsia" w:ascii="仿宋" w:hAnsi="仿宋" w:eastAsia="仿宋"/>
                <w:color w:val="000000"/>
                <w:sz w:val="22"/>
                <w:szCs w:val="22"/>
              </w:rPr>
              <w:br w:type="textWrapping"/>
            </w:r>
            <w:r>
              <w:rPr>
                <w:rFonts w:hint="eastAsia" w:ascii="仿宋" w:hAnsi="仿宋" w:eastAsia="仿宋"/>
                <w:color w:val="000000"/>
                <w:sz w:val="22"/>
                <w:szCs w:val="22"/>
              </w:rPr>
              <w:t xml:space="preserve"> 净重：18.7 ± 0.5 kg</w:t>
            </w:r>
          </w:p>
        </w:tc>
        <w:tc>
          <w:tcPr>
            <w:tcW w:w="0" w:type="auto"/>
            <w:tcBorders>
              <w:top w:val="nil"/>
              <w:left w:val="nil"/>
              <w:bottom w:val="single" w:color="auto" w:sz="4" w:space="0"/>
              <w:right w:val="single" w:color="auto" w:sz="4" w:space="0"/>
            </w:tcBorders>
            <w:shd w:val="clear" w:color="auto" w:fill="auto"/>
            <w:noWrap/>
            <w:vAlign w:val="center"/>
          </w:tcPr>
          <w:p w14:paraId="7D02A709">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1 </w:t>
            </w:r>
          </w:p>
        </w:tc>
        <w:tc>
          <w:tcPr>
            <w:tcW w:w="0" w:type="auto"/>
            <w:tcBorders>
              <w:top w:val="nil"/>
              <w:left w:val="nil"/>
              <w:bottom w:val="single" w:color="auto" w:sz="4" w:space="0"/>
              <w:right w:val="single" w:color="auto" w:sz="4" w:space="0"/>
            </w:tcBorders>
            <w:shd w:val="clear" w:color="auto" w:fill="auto"/>
            <w:noWrap/>
            <w:vAlign w:val="center"/>
          </w:tcPr>
          <w:p w14:paraId="69CF0020">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台</w:t>
            </w:r>
          </w:p>
        </w:tc>
      </w:tr>
      <w:tr w14:paraId="0344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77024716">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2D6E1818">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739F295B">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室外8芯单模光纤</w:t>
            </w:r>
          </w:p>
        </w:tc>
        <w:tc>
          <w:tcPr>
            <w:tcW w:w="5075" w:type="dxa"/>
            <w:tcBorders>
              <w:top w:val="nil"/>
              <w:left w:val="nil"/>
              <w:bottom w:val="single" w:color="auto" w:sz="4" w:space="0"/>
              <w:right w:val="single" w:color="auto" w:sz="4" w:space="0"/>
            </w:tcBorders>
            <w:shd w:val="clear" w:color="auto" w:fill="auto"/>
            <w:noWrap/>
            <w:vAlign w:val="center"/>
          </w:tcPr>
          <w:p w14:paraId="3C0283B1">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室外8芯单模光纤</w:t>
            </w:r>
          </w:p>
        </w:tc>
        <w:tc>
          <w:tcPr>
            <w:tcW w:w="0" w:type="auto"/>
            <w:tcBorders>
              <w:top w:val="nil"/>
              <w:left w:val="nil"/>
              <w:bottom w:val="single" w:color="auto" w:sz="4" w:space="0"/>
              <w:right w:val="single" w:color="auto" w:sz="4" w:space="0"/>
            </w:tcBorders>
            <w:shd w:val="clear" w:color="auto" w:fill="auto"/>
            <w:noWrap/>
            <w:vAlign w:val="center"/>
          </w:tcPr>
          <w:p w14:paraId="4782EC0D">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1000 </w:t>
            </w:r>
          </w:p>
        </w:tc>
        <w:tc>
          <w:tcPr>
            <w:tcW w:w="0" w:type="auto"/>
            <w:tcBorders>
              <w:top w:val="nil"/>
              <w:left w:val="nil"/>
              <w:bottom w:val="single" w:color="auto" w:sz="4" w:space="0"/>
              <w:right w:val="single" w:color="auto" w:sz="4" w:space="0"/>
            </w:tcBorders>
            <w:shd w:val="clear" w:color="auto" w:fill="auto"/>
            <w:noWrap/>
            <w:vAlign w:val="center"/>
          </w:tcPr>
          <w:p w14:paraId="04A684E5">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米</w:t>
            </w:r>
          </w:p>
        </w:tc>
      </w:tr>
      <w:tr w14:paraId="0432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075DD14C">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35330C7B">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02729A2D">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24口光纤终端盒含法兰等配件</w:t>
            </w:r>
          </w:p>
        </w:tc>
        <w:tc>
          <w:tcPr>
            <w:tcW w:w="5075" w:type="dxa"/>
            <w:tcBorders>
              <w:top w:val="nil"/>
              <w:left w:val="nil"/>
              <w:bottom w:val="single" w:color="auto" w:sz="4" w:space="0"/>
              <w:right w:val="single" w:color="auto" w:sz="4" w:space="0"/>
            </w:tcBorders>
            <w:shd w:val="clear" w:color="auto" w:fill="auto"/>
            <w:noWrap/>
            <w:vAlign w:val="center"/>
          </w:tcPr>
          <w:p w14:paraId="0191703A">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24口光纤配线架</w:t>
            </w:r>
          </w:p>
        </w:tc>
        <w:tc>
          <w:tcPr>
            <w:tcW w:w="0" w:type="auto"/>
            <w:tcBorders>
              <w:top w:val="nil"/>
              <w:left w:val="nil"/>
              <w:bottom w:val="single" w:color="auto" w:sz="4" w:space="0"/>
              <w:right w:val="single" w:color="auto" w:sz="4" w:space="0"/>
            </w:tcBorders>
            <w:shd w:val="clear" w:color="auto" w:fill="auto"/>
            <w:noWrap/>
            <w:vAlign w:val="center"/>
          </w:tcPr>
          <w:p w14:paraId="438B21EC">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1 </w:t>
            </w:r>
          </w:p>
        </w:tc>
        <w:tc>
          <w:tcPr>
            <w:tcW w:w="0" w:type="auto"/>
            <w:tcBorders>
              <w:top w:val="nil"/>
              <w:left w:val="nil"/>
              <w:bottom w:val="single" w:color="auto" w:sz="4" w:space="0"/>
              <w:right w:val="single" w:color="auto" w:sz="4" w:space="0"/>
            </w:tcBorders>
            <w:shd w:val="clear" w:color="auto" w:fill="auto"/>
            <w:noWrap/>
            <w:vAlign w:val="center"/>
          </w:tcPr>
          <w:p w14:paraId="4BA14071">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只</w:t>
            </w:r>
          </w:p>
        </w:tc>
      </w:tr>
      <w:tr w14:paraId="62E9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11DEBE39">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29344B87">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56424412">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8口24口光纤终端盒含法兰等配件</w:t>
            </w:r>
          </w:p>
        </w:tc>
        <w:tc>
          <w:tcPr>
            <w:tcW w:w="5075" w:type="dxa"/>
            <w:tcBorders>
              <w:top w:val="nil"/>
              <w:left w:val="nil"/>
              <w:bottom w:val="single" w:color="auto" w:sz="4" w:space="0"/>
              <w:right w:val="single" w:color="auto" w:sz="4" w:space="0"/>
            </w:tcBorders>
            <w:shd w:val="clear" w:color="auto" w:fill="auto"/>
            <w:noWrap/>
            <w:vAlign w:val="center"/>
          </w:tcPr>
          <w:p w14:paraId="473A5210">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8口光纤配线架</w:t>
            </w:r>
          </w:p>
        </w:tc>
        <w:tc>
          <w:tcPr>
            <w:tcW w:w="0" w:type="auto"/>
            <w:tcBorders>
              <w:top w:val="nil"/>
              <w:left w:val="nil"/>
              <w:bottom w:val="single" w:color="auto" w:sz="4" w:space="0"/>
              <w:right w:val="single" w:color="auto" w:sz="4" w:space="0"/>
            </w:tcBorders>
            <w:shd w:val="clear" w:color="auto" w:fill="auto"/>
            <w:noWrap/>
            <w:vAlign w:val="center"/>
          </w:tcPr>
          <w:p w14:paraId="236AFC64">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11 </w:t>
            </w:r>
          </w:p>
        </w:tc>
        <w:tc>
          <w:tcPr>
            <w:tcW w:w="0" w:type="auto"/>
            <w:tcBorders>
              <w:top w:val="nil"/>
              <w:left w:val="nil"/>
              <w:bottom w:val="single" w:color="auto" w:sz="4" w:space="0"/>
              <w:right w:val="single" w:color="auto" w:sz="4" w:space="0"/>
            </w:tcBorders>
            <w:shd w:val="clear" w:color="auto" w:fill="auto"/>
            <w:noWrap/>
            <w:vAlign w:val="center"/>
          </w:tcPr>
          <w:p w14:paraId="5A61543B">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只</w:t>
            </w:r>
          </w:p>
        </w:tc>
      </w:tr>
      <w:tr w14:paraId="1291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27B06FF9">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36C478BA">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2A58462C">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ST单模光纤尾纤</w:t>
            </w:r>
          </w:p>
        </w:tc>
        <w:tc>
          <w:tcPr>
            <w:tcW w:w="5075" w:type="dxa"/>
            <w:tcBorders>
              <w:top w:val="nil"/>
              <w:left w:val="nil"/>
              <w:bottom w:val="single" w:color="auto" w:sz="4" w:space="0"/>
              <w:right w:val="single" w:color="auto" w:sz="4" w:space="0"/>
            </w:tcBorders>
            <w:shd w:val="clear" w:color="auto" w:fill="auto"/>
            <w:noWrap/>
            <w:vAlign w:val="center"/>
          </w:tcPr>
          <w:p w14:paraId="1788CE38">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ST单模光纤尾纤</w:t>
            </w:r>
            <w:r>
              <w:rPr>
                <w:rFonts w:hint="eastAsia" w:ascii="仿宋" w:hAnsi="仿宋" w:eastAsia="仿宋"/>
                <w:color w:val="000000"/>
                <w:sz w:val="22"/>
                <w:szCs w:val="22"/>
              </w:rPr>
              <w:br w:type="textWrapping"/>
            </w:r>
            <w:r>
              <w:rPr>
                <w:rFonts w:hint="eastAsia" w:ascii="仿宋" w:hAnsi="仿宋" w:eastAsia="仿宋"/>
                <w:color w:val="000000"/>
                <w:sz w:val="22"/>
                <w:szCs w:val="22"/>
              </w:rPr>
              <w:t>参数：规格：单模尾纤；</w:t>
            </w:r>
            <w:r>
              <w:rPr>
                <w:rFonts w:hint="eastAsia" w:ascii="仿宋" w:hAnsi="仿宋" w:eastAsia="仿宋"/>
                <w:color w:val="000000"/>
                <w:sz w:val="22"/>
                <w:szCs w:val="22"/>
              </w:rPr>
              <w:br w:type="textWrapping"/>
            </w:r>
            <w:r>
              <w:rPr>
                <w:rFonts w:hint="eastAsia" w:ascii="仿宋" w:hAnsi="仿宋" w:eastAsia="仿宋"/>
                <w:color w:val="000000"/>
                <w:sz w:val="22"/>
                <w:szCs w:val="22"/>
              </w:rPr>
              <w:t>材料：插头使用进口高精密度陶瓷插芯，精密研磨并全数检测，稳定性、重复性好,插入损耗低</w:t>
            </w:r>
          </w:p>
        </w:tc>
        <w:tc>
          <w:tcPr>
            <w:tcW w:w="0" w:type="auto"/>
            <w:tcBorders>
              <w:top w:val="nil"/>
              <w:left w:val="nil"/>
              <w:bottom w:val="single" w:color="auto" w:sz="4" w:space="0"/>
              <w:right w:val="single" w:color="auto" w:sz="4" w:space="0"/>
            </w:tcBorders>
            <w:shd w:val="clear" w:color="auto" w:fill="auto"/>
            <w:noWrap/>
            <w:vAlign w:val="center"/>
          </w:tcPr>
          <w:p w14:paraId="765BF1B6">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112 </w:t>
            </w:r>
          </w:p>
        </w:tc>
        <w:tc>
          <w:tcPr>
            <w:tcW w:w="0" w:type="auto"/>
            <w:tcBorders>
              <w:top w:val="nil"/>
              <w:left w:val="nil"/>
              <w:bottom w:val="single" w:color="auto" w:sz="4" w:space="0"/>
              <w:right w:val="single" w:color="auto" w:sz="4" w:space="0"/>
            </w:tcBorders>
            <w:shd w:val="clear" w:color="auto" w:fill="auto"/>
            <w:noWrap/>
            <w:vAlign w:val="center"/>
          </w:tcPr>
          <w:p w14:paraId="4054DC3C">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条</w:t>
            </w:r>
          </w:p>
        </w:tc>
      </w:tr>
      <w:tr w14:paraId="4B21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7F60FAFC">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4689881D">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25379009">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单模LC-LC跳线 3米</w:t>
            </w:r>
          </w:p>
        </w:tc>
        <w:tc>
          <w:tcPr>
            <w:tcW w:w="5075" w:type="dxa"/>
            <w:tcBorders>
              <w:top w:val="nil"/>
              <w:left w:val="nil"/>
              <w:bottom w:val="single" w:color="auto" w:sz="4" w:space="0"/>
              <w:right w:val="single" w:color="auto" w:sz="4" w:space="0"/>
            </w:tcBorders>
            <w:shd w:val="clear" w:color="auto" w:fill="auto"/>
            <w:noWrap/>
            <w:vAlign w:val="center"/>
          </w:tcPr>
          <w:p w14:paraId="5F9D7864">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ST-LC单模光纤跳线（双工）</w:t>
            </w:r>
            <w:r>
              <w:rPr>
                <w:rFonts w:hint="eastAsia" w:ascii="仿宋" w:hAnsi="仿宋" w:eastAsia="仿宋"/>
                <w:color w:val="000000"/>
                <w:sz w:val="22"/>
                <w:szCs w:val="22"/>
              </w:rPr>
              <w:br w:type="textWrapping"/>
            </w:r>
            <w:r>
              <w:rPr>
                <w:rFonts w:hint="eastAsia" w:ascii="仿宋" w:hAnsi="仿宋" w:eastAsia="仿宋"/>
                <w:color w:val="000000"/>
                <w:sz w:val="22"/>
                <w:szCs w:val="22"/>
              </w:rPr>
              <w:t>参数：规格：单光纤跳线；</w:t>
            </w:r>
            <w:r>
              <w:rPr>
                <w:rFonts w:hint="eastAsia" w:ascii="仿宋" w:hAnsi="仿宋" w:eastAsia="仿宋"/>
                <w:color w:val="000000"/>
                <w:sz w:val="22"/>
                <w:szCs w:val="22"/>
              </w:rPr>
              <w:br w:type="textWrapping"/>
            </w:r>
            <w:r>
              <w:rPr>
                <w:rFonts w:hint="eastAsia" w:ascii="仿宋" w:hAnsi="仿宋" w:eastAsia="仿宋"/>
                <w:color w:val="000000"/>
                <w:sz w:val="22"/>
                <w:szCs w:val="22"/>
              </w:rPr>
              <w:t>材料：插头使用进口高精密度陶瓷插芯，精密研磨并全数检测，稳定性、重复性好,插入损耗低</w:t>
            </w:r>
          </w:p>
        </w:tc>
        <w:tc>
          <w:tcPr>
            <w:tcW w:w="0" w:type="auto"/>
            <w:tcBorders>
              <w:top w:val="nil"/>
              <w:left w:val="nil"/>
              <w:bottom w:val="single" w:color="auto" w:sz="4" w:space="0"/>
              <w:right w:val="single" w:color="auto" w:sz="4" w:space="0"/>
            </w:tcBorders>
            <w:shd w:val="clear" w:color="auto" w:fill="auto"/>
            <w:noWrap/>
            <w:vAlign w:val="center"/>
          </w:tcPr>
          <w:p w14:paraId="37208D57">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52 </w:t>
            </w:r>
          </w:p>
        </w:tc>
        <w:tc>
          <w:tcPr>
            <w:tcW w:w="0" w:type="auto"/>
            <w:tcBorders>
              <w:top w:val="nil"/>
              <w:left w:val="nil"/>
              <w:bottom w:val="single" w:color="auto" w:sz="4" w:space="0"/>
              <w:right w:val="single" w:color="auto" w:sz="4" w:space="0"/>
            </w:tcBorders>
            <w:shd w:val="clear" w:color="auto" w:fill="auto"/>
            <w:noWrap/>
            <w:vAlign w:val="center"/>
          </w:tcPr>
          <w:p w14:paraId="76DB037E">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条</w:t>
            </w:r>
          </w:p>
        </w:tc>
      </w:tr>
      <w:tr w14:paraId="09BA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6D544EDD">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5662662D">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17F6A9C9">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光纤连接</w:t>
            </w:r>
          </w:p>
        </w:tc>
        <w:tc>
          <w:tcPr>
            <w:tcW w:w="5075" w:type="dxa"/>
            <w:tcBorders>
              <w:top w:val="nil"/>
              <w:left w:val="nil"/>
              <w:bottom w:val="single" w:color="auto" w:sz="4" w:space="0"/>
              <w:right w:val="single" w:color="auto" w:sz="4" w:space="0"/>
            </w:tcBorders>
            <w:shd w:val="clear" w:color="auto" w:fill="auto"/>
            <w:noWrap/>
            <w:vAlign w:val="center"/>
          </w:tcPr>
          <w:p w14:paraId="6CDC4AE6">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光纤熔接</w:t>
            </w:r>
          </w:p>
        </w:tc>
        <w:tc>
          <w:tcPr>
            <w:tcW w:w="0" w:type="auto"/>
            <w:tcBorders>
              <w:top w:val="nil"/>
              <w:left w:val="nil"/>
              <w:bottom w:val="single" w:color="auto" w:sz="4" w:space="0"/>
              <w:right w:val="single" w:color="auto" w:sz="4" w:space="0"/>
            </w:tcBorders>
            <w:shd w:val="clear" w:color="auto" w:fill="auto"/>
            <w:noWrap/>
            <w:vAlign w:val="center"/>
          </w:tcPr>
          <w:p w14:paraId="5A325350">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112 </w:t>
            </w:r>
          </w:p>
        </w:tc>
        <w:tc>
          <w:tcPr>
            <w:tcW w:w="0" w:type="auto"/>
            <w:tcBorders>
              <w:top w:val="nil"/>
              <w:left w:val="nil"/>
              <w:bottom w:val="single" w:color="auto" w:sz="4" w:space="0"/>
              <w:right w:val="single" w:color="auto" w:sz="4" w:space="0"/>
            </w:tcBorders>
            <w:shd w:val="clear" w:color="auto" w:fill="auto"/>
            <w:noWrap/>
            <w:vAlign w:val="center"/>
          </w:tcPr>
          <w:p w14:paraId="57B30458">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芯</w:t>
            </w:r>
          </w:p>
        </w:tc>
      </w:tr>
      <w:tr w14:paraId="095B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54D204D7">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18109A8D">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5005E305">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室外防水六类网线</w:t>
            </w:r>
          </w:p>
        </w:tc>
        <w:tc>
          <w:tcPr>
            <w:tcW w:w="5075" w:type="dxa"/>
            <w:tcBorders>
              <w:top w:val="nil"/>
              <w:left w:val="nil"/>
              <w:bottom w:val="single" w:color="auto" w:sz="4" w:space="0"/>
              <w:right w:val="single" w:color="auto" w:sz="4" w:space="0"/>
            </w:tcBorders>
            <w:shd w:val="clear" w:color="auto" w:fill="auto"/>
            <w:noWrap/>
            <w:vAlign w:val="center"/>
          </w:tcPr>
          <w:p w14:paraId="0CE321D1">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管、暗槽内穿放非屏蔽双绞线（UTP)100%低烟无卤 无氧铜双绞线（UTP) 4对以内  UTP6</w:t>
            </w:r>
          </w:p>
        </w:tc>
        <w:tc>
          <w:tcPr>
            <w:tcW w:w="0" w:type="auto"/>
            <w:tcBorders>
              <w:top w:val="nil"/>
              <w:left w:val="nil"/>
              <w:bottom w:val="single" w:color="auto" w:sz="4" w:space="0"/>
              <w:right w:val="single" w:color="auto" w:sz="4" w:space="0"/>
            </w:tcBorders>
            <w:shd w:val="clear" w:color="auto" w:fill="auto"/>
            <w:noWrap/>
            <w:vAlign w:val="center"/>
          </w:tcPr>
          <w:p w14:paraId="00951117">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5 </w:t>
            </w:r>
          </w:p>
        </w:tc>
        <w:tc>
          <w:tcPr>
            <w:tcW w:w="0" w:type="auto"/>
            <w:tcBorders>
              <w:top w:val="nil"/>
              <w:left w:val="nil"/>
              <w:bottom w:val="single" w:color="auto" w:sz="4" w:space="0"/>
              <w:right w:val="single" w:color="auto" w:sz="4" w:space="0"/>
            </w:tcBorders>
            <w:shd w:val="clear" w:color="auto" w:fill="auto"/>
            <w:noWrap/>
            <w:vAlign w:val="center"/>
          </w:tcPr>
          <w:p w14:paraId="71BD61BD">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箱</w:t>
            </w:r>
          </w:p>
        </w:tc>
      </w:tr>
      <w:tr w14:paraId="40D3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184932F9">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4B352611">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51022913">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室外防水电源线</w:t>
            </w:r>
          </w:p>
        </w:tc>
        <w:tc>
          <w:tcPr>
            <w:tcW w:w="5075" w:type="dxa"/>
            <w:tcBorders>
              <w:top w:val="nil"/>
              <w:left w:val="nil"/>
              <w:bottom w:val="single" w:color="auto" w:sz="4" w:space="0"/>
              <w:right w:val="single" w:color="auto" w:sz="4" w:space="0"/>
            </w:tcBorders>
            <w:shd w:val="clear" w:color="auto" w:fill="auto"/>
            <w:noWrap/>
            <w:vAlign w:val="center"/>
          </w:tcPr>
          <w:p w14:paraId="5AEEA201">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防水型电源线RVV2*4</w:t>
            </w:r>
          </w:p>
        </w:tc>
        <w:tc>
          <w:tcPr>
            <w:tcW w:w="0" w:type="auto"/>
            <w:tcBorders>
              <w:top w:val="nil"/>
              <w:left w:val="nil"/>
              <w:bottom w:val="single" w:color="auto" w:sz="4" w:space="0"/>
              <w:right w:val="single" w:color="auto" w:sz="4" w:space="0"/>
            </w:tcBorders>
            <w:shd w:val="clear" w:color="auto" w:fill="auto"/>
            <w:noWrap/>
            <w:vAlign w:val="center"/>
          </w:tcPr>
          <w:p w14:paraId="0FC9F3FB">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1500 </w:t>
            </w:r>
          </w:p>
        </w:tc>
        <w:tc>
          <w:tcPr>
            <w:tcW w:w="0" w:type="auto"/>
            <w:tcBorders>
              <w:top w:val="nil"/>
              <w:left w:val="nil"/>
              <w:bottom w:val="single" w:color="auto" w:sz="4" w:space="0"/>
              <w:right w:val="single" w:color="auto" w:sz="4" w:space="0"/>
            </w:tcBorders>
            <w:shd w:val="clear" w:color="auto" w:fill="auto"/>
            <w:noWrap/>
            <w:vAlign w:val="center"/>
          </w:tcPr>
          <w:p w14:paraId="51A1A213">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米</w:t>
            </w:r>
          </w:p>
        </w:tc>
      </w:tr>
      <w:tr w14:paraId="07D3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0EFEE45F">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638BC615">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043B0EF7">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室外防水电源线</w:t>
            </w:r>
          </w:p>
        </w:tc>
        <w:tc>
          <w:tcPr>
            <w:tcW w:w="5075" w:type="dxa"/>
            <w:tcBorders>
              <w:top w:val="nil"/>
              <w:left w:val="nil"/>
              <w:bottom w:val="single" w:color="auto" w:sz="4" w:space="0"/>
              <w:right w:val="single" w:color="auto" w:sz="4" w:space="0"/>
            </w:tcBorders>
            <w:shd w:val="clear" w:color="auto" w:fill="auto"/>
            <w:noWrap/>
            <w:vAlign w:val="center"/>
          </w:tcPr>
          <w:p w14:paraId="68B9CC74">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防水型电源线RVV2*1.5</w:t>
            </w:r>
          </w:p>
        </w:tc>
        <w:tc>
          <w:tcPr>
            <w:tcW w:w="0" w:type="auto"/>
            <w:tcBorders>
              <w:top w:val="nil"/>
              <w:left w:val="nil"/>
              <w:bottom w:val="single" w:color="auto" w:sz="4" w:space="0"/>
              <w:right w:val="single" w:color="auto" w:sz="4" w:space="0"/>
            </w:tcBorders>
            <w:shd w:val="clear" w:color="auto" w:fill="auto"/>
            <w:noWrap/>
            <w:vAlign w:val="center"/>
          </w:tcPr>
          <w:p w14:paraId="3AE57D38">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3600 </w:t>
            </w:r>
          </w:p>
        </w:tc>
        <w:tc>
          <w:tcPr>
            <w:tcW w:w="0" w:type="auto"/>
            <w:tcBorders>
              <w:top w:val="nil"/>
              <w:left w:val="nil"/>
              <w:bottom w:val="single" w:color="auto" w:sz="4" w:space="0"/>
              <w:right w:val="single" w:color="auto" w:sz="4" w:space="0"/>
            </w:tcBorders>
            <w:shd w:val="clear" w:color="auto" w:fill="auto"/>
            <w:noWrap/>
            <w:vAlign w:val="center"/>
          </w:tcPr>
          <w:p w14:paraId="1101A995">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米</w:t>
            </w:r>
          </w:p>
        </w:tc>
      </w:tr>
      <w:tr w14:paraId="611B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586CC047">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5F193E01">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666CA0E0">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市电配电箱</w:t>
            </w:r>
          </w:p>
        </w:tc>
        <w:tc>
          <w:tcPr>
            <w:tcW w:w="5075" w:type="dxa"/>
            <w:tcBorders>
              <w:top w:val="nil"/>
              <w:left w:val="nil"/>
              <w:bottom w:val="single" w:color="auto" w:sz="4" w:space="0"/>
              <w:right w:val="single" w:color="auto" w:sz="4" w:space="0"/>
            </w:tcBorders>
            <w:shd w:val="clear" w:color="auto" w:fill="auto"/>
            <w:noWrap/>
            <w:vAlign w:val="center"/>
          </w:tcPr>
          <w:p w14:paraId="70649C85">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根据实际需求定制</w:t>
            </w:r>
          </w:p>
        </w:tc>
        <w:tc>
          <w:tcPr>
            <w:tcW w:w="0" w:type="auto"/>
            <w:tcBorders>
              <w:top w:val="nil"/>
              <w:left w:val="nil"/>
              <w:bottom w:val="single" w:color="auto" w:sz="4" w:space="0"/>
              <w:right w:val="single" w:color="auto" w:sz="4" w:space="0"/>
            </w:tcBorders>
            <w:shd w:val="clear" w:color="auto" w:fill="auto"/>
            <w:noWrap/>
            <w:vAlign w:val="center"/>
          </w:tcPr>
          <w:p w14:paraId="5ED590C7">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1 </w:t>
            </w:r>
          </w:p>
        </w:tc>
        <w:tc>
          <w:tcPr>
            <w:tcW w:w="0" w:type="auto"/>
            <w:tcBorders>
              <w:top w:val="nil"/>
              <w:left w:val="nil"/>
              <w:bottom w:val="single" w:color="auto" w:sz="4" w:space="0"/>
              <w:right w:val="single" w:color="auto" w:sz="4" w:space="0"/>
            </w:tcBorders>
            <w:shd w:val="clear" w:color="auto" w:fill="auto"/>
            <w:noWrap/>
            <w:vAlign w:val="center"/>
          </w:tcPr>
          <w:p w14:paraId="422002E0">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只</w:t>
            </w:r>
          </w:p>
        </w:tc>
      </w:tr>
      <w:tr w14:paraId="575F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6A35D7BA">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2EA1EA84">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14AE8BAB">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3.5-5米监控立杆/跳壁等</w:t>
            </w:r>
          </w:p>
        </w:tc>
        <w:tc>
          <w:tcPr>
            <w:tcW w:w="5075" w:type="dxa"/>
            <w:tcBorders>
              <w:top w:val="nil"/>
              <w:left w:val="nil"/>
              <w:bottom w:val="single" w:color="auto" w:sz="4" w:space="0"/>
              <w:right w:val="single" w:color="auto" w:sz="4" w:space="0"/>
            </w:tcBorders>
            <w:shd w:val="clear" w:color="auto" w:fill="auto"/>
            <w:noWrap/>
            <w:vAlign w:val="center"/>
          </w:tcPr>
          <w:p w14:paraId="0730DE11">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br w:type="textWrapping"/>
            </w:r>
            <w:r>
              <w:rPr>
                <w:rFonts w:hint="eastAsia" w:ascii="仿宋" w:hAnsi="仿宋" w:eastAsia="仿宋"/>
                <w:color w:val="000000"/>
                <w:sz w:val="22"/>
                <w:szCs w:val="22"/>
              </w:rPr>
              <w:t>具体根据实际需求定制</w:t>
            </w:r>
          </w:p>
        </w:tc>
        <w:tc>
          <w:tcPr>
            <w:tcW w:w="0" w:type="auto"/>
            <w:tcBorders>
              <w:top w:val="nil"/>
              <w:left w:val="nil"/>
              <w:bottom w:val="single" w:color="auto" w:sz="4" w:space="0"/>
              <w:right w:val="single" w:color="auto" w:sz="4" w:space="0"/>
            </w:tcBorders>
            <w:shd w:val="clear" w:color="auto" w:fill="auto"/>
            <w:noWrap/>
            <w:vAlign w:val="center"/>
          </w:tcPr>
          <w:p w14:paraId="78C3D577">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15 </w:t>
            </w:r>
          </w:p>
        </w:tc>
        <w:tc>
          <w:tcPr>
            <w:tcW w:w="0" w:type="auto"/>
            <w:tcBorders>
              <w:top w:val="nil"/>
              <w:left w:val="nil"/>
              <w:bottom w:val="single" w:color="auto" w:sz="4" w:space="0"/>
              <w:right w:val="single" w:color="auto" w:sz="4" w:space="0"/>
            </w:tcBorders>
            <w:shd w:val="clear" w:color="auto" w:fill="auto"/>
            <w:noWrap/>
            <w:vAlign w:val="center"/>
          </w:tcPr>
          <w:p w14:paraId="0BE12547">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套</w:t>
            </w:r>
          </w:p>
        </w:tc>
      </w:tr>
      <w:tr w14:paraId="037E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11B243CF">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7EE0191D">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76306139">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摄像机支架</w:t>
            </w:r>
          </w:p>
        </w:tc>
        <w:tc>
          <w:tcPr>
            <w:tcW w:w="5075" w:type="dxa"/>
            <w:tcBorders>
              <w:top w:val="nil"/>
              <w:left w:val="nil"/>
              <w:bottom w:val="single" w:color="auto" w:sz="4" w:space="0"/>
              <w:right w:val="single" w:color="auto" w:sz="4" w:space="0"/>
            </w:tcBorders>
            <w:shd w:val="clear" w:color="auto" w:fill="auto"/>
            <w:noWrap/>
            <w:vAlign w:val="center"/>
          </w:tcPr>
          <w:p w14:paraId="390EB2EE">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压铸铝合金材质，表面做喷塑处理</w:t>
            </w:r>
            <w:r>
              <w:rPr>
                <w:rFonts w:hint="eastAsia" w:ascii="仿宋" w:hAnsi="仿宋" w:eastAsia="仿宋"/>
                <w:color w:val="000000"/>
                <w:sz w:val="22"/>
                <w:szCs w:val="22"/>
              </w:rPr>
              <w:br w:type="textWrapping"/>
            </w:r>
            <w:r>
              <w:rPr>
                <w:rFonts w:hint="eastAsia" w:ascii="仿宋" w:hAnsi="仿宋" w:eastAsia="仿宋"/>
                <w:color w:val="000000"/>
                <w:sz w:val="22"/>
                <w:szCs w:val="22"/>
              </w:rPr>
              <w:t>支架带出线孔，安装更加美观</w:t>
            </w:r>
            <w:r>
              <w:rPr>
                <w:rFonts w:hint="eastAsia" w:ascii="仿宋" w:hAnsi="仿宋" w:eastAsia="仿宋"/>
                <w:color w:val="000000"/>
                <w:sz w:val="22"/>
                <w:szCs w:val="22"/>
              </w:rPr>
              <w:br w:type="textWrapping"/>
            </w:r>
            <w:r>
              <w:rPr>
                <w:rFonts w:hint="eastAsia" w:ascii="仿宋" w:hAnsi="仿宋" w:eastAsia="仿宋"/>
                <w:color w:val="000000"/>
                <w:sz w:val="22"/>
                <w:szCs w:val="22"/>
              </w:rPr>
              <w:t>摄像机安装座表面有海绵垫，保证和摄像机底座结合更紧密</w:t>
            </w:r>
            <w:r>
              <w:rPr>
                <w:rFonts w:hint="eastAsia" w:ascii="仿宋" w:hAnsi="仿宋" w:eastAsia="仿宋"/>
                <w:color w:val="000000"/>
                <w:sz w:val="22"/>
                <w:szCs w:val="22"/>
              </w:rPr>
              <w:br w:type="textWrapping"/>
            </w:r>
            <w:r>
              <w:rPr>
                <w:rFonts w:hint="eastAsia" w:ascii="仿宋" w:hAnsi="仿宋" w:eastAsia="仿宋"/>
                <w:color w:val="000000"/>
                <w:sz w:val="22"/>
                <w:szCs w:val="22"/>
              </w:rPr>
              <w:t>摄像机安装座可旋转，方便摄像机调整角度</w:t>
            </w:r>
          </w:p>
        </w:tc>
        <w:tc>
          <w:tcPr>
            <w:tcW w:w="0" w:type="auto"/>
            <w:tcBorders>
              <w:top w:val="nil"/>
              <w:left w:val="nil"/>
              <w:bottom w:val="single" w:color="auto" w:sz="4" w:space="0"/>
              <w:right w:val="single" w:color="auto" w:sz="4" w:space="0"/>
            </w:tcBorders>
            <w:shd w:val="clear" w:color="auto" w:fill="auto"/>
            <w:noWrap/>
            <w:vAlign w:val="center"/>
          </w:tcPr>
          <w:p w14:paraId="03F32B9B">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35 </w:t>
            </w:r>
          </w:p>
        </w:tc>
        <w:tc>
          <w:tcPr>
            <w:tcW w:w="0" w:type="auto"/>
            <w:tcBorders>
              <w:top w:val="nil"/>
              <w:left w:val="nil"/>
              <w:bottom w:val="single" w:color="auto" w:sz="4" w:space="0"/>
              <w:right w:val="single" w:color="auto" w:sz="4" w:space="0"/>
            </w:tcBorders>
            <w:shd w:val="clear" w:color="auto" w:fill="auto"/>
            <w:noWrap/>
            <w:vAlign w:val="center"/>
          </w:tcPr>
          <w:p w14:paraId="22DC964D">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只</w:t>
            </w:r>
          </w:p>
        </w:tc>
      </w:tr>
      <w:tr w14:paraId="455E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34D503CE">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6AFFCD46">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7272F5A8">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室外防水型汇聚箱</w:t>
            </w:r>
          </w:p>
        </w:tc>
        <w:tc>
          <w:tcPr>
            <w:tcW w:w="5075" w:type="dxa"/>
            <w:tcBorders>
              <w:top w:val="nil"/>
              <w:left w:val="nil"/>
              <w:bottom w:val="single" w:color="auto" w:sz="4" w:space="0"/>
              <w:right w:val="single" w:color="auto" w:sz="4" w:space="0"/>
            </w:tcBorders>
            <w:shd w:val="clear" w:color="auto" w:fill="auto"/>
            <w:noWrap/>
            <w:vAlign w:val="center"/>
          </w:tcPr>
          <w:p w14:paraId="3F47185B">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含一块隔板门采用内置式十字钥匙螺栓固定、防盗；去油、磷化、电泳底漆、静电喷粉</w:t>
            </w:r>
            <w:r>
              <w:rPr>
                <w:rFonts w:hint="eastAsia" w:ascii="仿宋" w:hAnsi="仿宋" w:eastAsia="仿宋"/>
                <w:color w:val="000000"/>
                <w:sz w:val="22"/>
                <w:szCs w:val="22"/>
              </w:rPr>
              <w:br w:type="textWrapping"/>
            </w:r>
            <w:r>
              <w:rPr>
                <w:rFonts w:hint="eastAsia" w:ascii="仿宋" w:hAnsi="仿宋" w:eastAsia="仿宋"/>
                <w:color w:val="000000"/>
                <w:sz w:val="22"/>
                <w:szCs w:val="22"/>
              </w:rPr>
              <w:t>具体根据实际需求定制</w:t>
            </w:r>
          </w:p>
        </w:tc>
        <w:tc>
          <w:tcPr>
            <w:tcW w:w="0" w:type="auto"/>
            <w:tcBorders>
              <w:top w:val="nil"/>
              <w:left w:val="nil"/>
              <w:bottom w:val="single" w:color="auto" w:sz="4" w:space="0"/>
              <w:right w:val="single" w:color="auto" w:sz="4" w:space="0"/>
            </w:tcBorders>
            <w:shd w:val="clear" w:color="auto" w:fill="auto"/>
            <w:noWrap/>
            <w:vAlign w:val="center"/>
          </w:tcPr>
          <w:p w14:paraId="257E2B4F">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2 </w:t>
            </w:r>
          </w:p>
        </w:tc>
        <w:tc>
          <w:tcPr>
            <w:tcW w:w="0" w:type="auto"/>
            <w:tcBorders>
              <w:top w:val="nil"/>
              <w:left w:val="nil"/>
              <w:bottom w:val="single" w:color="auto" w:sz="4" w:space="0"/>
              <w:right w:val="single" w:color="auto" w:sz="4" w:space="0"/>
            </w:tcBorders>
            <w:shd w:val="clear" w:color="auto" w:fill="auto"/>
            <w:noWrap/>
            <w:vAlign w:val="center"/>
          </w:tcPr>
          <w:p w14:paraId="74503DC7">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只</w:t>
            </w:r>
          </w:p>
        </w:tc>
      </w:tr>
      <w:tr w14:paraId="21B7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6661DA36">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52FD391C">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5784CBCD">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室外壁挂箱</w:t>
            </w:r>
          </w:p>
        </w:tc>
        <w:tc>
          <w:tcPr>
            <w:tcW w:w="5075" w:type="dxa"/>
            <w:tcBorders>
              <w:top w:val="nil"/>
              <w:left w:val="nil"/>
              <w:bottom w:val="single" w:color="auto" w:sz="4" w:space="0"/>
              <w:right w:val="single" w:color="auto" w:sz="4" w:space="0"/>
            </w:tcBorders>
            <w:shd w:val="clear" w:color="auto" w:fill="auto"/>
            <w:noWrap/>
            <w:vAlign w:val="center"/>
          </w:tcPr>
          <w:p w14:paraId="1C8B4F24">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根据实际情况定制</w:t>
            </w:r>
          </w:p>
        </w:tc>
        <w:tc>
          <w:tcPr>
            <w:tcW w:w="0" w:type="auto"/>
            <w:tcBorders>
              <w:top w:val="nil"/>
              <w:left w:val="nil"/>
              <w:bottom w:val="single" w:color="auto" w:sz="4" w:space="0"/>
              <w:right w:val="single" w:color="auto" w:sz="4" w:space="0"/>
            </w:tcBorders>
            <w:shd w:val="clear" w:color="auto" w:fill="auto"/>
            <w:noWrap/>
            <w:vAlign w:val="center"/>
          </w:tcPr>
          <w:p w14:paraId="2767DF7D">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11 </w:t>
            </w:r>
          </w:p>
        </w:tc>
        <w:tc>
          <w:tcPr>
            <w:tcW w:w="0" w:type="auto"/>
            <w:tcBorders>
              <w:top w:val="nil"/>
              <w:left w:val="nil"/>
              <w:bottom w:val="single" w:color="auto" w:sz="4" w:space="0"/>
              <w:right w:val="single" w:color="auto" w:sz="4" w:space="0"/>
            </w:tcBorders>
            <w:shd w:val="clear" w:color="auto" w:fill="auto"/>
            <w:noWrap/>
            <w:vAlign w:val="center"/>
          </w:tcPr>
          <w:p w14:paraId="56F575DB">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只</w:t>
            </w:r>
          </w:p>
        </w:tc>
      </w:tr>
      <w:tr w14:paraId="56A5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0D907B50">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7AD767C7">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34B53494">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企业路由器</w:t>
            </w:r>
          </w:p>
        </w:tc>
        <w:tc>
          <w:tcPr>
            <w:tcW w:w="5075" w:type="dxa"/>
            <w:tcBorders>
              <w:top w:val="nil"/>
              <w:left w:val="nil"/>
              <w:bottom w:val="single" w:color="auto" w:sz="4" w:space="0"/>
              <w:right w:val="single" w:color="auto" w:sz="4" w:space="0"/>
            </w:tcBorders>
            <w:shd w:val="clear" w:color="auto" w:fill="auto"/>
            <w:noWrap/>
            <w:vAlign w:val="center"/>
          </w:tcPr>
          <w:p w14:paraId="26AEF233">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5个千兆网口，1WAN+3WAN/LAN+1LAN</w:t>
            </w:r>
            <w:r>
              <w:rPr>
                <w:rFonts w:hint="eastAsia" w:ascii="仿宋" w:hAnsi="仿宋" w:eastAsia="仿宋"/>
                <w:color w:val="000000"/>
                <w:sz w:val="22"/>
                <w:szCs w:val="22"/>
              </w:rPr>
              <w:br w:type="textWrapping"/>
            </w:r>
            <w:r>
              <w:rPr>
                <w:rFonts w:hint="eastAsia" w:ascii="仿宋" w:hAnsi="仿宋" w:eastAsia="仿宋"/>
                <w:color w:val="000000"/>
                <w:sz w:val="22"/>
                <w:szCs w:val="22"/>
              </w:rPr>
              <w:t>内置AC功能，统一管理TP-LINK企业AP</w:t>
            </w:r>
            <w:r>
              <w:rPr>
                <w:rFonts w:hint="eastAsia" w:ascii="仿宋" w:hAnsi="仿宋" w:eastAsia="仿宋"/>
                <w:color w:val="000000"/>
                <w:sz w:val="22"/>
                <w:szCs w:val="22"/>
              </w:rPr>
              <w:br w:type="textWrapping"/>
            </w:r>
            <w:r>
              <w:rPr>
                <w:rFonts w:hint="eastAsia" w:ascii="仿宋" w:hAnsi="仿宋" w:eastAsia="仿宋"/>
                <w:color w:val="000000"/>
                <w:sz w:val="22"/>
                <w:szCs w:val="22"/>
              </w:rPr>
              <w:t>IPSec/PPTP/L2TP VPN，远程通信更安全</w:t>
            </w:r>
            <w:r>
              <w:rPr>
                <w:rFonts w:hint="eastAsia" w:ascii="仿宋" w:hAnsi="仿宋" w:eastAsia="仿宋"/>
                <w:color w:val="000000"/>
                <w:sz w:val="22"/>
                <w:szCs w:val="22"/>
              </w:rPr>
              <w:br w:type="textWrapping"/>
            </w:r>
            <w:r>
              <w:rPr>
                <w:rFonts w:hint="eastAsia" w:ascii="仿宋" w:hAnsi="仿宋" w:eastAsia="仿宋"/>
                <w:color w:val="000000"/>
                <w:sz w:val="22"/>
                <w:szCs w:val="22"/>
              </w:rPr>
              <w:t>Web认证、短信认证、PPPoE服务器</w:t>
            </w:r>
            <w:r>
              <w:rPr>
                <w:rFonts w:hint="eastAsia" w:ascii="仿宋" w:hAnsi="仿宋" w:eastAsia="仿宋"/>
                <w:color w:val="000000"/>
                <w:sz w:val="22"/>
                <w:szCs w:val="22"/>
              </w:rPr>
              <w:br w:type="textWrapping"/>
            </w:r>
            <w:r>
              <w:rPr>
                <w:rFonts w:hint="eastAsia" w:ascii="仿宋" w:hAnsi="仿宋" w:eastAsia="仿宋"/>
                <w:color w:val="000000"/>
                <w:sz w:val="22"/>
                <w:szCs w:val="22"/>
              </w:rPr>
              <w:t>上网行为管理（移动APP管控/桌面应用管控/网站过滤/行为审计）</w:t>
            </w:r>
            <w:r>
              <w:rPr>
                <w:rFonts w:hint="eastAsia" w:ascii="仿宋" w:hAnsi="仿宋" w:eastAsia="仿宋"/>
                <w:color w:val="000000"/>
                <w:sz w:val="22"/>
                <w:szCs w:val="22"/>
              </w:rPr>
              <w:br w:type="textWrapping"/>
            </w:r>
            <w:r>
              <w:rPr>
                <w:rFonts w:hint="eastAsia" w:ascii="仿宋" w:hAnsi="仿宋" w:eastAsia="仿宋"/>
                <w:color w:val="000000"/>
                <w:sz w:val="22"/>
                <w:szCs w:val="22"/>
              </w:rPr>
              <w:t>内外网ARP防护及常见攻击防护</w:t>
            </w:r>
            <w:r>
              <w:rPr>
                <w:rFonts w:hint="eastAsia" w:ascii="仿宋" w:hAnsi="仿宋" w:eastAsia="仿宋"/>
                <w:color w:val="000000"/>
                <w:sz w:val="22"/>
                <w:szCs w:val="22"/>
              </w:rPr>
              <w:br w:type="textWrapping"/>
            </w:r>
            <w:r>
              <w:rPr>
                <w:rFonts w:hint="eastAsia" w:ascii="仿宋" w:hAnsi="仿宋" w:eastAsia="仿宋"/>
                <w:color w:val="000000"/>
                <w:sz w:val="22"/>
                <w:szCs w:val="22"/>
              </w:rPr>
              <w:t>负载均衡、智能IP带宽管理及连接数限制</w:t>
            </w:r>
          </w:p>
        </w:tc>
        <w:tc>
          <w:tcPr>
            <w:tcW w:w="0" w:type="auto"/>
            <w:tcBorders>
              <w:top w:val="nil"/>
              <w:left w:val="nil"/>
              <w:bottom w:val="single" w:color="auto" w:sz="4" w:space="0"/>
              <w:right w:val="single" w:color="auto" w:sz="4" w:space="0"/>
            </w:tcBorders>
            <w:shd w:val="clear" w:color="auto" w:fill="auto"/>
            <w:noWrap/>
            <w:vAlign w:val="center"/>
          </w:tcPr>
          <w:p w14:paraId="208E5F9A">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1 </w:t>
            </w:r>
          </w:p>
        </w:tc>
        <w:tc>
          <w:tcPr>
            <w:tcW w:w="0" w:type="auto"/>
            <w:tcBorders>
              <w:top w:val="nil"/>
              <w:left w:val="nil"/>
              <w:bottom w:val="single" w:color="auto" w:sz="4" w:space="0"/>
              <w:right w:val="single" w:color="auto" w:sz="4" w:space="0"/>
            </w:tcBorders>
            <w:shd w:val="clear" w:color="auto" w:fill="auto"/>
            <w:noWrap/>
            <w:vAlign w:val="center"/>
          </w:tcPr>
          <w:p w14:paraId="10F65EF4">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台</w:t>
            </w:r>
          </w:p>
        </w:tc>
      </w:tr>
      <w:tr w14:paraId="6EB7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26180DB7">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03D2E746">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4CFF07F9">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网卡</w:t>
            </w:r>
          </w:p>
        </w:tc>
        <w:tc>
          <w:tcPr>
            <w:tcW w:w="5075" w:type="dxa"/>
            <w:tcBorders>
              <w:top w:val="nil"/>
              <w:left w:val="nil"/>
              <w:bottom w:val="single" w:color="auto" w:sz="4" w:space="0"/>
              <w:right w:val="single" w:color="auto" w:sz="4" w:space="0"/>
            </w:tcBorders>
            <w:shd w:val="clear" w:color="auto" w:fill="auto"/>
            <w:noWrap/>
            <w:vAlign w:val="center"/>
          </w:tcPr>
          <w:p w14:paraId="6EE1C75A">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PCI-E 100/1000m自适应</w:t>
            </w:r>
          </w:p>
        </w:tc>
        <w:tc>
          <w:tcPr>
            <w:tcW w:w="0" w:type="auto"/>
            <w:tcBorders>
              <w:top w:val="nil"/>
              <w:left w:val="nil"/>
              <w:bottom w:val="single" w:color="auto" w:sz="4" w:space="0"/>
              <w:right w:val="single" w:color="auto" w:sz="4" w:space="0"/>
            </w:tcBorders>
            <w:shd w:val="clear" w:color="auto" w:fill="auto"/>
            <w:noWrap/>
            <w:vAlign w:val="center"/>
          </w:tcPr>
          <w:p w14:paraId="66A9B71D">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1 </w:t>
            </w:r>
          </w:p>
        </w:tc>
        <w:tc>
          <w:tcPr>
            <w:tcW w:w="0" w:type="auto"/>
            <w:tcBorders>
              <w:top w:val="nil"/>
              <w:left w:val="nil"/>
              <w:bottom w:val="single" w:color="auto" w:sz="4" w:space="0"/>
              <w:right w:val="single" w:color="auto" w:sz="4" w:space="0"/>
            </w:tcBorders>
            <w:shd w:val="clear" w:color="auto" w:fill="auto"/>
            <w:noWrap/>
            <w:vAlign w:val="center"/>
          </w:tcPr>
          <w:p w14:paraId="17E2B146">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块</w:t>
            </w:r>
          </w:p>
        </w:tc>
      </w:tr>
      <w:tr w14:paraId="5787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11BC0F91">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noWrap/>
            <w:vAlign w:val="center"/>
          </w:tcPr>
          <w:p w14:paraId="76ADE917">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08D41923">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配件</w:t>
            </w:r>
          </w:p>
        </w:tc>
        <w:tc>
          <w:tcPr>
            <w:tcW w:w="5075" w:type="dxa"/>
            <w:tcBorders>
              <w:top w:val="nil"/>
              <w:left w:val="nil"/>
              <w:bottom w:val="single" w:color="auto" w:sz="4" w:space="0"/>
              <w:right w:val="single" w:color="auto" w:sz="4" w:space="0"/>
            </w:tcBorders>
            <w:shd w:val="clear" w:color="auto" w:fill="auto"/>
            <w:noWrap/>
            <w:vAlign w:val="center"/>
          </w:tcPr>
          <w:p w14:paraId="4BD4F7E8">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含35个箱体接线板，空开，接地，扎带等</w:t>
            </w:r>
          </w:p>
        </w:tc>
        <w:tc>
          <w:tcPr>
            <w:tcW w:w="0" w:type="auto"/>
            <w:tcBorders>
              <w:top w:val="nil"/>
              <w:left w:val="nil"/>
              <w:bottom w:val="single" w:color="auto" w:sz="4" w:space="0"/>
              <w:right w:val="single" w:color="auto" w:sz="4" w:space="0"/>
            </w:tcBorders>
            <w:shd w:val="clear" w:color="auto" w:fill="auto"/>
            <w:noWrap/>
            <w:vAlign w:val="center"/>
          </w:tcPr>
          <w:p w14:paraId="44374EDB">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 xml:space="preserve">1 </w:t>
            </w:r>
          </w:p>
        </w:tc>
        <w:tc>
          <w:tcPr>
            <w:tcW w:w="0" w:type="auto"/>
            <w:tcBorders>
              <w:top w:val="nil"/>
              <w:left w:val="nil"/>
              <w:bottom w:val="single" w:color="auto" w:sz="4" w:space="0"/>
              <w:right w:val="single" w:color="auto" w:sz="4" w:space="0"/>
            </w:tcBorders>
            <w:shd w:val="clear" w:color="auto" w:fill="auto"/>
            <w:noWrap/>
            <w:vAlign w:val="center"/>
          </w:tcPr>
          <w:p w14:paraId="18D8FDA7">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olor w:val="000000"/>
                <w:sz w:val="22"/>
                <w:szCs w:val="22"/>
              </w:rPr>
              <w:t>批</w:t>
            </w:r>
          </w:p>
        </w:tc>
      </w:tr>
      <w:tr w14:paraId="2A4A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noWrap/>
            <w:vAlign w:val="center"/>
          </w:tcPr>
          <w:p w14:paraId="2597D2EF">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p>
        </w:tc>
        <w:tc>
          <w:tcPr>
            <w:tcW w:w="1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BD2807F">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水质监测仪</w:t>
            </w:r>
          </w:p>
        </w:tc>
        <w:tc>
          <w:tcPr>
            <w:tcW w:w="5075" w:type="dxa"/>
            <w:tcBorders>
              <w:top w:val="nil"/>
              <w:left w:val="nil"/>
              <w:bottom w:val="single" w:color="auto" w:sz="4" w:space="0"/>
              <w:right w:val="single" w:color="auto" w:sz="4" w:space="0"/>
            </w:tcBorders>
            <w:shd w:val="clear" w:color="auto" w:fill="auto"/>
            <w:noWrap/>
            <w:vAlign w:val="center"/>
          </w:tcPr>
          <w:p w14:paraId="37A4584D">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1、水质监测站由传感器、环境数据采集仪、供电系统、安装配件组成；可检测包括水质溶氧、水浊度、水质PH、电导率、等环境数据。</w:t>
            </w:r>
          </w:p>
          <w:p w14:paraId="36DC610F">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2、环境数据采集仪：                                                                                                                                 1）.采用ARM 32位Cortex-M3 CPU ，最高主频108MHz, 12位A/D采样数模转换；（投标时需提供第三方检测机构出具的检测报告复印件）</w:t>
            </w:r>
          </w:p>
          <w:p w14:paraId="3F84432F">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 xml:space="preserve">2）.系统时钟高可达72MHz </w:t>
            </w:r>
          </w:p>
          <w:p w14:paraId="50122788">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■3）.支持4M bits  FLASH存储容量（投标时需提供第三方检测机构出具的检测报告复印件）</w:t>
            </w:r>
          </w:p>
          <w:p w14:paraId="638374DB">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 xml:space="preserve">4）.具有看门狗电路，自动复位功能，保证系统稳定运行； </w:t>
            </w:r>
          </w:p>
          <w:p w14:paraId="4526D757">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5）.可扩展U盘存储，实现数据可通过配套上位机软件接电脑导出 ；</w:t>
            </w:r>
          </w:p>
          <w:p w14:paraId="7E200004">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■6）.支持主动上报和被动招测上报方式在设备上切换；（投标时需提供第三方检测机构出具的检测报告复印件）</w:t>
            </w:r>
          </w:p>
          <w:p w14:paraId="2CAD8A5F">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 xml:space="preserve">7）.支持扩展GPS定位功能； </w:t>
            </w:r>
          </w:p>
          <w:p w14:paraId="18A22E2A">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 xml:space="preserve">■8）.支持唯一识别设备ID号，可在设备上查询；（投标时需提供第三方检测机构出具的检测报告复印件） </w:t>
            </w:r>
          </w:p>
          <w:p w14:paraId="20D1B7F5">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 xml:space="preserve">■9）.LCD液晶屏显示数据，时间，日期，参数设置等，整体界面清晰美观；（投标时需提供第三方检测机构出具的检测报告复印件） </w:t>
            </w:r>
          </w:p>
          <w:p w14:paraId="288AFC69">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 xml:space="preserve">10.支持扩展RS485  LED单/双色屏/全彩LED屏及彩色触摸屏接入； </w:t>
            </w:r>
          </w:p>
          <w:p w14:paraId="770209C7">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 xml:space="preserve">11）.支持本机物理按键操作设置参数；（投标时需提供第三方检测机构出具的检测报告复印件） </w:t>
            </w:r>
          </w:p>
          <w:p w14:paraId="243E1BFE">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 xml:space="preserve">■12）.历时数据存储间隔1-240min可手动设置（投标时需提供第三方检测机构出具的检测报告复印件） </w:t>
            </w:r>
          </w:p>
          <w:p w14:paraId="7DC4AD1F">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13）.持显示语言选择，中英文手动切换</w:t>
            </w:r>
          </w:p>
          <w:p w14:paraId="7D3273E5">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 xml:space="preserve">14）.内置纽扣电池，断电数据保护，设备参数以及历史数据不丢失； </w:t>
            </w:r>
          </w:p>
          <w:p w14:paraId="13951F4A">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■15）.具有RS232/RS485通信接口；（投标时需提供第三方检测机构出具的检测报告复印件）</w:t>
            </w:r>
          </w:p>
          <w:p w14:paraId="5ADE208A">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 xml:space="preserve">160.可选择接入支持串口的4G/5G、WIFI、以太网、Lora、NB-IOT等传输模块 </w:t>
            </w:r>
          </w:p>
          <w:p w14:paraId="169332FD">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 xml:space="preserve">17）.支持远程或本地串口升级程序；（投标时需提供第三方检测机构出具的检测报告复印件） </w:t>
            </w:r>
          </w:p>
          <w:p w14:paraId="2817DA1F">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 xml:space="preserve">18).支持XPH、MODBUS、JSON协议设备可手动切换，设备串口通讯地址手动切换 </w:t>
            </w:r>
          </w:p>
          <w:p w14:paraId="3617924E">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 xml:space="preserve">19).支持扩展继电器控制，多路继电器开关； </w:t>
            </w:r>
          </w:p>
          <w:p w14:paraId="41549945">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 xml:space="preserve">20).抗干扰 输入、输出采用光电隔离，抗干扰能力强 </w:t>
            </w:r>
          </w:p>
          <w:p w14:paraId="6588CB39">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 xml:space="preserve">21).电器安全性能符合GB 4793.1-2007技术规范要求，电源端子与物联网终端外壳之间的绝缘电阻不小于10MΩ；使用交流电源，能承受1500V高压，历时1min，无击穿和飞弧现象；正常工作环境下，泄露电流值不大于：交流5mA； </w:t>
            </w:r>
          </w:p>
          <w:p w14:paraId="4BE93DC5">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 xml:space="preserve">22).供电电压：DC12V </w:t>
            </w:r>
          </w:p>
          <w:p w14:paraId="4DF39644">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■23).整机功耗不大于 2W；（投标时需提供第三方检测机构出具的检测报告复印件）</w:t>
            </w:r>
          </w:p>
          <w:p w14:paraId="14D89788">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24）.环境适应符合GB/T 2423.1-2008、GB/T 2423.2-2008及GB/T 2423.3-2016环境适应技术规范要求，工作环境温度：-20~50℃，工作湿度：0-95%RH无冷凝；</w:t>
            </w:r>
          </w:p>
          <w:p w14:paraId="5439F44D">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3、支架和供电：主杆表面采用热镀锌、静电喷塑工艺处理，抗腐蚀、抗氧化性强，主杆高度2米、搭配避雷；太阳能供电系统；</w:t>
            </w:r>
          </w:p>
          <w:p w14:paraId="4E5E1B25">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4、可扩展户外大屏显示：户外安装，大屏展示检测数据，长1米、高0.5米</w:t>
            </w:r>
          </w:p>
          <w:p w14:paraId="0B4426DF">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5、户外仪表箱：安装监测和电器设备、自带锁具、金属材质</w:t>
            </w:r>
          </w:p>
          <w:p w14:paraId="5093F6FA">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6、传感器主要技术指标</w:t>
            </w:r>
          </w:p>
          <w:p w14:paraId="5776B6FA">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6.1溶解氧测量范围：0-19.99mg/l；</w:t>
            </w:r>
          </w:p>
          <w:p w14:paraId="00566CB7">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分辨率： 0.01mg/l ；</w:t>
            </w:r>
          </w:p>
          <w:p w14:paraId="0E955E6F">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 xml:space="preserve">测量精度：≤±0.2mg/L   </w:t>
            </w:r>
          </w:p>
          <w:p w14:paraId="1354736A">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6.2水温量程：0~50℃，分辨率：0.1℃；</w:t>
            </w:r>
          </w:p>
          <w:p w14:paraId="29DC5600">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准确度：≤±0.3℃</w:t>
            </w:r>
          </w:p>
          <w:p w14:paraId="04DBF548">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6.3浊度量程：0～1000NTU ，分辨率 0.1NTU；</w:t>
            </w:r>
          </w:p>
          <w:p w14:paraId="055D8874">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稳定性：0.15%FS</w:t>
            </w:r>
          </w:p>
          <w:p w14:paraId="70486D94">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6.4PH量程：0-14，分辨率：0.01；</w:t>
            </w:r>
          </w:p>
          <w:p w14:paraId="25A0C3BF">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误差：≤0.1</w:t>
            </w:r>
          </w:p>
          <w:p w14:paraId="23824F54">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6.5电导率量程：0-20ms/cm，分辨率：0.01ms/cm；</w:t>
            </w:r>
          </w:p>
          <w:p w14:paraId="592A144B">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误差：≤2%FS</w:t>
            </w:r>
          </w:p>
          <w:p w14:paraId="3E5965BA">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6.6氨氮传感器量程：0-100mg/L，分辨率：0.01mg/L</w:t>
            </w:r>
          </w:p>
          <w:p w14:paraId="55988EC8">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误差：≤±2%</w:t>
            </w:r>
          </w:p>
        </w:tc>
        <w:tc>
          <w:tcPr>
            <w:tcW w:w="0" w:type="auto"/>
            <w:tcBorders>
              <w:top w:val="nil"/>
              <w:left w:val="nil"/>
              <w:bottom w:val="single" w:color="auto" w:sz="4" w:space="0"/>
              <w:right w:val="single" w:color="auto" w:sz="4" w:space="0"/>
            </w:tcBorders>
            <w:shd w:val="clear" w:color="auto" w:fill="auto"/>
            <w:noWrap/>
            <w:vAlign w:val="center"/>
          </w:tcPr>
          <w:p w14:paraId="58AA783B">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14:paraId="1ED346A7">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套</w:t>
            </w:r>
          </w:p>
        </w:tc>
      </w:tr>
      <w:tr w14:paraId="3C02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restart"/>
            <w:noWrap/>
            <w:vAlign w:val="center"/>
          </w:tcPr>
          <w:p w14:paraId="7C6B48A8">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p>
        </w:tc>
        <w:tc>
          <w:tcPr>
            <w:tcW w:w="796" w:type="dxa"/>
            <w:vMerge w:val="restart"/>
            <w:tcBorders>
              <w:top w:val="nil"/>
              <w:left w:val="single" w:color="auto" w:sz="4" w:space="0"/>
              <w:right w:val="single" w:color="auto" w:sz="4" w:space="0"/>
            </w:tcBorders>
            <w:shd w:val="clear" w:color="auto" w:fill="auto"/>
            <w:noWrap/>
            <w:vAlign w:val="center"/>
          </w:tcPr>
          <w:p w14:paraId="3ACF62DF">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智慧公厕</w:t>
            </w:r>
          </w:p>
        </w:tc>
        <w:tc>
          <w:tcPr>
            <w:tcW w:w="887" w:type="dxa"/>
            <w:tcBorders>
              <w:top w:val="nil"/>
              <w:left w:val="single" w:color="auto" w:sz="4" w:space="0"/>
              <w:bottom w:val="single" w:color="auto" w:sz="4" w:space="0"/>
              <w:right w:val="single" w:color="auto" w:sz="4" w:space="0"/>
            </w:tcBorders>
            <w:shd w:val="clear" w:color="auto" w:fill="auto"/>
            <w:vAlign w:val="center"/>
          </w:tcPr>
          <w:p w14:paraId="0333539F">
            <w:pPr>
              <w:widowControl/>
              <w:spacing w:line="312" w:lineRule="auto"/>
              <w:jc w:val="center"/>
              <w:textAlignment w:val="center"/>
              <w:rPr>
                <w:rFonts w:ascii="仿宋" w:hAnsi="仿宋" w:eastAsia="仿宋"/>
                <w:color w:val="000000"/>
                <w:sz w:val="22"/>
                <w:szCs w:val="22"/>
              </w:rPr>
            </w:pPr>
            <w:r>
              <w:rPr>
                <w:rFonts w:hint="eastAsia" w:ascii="仿宋" w:hAnsi="仿宋" w:eastAsia="仿宋"/>
                <w:color w:val="000000"/>
                <w:sz w:val="22"/>
                <w:szCs w:val="22"/>
              </w:rPr>
              <w:t>智能除臭净味机（精英版）</w:t>
            </w:r>
          </w:p>
          <w:p w14:paraId="4110D902">
            <w:pPr>
              <w:widowControl/>
              <w:spacing w:line="312" w:lineRule="auto"/>
              <w:jc w:val="center"/>
              <w:textAlignment w:val="center"/>
              <w:rPr>
                <w:rFonts w:hint="eastAsia" w:ascii="仿宋" w:hAnsi="仿宋" w:eastAsia="仿宋"/>
                <w:color w:val="000000"/>
                <w:sz w:val="22"/>
                <w:szCs w:val="22"/>
              </w:rPr>
            </w:pPr>
          </w:p>
        </w:tc>
        <w:tc>
          <w:tcPr>
            <w:tcW w:w="5075" w:type="dxa"/>
            <w:tcBorders>
              <w:top w:val="nil"/>
              <w:left w:val="nil"/>
              <w:bottom w:val="single" w:color="auto" w:sz="4" w:space="0"/>
              <w:right w:val="single" w:color="auto" w:sz="4" w:space="0"/>
            </w:tcBorders>
            <w:shd w:val="clear" w:color="auto" w:fill="auto"/>
            <w:noWrap/>
            <w:vAlign w:val="center"/>
          </w:tcPr>
          <w:p w14:paraId="04D6E749">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1.程序控制除臭净味，</w:t>
            </w:r>
          </w:p>
          <w:p w14:paraId="43739A89">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2.数据实时发送（4G），</w:t>
            </w:r>
          </w:p>
          <w:p w14:paraId="44FC4A64">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3.植物液除臭技术，无任何化学成分，</w:t>
            </w:r>
          </w:p>
          <w:p w14:paraId="1DBEC941">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4.使用面积30平方米，</w:t>
            </w:r>
          </w:p>
          <w:p w14:paraId="3B3B7DCF">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5.壁挂式安装，尺寸：48cm*32cm*11cm，</w:t>
            </w:r>
          </w:p>
          <w:p w14:paraId="745634B4">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6. AC220V输入</w:t>
            </w:r>
          </w:p>
          <w:p w14:paraId="2A30DAAC">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7.单台最大处理面积30平方米</w:t>
            </w:r>
          </w:p>
          <w:p w14:paraId="2F41C6F0">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8.远程故障巡检，</w:t>
            </w:r>
          </w:p>
          <w:p w14:paraId="09799F7C">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9.缺液报警</w:t>
            </w:r>
          </w:p>
          <w:p w14:paraId="2087029D">
            <w:pPr>
              <w:widowControl/>
              <w:spacing w:line="312" w:lineRule="auto"/>
              <w:jc w:val="left"/>
              <w:textAlignment w:val="center"/>
              <w:rPr>
                <w:rFonts w:ascii="仿宋" w:hAnsi="仿宋" w:eastAsia="仿宋"/>
                <w:color w:val="000000"/>
                <w:sz w:val="22"/>
                <w:szCs w:val="22"/>
              </w:rPr>
            </w:pPr>
            <w:r>
              <w:rPr>
                <w:rFonts w:hint="eastAsia" w:ascii="仿宋" w:hAnsi="仿宋" w:eastAsia="仿宋"/>
                <w:color w:val="000000"/>
                <w:sz w:val="22"/>
                <w:szCs w:val="22"/>
              </w:rPr>
              <w:t>10.远程设置机器</w:t>
            </w:r>
          </w:p>
          <w:p w14:paraId="3E61ECF4">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■11.提供除臭机器安全类检测报告，检测依据GB4706.1-2005《家用和类似用途电器的安全 第1部分：通电要求》报告需符合CNAS和CMA认证。设备需根据WS/T648-2019《空气消毒机通用卫生要求》附录C《消毒技术规范》要求所提供除臭机杀菌检测报告。白色葡萄球菌的杀灭率&gt;99.9%，符合《消毒技术规范》的要求，对自然菌的消亡率均&gt;90.00%，符合《消毒技术规范》的要求，（投标时提供具有国家认监委认可的检测（检验）机构出具的有效检测（检验）报告复印件证明。）</w:t>
            </w:r>
          </w:p>
        </w:tc>
        <w:tc>
          <w:tcPr>
            <w:tcW w:w="0" w:type="auto"/>
            <w:tcBorders>
              <w:top w:val="nil"/>
              <w:left w:val="nil"/>
              <w:bottom w:val="single" w:color="auto" w:sz="4" w:space="0"/>
              <w:right w:val="single" w:color="auto" w:sz="4" w:space="0"/>
            </w:tcBorders>
            <w:shd w:val="clear" w:color="auto" w:fill="auto"/>
            <w:noWrap/>
            <w:vAlign w:val="center"/>
          </w:tcPr>
          <w:p w14:paraId="4DCC3491">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2</w:t>
            </w:r>
          </w:p>
        </w:tc>
        <w:tc>
          <w:tcPr>
            <w:tcW w:w="0" w:type="auto"/>
            <w:tcBorders>
              <w:top w:val="nil"/>
              <w:left w:val="nil"/>
              <w:bottom w:val="single" w:color="auto" w:sz="4" w:space="0"/>
              <w:right w:val="single" w:color="auto" w:sz="4" w:space="0"/>
            </w:tcBorders>
            <w:shd w:val="clear" w:color="auto" w:fill="auto"/>
            <w:noWrap/>
            <w:vAlign w:val="center"/>
          </w:tcPr>
          <w:p w14:paraId="2E09760B">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台</w:t>
            </w:r>
          </w:p>
        </w:tc>
      </w:tr>
      <w:tr w14:paraId="4537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1D99501D">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tcBorders>
              <w:right w:val="single" w:color="auto" w:sz="4" w:space="0"/>
            </w:tcBorders>
            <w:noWrap/>
            <w:vAlign w:val="center"/>
          </w:tcPr>
          <w:p w14:paraId="1DA33171">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7269CB98">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多合一气体传感器（四合一）</w:t>
            </w:r>
          </w:p>
          <w:p w14:paraId="18AC8BC7">
            <w:pPr>
              <w:widowControl/>
              <w:spacing w:line="312" w:lineRule="auto"/>
              <w:jc w:val="center"/>
              <w:textAlignment w:val="center"/>
              <w:rPr>
                <w:rFonts w:hint="eastAsia" w:ascii="仿宋" w:hAnsi="仿宋" w:eastAsia="仿宋"/>
                <w:color w:val="000000"/>
                <w:sz w:val="22"/>
                <w:szCs w:val="22"/>
              </w:rPr>
            </w:pPr>
          </w:p>
        </w:tc>
        <w:tc>
          <w:tcPr>
            <w:tcW w:w="5075" w:type="dxa"/>
            <w:tcBorders>
              <w:top w:val="nil"/>
              <w:left w:val="nil"/>
              <w:bottom w:val="single" w:color="auto" w:sz="4" w:space="0"/>
              <w:right w:val="single" w:color="auto" w:sz="4" w:space="0"/>
            </w:tcBorders>
            <w:shd w:val="clear" w:color="auto" w:fill="auto"/>
            <w:noWrap/>
            <w:vAlign w:val="center"/>
          </w:tcPr>
          <w:p w14:paraId="0FB8C48E">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1. 本设备是一款高精度、高灵敏度的集电化学传感器、半导体温度/湿度传感器为一体的多合一传感器.</w:t>
            </w:r>
          </w:p>
          <w:p w14:paraId="3E5939DA">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2. NH3传感器，量程为0-10PPM， 精度0.01PPM</w:t>
            </w:r>
          </w:p>
          <w:p w14:paraId="000D37DE">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3. H2S传感器， 量程为0-10PPM， 精度0.01PPM</w:t>
            </w:r>
          </w:p>
          <w:p w14:paraId="1624E0B2">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4. 温度量程-40～125℃，温度精度0.3℃(0~60℃)，5. 湿度量程0~100%RH，湿度精度±2%RH(@25℃，20%~80%RH)</w:t>
            </w:r>
          </w:p>
          <w:p w14:paraId="1FCCC41D">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6. 传感器具有高精度， 高稳定性，较强的抗干扰能力。</w:t>
            </w:r>
          </w:p>
          <w:p w14:paraId="0D8C5D8E">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7. 检测数据实时传输至智能网关。</w:t>
            </w:r>
          </w:p>
          <w:p w14:paraId="5CEDC9C1">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8. DC5V,1A供电</w:t>
            </w:r>
          </w:p>
          <w:p w14:paraId="3EA735AC">
            <w:pPr>
              <w:widowControl/>
              <w:spacing w:line="312" w:lineRule="auto"/>
              <w:jc w:val="left"/>
              <w:textAlignment w:val="center"/>
              <w:rPr>
                <w:rFonts w:ascii="仿宋" w:hAnsi="仿宋" w:eastAsia="仿宋"/>
                <w:color w:val="000000"/>
                <w:sz w:val="22"/>
                <w:szCs w:val="22"/>
              </w:rPr>
            </w:pPr>
            <w:r>
              <w:rPr>
                <w:rFonts w:hint="eastAsia" w:ascii="仿宋" w:hAnsi="仿宋" w:eastAsia="仿宋"/>
                <w:color w:val="000000"/>
                <w:sz w:val="22"/>
                <w:szCs w:val="22"/>
              </w:rPr>
              <w:t>9. 蓝牙MESH组网，增强功率输出。</w:t>
            </w:r>
          </w:p>
          <w:p w14:paraId="2E7B0EF6">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10.需通过高低温循环试验。（投标时需提供第三方检测机构出具的检测报告复印件）</w:t>
            </w:r>
          </w:p>
        </w:tc>
        <w:tc>
          <w:tcPr>
            <w:tcW w:w="0" w:type="auto"/>
            <w:tcBorders>
              <w:top w:val="nil"/>
              <w:left w:val="nil"/>
              <w:bottom w:val="single" w:color="auto" w:sz="4" w:space="0"/>
              <w:right w:val="single" w:color="auto" w:sz="4" w:space="0"/>
            </w:tcBorders>
            <w:shd w:val="clear" w:color="auto" w:fill="auto"/>
            <w:noWrap/>
            <w:vAlign w:val="center"/>
          </w:tcPr>
          <w:p w14:paraId="41F9B9A6">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2</w:t>
            </w:r>
          </w:p>
        </w:tc>
        <w:tc>
          <w:tcPr>
            <w:tcW w:w="0" w:type="auto"/>
            <w:tcBorders>
              <w:top w:val="nil"/>
              <w:left w:val="nil"/>
              <w:bottom w:val="single" w:color="auto" w:sz="4" w:space="0"/>
              <w:right w:val="single" w:color="auto" w:sz="4" w:space="0"/>
            </w:tcBorders>
            <w:shd w:val="clear" w:color="auto" w:fill="auto"/>
            <w:noWrap/>
            <w:vAlign w:val="center"/>
          </w:tcPr>
          <w:p w14:paraId="2453FDAF">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台</w:t>
            </w:r>
          </w:p>
        </w:tc>
      </w:tr>
      <w:tr w14:paraId="34A0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0" w:type="auto"/>
            <w:vMerge w:val="continue"/>
            <w:noWrap/>
            <w:vAlign w:val="center"/>
          </w:tcPr>
          <w:p w14:paraId="0A40E0B8">
            <w:pPr>
              <w:widowControl/>
              <w:spacing w:line="312" w:lineRule="auto"/>
              <w:jc w:val="left"/>
              <w:textAlignment w:val="center"/>
              <w:rPr>
                <w:rFonts w:hint="eastAsia" w:ascii="仿宋" w:hAnsi="仿宋" w:eastAsia="仿宋" w:cs="仿宋"/>
                <w:color w:val="000000"/>
                <w:kern w:val="0"/>
                <w:sz w:val="24"/>
                <w:lang w:bidi="ar"/>
              </w:rPr>
            </w:pPr>
          </w:p>
        </w:tc>
        <w:tc>
          <w:tcPr>
            <w:tcW w:w="796" w:type="dxa"/>
            <w:vMerge w:val="continue"/>
            <w:tcBorders>
              <w:right w:val="single" w:color="auto" w:sz="4" w:space="0"/>
            </w:tcBorders>
            <w:noWrap/>
            <w:vAlign w:val="center"/>
          </w:tcPr>
          <w:p w14:paraId="75F996A8">
            <w:pPr>
              <w:widowControl/>
              <w:spacing w:line="312" w:lineRule="auto"/>
              <w:jc w:val="center"/>
              <w:textAlignment w:val="center"/>
              <w:rPr>
                <w:rFonts w:hint="eastAsia" w:ascii="仿宋" w:hAnsi="仿宋" w:eastAsia="仿宋" w:cs="仿宋"/>
                <w:color w:val="000000"/>
                <w:kern w:val="0"/>
                <w:sz w:val="24"/>
                <w:lang w:bidi="ar"/>
              </w:rPr>
            </w:pPr>
          </w:p>
        </w:tc>
        <w:tc>
          <w:tcPr>
            <w:tcW w:w="887" w:type="dxa"/>
            <w:tcBorders>
              <w:top w:val="nil"/>
              <w:left w:val="single" w:color="auto" w:sz="4" w:space="0"/>
              <w:bottom w:val="single" w:color="auto" w:sz="4" w:space="0"/>
              <w:right w:val="single" w:color="auto" w:sz="4" w:space="0"/>
            </w:tcBorders>
            <w:shd w:val="clear" w:color="auto" w:fill="auto"/>
            <w:vAlign w:val="center"/>
          </w:tcPr>
          <w:p w14:paraId="0315A47E">
            <w:pPr>
              <w:widowControl/>
              <w:spacing w:line="312" w:lineRule="auto"/>
              <w:jc w:val="center"/>
              <w:textAlignment w:val="center"/>
              <w:rPr>
                <w:rFonts w:hint="eastAsia" w:ascii="仿宋" w:hAnsi="仿宋" w:eastAsia="仿宋"/>
                <w:color w:val="000000"/>
                <w:sz w:val="22"/>
                <w:szCs w:val="22"/>
              </w:rPr>
            </w:pPr>
            <w:r>
              <w:rPr>
                <w:rFonts w:hint="eastAsia" w:ascii="仿宋" w:hAnsi="仿宋" w:eastAsia="仿宋"/>
                <w:color w:val="000000"/>
                <w:sz w:val="22"/>
                <w:szCs w:val="22"/>
              </w:rPr>
              <w:t>智慧厕所主控中心（4G）</w:t>
            </w:r>
          </w:p>
        </w:tc>
        <w:tc>
          <w:tcPr>
            <w:tcW w:w="5075" w:type="dxa"/>
            <w:tcBorders>
              <w:top w:val="nil"/>
              <w:left w:val="nil"/>
              <w:bottom w:val="single" w:color="auto" w:sz="4" w:space="0"/>
              <w:right w:val="single" w:color="auto" w:sz="4" w:space="0"/>
            </w:tcBorders>
            <w:shd w:val="clear" w:color="auto" w:fill="auto"/>
            <w:noWrap/>
            <w:vAlign w:val="center"/>
          </w:tcPr>
          <w:p w14:paraId="399988E0">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1.工业显示屏，支持1080P视频解码；360度UI旋转；滚动字幕，定时开关</w:t>
            </w:r>
          </w:p>
          <w:p w14:paraId="5224CB1F">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2.支持WiFi，以太网，蓝牙组网</w:t>
            </w:r>
          </w:p>
          <w:p w14:paraId="6891449E">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3.各种尺寸可选，22"，32"，43"</w:t>
            </w:r>
          </w:p>
          <w:p w14:paraId="2A2CFFC6">
            <w:pPr>
              <w:widowControl/>
              <w:spacing w:line="312" w:lineRule="auto"/>
              <w:jc w:val="left"/>
              <w:textAlignment w:val="center"/>
              <w:rPr>
                <w:rFonts w:ascii="仿宋" w:hAnsi="仿宋" w:eastAsia="仿宋"/>
                <w:color w:val="000000"/>
                <w:sz w:val="22"/>
                <w:szCs w:val="22"/>
              </w:rPr>
            </w:pPr>
            <w:r>
              <w:rPr>
                <w:rFonts w:hint="eastAsia" w:ascii="仿宋" w:hAnsi="仿宋" w:eastAsia="仿宋"/>
                <w:color w:val="000000"/>
                <w:sz w:val="22"/>
                <w:szCs w:val="22"/>
              </w:rPr>
              <w:t>4. 带4G网关功能（含基础流量）</w:t>
            </w:r>
          </w:p>
          <w:p w14:paraId="70543A2E">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5.</w:t>
            </w:r>
            <w:r>
              <w:rPr>
                <w:rFonts w:hint="eastAsia"/>
              </w:rPr>
              <w:t xml:space="preserve"> </w:t>
            </w:r>
            <w:bookmarkStart w:id="21" w:name="OLE_LINK4"/>
            <w:r>
              <w:rPr>
                <w:rFonts w:hint="eastAsia" w:ascii="仿宋" w:hAnsi="仿宋" w:eastAsia="仿宋"/>
                <w:color w:val="000000"/>
                <w:sz w:val="22"/>
                <w:szCs w:val="22"/>
              </w:rPr>
              <w:t>需通过高低温循环试验。（投标时需提供第三方检测机构出具的检测报告复印件）</w:t>
            </w:r>
            <w:bookmarkEnd w:id="21"/>
          </w:p>
        </w:tc>
        <w:tc>
          <w:tcPr>
            <w:tcW w:w="0" w:type="auto"/>
            <w:tcBorders>
              <w:top w:val="nil"/>
              <w:left w:val="nil"/>
              <w:bottom w:val="single" w:color="auto" w:sz="4" w:space="0"/>
              <w:right w:val="single" w:color="auto" w:sz="4" w:space="0"/>
            </w:tcBorders>
            <w:shd w:val="clear" w:color="auto" w:fill="auto"/>
            <w:noWrap/>
            <w:vAlign w:val="center"/>
          </w:tcPr>
          <w:p w14:paraId="6A48F0B2">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14:paraId="0B46C27F">
            <w:pPr>
              <w:widowControl/>
              <w:spacing w:line="312" w:lineRule="auto"/>
              <w:jc w:val="left"/>
              <w:textAlignment w:val="center"/>
              <w:rPr>
                <w:rFonts w:hint="eastAsia" w:ascii="仿宋" w:hAnsi="仿宋" w:eastAsia="仿宋"/>
                <w:color w:val="000000"/>
                <w:sz w:val="22"/>
                <w:szCs w:val="22"/>
              </w:rPr>
            </w:pPr>
            <w:r>
              <w:rPr>
                <w:rFonts w:hint="eastAsia" w:ascii="仿宋" w:hAnsi="仿宋" w:eastAsia="仿宋"/>
                <w:color w:val="000000"/>
                <w:sz w:val="22"/>
                <w:szCs w:val="22"/>
              </w:rPr>
              <w:t>台</w:t>
            </w:r>
          </w:p>
        </w:tc>
      </w:tr>
      <w:tr w14:paraId="4A46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0" w:type="auto"/>
            <w:noWrap/>
            <w:vAlign w:val="center"/>
          </w:tcPr>
          <w:p w14:paraId="03E89781">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w:t>
            </w:r>
          </w:p>
        </w:tc>
        <w:tc>
          <w:tcPr>
            <w:tcW w:w="1683" w:type="dxa"/>
            <w:gridSpan w:val="2"/>
            <w:tcBorders>
              <w:right w:val="single" w:color="auto" w:sz="4" w:space="0"/>
            </w:tcBorders>
            <w:noWrap/>
            <w:vAlign w:val="center"/>
          </w:tcPr>
          <w:p w14:paraId="0D08EE0F">
            <w:pPr>
              <w:widowControl/>
              <w:spacing w:line="312"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电视机</w:t>
            </w:r>
          </w:p>
        </w:tc>
        <w:tc>
          <w:tcPr>
            <w:tcW w:w="50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15FC9">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尺寸：</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8</w:t>
            </w:r>
            <w:r>
              <w:rPr>
                <w:rFonts w:hint="eastAsia" w:ascii="仿宋" w:hAnsi="仿宋" w:eastAsia="仿宋" w:cs="仿宋"/>
                <w:color w:val="000000"/>
                <w:kern w:val="0"/>
                <w:sz w:val="24"/>
                <w:lang w:val="en-US" w:eastAsia="zh-CN" w:bidi="ar"/>
              </w:rPr>
              <w:t>5</w:t>
            </w:r>
            <w:r>
              <w:rPr>
                <w:rFonts w:hint="eastAsia" w:ascii="仿宋" w:hAnsi="仿宋" w:eastAsia="仿宋" w:cs="仿宋"/>
                <w:color w:val="000000"/>
                <w:kern w:val="0"/>
                <w:sz w:val="24"/>
                <w:lang w:bidi="ar"/>
              </w:rPr>
              <w:t>英寸</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比例：16:9</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响应时间：8ms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运行内存：4GB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系统：Android</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存储内存：64GB</w:t>
            </w:r>
          </w:p>
        </w:tc>
        <w:tc>
          <w:tcPr>
            <w:tcW w:w="0" w:type="auto"/>
            <w:noWrap/>
            <w:vAlign w:val="center"/>
          </w:tcPr>
          <w:p w14:paraId="0BE46D8D">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0" w:type="auto"/>
            <w:noWrap/>
            <w:vAlign w:val="center"/>
          </w:tcPr>
          <w:p w14:paraId="554B714B">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套</w:t>
            </w:r>
          </w:p>
        </w:tc>
      </w:tr>
      <w:tr w14:paraId="56DD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0" w:type="auto"/>
            <w:noWrap/>
            <w:vAlign w:val="center"/>
          </w:tcPr>
          <w:p w14:paraId="68230D99">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w:t>
            </w:r>
          </w:p>
        </w:tc>
        <w:tc>
          <w:tcPr>
            <w:tcW w:w="1683" w:type="dxa"/>
            <w:gridSpan w:val="2"/>
            <w:tcBorders>
              <w:right w:val="single" w:color="auto" w:sz="4" w:space="0"/>
            </w:tcBorders>
            <w:noWrap/>
            <w:vAlign w:val="center"/>
          </w:tcPr>
          <w:p w14:paraId="23CD9D92">
            <w:pPr>
              <w:widowControl/>
              <w:spacing w:line="312"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电视机</w:t>
            </w:r>
          </w:p>
        </w:tc>
        <w:tc>
          <w:tcPr>
            <w:tcW w:w="5075" w:type="dxa"/>
            <w:tcBorders>
              <w:top w:val="nil"/>
              <w:left w:val="single" w:color="auto" w:sz="4" w:space="0"/>
              <w:bottom w:val="single" w:color="auto" w:sz="4" w:space="0"/>
              <w:right w:val="single" w:color="auto" w:sz="4" w:space="0"/>
            </w:tcBorders>
            <w:shd w:val="clear" w:color="auto" w:fill="auto"/>
            <w:noWrap/>
            <w:vAlign w:val="center"/>
          </w:tcPr>
          <w:p w14:paraId="60966588">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尺寸：</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98英寸</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比例：16:9</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响应时间：8ms</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运行内存：4GB</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系统：Android</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存储内存：64GB</w:t>
            </w:r>
          </w:p>
        </w:tc>
        <w:tc>
          <w:tcPr>
            <w:tcW w:w="0" w:type="auto"/>
            <w:noWrap/>
            <w:vAlign w:val="center"/>
          </w:tcPr>
          <w:p w14:paraId="04C1F4CB">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0" w:type="auto"/>
            <w:noWrap/>
            <w:vAlign w:val="center"/>
          </w:tcPr>
          <w:p w14:paraId="1FD8AFD1">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套</w:t>
            </w:r>
          </w:p>
        </w:tc>
      </w:tr>
      <w:tr w14:paraId="7297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0" w:type="auto"/>
            <w:noWrap/>
            <w:vAlign w:val="center"/>
          </w:tcPr>
          <w:p w14:paraId="1270C7F3">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6</w:t>
            </w:r>
          </w:p>
        </w:tc>
        <w:tc>
          <w:tcPr>
            <w:tcW w:w="1683" w:type="dxa"/>
            <w:gridSpan w:val="2"/>
            <w:tcBorders>
              <w:right w:val="single" w:color="auto" w:sz="4" w:space="0"/>
            </w:tcBorders>
            <w:noWrap/>
            <w:vAlign w:val="center"/>
          </w:tcPr>
          <w:p w14:paraId="0BB36F33">
            <w:pPr>
              <w:widowControl/>
              <w:spacing w:line="312"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太阳能灯杆</w:t>
            </w:r>
          </w:p>
        </w:tc>
        <w:tc>
          <w:tcPr>
            <w:tcW w:w="5075" w:type="dxa"/>
            <w:noWrap/>
            <w:vAlign w:val="center"/>
          </w:tcPr>
          <w:p w14:paraId="72AEDC01">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高≥4米、灯杆尺寸 120/80/100、材质:≥1.8mm厚镀</w:t>
            </w:r>
          </w:p>
          <w:p w14:paraId="393B00E2">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锌钢管、灯头: ≥120W LED、锂电</w:t>
            </w:r>
          </w:p>
          <w:p w14:paraId="279DB4F2">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池: ≥85AH、太阳能板: ≥80W、预埋</w:t>
            </w:r>
          </w:p>
          <w:p w14:paraId="68336F65">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件尺寸: ≥240*500、M14</w:t>
            </w:r>
          </w:p>
        </w:tc>
        <w:tc>
          <w:tcPr>
            <w:tcW w:w="0" w:type="auto"/>
            <w:noWrap/>
            <w:vAlign w:val="center"/>
          </w:tcPr>
          <w:p w14:paraId="18455A79">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8</w:t>
            </w:r>
          </w:p>
        </w:tc>
        <w:tc>
          <w:tcPr>
            <w:tcW w:w="0" w:type="auto"/>
            <w:noWrap/>
            <w:vAlign w:val="center"/>
          </w:tcPr>
          <w:p w14:paraId="37AC9333">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根</w:t>
            </w:r>
          </w:p>
        </w:tc>
      </w:tr>
      <w:tr w14:paraId="6A14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0" w:type="auto"/>
            <w:noWrap/>
            <w:vAlign w:val="center"/>
          </w:tcPr>
          <w:p w14:paraId="4447C6DC">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7</w:t>
            </w:r>
          </w:p>
        </w:tc>
        <w:tc>
          <w:tcPr>
            <w:tcW w:w="1683" w:type="dxa"/>
            <w:gridSpan w:val="2"/>
            <w:tcBorders>
              <w:right w:val="single" w:color="auto" w:sz="4" w:space="0"/>
            </w:tcBorders>
            <w:noWrap/>
            <w:vAlign w:val="center"/>
          </w:tcPr>
          <w:p w14:paraId="10A4C8C1">
            <w:pPr>
              <w:widowControl/>
              <w:spacing w:line="312"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自动血压仪</w:t>
            </w:r>
          </w:p>
        </w:tc>
        <w:tc>
          <w:tcPr>
            <w:tcW w:w="5075" w:type="dxa"/>
            <w:noWrap/>
            <w:vAlign w:val="center"/>
          </w:tcPr>
          <w:p w14:paraId="1CB65DFF">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测量臂筒</w:t>
            </w:r>
          </w:p>
          <w:p w14:paraId="1B40B6DD">
            <w:pPr>
              <w:widowControl/>
              <w:spacing w:line="312" w:lineRule="auto"/>
              <w:jc w:val="left"/>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170mm-320mm</w:t>
            </w:r>
          </w:p>
          <w:p w14:paraId="1CB3EABE">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本体重量</w:t>
            </w:r>
          </w:p>
          <w:p w14:paraId="3D41462D">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≥1500g（不包含电池）</w:t>
            </w:r>
          </w:p>
          <w:p w14:paraId="0C2E0D4F">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外形尺寸</w:t>
            </w:r>
          </w:p>
          <w:p w14:paraId="5DC144D2">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≥230mm×217mm×228mm</w:t>
            </w:r>
          </w:p>
        </w:tc>
        <w:tc>
          <w:tcPr>
            <w:tcW w:w="0" w:type="auto"/>
            <w:noWrap/>
            <w:vAlign w:val="center"/>
          </w:tcPr>
          <w:p w14:paraId="5A7A242C">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p>
        </w:tc>
        <w:tc>
          <w:tcPr>
            <w:tcW w:w="0" w:type="auto"/>
            <w:noWrap/>
            <w:vAlign w:val="center"/>
          </w:tcPr>
          <w:p w14:paraId="1ACA9DCE">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台</w:t>
            </w:r>
          </w:p>
        </w:tc>
      </w:tr>
      <w:tr w14:paraId="5A07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0" w:type="auto"/>
            <w:noWrap/>
            <w:vAlign w:val="center"/>
          </w:tcPr>
          <w:p w14:paraId="3315C38E">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8</w:t>
            </w:r>
          </w:p>
        </w:tc>
        <w:tc>
          <w:tcPr>
            <w:tcW w:w="1683" w:type="dxa"/>
            <w:gridSpan w:val="2"/>
            <w:tcBorders>
              <w:right w:val="single" w:color="auto" w:sz="4" w:space="0"/>
            </w:tcBorders>
            <w:noWrap/>
            <w:vAlign w:val="center"/>
          </w:tcPr>
          <w:p w14:paraId="64FBF19B">
            <w:pPr>
              <w:widowControl/>
              <w:spacing w:line="312"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智能雷达生命体征监测仪</w:t>
            </w:r>
          </w:p>
        </w:tc>
        <w:tc>
          <w:tcPr>
            <w:tcW w:w="5075" w:type="dxa"/>
            <w:noWrap/>
            <w:vAlign w:val="center"/>
          </w:tcPr>
          <w:p w14:paraId="469EB4DB">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具有智能生命体征监测仪相关计算机软件著作权登记证书（投标时需提供计算机软件著作权登记证书复印件）</w:t>
            </w:r>
          </w:p>
          <w:p w14:paraId="3070AB0A">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产品材质：ABS 工程塑料</w:t>
            </w:r>
          </w:p>
          <w:p w14:paraId="6D5E6F67">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外观尺寸：≥98*98*32mm</w:t>
            </w:r>
          </w:p>
          <w:p w14:paraId="5AE4BB47">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产品质量：≥180g</w:t>
            </w:r>
          </w:p>
          <w:p w14:paraId="13F16C2F">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雷达发射频率范围：24GHz~24.25GHz</w:t>
            </w:r>
          </w:p>
          <w:p w14:paraId="2FD0154D">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作用距离：0.2m~5m</w:t>
            </w:r>
          </w:p>
          <w:p w14:paraId="5CCDF6B9">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发射功率：6-12dBm</w:t>
            </w:r>
          </w:p>
          <w:p w14:paraId="647F098C">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雷达水平角度作用范围：100°</w:t>
            </w:r>
          </w:p>
          <w:p w14:paraId="789E20BD">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雷达垂直角度作用范围：100°</w:t>
            </w:r>
          </w:p>
          <w:p w14:paraId="655AED8A">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工作电源：5V—2A</w:t>
            </w:r>
          </w:p>
          <w:p w14:paraId="6C57C323">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供电形式：适配器</w:t>
            </w:r>
          </w:p>
          <w:p w14:paraId="7DE60727">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平均功耗</w:t>
            </w:r>
            <w:r>
              <w:rPr>
                <w:rFonts w:hint="eastAsia" w:ascii="仿宋" w:hAnsi="仿宋" w:eastAsia="仿宋" w:cs="仿宋"/>
                <w:color w:val="000000"/>
                <w:kern w:val="0"/>
                <w:sz w:val="24"/>
                <w:lang w:bidi="ar"/>
              </w:rPr>
              <w:tab/>
            </w:r>
            <w:r>
              <w:rPr>
                <w:rFonts w:hint="eastAsia" w:ascii="仿宋" w:hAnsi="仿宋" w:eastAsia="仿宋" w:cs="仿宋"/>
                <w:color w:val="000000"/>
                <w:kern w:val="0"/>
                <w:sz w:val="24"/>
                <w:lang w:bidi="ar"/>
              </w:rPr>
              <w:t>≤1W</w:t>
            </w:r>
          </w:p>
          <w:p w14:paraId="7CAD63AB">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工作温度</w:t>
            </w:r>
            <w:r>
              <w:rPr>
                <w:rFonts w:hint="eastAsia" w:ascii="仿宋" w:hAnsi="仿宋" w:eastAsia="仿宋" w:cs="仿宋"/>
                <w:color w:val="000000"/>
                <w:kern w:val="0"/>
                <w:sz w:val="24"/>
                <w:lang w:bidi="ar"/>
              </w:rPr>
              <w:tab/>
            </w:r>
            <w:r>
              <w:rPr>
                <w:rFonts w:hint="eastAsia" w:ascii="仿宋" w:hAnsi="仿宋" w:eastAsia="仿宋" w:cs="仿宋"/>
                <w:color w:val="000000"/>
                <w:kern w:val="0"/>
                <w:sz w:val="24"/>
                <w:lang w:bidi="ar"/>
              </w:rPr>
              <w:t>0℃～+45℃</w:t>
            </w:r>
          </w:p>
          <w:p w14:paraId="22D584BE">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通讯方式：NB-LOT 全网通/WiFi</w:t>
            </w:r>
          </w:p>
          <w:p w14:paraId="74523CF8">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数据刷新率：1 秒</w:t>
            </w:r>
          </w:p>
          <w:p w14:paraId="11F9EF08">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呼吸范围：0～40 次/分钟</w:t>
            </w:r>
          </w:p>
          <w:p w14:paraId="3C53BFFA">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心率范围：48～150 次/分钟</w:t>
            </w:r>
          </w:p>
          <w:p w14:paraId="73F8AAE4">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检测温度：0-85℃</w:t>
            </w:r>
          </w:p>
          <w:p w14:paraId="25C0DB33">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检测湿度：0-99%</w:t>
            </w:r>
          </w:p>
          <w:p w14:paraId="72A5FC6E">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光感：0-255 等级</w:t>
            </w:r>
          </w:p>
          <w:p w14:paraId="64D1FE0C">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噪声：0-99dB</w:t>
            </w:r>
          </w:p>
        </w:tc>
        <w:tc>
          <w:tcPr>
            <w:tcW w:w="0" w:type="auto"/>
            <w:noWrap/>
            <w:vAlign w:val="center"/>
          </w:tcPr>
          <w:p w14:paraId="670BF663">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w:t>
            </w:r>
          </w:p>
        </w:tc>
        <w:tc>
          <w:tcPr>
            <w:tcW w:w="0" w:type="auto"/>
            <w:noWrap/>
            <w:vAlign w:val="center"/>
          </w:tcPr>
          <w:p w14:paraId="50F8209C">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台</w:t>
            </w:r>
          </w:p>
        </w:tc>
      </w:tr>
      <w:tr w14:paraId="735E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0" w:type="auto"/>
            <w:noWrap/>
            <w:vAlign w:val="center"/>
          </w:tcPr>
          <w:p w14:paraId="459A9231">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9</w:t>
            </w:r>
          </w:p>
        </w:tc>
        <w:tc>
          <w:tcPr>
            <w:tcW w:w="1683" w:type="dxa"/>
            <w:gridSpan w:val="2"/>
            <w:tcBorders>
              <w:right w:val="single" w:color="auto" w:sz="4" w:space="0"/>
            </w:tcBorders>
            <w:noWrap/>
            <w:vAlign w:val="center"/>
          </w:tcPr>
          <w:p w14:paraId="55E74D06">
            <w:pPr>
              <w:widowControl/>
              <w:spacing w:line="312" w:lineRule="auto"/>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安装服务费</w:t>
            </w:r>
          </w:p>
        </w:tc>
        <w:tc>
          <w:tcPr>
            <w:tcW w:w="5075" w:type="dxa"/>
            <w:noWrap/>
            <w:vAlign w:val="center"/>
          </w:tcPr>
          <w:p w14:paraId="2582B640">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安装服务费</w:t>
            </w:r>
          </w:p>
        </w:tc>
        <w:tc>
          <w:tcPr>
            <w:tcW w:w="0" w:type="auto"/>
            <w:noWrap/>
            <w:vAlign w:val="center"/>
          </w:tcPr>
          <w:p w14:paraId="22966B47">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0" w:type="auto"/>
            <w:noWrap/>
            <w:vAlign w:val="center"/>
          </w:tcPr>
          <w:p w14:paraId="7F9E34D7">
            <w:pPr>
              <w:widowControl/>
              <w:spacing w:line="312" w:lineRule="auto"/>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项</w:t>
            </w:r>
          </w:p>
        </w:tc>
      </w:tr>
    </w:tbl>
    <w:p w14:paraId="474B3AC1">
      <w:pPr>
        <w:pStyle w:val="130"/>
        <w:snapToGrid w:val="0"/>
        <w:spacing w:before="0" w:line="240" w:lineRule="auto"/>
        <w:ind w:firstLine="480"/>
        <w:rPr>
          <w:rFonts w:hint="eastAsia" w:ascii="仿宋" w:hAnsi="仿宋" w:eastAsia="仿宋" w:cs="仿宋"/>
          <w:color w:val="auto"/>
          <w:highlight w:val="none"/>
          <w:lang w:val="en-US" w:eastAsia="zh-CN"/>
        </w:rPr>
      </w:pPr>
    </w:p>
    <w:p w14:paraId="12A5FD77">
      <w:pPr>
        <w:spacing w:line="240" w:lineRule="auto"/>
      </w:pPr>
    </w:p>
    <w:p w14:paraId="538BB3FB">
      <w:pPr>
        <w:spacing w:line="240" w:lineRule="auto"/>
      </w:pPr>
    </w:p>
    <w:p w14:paraId="55F6A83A">
      <w:pPr>
        <w:spacing w:line="240" w:lineRule="auto"/>
      </w:pPr>
    </w:p>
    <w:p w14:paraId="7712069D">
      <w:pPr>
        <w:spacing w:line="240" w:lineRule="auto"/>
      </w:pPr>
    </w:p>
    <w:p w14:paraId="1C94951B">
      <w:pPr>
        <w:spacing w:line="240" w:lineRule="auto"/>
      </w:pPr>
    </w:p>
    <w:p w14:paraId="5E28C3AA">
      <w:pPr>
        <w:spacing w:line="240" w:lineRule="auto"/>
      </w:pPr>
    </w:p>
    <w:p w14:paraId="384A45B3">
      <w:pPr>
        <w:spacing w:line="240" w:lineRule="auto"/>
      </w:pPr>
    </w:p>
    <w:p w14:paraId="420C86D8">
      <w:pPr>
        <w:spacing w:line="240" w:lineRule="auto"/>
      </w:pPr>
    </w:p>
    <w:p w14:paraId="5133C8B3">
      <w:pPr>
        <w:numPr>
          <w:ilvl w:val="0"/>
          <w:numId w:val="6"/>
        </w:numPr>
        <w:adjustRightInd/>
        <w:spacing w:line="360" w:lineRule="auto"/>
        <w:rPr>
          <w:rFonts w:hint="eastAsia" w:ascii="仿宋" w:hAnsi="仿宋" w:eastAsia="仿宋" w:cs="仿宋"/>
          <w:b/>
          <w:bCs/>
          <w:color w:val="auto"/>
          <w:sz w:val="30"/>
          <w:szCs w:val="30"/>
        </w:rPr>
      </w:pPr>
      <w:r>
        <w:rPr>
          <w:rFonts w:hint="eastAsia" w:ascii="仿宋" w:hAnsi="仿宋" w:eastAsia="仿宋" w:cs="仿宋"/>
          <w:b/>
          <w:bCs/>
          <w:color w:val="auto"/>
          <w:sz w:val="30"/>
          <w:szCs w:val="30"/>
        </w:rPr>
        <w:t>商务需求</w:t>
      </w:r>
    </w:p>
    <w:p w14:paraId="798006F7">
      <w:pPr>
        <w:spacing w:line="360" w:lineRule="auto"/>
        <w:ind w:firstLine="480" w:firstLineChars="200"/>
        <w:rPr>
          <w:rFonts w:hint="eastAsia" w:ascii="仿宋" w:hAnsi="仿宋" w:eastAsia="仿宋" w:cs="仿宋"/>
          <w:sz w:val="24"/>
        </w:rPr>
      </w:pPr>
      <w:r>
        <w:rPr>
          <w:rFonts w:hint="eastAsia" w:ascii="仿宋" w:hAnsi="仿宋" w:eastAsia="仿宋" w:cs="仿宋"/>
          <w:sz w:val="24"/>
        </w:rPr>
        <w:t>1、项目建设期：本项目建设周期为合同签订后</w:t>
      </w:r>
      <w:r>
        <w:rPr>
          <w:rFonts w:hint="eastAsia" w:ascii="仿宋" w:hAnsi="仿宋" w:eastAsia="仿宋" w:cs="仿宋"/>
          <w:sz w:val="24"/>
          <w:lang w:val="en-US" w:eastAsia="zh-CN"/>
        </w:rPr>
        <w:t>120日历天</w:t>
      </w:r>
      <w:r>
        <w:rPr>
          <w:rFonts w:hint="eastAsia" w:ascii="仿宋" w:hAnsi="仿宋" w:eastAsia="仿宋" w:cs="仿宋"/>
          <w:sz w:val="24"/>
        </w:rPr>
        <w:t>。</w:t>
      </w:r>
    </w:p>
    <w:p w14:paraId="3F9823B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2、付款方式：</w:t>
      </w:r>
      <w:r>
        <w:rPr>
          <w:rFonts w:hint="eastAsia" w:ascii="仿宋" w:hAnsi="仿宋" w:eastAsia="仿宋" w:cs="仿宋"/>
          <w:sz w:val="24"/>
          <w:highlight w:val="none"/>
          <w:lang w:val="en-US" w:eastAsia="zh-CN"/>
        </w:rPr>
        <w:t>验收合格后支付合同金额的80%，验收合格之日起满两年且无质量问题付剩余款</w:t>
      </w:r>
      <w:r>
        <w:rPr>
          <w:rFonts w:hint="eastAsia" w:ascii="仿宋" w:hAnsi="仿宋" w:eastAsia="仿宋" w:cs="仿宋"/>
          <w:sz w:val="24"/>
          <w:highlight w:val="none"/>
        </w:rPr>
        <w:t>。</w:t>
      </w:r>
    </w:p>
    <w:p w14:paraId="4A9E4825">
      <w:pPr>
        <w:spacing w:line="360" w:lineRule="auto"/>
        <w:ind w:firstLine="480" w:firstLineChars="200"/>
        <w:rPr>
          <w:rFonts w:hint="eastAsia" w:ascii="仿宋" w:hAnsi="仿宋" w:eastAsia="仿宋" w:cs="仿宋"/>
        </w:rPr>
      </w:pPr>
      <w:r>
        <w:rPr>
          <w:rFonts w:hint="eastAsia" w:ascii="仿宋" w:hAnsi="仿宋" w:eastAsia="仿宋" w:cs="仿宋"/>
          <w:sz w:val="24"/>
        </w:rPr>
        <w:t>注：招标文件中打▲内容为实质性要求，不允许有负偏离</w:t>
      </w:r>
      <w:r>
        <w:rPr>
          <w:rFonts w:ascii="仿宋" w:hAnsi="仿宋" w:eastAsia="仿宋" w:cs="仿宋"/>
          <w:sz w:val="24"/>
        </w:rPr>
        <w:t>。</w:t>
      </w:r>
      <w:r>
        <w:rPr>
          <w:rFonts w:hint="eastAsia" w:ascii="仿宋" w:hAnsi="仿宋" w:eastAsia="仿宋" w:cs="仿宋"/>
          <w:sz w:val="24"/>
        </w:rPr>
        <w:t>否则将以涉及无效投标条款作无效投标。</w:t>
      </w:r>
    </w:p>
    <w:p w14:paraId="4D5BE709">
      <w:pPr>
        <w:pStyle w:val="130"/>
        <w:snapToGrid w:val="0"/>
        <w:spacing w:before="0"/>
        <w:ind w:firstLine="48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br w:type="page"/>
      </w:r>
    </w:p>
    <w:bookmarkEnd w:id="17"/>
    <w:p w14:paraId="4AC617AF">
      <w:pPr>
        <w:snapToGrid w:val="0"/>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第四部分   </w:t>
      </w:r>
      <w:bookmarkStart w:id="22" w:name="_Toc184308078"/>
      <w:bookmarkEnd w:id="22"/>
      <w:bookmarkStart w:id="23" w:name="_Toc184312138"/>
      <w:bookmarkEnd w:id="23"/>
      <w:bookmarkStart w:id="24" w:name="_Toc184313276"/>
      <w:bookmarkEnd w:id="24"/>
      <w:bookmarkStart w:id="25" w:name="_Toc184312117"/>
      <w:bookmarkEnd w:id="25"/>
      <w:bookmarkStart w:id="26" w:name="_Toc184312132"/>
      <w:bookmarkEnd w:id="26"/>
      <w:bookmarkStart w:id="27" w:name="_Toc184313275"/>
      <w:bookmarkEnd w:id="27"/>
      <w:bookmarkStart w:id="28" w:name="_Toc184310317"/>
      <w:bookmarkEnd w:id="28"/>
      <w:bookmarkStart w:id="29" w:name="_Toc184313271"/>
      <w:bookmarkEnd w:id="29"/>
      <w:bookmarkStart w:id="30" w:name="_Toc184312067"/>
      <w:bookmarkEnd w:id="30"/>
      <w:bookmarkStart w:id="31" w:name="_Toc184310295"/>
      <w:bookmarkEnd w:id="31"/>
      <w:bookmarkStart w:id="32" w:name="_Toc184308081"/>
      <w:bookmarkEnd w:id="32"/>
      <w:bookmarkStart w:id="33" w:name="_Toc184308080"/>
      <w:bookmarkEnd w:id="33"/>
      <w:bookmarkStart w:id="34" w:name="_Toc184308072"/>
      <w:bookmarkEnd w:id="34"/>
      <w:bookmarkStart w:id="35" w:name="_Toc184312099"/>
      <w:bookmarkEnd w:id="35"/>
      <w:bookmarkStart w:id="36" w:name="_Toc184308050"/>
      <w:bookmarkEnd w:id="36"/>
      <w:bookmarkStart w:id="37" w:name="_Toc184313253"/>
      <w:bookmarkEnd w:id="37"/>
      <w:bookmarkStart w:id="38" w:name="_Toc184308091"/>
      <w:bookmarkEnd w:id="38"/>
      <w:bookmarkStart w:id="39" w:name="_Toc184308071"/>
      <w:bookmarkEnd w:id="39"/>
      <w:bookmarkStart w:id="40" w:name="_Toc184312127"/>
      <w:bookmarkEnd w:id="40"/>
      <w:bookmarkStart w:id="41" w:name="_Toc184312113"/>
      <w:bookmarkEnd w:id="41"/>
      <w:bookmarkStart w:id="42" w:name="_Toc184313267"/>
      <w:bookmarkEnd w:id="42"/>
      <w:bookmarkStart w:id="43" w:name="_Toc184314461"/>
      <w:bookmarkEnd w:id="43"/>
      <w:bookmarkStart w:id="44" w:name="_Toc184314411"/>
      <w:bookmarkEnd w:id="44"/>
      <w:bookmarkStart w:id="45" w:name="_Toc184314417"/>
      <w:bookmarkEnd w:id="45"/>
      <w:bookmarkStart w:id="46" w:name="_Toc184313305"/>
      <w:bookmarkEnd w:id="46"/>
      <w:bookmarkStart w:id="47" w:name="_Toc184313309"/>
      <w:bookmarkEnd w:id="47"/>
      <w:bookmarkStart w:id="48" w:name="_Toc184312070"/>
      <w:bookmarkEnd w:id="48"/>
      <w:bookmarkStart w:id="49" w:name="_Toc184308041"/>
      <w:bookmarkEnd w:id="49"/>
      <w:bookmarkStart w:id="50" w:name="_Toc184314458"/>
      <w:bookmarkEnd w:id="50"/>
      <w:bookmarkStart w:id="51" w:name="_Toc184310279"/>
      <w:bookmarkEnd w:id="51"/>
      <w:bookmarkStart w:id="52" w:name="_Toc184310287"/>
      <w:bookmarkEnd w:id="52"/>
      <w:bookmarkStart w:id="53" w:name="_Toc184308073"/>
      <w:bookmarkEnd w:id="53"/>
      <w:bookmarkStart w:id="54" w:name="_Toc184314425"/>
      <w:bookmarkEnd w:id="54"/>
      <w:bookmarkStart w:id="55" w:name="_Toc184314421"/>
      <w:bookmarkEnd w:id="55"/>
      <w:bookmarkStart w:id="56" w:name="_Toc184312119"/>
      <w:bookmarkEnd w:id="56"/>
      <w:bookmarkStart w:id="57" w:name="_Toc184313288"/>
      <w:bookmarkEnd w:id="57"/>
      <w:bookmarkStart w:id="58" w:name="_Toc184314441"/>
      <w:bookmarkEnd w:id="58"/>
      <w:bookmarkStart w:id="59" w:name="_Toc184314464"/>
      <w:bookmarkEnd w:id="59"/>
      <w:bookmarkStart w:id="60" w:name="_Toc184313238"/>
      <w:bookmarkEnd w:id="60"/>
      <w:bookmarkStart w:id="61" w:name="_Toc184308079"/>
      <w:bookmarkEnd w:id="61"/>
      <w:bookmarkStart w:id="62" w:name="_Toc184313290"/>
      <w:bookmarkEnd w:id="62"/>
      <w:bookmarkStart w:id="63" w:name="_Toc184314450"/>
      <w:bookmarkEnd w:id="63"/>
      <w:bookmarkStart w:id="64" w:name="_Toc184310339"/>
      <w:bookmarkEnd w:id="64"/>
      <w:bookmarkStart w:id="65" w:name="_Toc184313304"/>
      <w:bookmarkEnd w:id="65"/>
      <w:bookmarkStart w:id="66" w:name="_Toc184312097"/>
      <w:bookmarkEnd w:id="66"/>
      <w:bookmarkStart w:id="67" w:name="_Toc184310313"/>
      <w:bookmarkEnd w:id="67"/>
      <w:bookmarkStart w:id="68" w:name="_Toc184308064"/>
      <w:bookmarkEnd w:id="68"/>
      <w:bookmarkStart w:id="69" w:name="_Toc184312126"/>
      <w:bookmarkEnd w:id="69"/>
      <w:bookmarkStart w:id="70" w:name="_Toc184310283"/>
      <w:bookmarkEnd w:id="70"/>
      <w:bookmarkStart w:id="71" w:name="_Toc184310302"/>
      <w:bookmarkEnd w:id="71"/>
      <w:bookmarkStart w:id="72" w:name="_Toc184308046"/>
      <w:bookmarkEnd w:id="72"/>
      <w:bookmarkStart w:id="73" w:name="_Toc184314454"/>
      <w:bookmarkEnd w:id="73"/>
      <w:bookmarkStart w:id="74" w:name="_Toc184310278"/>
      <w:bookmarkEnd w:id="74"/>
      <w:bookmarkStart w:id="75" w:name="_Toc184313262"/>
      <w:bookmarkEnd w:id="75"/>
      <w:bookmarkStart w:id="76" w:name="_Toc184310301"/>
      <w:bookmarkEnd w:id="76"/>
      <w:bookmarkStart w:id="77" w:name="_Toc184314445"/>
      <w:bookmarkEnd w:id="77"/>
      <w:bookmarkStart w:id="78" w:name="_Toc184312077"/>
      <w:bookmarkEnd w:id="78"/>
      <w:bookmarkStart w:id="79" w:name="_Toc184313300"/>
      <w:bookmarkEnd w:id="79"/>
      <w:bookmarkStart w:id="80" w:name="_Toc184313302"/>
      <w:bookmarkEnd w:id="80"/>
      <w:bookmarkStart w:id="81" w:name="_Toc184314418"/>
      <w:bookmarkEnd w:id="81"/>
      <w:bookmarkStart w:id="82" w:name="_Toc184312080"/>
      <w:bookmarkEnd w:id="82"/>
      <w:bookmarkStart w:id="83" w:name="_Toc184314431"/>
      <w:bookmarkEnd w:id="83"/>
      <w:bookmarkStart w:id="84" w:name="_Toc184314428"/>
      <w:bookmarkEnd w:id="84"/>
      <w:bookmarkStart w:id="85" w:name="_Toc184314413"/>
      <w:bookmarkEnd w:id="85"/>
      <w:bookmarkStart w:id="86" w:name="_Toc184314459"/>
      <w:bookmarkEnd w:id="86"/>
      <w:bookmarkStart w:id="87" w:name="_Toc184314480"/>
      <w:bookmarkEnd w:id="87"/>
      <w:bookmarkStart w:id="88" w:name="_Toc184314444"/>
      <w:bookmarkEnd w:id="88"/>
      <w:bookmarkStart w:id="89" w:name="_Toc184308067"/>
      <w:bookmarkEnd w:id="89"/>
      <w:bookmarkStart w:id="90" w:name="_Toc184308065"/>
      <w:bookmarkEnd w:id="90"/>
      <w:bookmarkStart w:id="91" w:name="_Toc184313265"/>
      <w:bookmarkEnd w:id="91"/>
      <w:bookmarkStart w:id="92" w:name="_Toc184314423"/>
      <w:bookmarkEnd w:id="92"/>
      <w:bookmarkStart w:id="93" w:name="_Toc184312114"/>
      <w:bookmarkEnd w:id="93"/>
      <w:bookmarkStart w:id="94" w:name="_Toc184313282"/>
      <w:bookmarkEnd w:id="94"/>
      <w:bookmarkStart w:id="95" w:name="_Toc184313259"/>
      <w:bookmarkEnd w:id="95"/>
      <w:bookmarkStart w:id="96" w:name="_Toc184310323"/>
      <w:bookmarkEnd w:id="96"/>
      <w:bookmarkStart w:id="97" w:name="_Toc184313306"/>
      <w:bookmarkEnd w:id="97"/>
      <w:bookmarkStart w:id="98" w:name="_Toc184312096"/>
      <w:bookmarkEnd w:id="98"/>
      <w:bookmarkStart w:id="99" w:name="_Toc184310309"/>
      <w:bookmarkEnd w:id="99"/>
      <w:bookmarkStart w:id="100" w:name="_Toc184310344"/>
      <w:bookmarkEnd w:id="100"/>
      <w:bookmarkStart w:id="101" w:name="_Toc184314427"/>
      <w:bookmarkEnd w:id="101"/>
      <w:bookmarkStart w:id="102" w:name="_Toc184312073"/>
      <w:bookmarkEnd w:id="102"/>
      <w:bookmarkStart w:id="103" w:name="_Toc184310342"/>
      <w:bookmarkEnd w:id="103"/>
      <w:bookmarkStart w:id="104" w:name="_Toc184313239"/>
      <w:bookmarkEnd w:id="104"/>
      <w:bookmarkStart w:id="105" w:name="_Toc184314429"/>
      <w:bookmarkEnd w:id="105"/>
      <w:bookmarkStart w:id="106" w:name="_Toc184313291"/>
      <w:bookmarkEnd w:id="106"/>
      <w:bookmarkStart w:id="107" w:name="_Toc184314420"/>
      <w:bookmarkEnd w:id="107"/>
      <w:bookmarkStart w:id="108" w:name="_Toc184310311"/>
      <w:bookmarkEnd w:id="108"/>
      <w:bookmarkStart w:id="109" w:name="_Toc184310314"/>
      <w:bookmarkEnd w:id="109"/>
      <w:bookmarkStart w:id="110" w:name="_Toc184314462"/>
      <w:bookmarkEnd w:id="110"/>
      <w:bookmarkStart w:id="111" w:name="_Toc184314460"/>
      <w:bookmarkEnd w:id="111"/>
      <w:bookmarkStart w:id="112" w:name="_Toc184312123"/>
      <w:bookmarkEnd w:id="112"/>
      <w:bookmarkStart w:id="113" w:name="_Toc184314457"/>
      <w:bookmarkEnd w:id="113"/>
      <w:bookmarkStart w:id="114" w:name="_Toc184310336"/>
      <w:bookmarkEnd w:id="114"/>
      <w:bookmarkStart w:id="115" w:name="_Toc184308089"/>
      <w:bookmarkEnd w:id="115"/>
      <w:bookmarkStart w:id="116" w:name="_Toc184313297"/>
      <w:bookmarkEnd w:id="116"/>
      <w:bookmarkStart w:id="117" w:name="_Toc184313269"/>
      <w:bookmarkEnd w:id="117"/>
      <w:bookmarkStart w:id="118" w:name="_Toc184312136"/>
      <w:bookmarkEnd w:id="118"/>
      <w:bookmarkStart w:id="119" w:name="_Toc184310327"/>
      <w:bookmarkEnd w:id="119"/>
      <w:bookmarkStart w:id="120" w:name="_Toc184312101"/>
      <w:bookmarkEnd w:id="120"/>
      <w:bookmarkStart w:id="121" w:name="_Toc184313292"/>
      <w:bookmarkEnd w:id="121"/>
      <w:bookmarkStart w:id="122" w:name="_Toc184314415"/>
      <w:bookmarkEnd w:id="122"/>
      <w:bookmarkStart w:id="123" w:name="_Toc184310331"/>
      <w:bookmarkEnd w:id="123"/>
      <w:bookmarkStart w:id="124" w:name="_Toc184312075"/>
      <w:bookmarkEnd w:id="124"/>
      <w:bookmarkStart w:id="125" w:name="_Toc184310343"/>
      <w:bookmarkEnd w:id="125"/>
      <w:bookmarkStart w:id="126" w:name="_Toc184312134"/>
      <w:bookmarkEnd w:id="126"/>
      <w:bookmarkStart w:id="127" w:name="_Toc184308086"/>
      <w:bookmarkEnd w:id="127"/>
      <w:bookmarkStart w:id="128" w:name="_Toc184314478"/>
      <w:bookmarkEnd w:id="128"/>
      <w:bookmarkStart w:id="129" w:name="_Toc184308045"/>
      <w:bookmarkEnd w:id="129"/>
      <w:bookmarkStart w:id="130" w:name="_Toc184314477"/>
      <w:bookmarkEnd w:id="130"/>
      <w:bookmarkStart w:id="131" w:name="_Toc184314473"/>
      <w:bookmarkEnd w:id="131"/>
      <w:bookmarkStart w:id="132" w:name="_Toc184313295"/>
      <w:bookmarkEnd w:id="132"/>
      <w:bookmarkStart w:id="133" w:name="_Toc184308051"/>
      <w:bookmarkEnd w:id="133"/>
      <w:bookmarkStart w:id="134" w:name="_Toc184312084"/>
      <w:bookmarkEnd w:id="134"/>
      <w:bookmarkStart w:id="135" w:name="_Toc184314455"/>
      <w:bookmarkEnd w:id="135"/>
      <w:bookmarkStart w:id="136" w:name="_Toc184312098"/>
      <w:bookmarkEnd w:id="136"/>
      <w:bookmarkStart w:id="137" w:name="_Toc184313293"/>
      <w:bookmarkEnd w:id="137"/>
      <w:bookmarkStart w:id="138" w:name="_Toc184312071"/>
      <w:bookmarkEnd w:id="138"/>
      <w:bookmarkStart w:id="139" w:name="_Toc184312106"/>
      <w:bookmarkEnd w:id="139"/>
      <w:bookmarkStart w:id="140" w:name="_Toc184312118"/>
      <w:bookmarkEnd w:id="140"/>
      <w:bookmarkStart w:id="141" w:name="_Toc184312125"/>
      <w:bookmarkEnd w:id="141"/>
      <w:bookmarkStart w:id="142" w:name="_Toc184314452"/>
      <w:bookmarkEnd w:id="142"/>
      <w:bookmarkStart w:id="143" w:name="_Toc184310322"/>
      <w:bookmarkEnd w:id="143"/>
      <w:bookmarkStart w:id="144" w:name="_Toc184313268"/>
      <w:bookmarkEnd w:id="144"/>
      <w:bookmarkStart w:id="145" w:name="_Toc184308105"/>
      <w:bookmarkEnd w:id="145"/>
      <w:bookmarkStart w:id="146" w:name="_Toc184314475"/>
      <w:bookmarkEnd w:id="146"/>
      <w:bookmarkStart w:id="147" w:name="_Toc184313286"/>
      <w:bookmarkEnd w:id="147"/>
      <w:bookmarkStart w:id="148" w:name="_Toc184314479"/>
      <w:bookmarkEnd w:id="148"/>
      <w:bookmarkStart w:id="149" w:name="_Toc184308077"/>
      <w:bookmarkEnd w:id="149"/>
      <w:bookmarkStart w:id="150" w:name="_Toc184313277"/>
      <w:bookmarkEnd w:id="150"/>
      <w:bookmarkStart w:id="151" w:name="_Toc184313273"/>
      <w:bookmarkEnd w:id="151"/>
      <w:bookmarkStart w:id="152" w:name="_Toc184308076"/>
      <w:bookmarkEnd w:id="152"/>
      <w:bookmarkStart w:id="153" w:name="_Toc184312122"/>
      <w:bookmarkEnd w:id="153"/>
      <w:bookmarkStart w:id="154" w:name="_Toc184308092"/>
      <w:bookmarkEnd w:id="154"/>
      <w:bookmarkStart w:id="155" w:name="_Toc184310320"/>
      <w:bookmarkEnd w:id="155"/>
      <w:bookmarkStart w:id="156" w:name="_Toc184308090"/>
      <w:bookmarkEnd w:id="156"/>
      <w:bookmarkStart w:id="157" w:name="_Toc184314446"/>
      <w:bookmarkEnd w:id="157"/>
      <w:bookmarkStart w:id="158" w:name="_Toc184312086"/>
      <w:bookmarkEnd w:id="158"/>
      <w:bookmarkStart w:id="159" w:name="_Toc184313242"/>
      <w:bookmarkEnd w:id="159"/>
      <w:bookmarkStart w:id="160" w:name="_Toc184313299"/>
      <w:bookmarkEnd w:id="160"/>
      <w:bookmarkStart w:id="161" w:name="_Toc184313284"/>
      <w:bookmarkEnd w:id="161"/>
      <w:bookmarkStart w:id="162" w:name="_Toc184312104"/>
      <w:bookmarkEnd w:id="162"/>
      <w:bookmarkStart w:id="163" w:name="_Toc184308101"/>
      <w:bookmarkEnd w:id="163"/>
      <w:bookmarkStart w:id="164" w:name="_Toc184308100"/>
      <w:bookmarkEnd w:id="164"/>
      <w:bookmarkStart w:id="165" w:name="_Toc184310333"/>
      <w:bookmarkEnd w:id="165"/>
      <w:bookmarkStart w:id="166" w:name="_Toc184312135"/>
      <w:bookmarkEnd w:id="166"/>
      <w:bookmarkStart w:id="167" w:name="_Toc184312115"/>
      <w:bookmarkEnd w:id="167"/>
      <w:bookmarkStart w:id="168" w:name="_Toc184308059"/>
      <w:bookmarkEnd w:id="168"/>
      <w:bookmarkStart w:id="169" w:name="_Toc184314440"/>
      <w:bookmarkEnd w:id="169"/>
      <w:bookmarkStart w:id="170" w:name="_Toc184310319"/>
      <w:bookmarkEnd w:id="170"/>
      <w:bookmarkStart w:id="171" w:name="_Toc184314453"/>
      <w:bookmarkEnd w:id="171"/>
      <w:bookmarkStart w:id="172" w:name="_Toc184310286"/>
      <w:bookmarkEnd w:id="172"/>
      <w:bookmarkStart w:id="173" w:name="_Toc184308070"/>
      <w:bookmarkEnd w:id="173"/>
      <w:bookmarkStart w:id="174" w:name="_Toc184313246"/>
      <w:bookmarkEnd w:id="174"/>
      <w:bookmarkStart w:id="175" w:name="_Toc184314471"/>
      <w:bookmarkEnd w:id="175"/>
      <w:bookmarkStart w:id="176" w:name="_Toc184310274"/>
      <w:bookmarkEnd w:id="176"/>
      <w:bookmarkStart w:id="177" w:name="_Toc184308036"/>
      <w:bookmarkEnd w:id="177"/>
      <w:bookmarkStart w:id="178" w:name="_Toc184314436"/>
      <w:bookmarkEnd w:id="178"/>
      <w:bookmarkStart w:id="179" w:name="_Toc184314438"/>
      <w:bookmarkEnd w:id="179"/>
      <w:bookmarkStart w:id="180" w:name="_Toc184313243"/>
      <w:bookmarkEnd w:id="180"/>
      <w:bookmarkStart w:id="181" w:name="_Toc184308099"/>
      <w:bookmarkEnd w:id="181"/>
      <w:bookmarkStart w:id="182" w:name="_Toc184310303"/>
      <w:bookmarkEnd w:id="182"/>
      <w:bookmarkStart w:id="183" w:name="_Toc184310304"/>
      <w:bookmarkEnd w:id="183"/>
      <w:bookmarkStart w:id="184" w:name="_Toc184312095"/>
      <w:bookmarkEnd w:id="184"/>
      <w:bookmarkStart w:id="185" w:name="_Toc184308103"/>
      <w:bookmarkEnd w:id="185"/>
      <w:bookmarkStart w:id="186" w:name="_Toc184313296"/>
      <w:bookmarkEnd w:id="186"/>
      <w:bookmarkStart w:id="187" w:name="_Toc184308068"/>
      <w:bookmarkEnd w:id="187"/>
      <w:bookmarkStart w:id="188" w:name="_Toc184310284"/>
      <w:bookmarkEnd w:id="188"/>
      <w:bookmarkStart w:id="189" w:name="_Toc184312093"/>
      <w:bookmarkEnd w:id="189"/>
      <w:bookmarkStart w:id="190" w:name="_Toc184310328"/>
      <w:bookmarkEnd w:id="190"/>
      <w:bookmarkStart w:id="191" w:name="_Toc184310298"/>
      <w:bookmarkEnd w:id="191"/>
      <w:bookmarkStart w:id="192" w:name="_Toc184314410"/>
      <w:bookmarkEnd w:id="192"/>
      <w:bookmarkStart w:id="193" w:name="_Toc184310305"/>
      <w:bookmarkEnd w:id="193"/>
      <w:bookmarkStart w:id="194" w:name="_Toc184310281"/>
      <w:bookmarkEnd w:id="194"/>
      <w:bookmarkStart w:id="195" w:name="_Toc184313257"/>
      <w:bookmarkEnd w:id="195"/>
      <w:bookmarkStart w:id="196" w:name="_Toc184308096"/>
      <w:bookmarkEnd w:id="196"/>
      <w:bookmarkStart w:id="197" w:name="_Toc184308093"/>
      <w:bookmarkEnd w:id="197"/>
      <w:bookmarkStart w:id="198" w:name="_Toc184310290"/>
      <w:bookmarkEnd w:id="198"/>
      <w:bookmarkStart w:id="199" w:name="_Toc184314447"/>
      <w:bookmarkEnd w:id="199"/>
      <w:bookmarkStart w:id="200" w:name="_Toc184313255"/>
      <w:bookmarkEnd w:id="200"/>
      <w:bookmarkStart w:id="201" w:name="_Toc184308066"/>
      <w:bookmarkEnd w:id="201"/>
      <w:bookmarkStart w:id="202" w:name="_Toc184314430"/>
      <w:bookmarkEnd w:id="202"/>
      <w:bookmarkStart w:id="203" w:name="_Toc184310272"/>
      <w:bookmarkEnd w:id="203"/>
      <w:bookmarkStart w:id="204" w:name="_Toc184308060"/>
      <w:bookmarkEnd w:id="204"/>
      <w:bookmarkStart w:id="205" w:name="_Toc184312137"/>
      <w:bookmarkEnd w:id="205"/>
      <w:bookmarkStart w:id="206" w:name="_Toc184310277"/>
      <w:bookmarkEnd w:id="206"/>
      <w:bookmarkStart w:id="207" w:name="_Toc184313250"/>
      <w:bookmarkEnd w:id="207"/>
      <w:bookmarkStart w:id="208" w:name="_Toc184312133"/>
      <w:bookmarkEnd w:id="208"/>
      <w:bookmarkStart w:id="209" w:name="_Toc184310330"/>
      <w:bookmarkEnd w:id="209"/>
      <w:bookmarkStart w:id="210" w:name="_Toc184313240"/>
      <w:bookmarkEnd w:id="210"/>
      <w:bookmarkStart w:id="211" w:name="_Toc184308098"/>
      <w:bookmarkEnd w:id="211"/>
      <w:bookmarkStart w:id="212" w:name="_Toc184310293"/>
      <w:bookmarkEnd w:id="212"/>
      <w:bookmarkStart w:id="213" w:name="_Toc184313256"/>
      <w:bookmarkEnd w:id="213"/>
      <w:bookmarkStart w:id="214" w:name="_Toc184312078"/>
      <w:bookmarkEnd w:id="214"/>
      <w:bookmarkStart w:id="215" w:name="_Toc184312092"/>
      <w:bookmarkEnd w:id="215"/>
      <w:bookmarkStart w:id="216" w:name="_Toc184308040"/>
      <w:bookmarkEnd w:id="216"/>
      <w:bookmarkStart w:id="217" w:name="_Toc184313254"/>
      <w:bookmarkEnd w:id="217"/>
      <w:bookmarkStart w:id="218" w:name="_Toc184310306"/>
      <w:bookmarkEnd w:id="218"/>
      <w:bookmarkStart w:id="219" w:name="_Toc184313307"/>
      <w:bookmarkEnd w:id="219"/>
      <w:bookmarkStart w:id="220" w:name="_Toc184308088"/>
      <w:bookmarkEnd w:id="220"/>
      <w:bookmarkStart w:id="221" w:name="_Toc184310337"/>
      <w:bookmarkEnd w:id="221"/>
      <w:bookmarkStart w:id="222" w:name="_Toc184312120"/>
      <w:bookmarkEnd w:id="222"/>
      <w:bookmarkStart w:id="223" w:name="_Toc184312100"/>
      <w:bookmarkEnd w:id="223"/>
      <w:bookmarkStart w:id="224" w:name="_Toc184312079"/>
      <w:bookmarkEnd w:id="224"/>
      <w:bookmarkStart w:id="225" w:name="_Toc184310297"/>
      <w:bookmarkEnd w:id="225"/>
      <w:bookmarkStart w:id="226" w:name="_Toc184313258"/>
      <w:bookmarkEnd w:id="226"/>
      <w:bookmarkStart w:id="227" w:name="_Toc184312131"/>
      <w:bookmarkEnd w:id="227"/>
      <w:bookmarkStart w:id="228" w:name="_Toc184310332"/>
      <w:bookmarkEnd w:id="228"/>
      <w:bookmarkStart w:id="229" w:name="_Toc184310300"/>
      <w:bookmarkEnd w:id="229"/>
      <w:bookmarkStart w:id="230" w:name="_Toc184310316"/>
      <w:bookmarkEnd w:id="230"/>
      <w:bookmarkStart w:id="231" w:name="_Toc184313279"/>
      <w:bookmarkEnd w:id="231"/>
      <w:bookmarkStart w:id="232" w:name="_Toc184312076"/>
      <w:bookmarkEnd w:id="232"/>
      <w:bookmarkStart w:id="233" w:name="_Toc184310310"/>
      <w:bookmarkEnd w:id="233"/>
      <w:bookmarkStart w:id="234" w:name="_Toc184312090"/>
      <w:bookmarkEnd w:id="234"/>
      <w:bookmarkStart w:id="235" w:name="_Toc184313308"/>
      <w:bookmarkEnd w:id="235"/>
      <w:bookmarkStart w:id="236" w:name="_Toc184308038"/>
      <w:bookmarkEnd w:id="236"/>
      <w:bookmarkStart w:id="237" w:name="_Toc184314449"/>
      <w:bookmarkEnd w:id="237"/>
      <w:bookmarkStart w:id="238" w:name="_Toc184312082"/>
      <w:bookmarkEnd w:id="238"/>
      <w:bookmarkStart w:id="239" w:name="_Toc184308054"/>
      <w:bookmarkEnd w:id="239"/>
      <w:bookmarkStart w:id="240" w:name="_Toc184310329"/>
      <w:bookmarkEnd w:id="240"/>
      <w:bookmarkStart w:id="241" w:name="_Toc184312105"/>
      <w:bookmarkEnd w:id="241"/>
      <w:bookmarkStart w:id="242" w:name="_Toc184308106"/>
      <w:bookmarkEnd w:id="242"/>
      <w:bookmarkStart w:id="243" w:name="_Toc184314456"/>
      <w:bookmarkEnd w:id="243"/>
      <w:bookmarkStart w:id="244" w:name="_Toc184312109"/>
      <w:bookmarkEnd w:id="244"/>
      <w:bookmarkStart w:id="245" w:name="_Toc184310285"/>
      <w:bookmarkEnd w:id="245"/>
      <w:bookmarkStart w:id="246" w:name="_Toc184314433"/>
      <w:bookmarkEnd w:id="246"/>
      <w:bookmarkStart w:id="247" w:name="_Toc184312083"/>
      <w:bookmarkEnd w:id="247"/>
      <w:bookmarkStart w:id="248" w:name="_Toc184313244"/>
      <w:bookmarkEnd w:id="248"/>
      <w:bookmarkStart w:id="249" w:name="_Toc184310334"/>
      <w:bookmarkEnd w:id="249"/>
      <w:bookmarkStart w:id="250" w:name="_Toc184313289"/>
      <w:bookmarkEnd w:id="250"/>
      <w:bookmarkStart w:id="251" w:name="_Toc184314474"/>
      <w:bookmarkEnd w:id="251"/>
      <w:bookmarkStart w:id="252" w:name="_Toc184314419"/>
      <w:bookmarkEnd w:id="252"/>
      <w:bookmarkStart w:id="253" w:name="_Toc184314463"/>
      <w:bookmarkEnd w:id="253"/>
      <w:bookmarkStart w:id="254" w:name="_Toc184310292"/>
      <w:bookmarkEnd w:id="254"/>
      <w:bookmarkStart w:id="255" w:name="_Toc184308069"/>
      <w:bookmarkEnd w:id="255"/>
      <w:bookmarkStart w:id="256" w:name="_Toc184313283"/>
      <w:bookmarkEnd w:id="256"/>
      <w:bookmarkStart w:id="257" w:name="_Toc184314416"/>
      <w:bookmarkEnd w:id="257"/>
      <w:bookmarkStart w:id="258" w:name="_Toc184314437"/>
      <w:bookmarkEnd w:id="258"/>
      <w:bookmarkStart w:id="259" w:name="_Toc184310273"/>
      <w:bookmarkEnd w:id="259"/>
      <w:bookmarkStart w:id="260" w:name="_Toc184314426"/>
      <w:bookmarkEnd w:id="260"/>
      <w:bookmarkStart w:id="261" w:name="_Toc184314476"/>
      <w:bookmarkEnd w:id="261"/>
      <w:bookmarkStart w:id="262" w:name="_Toc184314443"/>
      <w:bookmarkEnd w:id="262"/>
      <w:bookmarkStart w:id="263" w:name="_Toc184313270"/>
      <w:bookmarkEnd w:id="263"/>
      <w:bookmarkStart w:id="264" w:name="_Toc184310307"/>
      <w:bookmarkEnd w:id="264"/>
      <w:bookmarkStart w:id="265" w:name="_Toc184308083"/>
      <w:bookmarkEnd w:id="265"/>
      <w:bookmarkStart w:id="266" w:name="_Toc184314469"/>
      <w:bookmarkEnd w:id="266"/>
      <w:bookmarkStart w:id="267" w:name="_Toc184310335"/>
      <w:bookmarkEnd w:id="267"/>
      <w:bookmarkStart w:id="268" w:name="_Toc184308053"/>
      <w:bookmarkEnd w:id="268"/>
      <w:bookmarkStart w:id="269" w:name="_Toc184314439"/>
      <w:bookmarkEnd w:id="269"/>
      <w:bookmarkStart w:id="270" w:name="_Toc184308047"/>
      <w:bookmarkEnd w:id="270"/>
      <w:bookmarkStart w:id="271" w:name="_Toc184312107"/>
      <w:bookmarkEnd w:id="271"/>
      <w:bookmarkStart w:id="272" w:name="_Toc184314468"/>
      <w:bookmarkEnd w:id="272"/>
      <w:bookmarkStart w:id="273" w:name="_Toc184313310"/>
      <w:bookmarkEnd w:id="273"/>
      <w:bookmarkStart w:id="274" w:name="_Toc184312121"/>
      <w:bookmarkEnd w:id="274"/>
      <w:bookmarkStart w:id="275" w:name="_Toc184310275"/>
      <w:bookmarkEnd w:id="275"/>
      <w:bookmarkStart w:id="276" w:name="_Toc184310318"/>
      <w:bookmarkEnd w:id="276"/>
      <w:bookmarkStart w:id="277" w:name="_Toc184314435"/>
      <w:bookmarkEnd w:id="277"/>
      <w:bookmarkStart w:id="278" w:name="_Toc184313249"/>
      <w:bookmarkEnd w:id="278"/>
      <w:bookmarkStart w:id="279" w:name="_Toc184313287"/>
      <w:bookmarkEnd w:id="279"/>
      <w:bookmarkStart w:id="280" w:name="_Toc184312089"/>
      <w:bookmarkEnd w:id="280"/>
      <w:bookmarkStart w:id="281" w:name="_Toc184314472"/>
      <w:bookmarkEnd w:id="281"/>
      <w:bookmarkStart w:id="282" w:name="_Toc184312069"/>
      <w:bookmarkEnd w:id="282"/>
      <w:bookmarkStart w:id="283" w:name="_Toc184308044"/>
      <w:bookmarkEnd w:id="283"/>
      <w:bookmarkStart w:id="284" w:name="_Toc184313264"/>
      <w:bookmarkEnd w:id="284"/>
      <w:bookmarkStart w:id="285" w:name="_Toc184308094"/>
      <w:bookmarkEnd w:id="285"/>
      <w:bookmarkStart w:id="286" w:name="_Toc184308048"/>
      <w:bookmarkEnd w:id="286"/>
      <w:bookmarkStart w:id="287" w:name="_Toc184313252"/>
      <w:bookmarkEnd w:id="287"/>
      <w:bookmarkStart w:id="288" w:name="_Toc184310341"/>
      <w:bookmarkEnd w:id="288"/>
      <w:bookmarkStart w:id="289" w:name="_Toc184313278"/>
      <w:bookmarkEnd w:id="289"/>
      <w:bookmarkStart w:id="290" w:name="_Toc184312128"/>
      <w:bookmarkEnd w:id="290"/>
      <w:bookmarkStart w:id="291" w:name="_Toc184310282"/>
      <w:bookmarkEnd w:id="291"/>
      <w:bookmarkStart w:id="292" w:name="_Toc184313285"/>
      <w:bookmarkEnd w:id="292"/>
      <w:bookmarkStart w:id="293" w:name="_Toc184314434"/>
      <w:bookmarkEnd w:id="293"/>
      <w:bookmarkStart w:id="294" w:name="_Toc184312074"/>
      <w:bookmarkEnd w:id="294"/>
      <w:bookmarkStart w:id="295" w:name="_Toc184308055"/>
      <w:bookmarkEnd w:id="295"/>
      <w:bookmarkStart w:id="296" w:name="_Toc184308074"/>
      <w:bookmarkEnd w:id="296"/>
      <w:bookmarkStart w:id="297" w:name="_Toc184313248"/>
      <w:bookmarkEnd w:id="297"/>
      <w:bookmarkStart w:id="298" w:name="_Toc184312116"/>
      <w:bookmarkEnd w:id="298"/>
      <w:bookmarkStart w:id="299" w:name="_Toc184308043"/>
      <w:bookmarkEnd w:id="299"/>
      <w:bookmarkStart w:id="300" w:name="_Toc184314481"/>
      <w:bookmarkEnd w:id="300"/>
      <w:bookmarkStart w:id="301" w:name="_Toc184313294"/>
      <w:bookmarkEnd w:id="301"/>
      <w:bookmarkStart w:id="302" w:name="_Toc184308042"/>
      <w:bookmarkEnd w:id="302"/>
      <w:bookmarkStart w:id="303" w:name="_Toc184312094"/>
      <w:bookmarkEnd w:id="303"/>
      <w:bookmarkStart w:id="304" w:name="_Toc184308095"/>
      <w:bookmarkEnd w:id="304"/>
      <w:bookmarkStart w:id="305" w:name="_Toc184308104"/>
      <w:bookmarkEnd w:id="305"/>
      <w:bookmarkStart w:id="306" w:name="_Toc184308056"/>
      <w:bookmarkEnd w:id="306"/>
      <w:bookmarkStart w:id="307" w:name="_Toc184312072"/>
      <w:bookmarkEnd w:id="307"/>
      <w:bookmarkStart w:id="308" w:name="_Toc184310288"/>
      <w:bookmarkEnd w:id="308"/>
      <w:bookmarkStart w:id="309" w:name="_Toc184313266"/>
      <w:bookmarkEnd w:id="309"/>
      <w:bookmarkStart w:id="310" w:name="_Toc184313298"/>
      <w:bookmarkEnd w:id="310"/>
      <w:bookmarkStart w:id="311" w:name="_Toc184314448"/>
      <w:bookmarkEnd w:id="311"/>
      <w:bookmarkStart w:id="312" w:name="_Toc184310315"/>
      <w:bookmarkEnd w:id="312"/>
      <w:bookmarkStart w:id="313" w:name="_Toc184312112"/>
      <w:bookmarkEnd w:id="313"/>
      <w:bookmarkStart w:id="314" w:name="_Toc184313251"/>
      <w:bookmarkEnd w:id="314"/>
      <w:bookmarkStart w:id="315" w:name="_Toc184314467"/>
      <w:bookmarkEnd w:id="315"/>
      <w:bookmarkStart w:id="316" w:name="_Toc184312085"/>
      <w:bookmarkEnd w:id="316"/>
      <w:bookmarkStart w:id="317" w:name="_Toc184313272"/>
      <w:bookmarkEnd w:id="317"/>
      <w:bookmarkStart w:id="318" w:name="_Toc184308102"/>
      <w:bookmarkEnd w:id="318"/>
      <w:bookmarkStart w:id="319" w:name="_Toc184312102"/>
      <w:bookmarkEnd w:id="319"/>
      <w:bookmarkStart w:id="320" w:name="_Toc184308039"/>
      <w:bookmarkEnd w:id="320"/>
      <w:bookmarkStart w:id="321" w:name="_Toc184310321"/>
      <w:bookmarkEnd w:id="321"/>
      <w:bookmarkStart w:id="322" w:name="_Toc184308057"/>
      <w:bookmarkEnd w:id="322"/>
      <w:bookmarkStart w:id="323" w:name="_Toc184312081"/>
      <w:bookmarkEnd w:id="323"/>
      <w:bookmarkStart w:id="324" w:name="_Toc184310294"/>
      <w:bookmarkEnd w:id="324"/>
      <w:bookmarkStart w:id="325" w:name="_Toc184312111"/>
      <w:bookmarkEnd w:id="325"/>
      <w:bookmarkStart w:id="326" w:name="_Toc184314424"/>
      <w:bookmarkEnd w:id="326"/>
      <w:bookmarkStart w:id="327" w:name="_Toc184310325"/>
      <w:bookmarkEnd w:id="327"/>
      <w:bookmarkStart w:id="328" w:name="_Toc184313280"/>
      <w:bookmarkEnd w:id="328"/>
      <w:bookmarkStart w:id="329" w:name="_Toc184308049"/>
      <w:bookmarkEnd w:id="329"/>
      <w:bookmarkStart w:id="330" w:name="_Toc184308058"/>
      <w:bookmarkEnd w:id="330"/>
      <w:bookmarkStart w:id="331" w:name="_Toc184313303"/>
      <w:bookmarkEnd w:id="331"/>
      <w:bookmarkStart w:id="332" w:name="_Toc184310299"/>
      <w:bookmarkEnd w:id="332"/>
      <w:bookmarkStart w:id="333" w:name="_Toc184308075"/>
      <w:bookmarkEnd w:id="333"/>
      <w:bookmarkStart w:id="334" w:name="_Toc184308037"/>
      <w:bookmarkEnd w:id="334"/>
      <w:bookmarkStart w:id="335" w:name="_Toc184312088"/>
      <w:bookmarkEnd w:id="335"/>
      <w:bookmarkStart w:id="336" w:name="_Toc184313260"/>
      <w:bookmarkEnd w:id="336"/>
      <w:bookmarkStart w:id="337" w:name="_Toc184310326"/>
      <w:bookmarkEnd w:id="337"/>
      <w:bookmarkStart w:id="338" w:name="_Toc184314465"/>
      <w:bookmarkEnd w:id="338"/>
      <w:bookmarkStart w:id="339" w:name="_Toc184313261"/>
      <w:bookmarkEnd w:id="339"/>
      <w:bookmarkStart w:id="340" w:name="_Toc184308085"/>
      <w:bookmarkEnd w:id="340"/>
      <w:bookmarkStart w:id="341" w:name="_Toc184310276"/>
      <w:bookmarkEnd w:id="341"/>
      <w:bookmarkStart w:id="342" w:name="_Toc184308084"/>
      <w:bookmarkEnd w:id="342"/>
      <w:bookmarkStart w:id="343" w:name="_Toc184310340"/>
      <w:bookmarkEnd w:id="343"/>
      <w:bookmarkStart w:id="344" w:name="_Toc184308107"/>
      <w:bookmarkEnd w:id="344"/>
      <w:bookmarkStart w:id="345" w:name="_Toc184314470"/>
      <w:bookmarkEnd w:id="345"/>
      <w:bookmarkStart w:id="346" w:name="_Toc184310291"/>
      <w:bookmarkEnd w:id="346"/>
      <w:bookmarkStart w:id="347" w:name="_Toc184310324"/>
      <w:bookmarkEnd w:id="347"/>
      <w:bookmarkStart w:id="348" w:name="_Toc184314432"/>
      <w:bookmarkEnd w:id="348"/>
      <w:bookmarkStart w:id="349" w:name="_Toc184313245"/>
      <w:bookmarkEnd w:id="349"/>
      <w:bookmarkStart w:id="350" w:name="_Toc184312108"/>
      <w:bookmarkEnd w:id="350"/>
      <w:bookmarkStart w:id="351" w:name="_Toc184313301"/>
      <w:bookmarkEnd w:id="351"/>
      <w:bookmarkStart w:id="352" w:name="_Toc184314451"/>
      <w:bookmarkEnd w:id="352"/>
      <w:bookmarkStart w:id="353" w:name="_Toc184313263"/>
      <w:bookmarkEnd w:id="353"/>
      <w:bookmarkStart w:id="354" w:name="_Toc184313281"/>
      <w:bookmarkEnd w:id="354"/>
      <w:bookmarkStart w:id="355" w:name="_Toc184312130"/>
      <w:bookmarkEnd w:id="355"/>
      <w:bookmarkStart w:id="356" w:name="_Toc184310289"/>
      <w:bookmarkEnd w:id="356"/>
      <w:bookmarkStart w:id="357" w:name="_Toc184312091"/>
      <w:bookmarkEnd w:id="357"/>
      <w:bookmarkStart w:id="358" w:name="_Toc184308061"/>
      <w:bookmarkEnd w:id="358"/>
      <w:bookmarkStart w:id="359" w:name="_Toc184314422"/>
      <w:bookmarkEnd w:id="359"/>
      <w:bookmarkStart w:id="360" w:name="_Toc184312124"/>
      <w:bookmarkEnd w:id="360"/>
      <w:bookmarkStart w:id="361" w:name="_Toc184314442"/>
      <w:bookmarkEnd w:id="361"/>
      <w:bookmarkStart w:id="362" w:name="_Toc184310308"/>
      <w:bookmarkEnd w:id="362"/>
      <w:bookmarkStart w:id="363" w:name="_Toc184310280"/>
      <w:bookmarkEnd w:id="363"/>
      <w:bookmarkStart w:id="364" w:name="_Toc184308108"/>
      <w:bookmarkEnd w:id="364"/>
      <w:bookmarkStart w:id="365" w:name="_Toc184312068"/>
      <w:bookmarkEnd w:id="365"/>
      <w:bookmarkStart w:id="366" w:name="_Toc184312103"/>
      <w:bookmarkEnd w:id="366"/>
      <w:bookmarkStart w:id="367" w:name="_Toc184310338"/>
      <w:bookmarkEnd w:id="367"/>
      <w:bookmarkStart w:id="368" w:name="_Toc184312110"/>
      <w:bookmarkEnd w:id="368"/>
      <w:bookmarkStart w:id="369" w:name="_Toc184313247"/>
      <w:bookmarkEnd w:id="369"/>
      <w:bookmarkStart w:id="370" w:name="_Toc184314412"/>
      <w:bookmarkEnd w:id="370"/>
      <w:bookmarkStart w:id="371" w:name="_Toc184313274"/>
      <w:bookmarkEnd w:id="371"/>
      <w:bookmarkStart w:id="372" w:name="_Toc184313241"/>
      <w:bookmarkEnd w:id="372"/>
      <w:bookmarkStart w:id="373" w:name="_Toc184312087"/>
      <w:bookmarkEnd w:id="373"/>
      <w:bookmarkStart w:id="374" w:name="_Toc184308052"/>
      <w:bookmarkEnd w:id="374"/>
      <w:bookmarkStart w:id="375" w:name="_Toc184310296"/>
      <w:bookmarkEnd w:id="375"/>
      <w:bookmarkStart w:id="376" w:name="_Toc184312139"/>
      <w:bookmarkEnd w:id="376"/>
      <w:bookmarkStart w:id="377" w:name="_Toc184314482"/>
      <w:bookmarkEnd w:id="377"/>
      <w:bookmarkStart w:id="378" w:name="_Toc184308063"/>
      <w:bookmarkEnd w:id="378"/>
      <w:bookmarkStart w:id="379" w:name="_Toc184312129"/>
      <w:bookmarkEnd w:id="379"/>
      <w:bookmarkStart w:id="380" w:name="_Toc184308087"/>
      <w:bookmarkEnd w:id="380"/>
      <w:bookmarkStart w:id="381" w:name="_Toc184310312"/>
      <w:bookmarkEnd w:id="381"/>
      <w:bookmarkStart w:id="382" w:name="_Toc184314466"/>
      <w:bookmarkEnd w:id="382"/>
      <w:bookmarkStart w:id="383" w:name="_Toc184314414"/>
      <w:bookmarkEnd w:id="383"/>
      <w:bookmarkStart w:id="384" w:name="_Toc184308082"/>
      <w:bookmarkEnd w:id="384"/>
      <w:bookmarkStart w:id="385" w:name="_Toc184308062"/>
      <w:bookmarkEnd w:id="385"/>
      <w:bookmarkStart w:id="386" w:name="_Toc184308097"/>
      <w:bookmarkEnd w:id="386"/>
      <w:r>
        <w:rPr>
          <w:rFonts w:hint="eastAsia" w:ascii="仿宋" w:hAnsi="仿宋" w:eastAsia="仿宋" w:cs="仿宋"/>
          <w:color w:val="auto"/>
          <w:kern w:val="2"/>
          <w:sz w:val="32"/>
          <w:szCs w:val="32"/>
          <w:highlight w:val="none"/>
          <w:lang w:val="en-US" w:eastAsia="zh-CN" w:bidi="ar-SA"/>
        </w:rPr>
        <w:t>评标办法</w:t>
      </w:r>
    </w:p>
    <w:p w14:paraId="6C1AE269">
      <w:pPr>
        <w:widowControl/>
        <w:jc w:val="left"/>
        <w:rPr>
          <w:rFonts w:hint="eastAsia" w:ascii="仿宋" w:hAnsi="仿宋" w:eastAsia="仿宋" w:cs="仿宋"/>
          <w:b/>
          <w:bCs/>
          <w:sz w:val="24"/>
        </w:rPr>
      </w:pPr>
      <w:r>
        <w:rPr>
          <w:rFonts w:hint="eastAsia" w:ascii="仿宋" w:hAnsi="仿宋" w:eastAsia="仿宋" w:cs="仿宋"/>
          <w:b/>
          <w:bCs/>
          <w:sz w:val="24"/>
        </w:rPr>
        <w:t>1、商务技术分（70分）</w:t>
      </w:r>
    </w:p>
    <w:tbl>
      <w:tblPr>
        <w:tblStyle w:val="6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654"/>
        <w:gridCol w:w="940"/>
        <w:gridCol w:w="5014"/>
        <w:gridCol w:w="966"/>
        <w:gridCol w:w="938"/>
      </w:tblGrid>
      <w:tr w14:paraId="7506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14:paraId="5E6CBE38">
            <w:pPr>
              <w:jc w:val="center"/>
              <w:rPr>
                <w:rFonts w:hint="eastAsia" w:ascii="仿宋" w:hAnsi="仿宋" w:eastAsia="仿宋" w:cs="仿宋"/>
                <w:b/>
                <w:bCs/>
                <w:kern w:val="0"/>
                <w:sz w:val="24"/>
              </w:rPr>
            </w:pPr>
          </w:p>
        </w:tc>
        <w:tc>
          <w:tcPr>
            <w:tcW w:w="352" w:type="pct"/>
            <w:vAlign w:val="center"/>
          </w:tcPr>
          <w:p w14:paraId="0CCA4FBA">
            <w:pPr>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3206" w:type="pct"/>
            <w:gridSpan w:val="2"/>
            <w:vAlign w:val="center"/>
          </w:tcPr>
          <w:p w14:paraId="48613CD4">
            <w:pPr>
              <w:jc w:val="center"/>
              <w:rPr>
                <w:rFonts w:hint="eastAsia" w:ascii="仿宋" w:hAnsi="仿宋" w:eastAsia="仿宋" w:cs="仿宋"/>
                <w:b/>
                <w:bCs/>
                <w:kern w:val="0"/>
                <w:sz w:val="24"/>
              </w:rPr>
            </w:pPr>
            <w:r>
              <w:rPr>
                <w:rFonts w:hint="eastAsia" w:ascii="仿宋" w:hAnsi="仿宋" w:eastAsia="仿宋" w:cs="仿宋"/>
                <w:b/>
                <w:bCs/>
                <w:kern w:val="0"/>
                <w:sz w:val="24"/>
              </w:rPr>
              <w:t>评分内容和标准</w:t>
            </w:r>
          </w:p>
        </w:tc>
        <w:tc>
          <w:tcPr>
            <w:tcW w:w="520" w:type="pct"/>
            <w:vAlign w:val="center"/>
          </w:tcPr>
          <w:p w14:paraId="55677BF0">
            <w:pPr>
              <w:jc w:val="center"/>
              <w:rPr>
                <w:rFonts w:hint="eastAsia" w:ascii="仿宋" w:hAnsi="仿宋" w:eastAsia="仿宋" w:cs="仿宋"/>
                <w:b/>
                <w:bCs/>
                <w:kern w:val="0"/>
                <w:sz w:val="24"/>
              </w:rPr>
            </w:pPr>
            <w:r>
              <w:rPr>
                <w:rFonts w:hint="eastAsia" w:ascii="仿宋" w:hAnsi="仿宋" w:eastAsia="仿宋" w:cs="仿宋"/>
                <w:b/>
                <w:bCs/>
                <w:kern w:val="0"/>
                <w:sz w:val="24"/>
              </w:rPr>
              <w:t>分值区间</w:t>
            </w:r>
          </w:p>
        </w:tc>
        <w:tc>
          <w:tcPr>
            <w:tcW w:w="505" w:type="pct"/>
            <w:vAlign w:val="center"/>
          </w:tcPr>
          <w:p w14:paraId="7E0A87BE">
            <w:pPr>
              <w:jc w:val="center"/>
              <w:rPr>
                <w:rFonts w:hint="eastAsia" w:ascii="仿宋" w:hAnsi="仿宋" w:eastAsia="仿宋" w:cs="仿宋"/>
                <w:b/>
                <w:bCs/>
                <w:kern w:val="0"/>
                <w:sz w:val="24"/>
              </w:rPr>
            </w:pPr>
            <w:r>
              <w:rPr>
                <w:rFonts w:hint="eastAsia" w:ascii="仿宋" w:hAnsi="仿宋" w:eastAsia="仿宋" w:cs="仿宋"/>
                <w:b/>
                <w:bCs/>
                <w:kern w:val="0"/>
                <w:sz w:val="24"/>
              </w:rPr>
              <w:t>主客观分</w:t>
            </w:r>
          </w:p>
        </w:tc>
      </w:tr>
      <w:tr w14:paraId="3D63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414" w:type="pct"/>
            <w:vMerge w:val="restart"/>
            <w:vAlign w:val="center"/>
          </w:tcPr>
          <w:p w14:paraId="1325D830">
            <w:pPr>
              <w:jc w:val="center"/>
              <w:rPr>
                <w:rFonts w:hint="eastAsia" w:ascii="仿宋" w:hAnsi="仿宋" w:eastAsia="仿宋" w:cs="仿宋"/>
                <w:kern w:val="0"/>
                <w:sz w:val="24"/>
              </w:rPr>
            </w:pPr>
            <w:r>
              <w:rPr>
                <w:rFonts w:hint="eastAsia" w:ascii="仿宋" w:hAnsi="仿宋" w:eastAsia="仿宋" w:cs="仿宋"/>
                <w:kern w:val="0"/>
                <w:sz w:val="24"/>
              </w:rPr>
              <w:t>商务资信（</w:t>
            </w:r>
            <w:r>
              <w:rPr>
                <w:rFonts w:hint="eastAsia" w:ascii="仿宋" w:hAnsi="仿宋" w:eastAsia="仿宋" w:cs="仿宋"/>
                <w:kern w:val="0"/>
                <w:sz w:val="24"/>
                <w:lang w:val="en-US" w:eastAsia="zh-CN"/>
              </w:rPr>
              <w:t>6</w:t>
            </w:r>
            <w:r>
              <w:rPr>
                <w:rFonts w:hint="eastAsia" w:ascii="仿宋" w:hAnsi="仿宋" w:eastAsia="仿宋" w:cs="仿宋"/>
                <w:kern w:val="0"/>
                <w:sz w:val="24"/>
              </w:rPr>
              <w:t>分）</w:t>
            </w:r>
          </w:p>
        </w:tc>
        <w:tc>
          <w:tcPr>
            <w:tcW w:w="352" w:type="pct"/>
            <w:vAlign w:val="center"/>
          </w:tcPr>
          <w:p w14:paraId="2DE35892">
            <w:pPr>
              <w:jc w:val="center"/>
              <w:rPr>
                <w:rFonts w:hint="eastAsia" w:ascii="仿宋" w:hAnsi="仿宋" w:eastAsia="仿宋" w:cs="仿宋"/>
                <w:kern w:val="0"/>
                <w:sz w:val="24"/>
              </w:rPr>
            </w:pPr>
            <w:r>
              <w:rPr>
                <w:rFonts w:hint="eastAsia" w:ascii="仿宋" w:hAnsi="仿宋" w:eastAsia="仿宋" w:cs="仿宋"/>
                <w:kern w:val="0"/>
                <w:sz w:val="24"/>
              </w:rPr>
              <w:t>1</w:t>
            </w:r>
          </w:p>
        </w:tc>
        <w:tc>
          <w:tcPr>
            <w:tcW w:w="506" w:type="pct"/>
            <w:vAlign w:val="center"/>
          </w:tcPr>
          <w:p w14:paraId="05C9962F">
            <w:pPr>
              <w:jc w:val="center"/>
              <w:rPr>
                <w:rFonts w:hint="eastAsia" w:ascii="仿宋" w:hAnsi="仿宋" w:eastAsia="仿宋" w:cs="仿宋"/>
                <w:kern w:val="0"/>
                <w:sz w:val="24"/>
              </w:rPr>
            </w:pPr>
            <w:r>
              <w:rPr>
                <w:rFonts w:hint="eastAsia" w:ascii="仿宋" w:hAnsi="仿宋" w:eastAsia="仿宋" w:cs="仿宋"/>
                <w:kern w:val="0"/>
                <w:sz w:val="24"/>
              </w:rPr>
              <w:t>业绩</w:t>
            </w:r>
          </w:p>
        </w:tc>
        <w:tc>
          <w:tcPr>
            <w:tcW w:w="2699" w:type="pct"/>
            <w:vAlign w:val="center"/>
          </w:tcPr>
          <w:p w14:paraId="219344F2">
            <w:pPr>
              <w:rPr>
                <w:rFonts w:hint="eastAsia" w:ascii="仿宋" w:hAnsi="仿宋" w:eastAsia="仿宋" w:cs="仿宋"/>
                <w:kern w:val="0"/>
                <w:sz w:val="24"/>
              </w:rPr>
            </w:pPr>
            <w:r>
              <w:rPr>
                <w:rFonts w:hint="eastAsia" w:ascii="仿宋" w:hAnsi="仿宋" w:eastAsia="仿宋" w:cs="仿宋"/>
                <w:kern w:val="0"/>
                <w:sz w:val="24"/>
              </w:rPr>
              <w:t>投标人自2020年1月1日以来具有同类项目业绩，每个业绩得1分，最高得</w:t>
            </w:r>
            <w:r>
              <w:rPr>
                <w:rFonts w:ascii="仿宋" w:hAnsi="仿宋" w:eastAsia="仿宋" w:cs="仿宋"/>
                <w:kern w:val="0"/>
                <w:sz w:val="24"/>
              </w:rPr>
              <w:t>3</w:t>
            </w:r>
            <w:r>
              <w:rPr>
                <w:rFonts w:hint="eastAsia" w:ascii="仿宋" w:hAnsi="仿宋" w:eastAsia="仿宋" w:cs="仿宋"/>
                <w:kern w:val="0"/>
                <w:sz w:val="24"/>
              </w:rPr>
              <w:t>分。</w:t>
            </w:r>
          </w:p>
          <w:p w14:paraId="29C8B069">
            <w:pPr>
              <w:rPr>
                <w:rFonts w:hint="eastAsia" w:ascii="仿宋" w:hAnsi="仿宋" w:eastAsia="仿宋" w:cs="仿宋"/>
                <w:kern w:val="0"/>
                <w:sz w:val="24"/>
              </w:rPr>
            </w:pPr>
            <w:r>
              <w:rPr>
                <w:rFonts w:hint="eastAsia" w:ascii="仿宋" w:hAnsi="仿宋" w:eastAsia="仿宋" w:cs="仿宋"/>
                <w:kern w:val="0"/>
                <w:sz w:val="24"/>
              </w:rPr>
              <w:t>（同类业绩：指相关的同类项目业绩。证明材料：投标文件中提供合同复印件并加盖公章，未按要求提供证明材料的不得分）。</w:t>
            </w:r>
          </w:p>
        </w:tc>
        <w:tc>
          <w:tcPr>
            <w:tcW w:w="520" w:type="pct"/>
            <w:vAlign w:val="center"/>
          </w:tcPr>
          <w:p w14:paraId="13248457">
            <w:pPr>
              <w:jc w:val="center"/>
              <w:rPr>
                <w:rFonts w:hint="eastAsia" w:ascii="仿宋" w:hAnsi="仿宋" w:eastAsia="仿宋" w:cs="仿宋"/>
                <w:kern w:val="0"/>
                <w:sz w:val="24"/>
              </w:rPr>
            </w:pPr>
            <w:r>
              <w:rPr>
                <w:rFonts w:hint="eastAsia" w:ascii="仿宋" w:hAnsi="仿宋" w:eastAsia="仿宋" w:cs="仿宋"/>
                <w:kern w:val="0"/>
                <w:sz w:val="24"/>
              </w:rPr>
              <w:t>0-</w:t>
            </w:r>
            <w:r>
              <w:rPr>
                <w:rFonts w:ascii="仿宋" w:hAnsi="仿宋" w:eastAsia="仿宋" w:cs="仿宋"/>
                <w:kern w:val="0"/>
                <w:sz w:val="24"/>
              </w:rPr>
              <w:t>3</w:t>
            </w:r>
            <w:r>
              <w:rPr>
                <w:rFonts w:hint="eastAsia" w:ascii="仿宋" w:hAnsi="仿宋" w:eastAsia="仿宋" w:cs="仿宋"/>
                <w:kern w:val="0"/>
                <w:sz w:val="24"/>
              </w:rPr>
              <w:t>分</w:t>
            </w:r>
          </w:p>
        </w:tc>
        <w:tc>
          <w:tcPr>
            <w:tcW w:w="505" w:type="pct"/>
            <w:vAlign w:val="center"/>
          </w:tcPr>
          <w:p w14:paraId="7AF5A910">
            <w:pPr>
              <w:jc w:val="center"/>
              <w:rPr>
                <w:rFonts w:hint="eastAsia" w:ascii="仿宋" w:hAnsi="仿宋" w:eastAsia="仿宋" w:cs="仿宋"/>
                <w:kern w:val="0"/>
                <w:sz w:val="24"/>
              </w:rPr>
            </w:pPr>
            <w:r>
              <w:rPr>
                <w:rFonts w:hint="eastAsia" w:ascii="仿宋" w:hAnsi="仿宋" w:eastAsia="仿宋" w:cs="仿宋"/>
                <w:kern w:val="0"/>
                <w:sz w:val="24"/>
              </w:rPr>
              <w:t>客观分</w:t>
            </w:r>
          </w:p>
        </w:tc>
      </w:tr>
      <w:tr w14:paraId="7786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414" w:type="pct"/>
            <w:vMerge w:val="continue"/>
            <w:vAlign w:val="center"/>
          </w:tcPr>
          <w:p w14:paraId="34B5D523">
            <w:pPr>
              <w:pStyle w:val="257"/>
              <w:ind w:left="420" w:firstLine="0" w:firstLineChars="0"/>
              <w:jc w:val="center"/>
              <w:rPr>
                <w:rFonts w:hint="eastAsia" w:ascii="仿宋" w:hAnsi="仿宋" w:eastAsia="仿宋" w:cs="仿宋"/>
                <w:kern w:val="0"/>
              </w:rPr>
            </w:pPr>
          </w:p>
        </w:tc>
        <w:tc>
          <w:tcPr>
            <w:tcW w:w="352" w:type="pct"/>
            <w:tcBorders>
              <w:bottom w:val="single" w:color="auto" w:sz="4" w:space="0"/>
            </w:tcBorders>
            <w:vAlign w:val="center"/>
          </w:tcPr>
          <w:p w14:paraId="3EBE732F">
            <w:pPr>
              <w:pStyle w:val="257"/>
              <w:ind w:firstLine="0" w:firstLineChars="0"/>
              <w:jc w:val="center"/>
              <w:rPr>
                <w:rFonts w:hint="eastAsia" w:ascii="仿宋" w:hAnsi="仿宋" w:eastAsia="仿宋" w:cs="仿宋"/>
                <w:kern w:val="0"/>
              </w:rPr>
            </w:pPr>
            <w:r>
              <w:rPr>
                <w:rFonts w:hint="eastAsia" w:ascii="仿宋" w:hAnsi="仿宋" w:eastAsia="仿宋" w:cs="仿宋"/>
                <w:kern w:val="0"/>
              </w:rPr>
              <w:t>2</w:t>
            </w:r>
          </w:p>
        </w:tc>
        <w:tc>
          <w:tcPr>
            <w:tcW w:w="506" w:type="pct"/>
            <w:tcBorders>
              <w:bottom w:val="single" w:color="auto" w:sz="4" w:space="0"/>
            </w:tcBorders>
            <w:vAlign w:val="center"/>
          </w:tcPr>
          <w:p w14:paraId="2B55B941">
            <w:pPr>
              <w:jc w:val="center"/>
              <w:rPr>
                <w:rFonts w:hint="eastAsia" w:ascii="仿宋" w:hAnsi="仿宋" w:eastAsia="仿宋" w:cs="仿宋"/>
                <w:kern w:val="0"/>
                <w:sz w:val="24"/>
              </w:rPr>
            </w:pPr>
            <w:r>
              <w:rPr>
                <w:rFonts w:hint="eastAsia" w:ascii="仿宋" w:hAnsi="仿宋" w:eastAsia="仿宋" w:cs="仿宋"/>
                <w:kern w:val="0"/>
                <w:sz w:val="24"/>
              </w:rPr>
              <w:t>投标人实力</w:t>
            </w:r>
          </w:p>
        </w:tc>
        <w:tc>
          <w:tcPr>
            <w:tcW w:w="2699" w:type="pct"/>
            <w:tcBorders>
              <w:bottom w:val="single" w:color="auto" w:sz="4" w:space="0"/>
            </w:tcBorders>
            <w:vAlign w:val="center"/>
          </w:tcPr>
          <w:p w14:paraId="12B0AAAA">
            <w:pPr>
              <w:rPr>
                <w:rFonts w:hint="eastAsia" w:ascii="仿宋" w:hAnsi="仿宋" w:eastAsia="仿宋" w:cs="仿宋"/>
                <w:kern w:val="0"/>
                <w:sz w:val="24"/>
              </w:rPr>
            </w:pPr>
            <w:r>
              <w:rPr>
                <w:rFonts w:hint="eastAsia" w:ascii="仿宋" w:hAnsi="仿宋" w:eastAsia="仿宋" w:cs="仿宋"/>
                <w:kern w:val="0"/>
                <w:sz w:val="24"/>
              </w:rPr>
              <w:t>（1）投标人具有ISO9001质量管理体系认证,得3分（证书须在有效期内，投标文件中提供以上证书复印件并加盖投标人公章，未按要求提供证明材料的不得分）。</w:t>
            </w:r>
          </w:p>
        </w:tc>
        <w:tc>
          <w:tcPr>
            <w:tcW w:w="520" w:type="pct"/>
            <w:tcBorders>
              <w:bottom w:val="single" w:color="auto" w:sz="4" w:space="0"/>
            </w:tcBorders>
            <w:vAlign w:val="center"/>
          </w:tcPr>
          <w:p w14:paraId="1E8FEA24">
            <w:pPr>
              <w:jc w:val="center"/>
              <w:rPr>
                <w:rFonts w:hint="eastAsia" w:ascii="仿宋" w:hAnsi="仿宋" w:eastAsia="仿宋" w:cs="仿宋"/>
                <w:kern w:val="0"/>
                <w:sz w:val="24"/>
              </w:rPr>
            </w:pPr>
            <w:r>
              <w:rPr>
                <w:rFonts w:hint="eastAsia" w:ascii="仿宋" w:hAnsi="仿宋" w:eastAsia="仿宋" w:cs="仿宋"/>
                <w:kern w:val="0"/>
                <w:sz w:val="24"/>
              </w:rPr>
              <w:t>0-3分</w:t>
            </w:r>
          </w:p>
        </w:tc>
        <w:tc>
          <w:tcPr>
            <w:tcW w:w="505" w:type="pct"/>
            <w:tcBorders>
              <w:bottom w:val="single" w:color="auto" w:sz="4" w:space="0"/>
            </w:tcBorders>
            <w:vAlign w:val="center"/>
          </w:tcPr>
          <w:p w14:paraId="12162B44">
            <w:pPr>
              <w:jc w:val="center"/>
              <w:rPr>
                <w:rFonts w:hint="eastAsia" w:ascii="仿宋" w:hAnsi="仿宋" w:eastAsia="仿宋" w:cs="仿宋"/>
                <w:kern w:val="0"/>
                <w:sz w:val="24"/>
              </w:rPr>
            </w:pPr>
            <w:r>
              <w:rPr>
                <w:rFonts w:hint="eastAsia" w:ascii="仿宋" w:hAnsi="仿宋" w:eastAsia="仿宋" w:cs="仿宋"/>
                <w:kern w:val="0"/>
                <w:sz w:val="24"/>
              </w:rPr>
              <w:t>客观分</w:t>
            </w:r>
          </w:p>
        </w:tc>
      </w:tr>
      <w:tr w14:paraId="6CB8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14" w:type="pct"/>
            <w:vMerge w:val="restart"/>
            <w:tcBorders>
              <w:right w:val="single" w:color="auto" w:sz="4" w:space="0"/>
            </w:tcBorders>
            <w:vAlign w:val="center"/>
          </w:tcPr>
          <w:p w14:paraId="001279FD">
            <w:pPr>
              <w:jc w:val="center"/>
              <w:rPr>
                <w:rFonts w:hint="eastAsia" w:ascii="仿宋" w:hAnsi="仿宋" w:eastAsia="仿宋" w:cs="仿宋"/>
                <w:kern w:val="0"/>
                <w:sz w:val="24"/>
              </w:rPr>
            </w:pPr>
            <w:r>
              <w:rPr>
                <w:rFonts w:hint="eastAsia" w:ascii="仿宋" w:hAnsi="仿宋" w:eastAsia="仿宋" w:cs="仿宋"/>
                <w:kern w:val="0"/>
                <w:sz w:val="24"/>
              </w:rPr>
              <w:t>技术服务分（</w:t>
            </w:r>
            <w:r>
              <w:rPr>
                <w:rFonts w:hint="eastAsia" w:ascii="仿宋" w:hAnsi="仿宋" w:eastAsia="仿宋" w:cs="仿宋"/>
                <w:kern w:val="0"/>
                <w:sz w:val="24"/>
                <w:lang w:val="en-US" w:eastAsia="zh-CN"/>
              </w:rPr>
              <w:t>64</w:t>
            </w:r>
            <w:r>
              <w:rPr>
                <w:rFonts w:hint="eastAsia" w:ascii="仿宋" w:hAnsi="仿宋" w:eastAsia="仿宋" w:cs="仿宋"/>
                <w:kern w:val="0"/>
                <w:sz w:val="24"/>
              </w:rPr>
              <w:t>分）</w:t>
            </w:r>
          </w:p>
        </w:tc>
        <w:tc>
          <w:tcPr>
            <w:tcW w:w="352" w:type="pct"/>
            <w:vMerge w:val="restart"/>
            <w:tcBorders>
              <w:top w:val="single" w:color="auto" w:sz="4" w:space="0"/>
              <w:left w:val="single" w:color="auto" w:sz="4" w:space="0"/>
              <w:right w:val="single" w:color="auto" w:sz="4" w:space="0"/>
            </w:tcBorders>
            <w:vAlign w:val="center"/>
          </w:tcPr>
          <w:p w14:paraId="5FDE8D97">
            <w:pPr>
              <w:jc w:val="center"/>
              <w:rPr>
                <w:rFonts w:hint="eastAsia" w:ascii="仿宋" w:hAnsi="仿宋" w:eastAsia="仿宋" w:cs="仿宋"/>
                <w:kern w:val="0"/>
                <w:sz w:val="24"/>
              </w:rPr>
            </w:pPr>
            <w:r>
              <w:rPr>
                <w:rFonts w:hint="eastAsia" w:ascii="仿宋" w:hAnsi="仿宋" w:eastAsia="仿宋" w:cs="仿宋"/>
                <w:kern w:val="0"/>
                <w:sz w:val="24"/>
              </w:rPr>
              <w:t>3</w:t>
            </w:r>
          </w:p>
        </w:tc>
        <w:tc>
          <w:tcPr>
            <w:tcW w:w="506" w:type="pct"/>
            <w:vMerge w:val="restart"/>
            <w:tcBorders>
              <w:top w:val="single" w:color="auto" w:sz="4" w:space="0"/>
              <w:left w:val="single" w:color="auto" w:sz="4" w:space="0"/>
              <w:right w:val="single" w:color="auto" w:sz="4" w:space="0"/>
            </w:tcBorders>
            <w:vAlign w:val="center"/>
          </w:tcPr>
          <w:p w14:paraId="77EAB9E9">
            <w:pPr>
              <w:widowControl/>
              <w:spacing w:line="360" w:lineRule="auto"/>
              <w:textAlignment w:val="center"/>
              <w:rPr>
                <w:rFonts w:hint="eastAsia" w:ascii="仿宋" w:hAnsi="仿宋" w:eastAsia="仿宋" w:cs="仿宋"/>
                <w:color w:val="000000"/>
                <w:sz w:val="24"/>
              </w:rPr>
            </w:pPr>
            <w:r>
              <w:rPr>
                <w:rFonts w:hint="eastAsia" w:ascii="仿宋" w:hAnsi="仿宋" w:eastAsia="仿宋" w:cs="仿宋"/>
                <w:color w:val="000000"/>
                <w:sz w:val="24"/>
              </w:rPr>
              <w:t>技术</w:t>
            </w:r>
          </w:p>
          <w:p w14:paraId="02EB283E">
            <w:pPr>
              <w:widowControl/>
              <w:spacing w:line="360" w:lineRule="auto"/>
              <w:textAlignment w:val="center"/>
              <w:rPr>
                <w:rFonts w:hint="eastAsia" w:ascii="仿宋" w:hAnsi="仿宋" w:eastAsia="仿宋" w:cs="仿宋"/>
                <w:kern w:val="0"/>
                <w:sz w:val="24"/>
              </w:rPr>
            </w:pPr>
            <w:r>
              <w:rPr>
                <w:rFonts w:hint="eastAsia" w:ascii="仿宋" w:hAnsi="仿宋" w:eastAsia="仿宋" w:cs="仿宋"/>
                <w:color w:val="000000"/>
                <w:sz w:val="24"/>
              </w:rPr>
              <w:t>方案</w:t>
            </w:r>
          </w:p>
        </w:tc>
        <w:tc>
          <w:tcPr>
            <w:tcW w:w="2699" w:type="pct"/>
            <w:tcBorders>
              <w:top w:val="single" w:color="auto" w:sz="4" w:space="0"/>
              <w:left w:val="single" w:color="auto" w:sz="4" w:space="0"/>
              <w:bottom w:val="single" w:color="auto" w:sz="4" w:space="0"/>
              <w:right w:val="single" w:color="auto" w:sz="4" w:space="0"/>
            </w:tcBorders>
            <w:vAlign w:val="center"/>
          </w:tcPr>
          <w:p w14:paraId="12738B19">
            <w:pPr>
              <w:rPr>
                <w:rFonts w:hint="eastAsia" w:ascii="仿宋" w:hAnsi="仿宋" w:eastAsia="仿宋" w:cs="仿宋"/>
                <w:color w:val="000000"/>
                <w:sz w:val="24"/>
              </w:rPr>
            </w:pPr>
            <w:r>
              <w:rPr>
                <w:rFonts w:hint="eastAsia" w:ascii="仿宋" w:hAnsi="仿宋" w:eastAsia="仿宋" w:cs="仿宋"/>
                <w:color w:val="000000"/>
                <w:sz w:val="24"/>
              </w:rPr>
              <w:t>1.建设内容：投标人根据实地调研对本项目背景、建设内容及预期目标有深刻理解，提出完备的建设技术方案。（0-5分）</w:t>
            </w:r>
          </w:p>
          <w:p w14:paraId="75ABF6E1">
            <w:pPr>
              <w:widowControl/>
              <w:textAlignment w:val="center"/>
              <w:rPr>
                <w:rFonts w:hint="eastAsia" w:ascii="仿宋" w:hAnsi="仿宋" w:eastAsia="仿宋" w:cs="仿宋"/>
                <w:color w:val="FF0000"/>
                <w:sz w:val="24"/>
              </w:rPr>
            </w:pPr>
            <w:r>
              <w:rPr>
                <w:rFonts w:hint="eastAsia" w:ascii="仿宋" w:hAnsi="仿宋" w:eastAsia="仿宋" w:cs="仿宋"/>
                <w:color w:val="000000"/>
                <w:sz w:val="24"/>
              </w:rPr>
              <w:t>2.需求分析：投标人对本项目中功能性和非功能性需求，有完整和详细需求分析。包括技术路线、网络部署、系统性能、兼容性。（0-5分）</w:t>
            </w:r>
          </w:p>
        </w:tc>
        <w:tc>
          <w:tcPr>
            <w:tcW w:w="520" w:type="pct"/>
            <w:tcBorders>
              <w:top w:val="single" w:color="auto" w:sz="4" w:space="0"/>
              <w:left w:val="single" w:color="auto" w:sz="4" w:space="0"/>
              <w:bottom w:val="single" w:color="auto" w:sz="4" w:space="0"/>
              <w:right w:val="single" w:color="auto" w:sz="4" w:space="0"/>
            </w:tcBorders>
            <w:vAlign w:val="center"/>
          </w:tcPr>
          <w:p w14:paraId="612AFA71">
            <w:pPr>
              <w:widowControl/>
              <w:spacing w:line="360" w:lineRule="auto"/>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0-10</w:t>
            </w:r>
          </w:p>
        </w:tc>
        <w:tc>
          <w:tcPr>
            <w:tcW w:w="505" w:type="pct"/>
            <w:tcBorders>
              <w:top w:val="single" w:color="auto" w:sz="4" w:space="0"/>
              <w:left w:val="single" w:color="auto" w:sz="4" w:space="0"/>
              <w:bottom w:val="single" w:color="auto" w:sz="4" w:space="0"/>
              <w:right w:val="single" w:color="auto" w:sz="4" w:space="0"/>
            </w:tcBorders>
            <w:vAlign w:val="center"/>
          </w:tcPr>
          <w:p w14:paraId="48D69FAF">
            <w:pPr>
              <w:spacing w:line="360" w:lineRule="auto"/>
              <w:jc w:val="center"/>
              <w:rPr>
                <w:rFonts w:hint="eastAsia" w:ascii="仿宋" w:hAnsi="仿宋" w:eastAsia="仿宋" w:cs="仿宋"/>
                <w:sz w:val="24"/>
              </w:rPr>
            </w:pPr>
            <w:r>
              <w:rPr>
                <w:rFonts w:hint="eastAsia" w:ascii="仿宋" w:hAnsi="仿宋" w:eastAsia="仿宋" w:cs="仿宋"/>
                <w:sz w:val="24"/>
              </w:rPr>
              <w:t>主观分</w:t>
            </w:r>
          </w:p>
        </w:tc>
      </w:tr>
      <w:tr w14:paraId="33B3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14" w:type="pct"/>
            <w:vMerge w:val="continue"/>
            <w:tcBorders>
              <w:right w:val="single" w:color="auto" w:sz="4" w:space="0"/>
            </w:tcBorders>
            <w:vAlign w:val="center"/>
          </w:tcPr>
          <w:p w14:paraId="0C64F6E5">
            <w:pPr>
              <w:jc w:val="center"/>
              <w:rPr>
                <w:rFonts w:hint="eastAsia" w:ascii="仿宋" w:hAnsi="仿宋" w:eastAsia="仿宋" w:cs="仿宋"/>
                <w:kern w:val="0"/>
                <w:sz w:val="24"/>
              </w:rPr>
            </w:pPr>
          </w:p>
        </w:tc>
        <w:tc>
          <w:tcPr>
            <w:tcW w:w="352" w:type="pct"/>
            <w:vMerge w:val="continue"/>
            <w:tcBorders>
              <w:left w:val="single" w:color="auto" w:sz="4" w:space="0"/>
              <w:bottom w:val="single" w:color="auto" w:sz="4" w:space="0"/>
              <w:right w:val="single" w:color="auto" w:sz="4" w:space="0"/>
            </w:tcBorders>
            <w:vAlign w:val="center"/>
          </w:tcPr>
          <w:p w14:paraId="18606F1C">
            <w:pPr>
              <w:jc w:val="center"/>
              <w:rPr>
                <w:rFonts w:hint="eastAsia" w:ascii="仿宋" w:hAnsi="仿宋" w:eastAsia="仿宋" w:cs="仿宋"/>
                <w:kern w:val="0"/>
                <w:sz w:val="24"/>
              </w:rPr>
            </w:pPr>
          </w:p>
        </w:tc>
        <w:tc>
          <w:tcPr>
            <w:tcW w:w="506" w:type="pct"/>
            <w:vMerge w:val="continue"/>
            <w:tcBorders>
              <w:left w:val="single" w:color="auto" w:sz="4" w:space="0"/>
              <w:bottom w:val="single" w:color="auto" w:sz="4" w:space="0"/>
              <w:right w:val="single" w:color="auto" w:sz="4" w:space="0"/>
            </w:tcBorders>
            <w:vAlign w:val="center"/>
          </w:tcPr>
          <w:p w14:paraId="46933653">
            <w:pPr>
              <w:widowControl/>
              <w:spacing w:line="360" w:lineRule="auto"/>
              <w:textAlignment w:val="center"/>
              <w:rPr>
                <w:rFonts w:hint="eastAsia" w:ascii="仿宋" w:hAnsi="仿宋" w:eastAsia="仿宋" w:cs="仿宋"/>
                <w:color w:val="000000"/>
                <w:sz w:val="24"/>
              </w:rPr>
            </w:pPr>
          </w:p>
        </w:tc>
        <w:tc>
          <w:tcPr>
            <w:tcW w:w="2699" w:type="pct"/>
            <w:tcBorders>
              <w:top w:val="single" w:color="auto" w:sz="4" w:space="0"/>
              <w:left w:val="single" w:color="auto" w:sz="4" w:space="0"/>
              <w:bottom w:val="single" w:color="auto" w:sz="4" w:space="0"/>
              <w:right w:val="single" w:color="auto" w:sz="4" w:space="0"/>
            </w:tcBorders>
            <w:vAlign w:val="center"/>
          </w:tcPr>
          <w:p w14:paraId="1897EDFD">
            <w:pPr>
              <w:rPr>
                <w:rFonts w:hint="eastAsia" w:ascii="仿宋" w:hAnsi="仿宋" w:eastAsia="仿宋" w:cs="仿宋"/>
                <w:kern w:val="0"/>
                <w:sz w:val="24"/>
              </w:rPr>
            </w:pPr>
            <w:r>
              <w:rPr>
                <w:rFonts w:hint="eastAsia" w:ascii="仿宋" w:hAnsi="仿宋" w:eastAsia="仿宋" w:cs="仿宋"/>
                <w:kern w:val="0"/>
                <w:sz w:val="24"/>
              </w:rPr>
              <w:t>提供的服务内容及投标产品满足采购文件的性能及技术指标要求，所有指标均满足采购文件技术参数等要求的得10分；带“</w:t>
            </w:r>
            <w:r>
              <w:rPr>
                <w:rFonts w:hint="eastAsia" w:ascii="仿宋" w:hAnsi="仿宋" w:eastAsia="仿宋" w:cs="仿宋"/>
                <w:color w:val="000000"/>
                <w:kern w:val="0"/>
                <w:sz w:val="24"/>
                <w:lang w:bidi="ar"/>
              </w:rPr>
              <w:t>■</w:t>
            </w:r>
            <w:r>
              <w:rPr>
                <w:rFonts w:hint="eastAsia" w:ascii="仿宋" w:hAnsi="仿宋" w:eastAsia="仿宋" w:cs="仿宋"/>
                <w:kern w:val="0"/>
                <w:sz w:val="24"/>
              </w:rPr>
              <w:t>”号指标为重要参数，如有一项不满足的，扣1分，扣完为止；其他如有一项不满足的，扣0.5分，扣完为止。</w:t>
            </w:r>
          </w:p>
          <w:p w14:paraId="1791C29A">
            <w:pPr>
              <w:rPr>
                <w:rFonts w:hint="eastAsia" w:ascii="仿宋" w:hAnsi="仿宋" w:eastAsia="仿宋" w:cs="仿宋"/>
                <w:color w:val="C00000"/>
                <w:kern w:val="0"/>
                <w:sz w:val="24"/>
              </w:rPr>
            </w:pPr>
            <w:r>
              <w:rPr>
                <w:rFonts w:hint="eastAsia" w:ascii="仿宋" w:hAnsi="仿宋" w:eastAsia="仿宋" w:cs="仿宋"/>
                <w:kern w:val="0"/>
                <w:sz w:val="24"/>
              </w:rPr>
              <w:t>注：投标文件中提供采购清单中要求的相关证明材料，否则不得分。</w:t>
            </w:r>
          </w:p>
        </w:tc>
        <w:tc>
          <w:tcPr>
            <w:tcW w:w="520" w:type="pct"/>
            <w:tcBorders>
              <w:top w:val="single" w:color="auto" w:sz="4" w:space="0"/>
              <w:left w:val="single" w:color="auto" w:sz="4" w:space="0"/>
              <w:bottom w:val="single" w:color="auto" w:sz="4" w:space="0"/>
              <w:right w:val="single" w:color="auto" w:sz="4" w:space="0"/>
            </w:tcBorders>
            <w:vAlign w:val="center"/>
          </w:tcPr>
          <w:p w14:paraId="4DE3508E">
            <w:pPr>
              <w:jc w:val="center"/>
              <w:rPr>
                <w:rFonts w:hint="eastAsia" w:ascii="仿宋" w:hAnsi="仿宋" w:eastAsia="仿宋" w:cs="仿宋"/>
                <w:kern w:val="0"/>
                <w:sz w:val="24"/>
              </w:rPr>
            </w:pPr>
            <w:r>
              <w:rPr>
                <w:rFonts w:ascii="仿宋" w:hAnsi="仿宋" w:eastAsia="仿宋" w:cs="仿宋"/>
                <w:kern w:val="0"/>
                <w:sz w:val="24"/>
              </w:rPr>
              <w:t>0-</w:t>
            </w:r>
            <w:r>
              <w:rPr>
                <w:rFonts w:hint="eastAsia" w:ascii="仿宋" w:hAnsi="仿宋" w:eastAsia="仿宋" w:cs="仿宋"/>
                <w:kern w:val="0"/>
                <w:sz w:val="24"/>
              </w:rPr>
              <w:t>10分</w:t>
            </w:r>
          </w:p>
        </w:tc>
        <w:tc>
          <w:tcPr>
            <w:tcW w:w="505" w:type="pct"/>
            <w:tcBorders>
              <w:top w:val="single" w:color="auto" w:sz="4" w:space="0"/>
              <w:left w:val="single" w:color="auto" w:sz="4" w:space="0"/>
              <w:bottom w:val="single" w:color="auto" w:sz="4" w:space="0"/>
              <w:right w:val="single" w:color="auto" w:sz="4" w:space="0"/>
            </w:tcBorders>
            <w:vAlign w:val="center"/>
          </w:tcPr>
          <w:p w14:paraId="249643C9">
            <w:pPr>
              <w:jc w:val="center"/>
              <w:rPr>
                <w:rFonts w:hint="eastAsia" w:ascii="仿宋" w:hAnsi="仿宋" w:eastAsia="仿宋" w:cs="仿宋"/>
                <w:kern w:val="0"/>
                <w:sz w:val="24"/>
              </w:rPr>
            </w:pPr>
            <w:r>
              <w:rPr>
                <w:rFonts w:hint="eastAsia" w:ascii="仿宋" w:hAnsi="仿宋" w:eastAsia="仿宋" w:cs="仿宋"/>
                <w:kern w:val="0"/>
                <w:sz w:val="24"/>
              </w:rPr>
              <w:t>客观分</w:t>
            </w:r>
          </w:p>
        </w:tc>
      </w:tr>
      <w:tr w14:paraId="48FD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14" w:type="pct"/>
            <w:vMerge w:val="continue"/>
            <w:tcBorders>
              <w:right w:val="single" w:color="auto" w:sz="4" w:space="0"/>
            </w:tcBorders>
            <w:vAlign w:val="center"/>
          </w:tcPr>
          <w:p w14:paraId="7CF52BAA">
            <w:pPr>
              <w:jc w:val="center"/>
              <w:rPr>
                <w:rFonts w:hint="eastAsia" w:ascii="仿宋" w:hAnsi="仿宋" w:eastAsia="仿宋" w:cs="仿宋"/>
                <w:kern w:val="0"/>
                <w:sz w:val="24"/>
              </w:rPr>
            </w:pPr>
          </w:p>
        </w:tc>
        <w:tc>
          <w:tcPr>
            <w:tcW w:w="352" w:type="pct"/>
            <w:tcBorders>
              <w:top w:val="single" w:color="auto" w:sz="4" w:space="0"/>
              <w:left w:val="single" w:color="auto" w:sz="4" w:space="0"/>
              <w:bottom w:val="single" w:color="auto" w:sz="4" w:space="0"/>
              <w:right w:val="single" w:color="auto" w:sz="4" w:space="0"/>
            </w:tcBorders>
            <w:vAlign w:val="center"/>
          </w:tcPr>
          <w:p w14:paraId="64991C68">
            <w:pPr>
              <w:pStyle w:val="257"/>
              <w:ind w:firstLine="0" w:firstLineChars="0"/>
              <w:jc w:val="center"/>
              <w:rPr>
                <w:rFonts w:hint="eastAsia" w:ascii="仿宋" w:hAnsi="仿宋" w:eastAsia="仿宋" w:cs="仿宋"/>
                <w:kern w:val="0"/>
              </w:rPr>
            </w:pPr>
            <w:r>
              <w:rPr>
                <w:rFonts w:ascii="仿宋" w:hAnsi="仿宋" w:eastAsia="仿宋" w:cs="仿宋"/>
                <w:kern w:val="0"/>
              </w:rPr>
              <w:t>4</w:t>
            </w:r>
          </w:p>
        </w:tc>
        <w:tc>
          <w:tcPr>
            <w:tcW w:w="506" w:type="pct"/>
            <w:tcBorders>
              <w:top w:val="single" w:color="auto" w:sz="4" w:space="0"/>
              <w:left w:val="single" w:color="auto" w:sz="4" w:space="0"/>
              <w:bottom w:val="single" w:color="auto" w:sz="4" w:space="0"/>
              <w:right w:val="single" w:color="auto" w:sz="4" w:space="0"/>
            </w:tcBorders>
            <w:vAlign w:val="center"/>
          </w:tcPr>
          <w:p w14:paraId="60E3A12A">
            <w:pPr>
              <w:jc w:val="center"/>
              <w:rPr>
                <w:rFonts w:hint="eastAsia" w:ascii="仿宋" w:hAnsi="仿宋" w:eastAsia="仿宋" w:cs="仿宋"/>
                <w:kern w:val="0"/>
                <w:sz w:val="24"/>
              </w:rPr>
            </w:pPr>
            <w:r>
              <w:rPr>
                <w:rFonts w:hint="eastAsia" w:ascii="仿宋" w:hAnsi="仿宋" w:eastAsia="仿宋" w:cs="仿宋"/>
                <w:kern w:val="0"/>
                <w:sz w:val="24"/>
              </w:rPr>
              <w:t>项目负责人资质</w:t>
            </w:r>
          </w:p>
        </w:tc>
        <w:tc>
          <w:tcPr>
            <w:tcW w:w="2699" w:type="pct"/>
            <w:tcBorders>
              <w:top w:val="single" w:color="auto" w:sz="4" w:space="0"/>
              <w:left w:val="single" w:color="auto" w:sz="4" w:space="0"/>
              <w:bottom w:val="single" w:color="auto" w:sz="4" w:space="0"/>
              <w:right w:val="single" w:color="auto" w:sz="4" w:space="0"/>
            </w:tcBorders>
            <w:vAlign w:val="center"/>
          </w:tcPr>
          <w:p w14:paraId="17AAAADE">
            <w:pPr>
              <w:rPr>
                <w:rFonts w:hint="eastAsia" w:ascii="仿宋" w:hAnsi="仿宋" w:eastAsia="仿宋" w:cs="仿宋"/>
                <w:kern w:val="0"/>
                <w:sz w:val="24"/>
              </w:rPr>
            </w:pPr>
            <w:r>
              <w:rPr>
                <w:rFonts w:hint="eastAsia" w:ascii="仿宋" w:hAnsi="仿宋" w:eastAsia="仿宋" w:cs="仿宋"/>
                <w:kern w:val="0"/>
                <w:sz w:val="24"/>
              </w:rPr>
              <w:t>项目负责人具备计算机技术与软件专业技术资格（水平）考试的信息系统项目管理师（高级）证书得3分。</w:t>
            </w:r>
          </w:p>
          <w:p w14:paraId="0969BBA0">
            <w:pPr>
              <w:rPr>
                <w:rFonts w:hint="eastAsia" w:ascii="仿宋" w:hAnsi="仿宋" w:eastAsia="仿宋" w:cs="仿宋"/>
                <w:kern w:val="0"/>
                <w:sz w:val="24"/>
              </w:rPr>
            </w:pPr>
            <w:r>
              <w:rPr>
                <w:rFonts w:hint="eastAsia" w:ascii="仿宋" w:hAnsi="仿宋" w:eastAsia="仿宋" w:cs="仿宋"/>
                <w:kern w:val="0"/>
                <w:sz w:val="24"/>
              </w:rPr>
              <w:t>（证明材料：提供投标截止前在投标单位缴纳的在职社保证明及相应证书材料，未按要求提供证明材料的不得分）</w:t>
            </w:r>
          </w:p>
        </w:tc>
        <w:tc>
          <w:tcPr>
            <w:tcW w:w="520" w:type="pct"/>
            <w:tcBorders>
              <w:top w:val="single" w:color="auto" w:sz="4" w:space="0"/>
              <w:left w:val="single" w:color="auto" w:sz="4" w:space="0"/>
              <w:bottom w:val="single" w:color="auto" w:sz="4" w:space="0"/>
              <w:right w:val="single" w:color="auto" w:sz="4" w:space="0"/>
            </w:tcBorders>
            <w:vAlign w:val="center"/>
          </w:tcPr>
          <w:p w14:paraId="384FACB6">
            <w:pPr>
              <w:jc w:val="center"/>
              <w:rPr>
                <w:rFonts w:hint="eastAsia" w:ascii="仿宋" w:hAnsi="仿宋" w:eastAsia="仿宋" w:cs="仿宋"/>
                <w:kern w:val="0"/>
                <w:sz w:val="24"/>
              </w:rPr>
            </w:pPr>
            <w:r>
              <w:rPr>
                <w:rFonts w:hint="eastAsia" w:ascii="仿宋" w:hAnsi="仿宋" w:eastAsia="仿宋" w:cs="仿宋"/>
                <w:kern w:val="0"/>
                <w:sz w:val="24"/>
              </w:rPr>
              <w:t>0-3分</w:t>
            </w:r>
          </w:p>
        </w:tc>
        <w:tc>
          <w:tcPr>
            <w:tcW w:w="505" w:type="pct"/>
            <w:tcBorders>
              <w:top w:val="single" w:color="auto" w:sz="4" w:space="0"/>
              <w:left w:val="single" w:color="auto" w:sz="4" w:space="0"/>
              <w:bottom w:val="single" w:color="auto" w:sz="4" w:space="0"/>
              <w:right w:val="single" w:color="auto" w:sz="4" w:space="0"/>
            </w:tcBorders>
            <w:vAlign w:val="center"/>
          </w:tcPr>
          <w:p w14:paraId="63A195CF">
            <w:pPr>
              <w:jc w:val="center"/>
              <w:rPr>
                <w:rFonts w:hint="eastAsia" w:ascii="仿宋" w:hAnsi="仿宋" w:eastAsia="仿宋" w:cs="仿宋"/>
                <w:kern w:val="0"/>
                <w:sz w:val="24"/>
              </w:rPr>
            </w:pPr>
            <w:r>
              <w:rPr>
                <w:rFonts w:hint="eastAsia" w:ascii="仿宋" w:hAnsi="仿宋" w:eastAsia="仿宋" w:cs="仿宋"/>
                <w:kern w:val="0"/>
                <w:sz w:val="24"/>
              </w:rPr>
              <w:t>客观分</w:t>
            </w:r>
          </w:p>
        </w:tc>
      </w:tr>
      <w:tr w14:paraId="63B5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14" w:type="pct"/>
            <w:vMerge w:val="continue"/>
            <w:tcBorders>
              <w:right w:val="single" w:color="auto" w:sz="4" w:space="0"/>
            </w:tcBorders>
            <w:vAlign w:val="center"/>
          </w:tcPr>
          <w:p w14:paraId="3218F634">
            <w:pPr>
              <w:pStyle w:val="257"/>
              <w:ind w:left="420" w:firstLine="0" w:firstLineChars="0"/>
              <w:rPr>
                <w:rFonts w:hint="eastAsia" w:ascii="仿宋" w:hAnsi="仿宋" w:eastAsia="仿宋" w:cs="仿宋"/>
                <w:kern w:val="0"/>
              </w:rPr>
            </w:pPr>
          </w:p>
        </w:tc>
        <w:tc>
          <w:tcPr>
            <w:tcW w:w="352" w:type="pct"/>
            <w:vAlign w:val="center"/>
          </w:tcPr>
          <w:p w14:paraId="02A9FEC3">
            <w:pPr>
              <w:pStyle w:val="257"/>
              <w:ind w:firstLine="0" w:firstLineChars="0"/>
              <w:jc w:val="center"/>
              <w:rPr>
                <w:rFonts w:hint="eastAsia" w:ascii="仿宋" w:hAnsi="仿宋" w:eastAsia="仿宋" w:cs="仿宋"/>
                <w:kern w:val="0"/>
              </w:rPr>
            </w:pPr>
            <w:r>
              <w:rPr>
                <w:rFonts w:ascii="仿宋" w:hAnsi="仿宋" w:eastAsia="仿宋" w:cs="仿宋"/>
                <w:kern w:val="0"/>
              </w:rPr>
              <w:t>5</w:t>
            </w:r>
          </w:p>
        </w:tc>
        <w:tc>
          <w:tcPr>
            <w:tcW w:w="506" w:type="pct"/>
            <w:vAlign w:val="center"/>
          </w:tcPr>
          <w:p w14:paraId="4E9F3876">
            <w:pPr>
              <w:rPr>
                <w:rFonts w:hint="eastAsia" w:ascii="仿宋" w:hAnsi="仿宋" w:eastAsia="仿宋" w:cs="仿宋"/>
                <w:sz w:val="24"/>
              </w:rPr>
            </w:pPr>
            <w:r>
              <w:rPr>
                <w:rFonts w:hint="eastAsia" w:ascii="仿宋" w:hAnsi="仿宋" w:eastAsia="仿宋" w:cs="仿宋"/>
                <w:sz w:val="24"/>
              </w:rPr>
              <w:t>项目实施方案</w:t>
            </w:r>
          </w:p>
        </w:tc>
        <w:tc>
          <w:tcPr>
            <w:tcW w:w="2699" w:type="pct"/>
            <w:vAlign w:val="center"/>
          </w:tcPr>
          <w:p w14:paraId="4D45D47F">
            <w:pPr>
              <w:rPr>
                <w:rFonts w:hint="eastAsia" w:ascii="仿宋" w:hAnsi="仿宋" w:eastAsia="仿宋" w:cs="仿宋"/>
                <w:sz w:val="24"/>
              </w:rPr>
            </w:pPr>
            <w:r>
              <w:rPr>
                <w:rFonts w:hint="eastAsia" w:ascii="仿宋" w:hAnsi="仿宋" w:eastAsia="仿宋" w:cs="仿宋"/>
                <w:sz w:val="24"/>
              </w:rPr>
              <w:t>1、项目的重点、特点、难点分析和解决方法（2分）</w:t>
            </w:r>
          </w:p>
          <w:p w14:paraId="0AF5DD83">
            <w:pPr>
              <w:rPr>
                <w:rFonts w:hint="eastAsia" w:ascii="仿宋" w:hAnsi="仿宋" w:eastAsia="仿宋" w:cs="仿宋"/>
                <w:sz w:val="24"/>
              </w:rPr>
            </w:pPr>
            <w:r>
              <w:rPr>
                <w:rFonts w:hint="eastAsia" w:ascii="仿宋" w:hAnsi="仿宋" w:eastAsia="仿宋" w:cs="仿宋"/>
                <w:sz w:val="24"/>
              </w:rPr>
              <w:t>分析问题全面解决方法合理的 ，得2分；一般得1分；未提供得0分。</w:t>
            </w:r>
          </w:p>
          <w:p w14:paraId="153FA81C">
            <w:pPr>
              <w:rPr>
                <w:rFonts w:hint="eastAsia" w:ascii="仿宋" w:hAnsi="仿宋" w:eastAsia="仿宋" w:cs="仿宋"/>
                <w:sz w:val="24"/>
              </w:rPr>
            </w:pPr>
            <w:r>
              <w:rPr>
                <w:rFonts w:hint="eastAsia" w:ascii="仿宋" w:hAnsi="仿宋" w:eastAsia="仿宋" w:cs="仿宋"/>
                <w:sz w:val="24"/>
              </w:rPr>
              <w:t>2、组织构架、劳动力安排（2分）</w:t>
            </w:r>
          </w:p>
          <w:p w14:paraId="4620F285">
            <w:pPr>
              <w:rPr>
                <w:rFonts w:hint="eastAsia" w:ascii="仿宋" w:hAnsi="仿宋" w:eastAsia="仿宋" w:cs="仿宋"/>
                <w:sz w:val="24"/>
              </w:rPr>
            </w:pPr>
            <w:r>
              <w:rPr>
                <w:rFonts w:hint="eastAsia" w:ascii="仿宋" w:hAnsi="仿宋" w:eastAsia="仿宋" w:cs="仿宋"/>
                <w:sz w:val="24"/>
              </w:rPr>
              <w:t>组织构架、劳动力人员安排充足合理的，得2分；一般得1分；未提供得0分。</w:t>
            </w:r>
          </w:p>
          <w:p w14:paraId="7904A291">
            <w:pPr>
              <w:rPr>
                <w:rFonts w:hint="eastAsia" w:ascii="仿宋" w:hAnsi="仿宋" w:eastAsia="仿宋" w:cs="仿宋"/>
                <w:sz w:val="24"/>
              </w:rPr>
            </w:pPr>
            <w:r>
              <w:rPr>
                <w:rFonts w:hint="eastAsia" w:ascii="仿宋" w:hAnsi="仿宋" w:eastAsia="仿宋" w:cs="仿宋"/>
                <w:sz w:val="24"/>
              </w:rPr>
              <w:t>3、施工措施、应急预案（2分）</w:t>
            </w:r>
          </w:p>
          <w:p w14:paraId="41DD951A">
            <w:pPr>
              <w:rPr>
                <w:rFonts w:hint="eastAsia" w:ascii="仿宋" w:hAnsi="仿宋" w:eastAsia="仿宋" w:cs="仿宋"/>
                <w:sz w:val="24"/>
              </w:rPr>
            </w:pPr>
            <w:r>
              <w:rPr>
                <w:rFonts w:hint="eastAsia" w:ascii="仿宋" w:hAnsi="仿宋" w:eastAsia="仿宋" w:cs="仿宋"/>
                <w:sz w:val="24"/>
              </w:rPr>
              <w:t>各施工措施，应急预案安排详尽周到的，得2分；一般得1分；未提供得0分。</w:t>
            </w:r>
          </w:p>
        </w:tc>
        <w:tc>
          <w:tcPr>
            <w:tcW w:w="520" w:type="pct"/>
            <w:vAlign w:val="center"/>
          </w:tcPr>
          <w:p w14:paraId="6CADED2B">
            <w:pPr>
              <w:jc w:val="center"/>
              <w:rPr>
                <w:rFonts w:hint="eastAsia" w:ascii="仿宋" w:hAnsi="仿宋" w:eastAsia="仿宋" w:cs="仿宋"/>
                <w:sz w:val="24"/>
              </w:rPr>
            </w:pPr>
            <w:r>
              <w:rPr>
                <w:rFonts w:ascii="仿宋" w:hAnsi="仿宋" w:eastAsia="仿宋" w:cs="仿宋"/>
                <w:sz w:val="24"/>
              </w:rPr>
              <w:t>0-</w:t>
            </w:r>
            <w:r>
              <w:rPr>
                <w:rFonts w:hint="eastAsia" w:ascii="仿宋" w:hAnsi="仿宋" w:eastAsia="仿宋" w:cs="仿宋"/>
                <w:sz w:val="24"/>
              </w:rPr>
              <w:t>6</w:t>
            </w:r>
          </w:p>
        </w:tc>
        <w:tc>
          <w:tcPr>
            <w:tcW w:w="505" w:type="pct"/>
            <w:vAlign w:val="center"/>
          </w:tcPr>
          <w:p w14:paraId="67708BF2">
            <w:pPr>
              <w:jc w:val="center"/>
              <w:rPr>
                <w:rFonts w:hint="eastAsia" w:ascii="仿宋" w:hAnsi="仿宋" w:eastAsia="仿宋" w:cs="仿宋"/>
                <w:sz w:val="24"/>
              </w:rPr>
            </w:pPr>
            <w:r>
              <w:rPr>
                <w:rFonts w:hint="eastAsia" w:ascii="仿宋" w:hAnsi="仿宋" w:eastAsia="仿宋" w:cs="仿宋"/>
                <w:sz w:val="24"/>
              </w:rPr>
              <w:t>主观分</w:t>
            </w:r>
          </w:p>
        </w:tc>
      </w:tr>
      <w:tr w14:paraId="5F93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414" w:type="pct"/>
            <w:vMerge w:val="continue"/>
            <w:tcBorders>
              <w:right w:val="single" w:color="auto" w:sz="4" w:space="0"/>
            </w:tcBorders>
            <w:vAlign w:val="center"/>
          </w:tcPr>
          <w:p w14:paraId="4C4247A5">
            <w:pPr>
              <w:pStyle w:val="257"/>
              <w:ind w:left="420" w:firstLine="0" w:firstLineChars="0"/>
              <w:rPr>
                <w:rFonts w:hint="eastAsia" w:ascii="仿宋" w:hAnsi="仿宋" w:eastAsia="仿宋" w:cs="仿宋"/>
                <w:kern w:val="0"/>
              </w:rPr>
            </w:pPr>
          </w:p>
        </w:tc>
        <w:tc>
          <w:tcPr>
            <w:tcW w:w="352" w:type="pct"/>
            <w:vAlign w:val="center"/>
          </w:tcPr>
          <w:p w14:paraId="25C3508C">
            <w:pPr>
              <w:pStyle w:val="257"/>
              <w:ind w:firstLine="0" w:firstLineChars="0"/>
              <w:jc w:val="center"/>
              <w:rPr>
                <w:rFonts w:hint="eastAsia" w:ascii="仿宋" w:hAnsi="仿宋" w:eastAsia="仿宋" w:cs="仿宋"/>
                <w:kern w:val="0"/>
              </w:rPr>
            </w:pPr>
            <w:r>
              <w:rPr>
                <w:rFonts w:ascii="仿宋" w:hAnsi="仿宋" w:eastAsia="仿宋" w:cs="仿宋"/>
                <w:kern w:val="0"/>
              </w:rPr>
              <w:t>6</w:t>
            </w:r>
          </w:p>
        </w:tc>
        <w:tc>
          <w:tcPr>
            <w:tcW w:w="506" w:type="pct"/>
            <w:vAlign w:val="center"/>
          </w:tcPr>
          <w:p w14:paraId="50F5C8E6">
            <w:pPr>
              <w:jc w:val="center"/>
              <w:rPr>
                <w:rFonts w:hint="eastAsia" w:ascii="仿宋" w:hAnsi="仿宋" w:eastAsia="仿宋" w:cs="仿宋"/>
                <w:kern w:val="0"/>
                <w:sz w:val="24"/>
              </w:rPr>
            </w:pPr>
            <w:r>
              <w:rPr>
                <w:rFonts w:hint="eastAsia" w:ascii="仿宋" w:hAnsi="仿宋" w:eastAsia="仿宋" w:cs="仿宋"/>
                <w:kern w:val="0"/>
                <w:sz w:val="24"/>
              </w:rPr>
              <w:t>服务</w:t>
            </w:r>
          </w:p>
          <w:p w14:paraId="002908AF">
            <w:pPr>
              <w:jc w:val="center"/>
              <w:rPr>
                <w:rFonts w:hint="eastAsia" w:ascii="仿宋" w:hAnsi="仿宋" w:eastAsia="仿宋" w:cs="仿宋"/>
                <w:kern w:val="0"/>
                <w:sz w:val="24"/>
              </w:rPr>
            </w:pPr>
            <w:r>
              <w:rPr>
                <w:rFonts w:hint="eastAsia" w:ascii="仿宋" w:hAnsi="仿宋" w:eastAsia="仿宋" w:cs="仿宋"/>
                <w:kern w:val="0"/>
                <w:sz w:val="24"/>
              </w:rPr>
              <w:t>承诺</w:t>
            </w:r>
          </w:p>
        </w:tc>
        <w:tc>
          <w:tcPr>
            <w:tcW w:w="2699" w:type="pct"/>
            <w:vAlign w:val="center"/>
          </w:tcPr>
          <w:p w14:paraId="413ECEFB">
            <w:pPr>
              <w:rPr>
                <w:rFonts w:hint="eastAsia" w:ascii="仿宋" w:hAnsi="仿宋" w:eastAsia="仿宋" w:cs="仿宋"/>
                <w:kern w:val="0"/>
                <w:sz w:val="24"/>
              </w:rPr>
            </w:pPr>
            <w:r>
              <w:rPr>
                <w:rFonts w:hint="eastAsia" w:ascii="仿宋" w:hAnsi="仿宋" w:eastAsia="仿宋" w:cs="仿宋"/>
                <w:kern w:val="0"/>
                <w:sz w:val="24"/>
              </w:rPr>
              <w:t>根据售后服务方案、措施、响应及本地化服务能力等情况综合评定打分。方案内容完整且与项目匹配度好的得</w:t>
            </w:r>
            <w:r>
              <w:rPr>
                <w:rFonts w:hint="eastAsia" w:ascii="仿宋" w:hAnsi="仿宋" w:eastAsia="仿宋" w:cs="仿宋"/>
                <w:kern w:val="0"/>
                <w:sz w:val="24"/>
                <w:lang w:val="en-US" w:eastAsia="zh-CN"/>
              </w:rPr>
              <w:t>3-</w:t>
            </w:r>
            <w:r>
              <w:rPr>
                <w:rFonts w:hint="eastAsia" w:ascii="仿宋" w:hAnsi="仿宋" w:eastAsia="仿宋" w:cs="仿宋"/>
                <w:kern w:val="0"/>
                <w:sz w:val="24"/>
              </w:rPr>
              <w:t>5分；方案内容基本完整且与项目匹配度较好的得</w:t>
            </w:r>
            <w:r>
              <w:rPr>
                <w:rFonts w:ascii="仿宋" w:hAnsi="仿宋" w:eastAsia="仿宋" w:cs="仿宋"/>
                <w:kern w:val="0"/>
                <w:sz w:val="24"/>
              </w:rPr>
              <w:t>1-</w:t>
            </w:r>
            <w:r>
              <w:rPr>
                <w:rFonts w:hint="eastAsia" w:ascii="仿宋" w:hAnsi="仿宋" w:eastAsia="仿宋" w:cs="仿宋"/>
                <w:kern w:val="0"/>
                <w:sz w:val="24"/>
                <w:lang w:val="en-US" w:eastAsia="zh-CN"/>
              </w:rPr>
              <w:t>3</w:t>
            </w:r>
            <w:r>
              <w:rPr>
                <w:rFonts w:hint="eastAsia" w:ascii="仿宋" w:hAnsi="仿宋" w:eastAsia="仿宋" w:cs="仿宋"/>
                <w:kern w:val="0"/>
                <w:sz w:val="24"/>
              </w:rPr>
              <w:t>分；方案内容缺失严重或与项目不匹配的不得分。</w:t>
            </w:r>
          </w:p>
        </w:tc>
        <w:tc>
          <w:tcPr>
            <w:tcW w:w="520" w:type="pct"/>
            <w:vAlign w:val="center"/>
          </w:tcPr>
          <w:p w14:paraId="21974FE0">
            <w:pPr>
              <w:jc w:val="center"/>
              <w:rPr>
                <w:rFonts w:hint="eastAsia" w:ascii="仿宋" w:hAnsi="仿宋" w:eastAsia="仿宋" w:cs="仿宋"/>
                <w:kern w:val="0"/>
                <w:sz w:val="24"/>
              </w:rPr>
            </w:pPr>
            <w:r>
              <w:rPr>
                <w:rFonts w:hint="eastAsia" w:ascii="仿宋" w:hAnsi="仿宋" w:eastAsia="仿宋" w:cs="仿宋"/>
                <w:kern w:val="0"/>
                <w:sz w:val="24"/>
              </w:rPr>
              <w:t>0-5分</w:t>
            </w:r>
          </w:p>
        </w:tc>
        <w:tc>
          <w:tcPr>
            <w:tcW w:w="505" w:type="pct"/>
            <w:vAlign w:val="center"/>
          </w:tcPr>
          <w:p w14:paraId="44DFFA53">
            <w:pPr>
              <w:jc w:val="center"/>
              <w:rPr>
                <w:rFonts w:hint="eastAsia" w:ascii="仿宋" w:hAnsi="仿宋" w:eastAsia="仿宋" w:cs="仿宋"/>
                <w:kern w:val="0"/>
                <w:sz w:val="24"/>
              </w:rPr>
            </w:pPr>
            <w:r>
              <w:rPr>
                <w:rFonts w:hint="eastAsia" w:ascii="仿宋" w:hAnsi="仿宋" w:eastAsia="仿宋" w:cs="仿宋"/>
                <w:kern w:val="0"/>
                <w:sz w:val="24"/>
              </w:rPr>
              <w:t>主观分</w:t>
            </w:r>
          </w:p>
        </w:tc>
      </w:tr>
      <w:tr w14:paraId="6CC9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414" w:type="pct"/>
            <w:vMerge w:val="continue"/>
            <w:tcBorders>
              <w:right w:val="single" w:color="auto" w:sz="4" w:space="0"/>
            </w:tcBorders>
            <w:vAlign w:val="center"/>
          </w:tcPr>
          <w:p w14:paraId="2863BF6E">
            <w:pPr>
              <w:pStyle w:val="257"/>
              <w:ind w:left="420" w:firstLine="0" w:firstLineChars="0"/>
              <w:rPr>
                <w:rFonts w:hint="eastAsia" w:ascii="仿宋" w:hAnsi="仿宋" w:eastAsia="仿宋" w:cs="仿宋"/>
                <w:kern w:val="0"/>
              </w:rPr>
            </w:pPr>
          </w:p>
        </w:tc>
        <w:tc>
          <w:tcPr>
            <w:tcW w:w="352" w:type="pct"/>
            <w:vAlign w:val="center"/>
          </w:tcPr>
          <w:p w14:paraId="15B3B98D">
            <w:pPr>
              <w:pStyle w:val="257"/>
              <w:ind w:firstLine="0" w:firstLineChars="0"/>
              <w:jc w:val="center"/>
              <w:rPr>
                <w:rFonts w:hint="eastAsia" w:ascii="仿宋" w:hAnsi="仿宋" w:eastAsia="仿宋" w:cs="仿宋"/>
                <w:kern w:val="0"/>
              </w:rPr>
            </w:pPr>
            <w:r>
              <w:rPr>
                <w:rFonts w:hint="eastAsia" w:ascii="仿宋" w:hAnsi="仿宋" w:eastAsia="仿宋" w:cs="仿宋"/>
                <w:kern w:val="0"/>
              </w:rPr>
              <w:t>7</w:t>
            </w:r>
          </w:p>
        </w:tc>
        <w:tc>
          <w:tcPr>
            <w:tcW w:w="506" w:type="pct"/>
            <w:vAlign w:val="center"/>
          </w:tcPr>
          <w:p w14:paraId="2AE220DA">
            <w:pPr>
              <w:pStyle w:val="955"/>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培训方案</w:t>
            </w:r>
          </w:p>
        </w:tc>
        <w:tc>
          <w:tcPr>
            <w:tcW w:w="2699" w:type="pct"/>
            <w:vAlign w:val="center"/>
          </w:tcPr>
          <w:p w14:paraId="401321BD">
            <w:pPr>
              <w:pStyle w:val="234"/>
              <w:jc w:val="both"/>
              <w:rPr>
                <w:rFonts w:hint="eastAsia" w:ascii="仿宋" w:hAnsi="仿宋" w:eastAsia="仿宋" w:cs="仿宋"/>
                <w:lang w:bidi="ar"/>
              </w:rPr>
            </w:pPr>
            <w:r>
              <w:rPr>
                <w:rFonts w:hint="eastAsia" w:ascii="仿宋" w:hAnsi="仿宋" w:eastAsia="仿宋" w:cs="仿宋"/>
                <w:lang w:bidi="ar"/>
              </w:rPr>
              <w:t>供应商针对本项目实际情况提供详细的培训方案：包括培训目标、培训内容、培训计划、培训管理（方案详细完善的得3-5分，方案较详细完善的得1-3分，方案不够详细完善的得0-1）</w:t>
            </w:r>
          </w:p>
        </w:tc>
        <w:tc>
          <w:tcPr>
            <w:tcW w:w="520" w:type="pct"/>
            <w:vAlign w:val="center"/>
          </w:tcPr>
          <w:p w14:paraId="390221A2">
            <w:pPr>
              <w:pStyle w:val="4"/>
              <w:jc w:val="center"/>
              <w:rPr>
                <w:rFonts w:hint="eastAsia" w:ascii="仿宋" w:eastAsia="仿宋" w:cs="仿宋"/>
                <w:b w:val="0"/>
                <w:bCs w:val="0"/>
                <w:kern w:val="0"/>
                <w:sz w:val="24"/>
                <w:szCs w:val="24"/>
                <w:lang w:val="en-US"/>
              </w:rPr>
            </w:pPr>
            <w:r>
              <w:rPr>
                <w:rFonts w:hint="eastAsia" w:ascii="仿宋" w:eastAsia="仿宋" w:cs="仿宋"/>
                <w:b w:val="0"/>
                <w:bCs w:val="0"/>
                <w:kern w:val="0"/>
                <w:sz w:val="24"/>
              </w:rPr>
              <w:t>0-5分</w:t>
            </w:r>
          </w:p>
        </w:tc>
        <w:tc>
          <w:tcPr>
            <w:tcW w:w="505" w:type="pct"/>
            <w:vAlign w:val="center"/>
          </w:tcPr>
          <w:p w14:paraId="21D112C1">
            <w:pPr>
              <w:jc w:val="center"/>
              <w:rPr>
                <w:rFonts w:hint="eastAsia" w:ascii="仿宋" w:hAnsi="仿宋" w:eastAsia="仿宋" w:cs="仿宋"/>
                <w:kern w:val="0"/>
                <w:sz w:val="24"/>
              </w:rPr>
            </w:pPr>
            <w:r>
              <w:rPr>
                <w:rFonts w:hint="eastAsia" w:ascii="仿宋" w:hAnsi="仿宋" w:eastAsia="仿宋" w:cs="仿宋"/>
                <w:kern w:val="0"/>
                <w:sz w:val="24"/>
              </w:rPr>
              <w:t>主观分</w:t>
            </w:r>
          </w:p>
        </w:tc>
      </w:tr>
      <w:tr w14:paraId="4F30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414" w:type="pct"/>
            <w:vMerge w:val="continue"/>
            <w:tcBorders>
              <w:right w:val="single" w:color="auto" w:sz="4" w:space="0"/>
            </w:tcBorders>
            <w:vAlign w:val="center"/>
          </w:tcPr>
          <w:p w14:paraId="7DD725CE">
            <w:pPr>
              <w:pStyle w:val="257"/>
              <w:ind w:left="420" w:firstLine="0" w:firstLineChars="0"/>
              <w:rPr>
                <w:rFonts w:hint="eastAsia" w:ascii="仿宋" w:hAnsi="仿宋" w:eastAsia="仿宋" w:cs="仿宋"/>
                <w:kern w:val="0"/>
              </w:rPr>
            </w:pPr>
          </w:p>
        </w:tc>
        <w:tc>
          <w:tcPr>
            <w:tcW w:w="352" w:type="pct"/>
            <w:vAlign w:val="center"/>
          </w:tcPr>
          <w:p w14:paraId="41D25A87">
            <w:pPr>
              <w:pStyle w:val="257"/>
              <w:ind w:firstLine="0" w:firstLineChars="0"/>
              <w:jc w:val="center"/>
              <w:rPr>
                <w:rFonts w:hint="eastAsia" w:ascii="仿宋" w:hAnsi="仿宋" w:eastAsia="仿宋" w:cs="仿宋"/>
                <w:kern w:val="0"/>
              </w:rPr>
            </w:pPr>
            <w:r>
              <w:rPr>
                <w:rFonts w:hint="eastAsia" w:ascii="仿宋" w:hAnsi="仿宋" w:eastAsia="仿宋" w:cs="仿宋"/>
                <w:kern w:val="0"/>
              </w:rPr>
              <w:t>8</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7CF46">
            <w:pPr>
              <w:pStyle w:val="955"/>
              <w:spacing w:line="360" w:lineRule="auto"/>
              <w:jc w:val="center"/>
              <w:rPr>
                <w:rFonts w:hint="eastAsia" w:ascii="仿宋" w:hAnsi="仿宋" w:eastAsia="仿宋" w:cs="仿宋"/>
                <w:sz w:val="24"/>
                <w:lang w:eastAsia="zh-CN"/>
              </w:rPr>
            </w:pPr>
            <w:r>
              <w:rPr>
                <w:rFonts w:hint="eastAsia" w:ascii="仿宋" w:hAnsi="仿宋" w:eastAsia="仿宋" w:cs="仿宋"/>
                <w:color w:val="000000"/>
                <w:sz w:val="24"/>
                <w:szCs w:val="24"/>
                <w:lang w:eastAsia="zh-CN" w:bidi="ar"/>
              </w:rPr>
              <w:t>进度保障方案</w:t>
            </w:r>
          </w:p>
        </w:tc>
        <w:tc>
          <w:tcPr>
            <w:tcW w:w="2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78F4B">
            <w:pPr>
              <w:pStyle w:val="234"/>
              <w:jc w:val="both"/>
              <w:rPr>
                <w:rFonts w:hint="eastAsia" w:ascii="仿宋" w:hAnsi="仿宋" w:eastAsia="仿宋" w:cs="仿宋"/>
                <w:lang w:bidi="ar"/>
              </w:rPr>
            </w:pPr>
            <w:r>
              <w:rPr>
                <w:rFonts w:hint="eastAsia" w:ascii="仿宋" w:hAnsi="仿宋" w:eastAsia="仿宋" w:cs="仿宋"/>
                <w:lang w:bidi="ar"/>
              </w:rPr>
              <w:t>分析供应商针对本项目提出的进度保障方案的工作进度分布是否合理，时间节点把控是否明确且有可操作性等情况综合评定。</w:t>
            </w:r>
            <w:r>
              <w:rPr>
                <w:rFonts w:hint="eastAsia" w:ascii="仿宋" w:hAnsi="仿宋" w:eastAsia="仿宋" w:cs="仿宋"/>
                <w:lang w:bidi="ar"/>
              </w:rPr>
              <w:br w:type="textWrapping"/>
            </w:r>
            <w:r>
              <w:rPr>
                <w:rFonts w:hint="eastAsia" w:ascii="仿宋" w:hAnsi="仿宋" w:eastAsia="仿宋" w:cs="仿宋"/>
              </w:rPr>
              <w:t>（方案详细完善的得3-5分，方案较详细完善的得1-3分，方案不够详细完善的得0-1分）</w:t>
            </w:r>
          </w:p>
        </w:tc>
        <w:tc>
          <w:tcPr>
            <w:tcW w:w="520" w:type="pct"/>
            <w:vAlign w:val="center"/>
          </w:tcPr>
          <w:p w14:paraId="1A10E213">
            <w:pPr>
              <w:pStyle w:val="4"/>
              <w:jc w:val="center"/>
              <w:rPr>
                <w:rFonts w:hint="eastAsia" w:ascii="仿宋" w:eastAsia="仿宋" w:cs="仿宋"/>
                <w:b w:val="0"/>
                <w:bCs w:val="0"/>
                <w:kern w:val="0"/>
                <w:sz w:val="24"/>
                <w:szCs w:val="24"/>
                <w:lang w:val="en-US"/>
              </w:rPr>
            </w:pPr>
            <w:r>
              <w:rPr>
                <w:rFonts w:hint="eastAsia" w:ascii="仿宋" w:eastAsia="仿宋" w:cs="仿宋"/>
                <w:b w:val="0"/>
                <w:bCs w:val="0"/>
                <w:kern w:val="0"/>
                <w:sz w:val="24"/>
              </w:rPr>
              <w:t>0-5分</w:t>
            </w:r>
          </w:p>
        </w:tc>
        <w:tc>
          <w:tcPr>
            <w:tcW w:w="505" w:type="pct"/>
            <w:vAlign w:val="center"/>
          </w:tcPr>
          <w:p w14:paraId="14BDC4BA">
            <w:pPr>
              <w:jc w:val="center"/>
              <w:rPr>
                <w:rFonts w:hint="eastAsia" w:ascii="仿宋" w:hAnsi="仿宋" w:eastAsia="仿宋" w:cs="仿宋"/>
                <w:kern w:val="0"/>
                <w:sz w:val="24"/>
              </w:rPr>
            </w:pPr>
            <w:r>
              <w:rPr>
                <w:rFonts w:hint="eastAsia" w:ascii="仿宋" w:hAnsi="仿宋" w:eastAsia="仿宋" w:cs="仿宋"/>
                <w:kern w:val="0"/>
                <w:sz w:val="24"/>
              </w:rPr>
              <w:t>主观分</w:t>
            </w:r>
          </w:p>
        </w:tc>
      </w:tr>
      <w:tr w14:paraId="4062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414" w:type="pct"/>
            <w:vMerge w:val="continue"/>
            <w:tcBorders>
              <w:right w:val="single" w:color="auto" w:sz="4" w:space="0"/>
            </w:tcBorders>
            <w:vAlign w:val="center"/>
          </w:tcPr>
          <w:p w14:paraId="210F8DE7">
            <w:pPr>
              <w:pStyle w:val="257"/>
              <w:ind w:left="420" w:firstLine="0" w:firstLineChars="0"/>
              <w:rPr>
                <w:rFonts w:hint="eastAsia" w:ascii="仿宋" w:hAnsi="仿宋" w:eastAsia="仿宋" w:cs="仿宋"/>
                <w:kern w:val="0"/>
              </w:rPr>
            </w:pPr>
          </w:p>
        </w:tc>
        <w:tc>
          <w:tcPr>
            <w:tcW w:w="352" w:type="pct"/>
            <w:vAlign w:val="center"/>
          </w:tcPr>
          <w:p w14:paraId="6CC3A3CB">
            <w:pPr>
              <w:pStyle w:val="257"/>
              <w:ind w:firstLine="0" w:firstLineChars="0"/>
              <w:jc w:val="center"/>
              <w:rPr>
                <w:rFonts w:hint="eastAsia" w:ascii="仿宋" w:hAnsi="仿宋" w:eastAsia="仿宋" w:cs="仿宋"/>
                <w:kern w:val="0"/>
              </w:rPr>
            </w:pPr>
            <w:r>
              <w:rPr>
                <w:rFonts w:hint="eastAsia" w:ascii="仿宋" w:hAnsi="仿宋" w:eastAsia="仿宋" w:cs="仿宋"/>
                <w:kern w:val="0"/>
              </w:rPr>
              <w:t>9</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F8A86">
            <w:pPr>
              <w:pStyle w:val="955"/>
              <w:spacing w:line="360" w:lineRule="auto"/>
              <w:jc w:val="center"/>
              <w:rPr>
                <w:rFonts w:hint="eastAsia" w:ascii="仿宋" w:hAnsi="仿宋" w:eastAsia="仿宋" w:cs="仿宋"/>
                <w:sz w:val="24"/>
                <w:lang w:eastAsia="zh-CN"/>
              </w:rPr>
            </w:pPr>
            <w:r>
              <w:rPr>
                <w:rFonts w:hint="eastAsia" w:ascii="仿宋" w:hAnsi="仿宋" w:eastAsia="仿宋" w:cs="仿宋"/>
                <w:color w:val="000000"/>
                <w:sz w:val="24"/>
                <w:szCs w:val="24"/>
                <w:lang w:eastAsia="zh-CN" w:bidi="ar"/>
              </w:rPr>
              <w:t>测试及验收方案</w:t>
            </w:r>
          </w:p>
        </w:tc>
        <w:tc>
          <w:tcPr>
            <w:tcW w:w="2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2002F">
            <w:pPr>
              <w:pStyle w:val="234"/>
              <w:jc w:val="both"/>
              <w:rPr>
                <w:rFonts w:hint="eastAsia" w:ascii="仿宋" w:hAnsi="仿宋" w:eastAsia="仿宋" w:cs="仿宋"/>
                <w:lang w:bidi="ar"/>
              </w:rPr>
            </w:pPr>
            <w:r>
              <w:rPr>
                <w:rFonts w:hint="eastAsia" w:ascii="仿宋" w:hAnsi="仿宋" w:eastAsia="仿宋" w:cs="仿宋"/>
                <w:lang w:bidi="ar"/>
              </w:rPr>
              <w:t>分析供应商针对本项目提出的测试及验收方案的合理性、可行性等情况综合评定。</w:t>
            </w:r>
            <w:r>
              <w:rPr>
                <w:rFonts w:hint="eastAsia" w:ascii="仿宋" w:hAnsi="仿宋" w:eastAsia="仿宋" w:cs="仿宋"/>
                <w:lang w:bidi="ar"/>
              </w:rPr>
              <w:br w:type="textWrapping"/>
            </w:r>
            <w:r>
              <w:rPr>
                <w:rFonts w:hint="eastAsia" w:ascii="仿宋" w:hAnsi="仿宋" w:eastAsia="仿宋" w:cs="仿宋"/>
              </w:rPr>
              <w:t>（方案详细完善的得3-5分，方案较详细完善的得1-3分，方案不够详细完善的得0-1分）</w:t>
            </w:r>
          </w:p>
        </w:tc>
        <w:tc>
          <w:tcPr>
            <w:tcW w:w="520" w:type="pct"/>
            <w:vAlign w:val="center"/>
          </w:tcPr>
          <w:p w14:paraId="656DEC2E">
            <w:pPr>
              <w:pStyle w:val="4"/>
              <w:jc w:val="center"/>
              <w:rPr>
                <w:rFonts w:hint="eastAsia" w:ascii="仿宋" w:eastAsia="仿宋" w:cs="仿宋"/>
                <w:b w:val="0"/>
                <w:bCs w:val="0"/>
                <w:kern w:val="0"/>
                <w:sz w:val="24"/>
                <w:szCs w:val="24"/>
                <w:lang w:val="en-US"/>
              </w:rPr>
            </w:pPr>
            <w:r>
              <w:rPr>
                <w:rFonts w:hint="eastAsia" w:ascii="仿宋" w:eastAsia="仿宋" w:cs="仿宋"/>
                <w:b w:val="0"/>
                <w:bCs w:val="0"/>
                <w:kern w:val="0"/>
                <w:sz w:val="24"/>
              </w:rPr>
              <w:t>0-5分</w:t>
            </w:r>
          </w:p>
        </w:tc>
        <w:tc>
          <w:tcPr>
            <w:tcW w:w="505" w:type="pct"/>
            <w:vAlign w:val="center"/>
          </w:tcPr>
          <w:p w14:paraId="450A8A23">
            <w:pPr>
              <w:jc w:val="center"/>
              <w:rPr>
                <w:rFonts w:hint="eastAsia" w:ascii="仿宋" w:hAnsi="仿宋" w:eastAsia="仿宋" w:cs="仿宋"/>
                <w:kern w:val="0"/>
                <w:sz w:val="24"/>
              </w:rPr>
            </w:pPr>
            <w:r>
              <w:rPr>
                <w:rFonts w:hint="eastAsia" w:ascii="仿宋" w:hAnsi="仿宋" w:eastAsia="仿宋" w:cs="仿宋"/>
                <w:kern w:val="0"/>
                <w:sz w:val="24"/>
              </w:rPr>
              <w:t>主观分</w:t>
            </w:r>
          </w:p>
        </w:tc>
      </w:tr>
      <w:tr w14:paraId="223E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414" w:type="pct"/>
            <w:vMerge w:val="continue"/>
            <w:tcBorders>
              <w:right w:val="single" w:color="auto" w:sz="4" w:space="0"/>
            </w:tcBorders>
            <w:vAlign w:val="center"/>
          </w:tcPr>
          <w:p w14:paraId="10F1E7D8">
            <w:pPr>
              <w:pStyle w:val="257"/>
              <w:ind w:left="420" w:firstLine="0" w:firstLineChars="0"/>
              <w:rPr>
                <w:rFonts w:hint="eastAsia" w:ascii="仿宋" w:hAnsi="仿宋" w:eastAsia="仿宋" w:cs="仿宋"/>
                <w:kern w:val="0"/>
              </w:rPr>
            </w:pPr>
            <w:bookmarkStart w:id="387" w:name="OLE_LINK1" w:colFirst="3" w:colLast="3"/>
            <w:bookmarkStart w:id="395" w:name="_GoBack" w:colFirst="3" w:colLast="3"/>
          </w:p>
        </w:tc>
        <w:tc>
          <w:tcPr>
            <w:tcW w:w="352" w:type="pct"/>
            <w:vAlign w:val="center"/>
          </w:tcPr>
          <w:p w14:paraId="2B57F288">
            <w:pPr>
              <w:pStyle w:val="257"/>
              <w:ind w:firstLine="0" w:firstLineChars="0"/>
              <w:jc w:val="center"/>
              <w:rPr>
                <w:rFonts w:hint="eastAsia" w:ascii="仿宋" w:hAnsi="仿宋" w:eastAsia="仿宋" w:cs="仿宋"/>
                <w:kern w:val="0"/>
              </w:rPr>
            </w:pPr>
            <w:r>
              <w:rPr>
                <w:rFonts w:hint="eastAsia" w:ascii="仿宋" w:hAnsi="仿宋" w:eastAsia="仿宋" w:cs="仿宋"/>
                <w:kern w:val="0"/>
              </w:rPr>
              <w:t>10</w:t>
            </w:r>
          </w:p>
        </w:tc>
        <w:tc>
          <w:tcPr>
            <w:tcW w:w="506" w:type="pct"/>
            <w:vAlign w:val="center"/>
          </w:tcPr>
          <w:p w14:paraId="6800138F">
            <w:pPr>
              <w:pStyle w:val="955"/>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现场演示</w:t>
            </w:r>
          </w:p>
          <w:p w14:paraId="65FB5214">
            <w:pPr>
              <w:jc w:val="center"/>
              <w:rPr>
                <w:rFonts w:hint="eastAsia" w:ascii="仿宋" w:hAnsi="仿宋" w:eastAsia="仿宋" w:cs="仿宋"/>
                <w:kern w:val="0"/>
                <w:sz w:val="24"/>
              </w:rPr>
            </w:pPr>
          </w:p>
        </w:tc>
        <w:tc>
          <w:tcPr>
            <w:tcW w:w="2699" w:type="pct"/>
            <w:vAlign w:val="center"/>
          </w:tcPr>
          <w:p w14:paraId="3A793DA2">
            <w:pPr>
              <w:pStyle w:val="234"/>
              <w:jc w:val="both"/>
              <w:rPr>
                <w:rFonts w:hint="eastAsia" w:ascii="仿宋" w:hAnsi="仿宋" w:eastAsia="仿宋" w:cs="仿宋"/>
                <w:lang w:bidi="ar"/>
              </w:rPr>
            </w:pPr>
            <w:r>
              <w:rPr>
                <w:rFonts w:hint="eastAsia" w:ascii="仿宋" w:hAnsi="仿宋" w:eastAsia="仿宋" w:cs="仿宋"/>
                <w:lang w:bidi="ar"/>
              </w:rPr>
              <w:t>采用实际系统现场演示，演示时间控制在15分钟以内。使用PPT讲解、demo演示不得分。</w:t>
            </w:r>
          </w:p>
          <w:p w14:paraId="583E45B8">
            <w:pPr>
              <w:pStyle w:val="234"/>
              <w:jc w:val="both"/>
              <w:rPr>
                <w:rFonts w:hint="eastAsia" w:ascii="仿宋" w:hAnsi="仿宋" w:eastAsia="仿宋" w:cs="仿宋"/>
                <w:lang w:bidi="ar"/>
              </w:rPr>
            </w:pPr>
            <w:r>
              <w:rPr>
                <w:rFonts w:hint="eastAsia" w:ascii="仿宋" w:hAnsi="仿宋" w:eastAsia="仿宋" w:cs="仿宋"/>
                <w:lang w:bidi="ar"/>
              </w:rPr>
              <w:t>演示内容：</w:t>
            </w:r>
          </w:p>
          <w:p w14:paraId="680583D3">
            <w:pPr>
              <w:pStyle w:val="234"/>
              <w:jc w:val="both"/>
              <w:rPr>
                <w:rFonts w:hint="eastAsia" w:ascii="仿宋" w:hAnsi="仿宋" w:eastAsia="仿宋" w:cs="仿宋"/>
                <w:lang w:bidi="ar"/>
              </w:rPr>
            </w:pPr>
            <w:r>
              <w:rPr>
                <w:rFonts w:hint="eastAsia" w:ascii="仿宋" w:hAnsi="仿宋" w:eastAsia="仿宋" w:cs="仿宋"/>
                <w:lang w:bidi="ar"/>
              </w:rPr>
              <w:t>1、“党组织概况”、“党员概况”、“党建动态”功能，数字乡村管理平台演示桃源村党相关内容得1分，不演示或者演示内容不符合、不完整不得分；</w:t>
            </w:r>
          </w:p>
          <w:p w14:paraId="369F29A4">
            <w:pPr>
              <w:pStyle w:val="234"/>
              <w:jc w:val="both"/>
              <w:rPr>
                <w:rFonts w:hint="eastAsia" w:ascii="仿宋" w:hAnsi="仿宋" w:eastAsia="仿宋" w:cs="仿宋"/>
                <w:lang w:bidi="ar"/>
              </w:rPr>
            </w:pPr>
            <w:r>
              <w:rPr>
                <w:rFonts w:hint="eastAsia" w:ascii="仿宋" w:hAnsi="仿宋" w:eastAsia="仿宋" w:cs="仿宋"/>
                <w:lang w:bidi="ar"/>
              </w:rPr>
              <w:t>2、“人员档案”、“房屋档案”、“三务公开”功能，数字乡村管理平台演示桃源村相关信息得2分，不演示或者演示内容不符合、不完整不得分；</w:t>
            </w:r>
          </w:p>
          <w:p w14:paraId="130D5950">
            <w:pPr>
              <w:pStyle w:val="234"/>
              <w:jc w:val="both"/>
              <w:rPr>
                <w:rFonts w:hint="eastAsia" w:ascii="仿宋" w:hAnsi="仿宋" w:eastAsia="仿宋" w:cs="仿宋"/>
                <w:lang w:bidi="ar"/>
              </w:rPr>
            </w:pPr>
            <w:r>
              <w:rPr>
                <w:rFonts w:hint="eastAsia" w:ascii="仿宋" w:hAnsi="仿宋" w:eastAsia="仿宋" w:cs="仿宋"/>
                <w:lang w:bidi="ar"/>
              </w:rPr>
              <w:t>3、演示“地图显示领取毫米波雷达设备的人员,点击可展示心率、呼吸速率等数据”,数字乡村管理平台显示人员领取记录得2分，不演示或者演示内容不符合、不完整不得分；</w:t>
            </w:r>
          </w:p>
          <w:p w14:paraId="022818A6">
            <w:pPr>
              <w:pStyle w:val="234"/>
              <w:jc w:val="both"/>
              <w:rPr>
                <w:rFonts w:hint="eastAsia" w:ascii="仿宋" w:hAnsi="仿宋" w:eastAsia="仿宋" w:cs="仿宋"/>
                <w:lang w:bidi="ar"/>
              </w:rPr>
            </w:pPr>
            <w:r>
              <w:rPr>
                <w:rFonts w:hint="eastAsia" w:ascii="仿宋" w:hAnsi="仿宋" w:eastAsia="仿宋" w:cs="仿宋"/>
                <w:lang w:bidi="ar"/>
              </w:rPr>
              <w:t>4、演示数字乡村管理平台自定义毫米波雷达心率异常范围，并在数字乡村管理系统中进行预警显示功能得2分，不演示或者演示内容不符合、不完整不得分；</w:t>
            </w:r>
          </w:p>
          <w:p w14:paraId="57464FD3">
            <w:pPr>
              <w:pStyle w:val="234"/>
              <w:jc w:val="both"/>
              <w:rPr>
                <w:rFonts w:hint="eastAsia" w:ascii="仿宋" w:hAnsi="仿宋" w:eastAsia="仿宋" w:cs="仿宋"/>
                <w:lang w:bidi="ar"/>
              </w:rPr>
            </w:pPr>
            <w:r>
              <w:rPr>
                <w:rFonts w:hint="eastAsia" w:ascii="仿宋" w:hAnsi="仿宋" w:eastAsia="仿宋" w:cs="仿宋"/>
                <w:lang w:bidi="ar"/>
              </w:rPr>
              <w:t>5、“地图监控标记”，“地图配套设施标记”功能，演示在地图上标记数字乡村管理平台对应的监控、配套设施得2分，不演示或者演示内容不符合、不完整不得分；</w:t>
            </w:r>
          </w:p>
          <w:p w14:paraId="3F714259">
            <w:pPr>
              <w:pStyle w:val="234"/>
              <w:jc w:val="both"/>
              <w:rPr>
                <w:rFonts w:hint="eastAsia" w:ascii="仿宋" w:hAnsi="仿宋" w:eastAsia="仿宋" w:cs="仿宋"/>
                <w:lang w:bidi="ar"/>
              </w:rPr>
            </w:pPr>
            <w:r>
              <w:rPr>
                <w:rFonts w:hint="eastAsia" w:ascii="仿宋" w:hAnsi="仿宋" w:eastAsia="仿宋" w:cs="仿宋"/>
                <w:lang w:bidi="ar"/>
              </w:rPr>
              <w:t>6、“地图环绕飞行”功能，演示地图上可以环绕飞行以及关闭飞行得2分，不演示或者演示内容不符合、不完整不得分；</w:t>
            </w:r>
          </w:p>
          <w:p w14:paraId="770B2200">
            <w:pPr>
              <w:pStyle w:val="234"/>
              <w:jc w:val="both"/>
              <w:rPr>
                <w:rFonts w:hint="eastAsia" w:ascii="仿宋" w:hAnsi="仿宋" w:eastAsia="仿宋" w:cs="仿宋"/>
                <w:lang w:bidi="ar"/>
              </w:rPr>
            </w:pPr>
            <w:r>
              <w:rPr>
                <w:rFonts w:hint="eastAsia" w:ascii="仿宋" w:hAnsi="仿宋" w:eastAsia="仿宋" w:cs="仿宋"/>
                <w:lang w:bidi="ar"/>
              </w:rPr>
              <w:t>7、“地图房屋标记”、“地图智慧硬件标记”、“地图网格标记”功能，演示在地图上标记数字乡村管理平台已经录入的房屋、智慧硬件、网格，点击查看对应信息得2分，不演示或者演示内容不符合、不完整不得分；</w:t>
            </w:r>
          </w:p>
          <w:p w14:paraId="4AC66C28">
            <w:pPr>
              <w:pStyle w:val="234"/>
              <w:jc w:val="both"/>
              <w:rPr>
                <w:rFonts w:hint="eastAsia" w:ascii="仿宋" w:hAnsi="仿宋" w:eastAsia="仿宋"/>
              </w:rPr>
            </w:pPr>
            <w:r>
              <w:rPr>
                <w:rFonts w:hint="eastAsia" w:ascii="仿宋" w:hAnsi="仿宋" w:eastAsia="仿宋" w:cs="仿宋"/>
                <w:lang w:bidi="ar"/>
              </w:rPr>
              <w:t>8、演示数字乡村管理平台根据SQL语句在线配置报表，并能导出数据功能得2分，不演示或者演示内容不符合、不完整不得分。</w:t>
            </w:r>
          </w:p>
        </w:tc>
        <w:tc>
          <w:tcPr>
            <w:tcW w:w="520" w:type="pct"/>
            <w:vAlign w:val="center"/>
          </w:tcPr>
          <w:p w14:paraId="39300F20">
            <w:pPr>
              <w:pStyle w:val="4"/>
              <w:jc w:val="center"/>
              <w:rPr>
                <w:rFonts w:hint="eastAsia" w:ascii="仿宋" w:eastAsia="仿宋" w:cs="仿宋"/>
                <w:b w:val="0"/>
                <w:bCs w:val="0"/>
                <w:kern w:val="0"/>
                <w:sz w:val="24"/>
                <w:lang w:val="en-US"/>
              </w:rPr>
            </w:pPr>
            <w:r>
              <w:rPr>
                <w:rFonts w:hint="eastAsia" w:ascii="仿宋" w:eastAsia="仿宋" w:cs="仿宋"/>
                <w:b w:val="0"/>
                <w:bCs w:val="0"/>
                <w:kern w:val="0"/>
                <w:sz w:val="24"/>
                <w:szCs w:val="24"/>
                <w:lang w:val="en-US"/>
              </w:rPr>
              <w:t>0-15</w:t>
            </w:r>
            <w:r>
              <w:rPr>
                <w:rFonts w:hint="eastAsia" w:ascii="仿宋" w:eastAsia="仿宋" w:cs="仿宋"/>
                <w:b w:val="0"/>
                <w:bCs w:val="0"/>
                <w:kern w:val="0"/>
                <w:sz w:val="24"/>
                <w:lang w:val="en-US"/>
              </w:rPr>
              <w:t>分</w:t>
            </w:r>
          </w:p>
        </w:tc>
        <w:tc>
          <w:tcPr>
            <w:tcW w:w="505" w:type="pct"/>
            <w:vAlign w:val="center"/>
          </w:tcPr>
          <w:p w14:paraId="03C11B3E">
            <w:pPr>
              <w:jc w:val="center"/>
              <w:rPr>
                <w:rFonts w:hint="eastAsia" w:ascii="仿宋" w:hAnsi="仿宋" w:eastAsia="仿宋" w:cs="仿宋"/>
                <w:kern w:val="0"/>
                <w:sz w:val="24"/>
              </w:rPr>
            </w:pPr>
            <w:r>
              <w:rPr>
                <w:rFonts w:hint="eastAsia" w:ascii="仿宋" w:hAnsi="仿宋" w:eastAsia="仿宋" w:cs="仿宋"/>
                <w:kern w:val="0"/>
                <w:sz w:val="24"/>
              </w:rPr>
              <w:t>主观分</w:t>
            </w:r>
          </w:p>
        </w:tc>
      </w:tr>
      <w:bookmarkEnd w:id="395"/>
      <w:bookmarkEnd w:id="387"/>
    </w:tbl>
    <w:p w14:paraId="5B76EB43">
      <w:pPr>
        <w:widowControl/>
        <w:spacing w:line="360" w:lineRule="auto"/>
        <w:rPr>
          <w:rFonts w:hint="eastAsia" w:ascii="仿宋" w:hAnsi="仿宋" w:eastAsia="仿宋" w:cs="仿宋"/>
          <w:b/>
          <w:bCs/>
          <w:sz w:val="24"/>
        </w:rPr>
      </w:pPr>
    </w:p>
    <w:p w14:paraId="49704981">
      <w:pPr>
        <w:widowControl/>
        <w:jc w:val="left"/>
        <w:rPr>
          <w:rFonts w:hint="eastAsia" w:ascii="仿宋" w:hAnsi="仿宋" w:eastAsia="仿宋" w:cs="仿宋"/>
          <w:b/>
          <w:bCs/>
          <w:sz w:val="24"/>
        </w:rPr>
      </w:pPr>
      <w:r>
        <w:rPr>
          <w:rFonts w:hint="eastAsia" w:ascii="仿宋" w:hAnsi="仿宋" w:eastAsia="仿宋" w:cs="仿宋"/>
          <w:b/>
          <w:bCs/>
          <w:sz w:val="24"/>
        </w:rPr>
        <w:t>2、价格分（30分）</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6855"/>
      </w:tblGrid>
      <w:tr w14:paraId="6317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9" w:type="pct"/>
            <w:tcBorders>
              <w:top w:val="single" w:color="auto" w:sz="4" w:space="0"/>
              <w:left w:val="single" w:color="auto" w:sz="4" w:space="0"/>
              <w:bottom w:val="single" w:color="auto" w:sz="4" w:space="0"/>
              <w:right w:val="single" w:color="auto" w:sz="4" w:space="0"/>
            </w:tcBorders>
            <w:noWrap/>
            <w:vAlign w:val="center"/>
          </w:tcPr>
          <w:p w14:paraId="73C0AAB5">
            <w:pPr>
              <w:widowControl/>
              <w:jc w:val="center"/>
              <w:rPr>
                <w:rFonts w:hint="eastAsia" w:ascii="仿宋" w:hAnsi="仿宋" w:eastAsia="仿宋" w:cs="仿宋"/>
                <w:sz w:val="24"/>
              </w:rPr>
            </w:pPr>
            <w:r>
              <w:rPr>
                <w:rFonts w:hint="eastAsia" w:ascii="仿宋" w:hAnsi="仿宋" w:eastAsia="仿宋" w:cs="仿宋"/>
                <w:sz w:val="24"/>
              </w:rPr>
              <w:t>价格权值</w:t>
            </w:r>
          </w:p>
        </w:tc>
        <w:tc>
          <w:tcPr>
            <w:tcW w:w="3691" w:type="pct"/>
            <w:tcBorders>
              <w:top w:val="single" w:color="auto" w:sz="4" w:space="0"/>
              <w:left w:val="single" w:color="auto" w:sz="4" w:space="0"/>
              <w:bottom w:val="single" w:color="auto" w:sz="4" w:space="0"/>
              <w:right w:val="single" w:color="auto" w:sz="4" w:space="0"/>
            </w:tcBorders>
            <w:noWrap/>
            <w:vAlign w:val="center"/>
          </w:tcPr>
          <w:p w14:paraId="4161E195">
            <w:pPr>
              <w:widowControl/>
              <w:jc w:val="center"/>
              <w:rPr>
                <w:rFonts w:hint="eastAsia" w:ascii="仿宋" w:hAnsi="仿宋" w:eastAsia="仿宋" w:cs="仿宋"/>
                <w:sz w:val="24"/>
              </w:rPr>
            </w:pPr>
            <w:r>
              <w:rPr>
                <w:rFonts w:hint="eastAsia" w:ascii="仿宋" w:hAnsi="仿宋" w:eastAsia="仿宋" w:cs="仿宋"/>
                <w:sz w:val="24"/>
              </w:rPr>
              <w:t>计算方法</w:t>
            </w:r>
          </w:p>
        </w:tc>
      </w:tr>
      <w:tr w14:paraId="5FA6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309" w:type="pct"/>
            <w:tcBorders>
              <w:top w:val="single" w:color="auto" w:sz="4" w:space="0"/>
              <w:left w:val="single" w:color="auto" w:sz="4" w:space="0"/>
              <w:bottom w:val="single" w:color="auto" w:sz="4" w:space="0"/>
              <w:right w:val="single" w:color="auto" w:sz="4" w:space="0"/>
            </w:tcBorders>
            <w:noWrap/>
            <w:vAlign w:val="center"/>
          </w:tcPr>
          <w:p w14:paraId="26F18587">
            <w:pPr>
              <w:widowControl/>
              <w:jc w:val="center"/>
              <w:rPr>
                <w:rFonts w:hint="eastAsia" w:ascii="仿宋" w:hAnsi="仿宋" w:eastAsia="仿宋" w:cs="仿宋"/>
                <w:sz w:val="24"/>
              </w:rPr>
            </w:pPr>
            <w:r>
              <w:rPr>
                <w:rFonts w:hint="eastAsia" w:ascii="仿宋" w:hAnsi="仿宋" w:eastAsia="仿宋" w:cs="仿宋"/>
                <w:sz w:val="24"/>
              </w:rPr>
              <w:t>价格权值=0.30</w:t>
            </w:r>
          </w:p>
        </w:tc>
        <w:tc>
          <w:tcPr>
            <w:tcW w:w="3691" w:type="pct"/>
            <w:tcBorders>
              <w:top w:val="single" w:color="auto" w:sz="4" w:space="0"/>
              <w:left w:val="single" w:color="auto" w:sz="4" w:space="0"/>
              <w:bottom w:val="single" w:color="auto" w:sz="4" w:space="0"/>
              <w:right w:val="single" w:color="auto" w:sz="4" w:space="0"/>
            </w:tcBorders>
            <w:noWrap/>
            <w:vAlign w:val="center"/>
          </w:tcPr>
          <w:p w14:paraId="1A9C5028">
            <w:pPr>
              <w:widowControl/>
              <w:rPr>
                <w:rFonts w:hint="eastAsia" w:ascii="仿宋" w:hAnsi="仿宋" w:eastAsia="仿宋"/>
                <w:sz w:val="24"/>
              </w:rPr>
            </w:pPr>
            <w:r>
              <w:rPr>
                <w:rFonts w:hint="eastAsia" w:ascii="仿宋" w:hAnsi="仿宋" w:eastAsia="仿宋"/>
                <w:sz w:val="24"/>
              </w:rPr>
              <w:t>最低有效投标价格为评标基准价</w:t>
            </w:r>
          </w:p>
          <w:p w14:paraId="79BBC646">
            <w:pPr>
              <w:widowControl/>
              <w:rPr>
                <w:rFonts w:hint="eastAsia" w:ascii="仿宋" w:hAnsi="仿宋" w:eastAsia="仿宋"/>
                <w:sz w:val="24"/>
              </w:rPr>
            </w:pPr>
            <w:r>
              <w:rPr>
                <w:rFonts w:hint="eastAsia" w:ascii="仿宋" w:hAnsi="仿宋" w:eastAsia="仿宋"/>
                <w:sz w:val="24"/>
              </w:rPr>
              <w:t>投标报价得分=(评标基准价／投标报价)×价格权值×100</w:t>
            </w:r>
          </w:p>
          <w:p w14:paraId="33B27107">
            <w:pPr>
              <w:widowControl/>
              <w:rPr>
                <w:rFonts w:hint="eastAsia" w:ascii="仿宋" w:hAnsi="仿宋" w:eastAsia="仿宋"/>
                <w:sz w:val="24"/>
              </w:rPr>
            </w:pPr>
            <w:r>
              <w:rPr>
                <w:rFonts w:hint="eastAsia" w:ascii="仿宋" w:hAnsi="仿宋" w:eastAsia="仿宋"/>
                <w:sz w:val="24"/>
              </w:rPr>
              <w:t>（计算得分保留小数点后2位）</w:t>
            </w:r>
          </w:p>
        </w:tc>
      </w:tr>
    </w:tbl>
    <w:p w14:paraId="22105112">
      <w:pPr>
        <w:widowControl/>
        <w:spacing w:line="360" w:lineRule="auto"/>
        <w:ind w:firstLine="420" w:firstLineChars="200"/>
        <w:rPr>
          <w:rFonts w:hint="eastAsia" w:ascii="仿宋" w:hAnsi="仿宋" w:eastAsia="仿宋" w:cs="仿宋"/>
        </w:rPr>
      </w:pPr>
      <w:r>
        <w:rPr>
          <w:rFonts w:hint="eastAsia" w:ascii="仿宋" w:hAnsi="仿宋" w:eastAsia="仿宋" w:cs="仿宋"/>
          <w:bCs/>
        </w:rPr>
        <w:t>*</w:t>
      </w:r>
      <w:r>
        <w:rPr>
          <w:rFonts w:hint="eastAsia" w:ascii="仿宋" w:hAnsi="仿宋" w:eastAsia="仿宋" w:cs="仿宋"/>
          <w:b/>
        </w:rPr>
        <w:t>备注：</w:t>
      </w:r>
      <w:r>
        <w:rPr>
          <w:rFonts w:hint="eastAsia" w:ascii="仿宋" w:hAnsi="仿宋" w:eastAsia="仿宋" w:cs="仿宋"/>
        </w:rPr>
        <w:t>1、评分条款中涉及的业绩、荣誉、人员、社保等分公司均有效。</w:t>
      </w:r>
    </w:p>
    <w:p w14:paraId="6702DE41">
      <w:pPr>
        <w:widowControl/>
        <w:spacing w:line="360" w:lineRule="auto"/>
        <w:ind w:firstLine="420" w:firstLineChars="200"/>
        <w:rPr>
          <w:rFonts w:hint="eastAsia" w:ascii="仿宋" w:hAnsi="仿宋" w:eastAsia="仿宋" w:cs="仿宋"/>
        </w:rPr>
      </w:pPr>
      <w:r>
        <w:rPr>
          <w:rFonts w:hint="eastAsia" w:ascii="仿宋" w:hAnsi="仿宋" w:eastAsia="仿宋" w:cs="仿宋"/>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74153EB9">
      <w:pPr>
        <w:widowControl/>
        <w:spacing w:line="360" w:lineRule="auto"/>
        <w:ind w:firstLine="420" w:firstLineChars="200"/>
        <w:rPr>
          <w:rFonts w:hint="eastAsia" w:ascii="仿宋" w:hAnsi="仿宋" w:eastAsia="仿宋" w:cs="仿宋"/>
        </w:rPr>
      </w:pPr>
      <w:r>
        <w:rPr>
          <w:rFonts w:hint="eastAsia" w:ascii="仿宋" w:hAnsi="仿宋" w:eastAsia="仿宋" w:cs="仿宋"/>
        </w:rPr>
        <w:t>3、投标人编制投标文件（商务技术文件部分）时，建议按此目录（序号和内容）提供评标标准相应的商务技术资料。</w:t>
      </w:r>
      <w:r>
        <w:rPr>
          <w:rFonts w:ascii="Calibri" w:hAnsi="Calibri" w:eastAsia="仿宋" w:cs="Calibri"/>
        </w:rPr>
        <w:t> </w:t>
      </w:r>
    </w:p>
    <w:p w14:paraId="04E7396A">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br w:type="page"/>
      </w:r>
    </w:p>
    <w:p w14:paraId="3CF3ECD7">
      <w:pP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4E22FD36">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w:t>
      </w:r>
      <w:r>
        <w:rPr>
          <w:rFonts w:hint="eastAsia" w:ascii="仿宋" w:hAnsi="仿宋" w:eastAsia="仿宋" w:cs="仿宋"/>
          <w:b/>
          <w:color w:val="auto"/>
          <w:kern w:val="0"/>
          <w:sz w:val="24"/>
          <w:highlight w:val="none"/>
          <w:lang w:val="en-US" w:eastAsia="zh-CN"/>
        </w:rPr>
        <w:t>综合评分</w:t>
      </w:r>
      <w:r>
        <w:rPr>
          <w:rFonts w:hint="eastAsia" w:ascii="仿宋" w:hAnsi="仿宋" w:eastAsia="仿宋" w:cs="仿宋"/>
          <w:b/>
          <w:color w:val="auto"/>
          <w:kern w:val="0"/>
          <w:sz w:val="24"/>
          <w:highlight w:val="none"/>
        </w:rPr>
        <w:t>法。</w:t>
      </w:r>
      <w:r>
        <w:rPr>
          <w:rFonts w:hint="eastAsia" w:ascii="仿宋" w:hAnsi="仿宋" w:eastAsia="仿宋" w:cs="仿宋"/>
          <w:color w:val="auto"/>
          <w:kern w:val="0"/>
          <w:sz w:val="24"/>
          <w:highlight w:val="none"/>
          <w:lang w:eastAsia="zh-CN"/>
        </w:rPr>
        <w:t>综合评分</w:t>
      </w:r>
      <w:r>
        <w:rPr>
          <w:rFonts w:hint="eastAsia" w:ascii="仿宋" w:hAnsi="仿宋" w:eastAsia="仿宋" w:cs="仿宋"/>
          <w:color w:val="auto"/>
          <w:kern w:val="0"/>
          <w:sz w:val="24"/>
          <w:highlight w:val="none"/>
        </w:rPr>
        <w:t>法，是指</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为</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候选人的评标方法。</w:t>
      </w:r>
    </w:p>
    <w:p w14:paraId="3539B53F">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24DB4480">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4B0E6F59">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2098C5D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进行符合性审查，以确定其是否满足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的实质性要求。不满足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的实质性要求的，</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无效。</w:t>
      </w:r>
    </w:p>
    <w:p w14:paraId="7C35CC8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中规定的评标方法和标准，对符合性审查合格的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进行商务和技术评估，综合比较与评价。</w:t>
      </w:r>
    </w:p>
    <w:p w14:paraId="7747599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的商务和技术文件进行评价，并汇总商务技术得分情况。</w:t>
      </w:r>
    </w:p>
    <w:p w14:paraId="2BE604BF">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7EB289C5">
      <w:pPr>
        <w:pStyle w:val="13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w:t>
      </w:r>
      <w:r>
        <w:rPr>
          <w:rFonts w:hint="eastAsia" w:ascii="仿宋" w:hAnsi="仿宋" w:eastAsia="仿宋" w:cs="仿宋"/>
          <w:color w:val="auto"/>
          <w:kern w:val="0"/>
          <w:highlight w:val="none"/>
          <w:lang w:eastAsia="zh-CN"/>
        </w:rPr>
        <w:t>响应文件</w:t>
      </w:r>
      <w:r>
        <w:rPr>
          <w:rFonts w:hint="eastAsia" w:ascii="仿宋" w:hAnsi="仿宋" w:eastAsia="仿宋" w:cs="仿宋"/>
          <w:color w:val="auto"/>
          <w:kern w:val="0"/>
          <w:highlight w:val="none"/>
        </w:rPr>
        <w:t>报价出现前后不一致的，按照下列规定修正：</w:t>
      </w:r>
    </w:p>
    <w:p w14:paraId="3FB1E4D6">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w:t>
      </w:r>
      <w:r>
        <w:rPr>
          <w:rFonts w:hint="eastAsia" w:ascii="仿宋" w:hAnsi="仿宋" w:eastAsia="仿宋" w:cs="仿宋"/>
          <w:color w:val="auto"/>
          <w:kern w:val="0"/>
          <w:szCs w:val="24"/>
          <w:highlight w:val="none"/>
          <w:lang w:eastAsia="zh-CN"/>
        </w:rPr>
        <w:t>交易</w:t>
      </w:r>
      <w:r>
        <w:rPr>
          <w:rFonts w:hint="eastAsia" w:ascii="仿宋" w:hAnsi="仿宋" w:eastAsia="仿宋" w:cs="仿宋"/>
          <w:color w:val="auto"/>
          <w:kern w:val="0"/>
          <w:szCs w:val="24"/>
          <w:highlight w:val="none"/>
        </w:rPr>
        <w:t>一览表(报价表)内容与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中相应内容不一致的，以</w:t>
      </w:r>
      <w:r>
        <w:rPr>
          <w:rFonts w:hint="eastAsia" w:ascii="仿宋" w:hAnsi="仿宋" w:eastAsia="仿宋" w:cs="仿宋"/>
          <w:color w:val="auto"/>
          <w:kern w:val="0"/>
          <w:szCs w:val="24"/>
          <w:highlight w:val="none"/>
          <w:lang w:eastAsia="zh-CN"/>
        </w:rPr>
        <w:t>交易</w:t>
      </w:r>
      <w:r>
        <w:rPr>
          <w:rFonts w:hint="eastAsia" w:ascii="仿宋" w:hAnsi="仿宋" w:eastAsia="仿宋" w:cs="仿宋"/>
          <w:color w:val="auto"/>
          <w:kern w:val="0"/>
          <w:szCs w:val="24"/>
          <w:highlight w:val="none"/>
        </w:rPr>
        <w:t>一览表(报价表)为准;</w:t>
      </w:r>
    </w:p>
    <w:p w14:paraId="42CEF753">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E12F36C">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w:t>
      </w:r>
      <w:r>
        <w:rPr>
          <w:rFonts w:hint="eastAsia" w:ascii="仿宋" w:hAnsi="仿宋" w:eastAsia="仿宋" w:cs="仿宋"/>
          <w:color w:val="auto"/>
          <w:kern w:val="0"/>
          <w:szCs w:val="24"/>
          <w:highlight w:val="none"/>
          <w:lang w:eastAsia="zh-CN"/>
        </w:rPr>
        <w:t>交易</w:t>
      </w:r>
      <w:r>
        <w:rPr>
          <w:rFonts w:hint="eastAsia" w:ascii="仿宋" w:hAnsi="仿宋" w:eastAsia="仿宋" w:cs="仿宋"/>
          <w:color w:val="auto"/>
          <w:kern w:val="0"/>
          <w:szCs w:val="24"/>
          <w:highlight w:val="none"/>
        </w:rPr>
        <w:t>一览表的总价为准，并修改单价;</w:t>
      </w:r>
    </w:p>
    <w:p w14:paraId="6B7E165F">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0761E33C">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确认后产生约束力。</w:t>
      </w:r>
    </w:p>
    <w:p w14:paraId="3A960C48">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w:t>
      </w:r>
      <w:r>
        <w:rPr>
          <w:rFonts w:hint="eastAsia" w:ascii="仿宋" w:hAnsi="仿宋" w:eastAsia="仿宋" w:cs="仿宋"/>
          <w:color w:val="auto"/>
          <w:kern w:val="0"/>
          <w:sz w:val="24"/>
          <w:highlight w:val="none"/>
          <w:lang w:eastAsia="zh-CN"/>
        </w:rPr>
        <w:t>相应</w:t>
      </w:r>
      <w:r>
        <w:rPr>
          <w:rFonts w:hint="eastAsia" w:ascii="仿宋" w:hAnsi="仿宋" w:eastAsia="仿宋" w:cs="仿宋"/>
          <w:color w:val="auto"/>
          <w:kern w:val="0"/>
          <w:sz w:val="24"/>
          <w:highlight w:val="none"/>
        </w:rPr>
        <w:t>报价的，</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无效。</w:t>
      </w:r>
    </w:p>
    <w:p w14:paraId="482A832C">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无效。</w:t>
      </w:r>
    </w:p>
    <w:p w14:paraId="152CE660">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的报价明显低于其他通过符合性审查</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不能证明其报价合理性的，评标委员会应当将其作为无效</w:t>
      </w:r>
      <w:r>
        <w:rPr>
          <w:rFonts w:hint="eastAsia" w:ascii="仿宋" w:hAnsi="仿宋" w:eastAsia="仿宋" w:cs="仿宋"/>
          <w:color w:val="auto"/>
          <w:kern w:val="0"/>
          <w:szCs w:val="24"/>
          <w:highlight w:val="none"/>
          <w:lang w:eastAsia="zh-CN"/>
        </w:rPr>
        <w:t>响应</w:t>
      </w:r>
      <w:r>
        <w:rPr>
          <w:rFonts w:hint="eastAsia" w:ascii="仿宋" w:hAnsi="仿宋" w:eastAsia="仿宋" w:cs="仿宋"/>
          <w:color w:val="auto"/>
          <w:kern w:val="0"/>
          <w:szCs w:val="24"/>
          <w:highlight w:val="none"/>
        </w:rPr>
        <w:t>处理。</w:t>
      </w:r>
    </w:p>
    <w:p w14:paraId="2776292E">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报价由低到高顺序排列。得分且</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报价相同的并列。</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为排名第一的</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候选人。</w:t>
      </w:r>
    </w:p>
    <w:p w14:paraId="2529D4F6">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参加同一合同项下</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的，按一家</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计算，评审后得分最高的同品牌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获得</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人推荐资格；评审得分相同的，采取随机抽取方式确定，其他同品牌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不作为</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候选人。</w:t>
      </w:r>
    </w:p>
    <w:p w14:paraId="2D447FB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82661DA">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48186F07">
      <w:pPr>
        <w:pStyle w:val="13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w:t>
      </w:r>
      <w:r>
        <w:rPr>
          <w:rFonts w:hint="eastAsia" w:ascii="仿宋" w:hAnsi="仿宋" w:eastAsia="仿宋" w:cs="仿宋"/>
          <w:b/>
          <w:color w:val="auto"/>
          <w:kern w:val="0"/>
          <w:szCs w:val="24"/>
          <w:highlight w:val="none"/>
          <w:lang w:eastAsia="zh-CN"/>
        </w:rPr>
        <w:t>供应商</w:t>
      </w:r>
      <w:r>
        <w:rPr>
          <w:rFonts w:hint="eastAsia" w:ascii="仿宋" w:hAnsi="仿宋" w:eastAsia="仿宋" w:cs="仿宋"/>
          <w:b/>
          <w:color w:val="auto"/>
          <w:kern w:val="0"/>
          <w:szCs w:val="24"/>
          <w:highlight w:val="none"/>
        </w:rPr>
        <w:t>澄清、说明或者补正。</w:t>
      </w:r>
      <w:r>
        <w:rPr>
          <w:rFonts w:hint="eastAsia" w:ascii="仿宋" w:hAnsi="仿宋" w:eastAsia="仿宋" w:cs="仿宋"/>
          <w:color w:val="auto"/>
          <w:kern w:val="0"/>
          <w:szCs w:val="24"/>
          <w:highlight w:val="none"/>
        </w:rPr>
        <w:t>对于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中含义不明确、同类问题表述不一致或者有明显文字和计算错误的内容需要</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作出必要的澄清、说明或者补正的，评标委员会和</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通过电子交易平台交换数据电文，</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提交使用电子签名的相关数据电文或通过平台上传加盖公章的扫描件。给予</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提交澄清、说明或补正的时间不得少于半小时，</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已经明确表示澄清说明或补正完毕的除外。</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的澄清、说明或者补正不得超出</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的范围或者改变</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的实质性内容。</w:t>
      </w:r>
    </w:p>
    <w:p w14:paraId="481E7152">
      <w:pPr>
        <w:pStyle w:val="27"/>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w:t>
      </w:r>
      <w:r>
        <w:rPr>
          <w:rFonts w:hint="eastAsia" w:ascii="仿宋" w:hAnsi="仿宋" w:eastAsia="仿宋" w:cs="仿宋"/>
          <w:b/>
          <w:color w:val="auto"/>
          <w:kern w:val="0"/>
          <w:highlight w:val="none"/>
          <w:lang w:eastAsia="zh-CN"/>
        </w:rPr>
        <w:t>交易</w:t>
      </w:r>
      <w:r>
        <w:rPr>
          <w:rFonts w:hint="eastAsia" w:ascii="仿宋" w:hAnsi="仿宋" w:eastAsia="仿宋" w:cs="仿宋"/>
          <w:b/>
          <w:color w:val="auto"/>
          <w:kern w:val="0"/>
          <w:highlight w:val="none"/>
        </w:rPr>
        <w:t>无效。</w:t>
      </w:r>
      <w:r>
        <w:rPr>
          <w:rFonts w:hint="eastAsia" w:ascii="仿宋" w:hAnsi="仿宋" w:eastAsia="仿宋" w:cs="仿宋"/>
          <w:color w:val="auto"/>
          <w:szCs w:val="21"/>
          <w:highlight w:val="none"/>
        </w:rPr>
        <w:t>有下列情形之一的，</w:t>
      </w:r>
      <w:r>
        <w:rPr>
          <w:rFonts w:hint="eastAsia" w:ascii="仿宋" w:hAnsi="仿宋" w:eastAsia="仿宋" w:cs="仿宋"/>
          <w:color w:val="auto"/>
          <w:szCs w:val="21"/>
          <w:highlight w:val="none"/>
          <w:lang w:eastAsia="zh-CN"/>
        </w:rPr>
        <w:t>交易</w:t>
      </w:r>
      <w:r>
        <w:rPr>
          <w:rFonts w:hint="eastAsia" w:ascii="仿宋" w:hAnsi="仿宋" w:eastAsia="仿宋" w:cs="仿宋"/>
          <w:color w:val="auto"/>
          <w:szCs w:val="21"/>
          <w:highlight w:val="none"/>
        </w:rPr>
        <w:t>无效：</w:t>
      </w:r>
    </w:p>
    <w:p w14:paraId="5ED584C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未提供有效的资格文件的，视为</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w:t>
      </w:r>
    </w:p>
    <w:p w14:paraId="1941CAF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要求签署、盖章的；</w:t>
      </w:r>
    </w:p>
    <w:p w14:paraId="538D863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含有采购人不能接受的附加条件的；</w:t>
      </w:r>
    </w:p>
    <w:p w14:paraId="7D2DDCB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中承诺的</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有效期少于</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中载明的</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有效期的；</w:t>
      </w:r>
    </w:p>
    <w:p w14:paraId="55B4FF4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报价的;</w:t>
      </w:r>
    </w:p>
    <w:p w14:paraId="3EB4E3E7">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p>
    <w:p w14:paraId="395F4EE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4.2.7报价明显低于其他通过符合性审查</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的报价，有可能影响产品质量或者不能诚信履约的，未能按要求提供书面说明或者提交相关证明材料，不能证明其报价合理性的;</w:t>
      </w:r>
    </w:p>
    <w:p w14:paraId="439E880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对根据修正原则修正后的报价不确认的；</w:t>
      </w:r>
    </w:p>
    <w:p w14:paraId="239C97C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提供虚假材料</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的；</w:t>
      </w:r>
    </w:p>
    <w:p w14:paraId="5795EA1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有恶意串通、妨碍其他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的竞争行为、损害采购人或者其他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的合法权益情形的；</w:t>
      </w:r>
    </w:p>
    <w:p w14:paraId="2457C7BC">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仅提交备份</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，未在电子交易平台传输递交</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无效；</w:t>
      </w:r>
    </w:p>
    <w:p w14:paraId="5812798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w:t>
      </w:r>
      <w:r>
        <w:rPr>
          <w:rFonts w:hint="eastAsia" w:ascii="仿宋" w:hAnsi="仿宋" w:eastAsia="仿宋" w:cs="仿宋"/>
          <w:b w:val="0"/>
          <w:bCs w:val="0"/>
          <w:color w:val="auto"/>
          <w:kern w:val="0"/>
          <w:sz w:val="24"/>
          <w:szCs w:val="24"/>
          <w:highlight w:val="none"/>
          <w:lang w:val="en-US" w:eastAsia="zh-CN"/>
        </w:rPr>
        <w:t>响应文件</w:t>
      </w:r>
      <w:r>
        <w:rPr>
          <w:rFonts w:hint="eastAsia" w:ascii="仿宋" w:hAnsi="仿宋" w:eastAsia="仿宋" w:cs="仿宋"/>
          <w:b w:val="0"/>
          <w:bCs w:val="0"/>
          <w:color w:val="auto"/>
          <w:kern w:val="0"/>
          <w:sz w:val="24"/>
          <w:szCs w:val="24"/>
          <w:highlight w:val="none"/>
          <w:lang w:val="en-US"/>
        </w:rPr>
        <w:t>不满足</w:t>
      </w:r>
      <w:r>
        <w:rPr>
          <w:rFonts w:hint="eastAsia" w:ascii="仿宋" w:hAnsi="仿宋" w:eastAsia="仿宋" w:cs="仿宋"/>
          <w:b w:val="0"/>
          <w:bCs w:val="0"/>
          <w:color w:val="auto"/>
          <w:kern w:val="0"/>
          <w:sz w:val="24"/>
          <w:szCs w:val="24"/>
          <w:highlight w:val="none"/>
          <w:lang w:val="en-US" w:eastAsia="zh-CN"/>
        </w:rPr>
        <w:t>交易文件</w:t>
      </w:r>
      <w:r>
        <w:rPr>
          <w:rFonts w:hint="eastAsia" w:ascii="仿宋" w:hAnsi="仿宋" w:eastAsia="仿宋" w:cs="仿宋"/>
          <w:b w:val="0"/>
          <w:bCs w:val="0"/>
          <w:color w:val="auto"/>
          <w:kern w:val="0"/>
          <w:sz w:val="24"/>
          <w:szCs w:val="24"/>
          <w:highlight w:val="none"/>
          <w:lang w:val="en-US"/>
        </w:rPr>
        <w:t>的其它实质性要求的；</w:t>
      </w:r>
    </w:p>
    <w:p w14:paraId="343EC5FF">
      <w:pPr>
        <w:spacing w:line="360" w:lineRule="auto"/>
        <w:ind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法律、法规、规章（适用本市的）及省级以上规范性文件（适用本市的）规定的其他无效情形。</w:t>
      </w:r>
    </w:p>
    <w:p w14:paraId="185A3AF1">
      <w:pPr>
        <w:pStyle w:val="27"/>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在采购中，出现下列情形之一的，应予废标：</w:t>
      </w:r>
    </w:p>
    <w:p w14:paraId="5F498045">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作实质响应的供应商不足3家的；</w:t>
      </w:r>
    </w:p>
    <w:p w14:paraId="10893B14">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7BBC28BF">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的报价均超过了采购预算，采购人不能支付的；</w:t>
      </w:r>
    </w:p>
    <w:p w14:paraId="2D77941E">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79E818F0">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w:t>
      </w:r>
    </w:p>
    <w:p w14:paraId="70108AFF">
      <w:pPr>
        <w:pStyle w:val="27"/>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，重新组织采购活动。</w:t>
      </w:r>
      <w:r>
        <w:rPr>
          <w:rFonts w:hint="eastAsia" w:ascii="仿宋" w:hAnsi="仿宋" w:eastAsia="仿宋" w:cs="仿宋"/>
          <w:color w:val="auto"/>
          <w:highlight w:val="none"/>
        </w:rPr>
        <w:t>评标委员会发现</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存在歧义、重大缺陷导致评标工作无法进行，或者</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内容违反国家有关强制性规定的，将停止评标工作，并与采购人、采购机构沟通并作书面记录。采购人、采购机构确认后，将修改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，重新组织采购活动。</w:t>
      </w:r>
    </w:p>
    <w:p w14:paraId="5F0FCB7A">
      <w:pPr>
        <w:pStyle w:val="27"/>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有影响或者可能影响成交、成交结果的，依照下列规定处理：</w:t>
      </w:r>
    </w:p>
    <w:p w14:paraId="0B0E3899">
      <w:pPr>
        <w:pStyle w:val="27"/>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7.1未确定成交或者成交人的，终止本次采购活动，重新开展采购活动。</w:t>
      </w:r>
    </w:p>
    <w:p w14:paraId="6D3FD6EC">
      <w:pPr>
        <w:pStyle w:val="27"/>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7.2已确定成交或者成交人但尚未签订采购合同的，成交或者成交结果无效，从合格的成交或者成交候选人中另行确定成交或者成交人；没有合格的成交或者成交候选人的，重新开展采购活动。</w:t>
      </w:r>
    </w:p>
    <w:p w14:paraId="6A5FDE63">
      <w:pPr>
        <w:pStyle w:val="27"/>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7.3采购合同已签订但尚未履行的，撤销合同，从合格的成交或者成交候选人中另行确定成交或者成交人；没有合格的成交或者成交候选人的，重新开展采购活动。</w:t>
      </w:r>
    </w:p>
    <w:p w14:paraId="1C34ACDC">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7.4采购合同已经履行，给采购人、供应商造成损失的，由责任人承担赔偿责任。</w:t>
      </w:r>
    </w:p>
    <w:p w14:paraId="3BC24BCC">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7.5采购当事人有其他违反相关</w:t>
      </w:r>
      <w:r>
        <w:rPr>
          <w:rFonts w:hint="eastAsia" w:ascii="仿宋" w:hAnsi="仿宋" w:eastAsia="仿宋" w:cs="仿宋"/>
          <w:color w:val="auto"/>
          <w:kern w:val="0"/>
          <w:highlight w:val="none"/>
        </w:rPr>
        <w:t>法律法规规定</w:t>
      </w:r>
      <w:r>
        <w:rPr>
          <w:rFonts w:hint="eastAsia" w:ascii="仿宋" w:hAnsi="仿宋" w:eastAsia="仿宋" w:cs="仿宋"/>
          <w:color w:val="auto"/>
          <w:highlight w:val="none"/>
        </w:rPr>
        <w:t>的行为，经改正后仍然影响或者可能影响成交、成交结果或者依法被认定为成交、成交无效的，依照7.1-7.4规定处理。</w:t>
      </w:r>
    </w:p>
    <w:bookmarkEnd w:id="16"/>
    <w:p w14:paraId="46AB0DB8">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88" w:name="第五部分"/>
      <w:bookmarkStart w:id="389" w:name="_Toc86217003"/>
    </w:p>
    <w:p w14:paraId="162415E5">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71DF0FB4">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686FE066">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71568EF7">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50CAB7C7">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0892B832">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33A7D54">
      <w:pPr>
        <w:spacing w:line="360" w:lineRule="auto"/>
        <w:ind w:left="-420" w:leftChars="-200" w:right="-420" w:rightChars="-200" w:firstLine="723" w:firstLineChars="200"/>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36"/>
          <w:highlight w:val="none"/>
        </w:rPr>
        <w:t xml:space="preserve">第五部分 </w:t>
      </w:r>
      <w:bookmarkEnd w:id="388"/>
      <w:r>
        <w:rPr>
          <w:rFonts w:hint="eastAsia" w:ascii="仿宋" w:hAnsi="仿宋" w:eastAsia="仿宋" w:cs="仿宋"/>
          <w:b/>
          <w:color w:val="auto"/>
          <w:sz w:val="36"/>
          <w:szCs w:val="20"/>
          <w:highlight w:val="none"/>
        </w:rPr>
        <w:t xml:space="preserve"> </w:t>
      </w:r>
      <w:bookmarkEnd w:id="389"/>
      <w:r>
        <w:rPr>
          <w:rFonts w:hint="eastAsia" w:ascii="仿宋" w:hAnsi="仿宋" w:eastAsia="仿宋" w:cs="仿宋"/>
          <w:b/>
          <w:color w:val="auto"/>
          <w:sz w:val="36"/>
          <w:szCs w:val="20"/>
          <w:highlight w:val="none"/>
        </w:rPr>
        <w:t>应提交的有关格式范例</w:t>
      </w:r>
    </w:p>
    <w:p w14:paraId="6C643D4C">
      <w:pPr>
        <w:spacing w:line="360" w:lineRule="auto"/>
        <w:jc w:val="center"/>
        <w:outlineLvl w:val="0"/>
        <w:rPr>
          <w:rFonts w:hint="eastAsia" w:ascii="仿宋" w:hAnsi="仿宋" w:eastAsia="仿宋" w:cs="仿宋"/>
          <w:b/>
          <w:color w:val="auto"/>
          <w:kern w:val="0"/>
          <w:sz w:val="36"/>
          <w:szCs w:val="36"/>
          <w:highlight w:val="none"/>
        </w:rPr>
      </w:pPr>
    </w:p>
    <w:p w14:paraId="7EDB4B6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170813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ED6C736">
      <w:pPr>
        <w:spacing w:line="360" w:lineRule="auto"/>
        <w:jc w:val="center"/>
        <w:outlineLvl w:val="0"/>
        <w:rPr>
          <w:rFonts w:hint="eastAsia" w:ascii="仿宋" w:hAnsi="仿宋" w:eastAsia="仿宋" w:cs="仿宋"/>
          <w:b/>
          <w:color w:val="auto"/>
          <w:kern w:val="0"/>
          <w:sz w:val="36"/>
          <w:szCs w:val="36"/>
          <w:highlight w:val="none"/>
        </w:rPr>
      </w:pPr>
    </w:p>
    <w:p w14:paraId="2A5E39B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（1）符合参加采购活动应当具备的一般条件的承诺函……………（页码）</w:t>
      </w:r>
    </w:p>
    <w:p w14:paraId="7FC617C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（2）落实采购政策需满足的资格要求………………………………（页码）</w:t>
      </w:r>
    </w:p>
    <w:p w14:paraId="0CDBAE0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14:paraId="109FB7A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保证金递交证明……………………………………………（页码）</w:t>
      </w:r>
    </w:p>
    <w:p w14:paraId="1FCCFEFC">
      <w:pPr>
        <w:pStyle w:val="5"/>
        <w:rPr>
          <w:rFonts w:hint="eastAsia"/>
        </w:rPr>
      </w:pPr>
    </w:p>
    <w:p w14:paraId="2AE75AD1">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符合参加采购活动应当具备的一般条件的承诺函</w:t>
      </w:r>
    </w:p>
    <w:p w14:paraId="3166FA4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1B7EE8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】采购活动，郑重承诺：</w:t>
      </w:r>
    </w:p>
    <w:p w14:paraId="794048FB">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w:t>
      </w:r>
      <w:r>
        <w:rPr>
          <w:rFonts w:hint="eastAsia" w:ascii="仿宋" w:hAnsi="仿宋" w:eastAsia="仿宋" w:cs="仿宋"/>
          <w:color w:val="auto"/>
          <w:sz w:val="24"/>
          <w:highlight w:val="none"/>
          <w:lang w:eastAsia="zh-CN"/>
        </w:rPr>
        <w:t>以下</w:t>
      </w:r>
      <w:r>
        <w:rPr>
          <w:rFonts w:hint="eastAsia" w:ascii="仿宋" w:hAnsi="仿宋" w:eastAsia="仿宋" w:cs="仿宋"/>
          <w:color w:val="auto"/>
          <w:sz w:val="24"/>
          <w:highlight w:val="none"/>
        </w:rPr>
        <w:t>条件：</w:t>
      </w:r>
    </w:p>
    <w:p w14:paraId="5B485B0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4C199E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197852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FC5C93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6B6DDA2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5、参加采购活动前三年内，在经营活动中没有重大违法记录；</w:t>
      </w:r>
    </w:p>
    <w:p w14:paraId="7F17D4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F358E2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（二）不存在以下情况：</w:t>
      </w:r>
    </w:p>
    <w:p w14:paraId="1EA6415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12B0D78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6DED7AD">
      <w:pPr>
        <w:pStyle w:val="4"/>
        <w:spacing w:line="360" w:lineRule="auto"/>
        <w:rPr>
          <w:rFonts w:hint="eastAsia" w:ascii="仿宋" w:hAnsi="仿宋" w:eastAsia="仿宋" w:cs="仿宋"/>
          <w:color w:val="auto"/>
          <w:sz w:val="24"/>
          <w:highlight w:val="none"/>
        </w:rPr>
      </w:pPr>
    </w:p>
    <w:p w14:paraId="57D0341A">
      <w:pPr>
        <w:spacing w:line="360" w:lineRule="auto"/>
        <w:rPr>
          <w:rFonts w:hint="eastAsia" w:ascii="仿宋" w:hAnsi="仿宋" w:eastAsia="仿宋" w:cs="仿宋"/>
          <w:color w:val="auto"/>
          <w:highlight w:val="none"/>
        </w:rPr>
      </w:pPr>
    </w:p>
    <w:p w14:paraId="1EC3CCD4">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1663BA7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2EEAFCB">
      <w:pPr>
        <w:snapToGrid w:val="0"/>
        <w:spacing w:line="360" w:lineRule="auto"/>
        <w:ind w:right="480"/>
        <w:jc w:val="center"/>
        <w:rPr>
          <w:rFonts w:hint="eastAsia" w:ascii="仿宋" w:hAnsi="仿宋" w:eastAsia="仿宋" w:cs="仿宋"/>
          <w:b/>
          <w:color w:val="auto"/>
          <w:kern w:val="0"/>
          <w:sz w:val="32"/>
          <w:szCs w:val="32"/>
          <w:highlight w:val="none"/>
        </w:rPr>
      </w:pPr>
    </w:p>
    <w:p w14:paraId="03DFA761">
      <w:pPr>
        <w:snapToGrid w:val="0"/>
        <w:spacing w:line="360" w:lineRule="auto"/>
        <w:ind w:right="480"/>
        <w:jc w:val="center"/>
        <w:rPr>
          <w:rFonts w:hint="eastAsia" w:ascii="仿宋" w:hAnsi="仿宋" w:eastAsia="仿宋" w:cs="仿宋"/>
          <w:b/>
          <w:color w:val="auto"/>
          <w:kern w:val="0"/>
          <w:sz w:val="32"/>
          <w:szCs w:val="32"/>
          <w:highlight w:val="none"/>
        </w:rPr>
      </w:pPr>
    </w:p>
    <w:p w14:paraId="6DF71D22">
      <w:pPr>
        <w:rPr>
          <w:rFonts w:hint="eastAsia" w:ascii="仿宋" w:hAnsi="仿宋" w:eastAsia="仿宋" w:cs="仿宋"/>
          <w:color w:val="auto"/>
          <w:highlight w:val="none"/>
        </w:rPr>
      </w:pPr>
    </w:p>
    <w:p w14:paraId="531CAC97">
      <w:pPr>
        <w:snapToGrid w:val="0"/>
        <w:spacing w:line="360" w:lineRule="auto"/>
        <w:ind w:right="480"/>
        <w:jc w:val="center"/>
        <w:rPr>
          <w:rFonts w:hint="eastAsia" w:ascii="仿宋" w:hAnsi="仿宋" w:eastAsia="仿宋" w:cs="仿宋"/>
          <w:b/>
          <w:color w:val="auto"/>
          <w:kern w:val="0"/>
          <w:sz w:val="32"/>
          <w:szCs w:val="32"/>
          <w:highlight w:val="none"/>
        </w:rPr>
      </w:pPr>
    </w:p>
    <w:p w14:paraId="627FD0A3">
      <w:pPr>
        <w:snapToGrid w:val="0"/>
        <w:spacing w:line="360" w:lineRule="auto"/>
        <w:ind w:right="480"/>
        <w:jc w:val="center"/>
        <w:rPr>
          <w:rFonts w:hint="eastAsia" w:ascii="仿宋" w:hAnsi="仿宋" w:eastAsia="仿宋" w:cs="仿宋"/>
          <w:b/>
          <w:color w:val="auto"/>
          <w:kern w:val="0"/>
          <w:sz w:val="32"/>
          <w:szCs w:val="32"/>
          <w:highlight w:val="none"/>
        </w:rPr>
      </w:pPr>
    </w:p>
    <w:p w14:paraId="1F367B9A">
      <w:pPr>
        <w:snapToGrid w:val="0"/>
        <w:spacing w:line="360" w:lineRule="auto"/>
        <w:ind w:right="480"/>
        <w:jc w:val="center"/>
        <w:rPr>
          <w:rFonts w:hint="eastAsia" w:ascii="仿宋" w:hAnsi="仿宋" w:eastAsia="仿宋" w:cs="仿宋"/>
          <w:b/>
          <w:color w:val="auto"/>
          <w:kern w:val="0"/>
          <w:sz w:val="32"/>
          <w:szCs w:val="32"/>
          <w:highlight w:val="none"/>
        </w:rPr>
      </w:pPr>
    </w:p>
    <w:p w14:paraId="0CED8CD3">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2507A18">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二、落实采购政策需满足的资格要求</w:t>
      </w:r>
    </w:p>
    <w:p w14:paraId="27C9969D">
      <w:pPr>
        <w:spacing w:line="360" w:lineRule="auto"/>
        <w:jc w:val="center"/>
        <w:rPr>
          <w:rFonts w:hint="eastAsia" w:ascii="宋体" w:hAnsi="宋体" w:eastAsia="宋体" w:cs="宋体"/>
          <w:color w:val="auto"/>
          <w:sz w:val="24"/>
          <w:highlight w:val="none"/>
          <w:u w:val="singl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公告落实采购政策需满足的资格要求选择提供相应的材料；未要求的，无需提供）</w:t>
      </w:r>
    </w:p>
    <w:p w14:paraId="12BD1B9F">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14:paraId="541B528F">
      <w:pPr>
        <w:snapToGrid w:val="0"/>
        <w:spacing w:line="360" w:lineRule="auto"/>
        <w:ind w:firstLine="480" w:firstLineChars="200"/>
        <w:rPr>
          <w:rFonts w:hint="eastAsia" w:ascii="仿宋" w:hAnsi="仿宋" w:eastAsia="仿宋" w:cs="仿宋"/>
          <w:color w:val="auto"/>
          <w:sz w:val="24"/>
          <w:highlight w:val="none"/>
        </w:rPr>
      </w:pPr>
    </w:p>
    <w:p w14:paraId="4814A1F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 xml:space="preserve"> （单位名称）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 xml:space="preserve">（项目名称）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C483AF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交易</w:t>
      </w:r>
      <w:r>
        <w:rPr>
          <w:rFonts w:hint="eastAsia" w:ascii="仿宋" w:hAnsi="仿宋" w:eastAsia="仿宋" w:cs="仿宋"/>
          <w:color w:val="auto"/>
          <w:sz w:val="24"/>
          <w:highlight w:val="none"/>
          <w:u w:val="single"/>
        </w:rPr>
        <w:t>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 xml:space="preserve">（企业名称）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p>
    <w:p w14:paraId="699B175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交易</w:t>
      </w:r>
      <w:r>
        <w:rPr>
          <w:rFonts w:hint="eastAsia" w:ascii="仿宋" w:hAnsi="仿宋" w:eastAsia="仿宋" w:cs="仿宋"/>
          <w:color w:val="auto"/>
          <w:sz w:val="24"/>
          <w:highlight w:val="none"/>
          <w:u w:val="single"/>
        </w:rPr>
        <w:t>文件中明确的所属行业）</w:t>
      </w:r>
      <w:r>
        <w:rPr>
          <w:rFonts w:hint="eastAsia" w:ascii="仿宋" w:hAnsi="仿宋" w:eastAsia="仿宋" w:cs="仿宋"/>
          <w:color w:val="auto"/>
          <w:sz w:val="24"/>
          <w:highlight w:val="none"/>
        </w:rPr>
        <w:t xml:space="preserve"> ；承建（承接）企业为</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C08390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660548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02532A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3937F4D">
      <w:pPr>
        <w:pStyle w:val="46"/>
        <w:rPr>
          <w:rFonts w:hint="eastAsia" w:ascii="仿宋" w:hAnsi="仿宋" w:eastAsia="仿宋" w:cs="仿宋"/>
        </w:rPr>
      </w:pPr>
    </w:p>
    <w:p w14:paraId="25F2A31E">
      <w:pPr>
        <w:snapToGrid w:val="0"/>
        <w:spacing w:line="360" w:lineRule="auto"/>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p>
    <w:p w14:paraId="57403623">
      <w:pPr>
        <w:snapToGrid w:val="0"/>
        <w:spacing w:line="360" w:lineRule="auto"/>
        <w:ind w:firstLine="6240" w:firstLineChars="26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527D22C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从业人员、营业收入、资产总额填报上一年度数据，无上一年度数据的新成立企业可不填报。</w:t>
      </w:r>
    </w:p>
    <w:p w14:paraId="6DDC8ABE">
      <w:pPr>
        <w:snapToGrid w:val="0"/>
        <w:spacing w:line="360" w:lineRule="auto"/>
        <w:ind w:firstLine="480" w:firstLineChars="200"/>
        <w:rPr>
          <w:rFonts w:hint="eastAsia" w:ascii="仿宋" w:hAnsi="仿宋" w:eastAsia="仿宋" w:cs="仿宋"/>
          <w:color w:val="auto"/>
          <w:sz w:val="24"/>
          <w:highlight w:val="none"/>
        </w:rPr>
      </w:pPr>
    </w:p>
    <w:p w14:paraId="7C9174D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3CA6CCA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文件中明确的所属行业”依据</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文件第二部分</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2242919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624C6D5">
      <w:pPr>
        <w:pStyle w:val="24"/>
        <w:rPr>
          <w:rFonts w:hint="eastAsia" w:ascii="仿宋" w:hAnsi="仿宋" w:eastAsia="仿宋" w:cs="仿宋"/>
        </w:rPr>
      </w:pPr>
    </w:p>
    <w:p w14:paraId="153D0B5B">
      <w:pPr>
        <w:spacing w:line="360" w:lineRule="auto"/>
        <w:jc w:val="both"/>
        <w:rPr>
          <w:rFonts w:hint="eastAsia" w:ascii="仿宋" w:hAnsi="仿宋" w:eastAsia="仿宋" w:cs="仿宋"/>
          <w:b/>
          <w:color w:val="auto"/>
          <w:sz w:val="32"/>
          <w:szCs w:val="32"/>
          <w:highlight w:val="none"/>
        </w:rPr>
      </w:pPr>
    </w:p>
    <w:p w14:paraId="576DAA1A">
      <w:pPr>
        <w:widowControl/>
        <w:spacing w:line="360" w:lineRule="auto"/>
        <w:ind w:firstLine="2249" w:firstLineChars="700"/>
        <w:jc w:val="both"/>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、本项目的特定资格要求</w:t>
      </w:r>
    </w:p>
    <w:p w14:paraId="1D618D0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公告本项目的特定资格要求提供相应的材料；未要求的，无需提供）</w:t>
      </w:r>
    </w:p>
    <w:p w14:paraId="4B5B2BB7">
      <w:pPr>
        <w:pStyle w:val="25"/>
        <w:rPr>
          <w:rFonts w:hint="eastAsia" w:ascii="仿宋" w:hAnsi="仿宋" w:eastAsia="仿宋" w:cs="仿宋"/>
        </w:rPr>
      </w:pPr>
    </w:p>
    <w:p w14:paraId="05D02FFC">
      <w:pPr>
        <w:rPr>
          <w:rFonts w:hint="eastAsia" w:ascii="仿宋" w:hAnsi="仿宋" w:eastAsia="仿宋" w:cs="仿宋"/>
          <w:color w:val="auto"/>
          <w:highlight w:val="none"/>
        </w:rPr>
      </w:pPr>
    </w:p>
    <w:p w14:paraId="6FA1D6B4">
      <w:pPr>
        <w:snapToGrid w:val="0"/>
        <w:spacing w:line="360" w:lineRule="auto"/>
        <w:ind w:right="480"/>
        <w:jc w:val="center"/>
        <w:rPr>
          <w:rFonts w:hint="eastAsia" w:ascii="仿宋" w:hAnsi="仿宋" w:eastAsia="仿宋" w:cs="仿宋"/>
          <w:b/>
          <w:color w:val="auto"/>
          <w:kern w:val="0"/>
          <w:sz w:val="32"/>
          <w:szCs w:val="32"/>
          <w:highlight w:val="none"/>
        </w:rPr>
      </w:pPr>
    </w:p>
    <w:p w14:paraId="161DA07C">
      <w:pPr>
        <w:snapToGrid w:val="0"/>
        <w:spacing w:line="360" w:lineRule="auto"/>
        <w:ind w:right="480"/>
        <w:jc w:val="center"/>
        <w:rPr>
          <w:rFonts w:hint="eastAsia" w:ascii="仿宋" w:hAnsi="仿宋" w:eastAsia="仿宋" w:cs="仿宋"/>
          <w:b/>
          <w:color w:val="auto"/>
          <w:kern w:val="0"/>
          <w:sz w:val="32"/>
          <w:szCs w:val="32"/>
          <w:highlight w:val="none"/>
        </w:rPr>
      </w:pPr>
    </w:p>
    <w:p w14:paraId="19587AC2">
      <w:pPr>
        <w:widowControl/>
        <w:spacing w:line="360" w:lineRule="auto"/>
        <w:ind w:firstLine="2249" w:firstLineChars="700"/>
        <w:jc w:val="both"/>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交易保证金递交证明</w:t>
      </w:r>
    </w:p>
    <w:p w14:paraId="714A1030">
      <w:pPr>
        <w:snapToGrid w:val="0"/>
        <w:spacing w:line="360" w:lineRule="auto"/>
        <w:ind w:right="480"/>
        <w:jc w:val="center"/>
        <w:rPr>
          <w:rFonts w:hint="eastAsia" w:ascii="仿宋" w:hAnsi="仿宋" w:eastAsia="仿宋" w:cs="仿宋"/>
          <w:b/>
          <w:color w:val="auto"/>
          <w:kern w:val="0"/>
          <w:sz w:val="32"/>
          <w:szCs w:val="32"/>
          <w:highlight w:val="none"/>
        </w:rPr>
      </w:pPr>
    </w:p>
    <w:p w14:paraId="0FC8C8AA">
      <w:pPr>
        <w:snapToGrid w:val="0"/>
        <w:spacing w:line="360" w:lineRule="auto"/>
        <w:ind w:right="480"/>
        <w:jc w:val="center"/>
        <w:rPr>
          <w:rFonts w:hint="eastAsia" w:ascii="仿宋" w:hAnsi="仿宋" w:eastAsia="仿宋" w:cs="仿宋"/>
          <w:b/>
          <w:color w:val="auto"/>
          <w:kern w:val="0"/>
          <w:sz w:val="32"/>
          <w:szCs w:val="32"/>
          <w:highlight w:val="none"/>
        </w:rPr>
      </w:pPr>
    </w:p>
    <w:p w14:paraId="099856EB">
      <w:pPr>
        <w:snapToGrid w:val="0"/>
        <w:spacing w:line="360" w:lineRule="auto"/>
        <w:ind w:right="480"/>
        <w:jc w:val="center"/>
        <w:rPr>
          <w:rFonts w:hint="eastAsia" w:ascii="仿宋" w:hAnsi="仿宋" w:eastAsia="仿宋" w:cs="仿宋"/>
          <w:b/>
          <w:color w:val="auto"/>
          <w:kern w:val="0"/>
          <w:sz w:val="32"/>
          <w:szCs w:val="32"/>
          <w:highlight w:val="none"/>
        </w:rPr>
      </w:pPr>
    </w:p>
    <w:p w14:paraId="2C2BBE40">
      <w:pPr>
        <w:snapToGrid w:val="0"/>
        <w:spacing w:line="360" w:lineRule="auto"/>
        <w:ind w:right="480"/>
        <w:jc w:val="center"/>
        <w:rPr>
          <w:rFonts w:hint="eastAsia" w:ascii="仿宋" w:hAnsi="仿宋" w:eastAsia="仿宋" w:cs="仿宋"/>
          <w:b/>
          <w:color w:val="auto"/>
          <w:kern w:val="0"/>
          <w:sz w:val="32"/>
          <w:szCs w:val="32"/>
          <w:highlight w:val="none"/>
        </w:rPr>
      </w:pPr>
    </w:p>
    <w:p w14:paraId="67A8D80B">
      <w:pPr>
        <w:snapToGrid w:val="0"/>
        <w:spacing w:line="360" w:lineRule="auto"/>
        <w:ind w:right="480"/>
        <w:jc w:val="center"/>
        <w:rPr>
          <w:rFonts w:hint="eastAsia" w:ascii="仿宋" w:hAnsi="仿宋" w:eastAsia="仿宋" w:cs="仿宋"/>
          <w:b/>
          <w:color w:val="auto"/>
          <w:kern w:val="0"/>
          <w:sz w:val="32"/>
          <w:szCs w:val="32"/>
          <w:highlight w:val="none"/>
        </w:rPr>
      </w:pPr>
    </w:p>
    <w:p w14:paraId="7188B882">
      <w:pPr>
        <w:rPr>
          <w:rFonts w:hint="eastAsia" w:ascii="仿宋" w:hAnsi="仿宋" w:eastAsia="仿宋" w:cs="仿宋"/>
          <w:b/>
          <w:color w:val="auto"/>
          <w:kern w:val="0"/>
          <w:sz w:val="36"/>
          <w:szCs w:val="36"/>
          <w:highlight w:val="none"/>
        </w:rPr>
      </w:pPr>
    </w:p>
    <w:p w14:paraId="3E3EA2F2">
      <w:pPr>
        <w:spacing w:line="360" w:lineRule="auto"/>
        <w:ind w:right="420" w:firstLine="3614" w:firstLineChars="1000"/>
        <w:rPr>
          <w:rFonts w:hint="eastAsia" w:ascii="仿宋" w:hAnsi="仿宋" w:eastAsia="仿宋" w:cs="仿宋"/>
          <w:b/>
          <w:color w:val="auto"/>
          <w:kern w:val="0"/>
          <w:sz w:val="36"/>
          <w:szCs w:val="36"/>
          <w:highlight w:val="none"/>
        </w:rPr>
      </w:pPr>
    </w:p>
    <w:p w14:paraId="0B8BDB86">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8AABEC5">
      <w:pPr>
        <w:spacing w:line="360" w:lineRule="auto"/>
        <w:jc w:val="center"/>
        <w:outlineLvl w:val="0"/>
        <w:rPr>
          <w:rFonts w:hint="eastAsia" w:ascii="仿宋" w:hAnsi="仿宋" w:eastAsia="仿宋" w:cs="仿宋"/>
          <w:b/>
          <w:color w:val="auto"/>
          <w:kern w:val="0"/>
          <w:sz w:val="24"/>
          <w:highlight w:val="none"/>
        </w:rPr>
      </w:pPr>
    </w:p>
    <w:p w14:paraId="0C7CB4F1">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63B2B0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EA77E7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（3）符合性审查资料</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highlight w:val="none"/>
        </w:rPr>
        <w:t>……………………………………………………………………（页码）</w:t>
      </w:r>
    </w:p>
    <w:p w14:paraId="7008DC0A">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评标标准相应的商务技术资料……………………………………………（页码）</w:t>
      </w:r>
    </w:p>
    <w:p w14:paraId="6DE6204F">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标的清单………………………………………………………………（页码）</w:t>
      </w:r>
    </w:p>
    <w:p w14:paraId="71239374">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（6）商务技术偏离表……………………………………………………………（页码）</w:t>
      </w:r>
    </w:p>
    <w:p w14:paraId="0FC4B02C">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采购供应商廉洁自律承诺书</w:t>
      </w:r>
      <w:r>
        <w:rPr>
          <w:rFonts w:hint="eastAsia" w:ascii="仿宋" w:hAnsi="仿宋" w:eastAsia="仿宋" w:cs="仿宋"/>
          <w:color w:val="auto"/>
          <w:sz w:val="24"/>
          <w:highlight w:val="none"/>
        </w:rPr>
        <w:t>………………………………………………（页码）</w:t>
      </w:r>
    </w:p>
    <w:p w14:paraId="0D806DEE">
      <w:pPr>
        <w:snapToGrid w:val="0"/>
        <w:spacing w:line="360" w:lineRule="auto"/>
        <w:jc w:val="center"/>
        <w:rPr>
          <w:rFonts w:hint="eastAsia" w:ascii="仿宋" w:hAnsi="仿宋" w:eastAsia="仿宋" w:cs="仿宋"/>
          <w:b/>
          <w:color w:val="auto"/>
          <w:kern w:val="0"/>
          <w:sz w:val="32"/>
          <w:szCs w:val="32"/>
          <w:highlight w:val="none"/>
          <w:lang w:val="zh-CN"/>
        </w:rPr>
      </w:pPr>
    </w:p>
    <w:p w14:paraId="5C5F930A">
      <w:pPr>
        <w:snapToGrid w:val="0"/>
        <w:spacing w:line="360" w:lineRule="auto"/>
        <w:jc w:val="center"/>
        <w:rPr>
          <w:rFonts w:hint="eastAsia" w:ascii="仿宋" w:hAnsi="仿宋" w:eastAsia="仿宋" w:cs="仿宋"/>
          <w:b/>
          <w:color w:val="auto"/>
          <w:kern w:val="0"/>
          <w:sz w:val="32"/>
          <w:szCs w:val="32"/>
          <w:highlight w:val="none"/>
          <w:lang w:val="zh-CN"/>
        </w:rPr>
      </w:pPr>
    </w:p>
    <w:p w14:paraId="7DD3EDE2">
      <w:pPr>
        <w:snapToGrid w:val="0"/>
        <w:spacing w:line="360" w:lineRule="auto"/>
        <w:jc w:val="center"/>
        <w:rPr>
          <w:rFonts w:hint="eastAsia" w:ascii="仿宋" w:hAnsi="仿宋" w:eastAsia="仿宋" w:cs="仿宋"/>
          <w:b/>
          <w:color w:val="auto"/>
          <w:kern w:val="0"/>
          <w:sz w:val="32"/>
          <w:szCs w:val="32"/>
          <w:highlight w:val="none"/>
          <w:lang w:val="zh-CN"/>
        </w:rPr>
      </w:pPr>
    </w:p>
    <w:p w14:paraId="291D4944">
      <w:pPr>
        <w:snapToGrid w:val="0"/>
        <w:spacing w:line="360" w:lineRule="auto"/>
        <w:jc w:val="center"/>
        <w:rPr>
          <w:rFonts w:hint="eastAsia" w:ascii="仿宋" w:hAnsi="仿宋" w:eastAsia="仿宋" w:cs="仿宋"/>
          <w:b/>
          <w:color w:val="auto"/>
          <w:kern w:val="0"/>
          <w:sz w:val="32"/>
          <w:szCs w:val="32"/>
          <w:highlight w:val="none"/>
          <w:lang w:val="zh-CN"/>
        </w:rPr>
      </w:pPr>
    </w:p>
    <w:p w14:paraId="179AAF3C">
      <w:pPr>
        <w:snapToGrid w:val="0"/>
        <w:spacing w:line="360" w:lineRule="auto"/>
        <w:jc w:val="center"/>
        <w:rPr>
          <w:rFonts w:hint="eastAsia" w:ascii="仿宋" w:hAnsi="仿宋" w:eastAsia="仿宋" w:cs="仿宋"/>
          <w:b/>
          <w:color w:val="auto"/>
          <w:kern w:val="0"/>
          <w:sz w:val="32"/>
          <w:szCs w:val="32"/>
          <w:highlight w:val="none"/>
          <w:lang w:val="zh-CN"/>
        </w:rPr>
      </w:pPr>
    </w:p>
    <w:p w14:paraId="3EFE4587">
      <w:pPr>
        <w:snapToGrid w:val="0"/>
        <w:spacing w:line="360" w:lineRule="auto"/>
        <w:jc w:val="center"/>
        <w:outlineLvl w:val="0"/>
        <w:rPr>
          <w:rFonts w:hint="eastAsia" w:ascii="仿宋" w:hAnsi="仿宋" w:eastAsia="仿宋" w:cs="仿宋"/>
          <w:b/>
          <w:color w:val="auto"/>
          <w:kern w:val="0"/>
          <w:sz w:val="32"/>
          <w:szCs w:val="32"/>
          <w:highlight w:val="none"/>
        </w:rPr>
      </w:pPr>
    </w:p>
    <w:p w14:paraId="5F460EE8">
      <w:pPr>
        <w:snapToGrid w:val="0"/>
        <w:spacing w:line="360" w:lineRule="auto"/>
        <w:jc w:val="center"/>
        <w:outlineLvl w:val="0"/>
        <w:rPr>
          <w:rFonts w:hint="eastAsia" w:ascii="仿宋" w:hAnsi="仿宋" w:eastAsia="仿宋" w:cs="仿宋"/>
          <w:b/>
          <w:color w:val="auto"/>
          <w:kern w:val="0"/>
          <w:sz w:val="32"/>
          <w:szCs w:val="32"/>
          <w:highlight w:val="none"/>
        </w:rPr>
      </w:pPr>
    </w:p>
    <w:p w14:paraId="40179C91">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E95D3DA">
      <w:pPr>
        <w:jc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eastAsia="zh-CN"/>
        </w:rPr>
        <w:t>响应</w:t>
      </w:r>
      <w:r>
        <w:rPr>
          <w:rFonts w:hint="eastAsia" w:ascii="仿宋" w:hAnsi="仿宋" w:eastAsia="仿宋" w:cs="仿宋"/>
          <w:b/>
          <w:color w:val="auto"/>
          <w:sz w:val="32"/>
          <w:szCs w:val="32"/>
          <w:highlight w:val="none"/>
        </w:rPr>
        <w:t>函</w:t>
      </w:r>
    </w:p>
    <w:p w14:paraId="681265E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2EF57D7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u w:val="single"/>
          <w:lang w:eastAsia="zh-CN"/>
        </w:rPr>
        <w:t>交易</w:t>
      </w:r>
      <w:r>
        <w:rPr>
          <w:rFonts w:hint="eastAsia" w:ascii="仿宋" w:hAnsi="仿宋" w:eastAsia="仿宋" w:cs="仿宋"/>
          <w:color w:val="auto"/>
          <w:sz w:val="24"/>
          <w:highlight w:val="none"/>
          <w:u w:val="single"/>
        </w:rPr>
        <w:t>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的有关活动，并对此项目进行</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。为此：</w:t>
      </w:r>
    </w:p>
    <w:p w14:paraId="7529D47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有效期从提交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有效期满之前均具有约束力。</w:t>
      </w:r>
    </w:p>
    <w:p w14:paraId="159F25B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包括以下内容：</w:t>
      </w:r>
    </w:p>
    <w:p w14:paraId="3D2528C8">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631D7175">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2.1.1承诺函；</w:t>
      </w:r>
    </w:p>
    <w:p w14:paraId="7ADC8642">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2.1.2落实政府采购政策需满足的资格要求（如果有）</w:t>
      </w:r>
      <w:r>
        <w:rPr>
          <w:rFonts w:hint="eastAsia" w:ascii="仿宋" w:hAnsi="仿宋" w:eastAsia="仿宋" w:cs="仿宋"/>
          <w:color w:val="auto"/>
          <w:sz w:val="24"/>
          <w:highlight w:val="none"/>
        </w:rPr>
        <w:t>；</w:t>
      </w:r>
    </w:p>
    <w:p w14:paraId="2E44C727">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2.1.3本项目的特定资格要求（如果有）</w:t>
      </w:r>
      <w:r>
        <w:rPr>
          <w:rFonts w:hint="eastAsia" w:ascii="仿宋" w:hAnsi="仿宋" w:eastAsia="仿宋" w:cs="仿宋"/>
          <w:color w:val="auto"/>
          <w:sz w:val="24"/>
          <w:highlight w:val="none"/>
        </w:rPr>
        <w:t>；</w:t>
      </w:r>
    </w:p>
    <w:p w14:paraId="24EF1F8F">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4185046">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r>
        <w:rPr>
          <w:rFonts w:hint="eastAsia" w:ascii="仿宋" w:hAnsi="仿宋" w:eastAsia="仿宋" w:cs="仿宋"/>
          <w:color w:val="auto"/>
          <w:sz w:val="24"/>
          <w:highlight w:val="none"/>
          <w:lang w:val="zh-CN"/>
        </w:rPr>
        <w:t xml:space="preserve"> </w:t>
      </w:r>
    </w:p>
    <w:p w14:paraId="5A15483B">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1ACF7C5">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2.2.3符合性审查资料；</w:t>
      </w:r>
    </w:p>
    <w:p w14:paraId="3318A197">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2.2.4评标标准相应的商务技术资料；</w:t>
      </w:r>
    </w:p>
    <w:p w14:paraId="0082DDC3">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标的清单；</w:t>
      </w:r>
    </w:p>
    <w:p w14:paraId="782CFEC6">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14:paraId="3B42560D">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2.2.7</w:t>
      </w:r>
      <w:r>
        <w:rPr>
          <w:rFonts w:hint="eastAsia" w:ascii="仿宋" w:hAnsi="仿宋" w:eastAsia="仿宋" w:cs="仿宋"/>
          <w:color w:val="auto"/>
          <w:sz w:val="24"/>
          <w:highlight w:val="none"/>
          <w:lang w:val="zh-CN"/>
        </w:rPr>
        <w:t>采购供应商廉洁自律承诺书</w:t>
      </w:r>
      <w:r>
        <w:rPr>
          <w:rFonts w:hint="eastAsia" w:ascii="仿宋" w:hAnsi="仿宋" w:eastAsia="仿宋" w:cs="仿宋"/>
          <w:color w:val="auto"/>
          <w:sz w:val="24"/>
          <w:highlight w:val="none"/>
        </w:rPr>
        <w:t>；</w:t>
      </w:r>
    </w:p>
    <w:p w14:paraId="3307BC5B">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B5C91F1">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2.3.1</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一览表（报价表）；</w:t>
      </w:r>
    </w:p>
    <w:p w14:paraId="2D29E867">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2.3.2中小企业声明函（如果有）</w:t>
      </w:r>
      <w:r>
        <w:rPr>
          <w:rFonts w:hint="eastAsia" w:ascii="仿宋" w:hAnsi="仿宋" w:eastAsia="仿宋" w:cs="仿宋"/>
          <w:color w:val="auto"/>
          <w:sz w:val="24"/>
          <w:highlight w:val="none"/>
        </w:rPr>
        <w:t>。</w:t>
      </w:r>
    </w:p>
    <w:p w14:paraId="65E65D3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的全部要求。</w:t>
      </w:r>
    </w:p>
    <w:p w14:paraId="1850576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，我方承诺：</w:t>
      </w:r>
    </w:p>
    <w:p w14:paraId="107C1640">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4.1在收到</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通知书后，在</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 xml:space="preserve">通知书规定的期限内与你方签订合同； </w:t>
      </w:r>
    </w:p>
    <w:p w14:paraId="34846F64">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3F9624F">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 xml:space="preserve">要求提交履约保证金； </w:t>
      </w:r>
    </w:p>
    <w:p w14:paraId="20F1ECD8">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90824D8">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CBBDD7A">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 xml:space="preserve">名称（电子签名）：                          </w:t>
      </w:r>
    </w:p>
    <w:p w14:paraId="3683BDBA">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注：按本格式和要求提供。</w:t>
      </w:r>
    </w:p>
    <w:p w14:paraId="09369671">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0AB1970A">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2B10879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018E7AC">
      <w:pPr>
        <w:snapToGrid w:val="0"/>
        <w:spacing w:line="360" w:lineRule="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w:t>
      </w:r>
    </w:p>
    <w:p w14:paraId="15D8DE2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9DFF8C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交易的一切事项，其法律后果由我方承担。</w:t>
      </w:r>
    </w:p>
    <w:p w14:paraId="6D84DBC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CEF1D7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72FC71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4CFDCD91">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38753F6E">
      <w:pPr>
        <w:snapToGrid w:val="0"/>
        <w:spacing w:line="360" w:lineRule="auto"/>
        <w:rPr>
          <w:rFonts w:hint="eastAsia" w:ascii="仿宋" w:hAnsi="仿宋" w:eastAsia="仿宋" w:cs="仿宋"/>
          <w:color w:val="auto"/>
          <w:sz w:val="24"/>
          <w:highlight w:val="none"/>
        </w:rPr>
      </w:pPr>
    </w:p>
    <w:p w14:paraId="0F113C2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32"/>
          <w:szCs w:val="32"/>
          <w:highlight w:val="none"/>
          <w:lang w:val="zh-CN"/>
        </w:rPr>
        <w:t xml:space="preserve">      </w:t>
      </w:r>
    </w:p>
    <w:p w14:paraId="5A614ED1">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w:t>
      </w:r>
      <w:r>
        <w:rPr>
          <w:rFonts w:hint="eastAsia" w:ascii="仿宋" w:hAnsi="仿宋" w:eastAsia="仿宋" w:cs="仿宋"/>
          <w:b/>
          <w:color w:val="auto"/>
          <w:sz w:val="30"/>
          <w:szCs w:val="30"/>
          <w:highlight w:val="none"/>
          <w:lang w:eastAsia="zh-CN"/>
        </w:rPr>
        <w:t>供应商</w:t>
      </w:r>
      <w:r>
        <w:rPr>
          <w:rFonts w:hint="eastAsia" w:ascii="仿宋" w:hAnsi="仿宋" w:eastAsia="仿宋" w:cs="仿宋"/>
          <w:b/>
          <w:color w:val="auto"/>
          <w:sz w:val="30"/>
          <w:szCs w:val="30"/>
          <w:highlight w:val="none"/>
        </w:rPr>
        <w:t>参加</w:t>
      </w:r>
      <w:r>
        <w:rPr>
          <w:rFonts w:hint="eastAsia" w:ascii="仿宋" w:hAnsi="仿宋" w:eastAsia="仿宋" w:cs="仿宋"/>
          <w:b/>
          <w:color w:val="auto"/>
          <w:sz w:val="30"/>
          <w:szCs w:val="30"/>
          <w:highlight w:val="none"/>
          <w:lang w:eastAsia="zh-CN"/>
        </w:rPr>
        <w:t>交易</w:t>
      </w:r>
      <w:r>
        <w:rPr>
          <w:rFonts w:hint="eastAsia" w:ascii="仿宋" w:hAnsi="仿宋" w:eastAsia="仿宋" w:cs="仿宋"/>
          <w:b/>
          <w:color w:val="auto"/>
          <w:sz w:val="30"/>
          <w:szCs w:val="30"/>
          <w:highlight w:val="none"/>
        </w:rPr>
        <w:t>）</w:t>
      </w:r>
    </w:p>
    <w:p w14:paraId="5F7391E3">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72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15B4A699">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219168FA">
            <w:pPr>
              <w:pStyle w:val="148"/>
              <w:adjustRightInd w:val="0"/>
              <w:spacing w:line="360" w:lineRule="auto"/>
              <w:rPr>
                <w:rFonts w:hint="eastAsia" w:ascii="仿宋" w:hAnsi="仿宋" w:eastAsia="仿宋" w:cs="仿宋"/>
                <w:bCs/>
                <w:color w:val="auto"/>
                <w:sz w:val="24"/>
                <w:highlight w:val="none"/>
              </w:rPr>
            </w:pPr>
          </w:p>
        </w:tc>
      </w:tr>
    </w:tbl>
    <w:p w14:paraId="220F020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5087F04">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1AB40A88">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C6037FC">
      <w:pPr>
        <w:jc w:val="center"/>
        <w:rPr>
          <w:rFonts w:hint="eastAsia" w:ascii="仿宋" w:hAnsi="仿宋" w:eastAsia="仿宋" w:cs="仿宋"/>
          <w:b/>
          <w:color w:val="auto"/>
          <w:kern w:val="0"/>
          <w:sz w:val="32"/>
          <w:szCs w:val="32"/>
          <w:highlight w:val="none"/>
        </w:rPr>
      </w:pPr>
    </w:p>
    <w:p w14:paraId="1D7EEE07">
      <w:pPr>
        <w:snapToGrid w:val="0"/>
        <w:spacing w:line="360" w:lineRule="auto"/>
        <w:rPr>
          <w:rFonts w:hint="eastAsia" w:ascii="仿宋" w:hAnsi="仿宋" w:eastAsia="仿宋" w:cs="仿宋"/>
          <w:color w:val="auto"/>
          <w:kern w:val="0"/>
          <w:sz w:val="24"/>
          <w:highlight w:val="none"/>
        </w:rPr>
      </w:pPr>
    </w:p>
    <w:p w14:paraId="4976EEE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、符合性审查资料</w:t>
      </w:r>
    </w:p>
    <w:p w14:paraId="2D9BBA3C">
      <w:pPr>
        <w:jc w:val="center"/>
        <w:rPr>
          <w:rFonts w:hint="eastAsia" w:ascii="仿宋" w:hAnsi="仿宋" w:eastAsia="仿宋" w:cs="仿宋"/>
          <w:b/>
          <w:color w:val="auto"/>
          <w:kern w:val="0"/>
          <w:sz w:val="32"/>
          <w:szCs w:val="32"/>
          <w:highlight w:val="none"/>
        </w:rPr>
      </w:pPr>
    </w:p>
    <w:tbl>
      <w:tblPr>
        <w:tblStyle w:val="6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4D1B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3998F8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672" w:type="dxa"/>
            <w:vAlign w:val="center"/>
          </w:tcPr>
          <w:p w14:paraId="7AA35AC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26526EA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7889D45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中的</w:t>
            </w:r>
          </w:p>
          <w:p w14:paraId="1E70969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E08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D6AC6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672" w:type="dxa"/>
            <w:vAlign w:val="center"/>
          </w:tcPr>
          <w:p w14:paraId="75AACBB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要求签署、盖章。</w:t>
            </w:r>
          </w:p>
        </w:tc>
        <w:tc>
          <w:tcPr>
            <w:tcW w:w="2551" w:type="dxa"/>
            <w:vAlign w:val="center"/>
          </w:tcPr>
          <w:p w14:paraId="247188C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的组成部分</w:t>
            </w:r>
          </w:p>
        </w:tc>
        <w:tc>
          <w:tcPr>
            <w:tcW w:w="1418" w:type="dxa"/>
            <w:vAlign w:val="center"/>
          </w:tcPr>
          <w:p w14:paraId="6CA2424C">
            <w:pPr>
              <w:jc w:val="center"/>
              <w:rPr>
                <w:rFonts w:hint="eastAsia" w:ascii="仿宋" w:hAnsi="仿宋" w:eastAsia="仿宋" w:cs="仿宋"/>
                <w:color w:val="auto"/>
                <w:sz w:val="24"/>
                <w:highlight w:val="none"/>
              </w:rPr>
            </w:pPr>
          </w:p>
          <w:p w14:paraId="722A265A">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p>
          <w:p w14:paraId="19464CB1">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640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2E150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672" w:type="dxa"/>
            <w:vAlign w:val="center"/>
          </w:tcPr>
          <w:p w14:paraId="4B26C1A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中承诺的</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有效期不少于</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中载明的</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有效期。</w:t>
            </w:r>
          </w:p>
        </w:tc>
        <w:tc>
          <w:tcPr>
            <w:tcW w:w="2551" w:type="dxa"/>
            <w:vAlign w:val="center"/>
          </w:tcPr>
          <w:p w14:paraId="492A564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函</w:t>
            </w:r>
          </w:p>
        </w:tc>
        <w:tc>
          <w:tcPr>
            <w:tcW w:w="1418" w:type="dxa"/>
            <w:vAlign w:val="center"/>
          </w:tcPr>
          <w:p w14:paraId="3464BC2C">
            <w:pPr>
              <w:jc w:val="center"/>
              <w:rPr>
                <w:rFonts w:hint="eastAsia" w:ascii="仿宋" w:hAnsi="仿宋" w:eastAsia="仿宋" w:cs="仿宋"/>
                <w:color w:val="auto"/>
                <w:highlight w:val="none"/>
                <w:lang w:val="en-US"/>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122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89889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672" w:type="dxa"/>
            <w:vAlign w:val="center"/>
          </w:tcPr>
          <w:p w14:paraId="3419E56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满足</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的其它实质性要求。</w:t>
            </w:r>
          </w:p>
        </w:tc>
        <w:tc>
          <w:tcPr>
            <w:tcW w:w="2551" w:type="dxa"/>
            <w:vAlign w:val="center"/>
          </w:tcPr>
          <w:p w14:paraId="392E1D2D">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其它实质性要求相应的材料（“▲” 系指实质性要求条款，</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无其它实质性要求的，无需提供）</w:t>
            </w:r>
          </w:p>
        </w:tc>
        <w:tc>
          <w:tcPr>
            <w:tcW w:w="1418" w:type="dxa"/>
            <w:vAlign w:val="center"/>
          </w:tcPr>
          <w:p w14:paraId="7B20F9A3">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556EBCF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697C05C">
      <w:pPr>
        <w:jc w:val="center"/>
        <w:rPr>
          <w:rFonts w:hint="eastAsia" w:ascii="仿宋" w:hAnsi="仿宋" w:eastAsia="仿宋" w:cs="仿宋"/>
          <w:b/>
          <w:color w:val="auto"/>
          <w:kern w:val="0"/>
          <w:sz w:val="32"/>
          <w:szCs w:val="32"/>
          <w:highlight w:val="none"/>
        </w:rPr>
      </w:pPr>
    </w:p>
    <w:p w14:paraId="6779A7F1">
      <w:pPr>
        <w:jc w:val="center"/>
        <w:rPr>
          <w:rFonts w:hint="eastAsia" w:ascii="仿宋" w:hAnsi="仿宋" w:eastAsia="仿宋" w:cs="仿宋"/>
          <w:b/>
          <w:color w:val="auto"/>
          <w:kern w:val="0"/>
          <w:sz w:val="32"/>
          <w:szCs w:val="32"/>
          <w:highlight w:val="none"/>
          <w:lang w:eastAsia="zh-CN"/>
        </w:rPr>
      </w:pPr>
    </w:p>
    <w:p w14:paraId="29216867">
      <w:pPr>
        <w:jc w:val="center"/>
        <w:rPr>
          <w:rFonts w:hint="eastAsia" w:ascii="仿宋" w:hAnsi="仿宋" w:eastAsia="仿宋" w:cs="仿宋"/>
          <w:b/>
          <w:color w:val="auto"/>
          <w:kern w:val="0"/>
          <w:sz w:val="32"/>
          <w:szCs w:val="32"/>
          <w:highlight w:val="none"/>
          <w:lang w:eastAsia="zh-CN"/>
        </w:rPr>
      </w:pPr>
    </w:p>
    <w:p w14:paraId="31D6883C">
      <w:pPr>
        <w:jc w:val="center"/>
        <w:rPr>
          <w:rFonts w:hint="eastAsia" w:ascii="仿宋" w:hAnsi="仿宋" w:eastAsia="仿宋" w:cs="仿宋"/>
          <w:b/>
          <w:color w:val="auto"/>
          <w:kern w:val="0"/>
          <w:sz w:val="32"/>
          <w:szCs w:val="32"/>
          <w:highlight w:val="none"/>
          <w:lang w:eastAsia="zh-CN"/>
        </w:rPr>
      </w:pPr>
    </w:p>
    <w:p w14:paraId="3E744E95">
      <w:pPr>
        <w:jc w:val="center"/>
        <w:rPr>
          <w:rFonts w:hint="eastAsia" w:ascii="仿宋" w:hAnsi="仿宋" w:eastAsia="仿宋" w:cs="仿宋"/>
          <w:b/>
          <w:color w:val="auto"/>
          <w:kern w:val="0"/>
          <w:sz w:val="32"/>
          <w:szCs w:val="32"/>
          <w:highlight w:val="none"/>
          <w:lang w:eastAsia="zh-CN"/>
        </w:rPr>
      </w:pPr>
    </w:p>
    <w:p w14:paraId="0D40B696">
      <w:pPr>
        <w:jc w:val="center"/>
        <w:rPr>
          <w:rFonts w:hint="eastAsia" w:ascii="仿宋" w:hAnsi="仿宋" w:eastAsia="仿宋" w:cs="仿宋"/>
          <w:b/>
          <w:color w:val="auto"/>
          <w:kern w:val="0"/>
          <w:sz w:val="32"/>
          <w:szCs w:val="32"/>
          <w:highlight w:val="none"/>
          <w:lang w:eastAsia="zh-CN"/>
        </w:rPr>
      </w:pPr>
    </w:p>
    <w:p w14:paraId="3755DB7F">
      <w:pPr>
        <w:jc w:val="center"/>
        <w:rPr>
          <w:rFonts w:hint="eastAsia" w:ascii="仿宋" w:hAnsi="仿宋" w:eastAsia="仿宋" w:cs="仿宋"/>
          <w:b/>
          <w:color w:val="auto"/>
          <w:kern w:val="0"/>
          <w:sz w:val="32"/>
          <w:szCs w:val="32"/>
          <w:highlight w:val="none"/>
          <w:lang w:eastAsia="zh-CN"/>
        </w:rPr>
      </w:pPr>
    </w:p>
    <w:p w14:paraId="0A40BABA">
      <w:pPr>
        <w:jc w:val="center"/>
        <w:rPr>
          <w:rFonts w:hint="eastAsia" w:ascii="仿宋" w:hAnsi="仿宋" w:eastAsia="仿宋" w:cs="仿宋"/>
          <w:b/>
          <w:color w:val="auto"/>
          <w:kern w:val="0"/>
          <w:sz w:val="32"/>
          <w:szCs w:val="32"/>
          <w:highlight w:val="none"/>
          <w:lang w:eastAsia="zh-CN"/>
        </w:rPr>
      </w:pPr>
    </w:p>
    <w:p w14:paraId="2DCC0462">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、评标标准相应的商务技术资料</w:t>
      </w:r>
    </w:p>
    <w:p w14:paraId="48E77EF1">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第四部分评标办法前附表中“</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中评标标准相应的商务技术资料目录”提供资料。）</w:t>
      </w:r>
    </w:p>
    <w:p w14:paraId="0CE17199">
      <w:pPr>
        <w:jc w:val="center"/>
        <w:rPr>
          <w:rFonts w:hint="eastAsia" w:ascii="仿宋" w:hAnsi="仿宋" w:eastAsia="仿宋" w:cs="仿宋"/>
          <w:b/>
          <w:color w:val="auto"/>
          <w:kern w:val="0"/>
          <w:sz w:val="32"/>
          <w:szCs w:val="32"/>
          <w:highlight w:val="none"/>
        </w:rPr>
      </w:pPr>
    </w:p>
    <w:p w14:paraId="69952398">
      <w:pPr>
        <w:jc w:val="center"/>
        <w:rPr>
          <w:rFonts w:hint="eastAsia" w:ascii="仿宋" w:hAnsi="仿宋" w:eastAsia="仿宋" w:cs="仿宋"/>
          <w:b/>
          <w:color w:val="auto"/>
          <w:kern w:val="0"/>
          <w:sz w:val="32"/>
          <w:szCs w:val="32"/>
          <w:highlight w:val="none"/>
        </w:rPr>
      </w:pPr>
    </w:p>
    <w:p w14:paraId="0C5A88FD">
      <w:pPr>
        <w:jc w:val="center"/>
        <w:rPr>
          <w:rFonts w:hint="eastAsia" w:ascii="仿宋" w:hAnsi="仿宋" w:eastAsia="仿宋" w:cs="仿宋"/>
          <w:b/>
          <w:color w:val="auto"/>
          <w:kern w:val="0"/>
          <w:sz w:val="32"/>
          <w:szCs w:val="32"/>
          <w:highlight w:val="none"/>
        </w:rPr>
      </w:pPr>
    </w:p>
    <w:p w14:paraId="6ACBCB1B">
      <w:pPr>
        <w:jc w:val="center"/>
        <w:rPr>
          <w:rFonts w:hint="eastAsia" w:ascii="仿宋" w:hAnsi="仿宋" w:eastAsia="仿宋" w:cs="仿宋"/>
          <w:b/>
          <w:color w:val="auto"/>
          <w:kern w:val="0"/>
          <w:sz w:val="32"/>
          <w:szCs w:val="32"/>
          <w:highlight w:val="none"/>
        </w:rPr>
      </w:pPr>
    </w:p>
    <w:p w14:paraId="73C4D98A">
      <w:pPr>
        <w:jc w:val="center"/>
        <w:rPr>
          <w:rFonts w:hint="eastAsia" w:ascii="仿宋" w:hAnsi="仿宋" w:eastAsia="仿宋" w:cs="仿宋"/>
          <w:b/>
          <w:color w:val="auto"/>
          <w:kern w:val="0"/>
          <w:sz w:val="32"/>
          <w:szCs w:val="32"/>
          <w:highlight w:val="none"/>
        </w:rPr>
      </w:pPr>
    </w:p>
    <w:p w14:paraId="62394409">
      <w:pPr>
        <w:jc w:val="center"/>
        <w:rPr>
          <w:rFonts w:hint="eastAsia" w:ascii="仿宋" w:hAnsi="仿宋" w:eastAsia="仿宋" w:cs="仿宋"/>
          <w:b/>
          <w:color w:val="auto"/>
          <w:kern w:val="0"/>
          <w:sz w:val="32"/>
          <w:szCs w:val="32"/>
          <w:highlight w:val="none"/>
        </w:rPr>
      </w:pPr>
    </w:p>
    <w:p w14:paraId="41FF48DD">
      <w:pPr>
        <w:jc w:val="center"/>
        <w:rPr>
          <w:rFonts w:hint="eastAsia" w:ascii="仿宋" w:hAnsi="仿宋" w:eastAsia="仿宋" w:cs="仿宋"/>
          <w:b/>
          <w:color w:val="auto"/>
          <w:kern w:val="0"/>
          <w:sz w:val="32"/>
          <w:szCs w:val="32"/>
          <w:highlight w:val="none"/>
        </w:rPr>
      </w:pPr>
    </w:p>
    <w:p w14:paraId="5C5133D4">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eastAsia="zh-CN"/>
        </w:rPr>
        <w:t>交易</w:t>
      </w:r>
      <w:r>
        <w:rPr>
          <w:rFonts w:hint="eastAsia" w:ascii="仿宋" w:hAnsi="仿宋" w:eastAsia="仿宋" w:cs="仿宋"/>
          <w:b/>
          <w:color w:val="auto"/>
          <w:kern w:val="0"/>
          <w:sz w:val="32"/>
          <w:szCs w:val="32"/>
          <w:highlight w:val="none"/>
        </w:rPr>
        <w:t>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F1A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B6981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2EA0D8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0754016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A30F58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62D35E4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26CB410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0D9BE9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39FA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BB4A2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569DEC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2EE54C1">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D2AF9D">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CBFAB53">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78F4C07">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86DBE38">
            <w:pPr>
              <w:spacing w:line="360" w:lineRule="auto"/>
              <w:jc w:val="center"/>
              <w:rPr>
                <w:rFonts w:hint="eastAsia" w:ascii="仿宋" w:hAnsi="仿宋" w:eastAsia="仿宋" w:cs="仿宋"/>
                <w:color w:val="auto"/>
                <w:sz w:val="24"/>
                <w:highlight w:val="none"/>
              </w:rPr>
            </w:pPr>
          </w:p>
        </w:tc>
      </w:tr>
      <w:tr w14:paraId="0DAB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87D98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450825D">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5E77D62">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70874A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D1230BD">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2E54A20">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F315841">
            <w:pPr>
              <w:spacing w:line="360" w:lineRule="auto"/>
              <w:jc w:val="center"/>
              <w:rPr>
                <w:rFonts w:hint="eastAsia" w:ascii="仿宋" w:hAnsi="仿宋" w:eastAsia="仿宋" w:cs="仿宋"/>
                <w:color w:val="auto"/>
                <w:sz w:val="24"/>
                <w:highlight w:val="none"/>
              </w:rPr>
            </w:pPr>
          </w:p>
        </w:tc>
      </w:tr>
      <w:tr w14:paraId="7C6D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4146A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2FDB8FB">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927EE3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AFD92E3">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34C600F">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6D51278">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BEC6852">
            <w:pPr>
              <w:spacing w:line="360" w:lineRule="auto"/>
              <w:jc w:val="center"/>
              <w:rPr>
                <w:rFonts w:hint="eastAsia" w:ascii="仿宋" w:hAnsi="仿宋" w:eastAsia="仿宋" w:cs="仿宋"/>
                <w:color w:val="auto"/>
                <w:sz w:val="24"/>
                <w:highlight w:val="none"/>
              </w:rPr>
            </w:pPr>
          </w:p>
        </w:tc>
      </w:tr>
    </w:tbl>
    <w:p w14:paraId="44F9BED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1195D4B">
      <w:pPr>
        <w:jc w:val="center"/>
        <w:rPr>
          <w:rFonts w:hint="eastAsia" w:ascii="仿宋" w:hAnsi="仿宋" w:eastAsia="仿宋" w:cs="仿宋"/>
          <w:b/>
          <w:color w:val="auto"/>
          <w:kern w:val="0"/>
          <w:sz w:val="32"/>
          <w:szCs w:val="32"/>
          <w:highlight w:val="none"/>
        </w:rPr>
      </w:pPr>
    </w:p>
    <w:p w14:paraId="53E19BC3">
      <w:pPr>
        <w:jc w:val="center"/>
        <w:rPr>
          <w:rFonts w:hint="eastAsia" w:ascii="仿宋" w:hAnsi="仿宋" w:eastAsia="仿宋" w:cs="仿宋"/>
          <w:b/>
          <w:color w:val="auto"/>
          <w:kern w:val="0"/>
          <w:sz w:val="32"/>
          <w:szCs w:val="32"/>
          <w:highlight w:val="none"/>
        </w:rPr>
      </w:pPr>
    </w:p>
    <w:p w14:paraId="36E568E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六</w:t>
      </w:r>
      <w:r>
        <w:rPr>
          <w:rFonts w:hint="eastAsia" w:ascii="仿宋" w:hAnsi="仿宋" w:eastAsia="仿宋" w:cs="仿宋"/>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1AA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2DD5E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77F8A15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交易文件</w:t>
            </w:r>
            <w:r>
              <w:rPr>
                <w:rFonts w:hint="eastAsia" w:ascii="仿宋" w:hAnsi="仿宋" w:eastAsia="仿宋" w:cs="仿宋"/>
                <w:b/>
                <w:bCs/>
                <w:color w:val="auto"/>
                <w:sz w:val="24"/>
                <w:highlight w:val="none"/>
              </w:rPr>
              <w:t>章节及具体内容</w:t>
            </w:r>
          </w:p>
        </w:tc>
        <w:tc>
          <w:tcPr>
            <w:tcW w:w="3546" w:type="dxa"/>
          </w:tcPr>
          <w:p w14:paraId="0467B3D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章节及具体内容</w:t>
            </w:r>
          </w:p>
        </w:tc>
        <w:tc>
          <w:tcPr>
            <w:tcW w:w="1276" w:type="dxa"/>
          </w:tcPr>
          <w:p w14:paraId="4F1539C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4F0A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E537B2">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4E3B4BC3">
            <w:pPr>
              <w:jc w:val="center"/>
              <w:rPr>
                <w:rFonts w:hint="eastAsia" w:ascii="仿宋" w:hAnsi="仿宋" w:eastAsia="仿宋" w:cs="仿宋"/>
                <w:b/>
                <w:color w:val="auto"/>
                <w:kern w:val="0"/>
                <w:sz w:val="32"/>
                <w:szCs w:val="32"/>
                <w:highlight w:val="none"/>
              </w:rPr>
            </w:pPr>
          </w:p>
        </w:tc>
        <w:tc>
          <w:tcPr>
            <w:tcW w:w="3546" w:type="dxa"/>
          </w:tcPr>
          <w:p w14:paraId="795C5D16">
            <w:pPr>
              <w:jc w:val="center"/>
              <w:rPr>
                <w:rFonts w:hint="eastAsia" w:ascii="仿宋" w:hAnsi="仿宋" w:eastAsia="仿宋" w:cs="仿宋"/>
                <w:b/>
                <w:color w:val="auto"/>
                <w:kern w:val="0"/>
                <w:sz w:val="32"/>
                <w:szCs w:val="32"/>
                <w:highlight w:val="none"/>
              </w:rPr>
            </w:pPr>
          </w:p>
        </w:tc>
        <w:tc>
          <w:tcPr>
            <w:tcW w:w="1276" w:type="dxa"/>
          </w:tcPr>
          <w:p w14:paraId="72473C3C">
            <w:pPr>
              <w:jc w:val="center"/>
              <w:rPr>
                <w:rFonts w:hint="eastAsia" w:ascii="仿宋" w:hAnsi="仿宋" w:eastAsia="仿宋" w:cs="仿宋"/>
                <w:b/>
                <w:color w:val="auto"/>
                <w:kern w:val="0"/>
                <w:sz w:val="32"/>
                <w:szCs w:val="32"/>
                <w:highlight w:val="none"/>
              </w:rPr>
            </w:pPr>
          </w:p>
        </w:tc>
      </w:tr>
      <w:tr w14:paraId="3DC5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53E41C">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1CD87059">
            <w:pPr>
              <w:jc w:val="center"/>
              <w:rPr>
                <w:rFonts w:hint="eastAsia" w:ascii="仿宋" w:hAnsi="仿宋" w:eastAsia="仿宋" w:cs="仿宋"/>
                <w:b/>
                <w:color w:val="auto"/>
                <w:kern w:val="0"/>
                <w:sz w:val="32"/>
                <w:szCs w:val="32"/>
                <w:highlight w:val="none"/>
              </w:rPr>
            </w:pPr>
          </w:p>
        </w:tc>
        <w:tc>
          <w:tcPr>
            <w:tcW w:w="3546" w:type="dxa"/>
          </w:tcPr>
          <w:p w14:paraId="373AD220">
            <w:pPr>
              <w:jc w:val="center"/>
              <w:rPr>
                <w:rFonts w:hint="eastAsia" w:ascii="仿宋" w:hAnsi="仿宋" w:eastAsia="仿宋" w:cs="仿宋"/>
                <w:b/>
                <w:color w:val="auto"/>
                <w:kern w:val="0"/>
                <w:sz w:val="32"/>
                <w:szCs w:val="32"/>
                <w:highlight w:val="none"/>
              </w:rPr>
            </w:pPr>
          </w:p>
        </w:tc>
        <w:tc>
          <w:tcPr>
            <w:tcW w:w="1276" w:type="dxa"/>
          </w:tcPr>
          <w:p w14:paraId="2DD95480">
            <w:pPr>
              <w:jc w:val="center"/>
              <w:rPr>
                <w:rFonts w:hint="eastAsia" w:ascii="仿宋" w:hAnsi="仿宋" w:eastAsia="仿宋" w:cs="仿宋"/>
                <w:b/>
                <w:color w:val="auto"/>
                <w:kern w:val="0"/>
                <w:sz w:val="32"/>
                <w:szCs w:val="32"/>
                <w:highlight w:val="none"/>
              </w:rPr>
            </w:pPr>
          </w:p>
        </w:tc>
      </w:tr>
      <w:tr w14:paraId="4559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1D43F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2A30377F">
            <w:pPr>
              <w:jc w:val="center"/>
              <w:rPr>
                <w:rFonts w:hint="eastAsia" w:ascii="仿宋" w:hAnsi="仿宋" w:eastAsia="仿宋" w:cs="仿宋"/>
                <w:b/>
                <w:color w:val="auto"/>
                <w:kern w:val="0"/>
                <w:sz w:val="32"/>
                <w:szCs w:val="32"/>
                <w:highlight w:val="none"/>
              </w:rPr>
            </w:pPr>
          </w:p>
        </w:tc>
        <w:tc>
          <w:tcPr>
            <w:tcW w:w="3546" w:type="dxa"/>
          </w:tcPr>
          <w:p w14:paraId="59CFE688">
            <w:pPr>
              <w:jc w:val="center"/>
              <w:rPr>
                <w:rFonts w:hint="eastAsia" w:ascii="仿宋" w:hAnsi="仿宋" w:eastAsia="仿宋" w:cs="仿宋"/>
                <w:b/>
                <w:color w:val="auto"/>
                <w:kern w:val="0"/>
                <w:sz w:val="32"/>
                <w:szCs w:val="32"/>
                <w:highlight w:val="none"/>
              </w:rPr>
            </w:pPr>
          </w:p>
        </w:tc>
        <w:tc>
          <w:tcPr>
            <w:tcW w:w="1276" w:type="dxa"/>
          </w:tcPr>
          <w:p w14:paraId="1D411B96">
            <w:pPr>
              <w:jc w:val="center"/>
              <w:rPr>
                <w:rFonts w:hint="eastAsia" w:ascii="仿宋" w:hAnsi="仿宋" w:eastAsia="仿宋" w:cs="仿宋"/>
                <w:b/>
                <w:color w:val="auto"/>
                <w:kern w:val="0"/>
                <w:sz w:val="32"/>
                <w:szCs w:val="32"/>
                <w:highlight w:val="none"/>
              </w:rPr>
            </w:pPr>
          </w:p>
        </w:tc>
      </w:tr>
    </w:tbl>
    <w:p w14:paraId="0E211FFF">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保证：除商务技术偏离表列出的偏离外，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的全部要求</w:t>
      </w:r>
    </w:p>
    <w:p w14:paraId="59C5FF6B">
      <w:pPr>
        <w:jc w:val="center"/>
        <w:rPr>
          <w:rFonts w:hint="eastAsia" w:ascii="仿宋" w:hAnsi="仿宋" w:eastAsia="仿宋" w:cs="仿宋"/>
          <w:b/>
          <w:color w:val="auto"/>
          <w:kern w:val="0"/>
          <w:sz w:val="32"/>
          <w:szCs w:val="32"/>
          <w:highlight w:val="none"/>
        </w:rPr>
      </w:pPr>
    </w:p>
    <w:p w14:paraId="734D5E0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4249D6E">
      <w:pPr>
        <w:jc w:val="center"/>
        <w:rPr>
          <w:rFonts w:hint="eastAsia" w:ascii="仿宋" w:hAnsi="仿宋" w:eastAsia="仿宋" w:cs="仿宋"/>
          <w:b/>
          <w:color w:val="auto"/>
          <w:kern w:val="0"/>
          <w:sz w:val="32"/>
          <w:szCs w:val="32"/>
          <w:highlight w:val="none"/>
        </w:rPr>
      </w:pPr>
    </w:p>
    <w:p w14:paraId="45AA6917">
      <w:pP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br w:type="page"/>
      </w:r>
    </w:p>
    <w:p w14:paraId="7BCB4E27">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eastAsia="zh-CN"/>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采购供应商廉洁自律承诺书</w:t>
      </w:r>
    </w:p>
    <w:p w14:paraId="178CF4BB">
      <w:pPr>
        <w:snapToGrid w:val="0"/>
        <w:spacing w:line="360" w:lineRule="auto"/>
        <w:rPr>
          <w:rFonts w:hint="eastAsia" w:ascii="仿宋" w:hAnsi="仿宋" w:eastAsia="仿宋" w:cs="仿宋"/>
          <w:color w:val="auto"/>
          <w:sz w:val="24"/>
          <w:highlight w:val="none"/>
        </w:rPr>
      </w:pPr>
    </w:p>
    <w:p w14:paraId="4BA2268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5E2E715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项目交易要求参加响应。在这次响应过程中和成交后，我们将严格遵守国家法律法规要求，并郑重承诺：</w:t>
      </w:r>
    </w:p>
    <w:p w14:paraId="76653BE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AED441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4DB1B3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23A173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EC4DBB0">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0DA61EB">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08FBDF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六、严格遵守相关法律法规，诚实守信，合法经营，坚决抵制各种违法违纪行为。 </w:t>
      </w:r>
    </w:p>
    <w:p w14:paraId="5F73C97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40112E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419A54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58259E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F1C32B3">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6D96A36C">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CF728EE">
      <w:pPr>
        <w:spacing w:line="360" w:lineRule="auto"/>
        <w:jc w:val="center"/>
        <w:rPr>
          <w:rFonts w:hint="eastAsia" w:ascii="仿宋" w:hAnsi="仿宋" w:eastAsia="仿宋" w:cs="仿宋"/>
          <w:b/>
          <w:bCs/>
          <w:color w:val="auto"/>
          <w:sz w:val="24"/>
          <w:highlight w:val="none"/>
        </w:rPr>
      </w:pPr>
    </w:p>
    <w:p w14:paraId="2467801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A04EF97">
      <w:pPr>
        <w:spacing w:line="360" w:lineRule="auto"/>
        <w:jc w:val="center"/>
        <w:rPr>
          <w:rFonts w:hint="eastAsia" w:ascii="仿宋" w:hAnsi="仿宋" w:eastAsia="仿宋" w:cs="仿宋"/>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226A4DAB">
      <w:pPr>
        <w:spacing w:line="360" w:lineRule="auto"/>
        <w:jc w:val="center"/>
        <w:outlineLvl w:val="0"/>
        <w:rPr>
          <w:rFonts w:hint="eastAsia" w:ascii="仿宋" w:hAnsi="仿宋" w:eastAsia="仿宋" w:cs="仿宋"/>
          <w:b/>
          <w:color w:val="auto"/>
          <w:kern w:val="0"/>
          <w:sz w:val="36"/>
          <w:szCs w:val="36"/>
          <w:highlight w:val="none"/>
        </w:rPr>
      </w:pPr>
    </w:p>
    <w:p w14:paraId="7172E38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901249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5425595">
      <w:pPr>
        <w:spacing w:line="360" w:lineRule="auto"/>
        <w:jc w:val="center"/>
        <w:outlineLvl w:val="0"/>
        <w:rPr>
          <w:rFonts w:hint="eastAsia" w:ascii="仿宋" w:hAnsi="仿宋" w:eastAsia="仿宋" w:cs="仿宋"/>
          <w:b/>
          <w:color w:val="auto"/>
          <w:kern w:val="0"/>
          <w:sz w:val="36"/>
          <w:szCs w:val="36"/>
          <w:highlight w:val="none"/>
        </w:rPr>
      </w:pPr>
    </w:p>
    <w:p w14:paraId="4904539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一览表（报价表）………………………………………………………（页码）</w:t>
      </w:r>
    </w:p>
    <w:p w14:paraId="3B19FAFC">
      <w:pPr>
        <w:snapToGrid w:val="0"/>
        <w:spacing w:line="360" w:lineRule="auto"/>
        <w:ind w:right="480"/>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lang w:eastAsia="zh-CN"/>
        </w:rPr>
        <w:t>（2）中小企业声明函</w:t>
      </w:r>
      <w:r>
        <w:rPr>
          <w:rFonts w:hint="eastAsia" w:ascii="仿宋" w:hAnsi="仿宋" w:eastAsia="仿宋" w:cs="仿宋"/>
          <w:color w:val="auto"/>
          <w:sz w:val="24"/>
          <w:highlight w:val="none"/>
        </w:rPr>
        <w:t>……………………………………………………………（页码）</w:t>
      </w:r>
    </w:p>
    <w:p w14:paraId="7A30178E">
      <w:pPr>
        <w:snapToGrid w:val="0"/>
        <w:spacing w:line="360" w:lineRule="auto"/>
        <w:ind w:right="480"/>
        <w:jc w:val="center"/>
        <w:rPr>
          <w:rFonts w:hint="eastAsia" w:ascii="仿宋" w:hAnsi="仿宋" w:eastAsia="仿宋" w:cs="仿宋"/>
          <w:b/>
          <w:color w:val="auto"/>
          <w:kern w:val="0"/>
          <w:sz w:val="32"/>
          <w:szCs w:val="32"/>
          <w:highlight w:val="none"/>
        </w:rPr>
      </w:pPr>
    </w:p>
    <w:p w14:paraId="4E17C082">
      <w:pPr>
        <w:snapToGrid w:val="0"/>
        <w:spacing w:line="360" w:lineRule="auto"/>
        <w:ind w:right="480"/>
        <w:jc w:val="center"/>
        <w:rPr>
          <w:rFonts w:hint="eastAsia" w:ascii="仿宋" w:hAnsi="仿宋" w:eastAsia="仿宋" w:cs="仿宋"/>
          <w:b/>
          <w:color w:val="auto"/>
          <w:kern w:val="0"/>
          <w:sz w:val="32"/>
          <w:szCs w:val="32"/>
          <w:highlight w:val="none"/>
        </w:rPr>
      </w:pPr>
    </w:p>
    <w:p w14:paraId="2A5F212A">
      <w:pPr>
        <w:snapToGrid w:val="0"/>
        <w:spacing w:line="360" w:lineRule="auto"/>
        <w:ind w:right="480"/>
        <w:jc w:val="center"/>
        <w:rPr>
          <w:rFonts w:hint="eastAsia" w:ascii="仿宋" w:hAnsi="仿宋" w:eastAsia="仿宋" w:cs="仿宋"/>
          <w:b/>
          <w:color w:val="auto"/>
          <w:kern w:val="0"/>
          <w:sz w:val="32"/>
          <w:szCs w:val="32"/>
          <w:highlight w:val="none"/>
        </w:rPr>
      </w:pPr>
    </w:p>
    <w:p w14:paraId="115E7A11">
      <w:pPr>
        <w:snapToGrid w:val="0"/>
        <w:spacing w:line="360" w:lineRule="auto"/>
        <w:ind w:right="480"/>
        <w:jc w:val="center"/>
        <w:rPr>
          <w:rFonts w:hint="eastAsia" w:ascii="仿宋" w:hAnsi="仿宋" w:eastAsia="仿宋" w:cs="仿宋"/>
          <w:b/>
          <w:color w:val="auto"/>
          <w:kern w:val="0"/>
          <w:sz w:val="32"/>
          <w:szCs w:val="32"/>
          <w:highlight w:val="none"/>
        </w:rPr>
      </w:pPr>
    </w:p>
    <w:p w14:paraId="14867BC4">
      <w:pPr>
        <w:snapToGrid w:val="0"/>
        <w:spacing w:line="360" w:lineRule="auto"/>
        <w:ind w:right="480"/>
        <w:jc w:val="center"/>
        <w:rPr>
          <w:rFonts w:hint="eastAsia" w:ascii="仿宋" w:hAnsi="仿宋" w:eastAsia="仿宋" w:cs="仿宋"/>
          <w:b/>
          <w:color w:val="auto"/>
          <w:kern w:val="0"/>
          <w:sz w:val="32"/>
          <w:szCs w:val="32"/>
          <w:highlight w:val="none"/>
        </w:rPr>
      </w:pPr>
    </w:p>
    <w:p w14:paraId="10B27EF7">
      <w:pPr>
        <w:snapToGrid w:val="0"/>
        <w:spacing w:line="360" w:lineRule="auto"/>
        <w:ind w:right="480"/>
        <w:jc w:val="center"/>
        <w:rPr>
          <w:rFonts w:hint="eastAsia" w:ascii="仿宋" w:hAnsi="仿宋" w:eastAsia="仿宋" w:cs="仿宋"/>
          <w:b/>
          <w:color w:val="auto"/>
          <w:kern w:val="0"/>
          <w:sz w:val="32"/>
          <w:szCs w:val="32"/>
          <w:highlight w:val="none"/>
        </w:rPr>
      </w:pPr>
    </w:p>
    <w:p w14:paraId="7BCB66C8">
      <w:pPr>
        <w:snapToGrid w:val="0"/>
        <w:spacing w:line="360" w:lineRule="auto"/>
        <w:ind w:right="480"/>
        <w:jc w:val="center"/>
        <w:rPr>
          <w:rFonts w:hint="eastAsia" w:ascii="仿宋" w:hAnsi="仿宋" w:eastAsia="仿宋" w:cs="仿宋"/>
          <w:b/>
          <w:color w:val="auto"/>
          <w:kern w:val="0"/>
          <w:sz w:val="32"/>
          <w:szCs w:val="32"/>
          <w:highlight w:val="none"/>
        </w:rPr>
      </w:pPr>
    </w:p>
    <w:p w14:paraId="39D3BC87">
      <w:pPr>
        <w:snapToGrid w:val="0"/>
        <w:spacing w:line="360" w:lineRule="auto"/>
        <w:ind w:right="480"/>
        <w:jc w:val="center"/>
        <w:rPr>
          <w:rFonts w:hint="eastAsia" w:ascii="仿宋" w:hAnsi="仿宋" w:eastAsia="仿宋" w:cs="仿宋"/>
          <w:b/>
          <w:color w:val="auto"/>
          <w:kern w:val="0"/>
          <w:sz w:val="32"/>
          <w:szCs w:val="32"/>
          <w:highlight w:val="none"/>
        </w:rPr>
      </w:pPr>
    </w:p>
    <w:p w14:paraId="193B9363">
      <w:pPr>
        <w:snapToGrid w:val="0"/>
        <w:spacing w:line="360" w:lineRule="auto"/>
        <w:ind w:right="480"/>
        <w:jc w:val="center"/>
        <w:rPr>
          <w:rFonts w:hint="eastAsia" w:ascii="仿宋" w:hAnsi="仿宋" w:eastAsia="仿宋" w:cs="仿宋"/>
          <w:b/>
          <w:color w:val="auto"/>
          <w:kern w:val="0"/>
          <w:sz w:val="32"/>
          <w:szCs w:val="32"/>
          <w:highlight w:val="none"/>
        </w:rPr>
      </w:pPr>
    </w:p>
    <w:p w14:paraId="11C73F8F">
      <w:pPr>
        <w:snapToGrid w:val="0"/>
        <w:spacing w:line="360" w:lineRule="auto"/>
        <w:ind w:right="480"/>
        <w:jc w:val="center"/>
        <w:rPr>
          <w:rFonts w:hint="eastAsia" w:ascii="仿宋" w:hAnsi="仿宋" w:eastAsia="仿宋" w:cs="仿宋"/>
          <w:b/>
          <w:color w:val="auto"/>
          <w:kern w:val="0"/>
          <w:sz w:val="32"/>
          <w:szCs w:val="32"/>
          <w:highlight w:val="none"/>
        </w:rPr>
      </w:pPr>
    </w:p>
    <w:p w14:paraId="132C1055">
      <w:pPr>
        <w:snapToGrid w:val="0"/>
        <w:spacing w:line="360" w:lineRule="auto"/>
        <w:ind w:right="480"/>
        <w:jc w:val="center"/>
        <w:rPr>
          <w:rFonts w:hint="eastAsia" w:ascii="仿宋" w:hAnsi="仿宋" w:eastAsia="仿宋" w:cs="仿宋"/>
          <w:b/>
          <w:color w:val="auto"/>
          <w:kern w:val="0"/>
          <w:sz w:val="32"/>
          <w:szCs w:val="32"/>
          <w:highlight w:val="none"/>
        </w:rPr>
      </w:pPr>
    </w:p>
    <w:p w14:paraId="216075A7">
      <w:pPr>
        <w:snapToGrid w:val="0"/>
        <w:spacing w:line="360" w:lineRule="auto"/>
        <w:ind w:right="480"/>
        <w:jc w:val="center"/>
        <w:rPr>
          <w:rFonts w:hint="eastAsia" w:ascii="仿宋" w:hAnsi="仿宋" w:eastAsia="仿宋" w:cs="仿宋"/>
          <w:b/>
          <w:color w:val="auto"/>
          <w:kern w:val="0"/>
          <w:sz w:val="32"/>
          <w:szCs w:val="32"/>
          <w:highlight w:val="none"/>
        </w:rPr>
      </w:pPr>
    </w:p>
    <w:p w14:paraId="004107A0">
      <w:pPr>
        <w:snapToGrid w:val="0"/>
        <w:spacing w:line="360" w:lineRule="auto"/>
        <w:ind w:right="480"/>
        <w:jc w:val="center"/>
        <w:rPr>
          <w:rFonts w:hint="eastAsia" w:ascii="仿宋" w:hAnsi="仿宋" w:eastAsia="仿宋" w:cs="仿宋"/>
          <w:b/>
          <w:color w:val="auto"/>
          <w:kern w:val="0"/>
          <w:sz w:val="32"/>
          <w:szCs w:val="32"/>
          <w:highlight w:val="none"/>
        </w:rPr>
      </w:pPr>
    </w:p>
    <w:p w14:paraId="44611F60">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673AE3B8">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w:t>
      </w:r>
      <w:r>
        <w:rPr>
          <w:rFonts w:hint="eastAsia" w:ascii="仿宋" w:hAnsi="仿宋" w:eastAsia="仿宋" w:cs="仿宋"/>
          <w:color w:val="auto"/>
          <w:kern w:val="2"/>
          <w:sz w:val="32"/>
          <w:szCs w:val="32"/>
          <w:highlight w:val="none"/>
          <w:lang w:eastAsia="zh-CN"/>
        </w:rPr>
        <w:t>交易</w:t>
      </w:r>
      <w:r>
        <w:rPr>
          <w:rFonts w:hint="eastAsia" w:ascii="仿宋" w:hAnsi="仿宋" w:eastAsia="仿宋" w:cs="仿宋"/>
          <w:color w:val="auto"/>
          <w:kern w:val="2"/>
          <w:sz w:val="32"/>
          <w:szCs w:val="32"/>
          <w:highlight w:val="none"/>
        </w:rPr>
        <w:t>一览表（报价表）</w:t>
      </w:r>
    </w:p>
    <w:p w14:paraId="0A33A2D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14:paraId="418DADDD">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按你方交易文件要求，我们，本响应文件签字方，谨此向你方发出要约如下：如你方接受本响应，我方承诺按照如下交易一览表（报价表）的价格完成</w:t>
      </w:r>
      <w:r>
        <w:rPr>
          <w:rFonts w:hint="eastAsia" w:ascii="仿宋" w:hAnsi="仿宋" w:eastAsia="仿宋" w:cs="仿宋"/>
          <w:color w:val="auto"/>
          <w:sz w:val="24"/>
          <w:highlight w:val="none"/>
          <w:u w:val="single"/>
        </w:rPr>
        <w:t>（项目名称）</w:t>
      </w:r>
      <w:r>
        <w:rPr>
          <w:rFonts w:hint="eastAsia" w:ascii="仿宋" w:hAnsi="仿宋" w:eastAsia="仿宋" w:cs="仿宋"/>
          <w:color w:val="auto"/>
          <w:kern w:val="0"/>
          <w:sz w:val="24"/>
          <w:highlight w:val="none"/>
          <w:u w:val="single"/>
          <w:lang w:val="zh-CN"/>
        </w:rPr>
        <w:t>【交易编号：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41F9F912">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3C5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1A2366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43C2257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3DF1D662">
            <w:pPr>
              <w:spacing w:line="360" w:lineRule="auto"/>
              <w:jc w:val="center"/>
              <w:rPr>
                <w:rFonts w:hint="eastAsia" w:ascii="仿宋" w:hAnsi="仿宋" w:eastAsia="仿宋" w:cs="仿宋"/>
                <w:b/>
                <w:color w:val="auto"/>
                <w:sz w:val="24"/>
                <w:highlight w:val="none"/>
              </w:rPr>
            </w:pPr>
          </w:p>
          <w:p w14:paraId="04D7B5D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0A71819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14:paraId="4B7C76A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3F923D9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3DDECD5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14:paraId="16D24B09">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备注</w:t>
            </w:r>
          </w:p>
        </w:tc>
      </w:tr>
      <w:tr w14:paraId="3DED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8B45A4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24E6D438">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65C23D8D">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029C3245">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27A9E7B0">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05499881">
            <w:pPr>
              <w:spacing w:line="360" w:lineRule="auto"/>
              <w:jc w:val="center"/>
              <w:rPr>
                <w:rFonts w:hint="eastAsia" w:ascii="仿宋" w:hAnsi="仿宋" w:eastAsia="仿宋" w:cs="仿宋"/>
                <w:color w:val="auto"/>
                <w:sz w:val="24"/>
                <w:highlight w:val="none"/>
              </w:rPr>
            </w:pPr>
          </w:p>
        </w:tc>
        <w:tc>
          <w:tcPr>
            <w:tcW w:w="1984" w:type="dxa"/>
            <w:vAlign w:val="center"/>
          </w:tcPr>
          <w:p w14:paraId="59D0DE09">
            <w:pPr>
              <w:spacing w:line="360" w:lineRule="auto"/>
              <w:jc w:val="center"/>
              <w:rPr>
                <w:rFonts w:hint="eastAsia" w:ascii="仿宋" w:hAnsi="仿宋" w:eastAsia="仿宋" w:cs="仿宋"/>
                <w:color w:val="auto"/>
                <w:sz w:val="24"/>
                <w:highlight w:val="none"/>
              </w:rPr>
            </w:pPr>
          </w:p>
        </w:tc>
        <w:tc>
          <w:tcPr>
            <w:tcW w:w="3119" w:type="dxa"/>
            <w:vAlign w:val="center"/>
          </w:tcPr>
          <w:p w14:paraId="72DDDCC6">
            <w:pPr>
              <w:spacing w:line="360" w:lineRule="auto"/>
              <w:jc w:val="center"/>
              <w:rPr>
                <w:rFonts w:hint="eastAsia" w:ascii="仿宋" w:hAnsi="仿宋" w:eastAsia="仿宋" w:cs="仿宋"/>
                <w:color w:val="auto"/>
                <w:sz w:val="24"/>
                <w:highlight w:val="none"/>
              </w:rPr>
            </w:pPr>
          </w:p>
        </w:tc>
      </w:tr>
      <w:tr w14:paraId="009D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66F9FA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174BB5D1">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566FE2DD">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3B9D84EA">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21CEF541">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0E95315A">
            <w:pPr>
              <w:spacing w:line="360" w:lineRule="auto"/>
              <w:jc w:val="center"/>
              <w:rPr>
                <w:rFonts w:hint="eastAsia" w:ascii="仿宋" w:hAnsi="仿宋" w:eastAsia="仿宋" w:cs="仿宋"/>
                <w:color w:val="auto"/>
                <w:sz w:val="24"/>
                <w:highlight w:val="none"/>
              </w:rPr>
            </w:pPr>
          </w:p>
        </w:tc>
        <w:tc>
          <w:tcPr>
            <w:tcW w:w="1984" w:type="dxa"/>
            <w:vAlign w:val="center"/>
          </w:tcPr>
          <w:p w14:paraId="2D96CFFD">
            <w:pPr>
              <w:spacing w:line="360" w:lineRule="auto"/>
              <w:jc w:val="center"/>
              <w:rPr>
                <w:rFonts w:hint="eastAsia" w:ascii="仿宋" w:hAnsi="仿宋" w:eastAsia="仿宋" w:cs="仿宋"/>
                <w:color w:val="auto"/>
                <w:sz w:val="24"/>
                <w:highlight w:val="none"/>
              </w:rPr>
            </w:pPr>
          </w:p>
        </w:tc>
        <w:tc>
          <w:tcPr>
            <w:tcW w:w="3119" w:type="dxa"/>
            <w:vAlign w:val="center"/>
          </w:tcPr>
          <w:p w14:paraId="45BD93C3">
            <w:pPr>
              <w:spacing w:line="360" w:lineRule="auto"/>
              <w:jc w:val="center"/>
              <w:rPr>
                <w:rFonts w:hint="eastAsia" w:ascii="仿宋" w:hAnsi="仿宋" w:eastAsia="仿宋" w:cs="仿宋"/>
                <w:color w:val="auto"/>
                <w:sz w:val="24"/>
                <w:highlight w:val="none"/>
              </w:rPr>
            </w:pPr>
          </w:p>
        </w:tc>
      </w:tr>
      <w:tr w14:paraId="1219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525538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3F3244BB">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71664DA3">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55762360">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443C6985">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1D497AB9">
            <w:pPr>
              <w:spacing w:line="360" w:lineRule="auto"/>
              <w:jc w:val="center"/>
              <w:rPr>
                <w:rFonts w:hint="eastAsia" w:ascii="仿宋" w:hAnsi="仿宋" w:eastAsia="仿宋" w:cs="仿宋"/>
                <w:color w:val="auto"/>
                <w:sz w:val="24"/>
                <w:highlight w:val="none"/>
              </w:rPr>
            </w:pPr>
          </w:p>
        </w:tc>
        <w:tc>
          <w:tcPr>
            <w:tcW w:w="1984" w:type="dxa"/>
            <w:vAlign w:val="center"/>
          </w:tcPr>
          <w:p w14:paraId="14783940">
            <w:pPr>
              <w:spacing w:line="360" w:lineRule="auto"/>
              <w:jc w:val="center"/>
              <w:rPr>
                <w:rFonts w:hint="eastAsia" w:ascii="仿宋" w:hAnsi="仿宋" w:eastAsia="仿宋" w:cs="仿宋"/>
                <w:color w:val="auto"/>
                <w:sz w:val="24"/>
                <w:highlight w:val="none"/>
              </w:rPr>
            </w:pPr>
          </w:p>
        </w:tc>
        <w:tc>
          <w:tcPr>
            <w:tcW w:w="3119" w:type="dxa"/>
            <w:vAlign w:val="center"/>
          </w:tcPr>
          <w:p w14:paraId="30C27996">
            <w:pPr>
              <w:spacing w:line="360" w:lineRule="auto"/>
              <w:jc w:val="center"/>
              <w:rPr>
                <w:rFonts w:hint="eastAsia" w:ascii="仿宋" w:hAnsi="仿宋" w:eastAsia="仿宋" w:cs="仿宋"/>
                <w:color w:val="auto"/>
                <w:sz w:val="24"/>
                <w:highlight w:val="none"/>
              </w:rPr>
            </w:pPr>
          </w:p>
        </w:tc>
      </w:tr>
      <w:tr w14:paraId="5FE2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55FB5E2">
            <w:pPr>
              <w:spacing w:line="360" w:lineRule="auto"/>
              <w:jc w:val="center"/>
              <w:rPr>
                <w:rFonts w:hint="eastAsia" w:ascii="仿宋" w:hAnsi="仿宋" w:eastAsia="仿宋" w:cs="仿宋"/>
                <w:color w:val="auto"/>
                <w:sz w:val="24"/>
                <w:highlight w:val="none"/>
              </w:rPr>
            </w:pPr>
          </w:p>
        </w:tc>
        <w:tc>
          <w:tcPr>
            <w:tcW w:w="1417" w:type="dxa"/>
            <w:vAlign w:val="center"/>
          </w:tcPr>
          <w:p w14:paraId="46E83534">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665D11B0">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57695220">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6E8E3CB5">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1D8851E5">
            <w:pPr>
              <w:spacing w:line="360" w:lineRule="auto"/>
              <w:jc w:val="center"/>
              <w:rPr>
                <w:rFonts w:hint="eastAsia" w:ascii="仿宋" w:hAnsi="仿宋" w:eastAsia="仿宋" w:cs="仿宋"/>
                <w:color w:val="auto"/>
                <w:sz w:val="24"/>
                <w:highlight w:val="none"/>
              </w:rPr>
            </w:pPr>
          </w:p>
        </w:tc>
        <w:tc>
          <w:tcPr>
            <w:tcW w:w="1984" w:type="dxa"/>
            <w:vAlign w:val="center"/>
          </w:tcPr>
          <w:p w14:paraId="7C8F4A60">
            <w:pPr>
              <w:spacing w:line="360" w:lineRule="auto"/>
              <w:jc w:val="center"/>
              <w:rPr>
                <w:rFonts w:hint="eastAsia" w:ascii="仿宋" w:hAnsi="仿宋" w:eastAsia="仿宋" w:cs="仿宋"/>
                <w:color w:val="auto"/>
                <w:sz w:val="24"/>
                <w:highlight w:val="none"/>
              </w:rPr>
            </w:pPr>
          </w:p>
        </w:tc>
        <w:tc>
          <w:tcPr>
            <w:tcW w:w="3119" w:type="dxa"/>
            <w:vAlign w:val="center"/>
          </w:tcPr>
          <w:p w14:paraId="385E4800">
            <w:pPr>
              <w:spacing w:line="360" w:lineRule="auto"/>
              <w:jc w:val="center"/>
              <w:rPr>
                <w:rFonts w:hint="eastAsia" w:ascii="仿宋" w:hAnsi="仿宋" w:eastAsia="仿宋" w:cs="仿宋"/>
                <w:color w:val="auto"/>
                <w:sz w:val="24"/>
                <w:highlight w:val="none"/>
              </w:rPr>
            </w:pPr>
          </w:p>
        </w:tc>
      </w:tr>
      <w:tr w14:paraId="0CDD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B0B15F7">
            <w:pPr>
              <w:spacing w:line="360" w:lineRule="auto"/>
              <w:jc w:val="center"/>
              <w:rPr>
                <w:rFonts w:hint="eastAsia" w:ascii="仿宋" w:hAnsi="仿宋" w:eastAsia="仿宋" w:cs="仿宋"/>
                <w:color w:val="auto"/>
                <w:sz w:val="24"/>
                <w:highlight w:val="none"/>
              </w:rPr>
            </w:pPr>
          </w:p>
        </w:tc>
        <w:tc>
          <w:tcPr>
            <w:tcW w:w="1417" w:type="dxa"/>
            <w:vAlign w:val="center"/>
          </w:tcPr>
          <w:p w14:paraId="6A096C8E">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35D95DAA">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30B1E9A0">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5E1138D8">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21C11424">
            <w:pPr>
              <w:spacing w:line="360" w:lineRule="auto"/>
              <w:jc w:val="center"/>
              <w:rPr>
                <w:rFonts w:hint="eastAsia" w:ascii="仿宋" w:hAnsi="仿宋" w:eastAsia="仿宋" w:cs="仿宋"/>
                <w:color w:val="auto"/>
                <w:sz w:val="24"/>
                <w:highlight w:val="none"/>
              </w:rPr>
            </w:pPr>
          </w:p>
        </w:tc>
        <w:tc>
          <w:tcPr>
            <w:tcW w:w="1984" w:type="dxa"/>
            <w:vAlign w:val="center"/>
          </w:tcPr>
          <w:p w14:paraId="69F804BA">
            <w:pPr>
              <w:spacing w:line="360" w:lineRule="auto"/>
              <w:jc w:val="center"/>
              <w:rPr>
                <w:rFonts w:hint="eastAsia" w:ascii="仿宋" w:hAnsi="仿宋" w:eastAsia="仿宋" w:cs="仿宋"/>
                <w:color w:val="auto"/>
                <w:sz w:val="24"/>
                <w:highlight w:val="none"/>
              </w:rPr>
            </w:pPr>
          </w:p>
        </w:tc>
        <w:tc>
          <w:tcPr>
            <w:tcW w:w="3119" w:type="dxa"/>
            <w:vAlign w:val="center"/>
          </w:tcPr>
          <w:p w14:paraId="0004E737">
            <w:pPr>
              <w:spacing w:line="360" w:lineRule="auto"/>
              <w:jc w:val="center"/>
              <w:rPr>
                <w:rFonts w:hint="eastAsia" w:ascii="仿宋" w:hAnsi="仿宋" w:eastAsia="仿宋" w:cs="仿宋"/>
                <w:color w:val="auto"/>
                <w:sz w:val="24"/>
                <w:highlight w:val="none"/>
              </w:rPr>
            </w:pPr>
          </w:p>
        </w:tc>
      </w:tr>
      <w:tr w14:paraId="43E1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F212BC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报价（小写）</w:t>
            </w:r>
          </w:p>
        </w:tc>
        <w:tc>
          <w:tcPr>
            <w:tcW w:w="7655" w:type="dxa"/>
            <w:gridSpan w:val="4"/>
            <w:vAlign w:val="center"/>
          </w:tcPr>
          <w:p w14:paraId="057675A0">
            <w:pPr>
              <w:spacing w:line="360" w:lineRule="auto"/>
              <w:jc w:val="center"/>
              <w:rPr>
                <w:rFonts w:hint="eastAsia" w:ascii="仿宋" w:hAnsi="仿宋" w:eastAsia="仿宋" w:cs="仿宋"/>
                <w:color w:val="auto"/>
                <w:sz w:val="24"/>
                <w:highlight w:val="none"/>
              </w:rPr>
            </w:pPr>
          </w:p>
        </w:tc>
      </w:tr>
      <w:tr w14:paraId="28D0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4CF268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报价（大写）</w:t>
            </w:r>
          </w:p>
        </w:tc>
        <w:tc>
          <w:tcPr>
            <w:tcW w:w="7655" w:type="dxa"/>
            <w:gridSpan w:val="4"/>
            <w:vAlign w:val="center"/>
          </w:tcPr>
          <w:p w14:paraId="56E17ECD">
            <w:pPr>
              <w:spacing w:line="360" w:lineRule="auto"/>
              <w:jc w:val="center"/>
              <w:rPr>
                <w:rFonts w:hint="eastAsia" w:ascii="仿宋" w:hAnsi="仿宋" w:eastAsia="仿宋" w:cs="仿宋"/>
                <w:color w:val="auto"/>
                <w:sz w:val="24"/>
                <w:highlight w:val="none"/>
              </w:rPr>
            </w:pPr>
          </w:p>
        </w:tc>
      </w:tr>
    </w:tbl>
    <w:p w14:paraId="7CF7B1D9">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A56858A">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1、供应商需按本表格式填写，不得自行更改。</w:t>
      </w:r>
    </w:p>
    <w:p w14:paraId="0B79A8C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含有采购人不能接受的附加条件的，</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无效</w:t>
      </w:r>
      <w:r>
        <w:rPr>
          <w:rFonts w:hint="eastAsia" w:ascii="仿宋" w:hAnsi="仿宋" w:eastAsia="仿宋" w:cs="仿宋"/>
          <w:b/>
          <w:color w:val="auto"/>
          <w:kern w:val="0"/>
          <w:sz w:val="24"/>
          <w:highlight w:val="none"/>
          <w:lang w:val="zh-CN"/>
        </w:rPr>
        <w:t>；采购内容未包含在《交易一览表（报价表）》名称栏中，供应商不能作出合理解释的，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含有采购人不能接受的附加条件的，</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无效。</w:t>
      </w:r>
    </w:p>
    <w:p w14:paraId="0C159C10">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05B189E8">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4、特别提示：采购机构将对项目名称和项目编号，成交供应商名称、地址和成交金额，主要成交标的的名称、规格型号、数量、单价、服务要求等予以公示。</w:t>
      </w:r>
    </w:p>
    <w:p w14:paraId="37E06FAF">
      <w:pPr>
        <w:spacing w:line="360" w:lineRule="auto"/>
        <w:ind w:firstLine="482" w:firstLineChars="200"/>
        <w:rPr>
          <w:rFonts w:hint="eastAsia" w:ascii="仿宋" w:hAnsi="仿宋" w:eastAsia="仿宋" w:cs="仿宋"/>
          <w:b/>
          <w:color w:val="auto"/>
          <w:kern w:val="0"/>
          <w:sz w:val="24"/>
          <w:highlight w:val="none"/>
        </w:rPr>
      </w:pPr>
    </w:p>
    <w:p w14:paraId="2BBCDA89">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1A10B38E">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289B97F">
      <w:pPr>
        <w:autoSpaceDE w:val="0"/>
        <w:autoSpaceDN w:val="0"/>
        <w:jc w:val="center"/>
        <w:rPr>
          <w:rFonts w:hint="eastAsia" w:ascii="仿宋" w:hAnsi="仿宋" w:eastAsia="仿宋" w:cs="仿宋"/>
          <w:color w:val="auto"/>
          <w:sz w:val="24"/>
          <w:highlight w:val="none"/>
          <w:u w:val="single"/>
        </w:rPr>
      </w:pPr>
      <w:bookmarkStart w:id="390" w:name="_Toc465665161"/>
      <w:r>
        <w:rPr>
          <w:rFonts w:hint="eastAsia" w:ascii="仿宋" w:hAnsi="仿宋" w:eastAsia="仿宋" w:cs="仿宋"/>
          <w:b/>
          <w:color w:val="auto"/>
          <w:kern w:val="0"/>
          <w:sz w:val="32"/>
          <w:szCs w:val="32"/>
          <w:highlight w:val="none"/>
          <w:lang w:eastAsia="zh-CN"/>
        </w:rPr>
        <w:t>二、</w:t>
      </w:r>
      <w:r>
        <w:rPr>
          <w:rFonts w:hint="eastAsia" w:ascii="仿宋" w:hAnsi="仿宋" w:eastAsia="仿宋" w:cs="仿宋"/>
          <w:b/>
          <w:color w:val="auto"/>
          <w:sz w:val="32"/>
          <w:szCs w:val="32"/>
          <w:highlight w:val="none"/>
        </w:rPr>
        <w:t>中小企业声明函</w:t>
      </w:r>
    </w:p>
    <w:p w14:paraId="093481A8">
      <w:pPr>
        <w:spacing w:line="360" w:lineRule="auto"/>
        <w:jc w:val="center"/>
        <w:rPr>
          <w:rFonts w:hint="eastAsia" w:ascii="仿宋" w:hAnsi="仿宋" w:eastAsia="仿宋" w:cs="仿宋"/>
          <w:color w:val="auto"/>
          <w:sz w:val="24"/>
          <w:highlight w:val="none"/>
          <w:u w:val="single"/>
        </w:rPr>
      </w:pPr>
    </w:p>
    <w:p w14:paraId="09704711">
      <w:pPr>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32"/>
          <w:szCs w:val="32"/>
          <w:highlight w:val="none"/>
        </w:rPr>
        <w:t>中小企业声明函（工程、服务）</w:t>
      </w:r>
    </w:p>
    <w:p w14:paraId="67271F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 xml:space="preserve"> （单位名称）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 xml:space="preserve">（项目名称）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2D4694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交易</w:t>
      </w:r>
      <w:r>
        <w:rPr>
          <w:rFonts w:hint="eastAsia" w:ascii="仿宋" w:hAnsi="仿宋" w:eastAsia="仿宋" w:cs="仿宋"/>
          <w:color w:val="auto"/>
          <w:sz w:val="24"/>
          <w:highlight w:val="none"/>
          <w:u w:val="single"/>
        </w:rPr>
        <w:t>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 xml:space="preserve">（企业名称）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 （</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p>
    <w:p w14:paraId="7BE24BF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交易</w:t>
      </w:r>
      <w:r>
        <w:rPr>
          <w:rFonts w:hint="eastAsia" w:ascii="仿宋" w:hAnsi="仿宋" w:eastAsia="仿宋" w:cs="仿宋"/>
          <w:color w:val="auto"/>
          <w:sz w:val="24"/>
          <w:highlight w:val="none"/>
          <w:u w:val="single"/>
        </w:rPr>
        <w:t>文件中明确的所属行业）</w:t>
      </w:r>
      <w:r>
        <w:rPr>
          <w:rFonts w:hint="eastAsia" w:ascii="仿宋" w:hAnsi="仿宋" w:eastAsia="仿宋" w:cs="仿宋"/>
          <w:color w:val="auto"/>
          <w:sz w:val="24"/>
          <w:highlight w:val="none"/>
        </w:rPr>
        <w:t xml:space="preserve"> ；承建（承接）企业为</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F92C5F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F5D8CD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6F7DEA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3F6D0CE">
      <w:pPr>
        <w:pStyle w:val="46"/>
        <w:rPr>
          <w:rFonts w:hint="eastAsia" w:ascii="仿宋" w:hAnsi="仿宋" w:eastAsia="仿宋" w:cs="仿宋"/>
        </w:rPr>
      </w:pPr>
    </w:p>
    <w:p w14:paraId="4533A149">
      <w:pPr>
        <w:snapToGrid w:val="0"/>
        <w:spacing w:line="360" w:lineRule="auto"/>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p>
    <w:p w14:paraId="5E8B31D7">
      <w:pPr>
        <w:snapToGrid w:val="0"/>
        <w:spacing w:line="360" w:lineRule="auto"/>
        <w:ind w:firstLine="6240" w:firstLineChars="26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1935D5B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从业人员、营业收入、资产总额填报上一年度数据，无上一年度数据的新成立企业可不填报。</w:t>
      </w:r>
    </w:p>
    <w:p w14:paraId="08836AD3">
      <w:pPr>
        <w:snapToGrid w:val="0"/>
        <w:spacing w:line="360" w:lineRule="auto"/>
        <w:ind w:firstLine="480" w:firstLineChars="200"/>
        <w:rPr>
          <w:rFonts w:hint="eastAsia" w:ascii="仿宋" w:hAnsi="仿宋" w:eastAsia="仿宋" w:cs="仿宋"/>
          <w:color w:val="auto"/>
          <w:sz w:val="24"/>
          <w:highlight w:val="none"/>
        </w:rPr>
      </w:pPr>
    </w:p>
    <w:p w14:paraId="4EF8922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6587B6C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文件中明确的所属行业”依据</w:t>
      </w:r>
      <w:r>
        <w:rPr>
          <w:rFonts w:hint="eastAsia" w:ascii="仿宋" w:hAnsi="仿宋" w:eastAsia="仿宋" w:cs="仿宋"/>
          <w:color w:val="auto"/>
          <w:sz w:val="24"/>
          <w:highlight w:val="none"/>
          <w:lang w:eastAsia="zh-CN"/>
        </w:rPr>
        <w:t>交易</w:t>
      </w:r>
      <w:r>
        <w:rPr>
          <w:rFonts w:hint="eastAsia" w:ascii="仿宋" w:hAnsi="仿宋" w:eastAsia="仿宋" w:cs="仿宋"/>
          <w:color w:val="auto"/>
          <w:sz w:val="24"/>
          <w:highlight w:val="none"/>
        </w:rPr>
        <w:t>文件第二部分</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12DE1E3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A17B2C8">
      <w:pPr>
        <w:spacing w:line="360" w:lineRule="auto"/>
        <w:jc w:val="center"/>
        <w:rPr>
          <w:rFonts w:hint="eastAsia" w:ascii="仿宋" w:hAnsi="仿宋" w:eastAsia="仿宋" w:cs="仿宋"/>
          <w:b/>
          <w:color w:val="auto"/>
          <w:sz w:val="32"/>
          <w:szCs w:val="32"/>
          <w:highlight w:val="none"/>
        </w:rPr>
      </w:pPr>
    </w:p>
    <w:p w14:paraId="618E338D">
      <w:pPr>
        <w:spacing w:line="360" w:lineRule="auto"/>
        <w:ind w:right="420" w:firstLine="480" w:firstLineChars="200"/>
        <w:rPr>
          <w:rFonts w:hint="eastAsia" w:ascii="仿宋" w:hAnsi="仿宋" w:eastAsia="仿宋" w:cs="仿宋"/>
          <w:color w:val="auto"/>
          <w:sz w:val="24"/>
          <w:highlight w:val="none"/>
        </w:rPr>
      </w:pPr>
    </w:p>
    <w:p w14:paraId="349DBA34">
      <w:pPr>
        <w:pStyle w:val="3"/>
        <w:keepNext w:val="0"/>
        <w:keepLines w:val="0"/>
        <w:pageBreakBefore/>
        <w:widowControl/>
        <w:spacing w:before="100" w:beforeAutospacing="1" w:after="100" w:afterAutospacing="1" w:line="360" w:lineRule="auto"/>
        <w:ind w:left="27" w:leftChars="0" w:hanging="27" w:hangingChars="6"/>
        <w:jc w:val="left"/>
        <w:rPr>
          <w:rFonts w:hint="eastAsia" w:ascii="仿宋" w:hAnsi="仿宋" w:eastAsia="仿宋" w:cs="仿宋"/>
          <w:color w:val="auto"/>
          <w:highlight w:val="none"/>
        </w:rPr>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pPr>
    </w:p>
    <w:p w14:paraId="4E4C5A84">
      <w:pPr>
        <w:pStyle w:val="3"/>
        <w:keepNext w:val="0"/>
        <w:keepLines w:val="0"/>
        <w:pageBreakBefore/>
        <w:widowControl/>
        <w:spacing w:before="100" w:beforeAutospacing="1" w:after="100" w:afterAutospacing="1" w:line="360" w:lineRule="auto"/>
        <w:ind w:left="27" w:leftChars="0" w:hanging="27" w:hangingChars="6"/>
        <w:jc w:val="left"/>
        <w:rPr>
          <w:rFonts w:hint="eastAsia" w:ascii="仿宋" w:hAnsi="仿宋" w:eastAsia="仿宋" w:cs="仿宋"/>
          <w:b/>
          <w:color w:val="auto"/>
          <w:sz w:val="24"/>
          <w:highlight w:val="none"/>
        </w:rPr>
      </w:pPr>
      <w:r>
        <w:rPr>
          <w:rFonts w:hint="eastAsia" w:ascii="仿宋" w:hAnsi="仿宋" w:eastAsia="仿宋" w:cs="仿宋"/>
          <w:color w:val="auto"/>
          <w:highlight w:val="none"/>
        </w:rPr>
        <w:t>附件</w:t>
      </w:r>
      <w:bookmarkEnd w:id="390"/>
    </w:p>
    <w:p w14:paraId="4606CFCF">
      <w:pPr>
        <w:pStyle w:val="4"/>
        <w:jc w:val="left"/>
        <w:rPr>
          <w:rFonts w:hint="eastAsia" w:ascii="仿宋" w:hAnsi="仿宋" w:eastAsia="仿宋" w:cs="仿宋"/>
          <w:sz w:val="24"/>
        </w:rPr>
      </w:pPr>
      <w:r>
        <w:rPr>
          <w:rFonts w:hint="eastAsia" w:ascii="仿宋" w:hAnsi="仿宋" w:eastAsia="仿宋" w:cs="仿宋"/>
          <w:highlight w:val="none"/>
        </w:rPr>
        <w:t>附件</w:t>
      </w:r>
      <w:r>
        <w:rPr>
          <w:rFonts w:hint="eastAsia" w:ascii="仿宋" w:hAnsi="仿宋" w:eastAsia="仿宋" w:cs="仿宋"/>
          <w:highlight w:val="none"/>
          <w:lang w:val="en-US" w:eastAsia="zh-CN"/>
        </w:rPr>
        <w:t>1：</w:t>
      </w:r>
      <w:r>
        <w:rPr>
          <w:rFonts w:hint="eastAsia" w:ascii="仿宋" w:hAnsi="仿宋" w:eastAsia="仿宋" w:cs="仿宋"/>
        </w:rPr>
        <w:t>样品（演示）授权委托书</w:t>
      </w:r>
    </w:p>
    <w:p w14:paraId="41272024">
      <w:pPr>
        <w:jc w:val="center"/>
        <w:rPr>
          <w:rFonts w:hint="eastAsia" w:ascii="仿宋" w:hAnsi="仿宋" w:eastAsia="仿宋" w:cs="仿宋"/>
          <w:sz w:val="40"/>
        </w:rPr>
      </w:pPr>
      <w:r>
        <w:rPr>
          <w:rFonts w:hint="eastAsia" w:ascii="仿宋" w:hAnsi="仿宋" w:eastAsia="仿宋" w:cs="仿宋"/>
          <w:sz w:val="40"/>
        </w:rPr>
        <w:t>样品（演示）授权委托书</w:t>
      </w:r>
    </w:p>
    <w:p w14:paraId="4E63D412">
      <w:pPr>
        <w:jc w:val="center"/>
        <w:rPr>
          <w:rFonts w:hint="eastAsia" w:ascii="仿宋" w:hAnsi="仿宋" w:eastAsia="仿宋" w:cs="仿宋"/>
          <w:sz w:val="40"/>
        </w:rPr>
      </w:pPr>
    </w:p>
    <w:p w14:paraId="6973DD52">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XXX（单位名称或采购机构名称）</w:t>
      </w:r>
      <w:r>
        <w:rPr>
          <w:rFonts w:hint="eastAsia" w:ascii="仿宋" w:hAnsi="仿宋" w:eastAsia="仿宋" w:cs="仿宋"/>
          <w:color w:val="000000"/>
          <w:sz w:val="24"/>
          <w:szCs w:val="24"/>
          <w:lang w:val="zh-CN"/>
        </w:rPr>
        <w:t>：</w:t>
      </w:r>
    </w:p>
    <w:p w14:paraId="3ED8BB2C">
      <w:pPr>
        <w:snapToGrid w:val="0"/>
        <w:spacing w:line="360" w:lineRule="auto"/>
        <w:ind w:left="254" w:leftChars="121" w:firstLine="480" w:firstLineChars="200"/>
        <w:rPr>
          <w:rFonts w:hint="eastAsia" w:ascii="仿宋" w:hAnsi="仿宋" w:eastAsia="仿宋" w:cs="仿宋"/>
          <w:color w:val="000000"/>
          <w:sz w:val="24"/>
          <w:szCs w:val="24"/>
          <w:u w:val="single"/>
          <w:lang w:val="zh-CN"/>
        </w:rPr>
      </w:pPr>
      <w:r>
        <w:rPr>
          <w:rFonts w:hint="eastAsia" w:ascii="仿宋" w:hAnsi="仿宋" w:eastAsia="仿宋" w:cs="仿宋"/>
          <w:color w:val="000000"/>
          <w:sz w:val="24"/>
          <w:szCs w:val="24"/>
          <w:lang w:val="zh-CN"/>
        </w:rPr>
        <w:t>兹委派</w:t>
      </w:r>
      <w:r>
        <w:rPr>
          <w:rFonts w:hint="eastAsia" w:ascii="仿宋" w:hAnsi="仿宋" w:eastAsia="仿宋" w:cs="仿宋"/>
          <w:color w:val="000000"/>
          <w:sz w:val="24"/>
          <w:szCs w:val="24"/>
          <w:u w:val="single"/>
          <w:lang w:val="zh-CN"/>
        </w:rPr>
        <w:t xml:space="preserve">                </w:t>
      </w:r>
      <w:r>
        <w:rPr>
          <w:rFonts w:hint="eastAsia" w:ascii="仿宋" w:hAnsi="仿宋" w:eastAsia="仿宋" w:cs="仿宋"/>
          <w:color w:val="000000"/>
          <w:sz w:val="24"/>
          <w:szCs w:val="24"/>
          <w:lang w:val="zh-CN"/>
        </w:rPr>
        <w:t>先生/女士，身份证号：</w:t>
      </w:r>
      <w:r>
        <w:rPr>
          <w:rFonts w:hint="eastAsia" w:ascii="仿宋" w:hAnsi="仿宋" w:eastAsia="仿宋" w:cs="仿宋"/>
          <w:color w:val="000000"/>
          <w:sz w:val="24"/>
          <w:szCs w:val="24"/>
          <w:u w:val="single"/>
          <w:lang w:val="zh-CN"/>
        </w:rPr>
        <w:t xml:space="preserve">                   </w:t>
      </w:r>
    </w:p>
    <w:p w14:paraId="758CE724">
      <w:pPr>
        <w:snapToGrid w:val="0"/>
        <w:spacing w:line="360" w:lineRule="auto"/>
        <w:ind w:left="254" w:leftChars="121"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zh-CN"/>
        </w:rPr>
        <w:t>手机：</w:t>
      </w:r>
      <w:r>
        <w:rPr>
          <w:rFonts w:hint="eastAsia" w:ascii="仿宋" w:hAnsi="仿宋" w:eastAsia="仿宋" w:cs="仿宋"/>
          <w:color w:val="000000"/>
          <w:sz w:val="24"/>
          <w:szCs w:val="24"/>
          <w:u w:val="single"/>
          <w:lang w:val="zh-CN"/>
        </w:rPr>
        <w:t xml:space="preserve">             </w:t>
      </w:r>
      <w:r>
        <w:rPr>
          <w:rFonts w:hint="eastAsia" w:ascii="仿宋" w:hAnsi="仿宋" w:eastAsia="仿宋" w:cs="仿宋"/>
          <w:color w:val="000000"/>
          <w:sz w:val="24"/>
          <w:szCs w:val="24"/>
          <w:lang w:val="zh-CN"/>
        </w:rPr>
        <w:t>，代表我公司前来递交</w:t>
      </w:r>
      <w:r>
        <w:rPr>
          <w:rFonts w:hint="eastAsia" w:ascii="仿宋" w:hAnsi="仿宋" w:eastAsia="仿宋" w:cs="仿宋"/>
          <w:color w:val="000000"/>
          <w:sz w:val="24"/>
          <w:szCs w:val="24"/>
          <w:u w:val="single"/>
          <w:lang w:val="zh-CN"/>
        </w:rPr>
        <w:t xml:space="preserve">                           采购项目</w:t>
      </w:r>
      <w:r>
        <w:rPr>
          <w:rFonts w:hint="eastAsia" w:ascii="仿宋" w:hAnsi="仿宋" w:eastAsia="仿宋" w:cs="仿宋"/>
          <w:color w:val="000000"/>
          <w:sz w:val="24"/>
          <w:szCs w:val="24"/>
          <w:lang w:val="zh-CN"/>
        </w:rPr>
        <w:t>【项目编号：              】（标项号：  ）</w:t>
      </w:r>
      <w:r>
        <w:rPr>
          <w:rFonts w:hint="eastAsia" w:ascii="仿宋" w:hAnsi="仿宋" w:eastAsia="仿宋" w:cs="仿宋"/>
          <w:color w:val="auto"/>
          <w:sz w:val="24"/>
          <w:szCs w:val="24"/>
          <w:lang w:val="zh-CN"/>
        </w:rPr>
        <w:t>投标样品或参加演示，</w:t>
      </w:r>
      <w:r>
        <w:rPr>
          <w:rFonts w:hint="eastAsia" w:ascii="仿宋" w:hAnsi="仿宋" w:eastAsia="仿宋" w:cs="仿宋"/>
          <w:color w:val="000000"/>
          <w:sz w:val="24"/>
          <w:szCs w:val="24"/>
          <w:lang w:val="zh-CN"/>
        </w:rPr>
        <w:t>并全权负责标后取回样品等其他处理事宜。</w:t>
      </w:r>
    </w:p>
    <w:p w14:paraId="4F38D821">
      <w:pPr>
        <w:snapToGrid w:val="0"/>
        <w:spacing w:line="360" w:lineRule="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 xml:space="preserve">  </w:t>
      </w:r>
    </w:p>
    <w:p w14:paraId="6DE42087">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 xml:space="preserve">    特此告知。</w:t>
      </w:r>
    </w:p>
    <w:p w14:paraId="1CEDA6C2">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 xml:space="preserve">                                                  供应商名称(公章)：</w:t>
      </w:r>
    </w:p>
    <w:p w14:paraId="27D8C514">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zh-CN"/>
        </w:rPr>
        <w:t xml:space="preserve">                                                  </w:t>
      </w:r>
    </w:p>
    <w:p w14:paraId="25A94F60">
      <w:pPr>
        <w:snapToGrid w:val="0"/>
        <w:spacing w:line="360" w:lineRule="auto"/>
        <w:ind w:right="240"/>
        <w:jc w:val="right"/>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签发日期：  年  月   日</w:t>
      </w:r>
    </w:p>
    <w:p w14:paraId="67B1FA88">
      <w:pPr>
        <w:snapToGrid w:val="0"/>
        <w:spacing w:line="360" w:lineRule="auto"/>
        <w:ind w:right="240"/>
        <w:jc w:val="right"/>
        <w:rPr>
          <w:rFonts w:hint="eastAsia" w:ascii="仿宋" w:hAnsi="仿宋" w:eastAsia="仿宋" w:cs="仿宋"/>
          <w:color w:val="000000"/>
          <w:sz w:val="24"/>
          <w:szCs w:val="24"/>
          <w:lang w:val="zh-CN"/>
        </w:rPr>
      </w:pPr>
    </w:p>
    <w:p w14:paraId="08D12F44">
      <w:pPr>
        <w:snapToGrid w:val="0"/>
        <w:spacing w:line="360" w:lineRule="auto"/>
        <w:ind w:right="1920"/>
        <w:rPr>
          <w:rFonts w:hint="eastAsia" w:ascii="仿宋" w:hAnsi="仿宋" w:eastAsia="仿宋" w:cs="仿宋"/>
          <w:color w:val="000000"/>
          <w:sz w:val="24"/>
          <w:szCs w:val="24"/>
          <w:lang w:val="zh-CN"/>
        </w:rPr>
      </w:pPr>
    </w:p>
    <w:p w14:paraId="3052D96C">
      <w:pPr>
        <w:snapToGrid w:val="0"/>
        <w:spacing w:line="360" w:lineRule="auto"/>
        <w:ind w:right="240"/>
        <w:jc w:val="right"/>
        <w:rPr>
          <w:rFonts w:hint="eastAsia" w:ascii="仿宋" w:hAnsi="仿宋" w:eastAsia="仿宋" w:cs="仿宋"/>
          <w:color w:val="000000"/>
          <w:sz w:val="24"/>
          <w:szCs w:val="24"/>
          <w:lang w:val="zh-CN"/>
        </w:rPr>
      </w:pPr>
    </w:p>
    <w:p w14:paraId="043275FC">
      <w:pPr>
        <w:snapToGrid w:val="0"/>
        <w:spacing w:line="360" w:lineRule="auto"/>
        <w:ind w:right="240"/>
        <w:rPr>
          <w:rFonts w:hint="eastAsia" w:ascii="仿宋" w:hAnsi="仿宋" w:eastAsia="仿宋" w:cs="仿宋"/>
          <w:color w:val="000000"/>
          <w:sz w:val="24"/>
          <w:szCs w:val="24"/>
          <w:lang w:val="zh-CN"/>
        </w:rPr>
      </w:pPr>
      <w:r>
        <w:rPr>
          <w:rFonts w:hint="eastAsia" w:ascii="仿宋" w:hAnsi="仿宋" w:eastAsia="仿宋" w:cs="仿宋"/>
          <w:color w:val="000000"/>
          <w:sz w:val="24"/>
          <w:szCs w:val="24"/>
        </w:rPr>
        <w:t>受委托人</w:t>
      </w:r>
      <w:r>
        <w:rPr>
          <w:rFonts w:hint="eastAsia" w:ascii="仿宋" w:hAnsi="仿宋" w:eastAsia="仿宋" w:cs="仿宋"/>
          <w:color w:val="000000"/>
          <w:sz w:val="24"/>
          <w:szCs w:val="24"/>
          <w:lang w:val="zh-CN"/>
        </w:rPr>
        <w:t>身份证复印件：</w:t>
      </w:r>
    </w:p>
    <w:p w14:paraId="0BCFE9B7">
      <w:pPr>
        <w:snapToGrid w:val="0"/>
        <w:spacing w:line="360" w:lineRule="auto"/>
        <w:ind w:right="240"/>
        <w:rPr>
          <w:rFonts w:hint="eastAsia" w:ascii="仿宋" w:hAnsi="仿宋" w:eastAsia="仿宋" w:cs="仿宋"/>
          <w:color w:val="000000"/>
          <w:sz w:val="24"/>
          <w:szCs w:val="24"/>
          <w:lang w:val="zh-CN"/>
        </w:rPr>
      </w:pPr>
    </w:p>
    <w:p w14:paraId="51F1DFC4">
      <w:pPr>
        <w:snapToGrid w:val="0"/>
        <w:spacing w:line="360" w:lineRule="auto"/>
        <w:ind w:right="24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说明：本委托书在有样品或演示时由受委托人携带至指定地点。</w:t>
      </w:r>
    </w:p>
    <w:p w14:paraId="5B6739E4">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同时有样品和演示的，可委托不同人员。</w:t>
      </w:r>
    </w:p>
    <w:p w14:paraId="2EBD5719">
      <w:pPr>
        <w:spacing w:line="360" w:lineRule="auto"/>
        <w:jc w:val="left"/>
        <w:rPr>
          <w:rFonts w:hint="eastAsia" w:ascii="仿宋" w:hAnsi="仿宋" w:eastAsia="仿宋" w:cs="仿宋"/>
          <w:b/>
          <w:color w:val="auto"/>
          <w:spacing w:val="6"/>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94D1A71">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：质疑函范本及制作说明</w:t>
      </w:r>
    </w:p>
    <w:p w14:paraId="4ED59E0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388B180">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11FFD0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DC83B9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FA36FD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B8C455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2E2DC9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7767AE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BA77D7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6CC432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83336F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3CF364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4709D4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0B1973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0B0071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B4C669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3EE8AD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27A270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2F3199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0CFA86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B75838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58433C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57D259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BBBD9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3FE59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4AAFE7D">
      <w:pPr>
        <w:spacing w:line="360" w:lineRule="auto"/>
        <w:jc w:val="center"/>
        <w:rPr>
          <w:rFonts w:hint="eastAsia" w:ascii="仿宋" w:hAnsi="仿宋" w:eastAsia="仿宋" w:cs="仿宋"/>
          <w:b/>
          <w:bCs/>
          <w:color w:val="auto"/>
          <w:sz w:val="24"/>
          <w:highlight w:val="none"/>
        </w:rPr>
      </w:pPr>
    </w:p>
    <w:p w14:paraId="6768A3A1">
      <w:pPr>
        <w:spacing w:line="360" w:lineRule="auto"/>
        <w:rPr>
          <w:rFonts w:hint="eastAsia" w:ascii="仿宋" w:hAnsi="仿宋" w:eastAsia="仿宋" w:cs="仿宋"/>
          <w:b/>
          <w:color w:val="auto"/>
          <w:sz w:val="24"/>
          <w:highlight w:val="none"/>
        </w:rPr>
      </w:pPr>
    </w:p>
    <w:p w14:paraId="3EC0E930">
      <w:pPr>
        <w:spacing w:line="360" w:lineRule="auto"/>
        <w:rPr>
          <w:rFonts w:hint="eastAsia" w:ascii="仿宋" w:hAnsi="仿宋" w:eastAsia="仿宋" w:cs="仿宋"/>
          <w:b/>
          <w:color w:val="auto"/>
          <w:sz w:val="24"/>
          <w:highlight w:val="none"/>
        </w:rPr>
      </w:pPr>
    </w:p>
    <w:p w14:paraId="3C646AFB">
      <w:pPr>
        <w:spacing w:line="360" w:lineRule="auto"/>
        <w:rPr>
          <w:rFonts w:hint="eastAsia" w:ascii="仿宋" w:hAnsi="仿宋" w:eastAsia="仿宋" w:cs="仿宋"/>
          <w:b/>
          <w:color w:val="auto"/>
          <w:sz w:val="24"/>
          <w:highlight w:val="none"/>
        </w:rPr>
      </w:pPr>
    </w:p>
    <w:p w14:paraId="6C41E54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464245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BD9EE1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DDE981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8F05FE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9F7106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5CF466A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53A1A09">
      <w:pPr>
        <w:widowControl/>
        <w:spacing w:line="360" w:lineRule="auto"/>
        <w:ind w:firstLine="600" w:firstLineChars="200"/>
        <w:jc w:val="left"/>
        <w:rPr>
          <w:rFonts w:hint="eastAsia" w:ascii="仿宋" w:hAnsi="仿宋" w:eastAsia="仿宋" w:cs="仿宋"/>
          <w:color w:val="auto"/>
          <w:sz w:val="30"/>
          <w:szCs w:val="30"/>
          <w:highlight w:val="none"/>
        </w:rPr>
      </w:pPr>
    </w:p>
    <w:p w14:paraId="26874E8E">
      <w:pPr>
        <w:spacing w:line="360" w:lineRule="auto"/>
        <w:jc w:val="center"/>
        <w:rPr>
          <w:rFonts w:hint="eastAsia" w:ascii="仿宋" w:hAnsi="仿宋" w:eastAsia="仿宋" w:cs="仿宋"/>
          <w:b/>
          <w:color w:val="auto"/>
          <w:spacing w:val="6"/>
          <w:sz w:val="32"/>
          <w:szCs w:val="32"/>
          <w:highlight w:val="none"/>
        </w:rPr>
      </w:pPr>
    </w:p>
    <w:p w14:paraId="3E9162FB">
      <w:pPr>
        <w:spacing w:line="360" w:lineRule="auto"/>
        <w:jc w:val="center"/>
        <w:rPr>
          <w:rFonts w:hint="eastAsia" w:ascii="仿宋" w:hAnsi="仿宋" w:eastAsia="仿宋" w:cs="仿宋"/>
          <w:b/>
          <w:color w:val="auto"/>
          <w:spacing w:val="6"/>
          <w:sz w:val="32"/>
          <w:szCs w:val="32"/>
          <w:highlight w:val="none"/>
        </w:rPr>
      </w:pPr>
    </w:p>
    <w:p w14:paraId="30FB18EE">
      <w:pPr>
        <w:spacing w:line="360" w:lineRule="auto"/>
        <w:jc w:val="center"/>
        <w:rPr>
          <w:rFonts w:hint="eastAsia" w:ascii="仿宋" w:hAnsi="仿宋" w:eastAsia="仿宋" w:cs="仿宋"/>
          <w:b/>
          <w:color w:val="auto"/>
          <w:spacing w:val="6"/>
          <w:sz w:val="32"/>
          <w:szCs w:val="32"/>
          <w:highlight w:val="none"/>
        </w:rPr>
      </w:pPr>
    </w:p>
    <w:p w14:paraId="6B249F43">
      <w:pPr>
        <w:spacing w:line="360" w:lineRule="auto"/>
        <w:jc w:val="center"/>
        <w:rPr>
          <w:rFonts w:hint="eastAsia" w:ascii="仿宋" w:hAnsi="仿宋" w:eastAsia="仿宋" w:cs="仿宋"/>
          <w:b/>
          <w:color w:val="auto"/>
          <w:spacing w:val="6"/>
          <w:sz w:val="32"/>
          <w:szCs w:val="32"/>
          <w:highlight w:val="none"/>
        </w:rPr>
      </w:pPr>
    </w:p>
    <w:p w14:paraId="37A7F29C">
      <w:pPr>
        <w:spacing w:line="360" w:lineRule="auto"/>
        <w:jc w:val="center"/>
        <w:rPr>
          <w:rFonts w:hint="eastAsia" w:ascii="仿宋" w:hAnsi="仿宋" w:eastAsia="仿宋" w:cs="仿宋"/>
          <w:b/>
          <w:color w:val="auto"/>
          <w:spacing w:val="6"/>
          <w:sz w:val="32"/>
          <w:szCs w:val="32"/>
          <w:highlight w:val="none"/>
        </w:rPr>
      </w:pPr>
    </w:p>
    <w:p w14:paraId="55300FAF">
      <w:pPr>
        <w:spacing w:line="360" w:lineRule="auto"/>
        <w:jc w:val="center"/>
        <w:rPr>
          <w:rFonts w:hint="eastAsia" w:ascii="仿宋" w:hAnsi="仿宋" w:eastAsia="仿宋" w:cs="仿宋"/>
          <w:b/>
          <w:color w:val="auto"/>
          <w:spacing w:val="6"/>
          <w:sz w:val="32"/>
          <w:szCs w:val="32"/>
          <w:highlight w:val="none"/>
        </w:rPr>
      </w:pPr>
    </w:p>
    <w:p w14:paraId="1211DD6F">
      <w:pPr>
        <w:spacing w:line="360" w:lineRule="auto"/>
        <w:jc w:val="center"/>
        <w:rPr>
          <w:rFonts w:hint="eastAsia" w:ascii="仿宋" w:hAnsi="仿宋" w:eastAsia="仿宋" w:cs="仿宋"/>
          <w:b/>
          <w:color w:val="auto"/>
          <w:spacing w:val="6"/>
          <w:sz w:val="32"/>
          <w:szCs w:val="32"/>
          <w:highlight w:val="none"/>
        </w:rPr>
      </w:pPr>
    </w:p>
    <w:p w14:paraId="6D50AEBC">
      <w:pPr>
        <w:spacing w:line="360" w:lineRule="auto"/>
        <w:jc w:val="center"/>
        <w:rPr>
          <w:rFonts w:hint="eastAsia" w:ascii="仿宋" w:hAnsi="仿宋" w:eastAsia="仿宋" w:cs="仿宋"/>
          <w:b/>
          <w:color w:val="auto"/>
          <w:spacing w:val="6"/>
          <w:sz w:val="32"/>
          <w:szCs w:val="32"/>
          <w:highlight w:val="none"/>
        </w:rPr>
      </w:pPr>
    </w:p>
    <w:p w14:paraId="0C386675">
      <w:pPr>
        <w:spacing w:line="360" w:lineRule="auto"/>
        <w:jc w:val="center"/>
        <w:rPr>
          <w:rFonts w:hint="eastAsia" w:ascii="仿宋" w:hAnsi="仿宋" w:eastAsia="仿宋" w:cs="仿宋"/>
          <w:b/>
          <w:color w:val="auto"/>
          <w:spacing w:val="6"/>
          <w:sz w:val="32"/>
          <w:szCs w:val="32"/>
          <w:highlight w:val="none"/>
        </w:rPr>
      </w:pPr>
    </w:p>
    <w:p w14:paraId="15B8A3EE">
      <w:pPr>
        <w:spacing w:line="360" w:lineRule="auto"/>
        <w:jc w:val="center"/>
        <w:rPr>
          <w:rFonts w:hint="eastAsia" w:ascii="仿宋" w:hAnsi="仿宋" w:eastAsia="仿宋" w:cs="仿宋"/>
          <w:b/>
          <w:color w:val="auto"/>
          <w:spacing w:val="6"/>
          <w:sz w:val="32"/>
          <w:szCs w:val="32"/>
          <w:highlight w:val="none"/>
        </w:rPr>
      </w:pPr>
    </w:p>
    <w:p w14:paraId="4863CEAB">
      <w:pPr>
        <w:spacing w:line="360" w:lineRule="auto"/>
        <w:jc w:val="center"/>
        <w:rPr>
          <w:rFonts w:hint="eastAsia" w:ascii="仿宋" w:hAnsi="仿宋" w:eastAsia="仿宋" w:cs="仿宋"/>
          <w:b/>
          <w:color w:val="auto"/>
          <w:spacing w:val="6"/>
          <w:sz w:val="32"/>
          <w:szCs w:val="32"/>
          <w:highlight w:val="none"/>
        </w:rPr>
      </w:pPr>
    </w:p>
    <w:p w14:paraId="7F789727">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265109F">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：投诉书范本及制作说明</w:t>
      </w:r>
    </w:p>
    <w:p w14:paraId="5930A904">
      <w:pPr>
        <w:spacing w:line="360" w:lineRule="auto"/>
        <w:jc w:val="center"/>
        <w:rPr>
          <w:rFonts w:hint="eastAsia" w:ascii="仿宋" w:hAnsi="仿宋" w:eastAsia="仿宋" w:cs="仿宋"/>
          <w:b/>
          <w:color w:val="auto"/>
          <w:sz w:val="24"/>
          <w:highlight w:val="none"/>
        </w:rPr>
      </w:pPr>
    </w:p>
    <w:p w14:paraId="139B0848">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F2078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5602A24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32AC61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55CEDD">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07108F3">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3C8C5B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45E2CA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2E9AE8C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D5B84D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FE5215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38438E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41C779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639553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B08785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5AEECB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F67D66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E745CE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A40A9E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15117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FEC21B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BA135B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049665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E28A4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DF7CE46">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4476C1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B371C31">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087C435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CD4CC0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313996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0714E5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4C79F8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0D5375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7755DF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F25D00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93E21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B86FA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96A40D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3F5595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BEA569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172D307">
      <w:pPr>
        <w:spacing w:line="360" w:lineRule="auto"/>
        <w:rPr>
          <w:rFonts w:hint="eastAsia" w:ascii="仿宋" w:hAnsi="仿宋" w:eastAsia="仿宋" w:cs="仿宋"/>
          <w:b/>
          <w:color w:val="auto"/>
          <w:sz w:val="24"/>
          <w:highlight w:val="none"/>
        </w:rPr>
      </w:pPr>
    </w:p>
    <w:p w14:paraId="7D31629E">
      <w:pPr>
        <w:spacing w:line="360" w:lineRule="auto"/>
        <w:rPr>
          <w:rFonts w:hint="eastAsia" w:ascii="仿宋" w:hAnsi="仿宋" w:eastAsia="仿宋" w:cs="仿宋"/>
          <w:b/>
          <w:color w:val="auto"/>
          <w:sz w:val="24"/>
          <w:highlight w:val="none"/>
        </w:rPr>
      </w:pPr>
    </w:p>
    <w:p w14:paraId="3E87D51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23C88DA">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8C613F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7C5099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8F1FE0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1B49E5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5B022B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CE88FF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2427BE7">
      <w:pPr>
        <w:spacing w:line="360" w:lineRule="auto"/>
        <w:rPr>
          <w:rFonts w:hint="eastAsia" w:ascii="仿宋" w:hAnsi="仿宋" w:eastAsia="仿宋" w:cs="仿宋"/>
          <w:b/>
          <w:color w:val="auto"/>
          <w:sz w:val="24"/>
          <w:highlight w:val="none"/>
        </w:rPr>
      </w:pPr>
    </w:p>
    <w:p w14:paraId="1617BA39">
      <w:pPr>
        <w:autoSpaceDE w:val="0"/>
        <w:autoSpaceDN w:val="0"/>
        <w:jc w:val="center"/>
        <w:rPr>
          <w:rFonts w:hint="eastAsia" w:ascii="仿宋" w:hAnsi="仿宋" w:eastAsia="仿宋" w:cs="仿宋"/>
          <w:b/>
          <w:color w:val="auto"/>
          <w:spacing w:val="6"/>
          <w:sz w:val="32"/>
          <w:szCs w:val="32"/>
          <w:highlight w:val="none"/>
        </w:rPr>
      </w:pPr>
    </w:p>
    <w:p w14:paraId="0963EB5E">
      <w:pPr>
        <w:autoSpaceDE w:val="0"/>
        <w:autoSpaceDN w:val="0"/>
        <w:jc w:val="center"/>
        <w:rPr>
          <w:rFonts w:hint="eastAsia" w:ascii="仿宋" w:hAnsi="仿宋" w:eastAsia="仿宋" w:cs="仿宋"/>
          <w:b/>
          <w:color w:val="auto"/>
          <w:spacing w:val="6"/>
          <w:sz w:val="32"/>
          <w:szCs w:val="32"/>
          <w:highlight w:val="none"/>
        </w:rPr>
      </w:pPr>
    </w:p>
    <w:p w14:paraId="5141B5FE">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0AAFBB8">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4</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2E9C42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35AF2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rPr>
        <w:t>（项目名称）项目【</w:t>
      </w:r>
      <w:r>
        <w:rPr>
          <w:rFonts w:hint="eastAsia" w:ascii="仿宋" w:hAnsi="仿宋" w:eastAsia="仿宋" w:cs="仿宋"/>
          <w:color w:val="auto"/>
          <w:sz w:val="24"/>
          <w:highlight w:val="none"/>
          <w:u w:val="single"/>
          <w:lang w:eastAsia="zh-CN"/>
        </w:rPr>
        <w:t>交易</w:t>
      </w:r>
      <w:r>
        <w:rPr>
          <w:rFonts w:hint="eastAsia" w:ascii="仿宋" w:hAnsi="仿宋" w:eastAsia="仿宋" w:cs="仿宋"/>
          <w:color w:val="auto"/>
          <w:sz w:val="24"/>
          <w:highlight w:val="none"/>
          <w:u w:val="single"/>
        </w:rPr>
        <w:t>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bCs/>
          <w:color w:val="auto"/>
          <w:sz w:val="24"/>
          <w:highlight w:val="none"/>
          <w:lang w:eastAsia="zh-CN"/>
        </w:rPr>
        <w:t>交易</w:t>
      </w:r>
      <w:r>
        <w:rPr>
          <w:rFonts w:hint="eastAsia" w:ascii="仿宋" w:hAnsi="仿宋" w:eastAsia="仿宋" w:cs="仿宋"/>
          <w:bCs/>
          <w:color w:val="auto"/>
          <w:sz w:val="24"/>
          <w:highlight w:val="none"/>
        </w:rPr>
        <w:t>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E7F1E2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3CAB549">
      <w:pPr>
        <w:spacing w:line="360" w:lineRule="auto"/>
        <w:ind w:firstLine="494"/>
        <w:rPr>
          <w:rFonts w:hint="eastAsia" w:ascii="仿宋" w:hAnsi="仿宋" w:eastAsia="仿宋" w:cs="仿宋"/>
          <w:color w:val="auto"/>
          <w:sz w:val="24"/>
          <w:highlight w:val="none"/>
        </w:rPr>
      </w:pPr>
    </w:p>
    <w:p w14:paraId="326BFBF5">
      <w:pPr>
        <w:spacing w:line="360" w:lineRule="auto"/>
        <w:ind w:firstLine="494"/>
        <w:rPr>
          <w:rFonts w:hint="eastAsia" w:ascii="仿宋" w:hAnsi="仿宋" w:eastAsia="仿宋" w:cs="仿宋"/>
          <w:color w:val="auto"/>
          <w:sz w:val="24"/>
          <w:highlight w:val="none"/>
        </w:rPr>
      </w:pPr>
    </w:p>
    <w:p w14:paraId="06240746">
      <w:pPr>
        <w:spacing w:line="360" w:lineRule="auto"/>
        <w:ind w:firstLine="494"/>
        <w:rPr>
          <w:rFonts w:hint="eastAsia" w:ascii="仿宋" w:hAnsi="仿宋" w:eastAsia="仿宋" w:cs="仿宋"/>
          <w:color w:val="auto"/>
          <w:sz w:val="24"/>
          <w:highlight w:val="none"/>
        </w:rPr>
      </w:pPr>
    </w:p>
    <w:p w14:paraId="1130C5EA">
      <w:pPr>
        <w:spacing w:line="360" w:lineRule="auto"/>
        <w:ind w:firstLine="494"/>
        <w:rPr>
          <w:rFonts w:hint="eastAsia" w:ascii="仿宋" w:hAnsi="仿宋" w:eastAsia="仿宋" w:cs="仿宋"/>
          <w:color w:val="auto"/>
          <w:sz w:val="24"/>
          <w:highlight w:val="none"/>
        </w:rPr>
      </w:pPr>
    </w:p>
    <w:p w14:paraId="7FA1B9C5">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单位（法定名称章）：</w:t>
      </w:r>
    </w:p>
    <w:p w14:paraId="732AB809">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FC9A3A3">
      <w:pP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附：</w:t>
      </w:r>
    </w:p>
    <w:p w14:paraId="160DE491">
      <w:pPr>
        <w:spacing w:line="360" w:lineRule="auto"/>
        <w:rPr>
          <w:rFonts w:hint="eastAsia" w:ascii="仿宋" w:hAnsi="仿宋" w:eastAsia="仿宋" w:cs="仿宋"/>
          <w:bCs/>
          <w:color w:val="auto"/>
          <w:sz w:val="24"/>
          <w:highlight w:val="none"/>
        </w:rPr>
      </w:pPr>
      <w:r>
        <w:rPr>
          <w:rFonts w:hint="eastAsia" w:ascii="仿宋" w:hAnsi="仿宋" w:eastAsia="仿宋" w:cs="仿宋"/>
          <w:b w:val="0"/>
          <w:bCs w:val="0"/>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val="0"/>
          <w:bCs w:val="0"/>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val="0"/>
          <w:bCs w:val="0"/>
          <w:color w:val="auto"/>
          <w:sz w:val="24"/>
          <w:highlight w:val="none"/>
          <w:lang w:eastAsia="zh-CN"/>
        </w:rPr>
        <w:t>响应</w:t>
      </w:r>
      <w:r>
        <w:rPr>
          <w:rFonts w:hint="eastAsia" w:ascii="仿宋" w:hAnsi="仿宋" w:eastAsia="仿宋" w:cs="仿宋"/>
          <w:color w:val="auto"/>
          <w:sz w:val="24"/>
          <w:highlight w:val="none"/>
        </w:rPr>
        <w:t xml:space="preserve">单位法定名称章（印模）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单位“XX专用章”（印模）</w:t>
      </w:r>
    </w:p>
    <w:p w14:paraId="057292EA">
      <w:pPr>
        <w:autoSpaceDE w:val="0"/>
        <w:autoSpaceDN w:val="0"/>
        <w:jc w:val="center"/>
        <w:rPr>
          <w:rFonts w:hint="eastAsia" w:ascii="仿宋" w:hAnsi="仿宋" w:eastAsia="仿宋" w:cs="仿宋"/>
          <w:b/>
          <w:color w:val="auto"/>
          <w:spacing w:val="6"/>
          <w:sz w:val="32"/>
          <w:szCs w:val="32"/>
          <w:highlight w:val="none"/>
        </w:rPr>
      </w:pPr>
    </w:p>
    <w:p w14:paraId="2EB0AC07">
      <w:pPr>
        <w:autoSpaceDE w:val="0"/>
        <w:autoSpaceDN w:val="0"/>
        <w:jc w:val="center"/>
        <w:rPr>
          <w:rFonts w:hint="eastAsia" w:ascii="仿宋" w:hAnsi="仿宋" w:eastAsia="仿宋" w:cs="仿宋"/>
          <w:b/>
          <w:color w:val="auto"/>
          <w:spacing w:val="6"/>
          <w:sz w:val="32"/>
          <w:szCs w:val="32"/>
          <w:highlight w:val="none"/>
        </w:rPr>
      </w:pPr>
    </w:p>
    <w:p w14:paraId="2C49CFB5">
      <w:pPr>
        <w:autoSpaceDE w:val="0"/>
        <w:autoSpaceDN w:val="0"/>
        <w:jc w:val="center"/>
        <w:rPr>
          <w:rFonts w:hint="eastAsia" w:ascii="仿宋" w:hAnsi="仿宋" w:eastAsia="仿宋" w:cs="仿宋"/>
          <w:b/>
          <w:color w:val="auto"/>
          <w:spacing w:val="6"/>
          <w:sz w:val="32"/>
          <w:szCs w:val="32"/>
          <w:highlight w:val="none"/>
        </w:rPr>
      </w:pPr>
    </w:p>
    <w:p w14:paraId="0B84ED26">
      <w:pPr>
        <w:autoSpaceDE w:val="0"/>
        <w:autoSpaceDN w:val="0"/>
        <w:jc w:val="center"/>
        <w:rPr>
          <w:rFonts w:hint="eastAsia" w:ascii="仿宋" w:hAnsi="仿宋" w:eastAsia="仿宋" w:cs="仿宋"/>
          <w:b/>
          <w:color w:val="auto"/>
          <w:spacing w:val="6"/>
          <w:sz w:val="32"/>
          <w:szCs w:val="32"/>
          <w:highlight w:val="none"/>
        </w:rPr>
      </w:pPr>
    </w:p>
    <w:p w14:paraId="4E047EE1">
      <w:pPr>
        <w:autoSpaceDE w:val="0"/>
        <w:autoSpaceDN w:val="0"/>
        <w:jc w:val="center"/>
        <w:rPr>
          <w:rFonts w:hint="eastAsia" w:ascii="仿宋" w:hAnsi="仿宋" w:eastAsia="仿宋" w:cs="仿宋"/>
          <w:b/>
          <w:color w:val="auto"/>
          <w:spacing w:val="6"/>
          <w:sz w:val="32"/>
          <w:szCs w:val="32"/>
          <w:highlight w:val="none"/>
        </w:rPr>
      </w:pPr>
    </w:p>
    <w:p w14:paraId="010CEC0F">
      <w:pPr>
        <w:autoSpaceDE w:val="0"/>
        <w:autoSpaceDN w:val="0"/>
        <w:jc w:val="center"/>
        <w:rPr>
          <w:rFonts w:hint="eastAsia" w:ascii="仿宋" w:hAnsi="仿宋" w:eastAsia="仿宋" w:cs="仿宋"/>
          <w:b/>
          <w:color w:val="auto"/>
          <w:spacing w:val="6"/>
          <w:sz w:val="32"/>
          <w:szCs w:val="32"/>
          <w:highlight w:val="none"/>
        </w:rPr>
      </w:pPr>
    </w:p>
    <w:p w14:paraId="577443DC">
      <w:pPr>
        <w:autoSpaceDE w:val="0"/>
        <w:autoSpaceDN w:val="0"/>
        <w:jc w:val="center"/>
        <w:rPr>
          <w:rFonts w:hint="eastAsia" w:ascii="仿宋" w:hAnsi="仿宋" w:eastAsia="仿宋" w:cs="仿宋"/>
          <w:b/>
          <w:color w:val="auto"/>
          <w:spacing w:val="6"/>
          <w:sz w:val="32"/>
          <w:szCs w:val="32"/>
          <w:highlight w:val="none"/>
        </w:rPr>
      </w:pPr>
    </w:p>
    <w:p w14:paraId="7A3D548B">
      <w:pPr>
        <w:autoSpaceDE w:val="0"/>
        <w:autoSpaceDN w:val="0"/>
        <w:jc w:val="center"/>
        <w:rPr>
          <w:rFonts w:hint="eastAsia" w:ascii="仿宋" w:hAnsi="仿宋" w:eastAsia="仿宋" w:cs="仿宋"/>
          <w:b/>
          <w:color w:val="auto"/>
          <w:spacing w:val="6"/>
          <w:sz w:val="32"/>
          <w:szCs w:val="32"/>
          <w:highlight w:val="none"/>
        </w:rPr>
      </w:pPr>
    </w:p>
    <w:p w14:paraId="6CE0AFCF">
      <w:pPr>
        <w:autoSpaceDE w:val="0"/>
        <w:autoSpaceDN w:val="0"/>
        <w:jc w:val="center"/>
        <w:rPr>
          <w:rFonts w:hint="eastAsia" w:ascii="仿宋" w:hAnsi="仿宋" w:eastAsia="仿宋" w:cs="仿宋"/>
          <w:b/>
          <w:color w:val="auto"/>
          <w:spacing w:val="6"/>
          <w:sz w:val="32"/>
          <w:szCs w:val="32"/>
          <w:highlight w:val="none"/>
        </w:rPr>
      </w:pPr>
    </w:p>
    <w:p w14:paraId="21E7A07A">
      <w:pPr>
        <w:autoSpaceDE w:val="0"/>
        <w:autoSpaceDN w:val="0"/>
        <w:jc w:val="center"/>
        <w:rPr>
          <w:rFonts w:hint="eastAsia" w:ascii="仿宋" w:hAnsi="仿宋" w:eastAsia="仿宋" w:cs="仿宋"/>
          <w:b/>
          <w:color w:val="auto"/>
          <w:spacing w:val="6"/>
          <w:sz w:val="32"/>
          <w:szCs w:val="32"/>
          <w:highlight w:val="none"/>
        </w:rPr>
      </w:pPr>
    </w:p>
    <w:p w14:paraId="22A39946">
      <w:pPr>
        <w:autoSpaceDE w:val="0"/>
        <w:autoSpaceDN w:val="0"/>
        <w:jc w:val="center"/>
        <w:rPr>
          <w:rFonts w:hint="eastAsia" w:ascii="仿宋" w:hAnsi="仿宋" w:eastAsia="仿宋" w:cs="仿宋"/>
          <w:b/>
          <w:color w:val="auto"/>
          <w:spacing w:val="6"/>
          <w:sz w:val="32"/>
          <w:szCs w:val="32"/>
          <w:highlight w:val="none"/>
        </w:rPr>
      </w:pPr>
    </w:p>
    <w:p w14:paraId="03083A2B">
      <w:pPr>
        <w:autoSpaceDE w:val="0"/>
        <w:autoSpaceDN w:val="0"/>
        <w:jc w:val="center"/>
        <w:rPr>
          <w:rFonts w:hint="eastAsia" w:ascii="仿宋" w:hAnsi="仿宋" w:eastAsia="仿宋" w:cs="仿宋"/>
          <w:b/>
          <w:color w:val="auto"/>
          <w:spacing w:val="6"/>
          <w:sz w:val="32"/>
          <w:szCs w:val="32"/>
          <w:highlight w:val="none"/>
        </w:rPr>
      </w:pPr>
    </w:p>
    <w:p w14:paraId="7032DBCA">
      <w:pPr>
        <w:autoSpaceDE w:val="0"/>
        <w:autoSpaceDN w:val="0"/>
        <w:jc w:val="center"/>
        <w:rPr>
          <w:rFonts w:hint="eastAsia" w:ascii="仿宋" w:hAnsi="仿宋" w:eastAsia="仿宋" w:cs="仿宋"/>
          <w:b/>
          <w:color w:val="auto"/>
          <w:spacing w:val="6"/>
          <w:sz w:val="32"/>
          <w:szCs w:val="32"/>
          <w:highlight w:val="none"/>
        </w:rPr>
      </w:pPr>
    </w:p>
    <w:p w14:paraId="2D22D0FF">
      <w:pPr>
        <w:autoSpaceDE w:val="0"/>
        <w:autoSpaceDN w:val="0"/>
        <w:jc w:val="center"/>
        <w:rPr>
          <w:rFonts w:hint="eastAsia" w:ascii="仿宋" w:hAnsi="仿宋" w:eastAsia="仿宋" w:cs="仿宋"/>
          <w:b/>
          <w:color w:val="auto"/>
          <w:spacing w:val="6"/>
          <w:sz w:val="32"/>
          <w:szCs w:val="32"/>
          <w:highlight w:val="none"/>
        </w:rPr>
      </w:pPr>
    </w:p>
    <w:p w14:paraId="7D7D3697">
      <w:pPr>
        <w:autoSpaceDE w:val="0"/>
        <w:autoSpaceDN w:val="0"/>
        <w:jc w:val="center"/>
        <w:rPr>
          <w:rFonts w:hint="eastAsia" w:ascii="仿宋" w:hAnsi="仿宋" w:eastAsia="仿宋" w:cs="仿宋"/>
          <w:b/>
          <w:color w:val="auto"/>
          <w:spacing w:val="6"/>
          <w:sz w:val="32"/>
          <w:szCs w:val="32"/>
          <w:highlight w:val="none"/>
        </w:rPr>
      </w:pPr>
    </w:p>
    <w:p w14:paraId="0B63BCB0">
      <w:pPr>
        <w:autoSpaceDE w:val="0"/>
        <w:autoSpaceDN w:val="0"/>
        <w:jc w:val="center"/>
        <w:rPr>
          <w:rFonts w:hint="eastAsia" w:ascii="仿宋" w:hAnsi="仿宋" w:eastAsia="仿宋" w:cs="仿宋"/>
          <w:b/>
          <w:color w:val="auto"/>
          <w:spacing w:val="6"/>
          <w:sz w:val="32"/>
          <w:szCs w:val="32"/>
          <w:highlight w:val="none"/>
        </w:rPr>
      </w:pPr>
    </w:p>
    <w:p w14:paraId="5D77F3D6">
      <w:pPr>
        <w:autoSpaceDE w:val="0"/>
        <w:autoSpaceDN w:val="0"/>
        <w:jc w:val="center"/>
        <w:rPr>
          <w:rFonts w:hint="eastAsia" w:ascii="仿宋" w:hAnsi="仿宋" w:eastAsia="仿宋" w:cs="仿宋"/>
          <w:b/>
          <w:color w:val="auto"/>
          <w:spacing w:val="6"/>
          <w:sz w:val="32"/>
          <w:szCs w:val="32"/>
          <w:highlight w:val="none"/>
        </w:rPr>
      </w:pPr>
    </w:p>
    <w:p w14:paraId="577CF3D4">
      <w:pPr>
        <w:autoSpaceDE w:val="0"/>
        <w:autoSpaceDN w:val="0"/>
        <w:jc w:val="center"/>
        <w:rPr>
          <w:rFonts w:hint="eastAsia" w:ascii="仿宋" w:hAnsi="仿宋" w:eastAsia="仿宋" w:cs="仿宋"/>
          <w:b/>
          <w:color w:val="auto"/>
          <w:spacing w:val="6"/>
          <w:sz w:val="32"/>
          <w:szCs w:val="32"/>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FangSong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4EF4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55D381C">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C400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70FDE58F">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1D13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C0A1A86">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C04D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0C33201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1F630">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D9735">
    <w:pPr>
      <w:pStyle w:val="43"/>
      <w:framePr w:wrap="around" w:vAnchor="text" w:hAnchor="margin" w:xAlign="right" w:y="1"/>
      <w:rPr>
        <w:rStyle w:val="73"/>
      </w:rPr>
    </w:pPr>
    <w:r>
      <w:fldChar w:fldCharType="begin"/>
    </w:r>
    <w:r>
      <w:rPr>
        <w:rStyle w:val="73"/>
      </w:rPr>
      <w:instrText xml:space="preserve">PAGE  </w:instrText>
    </w:r>
    <w:r>
      <w:fldChar w:fldCharType="end"/>
    </w:r>
  </w:p>
  <w:p w14:paraId="50597643">
    <w:pPr>
      <w:pStyle w:val="4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3E6EA">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19E20">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FE19A">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391" w:name="_Toc164085800"/>
    <w:bookmarkStart w:id="392" w:name="_Toc131845147"/>
    <w:bookmarkStart w:id="393" w:name="_Toc36110187"/>
    <w:bookmarkStart w:id="394" w:name="_Toc91899912"/>
    <w:r>
      <w:rPr>
        <w:rFonts w:hint="eastAsia" w:ascii="仿宋_GB2312" w:eastAsia="仿宋_GB2312"/>
        <w:kern w:val="0"/>
        <w:szCs w:val="21"/>
      </w:rPr>
      <w:t xml:space="preserve"> 页</w:t>
    </w:r>
    <w:bookmarkEnd w:id="391"/>
    <w:bookmarkEnd w:id="392"/>
    <w:bookmarkEnd w:id="393"/>
    <w:bookmarkEnd w:id="39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75CD5">
    <w:pPr>
      <w:pStyle w:val="44"/>
      <w:jc w:val="right"/>
      <w:rPr>
        <w:rFonts w:hint="eastAsia" w:ascii="仿宋_GB2312" w:eastAsia="宋体"/>
        <w:b/>
        <w:i/>
        <w:u w:val="single"/>
        <w:lang w:eastAsia="zh-CN"/>
      </w:rPr>
    </w:pPr>
    <w:r>
      <w:t></w:t>
    </w:r>
    <w:r>
      <w:rPr>
        <w:rFonts w:hint="eastAsia"/>
      </w:rPr>
      <w:t xml:space="preserve">                                                  </w:t>
    </w:r>
    <w:r>
      <w:t>公开</w:t>
    </w:r>
    <w:r>
      <w:rPr>
        <w:rFonts w:hint="eastAsia"/>
        <w:lang w:eastAsia="zh-CN"/>
      </w:rPr>
      <w:t>交易文件</w:t>
    </w:r>
  </w:p>
  <w:p w14:paraId="1BC9E87B">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03B8A">
    <w:pPr>
      <w:pStyle w:val="44"/>
    </w:pPr>
    <w:r>
      <w:t></w:t>
    </w:r>
    <w:r>
      <w:rPr>
        <w:rFonts w:hint="eastAsia"/>
      </w:rPr>
      <w:t xml:space="preserve">         </w:t>
    </w:r>
  </w:p>
  <w:p w14:paraId="27BBE556">
    <w:pPr>
      <w:pStyle w:val="44"/>
      <w:jc w:val="right"/>
      <w:rPr>
        <w:rFonts w:hint="eastAsia" w:eastAsia="宋体"/>
        <w:lang w:eastAsia="zh-CN"/>
      </w:rPr>
    </w:pPr>
    <w:r>
      <w:rPr>
        <w:rFonts w:hint="eastAsia"/>
      </w:rPr>
      <w:t xml:space="preserve">                                                                  </w:t>
    </w:r>
    <w:r>
      <w:rPr>
        <w:rFonts w:hint="eastAsia"/>
        <w:lang w:val="en-US" w:eastAsia="zh-CN"/>
      </w:rPr>
      <w:t xml:space="preserve"> </w:t>
    </w:r>
    <w:r>
      <w:t>公开</w:t>
    </w:r>
    <w:r>
      <w:rPr>
        <w:rFonts w:hint="eastAsia"/>
        <w:lang w:eastAsia="zh-CN"/>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9D1B6">
    <w:pPr>
      <w:pStyle w:val="44"/>
      <w:jc w:val="right"/>
      <w:rPr>
        <w:rFonts w:hint="eastAsia" w:ascii="仿宋_GB2312" w:eastAsia="宋体"/>
        <w:b/>
        <w:i/>
        <w:u w:val="single"/>
        <w:lang w:eastAsia="zh-CN"/>
      </w:rPr>
    </w:pPr>
    <w:r>
      <w:rPr>
        <w:rFonts w:hint="eastAsia"/>
      </w:rPr>
      <w:t xml:space="preserve">                                 </w:t>
    </w:r>
    <w:r>
      <w:t>公开</w:t>
    </w:r>
    <w:r>
      <w:rPr>
        <w:rFonts w:hint="eastAsia"/>
        <w:lang w:eastAsia="zh-CN"/>
      </w:rPr>
      <w:t>交易文件</w:t>
    </w:r>
  </w:p>
  <w:p w14:paraId="0D60156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BFEE0">
    <w:pPr>
      <w:pStyle w:val="44"/>
      <w:jc w:val="right"/>
      <w:rPr>
        <w:rFonts w:hint="eastAsia" w:eastAsia="宋体"/>
        <w:lang w:eastAsia="zh-CN"/>
      </w:rPr>
    </w:pPr>
    <w:r>
      <w:rPr>
        <w:rFonts w:hint="eastAsia"/>
      </w:rPr>
      <w:t xml:space="preserve">                                                                                                        </w:t>
    </w:r>
    <w:r>
      <w:rPr>
        <w:rFonts w:hint="eastAsia"/>
        <w:lang w:val="en-US" w:eastAsia="zh-CN"/>
      </w:rPr>
      <w:t xml:space="preserve"> </w:t>
    </w:r>
    <w:r>
      <w:t>公开</w:t>
    </w:r>
    <w:r>
      <w:rPr>
        <w:rFonts w:hint="eastAsia"/>
        <w:lang w:eastAsia="zh-CN"/>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0E0D3">
    <w:pPr>
      <w:pStyle w:val="44"/>
      <w:jc w:val="right"/>
      <w:rPr>
        <w:rFonts w:hint="eastAsia" w:ascii="仿宋_GB2312" w:eastAsia="宋体"/>
        <w:b/>
        <w:i/>
        <w:iCs/>
        <w:u w:val="single"/>
        <w:lang w:eastAsia="zh-CN"/>
      </w:rPr>
    </w:pPr>
    <w:r>
      <w:t>公开</w:t>
    </w:r>
    <w:r>
      <w:rPr>
        <w:rFonts w:hint="eastAsia"/>
        <w:lang w:eastAsia="zh-CN"/>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1C648">
    <w:pPr>
      <w:pStyle w:val="44"/>
      <w:jc w:val="right"/>
      <w:rPr>
        <w:rFonts w:hint="eastAsia" w:eastAsia="宋体"/>
        <w:lang w:eastAsia="zh-CN"/>
      </w:rPr>
    </w:pPr>
    <w:r>
      <w:t></w:t>
    </w:r>
    <w:r>
      <w:rPr>
        <w:rFonts w:hint="eastAsia"/>
      </w:rPr>
      <w:t xml:space="preserve">                                            </w:t>
    </w:r>
    <w:r>
      <w:t>公开</w:t>
    </w:r>
    <w:r>
      <w:rPr>
        <w:rFonts w:hint="eastAsia"/>
        <w:lang w:eastAsia="zh-CN"/>
      </w:rPr>
      <w:t>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5E983">
    <w:pPr>
      <w:pStyle w:val="44"/>
      <w:jc w:val="right"/>
      <w:rPr>
        <w:rFonts w:hint="eastAsia" w:ascii="仿宋_GB2312" w:eastAsia="宋体"/>
        <w:b/>
        <w:i/>
        <w:iCs/>
        <w:u w:val="single"/>
        <w:lang w:eastAsia="zh-CN"/>
      </w:rPr>
    </w:pPr>
    <w:r>
      <w:t>公开</w:t>
    </w:r>
    <w:r>
      <w:rPr>
        <w:rFonts w:hint="eastAsia"/>
        <w:lang w:eastAsia="zh-CN"/>
      </w:rPr>
      <w:t>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D288A">
    <w:pPr>
      <w:pStyle w:val="44"/>
      <w:jc w:val="right"/>
      <w:rPr>
        <w:rFonts w:hint="eastAsia" w:eastAsia="宋体"/>
        <w:lang w:eastAsia="zh-CN"/>
      </w:rPr>
    </w:pPr>
    <w:r>
      <w:t></w:t>
    </w:r>
    <w:r>
      <w:rPr>
        <w:rFonts w:hint="eastAsia"/>
      </w:rPr>
      <w:t xml:space="preserve">                                            </w:t>
    </w:r>
    <w:r>
      <w:t>公开</w:t>
    </w:r>
    <w:r>
      <w:rPr>
        <w:rFonts w:hint="eastAsia"/>
        <w:lang w:eastAsia="zh-CN"/>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ADCDE"/>
    <w:multiLevelType w:val="singleLevel"/>
    <w:tmpl w:val="AE4ADCDE"/>
    <w:lvl w:ilvl="0" w:tentative="0">
      <w:start w:val="2"/>
      <w:numFmt w:val="decimal"/>
      <w:suff w:val="nothing"/>
      <w:lvlText w:val="%1、"/>
      <w:lvlJc w:val="left"/>
    </w:lvl>
  </w:abstractNum>
  <w:abstractNum w:abstractNumId="1">
    <w:nsid w:val="CE253F6C"/>
    <w:multiLevelType w:val="singleLevel"/>
    <w:tmpl w:val="CE253F6C"/>
    <w:lvl w:ilvl="0" w:tentative="0">
      <w:start w:val="2"/>
      <w:numFmt w:val="decimal"/>
      <w:suff w:val="nothing"/>
      <w:lvlText w:val="（%1）"/>
      <w:lvlJc w:val="left"/>
    </w:lvl>
  </w:abstractNum>
  <w:abstractNum w:abstractNumId="2">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7480A00"/>
    <w:multiLevelType w:val="singleLevel"/>
    <w:tmpl w:val="37480A00"/>
    <w:lvl w:ilvl="0" w:tentative="0">
      <w:start w:val="1"/>
      <w:numFmt w:val="chineseCountingThousand"/>
      <w:suff w:val="nothing"/>
      <w:lvlText w:val="（%1）"/>
      <w:lvlJc w:val="left"/>
      <w:pPr>
        <w:ind w:left="0" w:firstLine="0"/>
      </w:pPr>
    </w:lvl>
  </w:abstractNum>
  <w:abstractNum w:abstractNumId="4">
    <w:nsid w:val="3FA069D0"/>
    <w:multiLevelType w:val="singleLevel"/>
    <w:tmpl w:val="3FA069D0"/>
    <w:lvl w:ilvl="0" w:tentative="0">
      <w:start w:val="1"/>
      <w:numFmt w:val="decimal"/>
      <w:suff w:val="nothing"/>
      <w:lvlText w:val="（%1）"/>
      <w:lvlJc w:val="left"/>
    </w:lvl>
  </w:abstractNum>
  <w:abstractNum w:abstractNumId="5">
    <w:nsid w:val="4559CAF2"/>
    <w:multiLevelType w:val="singleLevel"/>
    <w:tmpl w:val="4559CAF2"/>
    <w:lvl w:ilvl="0" w:tentative="0">
      <w:start w:val="2"/>
      <w:numFmt w:val="decimal"/>
      <w:suff w:val="nothing"/>
      <w:lvlText w:val="%1、"/>
      <w:lvlJc w:val="left"/>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Mzg0NzJhYTdkYWZlYTc2YzQ5ZTk2Y2U5NDZjYz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0637"/>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58D"/>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272341"/>
    <w:rsid w:val="01525F9E"/>
    <w:rsid w:val="019F7441"/>
    <w:rsid w:val="01B37585"/>
    <w:rsid w:val="01D17056"/>
    <w:rsid w:val="01D52B5B"/>
    <w:rsid w:val="01D55165"/>
    <w:rsid w:val="01DF6BF8"/>
    <w:rsid w:val="01EC2C57"/>
    <w:rsid w:val="025C7268"/>
    <w:rsid w:val="025F0711"/>
    <w:rsid w:val="026B2E25"/>
    <w:rsid w:val="02824D4D"/>
    <w:rsid w:val="02DC4B10"/>
    <w:rsid w:val="02DD76CE"/>
    <w:rsid w:val="02F36323"/>
    <w:rsid w:val="02F5619C"/>
    <w:rsid w:val="03020BC6"/>
    <w:rsid w:val="0326446A"/>
    <w:rsid w:val="032D5555"/>
    <w:rsid w:val="03610680"/>
    <w:rsid w:val="036634D2"/>
    <w:rsid w:val="03DD35E4"/>
    <w:rsid w:val="040278D2"/>
    <w:rsid w:val="04076900"/>
    <w:rsid w:val="041A5A3B"/>
    <w:rsid w:val="0420019C"/>
    <w:rsid w:val="042311BA"/>
    <w:rsid w:val="042B157A"/>
    <w:rsid w:val="048F763B"/>
    <w:rsid w:val="049F330E"/>
    <w:rsid w:val="04AA775C"/>
    <w:rsid w:val="04AF1889"/>
    <w:rsid w:val="04F66F48"/>
    <w:rsid w:val="04F76DD4"/>
    <w:rsid w:val="051E28A6"/>
    <w:rsid w:val="05251E14"/>
    <w:rsid w:val="053F077B"/>
    <w:rsid w:val="05507636"/>
    <w:rsid w:val="05770BD6"/>
    <w:rsid w:val="05A16594"/>
    <w:rsid w:val="05A7762D"/>
    <w:rsid w:val="05C04DC2"/>
    <w:rsid w:val="060E5941"/>
    <w:rsid w:val="06110FAF"/>
    <w:rsid w:val="06493CA7"/>
    <w:rsid w:val="065A6178"/>
    <w:rsid w:val="065C072B"/>
    <w:rsid w:val="065F76C6"/>
    <w:rsid w:val="066F1CF3"/>
    <w:rsid w:val="06930BB8"/>
    <w:rsid w:val="06957190"/>
    <w:rsid w:val="06D47382"/>
    <w:rsid w:val="07245D42"/>
    <w:rsid w:val="07264C62"/>
    <w:rsid w:val="0779354C"/>
    <w:rsid w:val="07F62A32"/>
    <w:rsid w:val="08061376"/>
    <w:rsid w:val="080C2E93"/>
    <w:rsid w:val="08452D77"/>
    <w:rsid w:val="086401F8"/>
    <w:rsid w:val="086A1C95"/>
    <w:rsid w:val="08751CAA"/>
    <w:rsid w:val="087E4C40"/>
    <w:rsid w:val="088502C6"/>
    <w:rsid w:val="08A871D0"/>
    <w:rsid w:val="08D66AD6"/>
    <w:rsid w:val="08DA33A3"/>
    <w:rsid w:val="08E80F13"/>
    <w:rsid w:val="09213781"/>
    <w:rsid w:val="09335624"/>
    <w:rsid w:val="09416162"/>
    <w:rsid w:val="0944690F"/>
    <w:rsid w:val="09535675"/>
    <w:rsid w:val="095A5849"/>
    <w:rsid w:val="095F057D"/>
    <w:rsid w:val="09642282"/>
    <w:rsid w:val="09733572"/>
    <w:rsid w:val="09772C16"/>
    <w:rsid w:val="098353B5"/>
    <w:rsid w:val="09A92330"/>
    <w:rsid w:val="09B06B87"/>
    <w:rsid w:val="09C13146"/>
    <w:rsid w:val="09DF2FD6"/>
    <w:rsid w:val="09E04166"/>
    <w:rsid w:val="0A1C0718"/>
    <w:rsid w:val="0A1C69D2"/>
    <w:rsid w:val="0A3E7710"/>
    <w:rsid w:val="0A5B7E63"/>
    <w:rsid w:val="0A7C42DB"/>
    <w:rsid w:val="0AA374A5"/>
    <w:rsid w:val="0AAB7649"/>
    <w:rsid w:val="0ABC5606"/>
    <w:rsid w:val="0AC96A98"/>
    <w:rsid w:val="0B30404E"/>
    <w:rsid w:val="0B4C6C14"/>
    <w:rsid w:val="0B5722B0"/>
    <w:rsid w:val="0B631A88"/>
    <w:rsid w:val="0B683D45"/>
    <w:rsid w:val="0B7F3F11"/>
    <w:rsid w:val="0B884417"/>
    <w:rsid w:val="0BBB1200"/>
    <w:rsid w:val="0BBD7CB7"/>
    <w:rsid w:val="0BF416C5"/>
    <w:rsid w:val="0BF6188C"/>
    <w:rsid w:val="0BF73C91"/>
    <w:rsid w:val="0C0532E2"/>
    <w:rsid w:val="0C170175"/>
    <w:rsid w:val="0C344DB1"/>
    <w:rsid w:val="0C571A41"/>
    <w:rsid w:val="0C5C1171"/>
    <w:rsid w:val="0C5E1CBC"/>
    <w:rsid w:val="0C615B50"/>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55BDF"/>
    <w:rsid w:val="0DF702FE"/>
    <w:rsid w:val="0E060E51"/>
    <w:rsid w:val="0E5604B2"/>
    <w:rsid w:val="0E6D5D79"/>
    <w:rsid w:val="0E88108E"/>
    <w:rsid w:val="0E9D0089"/>
    <w:rsid w:val="0EB803EE"/>
    <w:rsid w:val="0EF80A9B"/>
    <w:rsid w:val="0EF94D4B"/>
    <w:rsid w:val="0F0C3DC3"/>
    <w:rsid w:val="0F4958DC"/>
    <w:rsid w:val="0F515DF7"/>
    <w:rsid w:val="0F593D84"/>
    <w:rsid w:val="0F596BA8"/>
    <w:rsid w:val="0F6248D2"/>
    <w:rsid w:val="0F693536"/>
    <w:rsid w:val="0F7B0511"/>
    <w:rsid w:val="0F7B76D9"/>
    <w:rsid w:val="0F816ACD"/>
    <w:rsid w:val="0F9832DB"/>
    <w:rsid w:val="0FBF3FD2"/>
    <w:rsid w:val="0FBF7FF3"/>
    <w:rsid w:val="0FF46D31"/>
    <w:rsid w:val="0FF70D71"/>
    <w:rsid w:val="10646583"/>
    <w:rsid w:val="107D4B15"/>
    <w:rsid w:val="108A3C80"/>
    <w:rsid w:val="10C26171"/>
    <w:rsid w:val="10F33360"/>
    <w:rsid w:val="10FC16EA"/>
    <w:rsid w:val="110F1D40"/>
    <w:rsid w:val="11266F33"/>
    <w:rsid w:val="115A518A"/>
    <w:rsid w:val="118963A1"/>
    <w:rsid w:val="11A2456B"/>
    <w:rsid w:val="11C6522A"/>
    <w:rsid w:val="11D74D27"/>
    <w:rsid w:val="11E104CC"/>
    <w:rsid w:val="11E20309"/>
    <w:rsid w:val="120A7D3D"/>
    <w:rsid w:val="122431D2"/>
    <w:rsid w:val="12255233"/>
    <w:rsid w:val="12530213"/>
    <w:rsid w:val="127723A9"/>
    <w:rsid w:val="12862074"/>
    <w:rsid w:val="12883966"/>
    <w:rsid w:val="129E45B4"/>
    <w:rsid w:val="12D21374"/>
    <w:rsid w:val="12D81596"/>
    <w:rsid w:val="13072A44"/>
    <w:rsid w:val="131A1B7F"/>
    <w:rsid w:val="135F4BE2"/>
    <w:rsid w:val="139B1A0A"/>
    <w:rsid w:val="139D25C7"/>
    <w:rsid w:val="13BF3CE4"/>
    <w:rsid w:val="13F76DF0"/>
    <w:rsid w:val="141008D8"/>
    <w:rsid w:val="14125FE6"/>
    <w:rsid w:val="142931B3"/>
    <w:rsid w:val="14500381"/>
    <w:rsid w:val="1463333F"/>
    <w:rsid w:val="146D271E"/>
    <w:rsid w:val="147C10A3"/>
    <w:rsid w:val="14982588"/>
    <w:rsid w:val="149A5AD9"/>
    <w:rsid w:val="14A7619D"/>
    <w:rsid w:val="14F60883"/>
    <w:rsid w:val="150536C3"/>
    <w:rsid w:val="150C1963"/>
    <w:rsid w:val="151447A0"/>
    <w:rsid w:val="1523335B"/>
    <w:rsid w:val="154A6454"/>
    <w:rsid w:val="15762120"/>
    <w:rsid w:val="158E10A8"/>
    <w:rsid w:val="15E74ED5"/>
    <w:rsid w:val="15FA336F"/>
    <w:rsid w:val="16521650"/>
    <w:rsid w:val="16A8729C"/>
    <w:rsid w:val="16B33777"/>
    <w:rsid w:val="16B34B25"/>
    <w:rsid w:val="16BC70A7"/>
    <w:rsid w:val="16C6339E"/>
    <w:rsid w:val="16FE2244"/>
    <w:rsid w:val="172F2D79"/>
    <w:rsid w:val="17557BEF"/>
    <w:rsid w:val="17C533C5"/>
    <w:rsid w:val="17D349C1"/>
    <w:rsid w:val="18051945"/>
    <w:rsid w:val="1830729E"/>
    <w:rsid w:val="18361653"/>
    <w:rsid w:val="1870062C"/>
    <w:rsid w:val="18817102"/>
    <w:rsid w:val="18830A15"/>
    <w:rsid w:val="18852B28"/>
    <w:rsid w:val="188B5321"/>
    <w:rsid w:val="194039D9"/>
    <w:rsid w:val="1958579E"/>
    <w:rsid w:val="19932372"/>
    <w:rsid w:val="19A20DD5"/>
    <w:rsid w:val="19AE03F1"/>
    <w:rsid w:val="1A071A03"/>
    <w:rsid w:val="1A1F16AE"/>
    <w:rsid w:val="1A23520E"/>
    <w:rsid w:val="1A3A5C47"/>
    <w:rsid w:val="1A3B5C77"/>
    <w:rsid w:val="1A984BAD"/>
    <w:rsid w:val="1AB8220E"/>
    <w:rsid w:val="1AC276F1"/>
    <w:rsid w:val="1AC86859"/>
    <w:rsid w:val="1AE4166C"/>
    <w:rsid w:val="1AF06CFB"/>
    <w:rsid w:val="1AF11B8D"/>
    <w:rsid w:val="1B11359C"/>
    <w:rsid w:val="1B13595F"/>
    <w:rsid w:val="1B2A271F"/>
    <w:rsid w:val="1B530544"/>
    <w:rsid w:val="1B713184"/>
    <w:rsid w:val="1B732CD8"/>
    <w:rsid w:val="1BA209CF"/>
    <w:rsid w:val="1BA75909"/>
    <w:rsid w:val="1BB4777D"/>
    <w:rsid w:val="1BD75AB8"/>
    <w:rsid w:val="1BE22A26"/>
    <w:rsid w:val="1C0459C2"/>
    <w:rsid w:val="1C1B3B4A"/>
    <w:rsid w:val="1C427A2B"/>
    <w:rsid w:val="1C88086E"/>
    <w:rsid w:val="1D266CE1"/>
    <w:rsid w:val="1D3963AF"/>
    <w:rsid w:val="1D442C19"/>
    <w:rsid w:val="1D6A673C"/>
    <w:rsid w:val="1D9247AE"/>
    <w:rsid w:val="1DB567EC"/>
    <w:rsid w:val="1DDB6BF4"/>
    <w:rsid w:val="1DF51A98"/>
    <w:rsid w:val="1E29134E"/>
    <w:rsid w:val="1E3D060F"/>
    <w:rsid w:val="1E3F7D2E"/>
    <w:rsid w:val="1E4134E4"/>
    <w:rsid w:val="1E5062B3"/>
    <w:rsid w:val="1E523514"/>
    <w:rsid w:val="1E656CDF"/>
    <w:rsid w:val="1E714A66"/>
    <w:rsid w:val="1E802593"/>
    <w:rsid w:val="1E8B6156"/>
    <w:rsid w:val="1EA703CC"/>
    <w:rsid w:val="1EB7330C"/>
    <w:rsid w:val="1F0A0FF3"/>
    <w:rsid w:val="1F0B1D9E"/>
    <w:rsid w:val="1F0E4FEE"/>
    <w:rsid w:val="1F32168E"/>
    <w:rsid w:val="1F5771FF"/>
    <w:rsid w:val="1FE868A9"/>
    <w:rsid w:val="20034907"/>
    <w:rsid w:val="20173E4B"/>
    <w:rsid w:val="20457135"/>
    <w:rsid w:val="204E48BC"/>
    <w:rsid w:val="205968BE"/>
    <w:rsid w:val="208921B3"/>
    <w:rsid w:val="20973DEB"/>
    <w:rsid w:val="20B26522"/>
    <w:rsid w:val="20B44310"/>
    <w:rsid w:val="20DE0B6B"/>
    <w:rsid w:val="211116EB"/>
    <w:rsid w:val="216133FC"/>
    <w:rsid w:val="21D56769"/>
    <w:rsid w:val="21E52EF3"/>
    <w:rsid w:val="21FB5D7B"/>
    <w:rsid w:val="220B1C3D"/>
    <w:rsid w:val="221D1D20"/>
    <w:rsid w:val="22334A87"/>
    <w:rsid w:val="223905D4"/>
    <w:rsid w:val="225100F7"/>
    <w:rsid w:val="22717D6E"/>
    <w:rsid w:val="22811C9E"/>
    <w:rsid w:val="22BE6801"/>
    <w:rsid w:val="23224A7F"/>
    <w:rsid w:val="23337AB6"/>
    <w:rsid w:val="233500BF"/>
    <w:rsid w:val="23377FF7"/>
    <w:rsid w:val="234815AF"/>
    <w:rsid w:val="234E00AF"/>
    <w:rsid w:val="236B425F"/>
    <w:rsid w:val="23836192"/>
    <w:rsid w:val="23901F29"/>
    <w:rsid w:val="239C0061"/>
    <w:rsid w:val="23B70C60"/>
    <w:rsid w:val="23B908A4"/>
    <w:rsid w:val="23E95BEF"/>
    <w:rsid w:val="23FD0064"/>
    <w:rsid w:val="245375B0"/>
    <w:rsid w:val="24642C0A"/>
    <w:rsid w:val="249307DC"/>
    <w:rsid w:val="24A81A41"/>
    <w:rsid w:val="24B22173"/>
    <w:rsid w:val="24B95AD9"/>
    <w:rsid w:val="24BE24DA"/>
    <w:rsid w:val="24CF5825"/>
    <w:rsid w:val="24D663E6"/>
    <w:rsid w:val="24D77F2B"/>
    <w:rsid w:val="253820CF"/>
    <w:rsid w:val="2542313F"/>
    <w:rsid w:val="258B00E2"/>
    <w:rsid w:val="25A917A6"/>
    <w:rsid w:val="25BD1F10"/>
    <w:rsid w:val="25BE27CC"/>
    <w:rsid w:val="25E814ED"/>
    <w:rsid w:val="25F74A5C"/>
    <w:rsid w:val="2628662C"/>
    <w:rsid w:val="262D45DE"/>
    <w:rsid w:val="267D5E81"/>
    <w:rsid w:val="26871DC8"/>
    <w:rsid w:val="26A53EF9"/>
    <w:rsid w:val="26A94201"/>
    <w:rsid w:val="26AC274F"/>
    <w:rsid w:val="26B0113A"/>
    <w:rsid w:val="27044A29"/>
    <w:rsid w:val="271D34C8"/>
    <w:rsid w:val="27563AB9"/>
    <w:rsid w:val="276142BF"/>
    <w:rsid w:val="27783712"/>
    <w:rsid w:val="27907362"/>
    <w:rsid w:val="27AA712F"/>
    <w:rsid w:val="27BF4498"/>
    <w:rsid w:val="28333E1D"/>
    <w:rsid w:val="28454BD6"/>
    <w:rsid w:val="28455253"/>
    <w:rsid w:val="28551971"/>
    <w:rsid w:val="285B1C53"/>
    <w:rsid w:val="289F7086"/>
    <w:rsid w:val="28AE2CE0"/>
    <w:rsid w:val="28C32028"/>
    <w:rsid w:val="28CC490F"/>
    <w:rsid w:val="28DE40AA"/>
    <w:rsid w:val="29345E48"/>
    <w:rsid w:val="29345E77"/>
    <w:rsid w:val="294C65AD"/>
    <w:rsid w:val="294D0665"/>
    <w:rsid w:val="29806583"/>
    <w:rsid w:val="298B3C4C"/>
    <w:rsid w:val="299254C6"/>
    <w:rsid w:val="29E65F16"/>
    <w:rsid w:val="29F26D24"/>
    <w:rsid w:val="2A15033F"/>
    <w:rsid w:val="2A1662C1"/>
    <w:rsid w:val="2A1C7367"/>
    <w:rsid w:val="2A2815FA"/>
    <w:rsid w:val="2A6D6092"/>
    <w:rsid w:val="2A7D76B4"/>
    <w:rsid w:val="2AD83D4B"/>
    <w:rsid w:val="2B437463"/>
    <w:rsid w:val="2B5D643F"/>
    <w:rsid w:val="2B7807EE"/>
    <w:rsid w:val="2BA50BF7"/>
    <w:rsid w:val="2BA8199B"/>
    <w:rsid w:val="2BBF00EC"/>
    <w:rsid w:val="2BC37CFD"/>
    <w:rsid w:val="2BD5237F"/>
    <w:rsid w:val="2BE536CE"/>
    <w:rsid w:val="2BE758D9"/>
    <w:rsid w:val="2BEF473D"/>
    <w:rsid w:val="2C09049E"/>
    <w:rsid w:val="2C0A653C"/>
    <w:rsid w:val="2C1036F5"/>
    <w:rsid w:val="2C191F85"/>
    <w:rsid w:val="2CA50ADA"/>
    <w:rsid w:val="2CE82D6F"/>
    <w:rsid w:val="2D343236"/>
    <w:rsid w:val="2D502C75"/>
    <w:rsid w:val="2DD15014"/>
    <w:rsid w:val="2DF72DE4"/>
    <w:rsid w:val="2E0220AF"/>
    <w:rsid w:val="2E381D61"/>
    <w:rsid w:val="2E4B082A"/>
    <w:rsid w:val="2E4E75EE"/>
    <w:rsid w:val="2E5D4E86"/>
    <w:rsid w:val="2E5D790B"/>
    <w:rsid w:val="2E642E71"/>
    <w:rsid w:val="2E661D51"/>
    <w:rsid w:val="2E7A7097"/>
    <w:rsid w:val="2E7D5CEC"/>
    <w:rsid w:val="2E9A3C18"/>
    <w:rsid w:val="2EBB0FEE"/>
    <w:rsid w:val="2EBC2E8A"/>
    <w:rsid w:val="2EC5229A"/>
    <w:rsid w:val="2EC63002"/>
    <w:rsid w:val="2F0A6B38"/>
    <w:rsid w:val="2F2B6BEA"/>
    <w:rsid w:val="2F42145E"/>
    <w:rsid w:val="2F946CCB"/>
    <w:rsid w:val="2FD25781"/>
    <w:rsid w:val="2FFD7934"/>
    <w:rsid w:val="30733ACD"/>
    <w:rsid w:val="308C3862"/>
    <w:rsid w:val="309379D8"/>
    <w:rsid w:val="30955C2D"/>
    <w:rsid w:val="30A270F7"/>
    <w:rsid w:val="30C3032E"/>
    <w:rsid w:val="30C916BD"/>
    <w:rsid w:val="30DF1478"/>
    <w:rsid w:val="30EC586F"/>
    <w:rsid w:val="31192539"/>
    <w:rsid w:val="31221F3C"/>
    <w:rsid w:val="319475D5"/>
    <w:rsid w:val="319C6071"/>
    <w:rsid w:val="31AC537E"/>
    <w:rsid w:val="31E3679B"/>
    <w:rsid w:val="31E732FD"/>
    <w:rsid w:val="32221084"/>
    <w:rsid w:val="322D0B0C"/>
    <w:rsid w:val="32517576"/>
    <w:rsid w:val="32584AA6"/>
    <w:rsid w:val="32753675"/>
    <w:rsid w:val="32A64673"/>
    <w:rsid w:val="32BE5C2C"/>
    <w:rsid w:val="32FB6478"/>
    <w:rsid w:val="33185AB9"/>
    <w:rsid w:val="33263B3F"/>
    <w:rsid w:val="336945FC"/>
    <w:rsid w:val="336963EB"/>
    <w:rsid w:val="337B3785"/>
    <w:rsid w:val="33816EEB"/>
    <w:rsid w:val="33EB55CD"/>
    <w:rsid w:val="33EC4C02"/>
    <w:rsid w:val="33F95E15"/>
    <w:rsid w:val="33FE7475"/>
    <w:rsid w:val="340D2360"/>
    <w:rsid w:val="3410665D"/>
    <w:rsid w:val="34211214"/>
    <w:rsid w:val="342E63AB"/>
    <w:rsid w:val="343427A6"/>
    <w:rsid w:val="343F2C99"/>
    <w:rsid w:val="345A3695"/>
    <w:rsid w:val="34950E68"/>
    <w:rsid w:val="34986E94"/>
    <w:rsid w:val="34AF62C9"/>
    <w:rsid w:val="34CB4388"/>
    <w:rsid w:val="34FA6E12"/>
    <w:rsid w:val="35433A41"/>
    <w:rsid w:val="354D7158"/>
    <w:rsid w:val="355323A7"/>
    <w:rsid w:val="355928EA"/>
    <w:rsid w:val="358D5588"/>
    <w:rsid w:val="35A40002"/>
    <w:rsid w:val="35AB313F"/>
    <w:rsid w:val="362224E4"/>
    <w:rsid w:val="36314B8F"/>
    <w:rsid w:val="363A3B40"/>
    <w:rsid w:val="365302AE"/>
    <w:rsid w:val="36607A0A"/>
    <w:rsid w:val="366E227C"/>
    <w:rsid w:val="366F2E0D"/>
    <w:rsid w:val="367B6A5C"/>
    <w:rsid w:val="36A74ADA"/>
    <w:rsid w:val="36AD60D5"/>
    <w:rsid w:val="36B224F9"/>
    <w:rsid w:val="36EC0CC9"/>
    <w:rsid w:val="370A2B55"/>
    <w:rsid w:val="373F410B"/>
    <w:rsid w:val="375D3ED9"/>
    <w:rsid w:val="37EE7094"/>
    <w:rsid w:val="38296C89"/>
    <w:rsid w:val="383002EB"/>
    <w:rsid w:val="38586797"/>
    <w:rsid w:val="38BC0149"/>
    <w:rsid w:val="38C1305A"/>
    <w:rsid w:val="38D87D1C"/>
    <w:rsid w:val="39300C05"/>
    <w:rsid w:val="39636459"/>
    <w:rsid w:val="396B7F6C"/>
    <w:rsid w:val="39B417A9"/>
    <w:rsid w:val="39FC5695"/>
    <w:rsid w:val="3A006D8E"/>
    <w:rsid w:val="3A3651E5"/>
    <w:rsid w:val="3A744481"/>
    <w:rsid w:val="3A7A7DC8"/>
    <w:rsid w:val="3A8C7BEF"/>
    <w:rsid w:val="3A906246"/>
    <w:rsid w:val="3AC21656"/>
    <w:rsid w:val="3B2349B7"/>
    <w:rsid w:val="3B616CFF"/>
    <w:rsid w:val="3B6259F6"/>
    <w:rsid w:val="3B7751AF"/>
    <w:rsid w:val="3B787957"/>
    <w:rsid w:val="3B9558B0"/>
    <w:rsid w:val="3B976654"/>
    <w:rsid w:val="3BAA122E"/>
    <w:rsid w:val="3BC01EFC"/>
    <w:rsid w:val="3BC400A3"/>
    <w:rsid w:val="3BCA786A"/>
    <w:rsid w:val="3BD31E2F"/>
    <w:rsid w:val="3BEB0ADF"/>
    <w:rsid w:val="3BF15831"/>
    <w:rsid w:val="3C105946"/>
    <w:rsid w:val="3C471448"/>
    <w:rsid w:val="3C5F759A"/>
    <w:rsid w:val="3C6C525A"/>
    <w:rsid w:val="3CCE23CB"/>
    <w:rsid w:val="3CD17D17"/>
    <w:rsid w:val="3D3C7F39"/>
    <w:rsid w:val="3D440F09"/>
    <w:rsid w:val="3D4504A0"/>
    <w:rsid w:val="3D574267"/>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543A6"/>
    <w:rsid w:val="3E9A59DE"/>
    <w:rsid w:val="3EAF4836"/>
    <w:rsid w:val="3EC33DFA"/>
    <w:rsid w:val="3F060E16"/>
    <w:rsid w:val="3F1D1096"/>
    <w:rsid w:val="3F2C7A1F"/>
    <w:rsid w:val="3F2F0234"/>
    <w:rsid w:val="3F427891"/>
    <w:rsid w:val="3F6363FE"/>
    <w:rsid w:val="3F753E01"/>
    <w:rsid w:val="3F756B8F"/>
    <w:rsid w:val="3F95482B"/>
    <w:rsid w:val="3FB351D3"/>
    <w:rsid w:val="3FEC7218"/>
    <w:rsid w:val="4019356B"/>
    <w:rsid w:val="403A613B"/>
    <w:rsid w:val="404C17AC"/>
    <w:rsid w:val="40592157"/>
    <w:rsid w:val="406E1CAE"/>
    <w:rsid w:val="40860A30"/>
    <w:rsid w:val="40A0133A"/>
    <w:rsid w:val="40C31A53"/>
    <w:rsid w:val="40FF545D"/>
    <w:rsid w:val="4100099C"/>
    <w:rsid w:val="410067C8"/>
    <w:rsid w:val="411C33B7"/>
    <w:rsid w:val="41232415"/>
    <w:rsid w:val="418F0D2A"/>
    <w:rsid w:val="41D01505"/>
    <w:rsid w:val="42474939"/>
    <w:rsid w:val="424C3C57"/>
    <w:rsid w:val="42613FF3"/>
    <w:rsid w:val="42660D96"/>
    <w:rsid w:val="427C6FA2"/>
    <w:rsid w:val="428667D2"/>
    <w:rsid w:val="42CD1CE0"/>
    <w:rsid w:val="42E1381E"/>
    <w:rsid w:val="42ED6459"/>
    <w:rsid w:val="42FE58DD"/>
    <w:rsid w:val="43174B3D"/>
    <w:rsid w:val="434B790E"/>
    <w:rsid w:val="4360274F"/>
    <w:rsid w:val="43800493"/>
    <w:rsid w:val="43977AB6"/>
    <w:rsid w:val="439D4A0F"/>
    <w:rsid w:val="43A3342B"/>
    <w:rsid w:val="43C60B40"/>
    <w:rsid w:val="43C77C27"/>
    <w:rsid w:val="43DD40A0"/>
    <w:rsid w:val="43DE09EE"/>
    <w:rsid w:val="44002FAD"/>
    <w:rsid w:val="4430589B"/>
    <w:rsid w:val="449101DD"/>
    <w:rsid w:val="449D00C3"/>
    <w:rsid w:val="44DE1391"/>
    <w:rsid w:val="45023CFE"/>
    <w:rsid w:val="450C4287"/>
    <w:rsid w:val="451B225C"/>
    <w:rsid w:val="452410C9"/>
    <w:rsid w:val="45317DFB"/>
    <w:rsid w:val="45551365"/>
    <w:rsid w:val="455A14FE"/>
    <w:rsid w:val="456D3CE4"/>
    <w:rsid w:val="4579042C"/>
    <w:rsid w:val="457F0571"/>
    <w:rsid w:val="45851176"/>
    <w:rsid w:val="458F3E4A"/>
    <w:rsid w:val="45C63B94"/>
    <w:rsid w:val="460E7DA5"/>
    <w:rsid w:val="46422483"/>
    <w:rsid w:val="4659254A"/>
    <w:rsid w:val="465B0637"/>
    <w:rsid w:val="465E3F0D"/>
    <w:rsid w:val="466A16E6"/>
    <w:rsid w:val="46893F2B"/>
    <w:rsid w:val="46C4686E"/>
    <w:rsid w:val="4719118B"/>
    <w:rsid w:val="473C3A1D"/>
    <w:rsid w:val="475E7FB4"/>
    <w:rsid w:val="477B778F"/>
    <w:rsid w:val="478203EC"/>
    <w:rsid w:val="47B025FA"/>
    <w:rsid w:val="47E26E94"/>
    <w:rsid w:val="4809698F"/>
    <w:rsid w:val="4811697D"/>
    <w:rsid w:val="485D72C5"/>
    <w:rsid w:val="487A3E25"/>
    <w:rsid w:val="488B5503"/>
    <w:rsid w:val="48937E21"/>
    <w:rsid w:val="489A0361"/>
    <w:rsid w:val="48B94FF3"/>
    <w:rsid w:val="48E37AAB"/>
    <w:rsid w:val="48FD4B4C"/>
    <w:rsid w:val="490A68E0"/>
    <w:rsid w:val="491055FE"/>
    <w:rsid w:val="491C74C4"/>
    <w:rsid w:val="49331390"/>
    <w:rsid w:val="494A1634"/>
    <w:rsid w:val="495F5B3E"/>
    <w:rsid w:val="49604EAF"/>
    <w:rsid w:val="496F77D7"/>
    <w:rsid w:val="497654FD"/>
    <w:rsid w:val="49B64211"/>
    <w:rsid w:val="49F6167F"/>
    <w:rsid w:val="4A064FA0"/>
    <w:rsid w:val="4A16615C"/>
    <w:rsid w:val="4A4424D7"/>
    <w:rsid w:val="4AB82D0F"/>
    <w:rsid w:val="4ABF2FAC"/>
    <w:rsid w:val="4AEB7664"/>
    <w:rsid w:val="4AFD7C19"/>
    <w:rsid w:val="4B0567D1"/>
    <w:rsid w:val="4B236AAE"/>
    <w:rsid w:val="4B245A16"/>
    <w:rsid w:val="4B707271"/>
    <w:rsid w:val="4B9739F7"/>
    <w:rsid w:val="4BEC4A55"/>
    <w:rsid w:val="4BEE2503"/>
    <w:rsid w:val="4BFD1EA5"/>
    <w:rsid w:val="4C245A30"/>
    <w:rsid w:val="4C44192C"/>
    <w:rsid w:val="4C676029"/>
    <w:rsid w:val="4C887E05"/>
    <w:rsid w:val="4CB6685F"/>
    <w:rsid w:val="4CB72A04"/>
    <w:rsid w:val="4CC367FE"/>
    <w:rsid w:val="4D063591"/>
    <w:rsid w:val="4D077F3C"/>
    <w:rsid w:val="4D123355"/>
    <w:rsid w:val="4D2A3B31"/>
    <w:rsid w:val="4D312C52"/>
    <w:rsid w:val="4D4742B5"/>
    <w:rsid w:val="4D595395"/>
    <w:rsid w:val="4D905305"/>
    <w:rsid w:val="4D964A72"/>
    <w:rsid w:val="4D9C1254"/>
    <w:rsid w:val="4E097A9E"/>
    <w:rsid w:val="4E1F570C"/>
    <w:rsid w:val="4E3046D1"/>
    <w:rsid w:val="4E342292"/>
    <w:rsid w:val="4E43266E"/>
    <w:rsid w:val="4E793892"/>
    <w:rsid w:val="4E800872"/>
    <w:rsid w:val="4EC569ED"/>
    <w:rsid w:val="4EC63D9A"/>
    <w:rsid w:val="4ED50EA1"/>
    <w:rsid w:val="4EEC050C"/>
    <w:rsid w:val="4F104EC3"/>
    <w:rsid w:val="4F2B65D8"/>
    <w:rsid w:val="4F47354A"/>
    <w:rsid w:val="4F911C54"/>
    <w:rsid w:val="4F992C76"/>
    <w:rsid w:val="4FE625E0"/>
    <w:rsid w:val="4FE62AD6"/>
    <w:rsid w:val="4FE86EC8"/>
    <w:rsid w:val="5021480F"/>
    <w:rsid w:val="50923907"/>
    <w:rsid w:val="5095420B"/>
    <w:rsid w:val="50962ECB"/>
    <w:rsid w:val="50A42E38"/>
    <w:rsid w:val="50A4577F"/>
    <w:rsid w:val="50A54F03"/>
    <w:rsid w:val="50B73D1F"/>
    <w:rsid w:val="50BD5BC9"/>
    <w:rsid w:val="50C11EEE"/>
    <w:rsid w:val="50E97CFC"/>
    <w:rsid w:val="50FA4028"/>
    <w:rsid w:val="510D65B7"/>
    <w:rsid w:val="511157AB"/>
    <w:rsid w:val="513308E8"/>
    <w:rsid w:val="5142540C"/>
    <w:rsid w:val="518832C8"/>
    <w:rsid w:val="51A0432A"/>
    <w:rsid w:val="51A86090"/>
    <w:rsid w:val="51B7396D"/>
    <w:rsid w:val="522E4CC3"/>
    <w:rsid w:val="5244713B"/>
    <w:rsid w:val="52615633"/>
    <w:rsid w:val="52977FD4"/>
    <w:rsid w:val="52A25790"/>
    <w:rsid w:val="52A96B6F"/>
    <w:rsid w:val="52AA0717"/>
    <w:rsid w:val="52AC6214"/>
    <w:rsid w:val="52B45975"/>
    <w:rsid w:val="52D94AA4"/>
    <w:rsid w:val="52EA3A62"/>
    <w:rsid w:val="52F07710"/>
    <w:rsid w:val="52F50BB8"/>
    <w:rsid w:val="53097272"/>
    <w:rsid w:val="53544462"/>
    <w:rsid w:val="535A6478"/>
    <w:rsid w:val="539574B0"/>
    <w:rsid w:val="5397158E"/>
    <w:rsid w:val="53ED1CCF"/>
    <w:rsid w:val="53F32DCA"/>
    <w:rsid w:val="54013861"/>
    <w:rsid w:val="543A44C4"/>
    <w:rsid w:val="54487265"/>
    <w:rsid w:val="544D6070"/>
    <w:rsid w:val="545B7466"/>
    <w:rsid w:val="54605E1E"/>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C027DF"/>
    <w:rsid w:val="55DC29B6"/>
    <w:rsid w:val="55DD4241"/>
    <w:rsid w:val="56431446"/>
    <w:rsid w:val="566B6D1E"/>
    <w:rsid w:val="56882019"/>
    <w:rsid w:val="569E129D"/>
    <w:rsid w:val="57032A2C"/>
    <w:rsid w:val="570E3CB2"/>
    <w:rsid w:val="570F5219"/>
    <w:rsid w:val="571B25E3"/>
    <w:rsid w:val="575D12B5"/>
    <w:rsid w:val="57610A87"/>
    <w:rsid w:val="576E1C25"/>
    <w:rsid w:val="577B1140"/>
    <w:rsid w:val="577B7F21"/>
    <w:rsid w:val="577F181B"/>
    <w:rsid w:val="57921984"/>
    <w:rsid w:val="579737F0"/>
    <w:rsid w:val="57AB7B30"/>
    <w:rsid w:val="57AF5251"/>
    <w:rsid w:val="57B26373"/>
    <w:rsid w:val="57B63F04"/>
    <w:rsid w:val="57CD20C2"/>
    <w:rsid w:val="57D675AB"/>
    <w:rsid w:val="57D95FDD"/>
    <w:rsid w:val="58917D2F"/>
    <w:rsid w:val="5894085C"/>
    <w:rsid w:val="589B003E"/>
    <w:rsid w:val="589E4C5C"/>
    <w:rsid w:val="589F0489"/>
    <w:rsid w:val="58AE4F0C"/>
    <w:rsid w:val="58B85899"/>
    <w:rsid w:val="58E363A9"/>
    <w:rsid w:val="594927F9"/>
    <w:rsid w:val="59494470"/>
    <w:rsid w:val="595E1678"/>
    <w:rsid w:val="596D5BD4"/>
    <w:rsid w:val="597E3DD8"/>
    <w:rsid w:val="59960086"/>
    <w:rsid w:val="59F738EE"/>
    <w:rsid w:val="59F80043"/>
    <w:rsid w:val="5A09252F"/>
    <w:rsid w:val="5A0B2778"/>
    <w:rsid w:val="5A2A7C7B"/>
    <w:rsid w:val="5A3E2560"/>
    <w:rsid w:val="5A5D3B6E"/>
    <w:rsid w:val="5A637A76"/>
    <w:rsid w:val="5A6D33BA"/>
    <w:rsid w:val="5A792B1F"/>
    <w:rsid w:val="5A874767"/>
    <w:rsid w:val="5AA85BE2"/>
    <w:rsid w:val="5AAD6F28"/>
    <w:rsid w:val="5AB741B0"/>
    <w:rsid w:val="5AC02935"/>
    <w:rsid w:val="5AD63A24"/>
    <w:rsid w:val="5B2E1A1D"/>
    <w:rsid w:val="5B4B3339"/>
    <w:rsid w:val="5B843A1C"/>
    <w:rsid w:val="5B873E3F"/>
    <w:rsid w:val="5BA5225B"/>
    <w:rsid w:val="5BA5633B"/>
    <w:rsid w:val="5BE268F4"/>
    <w:rsid w:val="5C02690E"/>
    <w:rsid w:val="5C044ACF"/>
    <w:rsid w:val="5C196DA7"/>
    <w:rsid w:val="5C2A048C"/>
    <w:rsid w:val="5C4A6705"/>
    <w:rsid w:val="5C80234E"/>
    <w:rsid w:val="5C8A680C"/>
    <w:rsid w:val="5CFA2255"/>
    <w:rsid w:val="5D011713"/>
    <w:rsid w:val="5D0C4701"/>
    <w:rsid w:val="5D0F0395"/>
    <w:rsid w:val="5D221076"/>
    <w:rsid w:val="5D397964"/>
    <w:rsid w:val="5D5A391C"/>
    <w:rsid w:val="5D5F10C0"/>
    <w:rsid w:val="5D891B7B"/>
    <w:rsid w:val="5DAD38EE"/>
    <w:rsid w:val="5DDE7CA6"/>
    <w:rsid w:val="5E006862"/>
    <w:rsid w:val="5E0207B9"/>
    <w:rsid w:val="5E1834A1"/>
    <w:rsid w:val="5E261785"/>
    <w:rsid w:val="5E4A7017"/>
    <w:rsid w:val="5E552BBA"/>
    <w:rsid w:val="5E611C10"/>
    <w:rsid w:val="5E7A0F3F"/>
    <w:rsid w:val="5EA92062"/>
    <w:rsid w:val="5EAD5F82"/>
    <w:rsid w:val="5EFC7377"/>
    <w:rsid w:val="5F012A1A"/>
    <w:rsid w:val="5F06174D"/>
    <w:rsid w:val="5F3A3602"/>
    <w:rsid w:val="5F45733B"/>
    <w:rsid w:val="5F6277C6"/>
    <w:rsid w:val="5F6D0B1D"/>
    <w:rsid w:val="5F8D0B82"/>
    <w:rsid w:val="5FA92D57"/>
    <w:rsid w:val="5FC4337D"/>
    <w:rsid w:val="5FCC5339"/>
    <w:rsid w:val="5FE34A5B"/>
    <w:rsid w:val="5FFE1E36"/>
    <w:rsid w:val="60232584"/>
    <w:rsid w:val="605864BB"/>
    <w:rsid w:val="607330CE"/>
    <w:rsid w:val="60747697"/>
    <w:rsid w:val="60825176"/>
    <w:rsid w:val="609F2AC4"/>
    <w:rsid w:val="60EA0710"/>
    <w:rsid w:val="60F36BE4"/>
    <w:rsid w:val="60FA2EE8"/>
    <w:rsid w:val="61054A27"/>
    <w:rsid w:val="610A52BC"/>
    <w:rsid w:val="611D2366"/>
    <w:rsid w:val="61421856"/>
    <w:rsid w:val="615227C4"/>
    <w:rsid w:val="61654E3F"/>
    <w:rsid w:val="6182292A"/>
    <w:rsid w:val="619F7F92"/>
    <w:rsid w:val="61F94C26"/>
    <w:rsid w:val="62000E56"/>
    <w:rsid w:val="62244584"/>
    <w:rsid w:val="624F3E49"/>
    <w:rsid w:val="62632286"/>
    <w:rsid w:val="62885958"/>
    <w:rsid w:val="62DB0C58"/>
    <w:rsid w:val="62F40B65"/>
    <w:rsid w:val="62FC2CFE"/>
    <w:rsid w:val="63024505"/>
    <w:rsid w:val="630D181D"/>
    <w:rsid w:val="635B1DB5"/>
    <w:rsid w:val="63711FED"/>
    <w:rsid w:val="63880DDC"/>
    <w:rsid w:val="638D750D"/>
    <w:rsid w:val="63AC6CC0"/>
    <w:rsid w:val="64055776"/>
    <w:rsid w:val="64240056"/>
    <w:rsid w:val="643E143A"/>
    <w:rsid w:val="648B6EEF"/>
    <w:rsid w:val="64C158BF"/>
    <w:rsid w:val="64CE2EAA"/>
    <w:rsid w:val="653B5003"/>
    <w:rsid w:val="653C3090"/>
    <w:rsid w:val="653E498B"/>
    <w:rsid w:val="657E36D4"/>
    <w:rsid w:val="6582554A"/>
    <w:rsid w:val="65854376"/>
    <w:rsid w:val="658767BE"/>
    <w:rsid w:val="65892531"/>
    <w:rsid w:val="658B44C3"/>
    <w:rsid w:val="65937B1A"/>
    <w:rsid w:val="66195831"/>
    <w:rsid w:val="66212E26"/>
    <w:rsid w:val="662E75B1"/>
    <w:rsid w:val="66342C2E"/>
    <w:rsid w:val="663E784C"/>
    <w:rsid w:val="66551A38"/>
    <w:rsid w:val="668B6A45"/>
    <w:rsid w:val="67003515"/>
    <w:rsid w:val="672F3F24"/>
    <w:rsid w:val="673E055F"/>
    <w:rsid w:val="675255B9"/>
    <w:rsid w:val="67551CE3"/>
    <w:rsid w:val="67A22552"/>
    <w:rsid w:val="67B22DCC"/>
    <w:rsid w:val="67BE71AA"/>
    <w:rsid w:val="67D1473A"/>
    <w:rsid w:val="67D90273"/>
    <w:rsid w:val="67DE5875"/>
    <w:rsid w:val="67E55852"/>
    <w:rsid w:val="67E81E4D"/>
    <w:rsid w:val="67EB1AB4"/>
    <w:rsid w:val="67FA1285"/>
    <w:rsid w:val="68551F4F"/>
    <w:rsid w:val="687C10C9"/>
    <w:rsid w:val="68840C16"/>
    <w:rsid w:val="68876EFB"/>
    <w:rsid w:val="68884654"/>
    <w:rsid w:val="689F444F"/>
    <w:rsid w:val="68B13948"/>
    <w:rsid w:val="68B96DBB"/>
    <w:rsid w:val="68CA2805"/>
    <w:rsid w:val="68E937A3"/>
    <w:rsid w:val="6923492B"/>
    <w:rsid w:val="693E15D3"/>
    <w:rsid w:val="69627681"/>
    <w:rsid w:val="6977531D"/>
    <w:rsid w:val="699B6A4B"/>
    <w:rsid w:val="69CC2BFF"/>
    <w:rsid w:val="69FD55B8"/>
    <w:rsid w:val="6A0B1C62"/>
    <w:rsid w:val="6A2406C8"/>
    <w:rsid w:val="6A8F2B46"/>
    <w:rsid w:val="6AAA2965"/>
    <w:rsid w:val="6ADE0BD1"/>
    <w:rsid w:val="6AE96859"/>
    <w:rsid w:val="6AFC4937"/>
    <w:rsid w:val="6B147746"/>
    <w:rsid w:val="6B24787C"/>
    <w:rsid w:val="6B3D5CD6"/>
    <w:rsid w:val="6B573233"/>
    <w:rsid w:val="6B5B6274"/>
    <w:rsid w:val="6B935D53"/>
    <w:rsid w:val="6BA45E0C"/>
    <w:rsid w:val="6BEB1F0C"/>
    <w:rsid w:val="6C103649"/>
    <w:rsid w:val="6C196F71"/>
    <w:rsid w:val="6C226FCB"/>
    <w:rsid w:val="6C31226F"/>
    <w:rsid w:val="6C552F0B"/>
    <w:rsid w:val="6C834915"/>
    <w:rsid w:val="6C8C67B7"/>
    <w:rsid w:val="6C8E2897"/>
    <w:rsid w:val="6C9D744C"/>
    <w:rsid w:val="6CCA2A8D"/>
    <w:rsid w:val="6CD0675A"/>
    <w:rsid w:val="6CFE67A8"/>
    <w:rsid w:val="6D167928"/>
    <w:rsid w:val="6D1D5AB8"/>
    <w:rsid w:val="6D26299B"/>
    <w:rsid w:val="6D4772EC"/>
    <w:rsid w:val="6D9078AF"/>
    <w:rsid w:val="6DAA3FEF"/>
    <w:rsid w:val="6DC0172B"/>
    <w:rsid w:val="6DCB690C"/>
    <w:rsid w:val="6DD41A5B"/>
    <w:rsid w:val="6DF43C2E"/>
    <w:rsid w:val="6DF51CA3"/>
    <w:rsid w:val="6E1E4A95"/>
    <w:rsid w:val="6E8335BD"/>
    <w:rsid w:val="6E8E12EF"/>
    <w:rsid w:val="6E972936"/>
    <w:rsid w:val="6EAA1C6A"/>
    <w:rsid w:val="6EAF2826"/>
    <w:rsid w:val="6ED446C5"/>
    <w:rsid w:val="6F2A7D94"/>
    <w:rsid w:val="6F604F77"/>
    <w:rsid w:val="6F8331F1"/>
    <w:rsid w:val="6FAE1A09"/>
    <w:rsid w:val="6FD75BF8"/>
    <w:rsid w:val="704A1E1E"/>
    <w:rsid w:val="707723D0"/>
    <w:rsid w:val="70F5661B"/>
    <w:rsid w:val="71360107"/>
    <w:rsid w:val="713B688E"/>
    <w:rsid w:val="71A502EB"/>
    <w:rsid w:val="71D236B7"/>
    <w:rsid w:val="71D43752"/>
    <w:rsid w:val="71F1796A"/>
    <w:rsid w:val="71F63E6A"/>
    <w:rsid w:val="72154626"/>
    <w:rsid w:val="72262B5D"/>
    <w:rsid w:val="72283FF7"/>
    <w:rsid w:val="722E7212"/>
    <w:rsid w:val="723A0474"/>
    <w:rsid w:val="725923E4"/>
    <w:rsid w:val="72864BF7"/>
    <w:rsid w:val="729023FC"/>
    <w:rsid w:val="72936E59"/>
    <w:rsid w:val="72B577E9"/>
    <w:rsid w:val="72B654DE"/>
    <w:rsid w:val="73A834D9"/>
    <w:rsid w:val="73C0646E"/>
    <w:rsid w:val="73DE21CB"/>
    <w:rsid w:val="73E32E5F"/>
    <w:rsid w:val="741A2DE7"/>
    <w:rsid w:val="742222F5"/>
    <w:rsid w:val="74476126"/>
    <w:rsid w:val="74490107"/>
    <w:rsid w:val="74566390"/>
    <w:rsid w:val="74706664"/>
    <w:rsid w:val="747F3682"/>
    <w:rsid w:val="749C4185"/>
    <w:rsid w:val="74F71921"/>
    <w:rsid w:val="75067759"/>
    <w:rsid w:val="752E6DCD"/>
    <w:rsid w:val="754E0E15"/>
    <w:rsid w:val="7551380D"/>
    <w:rsid w:val="75600BE5"/>
    <w:rsid w:val="7564475C"/>
    <w:rsid w:val="7583797F"/>
    <w:rsid w:val="75CE1F56"/>
    <w:rsid w:val="75D20F1D"/>
    <w:rsid w:val="75DA2C18"/>
    <w:rsid w:val="75F54412"/>
    <w:rsid w:val="75FF0A9B"/>
    <w:rsid w:val="761C7166"/>
    <w:rsid w:val="761D08E0"/>
    <w:rsid w:val="76381FD0"/>
    <w:rsid w:val="7647482B"/>
    <w:rsid w:val="765D347C"/>
    <w:rsid w:val="767A4FF2"/>
    <w:rsid w:val="76826699"/>
    <w:rsid w:val="76B1006A"/>
    <w:rsid w:val="76C87133"/>
    <w:rsid w:val="76CD08D5"/>
    <w:rsid w:val="76DB4B92"/>
    <w:rsid w:val="77052AA4"/>
    <w:rsid w:val="770B3029"/>
    <w:rsid w:val="77136511"/>
    <w:rsid w:val="771E7AA0"/>
    <w:rsid w:val="77340A39"/>
    <w:rsid w:val="77351FD0"/>
    <w:rsid w:val="77472422"/>
    <w:rsid w:val="777F31F2"/>
    <w:rsid w:val="778D20C9"/>
    <w:rsid w:val="77CF2D34"/>
    <w:rsid w:val="77D1700D"/>
    <w:rsid w:val="77EC04CC"/>
    <w:rsid w:val="78023808"/>
    <w:rsid w:val="78082ECE"/>
    <w:rsid w:val="78775729"/>
    <w:rsid w:val="78802ABA"/>
    <w:rsid w:val="78A42DB0"/>
    <w:rsid w:val="78A656AB"/>
    <w:rsid w:val="78B2245C"/>
    <w:rsid w:val="78E172CC"/>
    <w:rsid w:val="78EA1D1F"/>
    <w:rsid w:val="7904172F"/>
    <w:rsid w:val="790F7E27"/>
    <w:rsid w:val="79270BDC"/>
    <w:rsid w:val="792A231A"/>
    <w:rsid w:val="79316829"/>
    <w:rsid w:val="797E66A9"/>
    <w:rsid w:val="79A97383"/>
    <w:rsid w:val="79E27E8B"/>
    <w:rsid w:val="79F850CE"/>
    <w:rsid w:val="79FD443C"/>
    <w:rsid w:val="7A0F2D0C"/>
    <w:rsid w:val="7A1D1975"/>
    <w:rsid w:val="7A3E5150"/>
    <w:rsid w:val="7A4670D6"/>
    <w:rsid w:val="7A534B63"/>
    <w:rsid w:val="7A615382"/>
    <w:rsid w:val="7A67303B"/>
    <w:rsid w:val="7A977274"/>
    <w:rsid w:val="7AAB1D04"/>
    <w:rsid w:val="7ABA4368"/>
    <w:rsid w:val="7AD05746"/>
    <w:rsid w:val="7ADB2FDA"/>
    <w:rsid w:val="7ADD2219"/>
    <w:rsid w:val="7B0F7DB0"/>
    <w:rsid w:val="7B257FFD"/>
    <w:rsid w:val="7B2B795F"/>
    <w:rsid w:val="7B343476"/>
    <w:rsid w:val="7B5A2978"/>
    <w:rsid w:val="7B5A7E4C"/>
    <w:rsid w:val="7B667AF9"/>
    <w:rsid w:val="7B7468F8"/>
    <w:rsid w:val="7BA46062"/>
    <w:rsid w:val="7BC8542A"/>
    <w:rsid w:val="7BD43C3E"/>
    <w:rsid w:val="7BEE0103"/>
    <w:rsid w:val="7C0206DA"/>
    <w:rsid w:val="7C0A0FE4"/>
    <w:rsid w:val="7C254906"/>
    <w:rsid w:val="7C392FCB"/>
    <w:rsid w:val="7C590818"/>
    <w:rsid w:val="7C7C10F6"/>
    <w:rsid w:val="7C853BEA"/>
    <w:rsid w:val="7C881368"/>
    <w:rsid w:val="7CE27788"/>
    <w:rsid w:val="7D0357E5"/>
    <w:rsid w:val="7D0C32F1"/>
    <w:rsid w:val="7D0F408D"/>
    <w:rsid w:val="7D491C6C"/>
    <w:rsid w:val="7D5429C0"/>
    <w:rsid w:val="7D586EFA"/>
    <w:rsid w:val="7D6E6D43"/>
    <w:rsid w:val="7D7069D2"/>
    <w:rsid w:val="7DB57A34"/>
    <w:rsid w:val="7DD24CD9"/>
    <w:rsid w:val="7DE60973"/>
    <w:rsid w:val="7DE91D35"/>
    <w:rsid w:val="7DEF0916"/>
    <w:rsid w:val="7E1E5218"/>
    <w:rsid w:val="7E9A4E1F"/>
    <w:rsid w:val="7EA008B3"/>
    <w:rsid w:val="7EA7723A"/>
    <w:rsid w:val="7EB973D9"/>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1"/>
    <w:autoRedefine/>
    <w:qFormat/>
    <w:uiPriority w:val="0"/>
    <w:pPr>
      <w:shd w:val="clear" w:color="auto" w:fill="000080"/>
    </w:pPr>
  </w:style>
  <w:style w:type="paragraph" w:styleId="20">
    <w:name w:val="annotation text"/>
    <w:basedOn w:val="1"/>
    <w:link w:val="343"/>
    <w:autoRedefine/>
    <w:qFormat/>
    <w:uiPriority w:val="99"/>
    <w:pPr>
      <w:jc w:val="left"/>
    </w:pPr>
  </w:style>
  <w:style w:type="paragraph" w:styleId="21">
    <w:name w:val="Salutation"/>
    <w:basedOn w:val="1"/>
    <w:next w:val="1"/>
    <w:link w:val="297"/>
    <w:autoRedefine/>
    <w:qFormat/>
    <w:uiPriority w:val="0"/>
    <w:rPr>
      <w:rFonts w:ascii="仿宋_GB2312" w:eastAsia="仿宋_GB2312"/>
      <w:sz w:val="28"/>
      <w:szCs w:val="20"/>
    </w:rPr>
  </w:style>
  <w:style w:type="paragraph" w:styleId="22">
    <w:name w:val="Body Text 3"/>
    <w:basedOn w:val="1"/>
    <w:link w:val="329"/>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1"/>
    <w:next w:val="26"/>
    <w:link w:val="320"/>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Body Text Indent"/>
    <w:basedOn w:val="1"/>
    <w:next w:val="28"/>
    <w:link w:val="264"/>
    <w:autoRedefine/>
    <w:qFormat/>
    <w:uiPriority w:val="0"/>
    <w:pPr>
      <w:spacing w:line="480" w:lineRule="exact"/>
      <w:ind w:firstLine="480" w:firstLineChars="200"/>
    </w:pPr>
    <w:rPr>
      <w:rFonts w:ascii="宋体" w:hAnsi="宋体"/>
      <w:sz w:val="24"/>
    </w:rPr>
  </w:style>
  <w:style w:type="paragraph" w:styleId="28">
    <w:name w:val="envelope return"/>
    <w:basedOn w:val="1"/>
    <w:autoRedefine/>
    <w:unhideWhenUsed/>
    <w:qFormat/>
    <w:uiPriority w:val="99"/>
    <w:pPr>
      <w:snapToGrid w:val="0"/>
    </w:pPr>
    <w:rPr>
      <w:rFonts w:ascii="Arial" w:hAnsi="Arial"/>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4"/>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0"/>
    <w:autoRedefine/>
    <w:qFormat/>
    <w:uiPriority w:val="0"/>
    <w:pPr>
      <w:ind w:left="100" w:leftChars="2500"/>
    </w:pPr>
    <w:rPr>
      <w:rFonts w:ascii="宋体"/>
      <w:sz w:val="24"/>
      <w:szCs w:val="21"/>
      <w:lang w:val="zh-CN"/>
    </w:rPr>
  </w:style>
  <w:style w:type="paragraph" w:styleId="40">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0"/>
    <w:autoRedefine/>
    <w:qFormat/>
    <w:uiPriority w:val="0"/>
    <w:rPr>
      <w:lang w:val="zh-CN"/>
    </w:rPr>
  </w:style>
  <w:style w:type="paragraph" w:styleId="42">
    <w:name w:val="Balloon Text"/>
    <w:basedOn w:val="1"/>
    <w:link w:val="187"/>
    <w:autoRedefine/>
    <w:qFormat/>
    <w:uiPriority w:val="0"/>
    <w:rPr>
      <w:sz w:val="18"/>
      <w:szCs w:val="18"/>
    </w:rPr>
  </w:style>
  <w:style w:type="paragraph" w:styleId="43">
    <w:name w:val="footer"/>
    <w:basedOn w:val="1"/>
    <w:link w:val="382"/>
    <w:autoRedefine/>
    <w:qFormat/>
    <w:uiPriority w:val="99"/>
    <w:pPr>
      <w:tabs>
        <w:tab w:val="center" w:pos="4153"/>
        <w:tab w:val="right" w:pos="8306"/>
      </w:tabs>
      <w:snapToGrid w:val="0"/>
      <w:jc w:val="left"/>
    </w:pPr>
    <w:rPr>
      <w:sz w:val="18"/>
      <w:szCs w:val="18"/>
    </w:rPr>
  </w:style>
  <w:style w:type="paragraph" w:styleId="44">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6"/>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4"/>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1"/>
    <w:autoRedefine/>
    <w:qFormat/>
    <w:uiPriority w:val="0"/>
    <w:pPr>
      <w:spacing w:after="120" w:line="480" w:lineRule="auto"/>
    </w:pPr>
  </w:style>
  <w:style w:type="paragraph" w:styleId="59">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annotation subject"/>
    <w:basedOn w:val="20"/>
    <w:next w:val="20"/>
    <w:link w:val="95"/>
    <w:autoRedefine/>
    <w:qFormat/>
    <w:uiPriority w:val="0"/>
    <w:rPr>
      <w:b/>
      <w:bCs/>
    </w:rPr>
  </w:style>
  <w:style w:type="paragraph" w:styleId="62">
    <w:name w:val="Body Text First Indent 2"/>
    <w:basedOn w:val="27"/>
    <w:next w:val="1"/>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2"/>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50"/>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basedOn w:val="70"/>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4"/>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9"/>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42"/>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9"/>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3"/>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7"/>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7"/>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2"/>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1"/>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9"/>
    <w:autoRedefine/>
    <w:qFormat/>
    <w:uiPriority w:val="0"/>
    <w:rPr>
      <w:rFonts w:ascii="黑体" w:hAnsi="Courier New" w:eastAsia="黑体"/>
    </w:rPr>
  </w:style>
  <w:style w:type="character" w:customStyle="1" w:styleId="301">
    <w:name w:val="正文文本 2 Char1"/>
    <w:link w:val="58"/>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40"/>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3"/>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5"/>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2"/>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autoRedefine/>
    <w:qFormat/>
    <w:uiPriority w:val="0"/>
    <w:rPr>
      <w:kern w:val="2"/>
      <w:sz w:val="21"/>
      <w:szCs w:val="24"/>
    </w:rPr>
  </w:style>
  <w:style w:type="character" w:customStyle="1" w:styleId="344">
    <w:name w:val="签名 Char"/>
    <w:link w:val="45"/>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5"/>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3"/>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4"/>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6"/>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5"/>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40"/>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autoRedefine/>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41"/>
    <w:autoRedefine/>
    <w:qFormat/>
    <w:uiPriority w:val="0"/>
    <w:rPr>
      <w:kern w:val="2"/>
      <w:sz w:val="21"/>
      <w:szCs w:val="24"/>
      <w:lang w:val="zh-CN"/>
    </w:rPr>
  </w:style>
  <w:style w:type="character" w:customStyle="1" w:styleId="931">
    <w:name w:val="无间隔 Char"/>
    <w:link w:val="482"/>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7"/>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fontstyle01"/>
    <w:basedOn w:val="70"/>
    <w:qFormat/>
    <w:uiPriority w:val="0"/>
    <w:rPr>
      <w:rFonts w:hint="eastAsia" w:ascii="宋体" w:hAnsi="宋体" w:eastAsia="宋体"/>
      <w:color w:val="000000"/>
      <w:sz w:val="24"/>
      <w:szCs w:val="24"/>
    </w:rPr>
  </w:style>
  <w:style w:type="table" w:customStyle="1" w:styleId="963">
    <w:name w:val="Table Normal"/>
    <w:qFormat/>
    <w:uiPriority w:val="0"/>
    <w:rPr>
      <w:rFonts w:eastAsiaTheme="minorEastAsia"/>
    </w:rPr>
    <w:tblPr>
      <w:tblCellMar>
        <w:top w:w="0" w:type="dxa"/>
        <w:left w:w="0" w:type="dxa"/>
        <w:bottom w:w="0" w:type="dxa"/>
        <w:right w:w="0" w:type="dxa"/>
      </w:tblCellMar>
    </w:tblPr>
  </w:style>
  <w:style w:type="paragraph" w:customStyle="1" w:styleId="964">
    <w:name w:val="_Style 4"/>
    <w:basedOn w:val="1"/>
    <w:qFormat/>
    <w:uiPriority w:val="34"/>
    <w:pPr>
      <w:ind w:firstLine="420" w:firstLineChars="200"/>
    </w:pPr>
    <w:rPr>
      <w:rFonts w:eastAsia="FangSong_GB2312"/>
      <w:sz w:val="28"/>
      <w:szCs w:val="22"/>
    </w:rPr>
  </w:style>
  <w:style w:type="paragraph" w:customStyle="1" w:styleId="965">
    <w:name w:val="封面编号"/>
    <w:basedOn w:val="1"/>
    <w:qFormat/>
    <w:uiPriority w:val="99"/>
    <w:pPr>
      <w:spacing w:line="360" w:lineRule="auto"/>
      <w:jc w:val="center"/>
    </w:pPr>
    <w:rPr>
      <w:rFonts w:ascii="黑体" w:hAnsi="宋体" w:eastAsia="黑体" w:cs="宋体"/>
      <w:b/>
      <w:bCs/>
      <w:sz w:val="38"/>
    </w:rPr>
  </w:style>
  <w:style w:type="paragraph" w:customStyle="1" w:styleId="966">
    <w:name w:val="reader-word-layer reader-word-s2-3"/>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64</Pages>
  <Words>11015</Words>
  <Characters>12063</Characters>
  <Lines>293</Lines>
  <Paragraphs>82</Paragraphs>
  <TotalTime>24</TotalTime>
  <ScaleCrop>false</ScaleCrop>
  <LinksUpToDate>false</LinksUpToDate>
  <CharactersWithSpaces>12453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dc:creator>
  <cp:lastModifiedBy>偏执狂</cp:lastModifiedBy>
  <cp:lastPrinted>2021-12-27T03:06:00Z</cp:lastPrinted>
  <dcterms:modified xsi:type="dcterms:W3CDTF">2025-03-04T07:45:02Z</dcterms:modified>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602B1033B4A24050B15F4CD743A063A8_13</vt:lpwstr>
  </property>
  <property fmtid="{D5CDD505-2E9C-101B-9397-08002B2CF9AE}" pid="5" name="KSOTemplateDocerSaveRecord">
    <vt:lpwstr>eyJoZGlkIjoiZDM0OWFjZDI2NTE0ODlmNTRlODVmMGRmZGJhNzU1MDQiLCJ1c2VySWQiOiIxMTMyNjQ4ODkxIn0=</vt:lpwstr>
  </property>
</Properties>
</file>